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590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7025A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61F21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7.040</w:t>
            </w:r>
            <w:r>
              <w:rPr>
                <w:rFonts w:ascii="黑体" w:hAnsi="黑体" w:eastAsia="黑体"/>
                <w:sz w:val="21"/>
                <w:szCs w:val="21"/>
              </w:rPr>
              <w:fldChar w:fldCharType="end"/>
            </w:r>
            <w:bookmarkEnd w:id="0"/>
          </w:p>
        </w:tc>
      </w:tr>
      <w:tr w14:paraId="03CC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D8F1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3E07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6BAC5A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74B5F6D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X</w:t>
            </w:r>
            <w:r>
              <w:rPr>
                <w:rFonts w:hint="eastAsia" w:ascii="黑体" w:hAnsi="黑体" w:eastAsia="黑体"/>
                <w:sz w:val="21"/>
                <w:szCs w:val="21"/>
                <w:lang w:val="en-US" w:eastAsia="zh-CN"/>
              </w:rPr>
              <w:t xml:space="preserve"> 00</w:t>
            </w:r>
            <w:r>
              <w:rPr>
                <w:rFonts w:ascii="黑体" w:hAnsi="黑体" w:eastAsia="黑体"/>
                <w:sz w:val="21"/>
                <w:szCs w:val="21"/>
              </w:rPr>
              <w:fldChar w:fldCharType="end"/>
            </w:r>
            <w:bookmarkEnd w:id="2"/>
          </w:p>
        </w:tc>
      </w:tr>
    </w:tbl>
    <w:p w14:paraId="4A4B894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EDE5FE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5</w:t>
      </w:r>
      <w:r>
        <w:fldChar w:fldCharType="end"/>
      </w:r>
      <w:bookmarkEnd w:id="7"/>
    </w:p>
    <w:p w14:paraId="4412FFF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7F2335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A7980D">
      <w:pPr>
        <w:pStyle w:val="50"/>
        <w:framePr w:w="9639" w:h="6976" w:hRule="exact" w:hSpace="0" w:vSpace="0" w:wrap="around" w:hAnchor="page" w:y="6408"/>
        <w:jc w:val="center"/>
        <w:rPr>
          <w:rFonts w:ascii="黑体" w:hAnsi="黑体" w:eastAsia="黑体"/>
          <w:b w:val="0"/>
          <w:bCs w:val="0"/>
          <w:w w:val="100"/>
        </w:rPr>
      </w:pPr>
    </w:p>
    <w:p w14:paraId="6580D43B">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甘蔗多酚安全生产要求</w:t>
      </w:r>
      <w:r>
        <w:fldChar w:fldCharType="end"/>
      </w:r>
      <w:bookmarkEnd w:id="9"/>
    </w:p>
    <w:p w14:paraId="1A5ACD67">
      <w:pPr>
        <w:framePr w:w="9639" w:h="6974" w:hRule="exact" w:wrap="around" w:vAnchor="page" w:hAnchor="page" w:x="1419" w:y="6408" w:anchorLock="1"/>
        <w:ind w:left="-1418"/>
      </w:pPr>
    </w:p>
    <w:p w14:paraId="2886A67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Requirements for safe production of sugarcane polyphenols</w:t>
      </w:r>
      <w:r>
        <w:rPr>
          <w:rFonts w:ascii="黑体" w:hAnsi="黑体" w:eastAsia="黑体"/>
          <w:szCs w:val="28"/>
        </w:rPr>
        <w:t xml:space="preserve"> </w:t>
      </w:r>
      <w:r>
        <w:rPr>
          <w:rFonts w:ascii="黑体" w:hAnsi="黑体" w:eastAsia="黑体"/>
          <w:szCs w:val="28"/>
        </w:rPr>
        <w:fldChar w:fldCharType="end"/>
      </w:r>
      <w:bookmarkEnd w:id="10"/>
    </w:p>
    <w:p w14:paraId="50ACBFA1">
      <w:pPr>
        <w:framePr w:w="9639" w:h="6974" w:hRule="exact" w:wrap="around" w:vAnchor="page" w:hAnchor="page" w:x="1419" w:y="6408" w:anchorLock="1"/>
        <w:spacing w:line="760" w:lineRule="exact"/>
        <w:ind w:left="-1418"/>
      </w:pPr>
    </w:p>
    <w:p w14:paraId="0E405743">
      <w:pPr>
        <w:pStyle w:val="125"/>
        <w:framePr w:w="9639" w:h="6974" w:hRule="exact" w:wrap="around" w:vAnchor="page" w:hAnchor="page" w:x="1419" w:y="6408" w:anchorLock="1"/>
        <w:textAlignment w:val="bottom"/>
        <w:rPr>
          <w:rFonts w:eastAsia="黑体"/>
          <w:szCs w:val="28"/>
        </w:rPr>
      </w:pPr>
    </w:p>
    <w:p w14:paraId="55605BA9">
      <w:pPr>
        <w:pStyle w:val="125"/>
        <w:framePr w:w="9639" w:h="6974" w:hRule="exact" w:wrap="around" w:vAnchor="page" w:hAnchor="page" w:x="1419" w:y="6408" w:anchorLock="1"/>
        <w:spacing w:before="440" w:after="160"/>
        <w:textAlignment w:val="bottom"/>
        <w:rPr>
          <w:sz w:val="24"/>
          <w:szCs w:val="28"/>
        </w:rPr>
      </w:pPr>
    </w:p>
    <w:p w14:paraId="6CA956AE">
      <w:pPr>
        <w:pStyle w:val="125"/>
        <w:framePr w:w="9639" w:h="6974" w:hRule="exact" w:wrap="around" w:vAnchor="page" w:hAnchor="page" w:x="1419" w:y="6408" w:anchorLock="1"/>
        <w:spacing w:before="180" w:line="240" w:lineRule="atLeast"/>
        <w:textAlignment w:val="bottom"/>
        <w:rPr>
          <w:sz w:val="21"/>
          <w:szCs w:val="28"/>
        </w:rPr>
      </w:pPr>
    </w:p>
    <w:p w14:paraId="376F4DD1">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44092776">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3"/>
      <w:r>
        <w:rPr>
          <w:rFonts w:hint="eastAsia"/>
        </w:rPr>
        <w:t>发布</w:t>
      </w:r>
    </w:p>
    <w:p w14:paraId="2E3BC038">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实施</w:t>
      </w:r>
    </w:p>
    <w:p w14:paraId="454A02D4">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1BE816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B47800">
      <w:pPr>
        <w:pStyle w:val="89"/>
        <w:spacing w:before="900" w:after="360"/>
      </w:pPr>
      <w:bookmarkStart w:id="18" w:name="BookMark2"/>
      <w:r>
        <w:rPr>
          <w:spacing w:val="320"/>
        </w:rPr>
        <w:t>前</w:t>
      </w:r>
      <w:r>
        <w:t>言</w:t>
      </w:r>
    </w:p>
    <w:p w14:paraId="006C5718">
      <w:pPr>
        <w:pStyle w:val="56"/>
        <w:ind w:firstLine="420"/>
      </w:pPr>
      <w:r>
        <w:rPr>
          <w:rFonts w:hint="eastAsia"/>
        </w:rPr>
        <w:t>本文件按照GB/T 1.1—2020《标准化工作导则  第1部分：标准化文件的结构和起草规则》的规定起草。</w:t>
      </w:r>
    </w:p>
    <w:p w14:paraId="5755E4F2">
      <w:pPr>
        <w:pStyle w:val="56"/>
        <w:ind w:firstLine="420"/>
      </w:pPr>
      <w:r>
        <w:rPr>
          <w:rFonts w:hint="eastAsia"/>
        </w:rPr>
        <w:t>请注意本文件的某些内容可能涉及专利。本文件的发布机构不承担识别专利的责任。</w:t>
      </w:r>
    </w:p>
    <w:p w14:paraId="153CFEB8">
      <w:pPr>
        <w:pStyle w:val="56"/>
        <w:ind w:firstLine="420"/>
      </w:pPr>
      <w:r>
        <w:rPr>
          <w:rFonts w:hint="eastAsia"/>
        </w:rPr>
        <w:t>本文件由</w:t>
      </w:r>
      <w:r>
        <w:rPr>
          <w:rFonts w:hint="eastAsia"/>
          <w:lang w:eastAsia="zh-CN"/>
        </w:rPr>
        <w:t>广西壮族自治区产品质量检验研究院</w:t>
      </w:r>
      <w:r>
        <w:rPr>
          <w:rFonts w:hint="eastAsia"/>
        </w:rPr>
        <w:t>提出并宣贯。</w:t>
      </w:r>
    </w:p>
    <w:p w14:paraId="60049FE0">
      <w:pPr>
        <w:pStyle w:val="56"/>
        <w:ind w:firstLine="420"/>
      </w:pPr>
      <w:r>
        <w:rPr>
          <w:rFonts w:hint="eastAsia"/>
        </w:rPr>
        <w:t>本文件由广西物品编码与标准化促进会归口。</w:t>
      </w:r>
    </w:p>
    <w:p w14:paraId="2C7635B5">
      <w:pPr>
        <w:pStyle w:val="56"/>
        <w:ind w:firstLine="420"/>
      </w:pPr>
      <w:r>
        <w:rPr>
          <w:rFonts w:hint="eastAsia"/>
        </w:rPr>
        <w:t>本文件起草单位：广西壮族自治区产品质量检验研究院、</w:t>
      </w:r>
      <w:r>
        <w:rPr>
          <w:rFonts w:hint="eastAsia"/>
          <w:lang w:val="en-US" w:eastAsia="zh-CN"/>
        </w:rPr>
        <w:t>南宁市食品药品检验所、</w:t>
      </w:r>
      <w:r>
        <w:rPr>
          <w:rFonts w:hint="eastAsia"/>
        </w:rPr>
        <w:t>贵港市甘化糖业有限公司、华南理工大学、</w:t>
      </w:r>
      <w:r>
        <w:rPr>
          <w:rFonts w:hint="eastAsia"/>
          <w:lang w:val="en-US" w:eastAsia="zh-CN"/>
        </w:rPr>
        <w:t>生态部华南环境科学研究所、</w:t>
      </w:r>
      <w:r>
        <w:rPr>
          <w:rFonts w:hint="eastAsia"/>
        </w:rPr>
        <w:t>广西南宁信雄科技服务有限公司。</w:t>
      </w:r>
    </w:p>
    <w:p w14:paraId="1A9C4B81">
      <w:pPr>
        <w:pStyle w:val="56"/>
        <w:ind w:firstLine="420"/>
      </w:pPr>
      <w:r>
        <w:rPr>
          <w:rFonts w:hint="eastAsia"/>
        </w:rPr>
        <w:t>本文件主要起草人：。</w:t>
      </w:r>
    </w:p>
    <w:p w14:paraId="790944A3">
      <w:pPr>
        <w:pStyle w:val="56"/>
        <w:ind w:firstLine="420"/>
      </w:pPr>
    </w:p>
    <w:p w14:paraId="00388904">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22CAE745">
      <w:pPr>
        <w:spacing w:line="20" w:lineRule="exact"/>
        <w:jc w:val="center"/>
        <w:rPr>
          <w:rFonts w:ascii="黑体" w:hAnsi="黑体" w:eastAsia="黑体"/>
          <w:sz w:val="32"/>
          <w:szCs w:val="32"/>
        </w:rPr>
      </w:pPr>
      <w:bookmarkStart w:id="19" w:name="BookMark4"/>
    </w:p>
    <w:p w14:paraId="5D1710D1">
      <w:pPr>
        <w:spacing w:line="20" w:lineRule="exact"/>
        <w:jc w:val="center"/>
        <w:rPr>
          <w:rFonts w:ascii="黑体" w:hAnsi="黑体" w:eastAsia="黑体"/>
          <w:sz w:val="32"/>
          <w:szCs w:val="32"/>
        </w:rPr>
      </w:pPr>
    </w:p>
    <w:sdt>
      <w:sdtPr>
        <w:tag w:val="NEW_STAND_NAME"/>
        <w:id w:val="595910757"/>
        <w:lock w:val="sdtLocked"/>
        <w:placeholder>
          <w:docPart w:val="7A126502E19C4DCFBC339FDA1B21001D"/>
        </w:placeholder>
      </w:sdtPr>
      <w:sdtContent>
        <w:p w14:paraId="58ECF818">
          <w:pPr>
            <w:pStyle w:val="177"/>
            <w:spacing w:before="2" w:beforeLines="1" w:after="528" w:afterLines="220"/>
          </w:pPr>
          <w:bookmarkStart w:id="20" w:name="NEW_STAND_NAME"/>
          <w:r>
            <w:rPr>
              <w:rFonts w:hint="eastAsia"/>
            </w:rPr>
            <w:t>甘蔗多酚安全生产要求</w:t>
          </w:r>
        </w:p>
      </w:sdtContent>
    </w:sdt>
    <w:bookmarkEnd w:id="20"/>
    <w:p w14:paraId="15F68637">
      <w:pPr>
        <w:pStyle w:val="104"/>
        <w:spacing w:before="240" w:after="240"/>
      </w:pPr>
      <w:bookmarkStart w:id="21" w:name="_Toc17233325"/>
      <w:bookmarkStart w:id="22" w:name="_Toc24884211"/>
      <w:bookmarkStart w:id="23" w:name="_Toc24884218"/>
      <w:bookmarkStart w:id="24" w:name="_Toc26986771"/>
      <w:bookmarkStart w:id="25" w:name="_Toc26648465"/>
      <w:bookmarkStart w:id="26" w:name="_Toc26986530"/>
      <w:bookmarkStart w:id="27" w:name="_Toc17233333"/>
      <w:bookmarkStart w:id="28" w:name="_Toc26718930"/>
      <w:bookmarkStart w:id="29" w:name="_Toc97192964"/>
      <w:r>
        <w:rPr>
          <w:rFonts w:hint="eastAsia"/>
        </w:rPr>
        <w:t>范围</w:t>
      </w:r>
      <w:bookmarkEnd w:id="21"/>
      <w:bookmarkEnd w:id="22"/>
      <w:bookmarkEnd w:id="23"/>
      <w:bookmarkEnd w:id="24"/>
      <w:bookmarkEnd w:id="25"/>
      <w:bookmarkEnd w:id="26"/>
      <w:bookmarkEnd w:id="27"/>
      <w:bookmarkEnd w:id="28"/>
      <w:bookmarkEnd w:id="29"/>
    </w:p>
    <w:p w14:paraId="4D68C2F9">
      <w:pPr>
        <w:pStyle w:val="56"/>
        <w:ind w:firstLine="420"/>
        <w:rPr>
          <w:rFonts w:hint="eastAsia"/>
          <w:lang w:eastAsia="zh-CN"/>
        </w:rPr>
      </w:pPr>
      <w:bookmarkStart w:id="30" w:name="_Toc24884219"/>
      <w:bookmarkStart w:id="31" w:name="_Toc17233334"/>
      <w:bookmarkStart w:id="32" w:name="_Toc26648466"/>
      <w:bookmarkStart w:id="33" w:name="_Toc24884212"/>
      <w:bookmarkStart w:id="34" w:name="_Toc17233326"/>
      <w:r>
        <w:rPr>
          <w:rFonts w:hint="eastAsia"/>
        </w:rPr>
        <w:t>本</w:t>
      </w:r>
      <w:r>
        <w:rPr>
          <w:rFonts w:hint="eastAsia"/>
          <w:lang w:val="en-US" w:eastAsia="zh-CN"/>
        </w:rPr>
        <w:t>文件</w:t>
      </w:r>
      <w:r>
        <w:rPr>
          <w:rFonts w:hint="eastAsia"/>
        </w:rPr>
        <w:t>规定了甘蔗多酚</w:t>
      </w:r>
      <w:r>
        <w:rPr>
          <w:rFonts w:hint="eastAsia"/>
          <w:lang w:val="en-US" w:eastAsia="zh-CN"/>
        </w:rPr>
        <w:t>安全生产</w:t>
      </w:r>
      <w:r>
        <w:rPr>
          <w:rFonts w:hint="eastAsia"/>
        </w:rPr>
        <w:t>的原料采购、生产加工、质量控制、包装储存、运输</w:t>
      </w:r>
      <w:r>
        <w:rPr>
          <w:rFonts w:hint="eastAsia"/>
          <w:lang w:val="en-US" w:eastAsia="zh-CN"/>
        </w:rPr>
        <w:t>的内容</w:t>
      </w:r>
      <w:r>
        <w:rPr>
          <w:rFonts w:hint="eastAsia"/>
          <w:lang w:eastAsia="zh-CN"/>
        </w:rPr>
        <w:t>。</w:t>
      </w:r>
    </w:p>
    <w:p w14:paraId="129F055A">
      <w:pPr>
        <w:pStyle w:val="56"/>
        <w:ind w:firstLine="420"/>
        <w:rPr>
          <w:rFonts w:hint="eastAsia"/>
        </w:rPr>
      </w:pPr>
      <w:r>
        <w:rPr>
          <w:rFonts w:hint="eastAsia"/>
          <w:lang w:val="en-US" w:eastAsia="zh-CN"/>
        </w:rPr>
        <w:t>本文件</w:t>
      </w:r>
      <w:r>
        <w:rPr>
          <w:rFonts w:hint="eastAsia"/>
        </w:rPr>
        <w:t>适用于甘蔗多酚的</w:t>
      </w:r>
      <w:r>
        <w:rPr>
          <w:rFonts w:hint="eastAsia"/>
          <w:lang w:val="en-US" w:eastAsia="zh-CN"/>
        </w:rPr>
        <w:t>安全生产</w:t>
      </w:r>
      <w:r>
        <w:rPr>
          <w:rFonts w:hint="eastAsia"/>
        </w:rPr>
        <w:t>。</w:t>
      </w:r>
    </w:p>
    <w:p w14:paraId="08D07CA3">
      <w:pPr>
        <w:pStyle w:val="104"/>
        <w:spacing w:before="240" w:after="240"/>
      </w:pPr>
      <w:bookmarkStart w:id="35" w:name="_Toc26986531"/>
      <w:bookmarkStart w:id="36" w:name="_Toc26718931"/>
      <w:bookmarkStart w:id="37" w:name="_Toc97192965"/>
      <w:bookmarkStart w:id="38" w:name="_Toc26986772"/>
      <w:r>
        <w:rPr>
          <w:rFonts w:hint="eastAsia"/>
        </w:rPr>
        <w:t>规范性引用文件</w:t>
      </w:r>
      <w:bookmarkEnd w:id="30"/>
      <w:bookmarkEnd w:id="31"/>
      <w:bookmarkEnd w:id="32"/>
      <w:bookmarkEnd w:id="33"/>
      <w:bookmarkEnd w:id="34"/>
      <w:bookmarkEnd w:id="35"/>
      <w:bookmarkEnd w:id="36"/>
      <w:bookmarkEnd w:id="37"/>
      <w:bookmarkEnd w:id="38"/>
    </w:p>
    <w:p w14:paraId="37A3F2C6">
      <w:pPr>
        <w:pStyle w:val="56"/>
        <w:rPr>
          <w:rFonts w:hint="eastAsia"/>
          <w:highlight w:val="none"/>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highlight w:val="none"/>
        </w:rPr>
        <w:t>。</w:t>
      </w:r>
    </w:p>
    <w:p w14:paraId="208CE87D">
      <w:pPr>
        <w:pStyle w:val="56"/>
        <w:rPr>
          <w:rFonts w:hint="eastAsia"/>
          <w:highlight w:val="none"/>
        </w:rPr>
      </w:pPr>
      <w:r>
        <w:rPr>
          <w:rFonts w:hint="eastAsia"/>
          <w:highlight w:val="none"/>
        </w:rPr>
        <w:t>GB 14881  食品安全国家标准  食品生产通用卫生规范</w:t>
      </w:r>
    </w:p>
    <w:p w14:paraId="414A2B0B">
      <w:pPr>
        <w:pStyle w:val="56"/>
        <w:rPr>
          <w:rFonts w:hint="eastAsia"/>
          <w:highlight w:val="none"/>
        </w:rPr>
      </w:pPr>
      <w:r>
        <w:rPr>
          <w:rFonts w:hint="eastAsia"/>
          <w:highlight w:val="none"/>
        </w:rPr>
        <w:t>GB/T 12801</w:t>
      </w:r>
      <w:r>
        <w:rPr>
          <w:rFonts w:hint="eastAsia"/>
          <w:highlight w:val="none"/>
          <w:lang w:val="en-US" w:eastAsia="zh-CN"/>
        </w:rPr>
        <w:t xml:space="preserve"> 生产过程安全卫生要求总则</w:t>
      </w:r>
    </w:p>
    <w:p w14:paraId="3AAB8016">
      <w:pPr>
        <w:pStyle w:val="104"/>
        <w:spacing w:before="240" w:after="240"/>
      </w:pPr>
      <w:bookmarkStart w:id="39" w:name="_Toc97192966"/>
      <w:r>
        <w:rPr>
          <w:rFonts w:hint="eastAsia"/>
          <w:szCs w:val="21"/>
        </w:rPr>
        <w:t>术语和定义</w:t>
      </w:r>
      <w:bookmarkEnd w:id="39"/>
    </w:p>
    <w:sdt>
      <w:sdt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78A2F6">
          <w:pPr>
            <w:pStyle w:val="56"/>
            <w:ind w:firstLine="420"/>
            <w:rPr>
              <w:rFonts w:hint="eastAsia"/>
            </w:rPr>
          </w:pPr>
          <w:bookmarkStart w:id="40" w:name="_Toc26986532"/>
          <w:bookmarkEnd w:id="40"/>
          <w:r>
            <w:rPr>
              <w:rFonts w:ascii="宋体" w:hAnsi="Times New Roman" w:eastAsia="宋体" w:cs="Times New Roman"/>
              <w:sz w:val="21"/>
              <w:lang w:val="en-US" w:eastAsia="zh-CN" w:bidi="ar-SA"/>
            </w:rPr>
            <w:t>本文件没有需要界定的术语和定义。</w:t>
          </w:r>
        </w:p>
      </w:sdtContent>
    </w:sdt>
    <w:p w14:paraId="303A3342">
      <w:pPr>
        <w:pStyle w:val="104"/>
        <w:spacing w:before="240" w:after="240"/>
        <w:rPr>
          <w:rFonts w:hint="eastAsia"/>
        </w:rPr>
      </w:pPr>
      <w:r>
        <w:rPr>
          <w:rFonts w:hint="eastAsia"/>
        </w:rPr>
        <w:t>原料采购</w:t>
      </w:r>
    </w:p>
    <w:p w14:paraId="249BD6E7">
      <w:pPr>
        <w:pStyle w:val="162"/>
        <w:rPr>
          <w:rFonts w:hint="eastAsia"/>
        </w:rPr>
      </w:pPr>
      <w:r>
        <w:rPr>
          <w:rFonts w:hint="eastAsia"/>
          <w:lang w:val="en-US" w:eastAsia="zh-CN"/>
        </w:rPr>
        <w:t>甘蔗原料应来自无污染、无农药残留的种植基地，并附有合格证明。</w:t>
      </w:r>
    </w:p>
    <w:p w14:paraId="1D5056E8">
      <w:pPr>
        <w:pStyle w:val="162"/>
        <w:rPr>
          <w:rFonts w:hint="eastAsia"/>
        </w:rPr>
      </w:pPr>
      <w:r>
        <w:rPr>
          <w:rFonts w:hint="eastAsia"/>
          <w:lang w:val="en-US" w:eastAsia="zh-CN"/>
        </w:rPr>
        <w:t>采购过程中应建立原料检验制度，对原料进行感官、理化及微生物指标检测，确保原料质量符合生产要求。</w:t>
      </w:r>
    </w:p>
    <w:p w14:paraId="3007ADF4">
      <w:pPr>
        <w:pStyle w:val="162"/>
        <w:rPr>
          <w:rFonts w:hint="eastAsia"/>
          <w:lang w:val="en-US" w:eastAsia="zh-CN"/>
        </w:rPr>
      </w:pPr>
      <w:r>
        <w:rPr>
          <w:rFonts w:hint="eastAsia"/>
          <w:lang w:val="en-US" w:eastAsia="zh-CN"/>
        </w:rPr>
        <w:t>采购过程中应建立采购记录或其他相关文件溯源制度，记录包括但不限于甘蔗原料类别、数量、产地等内容</w:t>
      </w:r>
    </w:p>
    <w:p w14:paraId="0CB89D14">
      <w:pPr>
        <w:pStyle w:val="104"/>
        <w:spacing w:before="240" w:after="240"/>
        <w:rPr>
          <w:rFonts w:hint="eastAsia"/>
        </w:rPr>
      </w:pPr>
      <w:r>
        <w:rPr>
          <w:rFonts w:hint="eastAsia"/>
        </w:rPr>
        <w:t>生产加工</w:t>
      </w:r>
    </w:p>
    <w:p w14:paraId="58718A1B">
      <w:pPr>
        <w:pStyle w:val="162"/>
        <w:rPr>
          <w:rFonts w:hint="eastAsia" w:ascii="宋体" w:hAnsi="Times New Roman" w:eastAsia="宋体" w:cs="Times New Roman"/>
          <w:sz w:val="21"/>
          <w:lang w:val="en-US" w:eastAsia="zh-CN" w:bidi="ar-SA"/>
        </w:rPr>
      </w:pPr>
      <w:r>
        <w:rPr>
          <w:rFonts w:hint="eastAsia"/>
          <w:lang w:val="en-US" w:eastAsia="zh-CN"/>
        </w:rPr>
        <w:t>生产车间应保持清洁、干燥、通风，并符合食品安全卫生标准。</w:t>
      </w:r>
    </w:p>
    <w:p w14:paraId="1B7D30CC">
      <w:pPr>
        <w:pStyle w:val="162"/>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生产设备应定期维护保养，确保运行正常，</w:t>
      </w:r>
      <w:r>
        <w:rPr>
          <w:rFonts w:hint="eastAsia"/>
          <w:lang w:val="en-US" w:eastAsia="zh-CN"/>
        </w:rPr>
        <w:t>应严格清洗，防止交叉污染</w:t>
      </w:r>
      <w:r>
        <w:rPr>
          <w:rFonts w:hint="eastAsia" w:ascii="宋体" w:hAnsi="Times New Roman" w:eastAsia="宋体" w:cs="Times New Roman"/>
          <w:sz w:val="21"/>
          <w:lang w:val="en-US" w:eastAsia="zh-CN" w:bidi="ar-SA"/>
        </w:rPr>
        <w:t>。</w:t>
      </w:r>
    </w:p>
    <w:p w14:paraId="2E493210">
      <w:pPr>
        <w:pStyle w:val="162"/>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甘蔗多酚的提取、浓缩、干燥等工艺应严格按照操作规程进行，确保产品质量稳定。</w:t>
      </w:r>
    </w:p>
    <w:p w14:paraId="4803F36D">
      <w:pPr>
        <w:pStyle w:val="162"/>
        <w:rPr>
          <w:rFonts w:hint="eastAsia"/>
        </w:rPr>
      </w:pPr>
      <w:r>
        <w:rPr>
          <w:rFonts w:hint="eastAsia" w:ascii="宋体" w:hAnsi="Times New Roman" w:eastAsia="宋体" w:cs="Times New Roman"/>
          <w:sz w:val="21"/>
          <w:lang w:val="en-US" w:eastAsia="zh-CN" w:bidi="ar-SA"/>
        </w:rPr>
        <w:t>生产过程中应建立关键控制点，对关键参数进行监控和记录，确保生产过程的可追溯性。</w:t>
      </w:r>
    </w:p>
    <w:p w14:paraId="5ADFEBFF">
      <w:pPr>
        <w:pStyle w:val="104"/>
        <w:spacing w:before="240" w:after="240"/>
        <w:rPr>
          <w:rFonts w:hint="eastAsia"/>
        </w:rPr>
      </w:pPr>
      <w:r>
        <w:rPr>
          <w:rFonts w:hint="eastAsia"/>
        </w:rPr>
        <w:t>质量控制</w:t>
      </w:r>
    </w:p>
    <w:p w14:paraId="7233B896">
      <w:pPr>
        <w:pStyle w:val="162"/>
        <w:rPr>
          <w:rFonts w:hint="eastAsia"/>
          <w:lang w:val="en-US" w:eastAsia="zh-CN"/>
        </w:rPr>
      </w:pPr>
      <w:r>
        <w:rPr>
          <w:rFonts w:hint="eastAsia"/>
          <w:lang w:val="en-US" w:eastAsia="zh-CN"/>
        </w:rPr>
        <w:t>应建立甘蔗多酚产品的质量检测体系，对产品的感官、理化、微生物等指标进行检测。</w:t>
      </w:r>
    </w:p>
    <w:p w14:paraId="7E47FAC1">
      <w:pPr>
        <w:pStyle w:val="162"/>
        <w:rPr>
          <w:rFonts w:hint="eastAsia"/>
          <w:lang w:val="en-US" w:eastAsia="zh-CN"/>
        </w:rPr>
      </w:pPr>
      <w:r>
        <w:rPr>
          <w:rFonts w:hint="eastAsia"/>
          <w:lang w:val="en-US" w:eastAsia="zh-CN"/>
        </w:rPr>
        <w:t>检测结果应符合相关标准的要求，不合格产品应及时处理，不得出厂销售。</w:t>
      </w:r>
    </w:p>
    <w:p w14:paraId="629C188E">
      <w:pPr>
        <w:pStyle w:val="162"/>
        <w:rPr>
          <w:rFonts w:hint="eastAsia"/>
        </w:rPr>
      </w:pPr>
      <w:r>
        <w:rPr>
          <w:rFonts w:hint="eastAsia"/>
          <w:lang w:val="en-US" w:eastAsia="zh-CN"/>
        </w:rPr>
        <w:t>应定期对生产设备、检测仪器进行校准和维护，确保检测结果的准确性。</w:t>
      </w:r>
    </w:p>
    <w:p w14:paraId="1654C3DF">
      <w:pPr>
        <w:pStyle w:val="104"/>
        <w:spacing w:before="240" w:after="240"/>
        <w:rPr>
          <w:rFonts w:hint="eastAsia"/>
          <w:highlight w:val="none"/>
        </w:rPr>
      </w:pPr>
      <w:r>
        <w:rPr>
          <w:rFonts w:hint="eastAsia"/>
        </w:rPr>
        <w:t>包</w:t>
      </w:r>
      <w:r>
        <w:rPr>
          <w:rFonts w:hint="eastAsia"/>
          <w:highlight w:val="none"/>
        </w:rPr>
        <w:t>装储存</w:t>
      </w:r>
    </w:p>
    <w:p w14:paraId="58BF074B">
      <w:pPr>
        <w:pStyle w:val="162"/>
        <w:rPr>
          <w:rFonts w:hint="eastAsia"/>
          <w:highlight w:val="none"/>
          <w:lang w:val="en-US" w:eastAsia="zh-CN"/>
        </w:rPr>
      </w:pPr>
      <w:r>
        <w:rPr>
          <w:rFonts w:hint="eastAsia"/>
          <w:highlight w:val="none"/>
          <w:lang w:val="en-US" w:eastAsia="zh-CN"/>
        </w:rPr>
        <w:t>甘蔗多酚产品应采用符合食品安全要求的包装材料，包装应密封、防潮、防污染。</w:t>
      </w:r>
    </w:p>
    <w:p w14:paraId="460B9390">
      <w:pPr>
        <w:pStyle w:val="162"/>
        <w:rPr>
          <w:rFonts w:hint="eastAsia"/>
          <w:highlight w:val="none"/>
          <w:lang w:val="en-US" w:eastAsia="zh-CN"/>
        </w:rPr>
      </w:pPr>
      <w:r>
        <w:rPr>
          <w:rFonts w:hint="eastAsia"/>
          <w:highlight w:val="none"/>
          <w:lang w:val="en-US" w:eastAsia="zh-CN"/>
        </w:rPr>
        <w:t>甘蔗多酚产品应储存在干燥、阴凉、通风良好的仓库中，严禁与有毒、有害、有异味的物品混放，避免阳光直射和高温。</w:t>
      </w:r>
    </w:p>
    <w:p w14:paraId="45B28D24">
      <w:pPr>
        <w:pStyle w:val="162"/>
        <w:rPr>
          <w:rFonts w:hint="eastAsia"/>
          <w:highlight w:val="none"/>
        </w:rPr>
      </w:pPr>
      <w:r>
        <w:rPr>
          <w:rFonts w:hint="eastAsia"/>
          <w:highlight w:val="none"/>
          <w:lang w:val="en-US" w:eastAsia="zh-CN"/>
        </w:rPr>
        <w:t>储存过程中应定期检查产品质量，发现异常及时处理。</w:t>
      </w:r>
    </w:p>
    <w:p w14:paraId="16F7BC16">
      <w:pPr>
        <w:pStyle w:val="104"/>
        <w:spacing w:before="240" w:after="240"/>
        <w:rPr>
          <w:rFonts w:hint="eastAsia"/>
          <w:highlight w:val="none"/>
        </w:rPr>
      </w:pPr>
      <w:r>
        <w:rPr>
          <w:rFonts w:hint="eastAsia"/>
          <w:highlight w:val="none"/>
        </w:rPr>
        <w:t>运输</w:t>
      </w:r>
      <w:bookmarkStart w:id="42" w:name="_GoBack"/>
      <w:bookmarkEnd w:id="42"/>
    </w:p>
    <w:p w14:paraId="322C513C">
      <w:pPr>
        <w:pStyle w:val="162"/>
        <w:rPr>
          <w:rFonts w:hint="eastAsia"/>
          <w:highlight w:val="none"/>
          <w:lang w:val="en-US" w:eastAsia="zh-CN"/>
        </w:rPr>
      </w:pPr>
      <w:r>
        <w:rPr>
          <w:rFonts w:hint="eastAsia"/>
          <w:highlight w:val="none"/>
          <w:lang w:val="en-US" w:eastAsia="zh-CN"/>
        </w:rPr>
        <w:t>甘蔗多酚产品的运输应符合食品安全运输要求，避免在运输过程中受到污染。</w:t>
      </w:r>
    </w:p>
    <w:p w14:paraId="1012B2E5">
      <w:pPr>
        <w:pStyle w:val="162"/>
        <w:rPr>
          <w:rFonts w:hint="eastAsia"/>
          <w:highlight w:val="none"/>
          <w:lang w:val="en-US" w:eastAsia="zh-CN"/>
        </w:rPr>
      </w:pPr>
      <w:r>
        <w:rPr>
          <w:rFonts w:hint="eastAsia"/>
          <w:highlight w:val="none"/>
          <w:lang w:val="en-US" w:eastAsia="zh-CN"/>
        </w:rPr>
        <w:t>运输车辆应保持清洁、干燥，并配备必要的保温、防潮、防高温设施。</w:t>
      </w:r>
    </w:p>
    <w:p w14:paraId="388AF763">
      <w:pPr>
        <w:pStyle w:val="162"/>
        <w:rPr>
          <w:rFonts w:hint="eastAsia"/>
          <w:highlight w:val="none"/>
          <w:lang w:val="en-US" w:eastAsia="zh-CN"/>
        </w:rPr>
      </w:pPr>
      <w:r>
        <w:rPr>
          <w:rFonts w:hint="eastAsia"/>
          <w:highlight w:val="none"/>
          <w:lang w:val="en-US" w:eastAsia="zh-CN"/>
        </w:rPr>
        <w:t>运输过程中应定期检查产品质量，确保产品安全到达目的地。</w:t>
      </w:r>
    </w:p>
    <w:bookmarkEnd w:id="19"/>
    <w:p w14:paraId="1B9D9F77">
      <w:pPr>
        <w:pStyle w:val="56"/>
        <w:ind w:firstLine="0" w:firstLineChars="0"/>
        <w:jc w:val="center"/>
        <w:rPr>
          <w:highlight w:val="none"/>
        </w:rPr>
      </w:pPr>
      <w:bookmarkStart w:id="41" w:name="BookMark8"/>
      <w:r>
        <w:rPr>
          <w:highlight w:val="none"/>
        </w:rPr>
        <w:drawing>
          <wp:inline distT="0" distB="0" distL="0" distR="0">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2"/>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190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324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D57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E62C">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D8FC">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298933"/>
    </w:sdtPr>
    <w:sdtContent>
      <w:p w14:paraId="30CAC152">
        <w:pPr>
          <w:pStyle w:val="52"/>
        </w:pPr>
        <w:r>
          <w:fldChar w:fldCharType="begin"/>
        </w:r>
        <w:r>
          <w:instrText xml:space="preserve">PAGE   \* MERGEFORMAT</w:instrText>
        </w:r>
        <w:r>
          <w:fldChar w:fldCharType="separate"/>
        </w:r>
        <w:r>
          <w:rPr>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A280">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E35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5E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61B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492D">
    <w:pPr>
      <w:pStyle w:val="61"/>
    </w:pPr>
    <w:r>
      <w:fldChar w:fldCharType="begin"/>
    </w:r>
    <w:r>
      <w:instrText xml:space="preserve"> STYLEREF  标准文件_文件编号  \* MERGEFORMAT </w:instrText>
    </w:r>
    <w:r>
      <w:fldChar w:fldCharType="separate"/>
    </w:r>
    <w:r>
      <w:t>T/GBC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869C">
    <w:pPr>
      <w:pStyle w:val="62"/>
    </w:pPr>
    <w:r>
      <w:fldChar w:fldCharType="begin"/>
    </w:r>
    <w:r>
      <w:instrText xml:space="preserve"> STYLEREF  标准文件_文件编号 \* MERGEFORMAT </w:instrText>
    </w:r>
    <w:r>
      <w:fldChar w:fldCharType="separate"/>
    </w:r>
    <w:r>
      <w:t>T/GBC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CA3D">
    <w:pPr>
      <w:pStyle w:val="61"/>
    </w:pPr>
    <w:r>
      <w:fldChar w:fldCharType="begin"/>
    </w:r>
    <w:r>
      <w:instrText xml:space="preserve"> STYLEREF  标准文件_文件编号  \* MERGEFORMAT </w:instrText>
    </w:r>
    <w:r>
      <w:fldChar w:fldCharType="separate"/>
    </w:r>
    <w:r>
      <w:t>T/GBC 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4308">
    <w:pPr>
      <w:pStyle w:val="62"/>
    </w:pPr>
    <w:r>
      <w:fldChar w:fldCharType="begin"/>
    </w:r>
    <w:r>
      <w:instrText xml:space="preserve"> STYLEREF  标准文件_文件编号 \* MERGEFORMAT </w:instrText>
    </w:r>
    <w:r>
      <w:fldChar w:fldCharType="separate"/>
    </w:r>
    <w:r>
      <w:t>T/GBC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Exxi0jElBDoz0kqHWCm/sRCjoDQz/B3PcS9unWSppscjfI0lQLb+mUJga9KHgNUjNUraYP2Qpb6i+qsbY5Ve/g==" w:salt="xKzU8hPuQX151GrL70Q3lw=="/>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8A94A11"/>
    <w:rsid w:val="0EB36686"/>
    <w:rsid w:val="14721B05"/>
    <w:rsid w:val="159E4EA3"/>
    <w:rsid w:val="15CD468D"/>
    <w:rsid w:val="16581382"/>
    <w:rsid w:val="17491EB8"/>
    <w:rsid w:val="19170A6D"/>
    <w:rsid w:val="1D5168A1"/>
    <w:rsid w:val="202B45CC"/>
    <w:rsid w:val="27816D7F"/>
    <w:rsid w:val="2B0C6A78"/>
    <w:rsid w:val="2D3528F3"/>
    <w:rsid w:val="32495919"/>
    <w:rsid w:val="3B854432"/>
    <w:rsid w:val="41BA3696"/>
    <w:rsid w:val="41E41EB2"/>
    <w:rsid w:val="440A3726"/>
    <w:rsid w:val="44514098"/>
    <w:rsid w:val="47772EB1"/>
    <w:rsid w:val="49833FDD"/>
    <w:rsid w:val="4B8B7843"/>
    <w:rsid w:val="4C780B29"/>
    <w:rsid w:val="4D716861"/>
    <w:rsid w:val="502F7180"/>
    <w:rsid w:val="51C0169F"/>
    <w:rsid w:val="5D1478D4"/>
    <w:rsid w:val="5E993BCD"/>
    <w:rsid w:val="5EA902B4"/>
    <w:rsid w:val="5FE377F5"/>
    <w:rsid w:val="61F12073"/>
    <w:rsid w:val="630A5099"/>
    <w:rsid w:val="64BB36C1"/>
    <w:rsid w:val="675E2158"/>
    <w:rsid w:val="67D223BA"/>
    <w:rsid w:val="6C4A638E"/>
    <w:rsid w:val="6F0B3A80"/>
    <w:rsid w:val="72871F00"/>
    <w:rsid w:val="782D2B85"/>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126502E19C4DCFBC339FDA1B21001D"/>
        <w:style w:val=""/>
        <w:category>
          <w:name w:val="常规"/>
          <w:gallery w:val="placeholder"/>
        </w:category>
        <w:types>
          <w:type w:val="bbPlcHdr"/>
        </w:types>
        <w:behaviors>
          <w:behavior w:val="content"/>
        </w:behaviors>
        <w:description w:val=""/>
        <w:guid w:val="{796619AB-E26A-461C-8E47-D91F11D63DD6}"/>
      </w:docPartPr>
      <w:docPartBody>
        <w:p w14:paraId="250F9D1D">
          <w:pPr>
            <w:pStyle w:val="5"/>
          </w:pPr>
          <w:r>
            <w:rPr>
              <w:rStyle w:val="4"/>
              <w:rFonts w:hint="eastAsia"/>
            </w:rPr>
            <w:t>单击或点击此处输入文字。</w:t>
          </w:r>
        </w:p>
      </w:docPartBody>
    </w:docPart>
    <w:docPart>
      <w:docPartPr>
        <w:name w:val="8C55A95E9EB14BFB80E68DB274A0702A"/>
        <w:style w:val=""/>
        <w:category>
          <w:name w:val="常规"/>
          <w:gallery w:val="placeholder"/>
        </w:category>
        <w:types>
          <w:type w:val="bbPlcHdr"/>
        </w:types>
        <w:behaviors>
          <w:behavior w:val="content"/>
        </w:behaviors>
        <w:description w:val=""/>
        <w:guid w:val="{0B59DAD4-274F-4529-886C-F0143138B1A1}"/>
      </w:docPartPr>
      <w:docPartBody>
        <w:p w14:paraId="4B23553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6"/>
    <w:rsid w:val="000611EB"/>
    <w:rsid w:val="00134B67"/>
    <w:rsid w:val="00294AAF"/>
    <w:rsid w:val="00313A6C"/>
    <w:rsid w:val="00590221"/>
    <w:rsid w:val="00601A1D"/>
    <w:rsid w:val="006454C6"/>
    <w:rsid w:val="007E63CF"/>
    <w:rsid w:val="0080425F"/>
    <w:rsid w:val="00A56F23"/>
    <w:rsid w:val="00B77DD8"/>
    <w:rsid w:val="00BC38E6"/>
    <w:rsid w:val="00D92696"/>
    <w:rsid w:val="00DC4269"/>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126502E19C4DCFBC339FDA1B210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AAB83FAB754D739CB7EFAAECAC2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55A95E9EB14BFB80E68DB274A070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1052</Words>
  <Characters>1151</Characters>
  <Lines>15</Lines>
  <Paragraphs>4</Paragraphs>
  <TotalTime>0</TotalTime>
  <ScaleCrop>false</ScaleCrop>
  <LinksUpToDate>false</LinksUpToDate>
  <CharactersWithSpaces>1183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2024-08-19T01:11:00Z</dcterms:created>
  <dc:creator>lenovo</dc:creator>
  <dc:description>&lt;config cover="true" show_menu="true" version="1.0.0" doctype="SDKXY"&gt;_x000d_
&lt;/config&gt;</dc:description>
  <cp:lastModifiedBy>hh</cp:lastModifiedBy>
  <cp:lastPrinted>2021-02-02T08:22:00Z</cp:lastPrinted>
  <dcterms:modified xsi:type="dcterms:W3CDTF">2025-04-03T06:43:17Z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