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F47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616D95">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156C73A3">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67.100.40</w:t>
            </w:r>
            <w:r>
              <w:rPr>
                <w:rFonts w:ascii="黑体" w:hAnsi="黑体" w:eastAsia="黑体"/>
                <w:sz w:val="21"/>
                <w:szCs w:val="21"/>
              </w:rPr>
              <w:fldChar w:fldCharType="end"/>
            </w:r>
            <w:bookmarkEnd w:id="0"/>
          </w:p>
        </w:tc>
      </w:tr>
      <w:tr w14:paraId="37C5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0DF3C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AEC52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407177D">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14:paraId="0BCD838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80</w:t>
            </w:r>
            <w:r>
              <w:rPr>
                <w:rFonts w:ascii="黑体" w:hAnsi="黑体" w:eastAsia="黑体"/>
                <w:sz w:val="21"/>
                <w:szCs w:val="21"/>
              </w:rPr>
              <w:fldChar w:fldCharType="end"/>
            </w:r>
            <w:bookmarkEnd w:id="2"/>
          </w:p>
        </w:tc>
      </w:tr>
    </w:tbl>
    <w:p w14:paraId="672F4656">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8C6484B">
      <w:pPr>
        <w:pStyle w:val="196"/>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3F2CBA29">
      <w:pPr>
        <w:pStyle w:val="197"/>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6F6B413C">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0331758">
      <w:pPr>
        <w:pStyle w:val="51"/>
        <w:framePr w:w="9639" w:h="6976" w:hRule="exact" w:hSpace="0" w:vSpace="0" w:wrap="around" w:hAnchor="page" w:y="6408"/>
        <w:jc w:val="center"/>
        <w:rPr>
          <w:rFonts w:ascii="黑体" w:hAnsi="黑体" w:eastAsia="黑体"/>
          <w:b w:val="0"/>
          <w:bCs w:val="0"/>
          <w:w w:val="100"/>
        </w:rPr>
      </w:pPr>
    </w:p>
    <w:p w14:paraId="1BBFE812">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营养果冻</w:t>
      </w:r>
      <w:r>
        <w:fldChar w:fldCharType="end"/>
      </w:r>
      <w:bookmarkEnd w:id="8"/>
    </w:p>
    <w:p w14:paraId="414F38B3">
      <w:pPr>
        <w:framePr w:w="9639" w:h="6974" w:hRule="exact" w:wrap="around" w:vAnchor="page" w:hAnchor="page" w:x="1419" w:y="6408" w:anchorLock="1"/>
        <w:ind w:left="-1418"/>
      </w:pPr>
    </w:p>
    <w:p w14:paraId="407DA154">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Nutritional jelly</w:t>
      </w:r>
      <w:r>
        <w:rPr>
          <w:rFonts w:eastAsia="黑体"/>
          <w:szCs w:val="28"/>
        </w:rPr>
        <w:fldChar w:fldCharType="end"/>
      </w:r>
      <w:bookmarkEnd w:id="9"/>
    </w:p>
    <w:p w14:paraId="08D821A2">
      <w:pPr>
        <w:framePr w:w="9639" w:h="6974" w:hRule="exact" w:wrap="around" w:vAnchor="page" w:hAnchor="page" w:x="1419" w:y="6408" w:anchorLock="1"/>
        <w:spacing w:line="760" w:lineRule="exact"/>
        <w:ind w:left="-1418"/>
      </w:pPr>
    </w:p>
    <w:p w14:paraId="2C8336B0">
      <w:pPr>
        <w:pStyle w:val="126"/>
        <w:framePr w:w="9639" w:h="6974" w:hRule="exact" w:wrap="around" w:vAnchor="page" w:hAnchor="page" w:x="1419" w:y="6408" w:anchorLock="1"/>
        <w:spacing w:before="720" w:beforeLines="300" w:after="72" w:afterLines="30" w:line="240" w:lineRule="auto"/>
        <w:textAlignment w:val="bottom"/>
        <w:rPr>
          <w:b/>
          <w:sz w:val="21"/>
          <w:szCs w:val="28"/>
        </w:rPr>
      </w:pPr>
    </w:p>
    <w:p w14:paraId="2F21129E">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rPr>
          <w:rFonts w:hint="eastAsia"/>
        </w:rPr>
        <w:t>发布</w:t>
      </w:r>
    </w:p>
    <w:p w14:paraId="6681A89F">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5EF9113E">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0B9C61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265399B7">
      <w:pPr>
        <w:pStyle w:val="92"/>
        <w:spacing w:after="360"/>
      </w:pPr>
      <w:bookmarkStart w:id="17" w:name="BookMark1"/>
      <w:bookmarkStart w:id="18" w:name="_Toc178173474"/>
      <w:bookmarkStart w:id="19" w:name="_Toc179448073"/>
      <w:bookmarkStart w:id="20" w:name="_Toc175221116"/>
      <w:bookmarkStart w:id="21" w:name="_Toc163901344"/>
      <w:bookmarkStart w:id="22" w:name="_Toc163835794"/>
      <w:bookmarkStart w:id="23" w:name="_Toc132803940"/>
      <w:bookmarkStart w:id="24" w:name="_Toc138863064"/>
      <w:bookmarkStart w:id="25" w:name="_Toc129272283"/>
      <w:bookmarkStart w:id="26" w:name="_Toc129366049"/>
      <w:bookmarkStart w:id="27" w:name="_Toc132806718"/>
      <w:bookmarkStart w:id="28" w:name="_Toc173422056"/>
      <w:bookmarkStart w:id="29" w:name="_Toc176188018"/>
      <w:bookmarkStart w:id="30" w:name="_Toc163835568"/>
      <w:bookmarkStart w:id="31" w:name="_Toc182302113"/>
      <w:bookmarkStart w:id="32" w:name="_Toc187327082"/>
      <w:bookmarkStart w:id="33" w:name="_Toc132638407"/>
      <w:bookmarkStart w:id="34" w:name="_Toc191650109"/>
      <w:bookmarkStart w:id="35" w:name="_Toc169535783"/>
      <w:bookmarkStart w:id="36" w:name="_Toc165387154"/>
      <w:bookmarkStart w:id="37" w:name="_Toc182300222"/>
      <w:bookmarkStart w:id="38" w:name="_Toc134114409"/>
      <w:bookmarkStart w:id="39" w:name="_Toc173164835"/>
      <w:bookmarkStart w:id="40" w:name="_Toc183097545"/>
      <w:bookmarkStart w:id="41" w:name="_Toc187326982"/>
      <w:r>
        <w:rPr>
          <w:rFonts w:hint="eastAsia"/>
          <w:spacing w:val="320"/>
        </w:rPr>
        <w:t>目</w:t>
      </w:r>
      <w:r>
        <w:rPr>
          <w:rFonts w:hint="eastAsia"/>
        </w:rPr>
        <w:t>次</w:t>
      </w:r>
    </w:p>
    <w:p w14:paraId="28833626">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"_Toc194322704" </w:instrText>
      </w:r>
      <w:r>
        <w:fldChar w:fldCharType="separate"/>
      </w:r>
      <w:r>
        <w:rPr>
          <w:rStyle w:val="33"/>
          <w:rFonts w:hint="eastAsia"/>
        </w:rPr>
        <w:t>前言</w:t>
      </w:r>
      <w:r>
        <w:tab/>
      </w:r>
      <w:r>
        <w:fldChar w:fldCharType="begin"/>
      </w:r>
      <w:r>
        <w:instrText xml:space="preserve"> PAGEREF _Toc194322704 \h </w:instrText>
      </w:r>
      <w:r>
        <w:fldChar w:fldCharType="separate"/>
      </w:r>
      <w:r>
        <w:t>II</w:t>
      </w:r>
      <w:r>
        <w:fldChar w:fldCharType="end"/>
      </w:r>
      <w:r>
        <w:fldChar w:fldCharType="end"/>
      </w:r>
    </w:p>
    <w:p w14:paraId="592FA959">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"_Toc194322705" </w:instrText>
      </w:r>
      <w:r>
        <w:fldChar w:fldCharType="separate"/>
      </w:r>
      <w:r>
        <w:rPr>
          <w:rStyle w:val="33"/>
        </w:rPr>
        <w:t xml:space="preserve">1 </w:t>
      </w:r>
      <w:r>
        <w:rPr>
          <w:rStyle w:val="33"/>
          <w:rFonts w:hint="eastAsia"/>
        </w:rPr>
        <w:t xml:space="preserve"> 范围</w:t>
      </w:r>
      <w:r>
        <w:tab/>
      </w:r>
      <w:r>
        <w:fldChar w:fldCharType="begin"/>
      </w:r>
      <w:r>
        <w:instrText xml:space="preserve"> PAGEREF _Toc194322705 \h </w:instrText>
      </w:r>
      <w:r>
        <w:fldChar w:fldCharType="separate"/>
      </w:r>
      <w:r>
        <w:t>1</w:t>
      </w:r>
      <w:r>
        <w:fldChar w:fldCharType="end"/>
      </w:r>
      <w:r>
        <w:fldChar w:fldCharType="end"/>
      </w:r>
    </w:p>
    <w:p w14:paraId="1C5E8D3A">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"_Toc194322706"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_Toc194322706 \h </w:instrText>
      </w:r>
      <w:r>
        <w:fldChar w:fldCharType="separate"/>
      </w:r>
      <w:r>
        <w:t>1</w:t>
      </w:r>
      <w:r>
        <w:fldChar w:fldCharType="end"/>
      </w:r>
      <w:r>
        <w:fldChar w:fldCharType="end"/>
      </w:r>
    </w:p>
    <w:p w14:paraId="3195E987">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"_Toc194322707"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_Toc194322707 \h </w:instrText>
      </w:r>
      <w:r>
        <w:fldChar w:fldCharType="separate"/>
      </w:r>
      <w:r>
        <w:t>1</w:t>
      </w:r>
      <w:r>
        <w:fldChar w:fldCharType="end"/>
      </w:r>
      <w:r>
        <w:fldChar w:fldCharType="end"/>
      </w:r>
    </w:p>
    <w:p w14:paraId="2A1EDB14">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"_Toc194322708" </w:instrText>
      </w:r>
      <w:r>
        <w:fldChar w:fldCharType="separate"/>
      </w:r>
      <w:r>
        <w:rPr>
          <w:rStyle w:val="33"/>
        </w:rPr>
        <w:t xml:space="preserve">4 </w:t>
      </w:r>
      <w:r>
        <w:rPr>
          <w:rStyle w:val="33"/>
          <w:rFonts w:hint="eastAsia"/>
        </w:rPr>
        <w:t xml:space="preserve"> 要求</w:t>
      </w:r>
      <w:r>
        <w:tab/>
      </w:r>
      <w:r>
        <w:fldChar w:fldCharType="begin"/>
      </w:r>
      <w:r>
        <w:instrText xml:space="preserve"> PAGEREF _Toc194322708 \h </w:instrText>
      </w:r>
      <w:r>
        <w:fldChar w:fldCharType="separate"/>
      </w:r>
      <w:r>
        <w:t>2</w:t>
      </w:r>
      <w:r>
        <w:fldChar w:fldCharType="end"/>
      </w:r>
      <w:r>
        <w:fldChar w:fldCharType="end"/>
      </w:r>
    </w:p>
    <w:p w14:paraId="7A15E154">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"_Toc194322709" </w:instrText>
      </w:r>
      <w:r>
        <w:fldChar w:fldCharType="separate"/>
      </w:r>
      <w:r>
        <w:rPr>
          <w:rStyle w:val="33"/>
        </w:rPr>
        <w:t xml:space="preserve">5 </w:t>
      </w:r>
      <w:r>
        <w:rPr>
          <w:rStyle w:val="33"/>
          <w:rFonts w:hint="eastAsia"/>
        </w:rPr>
        <w:t xml:space="preserve"> 试验方法</w:t>
      </w:r>
      <w:r>
        <w:tab/>
      </w:r>
      <w:r>
        <w:fldChar w:fldCharType="begin"/>
      </w:r>
      <w:r>
        <w:instrText xml:space="preserve"> PAGEREF _Toc194322709 \h </w:instrText>
      </w:r>
      <w:r>
        <w:fldChar w:fldCharType="separate"/>
      </w:r>
      <w:r>
        <w:t>3</w:t>
      </w:r>
      <w:r>
        <w:fldChar w:fldCharType="end"/>
      </w:r>
      <w:r>
        <w:fldChar w:fldCharType="end"/>
      </w:r>
    </w:p>
    <w:p w14:paraId="611A7C23">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"_Toc194322710" </w:instrText>
      </w:r>
      <w:r>
        <w:fldChar w:fldCharType="separate"/>
      </w:r>
      <w:r>
        <w:rPr>
          <w:rStyle w:val="33"/>
        </w:rPr>
        <w:t xml:space="preserve">6 </w:t>
      </w:r>
      <w:r>
        <w:rPr>
          <w:rStyle w:val="33"/>
          <w:rFonts w:hint="eastAsia"/>
        </w:rPr>
        <w:t xml:space="preserve"> 检验规则</w:t>
      </w:r>
      <w:r>
        <w:tab/>
      </w:r>
      <w:r>
        <w:fldChar w:fldCharType="begin"/>
      </w:r>
      <w:r>
        <w:instrText xml:space="preserve"> PAGEREF _Toc194322710 \h </w:instrText>
      </w:r>
      <w:r>
        <w:fldChar w:fldCharType="separate"/>
      </w:r>
      <w:r>
        <w:t>4</w:t>
      </w:r>
      <w:r>
        <w:fldChar w:fldCharType="end"/>
      </w:r>
      <w:r>
        <w:fldChar w:fldCharType="end"/>
      </w:r>
    </w:p>
    <w:p w14:paraId="16B5E2B0">
      <w:pPr>
        <w:pStyle w:val="20"/>
        <w:tabs>
          <w:tab w:val="right" w:leader="dot" w:pos="9344"/>
        </w:tabs>
        <w:rPr>
          <w:rFonts w:asciiTheme="minorHAnsi" w:hAnsiTheme="minorHAnsi" w:eastAsiaTheme="minorEastAsia" w:cstheme="minorBidi"/>
          <w:szCs w:val="22"/>
        </w:rPr>
      </w:pPr>
      <w:r>
        <w:fldChar w:fldCharType="begin"/>
      </w:r>
      <w:r>
        <w:instrText xml:space="preserve"> HYPERLINK \l "_Toc194322711" </w:instrText>
      </w:r>
      <w:r>
        <w:fldChar w:fldCharType="separate"/>
      </w:r>
      <w:r>
        <w:rPr>
          <w:rStyle w:val="33"/>
        </w:rPr>
        <w:t xml:space="preserve">7 </w:t>
      </w:r>
      <w:r>
        <w:rPr>
          <w:rStyle w:val="33"/>
          <w:rFonts w:hint="eastAsia"/>
        </w:rPr>
        <w:t xml:space="preserve"> 标签、标志、包装、运输和贮存</w:t>
      </w:r>
      <w:r>
        <w:tab/>
      </w:r>
      <w:r>
        <w:fldChar w:fldCharType="begin"/>
      </w:r>
      <w:r>
        <w:instrText xml:space="preserve"> PAGEREF _Toc194322711 \h </w:instrText>
      </w:r>
      <w:r>
        <w:fldChar w:fldCharType="separate"/>
      </w:r>
      <w:r>
        <w:t>5</w:t>
      </w:r>
      <w:r>
        <w:fldChar w:fldCharType="end"/>
      </w:r>
      <w:r>
        <w:fldChar w:fldCharType="end"/>
      </w:r>
    </w:p>
    <w:p w14:paraId="5F2C84D6">
      <w:pPr>
        <w:pStyle w:val="92"/>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7"/>
    <w:p w14:paraId="769A56EA">
      <w:pPr>
        <w:pStyle w:val="90"/>
        <w:spacing w:after="360"/>
      </w:pPr>
      <w:bookmarkStart w:id="42" w:name="_Toc194322704"/>
      <w:bookmarkStart w:id="43" w:name="BookMark2"/>
      <w:r>
        <w:rPr>
          <w:spacing w:val="320"/>
        </w:rPr>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5FDFEA7">
      <w:pPr>
        <w:pStyle w:val="57"/>
        <w:spacing w:line="288" w:lineRule="auto"/>
        <w:ind w:firstLine="420"/>
      </w:pPr>
      <w:r>
        <w:rPr>
          <w:rFonts w:hint="eastAsia"/>
        </w:rPr>
        <w:t>本文件按照GB/T 1.1—2020《标准化工作导则  第1部分：标准化文件的结构和起草规则》的规定起草。</w:t>
      </w:r>
    </w:p>
    <w:p w14:paraId="02295CE7">
      <w:pPr>
        <w:pStyle w:val="57"/>
        <w:spacing w:line="288" w:lineRule="auto"/>
        <w:ind w:firstLine="420"/>
      </w:pPr>
      <w:r>
        <w:rPr>
          <w:rFonts w:hint="eastAsia"/>
        </w:rPr>
        <w:t>请注意本文件的某些内容可能涉及专利。本文件的发布机构不承担识别专利的责任。</w:t>
      </w:r>
    </w:p>
    <w:p w14:paraId="78C4E5FF">
      <w:pPr>
        <w:pStyle w:val="57"/>
        <w:spacing w:line="288" w:lineRule="auto"/>
        <w:ind w:firstLine="420"/>
      </w:pPr>
      <w:r>
        <w:rPr>
          <w:rFonts w:hint="eastAsia"/>
        </w:rPr>
        <w:t>本文件由溜溜果园集团股份有限公司提出。</w:t>
      </w:r>
    </w:p>
    <w:p w14:paraId="5CBA2311">
      <w:pPr>
        <w:pStyle w:val="57"/>
        <w:spacing w:line="288" w:lineRule="auto"/>
        <w:ind w:firstLine="420"/>
      </w:pPr>
      <w:r>
        <w:rPr>
          <w:rFonts w:hint="eastAsia"/>
        </w:rPr>
        <w:t>本文件由中国商品学会归口。</w:t>
      </w:r>
    </w:p>
    <w:p w14:paraId="0236F595">
      <w:pPr>
        <w:pStyle w:val="57"/>
        <w:spacing w:line="288" w:lineRule="auto"/>
        <w:ind w:firstLine="420"/>
      </w:pPr>
      <w:r>
        <w:rPr>
          <w:rFonts w:hint="eastAsia"/>
        </w:rPr>
        <w:t>本文件起草单位：溜溜果园集团股份有限公司。</w:t>
      </w:r>
    </w:p>
    <w:p w14:paraId="577DB85F">
      <w:pPr>
        <w:pStyle w:val="57"/>
        <w:spacing w:line="288" w:lineRule="auto"/>
        <w:ind w:firstLine="420"/>
      </w:pPr>
      <w:r>
        <w:rPr>
          <w:rFonts w:hint="eastAsia"/>
        </w:rPr>
        <w:t>本文件主要起草人：XXX。</w:t>
      </w:r>
    </w:p>
    <w:p w14:paraId="7B6648CF">
      <w:pPr>
        <w:pStyle w:val="57"/>
        <w:ind w:firstLine="420"/>
        <w:rPr>
          <w:color w:val="FF0000"/>
        </w:rPr>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43"/>
    <w:p w14:paraId="49D2E483">
      <w:pPr>
        <w:spacing w:line="20" w:lineRule="exact"/>
        <w:jc w:val="center"/>
        <w:rPr>
          <w:rFonts w:ascii="黑体" w:hAnsi="黑体" w:eastAsia="黑体"/>
          <w:sz w:val="32"/>
          <w:szCs w:val="32"/>
        </w:rPr>
      </w:pPr>
      <w:bookmarkStart w:id="44" w:name="BookMark4"/>
    </w:p>
    <w:p w14:paraId="788C759C">
      <w:pPr>
        <w:spacing w:line="20" w:lineRule="exact"/>
        <w:jc w:val="center"/>
        <w:rPr>
          <w:rFonts w:ascii="黑体" w:hAnsi="黑体" w:eastAsia="黑体"/>
          <w:sz w:val="32"/>
          <w:szCs w:val="32"/>
        </w:rPr>
      </w:pPr>
    </w:p>
    <w:sdt>
      <w:sdtPr>
        <w:tag w:val="NEW_STAND_NAME"/>
        <w:id w:val="595910757"/>
        <w:lock w:val="sdtLocked"/>
        <w:placeholder>
          <w:docPart w:val="8039CF8A0489408B91B6CFE33D952123"/>
        </w:placeholder>
      </w:sdtPr>
      <w:sdtContent>
        <w:p w14:paraId="718C7134">
          <w:pPr>
            <w:pStyle w:val="178"/>
            <w:spacing w:before="240" w:beforeLines="100" w:after="528" w:afterLines="220"/>
          </w:pPr>
          <w:bookmarkStart w:id="45" w:name="NEW_STAND_NAME"/>
          <w:r>
            <w:rPr>
              <w:rFonts w:hint="eastAsia"/>
            </w:rPr>
            <w:t>营养果冻</w:t>
          </w:r>
        </w:p>
      </w:sdtContent>
    </w:sdt>
    <w:bookmarkEnd w:id="45"/>
    <w:p w14:paraId="0BA94345">
      <w:pPr>
        <w:pStyle w:val="105"/>
        <w:spacing w:before="240" w:after="240" w:line="288" w:lineRule="auto"/>
      </w:pPr>
      <w:bookmarkStart w:id="46" w:name="_Toc182302114"/>
      <w:bookmarkStart w:id="47" w:name="_Toc129272284"/>
      <w:bookmarkStart w:id="48" w:name="_Toc173164836"/>
      <w:bookmarkStart w:id="49" w:name="_Toc24884211"/>
      <w:bookmarkStart w:id="50" w:name="_Toc176188019"/>
      <w:bookmarkStart w:id="51" w:name="_Toc132803941"/>
      <w:bookmarkStart w:id="52" w:name="_Toc26648465"/>
      <w:bookmarkStart w:id="53" w:name="_Toc173422057"/>
      <w:bookmarkStart w:id="54" w:name="_Toc178173475"/>
      <w:bookmarkStart w:id="55" w:name="_Toc169535784"/>
      <w:bookmarkStart w:id="56" w:name="_Toc138863065"/>
      <w:bookmarkStart w:id="57" w:name="_Toc182300223"/>
      <w:bookmarkStart w:id="58" w:name="_Toc163835795"/>
      <w:bookmarkStart w:id="59" w:name="_Toc187326983"/>
      <w:bookmarkStart w:id="60" w:name="_Toc183097546"/>
      <w:bookmarkStart w:id="61" w:name="_Toc163835569"/>
      <w:bookmarkStart w:id="62" w:name="_Toc17233325"/>
      <w:bookmarkStart w:id="63" w:name="_Toc132806719"/>
      <w:bookmarkStart w:id="64" w:name="_Toc191650110"/>
      <w:bookmarkStart w:id="65" w:name="_Toc134114410"/>
      <w:bookmarkStart w:id="66" w:name="_Toc26986530"/>
      <w:bookmarkStart w:id="67" w:name="_Toc163901345"/>
      <w:bookmarkStart w:id="68" w:name="_Toc175221117"/>
      <w:bookmarkStart w:id="69" w:name="_Toc165387155"/>
      <w:bookmarkStart w:id="70" w:name="_Toc187327083"/>
      <w:bookmarkStart w:id="71" w:name="_Toc26986771"/>
      <w:bookmarkStart w:id="72" w:name="_Toc129366050"/>
      <w:bookmarkStart w:id="73" w:name="_Toc17233333"/>
      <w:bookmarkStart w:id="74" w:name="_Toc26718930"/>
      <w:bookmarkStart w:id="75" w:name="_Toc194322705"/>
      <w:bookmarkStart w:id="76" w:name="_Toc24884218"/>
      <w:bookmarkStart w:id="77" w:name="_Toc179448074"/>
      <w:bookmarkStart w:id="78" w:name="_Toc132638408"/>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A9A8AE6">
      <w:pPr>
        <w:pStyle w:val="57"/>
        <w:spacing w:line="288" w:lineRule="auto"/>
        <w:ind w:firstLine="420"/>
      </w:pPr>
      <w:bookmarkStart w:id="79" w:name="_Toc24884212"/>
      <w:bookmarkStart w:id="80" w:name="_Toc26648466"/>
      <w:bookmarkStart w:id="81" w:name="_Toc17233334"/>
      <w:bookmarkStart w:id="82" w:name="_Toc24884219"/>
      <w:bookmarkStart w:id="83" w:name="_Toc17233326"/>
      <w:r>
        <w:rPr>
          <w:rFonts w:hint="eastAsia"/>
        </w:rPr>
        <w:t>本文件规定了营养果冻的要求、试验方法、检验规则、标签、标志、包装、运输和贮存。</w:t>
      </w:r>
    </w:p>
    <w:p w14:paraId="4FBAC5CE">
      <w:pPr>
        <w:pStyle w:val="57"/>
        <w:spacing w:line="288" w:lineRule="auto"/>
        <w:ind w:firstLine="420"/>
      </w:pPr>
      <w:r>
        <w:rPr>
          <w:rFonts w:hint="eastAsia"/>
        </w:rPr>
        <w:t>本文件适用于营养果冻的生产和检验。</w:t>
      </w:r>
    </w:p>
    <w:p w14:paraId="24C72F97">
      <w:pPr>
        <w:pStyle w:val="105"/>
        <w:spacing w:before="240" w:after="240" w:line="288" w:lineRule="auto"/>
      </w:pPr>
      <w:bookmarkStart w:id="84" w:name="_Toc132803942"/>
      <w:bookmarkStart w:id="85" w:name="_Toc175221118"/>
      <w:bookmarkStart w:id="86" w:name="_Toc163835570"/>
      <w:bookmarkStart w:id="87" w:name="_Toc138863066"/>
      <w:bookmarkStart w:id="88" w:name="_Toc176188020"/>
      <w:bookmarkStart w:id="89" w:name="_Toc179448075"/>
      <w:bookmarkStart w:id="90" w:name="_Toc173422058"/>
      <w:bookmarkStart w:id="91" w:name="_Toc26986531"/>
      <w:bookmarkStart w:id="92" w:name="_Toc182302115"/>
      <w:bookmarkStart w:id="93" w:name="_Toc132806720"/>
      <w:bookmarkStart w:id="94" w:name="_Toc187326984"/>
      <w:bookmarkStart w:id="95" w:name="_Toc129366051"/>
      <w:bookmarkStart w:id="96" w:name="_Toc163835796"/>
      <w:bookmarkStart w:id="97" w:name="_Toc182300224"/>
      <w:bookmarkStart w:id="98" w:name="_Toc187327084"/>
      <w:bookmarkStart w:id="99" w:name="_Toc26718931"/>
      <w:bookmarkStart w:id="100" w:name="_Toc129272285"/>
      <w:bookmarkStart w:id="101" w:name="_Toc165387156"/>
      <w:bookmarkStart w:id="102" w:name="_Toc178173476"/>
      <w:bookmarkStart w:id="103" w:name="_Toc163901346"/>
      <w:bookmarkStart w:id="104" w:name="_Toc169535785"/>
      <w:bookmarkStart w:id="105" w:name="_Toc26986772"/>
      <w:bookmarkStart w:id="106" w:name="_Toc173164837"/>
      <w:bookmarkStart w:id="107" w:name="_Toc132638409"/>
      <w:bookmarkStart w:id="108" w:name="_Toc183097547"/>
      <w:bookmarkStart w:id="109" w:name="_Toc134114411"/>
      <w:bookmarkStart w:id="110" w:name="_Toc191650111"/>
      <w:bookmarkStart w:id="111" w:name="_Toc194322706"/>
      <w:r>
        <w:rPr>
          <w:rFonts w:hint="eastAsia"/>
        </w:rPr>
        <w:t>规范性引用文件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CB57DD4">
          <w:pPr>
            <w:pStyle w:val="57"/>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BC4486">
      <w:pPr>
        <w:pStyle w:val="57"/>
        <w:spacing w:line="288" w:lineRule="auto"/>
        <w:ind w:firstLine="420"/>
      </w:pPr>
      <w:r>
        <w:rPr>
          <w:rFonts w:hint="eastAsia"/>
        </w:rPr>
        <w:t>GB/T 191  包装储运图示标志</w:t>
      </w:r>
    </w:p>
    <w:p w14:paraId="3BF26AB4">
      <w:pPr>
        <w:pStyle w:val="57"/>
        <w:spacing w:line="288" w:lineRule="auto"/>
        <w:ind w:firstLine="420"/>
      </w:pPr>
      <w:r>
        <w:t>GB</w:t>
      </w:r>
      <w:r>
        <w:rPr>
          <w:rFonts w:hint="eastAsia"/>
        </w:rPr>
        <w:t xml:space="preserve"> 2760  食品安全国家标准  食品添加剂使用标准</w:t>
      </w:r>
    </w:p>
    <w:p w14:paraId="32B6D940">
      <w:pPr>
        <w:pStyle w:val="57"/>
        <w:spacing w:line="288" w:lineRule="auto"/>
        <w:ind w:firstLine="420"/>
      </w:pPr>
      <w:r>
        <w:rPr>
          <w:rFonts w:hint="eastAsia"/>
        </w:rPr>
        <w:t>GB 2762  食品安全国家标准  食品中污染物限量</w:t>
      </w:r>
    </w:p>
    <w:p w14:paraId="411CAA3F">
      <w:pPr>
        <w:pStyle w:val="57"/>
        <w:spacing w:line="288" w:lineRule="auto"/>
        <w:ind w:firstLine="420"/>
      </w:pPr>
      <w:r>
        <w:rPr>
          <w:rFonts w:hint="eastAsia"/>
        </w:rPr>
        <w:t>GB 4789.1  食品安全国家标准  食品微生物学检验  总则</w:t>
      </w:r>
    </w:p>
    <w:p w14:paraId="1E480883">
      <w:pPr>
        <w:pStyle w:val="57"/>
        <w:spacing w:line="288" w:lineRule="auto"/>
        <w:ind w:firstLine="420"/>
      </w:pPr>
      <w:r>
        <w:rPr>
          <w:rFonts w:hint="eastAsia"/>
        </w:rPr>
        <w:t>GB 4789.2  食品安全国家标准  食品微生物学检验  菌落总数测定</w:t>
      </w:r>
    </w:p>
    <w:p w14:paraId="26D659B3">
      <w:pPr>
        <w:pStyle w:val="57"/>
        <w:spacing w:line="288" w:lineRule="auto"/>
        <w:ind w:firstLine="420"/>
      </w:pPr>
      <w:r>
        <w:rPr>
          <w:rFonts w:hint="eastAsia"/>
        </w:rPr>
        <w:t>GB 4789.3  食品安全国家标准  食品微生物学检验  大肠菌群计数</w:t>
      </w:r>
    </w:p>
    <w:p w14:paraId="58F12CCA">
      <w:pPr>
        <w:pStyle w:val="57"/>
        <w:spacing w:line="288" w:lineRule="auto"/>
        <w:ind w:firstLine="420"/>
      </w:pPr>
      <w:r>
        <w:rPr>
          <w:rFonts w:hint="eastAsia"/>
        </w:rPr>
        <w:t>GB 4789.15  食品安全国家标准  食品微生物学检验  霉菌和酵母计数</w:t>
      </w:r>
    </w:p>
    <w:p w14:paraId="5C7E9D6D">
      <w:pPr>
        <w:pStyle w:val="57"/>
        <w:spacing w:line="288" w:lineRule="auto"/>
        <w:ind w:firstLine="420"/>
      </w:pPr>
      <w:r>
        <w:rPr>
          <w:rFonts w:hint="eastAsia"/>
        </w:rPr>
        <w:t>GB/T 4789.24  食品安全国家标准  食品微生物学检验  糖果、巧克力和代可可脂巧克力及其制品、可可制品采样和检样处理</w:t>
      </w:r>
    </w:p>
    <w:p w14:paraId="1C487EA2">
      <w:pPr>
        <w:pStyle w:val="57"/>
        <w:spacing w:line="288" w:lineRule="auto"/>
        <w:ind w:firstLine="420"/>
      </w:pPr>
      <w:r>
        <w:rPr>
          <w:rFonts w:hint="eastAsia"/>
        </w:rPr>
        <w:t>GB 5009.5  食品安全国家标准  食品中蛋白质的测定</w:t>
      </w:r>
    </w:p>
    <w:p w14:paraId="4F967343">
      <w:pPr>
        <w:pStyle w:val="57"/>
        <w:spacing w:line="288" w:lineRule="auto"/>
        <w:ind w:firstLine="420"/>
      </w:pPr>
      <w:r>
        <w:rPr>
          <w:rFonts w:hint="eastAsia"/>
        </w:rPr>
        <w:t>GB 5009.14  食品安全国家标准  食品中锌的测定</w:t>
      </w:r>
    </w:p>
    <w:p w14:paraId="649E2277">
      <w:pPr>
        <w:pStyle w:val="57"/>
        <w:spacing w:line="288" w:lineRule="auto"/>
        <w:ind w:firstLine="420"/>
      </w:pPr>
      <w:r>
        <w:rPr>
          <w:rFonts w:hint="eastAsia"/>
        </w:rPr>
        <w:t>GB/T 5009.90  食品中铁、镁、</w:t>
      </w:r>
      <w:r>
        <w:rPr>
          <w:rFonts w:hint="eastAsia"/>
          <w:lang w:eastAsia="zh-CN"/>
        </w:rPr>
        <w:t>锰</w:t>
      </w:r>
      <w:r>
        <w:rPr>
          <w:rFonts w:hint="eastAsia"/>
        </w:rPr>
        <w:t>的测定</w:t>
      </w:r>
    </w:p>
    <w:p w14:paraId="46F196FB">
      <w:pPr>
        <w:pStyle w:val="57"/>
        <w:spacing w:line="288" w:lineRule="auto"/>
        <w:ind w:firstLine="420"/>
      </w:pPr>
      <w:bookmarkStart w:id="112" w:name="OLE_LINK12"/>
      <w:bookmarkStart w:id="113" w:name="OLE_LINK13"/>
      <w:r>
        <w:rPr>
          <w:rFonts w:hint="eastAsia"/>
        </w:rPr>
        <w:t>GB 5009.9</w:t>
      </w:r>
      <w:bookmarkEnd w:id="112"/>
      <w:bookmarkEnd w:id="113"/>
      <w:r>
        <w:rPr>
          <w:rFonts w:hint="eastAsia"/>
        </w:rPr>
        <w:t>2  食品安全国家标准  食品中钙的测定</w:t>
      </w:r>
    </w:p>
    <w:p w14:paraId="00B07D83">
      <w:pPr>
        <w:pStyle w:val="57"/>
        <w:spacing w:line="288" w:lineRule="auto"/>
        <w:ind w:firstLine="420"/>
      </w:pPr>
      <w:r>
        <w:rPr>
          <w:rFonts w:hint="eastAsia"/>
        </w:rPr>
        <w:t>GB 5009.93  食品安全国家标准  食品中硒的测定</w:t>
      </w:r>
    </w:p>
    <w:p w14:paraId="3E376662">
      <w:pPr>
        <w:pStyle w:val="57"/>
        <w:spacing w:line="288" w:lineRule="auto"/>
        <w:ind w:firstLine="420"/>
      </w:pPr>
      <w:r>
        <w:rPr>
          <w:rFonts w:hint="eastAsia"/>
        </w:rPr>
        <w:t>GB 7718  食品安全国家标准  预包装食品标签通则</w:t>
      </w:r>
    </w:p>
    <w:p w14:paraId="4D3C4D45">
      <w:pPr>
        <w:pStyle w:val="57"/>
        <w:spacing w:line="288" w:lineRule="auto"/>
        <w:ind w:firstLine="420"/>
      </w:pPr>
      <w:r>
        <w:rPr>
          <w:rFonts w:hint="eastAsia"/>
        </w:rPr>
        <w:t xml:space="preserve">GB/T 10786—2022  罐头食品的检验方法  </w:t>
      </w:r>
    </w:p>
    <w:p w14:paraId="374256E3">
      <w:pPr>
        <w:pStyle w:val="57"/>
        <w:spacing w:line="288" w:lineRule="auto"/>
        <w:ind w:firstLine="420"/>
      </w:pPr>
      <w:r>
        <w:rPr>
          <w:rFonts w:hint="eastAsia"/>
        </w:rPr>
        <w:t>GB 14880  食品安全国家标准  食品营养强化剂使用标准</w:t>
      </w:r>
    </w:p>
    <w:p w14:paraId="1F366186">
      <w:pPr>
        <w:pStyle w:val="57"/>
        <w:spacing w:line="288" w:lineRule="auto"/>
        <w:ind w:firstLine="420"/>
      </w:pPr>
      <w:r>
        <w:rPr>
          <w:rFonts w:hint="eastAsia"/>
        </w:rPr>
        <w:t>GB 14881  食品安全国家标准  食品生产通用卫生规范</w:t>
      </w:r>
    </w:p>
    <w:p w14:paraId="64DBA5BB">
      <w:pPr>
        <w:pStyle w:val="57"/>
        <w:spacing w:line="288" w:lineRule="auto"/>
        <w:ind w:firstLine="420"/>
      </w:pPr>
      <w:r>
        <w:rPr>
          <w:rFonts w:hint="eastAsia"/>
        </w:rPr>
        <w:t>GB 28050  食品安全国家标准  预包装食品营养标签通则</w:t>
      </w:r>
    </w:p>
    <w:p w14:paraId="4F8CBAF5">
      <w:pPr>
        <w:pStyle w:val="57"/>
        <w:spacing w:line="288" w:lineRule="auto"/>
        <w:ind w:firstLine="420"/>
      </w:pPr>
      <w:r>
        <w:rPr>
          <w:rFonts w:hint="eastAsia"/>
        </w:rPr>
        <w:t>JJF 1070  定量包装商品净含量计量检验规则</w:t>
      </w:r>
    </w:p>
    <w:p w14:paraId="333BC0BA">
      <w:pPr>
        <w:pStyle w:val="105"/>
        <w:spacing w:before="240" w:after="240" w:line="288" w:lineRule="auto"/>
      </w:pPr>
      <w:bookmarkStart w:id="114" w:name="_Toc179448076"/>
      <w:bookmarkStart w:id="115" w:name="_Toc163835797"/>
      <w:bookmarkStart w:id="116" w:name="_Toc194322707"/>
      <w:bookmarkStart w:id="117" w:name="_Toc163835571"/>
      <w:bookmarkStart w:id="118" w:name="_Toc132638410"/>
      <w:bookmarkStart w:id="119" w:name="_Toc165387157"/>
      <w:bookmarkStart w:id="120" w:name="_Toc182300225"/>
      <w:bookmarkStart w:id="121" w:name="_Toc129272286"/>
      <w:bookmarkStart w:id="122" w:name="_Toc132806721"/>
      <w:bookmarkStart w:id="123" w:name="_Toc134114412"/>
      <w:bookmarkStart w:id="124" w:name="_Toc187326985"/>
      <w:bookmarkStart w:id="125" w:name="_Toc182302116"/>
      <w:bookmarkStart w:id="126" w:name="_Toc187327085"/>
      <w:bookmarkStart w:id="127" w:name="_Toc173164838"/>
      <w:bookmarkStart w:id="128" w:name="_Toc129366052"/>
      <w:bookmarkStart w:id="129" w:name="_Toc138863067"/>
      <w:bookmarkStart w:id="130" w:name="_Toc183097548"/>
      <w:bookmarkStart w:id="131" w:name="_Toc132803943"/>
      <w:bookmarkStart w:id="132" w:name="_Toc173422059"/>
      <w:bookmarkStart w:id="133" w:name="_Toc176188021"/>
      <w:bookmarkStart w:id="134" w:name="_Toc178173477"/>
      <w:bookmarkStart w:id="135" w:name="_Toc191650112"/>
      <w:bookmarkStart w:id="136" w:name="_Toc169535786"/>
      <w:bookmarkStart w:id="137" w:name="_Toc175221119"/>
      <w:bookmarkStart w:id="138" w:name="_Toc163901347"/>
      <w:r>
        <w:rPr>
          <w:rFonts w:hint="eastAsia"/>
          <w:szCs w:val="21"/>
        </w:rPr>
        <w:t>术语和定义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E556A89">
          <w:pPr>
            <w:pStyle w:val="57"/>
            <w:spacing w:line="288" w:lineRule="auto"/>
            <w:ind w:firstLine="420"/>
          </w:pPr>
          <w:bookmarkStart w:id="139" w:name="_Toc26986532"/>
          <w:bookmarkEnd w:id="139"/>
          <w:r>
            <w:rPr>
              <w:rFonts w:hint="eastAsia"/>
            </w:rPr>
            <w:t>下列术语和定义适用于本文件。</w:t>
          </w:r>
        </w:p>
      </w:sdtContent>
    </w:sdt>
    <w:p w14:paraId="0EA19E37">
      <w:pPr>
        <w:pStyle w:val="224"/>
        <w:spacing w:line="288" w:lineRule="auto"/>
        <w:ind w:left="420" w:hanging="420" w:hangingChars="200"/>
        <w:rPr>
          <w:rFonts w:ascii="黑体" w:hAnsi="黑体" w:eastAsia="黑体"/>
        </w:rPr>
      </w:pPr>
      <w:bookmarkStart w:id="140" w:name="_Toc183097549"/>
      <w:bookmarkStart w:id="141" w:name="_Toc187326986"/>
      <w:bookmarkStart w:id="142" w:name="_Toc163835798"/>
      <w:bookmarkStart w:id="143" w:name="_Toc129272287"/>
      <w:bookmarkStart w:id="144" w:name="_Toc182302117"/>
      <w:bookmarkStart w:id="145" w:name="_Toc163901349"/>
      <w:bookmarkStart w:id="146" w:name="_Toc138863071"/>
      <w:bookmarkStart w:id="147" w:name="_Toc132806725"/>
      <w:bookmarkStart w:id="148" w:name="_Toc176188022"/>
      <w:bookmarkStart w:id="149" w:name="_Toc163835572"/>
      <w:bookmarkStart w:id="150" w:name="_Toc178173478"/>
      <w:bookmarkStart w:id="151" w:name="_Toc165387159"/>
      <w:bookmarkStart w:id="152" w:name="_Toc175221121"/>
      <w:bookmarkStart w:id="153" w:name="_Toc173164840"/>
      <w:bookmarkStart w:id="154" w:name="_Toc182300226"/>
      <w:bookmarkStart w:id="155" w:name="_Toc179448078"/>
      <w:bookmarkStart w:id="156" w:name="_Toc134114416"/>
      <w:bookmarkStart w:id="157" w:name="_Toc191650113"/>
      <w:bookmarkStart w:id="158" w:name="_Toc169535787"/>
      <w:bookmarkStart w:id="159" w:name="_Toc132638414"/>
      <w:bookmarkStart w:id="160" w:name="_Toc132803947"/>
      <w:bookmarkStart w:id="161" w:name="_Toc187327086"/>
      <w:bookmarkStart w:id="162" w:name="_Toc129366053"/>
      <w:bookmarkStart w:id="163" w:name="_Toc173422060"/>
      <w:r>
        <w:rPr>
          <w:rFonts w:ascii="黑体" w:hAnsi="黑体" w:eastAsia="黑体"/>
        </w:rPr>
        <w:br w:type="textWrapping"/>
      </w:r>
      <w:r>
        <w:rPr>
          <w:rFonts w:hint="eastAsia" w:ascii="黑体" w:hAnsi="黑体" w:eastAsia="黑体"/>
        </w:rPr>
        <w:t>营养果冻  nutritional jelly</w:t>
      </w:r>
    </w:p>
    <w:p w14:paraId="5D2B6A58">
      <w:pPr>
        <w:pStyle w:val="57"/>
        <w:spacing w:line="288" w:lineRule="auto"/>
        <w:ind w:firstLine="420"/>
      </w:pPr>
      <w:r>
        <w:rPr>
          <w:rFonts w:hint="eastAsia"/>
        </w:rPr>
        <w:t>以水、食糖等为主要原料，辅以增稠剂等食品添加剂，添加或不添加果蔬制品、乳及乳制品等原料，添加钙、铁、锌、硒等营养元素，经溶胶、调配、灌装、杀菌、冷却等工序加工而成的胶冻食品。</w:t>
      </w:r>
    </w:p>
    <w:p w14:paraId="703E90A7">
      <w:pPr>
        <w:pStyle w:val="105"/>
        <w:spacing w:before="240" w:after="240" w:line="288" w:lineRule="auto"/>
      </w:pPr>
      <w:bookmarkStart w:id="164" w:name="_Toc194322708"/>
      <w:r>
        <w:rPr>
          <w:rFonts w:hint="eastAsia"/>
        </w:rPr>
        <w:t>要求</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8D58A9B">
      <w:pPr>
        <w:pStyle w:val="106"/>
        <w:spacing w:before="120" w:after="120" w:line="288" w:lineRule="auto"/>
      </w:pPr>
      <w:r>
        <w:rPr>
          <w:rFonts w:hint="eastAsia"/>
        </w:rPr>
        <w:t>原料要求</w:t>
      </w:r>
    </w:p>
    <w:p w14:paraId="30A79322">
      <w:pPr>
        <w:pStyle w:val="57"/>
        <w:spacing w:line="288" w:lineRule="auto"/>
        <w:ind w:firstLine="420"/>
      </w:pPr>
      <w:r>
        <w:rPr>
          <w:rFonts w:hint="eastAsia"/>
        </w:rPr>
        <w:t>原料应符合相应食品标准和有关规定。</w:t>
      </w:r>
    </w:p>
    <w:p w14:paraId="7E91732A">
      <w:pPr>
        <w:pStyle w:val="106"/>
        <w:spacing w:before="120" w:after="120" w:line="288" w:lineRule="auto"/>
      </w:pPr>
      <w:r>
        <w:t>感官要求</w:t>
      </w:r>
    </w:p>
    <w:p w14:paraId="20D7DF18">
      <w:pPr>
        <w:pStyle w:val="57"/>
        <w:spacing w:line="288" w:lineRule="auto"/>
        <w:ind w:firstLine="420"/>
      </w:pPr>
      <w:r>
        <w:rPr>
          <w:rFonts w:hint="eastAsia"/>
        </w:rPr>
        <w:t>应符合表 1 的要求。</w:t>
      </w:r>
    </w:p>
    <w:p w14:paraId="4F542604">
      <w:pPr>
        <w:pStyle w:val="113"/>
        <w:spacing w:before="120" w:after="120" w:line="288" w:lineRule="auto"/>
      </w:pPr>
      <w:r>
        <w:t>感官要求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7"/>
        <w:gridCol w:w="7237"/>
      </w:tblGrid>
      <w:tr w14:paraId="3FC7A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37" w:type="dxa"/>
            <w:tcBorders>
              <w:top w:val="single" w:color="auto" w:sz="8" w:space="0"/>
              <w:bottom w:val="single" w:color="auto" w:sz="8" w:space="0"/>
            </w:tcBorders>
            <w:shd w:val="clear" w:color="auto" w:fill="auto"/>
            <w:vAlign w:val="center"/>
          </w:tcPr>
          <w:p w14:paraId="1DC619F1">
            <w:pPr>
              <w:pStyle w:val="179"/>
              <w:spacing w:line="288" w:lineRule="auto"/>
            </w:pPr>
            <w:r>
              <w:t>项目</w:t>
            </w:r>
          </w:p>
        </w:tc>
        <w:tc>
          <w:tcPr>
            <w:tcW w:w="7237" w:type="dxa"/>
            <w:tcBorders>
              <w:top w:val="single" w:color="auto" w:sz="8" w:space="0"/>
              <w:bottom w:val="single" w:color="auto" w:sz="8" w:space="0"/>
            </w:tcBorders>
            <w:shd w:val="clear" w:color="auto" w:fill="auto"/>
            <w:vAlign w:val="center"/>
          </w:tcPr>
          <w:p w14:paraId="1BEB9DD1">
            <w:pPr>
              <w:pStyle w:val="179"/>
              <w:spacing w:line="288" w:lineRule="auto"/>
            </w:pPr>
            <w:r>
              <w:t>要求</w:t>
            </w:r>
          </w:p>
        </w:tc>
      </w:tr>
      <w:tr w14:paraId="1958E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37" w:type="dxa"/>
            <w:tcBorders>
              <w:top w:val="single" w:color="auto" w:sz="8" w:space="0"/>
              <w:bottom w:val="single" w:color="auto" w:sz="8" w:space="0"/>
            </w:tcBorders>
            <w:shd w:val="clear" w:color="auto" w:fill="auto"/>
            <w:vAlign w:val="center"/>
          </w:tcPr>
          <w:p w14:paraId="53EFD0F8">
            <w:pPr>
              <w:pStyle w:val="179"/>
              <w:spacing w:line="288" w:lineRule="auto"/>
            </w:pPr>
            <w:r>
              <w:t>色泽</w:t>
            </w:r>
          </w:p>
        </w:tc>
        <w:tc>
          <w:tcPr>
            <w:tcW w:w="7237" w:type="dxa"/>
            <w:tcBorders>
              <w:top w:val="single" w:color="auto" w:sz="8" w:space="0"/>
              <w:bottom w:val="single" w:color="auto" w:sz="8" w:space="0"/>
            </w:tcBorders>
            <w:shd w:val="clear" w:color="auto" w:fill="auto"/>
            <w:vAlign w:val="center"/>
          </w:tcPr>
          <w:p w14:paraId="031AC00C">
            <w:pPr>
              <w:pStyle w:val="179"/>
              <w:spacing w:line="288" w:lineRule="auto"/>
            </w:pPr>
            <w:r>
              <w:t>具有该品种应有的色泽，无异常色泽</w:t>
            </w:r>
          </w:p>
        </w:tc>
      </w:tr>
      <w:tr w14:paraId="1D359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shd w:val="clear" w:color="auto" w:fill="auto"/>
            <w:vAlign w:val="center"/>
          </w:tcPr>
          <w:p w14:paraId="209884A2">
            <w:pPr>
              <w:pStyle w:val="179"/>
              <w:spacing w:line="288" w:lineRule="auto"/>
            </w:pPr>
            <w:r>
              <w:t>滋味</w:t>
            </w:r>
            <w:r>
              <w:rPr>
                <w:rFonts w:hint="eastAsia"/>
              </w:rPr>
              <w:t>、</w:t>
            </w:r>
            <w:r>
              <w:t>气味</w:t>
            </w:r>
          </w:p>
        </w:tc>
        <w:tc>
          <w:tcPr>
            <w:tcW w:w="7237" w:type="dxa"/>
            <w:shd w:val="clear" w:color="auto" w:fill="auto"/>
            <w:vAlign w:val="center"/>
          </w:tcPr>
          <w:p w14:paraId="6BE73C26">
            <w:pPr>
              <w:pStyle w:val="179"/>
              <w:spacing w:line="288" w:lineRule="auto"/>
            </w:pPr>
            <w:r>
              <w:rPr>
                <w:rFonts w:hint="eastAsia"/>
              </w:rPr>
              <w:t>具有该品种应有的滋味和气味，无异味</w:t>
            </w:r>
          </w:p>
        </w:tc>
      </w:tr>
      <w:tr w14:paraId="26500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shd w:val="clear" w:color="auto" w:fill="auto"/>
            <w:vAlign w:val="center"/>
          </w:tcPr>
          <w:p w14:paraId="398F6658">
            <w:pPr>
              <w:pStyle w:val="179"/>
              <w:spacing w:line="288" w:lineRule="auto"/>
            </w:pPr>
            <w:r>
              <w:t>组织</w:t>
            </w:r>
            <w:r>
              <w:rPr>
                <w:rFonts w:hint="eastAsia"/>
              </w:rPr>
              <w:t>状态</w:t>
            </w:r>
          </w:p>
        </w:tc>
        <w:tc>
          <w:tcPr>
            <w:tcW w:w="7237" w:type="dxa"/>
            <w:shd w:val="clear" w:color="auto" w:fill="auto"/>
            <w:vAlign w:val="center"/>
          </w:tcPr>
          <w:p w14:paraId="128DE4A6">
            <w:pPr>
              <w:pStyle w:val="179"/>
              <w:spacing w:line="288" w:lineRule="auto"/>
            </w:pPr>
            <w:r>
              <w:rPr>
                <w:rFonts w:hint="eastAsia"/>
              </w:rPr>
              <w:t>具有该品种应有的组织状态，无正常视力可见的外来异物</w:t>
            </w:r>
          </w:p>
        </w:tc>
      </w:tr>
    </w:tbl>
    <w:p w14:paraId="2321F0CD">
      <w:pPr>
        <w:pStyle w:val="57"/>
        <w:spacing w:line="288" w:lineRule="auto"/>
        <w:ind w:firstLine="420"/>
      </w:pPr>
    </w:p>
    <w:p w14:paraId="203EC423">
      <w:pPr>
        <w:pStyle w:val="106"/>
        <w:spacing w:before="120" w:after="120" w:line="288" w:lineRule="auto"/>
      </w:pPr>
      <w:r>
        <w:rPr>
          <w:rFonts w:hint="eastAsia"/>
        </w:rPr>
        <w:t>规格要求</w:t>
      </w:r>
    </w:p>
    <w:p w14:paraId="49F67E5B">
      <w:pPr>
        <w:pStyle w:val="57"/>
        <w:spacing w:line="288" w:lineRule="auto"/>
        <w:ind w:firstLine="420"/>
      </w:pPr>
      <w:r>
        <w:rPr>
          <w:rFonts w:hint="eastAsia"/>
        </w:rPr>
        <w:t>杯形凝胶果冻杯口内径或杯口内侧最大长度应不小于 3.5 cm；其他凝胶果冻净含量应不小于 30 g或内容物长度不小于 6.0 cm。</w:t>
      </w:r>
    </w:p>
    <w:p w14:paraId="359889EF">
      <w:pPr>
        <w:pStyle w:val="106"/>
        <w:spacing w:before="120" w:after="120" w:line="288" w:lineRule="auto"/>
      </w:pPr>
      <w:r>
        <w:t>理化指标</w:t>
      </w:r>
    </w:p>
    <w:p w14:paraId="534E6373">
      <w:pPr>
        <w:pStyle w:val="166"/>
        <w:numPr>
          <w:ilvl w:val="0"/>
          <w:numId w:val="0"/>
        </w:numPr>
        <w:spacing w:line="288" w:lineRule="auto"/>
        <w:ind w:firstLine="420" w:firstLineChars="200"/>
      </w:pPr>
      <w:r>
        <w:rPr>
          <w:rFonts w:hint="eastAsia"/>
        </w:rPr>
        <w:t>应符合表 2 的规定。</w:t>
      </w:r>
    </w:p>
    <w:p w14:paraId="137B5B02">
      <w:pPr>
        <w:pStyle w:val="113"/>
        <w:spacing w:before="120" w:after="120" w:line="288" w:lineRule="auto"/>
      </w:pPr>
      <w:r>
        <w:rPr>
          <w:rFonts w:hint="eastAsia"/>
        </w:rPr>
        <w:t>理化指标</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78"/>
        <w:gridCol w:w="3402"/>
        <w:gridCol w:w="3694"/>
      </w:tblGrid>
      <w:tr w14:paraId="7F787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680" w:type="dxa"/>
            <w:gridSpan w:val="2"/>
            <w:tcBorders>
              <w:top w:val="single" w:color="auto" w:sz="8" w:space="0"/>
              <w:bottom w:val="single" w:color="auto" w:sz="8" w:space="0"/>
            </w:tcBorders>
            <w:shd w:val="clear" w:color="auto" w:fill="auto"/>
            <w:vAlign w:val="center"/>
          </w:tcPr>
          <w:p w14:paraId="28C41300">
            <w:pPr>
              <w:pStyle w:val="179"/>
              <w:spacing w:line="288" w:lineRule="auto"/>
            </w:pPr>
            <w:r>
              <w:rPr>
                <w:rFonts w:hint="eastAsia"/>
              </w:rPr>
              <w:t>项目</w:t>
            </w:r>
          </w:p>
        </w:tc>
        <w:tc>
          <w:tcPr>
            <w:tcW w:w="3694" w:type="dxa"/>
            <w:tcBorders>
              <w:top w:val="single" w:color="auto" w:sz="8" w:space="0"/>
              <w:bottom w:val="single" w:color="auto" w:sz="8" w:space="0"/>
            </w:tcBorders>
            <w:shd w:val="clear" w:color="auto" w:fill="auto"/>
            <w:vAlign w:val="center"/>
          </w:tcPr>
          <w:p w14:paraId="05AD699C">
            <w:pPr>
              <w:pStyle w:val="179"/>
              <w:spacing w:line="288" w:lineRule="auto"/>
            </w:pPr>
            <w:r>
              <w:rPr>
                <w:rFonts w:hint="eastAsia"/>
              </w:rPr>
              <w:t>指标</w:t>
            </w:r>
          </w:p>
        </w:tc>
      </w:tr>
      <w:tr w14:paraId="18886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0" w:type="dxa"/>
            <w:gridSpan w:val="2"/>
            <w:tcBorders>
              <w:top w:val="single" w:color="auto" w:sz="8" w:space="0"/>
            </w:tcBorders>
            <w:shd w:val="clear" w:color="auto" w:fill="auto"/>
            <w:vAlign w:val="center"/>
          </w:tcPr>
          <w:p w14:paraId="2BAFCEAE">
            <w:pPr>
              <w:pStyle w:val="179"/>
              <w:spacing w:line="288" w:lineRule="auto"/>
            </w:pPr>
            <w:r>
              <w:rPr>
                <w:rFonts w:hint="eastAsia"/>
              </w:rPr>
              <w:t>蛋白质</w:t>
            </w:r>
            <w:r>
              <w:rPr>
                <w:rFonts w:hint="eastAsia"/>
                <w:vertAlign w:val="superscript"/>
              </w:rPr>
              <w:t>a</w:t>
            </w:r>
            <w:r>
              <w:rPr>
                <w:rFonts w:hint="eastAsia"/>
              </w:rPr>
              <w:t>/（g/100g）</w:t>
            </w:r>
          </w:p>
        </w:tc>
        <w:tc>
          <w:tcPr>
            <w:tcW w:w="3694" w:type="dxa"/>
            <w:tcBorders>
              <w:top w:val="single" w:color="auto" w:sz="8" w:space="0"/>
            </w:tcBorders>
            <w:shd w:val="clear" w:color="auto" w:fill="auto"/>
            <w:vAlign w:val="center"/>
          </w:tcPr>
          <w:p w14:paraId="56A98FE9">
            <w:pPr>
              <w:pStyle w:val="179"/>
              <w:spacing w:line="288" w:lineRule="auto"/>
            </w:pPr>
            <w:r>
              <w:rPr>
                <w:rFonts w:hint="eastAsia"/>
              </w:rPr>
              <w:t>≥1.5</w:t>
            </w:r>
          </w:p>
        </w:tc>
      </w:tr>
      <w:tr w14:paraId="78C42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80" w:type="dxa"/>
            <w:gridSpan w:val="2"/>
            <w:tcBorders>
              <w:top w:val="single" w:color="auto" w:sz="8" w:space="0"/>
              <w:bottom w:val="single" w:color="auto" w:sz="8" w:space="0"/>
            </w:tcBorders>
            <w:shd w:val="clear" w:color="auto" w:fill="auto"/>
            <w:vAlign w:val="center"/>
          </w:tcPr>
          <w:p w14:paraId="63EBF119">
            <w:pPr>
              <w:pStyle w:val="179"/>
              <w:spacing w:line="288" w:lineRule="auto"/>
            </w:pPr>
            <w:r>
              <w:rPr>
                <w:rFonts w:hint="eastAsia"/>
              </w:rPr>
              <w:t>可溶性固形物（以折光计）</w:t>
            </w:r>
            <w:bookmarkStart w:id="165" w:name="OLE_LINK1"/>
            <w:r>
              <w:rPr>
                <w:rFonts w:hint="eastAsia"/>
              </w:rPr>
              <w:t>/（g/100g）</w:t>
            </w:r>
            <w:bookmarkEnd w:id="165"/>
          </w:p>
        </w:tc>
        <w:tc>
          <w:tcPr>
            <w:tcW w:w="3694" w:type="dxa"/>
            <w:tcBorders>
              <w:top w:val="single" w:color="auto" w:sz="8" w:space="0"/>
              <w:bottom w:val="single" w:color="auto" w:sz="8" w:space="0"/>
            </w:tcBorders>
            <w:shd w:val="clear" w:color="auto" w:fill="auto"/>
            <w:vAlign w:val="center"/>
          </w:tcPr>
          <w:p w14:paraId="06C52FB3">
            <w:pPr>
              <w:pStyle w:val="179"/>
              <w:spacing w:line="288" w:lineRule="auto"/>
            </w:pPr>
            <w:r>
              <w:rPr>
                <w:rFonts w:hint="eastAsia"/>
              </w:rPr>
              <w:t>≥15.0（凝胶</w:t>
            </w:r>
            <w:bookmarkStart w:id="166" w:name="OLE_LINK8"/>
            <w:bookmarkStart w:id="167" w:name="OLE_LINK9"/>
            <w:r>
              <w:rPr>
                <w:rFonts w:hint="eastAsia"/>
              </w:rPr>
              <w:t>型营养</w:t>
            </w:r>
            <w:bookmarkEnd w:id="166"/>
            <w:bookmarkEnd w:id="167"/>
            <w:r>
              <w:rPr>
                <w:rFonts w:hint="eastAsia"/>
              </w:rPr>
              <w:t>果冻）</w:t>
            </w:r>
          </w:p>
          <w:p w14:paraId="19D93D03">
            <w:pPr>
              <w:pStyle w:val="179"/>
              <w:spacing w:line="288" w:lineRule="auto"/>
            </w:pPr>
            <w:r>
              <w:rPr>
                <w:rFonts w:hint="eastAsia"/>
              </w:rPr>
              <w:t>≥10.0（可吸型营养果冻）</w:t>
            </w:r>
          </w:p>
        </w:tc>
      </w:tr>
      <w:tr w14:paraId="319F7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vMerge w:val="restart"/>
            <w:tcBorders>
              <w:top w:val="single" w:color="auto" w:sz="8" w:space="0"/>
            </w:tcBorders>
            <w:shd w:val="clear" w:color="auto" w:fill="auto"/>
            <w:vAlign w:val="center"/>
          </w:tcPr>
          <w:p w14:paraId="54BDBE41">
            <w:pPr>
              <w:pStyle w:val="179"/>
              <w:spacing w:line="288" w:lineRule="auto"/>
            </w:pPr>
            <w:r>
              <w:rPr>
                <w:rFonts w:hint="eastAsia"/>
              </w:rPr>
              <w:t>营养元素</w:t>
            </w:r>
          </w:p>
        </w:tc>
        <w:tc>
          <w:tcPr>
            <w:tcW w:w="3402" w:type="dxa"/>
            <w:tcBorders>
              <w:top w:val="single" w:color="auto" w:sz="8" w:space="0"/>
              <w:bottom w:val="single" w:color="auto" w:sz="8" w:space="0"/>
            </w:tcBorders>
            <w:shd w:val="clear" w:color="auto" w:fill="auto"/>
            <w:vAlign w:val="center"/>
          </w:tcPr>
          <w:p w14:paraId="1D7215EE">
            <w:pPr>
              <w:pStyle w:val="179"/>
              <w:spacing w:line="288" w:lineRule="auto"/>
            </w:pPr>
            <w:r>
              <w:t>钙</w:t>
            </w:r>
            <w:r>
              <w:rPr>
                <w:rFonts w:hint="eastAsia"/>
              </w:rPr>
              <w:t>/（mg/100g）</w:t>
            </w:r>
          </w:p>
        </w:tc>
        <w:tc>
          <w:tcPr>
            <w:tcW w:w="3694" w:type="dxa"/>
            <w:tcBorders>
              <w:top w:val="single" w:color="auto" w:sz="8" w:space="0"/>
              <w:bottom w:val="single" w:color="auto" w:sz="8" w:space="0"/>
            </w:tcBorders>
            <w:shd w:val="clear" w:color="auto" w:fill="auto"/>
            <w:vAlign w:val="center"/>
          </w:tcPr>
          <w:p w14:paraId="1E314AAE">
            <w:pPr>
              <w:pStyle w:val="179"/>
              <w:spacing w:line="288" w:lineRule="auto"/>
            </w:pPr>
            <w:bookmarkStart w:id="168" w:name="OLE_LINK2"/>
            <w:bookmarkStart w:id="169" w:name="OLE_LINK3"/>
            <w:r>
              <w:rPr>
                <w:rFonts w:hAnsi="宋体"/>
              </w:rPr>
              <w:t>≥</w:t>
            </w:r>
            <w:bookmarkEnd w:id="168"/>
            <w:bookmarkEnd w:id="169"/>
            <w:r>
              <w:rPr>
                <w:rFonts w:hint="eastAsia"/>
              </w:rPr>
              <w:t>5.0</w:t>
            </w:r>
          </w:p>
        </w:tc>
      </w:tr>
      <w:tr w14:paraId="31658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vMerge w:val="continue"/>
            <w:shd w:val="clear" w:color="auto" w:fill="auto"/>
            <w:vAlign w:val="center"/>
          </w:tcPr>
          <w:p w14:paraId="18A48436">
            <w:pPr>
              <w:pStyle w:val="179"/>
              <w:spacing w:line="288" w:lineRule="auto"/>
            </w:pPr>
          </w:p>
        </w:tc>
        <w:tc>
          <w:tcPr>
            <w:tcW w:w="3402" w:type="dxa"/>
            <w:tcBorders>
              <w:top w:val="single" w:color="auto" w:sz="8" w:space="0"/>
              <w:bottom w:val="single" w:color="auto" w:sz="8" w:space="0"/>
            </w:tcBorders>
            <w:shd w:val="clear" w:color="auto" w:fill="auto"/>
            <w:vAlign w:val="center"/>
          </w:tcPr>
          <w:p w14:paraId="54A03164">
            <w:pPr>
              <w:pStyle w:val="179"/>
              <w:spacing w:line="288" w:lineRule="auto"/>
            </w:pPr>
            <w:r>
              <w:t>铁</w:t>
            </w:r>
            <w:r>
              <w:rPr>
                <w:rFonts w:hint="eastAsia"/>
              </w:rPr>
              <w:t>/（mg/100g）</w:t>
            </w:r>
          </w:p>
        </w:tc>
        <w:tc>
          <w:tcPr>
            <w:tcW w:w="3694" w:type="dxa"/>
            <w:tcBorders>
              <w:top w:val="single" w:color="auto" w:sz="8" w:space="0"/>
              <w:bottom w:val="single" w:color="auto" w:sz="8" w:space="0"/>
            </w:tcBorders>
            <w:shd w:val="clear" w:color="auto" w:fill="auto"/>
            <w:vAlign w:val="center"/>
          </w:tcPr>
          <w:p w14:paraId="169C5182">
            <w:pPr>
              <w:pStyle w:val="179"/>
              <w:spacing w:line="288" w:lineRule="auto"/>
            </w:pPr>
            <w:bookmarkStart w:id="170" w:name="OLE_LINK4"/>
            <w:bookmarkStart w:id="171" w:name="OLE_LINK5"/>
            <w:r>
              <w:rPr>
                <w:rFonts w:hAnsi="宋体"/>
              </w:rPr>
              <w:t>≥</w:t>
            </w:r>
            <w:bookmarkEnd w:id="170"/>
            <w:bookmarkEnd w:id="171"/>
            <w:r>
              <w:rPr>
                <w:rFonts w:hint="eastAsia" w:hAnsi="宋体"/>
              </w:rPr>
              <w:t>1.0</w:t>
            </w:r>
          </w:p>
        </w:tc>
      </w:tr>
      <w:tr w14:paraId="2A33D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vMerge w:val="continue"/>
            <w:shd w:val="clear" w:color="auto" w:fill="auto"/>
            <w:vAlign w:val="center"/>
          </w:tcPr>
          <w:p w14:paraId="7A5F4660">
            <w:pPr>
              <w:pStyle w:val="179"/>
              <w:spacing w:line="288" w:lineRule="auto"/>
            </w:pPr>
          </w:p>
        </w:tc>
        <w:tc>
          <w:tcPr>
            <w:tcW w:w="3402" w:type="dxa"/>
            <w:tcBorders>
              <w:top w:val="single" w:color="auto" w:sz="8" w:space="0"/>
              <w:bottom w:val="single" w:color="auto" w:sz="8" w:space="0"/>
            </w:tcBorders>
            <w:shd w:val="clear" w:color="auto" w:fill="auto"/>
            <w:vAlign w:val="center"/>
          </w:tcPr>
          <w:p w14:paraId="7E4B6036">
            <w:pPr>
              <w:pStyle w:val="179"/>
              <w:spacing w:line="288" w:lineRule="auto"/>
            </w:pPr>
            <w:r>
              <w:t>锌</w:t>
            </w:r>
            <w:r>
              <w:rPr>
                <w:rFonts w:hint="eastAsia"/>
              </w:rPr>
              <w:t>/（mg/100g）</w:t>
            </w:r>
          </w:p>
        </w:tc>
        <w:tc>
          <w:tcPr>
            <w:tcW w:w="3694" w:type="dxa"/>
            <w:tcBorders>
              <w:top w:val="single" w:color="auto" w:sz="8" w:space="0"/>
              <w:bottom w:val="single" w:color="auto" w:sz="8" w:space="0"/>
            </w:tcBorders>
            <w:shd w:val="clear" w:color="auto" w:fill="auto"/>
            <w:vAlign w:val="center"/>
          </w:tcPr>
          <w:p w14:paraId="22A1EB3B">
            <w:pPr>
              <w:pStyle w:val="179"/>
              <w:spacing w:line="288" w:lineRule="auto"/>
            </w:pPr>
            <w:bookmarkStart w:id="172" w:name="OLE_LINK7"/>
            <w:bookmarkStart w:id="173" w:name="OLE_LINK6"/>
            <w:r>
              <w:rPr>
                <w:rFonts w:hAnsi="宋体"/>
              </w:rPr>
              <w:t>≥</w:t>
            </w:r>
            <w:bookmarkEnd w:id="172"/>
            <w:bookmarkEnd w:id="173"/>
            <w:r>
              <w:rPr>
                <w:rFonts w:hint="eastAsia" w:hAnsi="宋体"/>
              </w:rPr>
              <w:t>0.05</w:t>
            </w:r>
          </w:p>
        </w:tc>
      </w:tr>
      <w:tr w14:paraId="7083E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8" w:type="dxa"/>
            <w:vMerge w:val="continue"/>
            <w:tcBorders>
              <w:bottom w:val="single" w:color="auto" w:sz="8" w:space="0"/>
            </w:tcBorders>
            <w:shd w:val="clear" w:color="auto" w:fill="auto"/>
            <w:vAlign w:val="center"/>
          </w:tcPr>
          <w:p w14:paraId="461A1A8A">
            <w:pPr>
              <w:pStyle w:val="179"/>
              <w:spacing w:line="288" w:lineRule="auto"/>
            </w:pPr>
          </w:p>
        </w:tc>
        <w:tc>
          <w:tcPr>
            <w:tcW w:w="3402" w:type="dxa"/>
            <w:tcBorders>
              <w:top w:val="single" w:color="auto" w:sz="8" w:space="0"/>
              <w:bottom w:val="single" w:color="auto" w:sz="8" w:space="0"/>
            </w:tcBorders>
            <w:shd w:val="clear" w:color="auto" w:fill="auto"/>
            <w:vAlign w:val="center"/>
          </w:tcPr>
          <w:p w14:paraId="07D5696F">
            <w:pPr>
              <w:pStyle w:val="179"/>
              <w:spacing w:line="288" w:lineRule="auto"/>
            </w:pPr>
            <w:r>
              <w:t>硒</w:t>
            </w:r>
            <w:r>
              <w:rPr>
                <w:rFonts w:hint="eastAsia"/>
              </w:rPr>
              <w:t>/（</w:t>
            </w:r>
            <w:r>
              <w:rPr>
                <w:rFonts w:ascii="Times New Roman"/>
              </w:rPr>
              <w:t>μ</w:t>
            </w:r>
            <w:r>
              <w:rPr>
                <w:rFonts w:hint="eastAsia"/>
              </w:rPr>
              <w:t>g/100g）</w:t>
            </w:r>
          </w:p>
        </w:tc>
        <w:tc>
          <w:tcPr>
            <w:tcW w:w="3694" w:type="dxa"/>
            <w:tcBorders>
              <w:top w:val="single" w:color="auto" w:sz="8" w:space="0"/>
              <w:bottom w:val="single" w:color="auto" w:sz="8" w:space="0"/>
            </w:tcBorders>
            <w:shd w:val="clear" w:color="auto" w:fill="auto"/>
            <w:vAlign w:val="center"/>
          </w:tcPr>
          <w:p w14:paraId="05A7C002">
            <w:pPr>
              <w:pStyle w:val="179"/>
              <w:spacing w:line="288" w:lineRule="auto"/>
            </w:pPr>
            <w:r>
              <w:rPr>
                <w:rFonts w:hAnsi="宋体"/>
              </w:rPr>
              <w:t>≥</w:t>
            </w:r>
            <w:r>
              <w:rPr>
                <w:rFonts w:hint="eastAsia" w:hAnsi="宋体"/>
              </w:rPr>
              <w:t>0.10</w:t>
            </w:r>
          </w:p>
        </w:tc>
      </w:tr>
      <w:tr w14:paraId="18786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top w:val="single" w:color="auto" w:sz="8" w:space="0"/>
              <w:bottom w:val="single" w:color="auto" w:sz="8" w:space="0"/>
            </w:tcBorders>
            <w:shd w:val="clear" w:color="auto" w:fill="auto"/>
            <w:vAlign w:val="center"/>
          </w:tcPr>
          <w:p w14:paraId="5443106A">
            <w:pPr>
              <w:pStyle w:val="179"/>
              <w:spacing w:line="288" w:lineRule="auto"/>
              <w:ind w:firstLine="360" w:firstLineChars="200"/>
              <w:jc w:val="left"/>
            </w:pPr>
            <w:r>
              <w:rPr>
                <w:rFonts w:hint="eastAsia"/>
                <w:vertAlign w:val="superscript"/>
              </w:rPr>
              <w:t xml:space="preserve">a </w:t>
            </w:r>
            <w:r>
              <w:rPr>
                <w:rFonts w:hint="eastAsia"/>
              </w:rPr>
              <w:t>适用于含乳型营养果冻。</w:t>
            </w:r>
          </w:p>
        </w:tc>
      </w:tr>
    </w:tbl>
    <w:p w14:paraId="467D9342">
      <w:pPr>
        <w:pStyle w:val="57"/>
        <w:spacing w:line="288" w:lineRule="auto"/>
        <w:ind w:firstLine="420"/>
      </w:pPr>
    </w:p>
    <w:p w14:paraId="57035E1F">
      <w:pPr>
        <w:pStyle w:val="106"/>
        <w:spacing w:before="120" w:after="120" w:line="288" w:lineRule="auto"/>
      </w:pPr>
      <w:r>
        <w:rPr>
          <w:rFonts w:hint="eastAsia"/>
        </w:rPr>
        <w:t>污染物限量</w:t>
      </w:r>
    </w:p>
    <w:p w14:paraId="6DA33742">
      <w:pPr>
        <w:pStyle w:val="57"/>
        <w:spacing w:line="288" w:lineRule="auto"/>
        <w:ind w:firstLine="420"/>
      </w:pPr>
      <w:r>
        <w:rPr>
          <w:rFonts w:hint="eastAsia"/>
        </w:rPr>
        <w:t>应符合 GB 2762 的规定。</w:t>
      </w:r>
    </w:p>
    <w:p w14:paraId="60DE5B8E">
      <w:pPr>
        <w:pStyle w:val="106"/>
        <w:spacing w:before="120" w:after="120" w:line="288" w:lineRule="auto"/>
      </w:pPr>
      <w:r>
        <w:t>微生物限量</w:t>
      </w:r>
    </w:p>
    <w:p w14:paraId="59DC7A66">
      <w:pPr>
        <w:pStyle w:val="57"/>
        <w:spacing w:line="288" w:lineRule="auto"/>
        <w:ind w:firstLine="420"/>
      </w:pPr>
      <w:r>
        <w:rPr>
          <w:rFonts w:hint="eastAsia"/>
        </w:rPr>
        <w:t>应符合表 3 的规定。</w:t>
      </w:r>
    </w:p>
    <w:p w14:paraId="7C3FF287">
      <w:pPr>
        <w:pStyle w:val="113"/>
        <w:spacing w:before="120" w:after="120" w:line="288" w:lineRule="auto"/>
      </w:pPr>
      <w:r>
        <w:t>微生物限量</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62"/>
        <w:gridCol w:w="1703"/>
        <w:gridCol w:w="1703"/>
        <w:gridCol w:w="1703"/>
        <w:gridCol w:w="1703"/>
      </w:tblGrid>
      <w:tr w14:paraId="2446A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62" w:type="dxa"/>
            <w:vMerge w:val="restart"/>
            <w:tcBorders>
              <w:top w:val="single" w:color="auto" w:sz="8" w:space="0"/>
            </w:tcBorders>
            <w:shd w:val="clear" w:color="auto" w:fill="auto"/>
            <w:vAlign w:val="center"/>
          </w:tcPr>
          <w:p w14:paraId="6CABBD34">
            <w:pPr>
              <w:pStyle w:val="179"/>
              <w:spacing w:line="288" w:lineRule="auto"/>
            </w:pPr>
            <w:r>
              <w:rPr>
                <w:rFonts w:hint="eastAsia"/>
              </w:rPr>
              <w:t>项目</w:t>
            </w:r>
          </w:p>
        </w:tc>
        <w:tc>
          <w:tcPr>
            <w:tcW w:w="6812" w:type="dxa"/>
            <w:gridSpan w:val="4"/>
            <w:tcBorders>
              <w:top w:val="single" w:color="auto" w:sz="8" w:space="0"/>
              <w:bottom w:val="single" w:color="auto" w:sz="8" w:space="0"/>
            </w:tcBorders>
            <w:shd w:val="clear" w:color="auto" w:fill="auto"/>
            <w:vAlign w:val="center"/>
          </w:tcPr>
          <w:p w14:paraId="6657C684">
            <w:pPr>
              <w:pStyle w:val="179"/>
              <w:spacing w:line="288" w:lineRule="auto"/>
            </w:pPr>
            <w:r>
              <w:t>采样方案</w:t>
            </w:r>
            <w:r>
              <w:rPr>
                <w:vertAlign w:val="superscript"/>
              </w:rPr>
              <w:t>a</w:t>
            </w:r>
            <w:r>
              <w:t>及限量</w:t>
            </w:r>
          </w:p>
        </w:tc>
      </w:tr>
      <w:tr w14:paraId="65257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62" w:type="dxa"/>
            <w:vMerge w:val="continue"/>
            <w:tcBorders>
              <w:bottom w:val="single" w:color="auto" w:sz="8" w:space="0"/>
            </w:tcBorders>
            <w:shd w:val="clear" w:color="auto" w:fill="auto"/>
            <w:vAlign w:val="center"/>
          </w:tcPr>
          <w:p w14:paraId="1AA8BB00">
            <w:pPr>
              <w:pStyle w:val="179"/>
              <w:spacing w:line="288" w:lineRule="auto"/>
            </w:pPr>
          </w:p>
        </w:tc>
        <w:tc>
          <w:tcPr>
            <w:tcW w:w="1703" w:type="dxa"/>
            <w:tcBorders>
              <w:top w:val="single" w:color="auto" w:sz="8" w:space="0"/>
              <w:bottom w:val="single" w:color="auto" w:sz="8" w:space="0"/>
            </w:tcBorders>
            <w:shd w:val="clear" w:color="auto" w:fill="auto"/>
            <w:vAlign w:val="center"/>
          </w:tcPr>
          <w:p w14:paraId="4C57BC2F">
            <w:pPr>
              <w:pStyle w:val="179"/>
              <w:spacing w:line="288" w:lineRule="auto"/>
            </w:pPr>
            <w:r>
              <w:t>n</w:t>
            </w:r>
          </w:p>
        </w:tc>
        <w:tc>
          <w:tcPr>
            <w:tcW w:w="1703" w:type="dxa"/>
            <w:tcBorders>
              <w:top w:val="single" w:color="auto" w:sz="8" w:space="0"/>
              <w:bottom w:val="single" w:color="auto" w:sz="8" w:space="0"/>
            </w:tcBorders>
            <w:shd w:val="clear" w:color="auto" w:fill="auto"/>
            <w:vAlign w:val="center"/>
          </w:tcPr>
          <w:p w14:paraId="732325DD">
            <w:pPr>
              <w:pStyle w:val="179"/>
              <w:spacing w:line="288" w:lineRule="auto"/>
            </w:pPr>
            <w:r>
              <w:t>c</w:t>
            </w:r>
          </w:p>
        </w:tc>
        <w:tc>
          <w:tcPr>
            <w:tcW w:w="1703" w:type="dxa"/>
            <w:tcBorders>
              <w:top w:val="single" w:color="auto" w:sz="8" w:space="0"/>
              <w:bottom w:val="single" w:color="auto" w:sz="8" w:space="0"/>
            </w:tcBorders>
            <w:shd w:val="clear" w:color="auto" w:fill="auto"/>
            <w:vAlign w:val="center"/>
          </w:tcPr>
          <w:p w14:paraId="5E1EBCD3">
            <w:pPr>
              <w:pStyle w:val="179"/>
              <w:spacing w:line="288" w:lineRule="auto"/>
            </w:pPr>
            <w:r>
              <w:t>m</w:t>
            </w:r>
          </w:p>
        </w:tc>
        <w:tc>
          <w:tcPr>
            <w:tcW w:w="1703" w:type="dxa"/>
            <w:tcBorders>
              <w:top w:val="single" w:color="auto" w:sz="8" w:space="0"/>
              <w:bottom w:val="single" w:color="auto" w:sz="8" w:space="0"/>
            </w:tcBorders>
            <w:shd w:val="clear" w:color="auto" w:fill="auto"/>
            <w:vAlign w:val="center"/>
          </w:tcPr>
          <w:p w14:paraId="5B637532">
            <w:pPr>
              <w:pStyle w:val="179"/>
              <w:spacing w:line="288" w:lineRule="auto"/>
            </w:pPr>
            <w:r>
              <w:t>M</w:t>
            </w:r>
          </w:p>
        </w:tc>
      </w:tr>
      <w:tr w14:paraId="58525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tcBorders>
              <w:top w:val="single" w:color="auto" w:sz="8" w:space="0"/>
            </w:tcBorders>
            <w:shd w:val="clear" w:color="auto" w:fill="auto"/>
            <w:vAlign w:val="center"/>
          </w:tcPr>
          <w:p w14:paraId="6C15220B">
            <w:pPr>
              <w:pStyle w:val="179"/>
              <w:spacing w:line="288" w:lineRule="auto"/>
            </w:pPr>
            <w:r>
              <w:t>菌落总数</w:t>
            </w:r>
            <w:r>
              <w:rPr>
                <w:rFonts w:hint="eastAsia"/>
              </w:rPr>
              <w:t>/（CFU/g）</w:t>
            </w:r>
          </w:p>
        </w:tc>
        <w:tc>
          <w:tcPr>
            <w:tcW w:w="1703" w:type="dxa"/>
            <w:tcBorders>
              <w:top w:val="single" w:color="auto" w:sz="8" w:space="0"/>
            </w:tcBorders>
            <w:shd w:val="clear" w:color="auto" w:fill="auto"/>
            <w:vAlign w:val="center"/>
          </w:tcPr>
          <w:p w14:paraId="44C50E0A">
            <w:pPr>
              <w:pStyle w:val="179"/>
              <w:spacing w:line="288" w:lineRule="auto"/>
            </w:pPr>
            <w:r>
              <w:rPr>
                <w:rFonts w:hint="eastAsia"/>
              </w:rPr>
              <w:t>5</w:t>
            </w:r>
          </w:p>
        </w:tc>
        <w:tc>
          <w:tcPr>
            <w:tcW w:w="1703" w:type="dxa"/>
            <w:tcBorders>
              <w:top w:val="single" w:color="auto" w:sz="8" w:space="0"/>
            </w:tcBorders>
            <w:shd w:val="clear" w:color="auto" w:fill="auto"/>
            <w:vAlign w:val="center"/>
          </w:tcPr>
          <w:p w14:paraId="1C8FC778">
            <w:pPr>
              <w:pStyle w:val="179"/>
              <w:spacing w:line="288" w:lineRule="auto"/>
            </w:pPr>
            <w:r>
              <w:rPr>
                <w:rFonts w:hint="eastAsia"/>
              </w:rPr>
              <w:t>2</w:t>
            </w:r>
          </w:p>
        </w:tc>
        <w:tc>
          <w:tcPr>
            <w:tcW w:w="1703" w:type="dxa"/>
            <w:tcBorders>
              <w:top w:val="single" w:color="auto" w:sz="8" w:space="0"/>
            </w:tcBorders>
            <w:shd w:val="clear" w:color="auto" w:fill="auto"/>
            <w:vAlign w:val="center"/>
          </w:tcPr>
          <w:p w14:paraId="370FD12B">
            <w:pPr>
              <w:pStyle w:val="179"/>
              <w:spacing w:line="288" w:lineRule="auto"/>
            </w:pPr>
            <w:r>
              <w:rPr>
                <w:rFonts w:hint="eastAsia"/>
              </w:rPr>
              <w:t>10</w:t>
            </w:r>
            <w:r>
              <w:rPr>
                <w:rFonts w:hint="eastAsia"/>
                <w:vertAlign w:val="superscript"/>
              </w:rPr>
              <w:t>2</w:t>
            </w:r>
            <w:r>
              <w:rPr>
                <w:rFonts w:hint="eastAsia"/>
              </w:rPr>
              <w:t>（10</w:t>
            </w:r>
            <w:r>
              <w:rPr>
                <w:rFonts w:hint="eastAsia"/>
                <w:vertAlign w:val="superscript"/>
              </w:rPr>
              <w:t>3</w:t>
            </w:r>
            <w:r>
              <w:rPr>
                <w:rFonts w:hint="eastAsia"/>
              </w:rPr>
              <w:t>）</w:t>
            </w:r>
          </w:p>
        </w:tc>
        <w:tc>
          <w:tcPr>
            <w:tcW w:w="1703" w:type="dxa"/>
            <w:tcBorders>
              <w:top w:val="single" w:color="auto" w:sz="8" w:space="0"/>
            </w:tcBorders>
            <w:shd w:val="clear" w:color="auto" w:fill="auto"/>
            <w:vAlign w:val="center"/>
          </w:tcPr>
          <w:p w14:paraId="01F72C53">
            <w:pPr>
              <w:pStyle w:val="179"/>
              <w:spacing w:line="288" w:lineRule="auto"/>
            </w:pPr>
            <w:r>
              <w:rPr>
                <w:rFonts w:hint="eastAsia"/>
              </w:rPr>
              <w:t>10</w:t>
            </w:r>
            <w:r>
              <w:rPr>
                <w:rFonts w:hint="eastAsia"/>
                <w:vertAlign w:val="superscript"/>
              </w:rPr>
              <w:t>3</w:t>
            </w:r>
            <w:r>
              <w:rPr>
                <w:rFonts w:hint="eastAsia"/>
              </w:rPr>
              <w:t>（10</w:t>
            </w:r>
            <w:r>
              <w:rPr>
                <w:rFonts w:hint="eastAsia"/>
                <w:vertAlign w:val="superscript"/>
              </w:rPr>
              <w:t>4</w:t>
            </w:r>
            <w:r>
              <w:rPr>
                <w:rFonts w:hint="eastAsia"/>
              </w:rPr>
              <w:t>）</w:t>
            </w:r>
          </w:p>
        </w:tc>
      </w:tr>
      <w:tr w14:paraId="7325D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5118C811">
            <w:pPr>
              <w:pStyle w:val="179"/>
              <w:spacing w:line="288" w:lineRule="auto"/>
            </w:pPr>
            <w:r>
              <w:rPr>
                <w:rFonts w:hint="eastAsia"/>
              </w:rPr>
              <w:t>大肠菌群/（CFU/g）</w:t>
            </w:r>
          </w:p>
        </w:tc>
        <w:tc>
          <w:tcPr>
            <w:tcW w:w="1703" w:type="dxa"/>
            <w:shd w:val="clear" w:color="auto" w:fill="auto"/>
            <w:vAlign w:val="center"/>
          </w:tcPr>
          <w:p w14:paraId="74B37B78">
            <w:pPr>
              <w:pStyle w:val="179"/>
              <w:spacing w:line="288" w:lineRule="auto"/>
            </w:pPr>
            <w:r>
              <w:rPr>
                <w:rFonts w:hint="eastAsia"/>
              </w:rPr>
              <w:t>5</w:t>
            </w:r>
          </w:p>
        </w:tc>
        <w:tc>
          <w:tcPr>
            <w:tcW w:w="1703" w:type="dxa"/>
            <w:shd w:val="clear" w:color="auto" w:fill="auto"/>
            <w:vAlign w:val="center"/>
          </w:tcPr>
          <w:p w14:paraId="0CE68BA3">
            <w:pPr>
              <w:pStyle w:val="179"/>
              <w:spacing w:line="288" w:lineRule="auto"/>
            </w:pPr>
            <w:r>
              <w:rPr>
                <w:rFonts w:hint="eastAsia"/>
              </w:rPr>
              <w:t>2</w:t>
            </w:r>
          </w:p>
        </w:tc>
        <w:tc>
          <w:tcPr>
            <w:tcW w:w="1703" w:type="dxa"/>
            <w:shd w:val="clear" w:color="auto" w:fill="auto"/>
            <w:vAlign w:val="center"/>
          </w:tcPr>
          <w:p w14:paraId="7A58D7D3">
            <w:pPr>
              <w:pStyle w:val="179"/>
              <w:spacing w:line="288" w:lineRule="auto"/>
            </w:pPr>
            <w:r>
              <w:rPr>
                <w:rFonts w:hint="eastAsia"/>
              </w:rPr>
              <w:t>10</w:t>
            </w:r>
          </w:p>
        </w:tc>
        <w:tc>
          <w:tcPr>
            <w:tcW w:w="1703" w:type="dxa"/>
            <w:shd w:val="clear" w:color="auto" w:fill="auto"/>
            <w:vAlign w:val="center"/>
          </w:tcPr>
          <w:p w14:paraId="38EAFA64">
            <w:pPr>
              <w:pStyle w:val="179"/>
              <w:spacing w:line="288" w:lineRule="auto"/>
            </w:pPr>
            <w:r>
              <w:rPr>
                <w:rFonts w:hint="eastAsia"/>
              </w:rPr>
              <w:t>10</w:t>
            </w:r>
            <w:r>
              <w:rPr>
                <w:rFonts w:hint="eastAsia"/>
                <w:vertAlign w:val="superscript"/>
              </w:rPr>
              <w:t>2</w:t>
            </w:r>
          </w:p>
        </w:tc>
      </w:tr>
      <w:tr w14:paraId="45FAB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2B4F8056">
            <w:pPr>
              <w:pStyle w:val="179"/>
              <w:spacing w:line="288" w:lineRule="auto"/>
            </w:pPr>
            <w:r>
              <w:t>霉菌</w:t>
            </w:r>
            <w:r>
              <w:rPr>
                <w:rFonts w:hint="eastAsia"/>
              </w:rPr>
              <w:t>/（CFU/g）</w:t>
            </w:r>
          </w:p>
        </w:tc>
        <w:tc>
          <w:tcPr>
            <w:tcW w:w="6812" w:type="dxa"/>
            <w:gridSpan w:val="4"/>
            <w:shd w:val="clear" w:color="auto" w:fill="auto"/>
            <w:vAlign w:val="center"/>
          </w:tcPr>
          <w:p w14:paraId="523538B1">
            <w:pPr>
              <w:pStyle w:val="179"/>
              <w:spacing w:line="288" w:lineRule="auto"/>
            </w:pPr>
            <w:r>
              <w:rPr>
                <w:rFonts w:hAnsi="宋体"/>
              </w:rPr>
              <w:t>≤</w:t>
            </w:r>
            <w:r>
              <w:rPr>
                <w:rFonts w:hint="eastAsia"/>
              </w:rPr>
              <w:t>20</w:t>
            </w:r>
          </w:p>
        </w:tc>
      </w:tr>
      <w:tr w14:paraId="6A1FA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62" w:type="dxa"/>
            <w:shd w:val="clear" w:color="auto" w:fill="auto"/>
            <w:vAlign w:val="center"/>
          </w:tcPr>
          <w:p w14:paraId="7D8B641B">
            <w:pPr>
              <w:pStyle w:val="179"/>
              <w:spacing w:line="288" w:lineRule="auto"/>
            </w:pPr>
            <w:r>
              <w:t>酵母</w:t>
            </w:r>
            <w:r>
              <w:rPr>
                <w:rFonts w:hint="eastAsia"/>
              </w:rPr>
              <w:t>/（CFU/g）</w:t>
            </w:r>
          </w:p>
        </w:tc>
        <w:tc>
          <w:tcPr>
            <w:tcW w:w="6812" w:type="dxa"/>
            <w:gridSpan w:val="4"/>
            <w:shd w:val="clear" w:color="auto" w:fill="auto"/>
            <w:vAlign w:val="center"/>
          </w:tcPr>
          <w:p w14:paraId="79ECEAB1">
            <w:pPr>
              <w:pStyle w:val="179"/>
              <w:spacing w:line="288" w:lineRule="auto"/>
            </w:pPr>
            <w:r>
              <w:rPr>
                <w:rFonts w:hAnsi="宋体"/>
              </w:rPr>
              <w:t>≤</w:t>
            </w:r>
            <w:r>
              <w:rPr>
                <w:rFonts w:hint="eastAsia"/>
              </w:rPr>
              <w:t>20</w:t>
            </w:r>
          </w:p>
        </w:tc>
      </w:tr>
      <w:tr w14:paraId="36E78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shd w:val="clear" w:color="auto" w:fill="auto"/>
            <w:vAlign w:val="center"/>
          </w:tcPr>
          <w:p w14:paraId="4072997F">
            <w:pPr>
              <w:pStyle w:val="180"/>
              <w:spacing w:line="288" w:lineRule="auto"/>
            </w:pPr>
            <w:r>
              <w:t>括号中的数值仅适用于含乳型营养果冻。</w:t>
            </w:r>
          </w:p>
        </w:tc>
      </w:tr>
      <w:tr w14:paraId="2B878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shd w:val="clear" w:color="auto" w:fill="auto"/>
            <w:vAlign w:val="center"/>
          </w:tcPr>
          <w:p w14:paraId="060D8CD6">
            <w:pPr>
              <w:pStyle w:val="180"/>
              <w:numPr>
                <w:ilvl w:val="0"/>
                <w:numId w:val="0"/>
              </w:numPr>
              <w:spacing w:line="288" w:lineRule="auto"/>
              <w:ind w:left="737" w:hanging="374"/>
            </w:pPr>
            <w:r>
              <w:rPr>
                <w:rFonts w:hint="eastAsia"/>
                <w:vertAlign w:val="superscript"/>
              </w:rPr>
              <w:t>a</w:t>
            </w:r>
            <w:r>
              <w:rPr>
                <w:rFonts w:hint="eastAsia"/>
              </w:rPr>
              <w:t xml:space="preserve"> 样品的分析及处理按 GB 4789.1 和 GB/T 4789.24 执行。</w:t>
            </w:r>
          </w:p>
        </w:tc>
      </w:tr>
    </w:tbl>
    <w:p w14:paraId="55A61B1F">
      <w:pPr>
        <w:pStyle w:val="57"/>
        <w:spacing w:line="288" w:lineRule="auto"/>
        <w:ind w:firstLine="420"/>
      </w:pPr>
    </w:p>
    <w:p w14:paraId="49949AFE">
      <w:pPr>
        <w:pStyle w:val="106"/>
        <w:spacing w:before="120" w:after="120" w:line="288" w:lineRule="auto"/>
      </w:pPr>
      <w:r>
        <w:t>食品添加剂和营养强化剂</w:t>
      </w:r>
    </w:p>
    <w:p w14:paraId="183A24D1">
      <w:pPr>
        <w:pStyle w:val="166"/>
        <w:spacing w:line="288" w:lineRule="auto"/>
      </w:pPr>
      <w:r>
        <w:rPr>
          <w:rFonts w:hint="eastAsia"/>
        </w:rPr>
        <w:t>食品添加剂的使用应符合 GB 2760 的规定。</w:t>
      </w:r>
    </w:p>
    <w:p w14:paraId="6DA97462">
      <w:pPr>
        <w:pStyle w:val="166"/>
        <w:spacing w:line="288" w:lineRule="auto"/>
      </w:pPr>
      <w:r>
        <w:rPr>
          <w:rFonts w:hint="eastAsia"/>
        </w:rPr>
        <w:t>营养强化剂的使用应符合 GB 14880 的规定。</w:t>
      </w:r>
    </w:p>
    <w:p w14:paraId="59D3F391">
      <w:pPr>
        <w:pStyle w:val="166"/>
        <w:spacing w:line="288" w:lineRule="auto"/>
      </w:pPr>
      <w:r>
        <w:rPr>
          <w:rFonts w:hint="eastAsia"/>
        </w:rPr>
        <w:t>食品添加剂和营养强化剂的质量规格应符合相应的标准和/或有关规定。</w:t>
      </w:r>
    </w:p>
    <w:p w14:paraId="2BDE69A3">
      <w:pPr>
        <w:pStyle w:val="106"/>
        <w:spacing w:before="120" w:after="120" w:line="288" w:lineRule="auto"/>
      </w:pPr>
      <w:r>
        <w:t>净含量偏差</w:t>
      </w:r>
    </w:p>
    <w:p w14:paraId="7AB83D38">
      <w:pPr>
        <w:pStyle w:val="57"/>
        <w:spacing w:line="288" w:lineRule="auto"/>
        <w:ind w:firstLine="420"/>
      </w:pPr>
      <w:r>
        <w:rPr>
          <w:rFonts w:hint="eastAsia"/>
        </w:rPr>
        <w:t>应符合 JJF 1070 的规定。采用称量销售的产品除外。</w:t>
      </w:r>
    </w:p>
    <w:p w14:paraId="1ABB4BCC">
      <w:pPr>
        <w:pStyle w:val="106"/>
        <w:spacing w:before="120" w:after="120" w:line="288" w:lineRule="auto"/>
      </w:pPr>
      <w:r>
        <w:t>生产加工过程的卫生要求</w:t>
      </w:r>
    </w:p>
    <w:p w14:paraId="285E390B">
      <w:pPr>
        <w:pStyle w:val="57"/>
        <w:spacing w:line="288" w:lineRule="auto"/>
        <w:ind w:firstLine="420"/>
      </w:pPr>
      <w:r>
        <w:rPr>
          <w:rFonts w:hint="eastAsia"/>
        </w:rPr>
        <w:t>应符合 GB 14881 的规定。</w:t>
      </w:r>
    </w:p>
    <w:p w14:paraId="58433675">
      <w:pPr>
        <w:pStyle w:val="105"/>
        <w:spacing w:before="240" w:after="240" w:line="288" w:lineRule="auto"/>
      </w:pPr>
      <w:bookmarkStart w:id="174" w:name="_Toc173164841"/>
      <w:bookmarkStart w:id="175" w:name="_Toc178173479"/>
      <w:bookmarkStart w:id="176" w:name="_Toc187326987"/>
      <w:bookmarkStart w:id="177" w:name="_Toc163835573"/>
      <w:bookmarkStart w:id="178" w:name="_Toc132806726"/>
      <w:bookmarkStart w:id="179" w:name="_Toc129366054"/>
      <w:bookmarkStart w:id="180" w:name="_Toc191650114"/>
      <w:bookmarkStart w:id="181" w:name="_Toc187327087"/>
      <w:bookmarkStart w:id="182" w:name="_Toc176188023"/>
      <w:bookmarkStart w:id="183" w:name="_Toc163901350"/>
      <w:bookmarkStart w:id="184" w:name="_Toc173422061"/>
      <w:bookmarkStart w:id="185" w:name="_Toc169535788"/>
      <w:bookmarkStart w:id="186" w:name="_Toc179448079"/>
      <w:bookmarkStart w:id="187" w:name="_Toc132638415"/>
      <w:bookmarkStart w:id="188" w:name="_Toc165387160"/>
      <w:bookmarkStart w:id="189" w:name="_Toc183097550"/>
      <w:bookmarkStart w:id="190" w:name="_Toc129272288"/>
      <w:bookmarkStart w:id="191" w:name="_Toc194322709"/>
      <w:bookmarkStart w:id="192" w:name="_Toc175221122"/>
      <w:bookmarkStart w:id="193" w:name="_Toc163835799"/>
      <w:bookmarkStart w:id="194" w:name="_Toc132803948"/>
      <w:bookmarkStart w:id="195" w:name="_Toc182302118"/>
      <w:bookmarkStart w:id="196" w:name="_Toc138863072"/>
      <w:bookmarkStart w:id="197" w:name="_Toc134114417"/>
      <w:bookmarkStart w:id="198" w:name="_Toc182300227"/>
      <w:r>
        <w:t>试验方法</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B45DCDD">
      <w:pPr>
        <w:pStyle w:val="106"/>
        <w:spacing w:before="120" w:after="120" w:line="288" w:lineRule="auto"/>
      </w:pPr>
      <w:r>
        <w:t>感官</w:t>
      </w:r>
    </w:p>
    <w:p w14:paraId="56556733">
      <w:pPr>
        <w:pStyle w:val="57"/>
        <w:spacing w:line="288" w:lineRule="auto"/>
        <w:ind w:firstLine="420"/>
      </w:pPr>
      <w:r>
        <w:rPr>
          <w:rFonts w:hint="eastAsia"/>
        </w:rPr>
        <w:t>将内容物倒入白色瓷盘内，在明亮的自然光处肉眼观察色泽及异物，鉴别气味，品尝滋味。</w:t>
      </w:r>
    </w:p>
    <w:p w14:paraId="699CC068">
      <w:pPr>
        <w:pStyle w:val="106"/>
        <w:spacing w:before="120" w:after="120" w:line="288" w:lineRule="auto"/>
      </w:pPr>
      <w:r>
        <w:rPr>
          <w:rFonts w:hint="eastAsia"/>
        </w:rPr>
        <w:t>规格</w:t>
      </w:r>
    </w:p>
    <w:p w14:paraId="4A92DEA2">
      <w:pPr>
        <w:pStyle w:val="57"/>
        <w:spacing w:line="288" w:lineRule="auto"/>
        <w:ind w:firstLine="420"/>
      </w:pPr>
      <w:r>
        <w:rPr>
          <w:rFonts w:hint="eastAsia"/>
        </w:rPr>
        <w:t>用精度为 0.1 mm 的游标卡尺测量长度，用精度为 0.1 g 的天平称其净含量。</w:t>
      </w:r>
    </w:p>
    <w:p w14:paraId="75C01E34">
      <w:pPr>
        <w:pStyle w:val="106"/>
        <w:spacing w:before="120" w:after="120" w:line="288" w:lineRule="auto"/>
      </w:pPr>
      <w:r>
        <w:rPr>
          <w:rFonts w:hint="eastAsia"/>
        </w:rPr>
        <w:t>理化</w:t>
      </w:r>
      <w:r>
        <w:t>指标</w:t>
      </w:r>
    </w:p>
    <w:p w14:paraId="626B38AF">
      <w:pPr>
        <w:pStyle w:val="66"/>
        <w:spacing w:before="120" w:after="120" w:line="288" w:lineRule="auto"/>
      </w:pPr>
      <w:r>
        <w:t>蛋白质</w:t>
      </w:r>
    </w:p>
    <w:p w14:paraId="1AEA62CC">
      <w:pPr>
        <w:pStyle w:val="57"/>
        <w:spacing w:line="288" w:lineRule="auto"/>
        <w:ind w:firstLine="420"/>
      </w:pPr>
      <w:bookmarkStart w:id="199" w:name="OLE_LINK11"/>
      <w:bookmarkStart w:id="200" w:name="OLE_LINK10"/>
      <w:r>
        <w:rPr>
          <w:rFonts w:hint="eastAsia"/>
        </w:rPr>
        <w:t>按 GB 5009.5 规定的方法测定。</w:t>
      </w:r>
      <w:bookmarkEnd w:id="199"/>
      <w:bookmarkEnd w:id="200"/>
    </w:p>
    <w:p w14:paraId="651403D7">
      <w:pPr>
        <w:pStyle w:val="66"/>
        <w:spacing w:before="120" w:after="120" w:line="288" w:lineRule="auto"/>
      </w:pPr>
      <w:r>
        <w:t>可溶性固定物</w:t>
      </w:r>
    </w:p>
    <w:p w14:paraId="78335C16">
      <w:pPr>
        <w:pStyle w:val="57"/>
        <w:spacing w:line="288" w:lineRule="auto"/>
        <w:ind w:firstLine="420"/>
      </w:pPr>
      <w:r>
        <w:rPr>
          <w:rFonts w:hint="eastAsia"/>
        </w:rPr>
        <w:t>取果冻产品的胶冻部分（剔除果冻中的固相物质，如果肉、椰果等），用组织捣碎机或勺子捣碎，制备成测试液。取测试液，用数显糖度计直接测定，或按照 GB/T 10786—2022 规定的方法，用阿贝折光仪测定。</w:t>
      </w:r>
    </w:p>
    <w:p w14:paraId="3FF289E3">
      <w:pPr>
        <w:pStyle w:val="180"/>
        <w:spacing w:line="288" w:lineRule="auto"/>
      </w:pPr>
      <w:r>
        <w:rPr>
          <w:rFonts w:hint="eastAsia"/>
        </w:rPr>
        <w:t>GB/T 10786—2022 规定的测定方法为仲裁法。</w:t>
      </w:r>
    </w:p>
    <w:p w14:paraId="67CB6C29">
      <w:pPr>
        <w:pStyle w:val="66"/>
        <w:spacing w:before="120" w:after="120" w:line="288" w:lineRule="auto"/>
      </w:pPr>
      <w:r>
        <w:t>营养元素</w:t>
      </w:r>
    </w:p>
    <w:p w14:paraId="2C4625C4">
      <w:pPr>
        <w:pStyle w:val="95"/>
        <w:spacing w:before="120" w:after="120" w:line="288" w:lineRule="auto"/>
      </w:pPr>
      <w:r>
        <w:t>钙</w:t>
      </w:r>
    </w:p>
    <w:p w14:paraId="58643584">
      <w:pPr>
        <w:pStyle w:val="57"/>
        <w:spacing w:line="288" w:lineRule="auto"/>
        <w:ind w:firstLine="420"/>
      </w:pPr>
      <w:bookmarkStart w:id="201" w:name="OLE_LINK14"/>
      <w:bookmarkStart w:id="202" w:name="OLE_LINK17"/>
      <w:r>
        <w:rPr>
          <w:rFonts w:hint="eastAsia"/>
        </w:rPr>
        <w:t>按 GB 5009.92 规定的方法测定。</w:t>
      </w:r>
      <w:bookmarkEnd w:id="201"/>
      <w:bookmarkEnd w:id="202"/>
    </w:p>
    <w:p w14:paraId="5E484B78">
      <w:pPr>
        <w:pStyle w:val="95"/>
        <w:spacing w:before="120" w:after="120" w:line="288" w:lineRule="auto"/>
      </w:pPr>
      <w:r>
        <w:t>铁</w:t>
      </w:r>
    </w:p>
    <w:p w14:paraId="632DDA2A">
      <w:pPr>
        <w:pStyle w:val="57"/>
        <w:spacing w:line="288" w:lineRule="auto"/>
        <w:ind w:firstLine="420"/>
      </w:pPr>
      <w:r>
        <w:rPr>
          <w:rFonts w:hint="eastAsia"/>
        </w:rPr>
        <w:t xml:space="preserve">按 </w:t>
      </w:r>
      <w:bookmarkStart w:id="203" w:name="OLE_LINK15"/>
      <w:bookmarkStart w:id="204" w:name="OLE_LINK16"/>
      <w:r>
        <w:rPr>
          <w:rFonts w:hint="eastAsia"/>
        </w:rPr>
        <w:t>GB/T 5009.90</w:t>
      </w:r>
      <w:bookmarkEnd w:id="203"/>
      <w:bookmarkEnd w:id="204"/>
      <w:r>
        <w:rPr>
          <w:rFonts w:hint="eastAsia"/>
        </w:rPr>
        <w:t xml:space="preserve"> 规定的方法测定。</w:t>
      </w:r>
    </w:p>
    <w:p w14:paraId="627806EA">
      <w:pPr>
        <w:pStyle w:val="95"/>
        <w:spacing w:before="120" w:after="120" w:line="288" w:lineRule="auto"/>
      </w:pPr>
      <w:r>
        <w:t>锌</w:t>
      </w:r>
    </w:p>
    <w:p w14:paraId="54D64F9A">
      <w:pPr>
        <w:pStyle w:val="57"/>
        <w:spacing w:line="288" w:lineRule="auto"/>
        <w:ind w:firstLine="420"/>
      </w:pPr>
      <w:r>
        <w:rPr>
          <w:rFonts w:hint="eastAsia"/>
        </w:rPr>
        <w:t xml:space="preserve">按 </w:t>
      </w:r>
      <w:bookmarkStart w:id="205" w:name="OLE_LINK18"/>
      <w:bookmarkStart w:id="206" w:name="OLE_LINK19"/>
      <w:r>
        <w:rPr>
          <w:rFonts w:hint="eastAsia"/>
        </w:rPr>
        <w:t>GB 5009.14</w:t>
      </w:r>
      <w:bookmarkEnd w:id="205"/>
      <w:bookmarkEnd w:id="206"/>
      <w:r>
        <w:rPr>
          <w:rFonts w:hint="eastAsia"/>
        </w:rPr>
        <w:t xml:space="preserve"> 规定的方法测定。</w:t>
      </w:r>
    </w:p>
    <w:p w14:paraId="01CB806A">
      <w:pPr>
        <w:pStyle w:val="95"/>
        <w:spacing w:before="120" w:after="120" w:line="288" w:lineRule="auto"/>
      </w:pPr>
      <w:r>
        <w:t>硒</w:t>
      </w:r>
    </w:p>
    <w:p w14:paraId="27A361D0">
      <w:pPr>
        <w:pStyle w:val="57"/>
        <w:spacing w:line="288" w:lineRule="auto"/>
        <w:ind w:firstLine="420"/>
      </w:pPr>
      <w:r>
        <w:rPr>
          <w:rFonts w:hint="eastAsia"/>
        </w:rPr>
        <w:t>按 GB 5009.93 规定的方法测定。</w:t>
      </w:r>
    </w:p>
    <w:p w14:paraId="68014914">
      <w:pPr>
        <w:pStyle w:val="106"/>
        <w:spacing w:before="120" w:after="120" w:line="288" w:lineRule="auto"/>
      </w:pPr>
      <w:r>
        <w:rPr>
          <w:rFonts w:hint="eastAsia"/>
        </w:rPr>
        <w:t>污染物</w:t>
      </w:r>
      <w:r>
        <w:t>限量</w:t>
      </w:r>
    </w:p>
    <w:p w14:paraId="441FFB60">
      <w:pPr>
        <w:pStyle w:val="166"/>
        <w:numPr>
          <w:ilvl w:val="0"/>
          <w:numId w:val="0"/>
        </w:numPr>
        <w:spacing w:line="288" w:lineRule="auto"/>
        <w:ind w:firstLine="420" w:firstLineChars="200"/>
      </w:pPr>
      <w:r>
        <w:rPr>
          <w:rFonts w:hint="eastAsia"/>
        </w:rPr>
        <w:t>按 GB 2762 规定的方法测定。</w:t>
      </w:r>
    </w:p>
    <w:p w14:paraId="018119EA">
      <w:pPr>
        <w:pStyle w:val="106"/>
        <w:spacing w:before="120" w:after="120" w:line="288" w:lineRule="auto"/>
      </w:pPr>
      <w:r>
        <w:t>微生物</w:t>
      </w:r>
      <w:r>
        <w:rPr>
          <w:rFonts w:hint="eastAsia"/>
        </w:rPr>
        <w:t>限量</w:t>
      </w:r>
    </w:p>
    <w:p w14:paraId="5D84DF25">
      <w:pPr>
        <w:pStyle w:val="66"/>
        <w:spacing w:before="120" w:after="120" w:line="288" w:lineRule="auto"/>
      </w:pPr>
      <w:r>
        <w:t>菌落总数</w:t>
      </w:r>
    </w:p>
    <w:p w14:paraId="0B465D94">
      <w:pPr>
        <w:pStyle w:val="57"/>
        <w:spacing w:line="288" w:lineRule="auto"/>
        <w:ind w:firstLine="420"/>
      </w:pPr>
      <w:r>
        <w:rPr>
          <w:rFonts w:hint="eastAsia"/>
        </w:rPr>
        <w:t>按 GB 4789.2 规定的方法测定。</w:t>
      </w:r>
    </w:p>
    <w:p w14:paraId="73FEC6F0">
      <w:pPr>
        <w:pStyle w:val="66"/>
        <w:spacing w:before="120" w:after="120" w:line="288" w:lineRule="auto"/>
      </w:pPr>
      <w:r>
        <w:t>大肠菌群</w:t>
      </w:r>
    </w:p>
    <w:p w14:paraId="6AB5F67A">
      <w:pPr>
        <w:pStyle w:val="57"/>
        <w:spacing w:line="288" w:lineRule="auto"/>
        <w:ind w:firstLine="420"/>
      </w:pPr>
      <w:r>
        <w:rPr>
          <w:rFonts w:hint="eastAsia"/>
        </w:rPr>
        <w:t>按 GB 4789.3 平板计数法测定。</w:t>
      </w:r>
    </w:p>
    <w:p w14:paraId="484FEA20">
      <w:pPr>
        <w:pStyle w:val="66"/>
        <w:spacing w:before="120" w:after="120" w:line="288" w:lineRule="auto"/>
      </w:pPr>
      <w:r>
        <w:t>霉菌</w:t>
      </w:r>
    </w:p>
    <w:p w14:paraId="0D6A3BEC">
      <w:pPr>
        <w:pStyle w:val="57"/>
        <w:spacing w:line="288" w:lineRule="auto"/>
        <w:ind w:firstLine="420"/>
      </w:pPr>
      <w:r>
        <w:rPr>
          <w:rFonts w:hint="eastAsia"/>
        </w:rPr>
        <w:t>按 GB 4789.15 规定的方法测定。</w:t>
      </w:r>
    </w:p>
    <w:p w14:paraId="2DB28DAC">
      <w:pPr>
        <w:pStyle w:val="66"/>
        <w:spacing w:before="120" w:after="120" w:line="288" w:lineRule="auto"/>
      </w:pPr>
      <w:r>
        <w:t>酵母</w:t>
      </w:r>
    </w:p>
    <w:p w14:paraId="314389FC">
      <w:pPr>
        <w:pStyle w:val="57"/>
        <w:spacing w:line="288" w:lineRule="auto"/>
        <w:ind w:firstLine="420"/>
      </w:pPr>
      <w:r>
        <w:rPr>
          <w:rFonts w:hint="eastAsia"/>
        </w:rPr>
        <w:t>按 GB 4789.15 规定的方法测定。</w:t>
      </w:r>
    </w:p>
    <w:p w14:paraId="44767687">
      <w:pPr>
        <w:pStyle w:val="106"/>
        <w:spacing w:before="120" w:after="120" w:line="288" w:lineRule="auto"/>
      </w:pPr>
      <w:r>
        <w:rPr>
          <w:rFonts w:hint="eastAsia"/>
        </w:rPr>
        <w:t>净含量偏差</w:t>
      </w:r>
    </w:p>
    <w:p w14:paraId="112B7AA9">
      <w:pPr>
        <w:pStyle w:val="57"/>
        <w:spacing w:line="288" w:lineRule="auto"/>
        <w:ind w:firstLine="420"/>
      </w:pPr>
      <w:r>
        <w:rPr>
          <w:rFonts w:hint="eastAsia"/>
        </w:rPr>
        <w:t>按 JJF 1070 的规定进行。</w:t>
      </w:r>
    </w:p>
    <w:p w14:paraId="70BA4734">
      <w:pPr>
        <w:pStyle w:val="105"/>
        <w:spacing w:before="240" w:after="240" w:line="288" w:lineRule="auto"/>
      </w:pPr>
      <w:bookmarkStart w:id="207" w:name="_Toc183097551"/>
      <w:bookmarkStart w:id="208" w:name="_Toc182302119"/>
      <w:bookmarkStart w:id="209" w:name="_Toc187327088"/>
      <w:bookmarkStart w:id="210" w:name="_Toc182300228"/>
      <w:bookmarkStart w:id="211" w:name="_Toc191650115"/>
      <w:bookmarkStart w:id="212" w:name="_Toc194322710"/>
      <w:bookmarkStart w:id="213" w:name="_Toc187326988"/>
      <w:r>
        <w:t>检验规则</w:t>
      </w:r>
      <w:bookmarkEnd w:id="207"/>
      <w:bookmarkEnd w:id="208"/>
      <w:bookmarkEnd w:id="209"/>
      <w:bookmarkEnd w:id="210"/>
      <w:bookmarkEnd w:id="211"/>
      <w:bookmarkEnd w:id="212"/>
      <w:bookmarkEnd w:id="213"/>
    </w:p>
    <w:p w14:paraId="751FFB77">
      <w:pPr>
        <w:pStyle w:val="106"/>
        <w:spacing w:before="120" w:after="120" w:line="288" w:lineRule="auto"/>
      </w:pPr>
      <w:r>
        <w:rPr>
          <w:rFonts w:hint="eastAsia"/>
        </w:rPr>
        <w:t>组批</w:t>
      </w:r>
    </w:p>
    <w:p w14:paraId="77C11E2F">
      <w:pPr>
        <w:pStyle w:val="57"/>
        <w:spacing w:line="288" w:lineRule="auto"/>
        <w:ind w:firstLine="420"/>
      </w:pPr>
      <w:r>
        <w:rPr>
          <w:rFonts w:hint="eastAsia"/>
        </w:rPr>
        <w:t>以同一次投料、同一生产线、同一班次生产的同品种、同规格产品为一组批。</w:t>
      </w:r>
    </w:p>
    <w:p w14:paraId="45A06465">
      <w:pPr>
        <w:pStyle w:val="106"/>
        <w:spacing w:before="120" w:after="120" w:line="288" w:lineRule="auto"/>
      </w:pPr>
      <w:r>
        <w:rPr>
          <w:rFonts w:hint="eastAsia"/>
        </w:rPr>
        <w:t>取样</w:t>
      </w:r>
    </w:p>
    <w:p w14:paraId="2279C84B">
      <w:pPr>
        <w:pStyle w:val="57"/>
        <w:spacing w:line="288" w:lineRule="auto"/>
        <w:ind w:firstLine="420"/>
      </w:pPr>
      <w:r>
        <w:rPr>
          <w:rFonts w:hint="eastAsia"/>
        </w:rPr>
        <w:t>从每批产品中按质量的五万分之一的比例随机抽取样品，抽样量最低应不少于 2 kg。</w:t>
      </w:r>
    </w:p>
    <w:p w14:paraId="155DEE42">
      <w:pPr>
        <w:pStyle w:val="106"/>
        <w:spacing w:before="120" w:after="120" w:line="288" w:lineRule="auto"/>
      </w:pPr>
      <w:r>
        <w:rPr>
          <w:rFonts w:hint="eastAsia"/>
        </w:rPr>
        <w:t>出厂检验</w:t>
      </w:r>
    </w:p>
    <w:p w14:paraId="44D2EC0B">
      <w:pPr>
        <w:pStyle w:val="166"/>
        <w:spacing w:line="288" w:lineRule="auto"/>
      </w:pPr>
      <w:r>
        <w:rPr>
          <w:rFonts w:hint="eastAsia"/>
        </w:rPr>
        <w:t>每批产品应进行出厂检验，并出具产品合格证明后方可出厂。</w:t>
      </w:r>
    </w:p>
    <w:p w14:paraId="547A0FE7">
      <w:pPr>
        <w:pStyle w:val="166"/>
        <w:spacing w:line="288" w:lineRule="auto"/>
      </w:pPr>
      <w:r>
        <w:rPr>
          <w:rFonts w:hint="eastAsia"/>
        </w:rPr>
        <w:t>出厂检验项目为：感官要求、可溶性固形物、菌落总数、大肠菌群、净含量。</w:t>
      </w:r>
    </w:p>
    <w:p w14:paraId="59A36B05">
      <w:pPr>
        <w:pStyle w:val="106"/>
        <w:spacing w:before="120" w:after="120" w:line="288" w:lineRule="auto"/>
      </w:pPr>
      <w:r>
        <w:rPr>
          <w:rFonts w:hint="eastAsia"/>
        </w:rPr>
        <w:t>型式检验</w:t>
      </w:r>
    </w:p>
    <w:p w14:paraId="2F1C4005">
      <w:pPr>
        <w:pStyle w:val="166"/>
        <w:spacing w:line="288" w:lineRule="auto"/>
      </w:pPr>
      <w:r>
        <w:rPr>
          <w:rFonts w:hint="eastAsia"/>
        </w:rPr>
        <w:t>型式检验项目为本文件规定的全部项目。</w:t>
      </w:r>
    </w:p>
    <w:p w14:paraId="6E4C0666">
      <w:pPr>
        <w:pStyle w:val="166"/>
        <w:spacing w:line="288" w:lineRule="auto"/>
      </w:pPr>
      <w:r>
        <w:rPr>
          <w:rFonts w:hint="eastAsia"/>
        </w:rPr>
        <w:t>每年至少应对产品进行一次型式检验，有下列情况之一时也应进行型式检验：</w:t>
      </w:r>
    </w:p>
    <w:p w14:paraId="67ED1948">
      <w:pPr>
        <w:pStyle w:val="175"/>
        <w:spacing w:line="288" w:lineRule="auto"/>
      </w:pPr>
      <w:r>
        <w:rPr>
          <w:rFonts w:hint="eastAsia"/>
        </w:rPr>
        <w:t>更改主要原料；</w:t>
      </w:r>
    </w:p>
    <w:p w14:paraId="55CD5F4B">
      <w:pPr>
        <w:pStyle w:val="175"/>
        <w:spacing w:line="288" w:lineRule="auto"/>
      </w:pPr>
      <w:r>
        <w:rPr>
          <w:rFonts w:hint="eastAsia"/>
        </w:rPr>
        <w:t>工艺有较大变化；</w:t>
      </w:r>
    </w:p>
    <w:p w14:paraId="31938BCC">
      <w:pPr>
        <w:pStyle w:val="175"/>
        <w:spacing w:line="288" w:lineRule="auto"/>
      </w:pPr>
      <w:r>
        <w:rPr>
          <w:rFonts w:hint="eastAsia"/>
        </w:rPr>
        <w:t>长期停产后恢复生产；</w:t>
      </w:r>
    </w:p>
    <w:p w14:paraId="1622316D">
      <w:pPr>
        <w:pStyle w:val="175"/>
        <w:spacing w:line="288" w:lineRule="auto"/>
      </w:pPr>
      <w:r>
        <w:rPr>
          <w:rFonts w:hint="eastAsia"/>
        </w:rPr>
        <w:t>出厂检验的结果与上次型式检验有较大差异。</w:t>
      </w:r>
    </w:p>
    <w:p w14:paraId="15061F29">
      <w:pPr>
        <w:pStyle w:val="106"/>
        <w:spacing w:before="120" w:after="120" w:line="288" w:lineRule="auto"/>
      </w:pPr>
      <w:r>
        <w:t>判定规则</w:t>
      </w:r>
    </w:p>
    <w:p w14:paraId="1303E270">
      <w:pPr>
        <w:pStyle w:val="166"/>
        <w:spacing w:line="288" w:lineRule="auto"/>
      </w:pPr>
      <w:r>
        <w:rPr>
          <w:rFonts w:hint="eastAsia"/>
        </w:rPr>
        <w:t>检验结果全部项目符合本文件要求时，判该批产品为合格品。</w:t>
      </w:r>
    </w:p>
    <w:p w14:paraId="20B23E10">
      <w:pPr>
        <w:pStyle w:val="166"/>
        <w:spacing w:line="288" w:lineRule="auto"/>
      </w:pPr>
      <w:r>
        <w:rPr>
          <w:rFonts w:hint="eastAsia"/>
        </w:rPr>
        <w:t>若检验结果中有项目不符合本文件要求，可以在原批次产品中双倍抽样复验一次，判定以复验结果为准。复验时若仍有一项或一项以上指标不符合本文件要求，则判该批产品为不合格品。微生物指标不得复检。</w:t>
      </w:r>
    </w:p>
    <w:p w14:paraId="2CF11E69">
      <w:pPr>
        <w:pStyle w:val="105"/>
        <w:spacing w:before="240" w:after="240" w:line="288" w:lineRule="auto"/>
      </w:pPr>
      <w:bookmarkStart w:id="214" w:name="_Toc187327089"/>
      <w:bookmarkStart w:id="215" w:name="_Toc187326989"/>
      <w:bookmarkStart w:id="216" w:name="_Toc194322711"/>
      <w:bookmarkStart w:id="217" w:name="_Toc182300229"/>
      <w:bookmarkStart w:id="218" w:name="_Toc182302120"/>
      <w:bookmarkStart w:id="219" w:name="_Toc183097552"/>
      <w:bookmarkStart w:id="220" w:name="_Toc191650116"/>
      <w:r>
        <w:t>标签、标志、包装、运输</w:t>
      </w:r>
      <w:r>
        <w:rPr>
          <w:rFonts w:hint="eastAsia"/>
        </w:rPr>
        <w:t>和</w:t>
      </w:r>
      <w:r>
        <w:t>贮存</w:t>
      </w:r>
      <w:bookmarkEnd w:id="214"/>
      <w:bookmarkEnd w:id="215"/>
      <w:bookmarkEnd w:id="216"/>
      <w:bookmarkEnd w:id="217"/>
      <w:bookmarkEnd w:id="218"/>
      <w:bookmarkEnd w:id="219"/>
      <w:bookmarkEnd w:id="220"/>
    </w:p>
    <w:p w14:paraId="7C89B89D">
      <w:pPr>
        <w:pStyle w:val="106"/>
        <w:spacing w:before="120" w:after="120" w:line="288" w:lineRule="auto"/>
      </w:pPr>
      <w:r>
        <w:rPr>
          <w:rFonts w:hint="eastAsia"/>
        </w:rPr>
        <w:t>标签、标志</w:t>
      </w:r>
    </w:p>
    <w:p w14:paraId="36D997AC">
      <w:pPr>
        <w:pStyle w:val="166"/>
        <w:spacing w:line="288" w:lineRule="auto"/>
      </w:pPr>
      <w:r>
        <w:rPr>
          <w:rFonts w:hint="eastAsia"/>
        </w:rPr>
        <w:t>预包装产品的标签应符合 GB 7718 和 GB 28050 的规定；称量销售产品的标签可以不标示净含量，其他内容应符合 GB 7718 的规定。</w:t>
      </w:r>
    </w:p>
    <w:p w14:paraId="0D26070D">
      <w:pPr>
        <w:pStyle w:val="166"/>
        <w:spacing w:line="288" w:lineRule="auto"/>
      </w:pPr>
      <w:r>
        <w:rPr>
          <w:rFonts w:hint="eastAsia"/>
        </w:rPr>
        <w:t>标签上应标示产品分类。</w:t>
      </w:r>
    </w:p>
    <w:p w14:paraId="7D3E19F2">
      <w:pPr>
        <w:pStyle w:val="166"/>
        <w:spacing w:line="288" w:lineRule="auto"/>
      </w:pPr>
      <w:r>
        <w:rPr>
          <w:rFonts w:hint="eastAsia"/>
        </w:rPr>
        <w:t>凝胶果冻应在外包装和最小食用包装的醒目位置处，用白底（或黄底）红字标示警示语和食用方法，且文字高度应不小于 3 mm。警示语和食用方法应采用上述方式标示如下内容</w:t>
      </w:r>
      <w:r>
        <w:rPr>
          <w:rFonts w:hint="eastAsia"/>
          <w:lang w:eastAsia="zh-CN"/>
        </w:rPr>
        <w:t>：</w:t>
      </w:r>
      <w:r>
        <w:rPr>
          <w:rFonts w:hint="eastAsia"/>
        </w:rPr>
        <w:t>“勿一口吞食；三岁以下儿童不宜食用，老人儿童须监护下食用”。</w:t>
      </w:r>
      <w:bookmarkStart w:id="222" w:name="_GoBack"/>
      <w:bookmarkEnd w:id="222"/>
    </w:p>
    <w:p w14:paraId="42D6F1EE">
      <w:pPr>
        <w:pStyle w:val="166"/>
        <w:spacing w:line="288" w:lineRule="auto"/>
      </w:pPr>
      <w:r>
        <w:rPr>
          <w:rFonts w:hint="eastAsia"/>
        </w:rPr>
        <w:t>外包装标志应符合 GB/T 191 的规定。</w:t>
      </w:r>
    </w:p>
    <w:p w14:paraId="3DB89047">
      <w:pPr>
        <w:pStyle w:val="106"/>
        <w:spacing w:before="120" w:after="120" w:line="288" w:lineRule="auto"/>
      </w:pPr>
      <w:r>
        <w:rPr>
          <w:rFonts w:hint="eastAsia"/>
        </w:rPr>
        <w:t>包装</w:t>
      </w:r>
    </w:p>
    <w:p w14:paraId="06E1FC73">
      <w:pPr>
        <w:pStyle w:val="166"/>
        <w:spacing w:line="288" w:lineRule="auto"/>
      </w:pPr>
      <w:r>
        <w:rPr>
          <w:rFonts w:hint="eastAsia"/>
        </w:rPr>
        <w:t>包装材料、包装容器应清洁、无毒、无异味，符合相关标准及规定。</w:t>
      </w:r>
    </w:p>
    <w:p w14:paraId="45F09D99">
      <w:pPr>
        <w:pStyle w:val="166"/>
        <w:spacing w:line="288" w:lineRule="auto"/>
      </w:pPr>
      <w:r>
        <w:rPr>
          <w:rFonts w:hint="eastAsia"/>
        </w:rPr>
        <w:t>最小食用包装应封口严密，食用方便。</w:t>
      </w:r>
    </w:p>
    <w:p w14:paraId="76E77F90">
      <w:pPr>
        <w:pStyle w:val="166"/>
        <w:spacing w:line="288" w:lineRule="auto"/>
      </w:pPr>
      <w:r>
        <w:rPr>
          <w:rFonts w:hint="eastAsia"/>
        </w:rPr>
        <w:t>包装可采用定量包装和称量（称重）销售包装两种形式，销售采用称量（称重）或其他方式不限。</w:t>
      </w:r>
    </w:p>
    <w:p w14:paraId="778A9D81">
      <w:pPr>
        <w:pStyle w:val="106"/>
        <w:spacing w:before="120" w:after="120" w:line="288" w:lineRule="auto"/>
      </w:pPr>
      <w:r>
        <w:rPr>
          <w:rFonts w:hint="eastAsia"/>
        </w:rPr>
        <w:t>运输</w:t>
      </w:r>
    </w:p>
    <w:p w14:paraId="5ECFCE0D">
      <w:pPr>
        <w:pStyle w:val="57"/>
        <w:spacing w:line="288" w:lineRule="auto"/>
        <w:ind w:firstLine="420"/>
      </w:pPr>
      <w:r>
        <w:rPr>
          <w:rFonts w:hint="eastAsia"/>
        </w:rPr>
        <w:t>运输工具应清洁卫生，不应与有毒、有异味、有腐蚀性等污染性货物混运。运输中应防止挤压、碰撞、日晒、雨淋、冻结。装卸时应轻搬轻放，严禁抛掷。</w:t>
      </w:r>
    </w:p>
    <w:p w14:paraId="0315B5B8">
      <w:pPr>
        <w:pStyle w:val="106"/>
        <w:spacing w:before="120" w:after="120" w:line="288" w:lineRule="auto"/>
      </w:pPr>
      <w:r>
        <w:rPr>
          <w:rFonts w:hint="eastAsia"/>
        </w:rPr>
        <w:t>贮存</w:t>
      </w:r>
    </w:p>
    <w:p w14:paraId="53ACDDAE">
      <w:pPr>
        <w:pStyle w:val="57"/>
        <w:spacing w:line="288" w:lineRule="auto"/>
        <w:ind w:firstLine="420"/>
      </w:pPr>
      <w:r>
        <w:rPr>
          <w:rFonts w:hint="eastAsia"/>
        </w:rPr>
        <w:t>产品应贮存在干燥、通风的仓库内，不应与有毒、有异味、有腐蚀性货物混贮，避免阳光直射和靠近热源，防止冻结。</w:t>
      </w:r>
    </w:p>
    <w:bookmarkEnd w:id="44"/>
    <w:p w14:paraId="75EBDBE4">
      <w:pPr>
        <w:pStyle w:val="57"/>
        <w:ind w:firstLine="0" w:firstLineChars="0"/>
        <w:jc w:val="center"/>
      </w:pPr>
      <w:bookmarkStart w:id="221" w:name="BookMark8"/>
      <w: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stretch>
                      <a:fillRect/>
                    </a:stretch>
                  </pic:blipFill>
                  <pic:spPr>
                    <a:xfrm>
                      <a:off x="0" y="0"/>
                      <a:ext cx="1485900" cy="317500"/>
                    </a:xfrm>
                    <a:prstGeom prst="rect">
                      <a:avLst/>
                    </a:prstGeom>
                  </pic:spPr>
                </pic:pic>
              </a:graphicData>
            </a:graphic>
          </wp:inline>
        </w:drawing>
      </w:r>
      <w:bookmarkEnd w:id="221"/>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19F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8C99">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C372">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B920">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DBBA">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3543">
    <w:pPr>
      <w:pStyle w:val="53"/>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01FF">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4315">
    <w:pPr>
      <w:pStyle w:val="53"/>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B97B">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070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687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028D">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09DA">
    <w:pPr>
      <w:pStyle w:val="62"/>
    </w:pPr>
    <w:r>
      <w:fldChar w:fldCharType="begin"/>
    </w:r>
    <w:r>
      <w:instrText xml:space="preserve"> STYLEREF  标准文件_文件编号  \* MERGEFORMAT </w:instrText>
    </w:r>
    <w:r>
      <w:fldChar w:fldCharType="separate"/>
    </w:r>
    <w:r>
      <w:t>T/CS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E20D">
    <w:pPr>
      <w:pStyle w:val="63"/>
    </w:pPr>
    <w:r>
      <w:fldChar w:fldCharType="begin"/>
    </w:r>
    <w:r>
      <w:instrText xml:space="preserve"> STYLEREF  标准文件_文件编号 \* MERGEFORMAT </w:instrText>
    </w:r>
    <w:r>
      <w:fldChar w:fldCharType="separate"/>
    </w:r>
    <w:r>
      <w:t>T/CS 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CA4A">
    <w:pPr>
      <w:pStyle w:val="62"/>
    </w:pPr>
    <w:r>
      <w:fldChar w:fldCharType="begin"/>
    </w:r>
    <w:r>
      <w:instrText xml:space="preserve"> STYLEREF  标准文件_文件编号  \* MERGEFORMAT </w:instrText>
    </w:r>
    <w:r>
      <w:fldChar w:fldCharType="separate"/>
    </w:r>
    <w:r>
      <w:t>T/CS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AAE6">
    <w:pPr>
      <w:pStyle w:val="63"/>
    </w:pPr>
    <w:r>
      <w:fldChar w:fldCharType="begin"/>
    </w:r>
    <w:r>
      <w:instrText xml:space="preserve"> STYLEREF  标准文件_文件编号 \* MERGEFORMAT </w:instrText>
    </w:r>
    <w:r>
      <w:fldChar w:fldCharType="separate"/>
    </w:r>
    <w:r>
      <w:t>T/CS 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0DC9">
    <w:pPr>
      <w:pStyle w:val="62"/>
    </w:pPr>
    <w:r>
      <w:fldChar w:fldCharType="begin"/>
    </w:r>
    <w:r>
      <w:instrText xml:space="preserve"> STYLEREF  标准文件_文件编号  \* MERGEFORMAT </w:instrText>
    </w:r>
    <w:r>
      <w:fldChar w:fldCharType="separate"/>
    </w:r>
    <w:r>
      <w:t>T/CS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D569">
    <w:pPr>
      <w:pStyle w:val="63"/>
    </w:pPr>
    <w:r>
      <w:fldChar w:fldCharType="begin"/>
    </w:r>
    <w:r>
      <w:instrText xml:space="preserve"> STYLEREF  标准文件_文件编号 \* MERGEFORMAT </w:instrText>
    </w:r>
    <w:r>
      <w:fldChar w:fldCharType="separate"/>
    </w:r>
    <w:r>
      <w:t>T/CS 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7A9"/>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B49"/>
    <w:rsid w:val="00083D2C"/>
    <w:rsid w:val="000843C8"/>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A"/>
    <w:rsid w:val="000F4C7B"/>
    <w:rsid w:val="000F54A0"/>
    <w:rsid w:val="000F6792"/>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4B86"/>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8"/>
    <w:rsid w:val="001852C9"/>
    <w:rsid w:val="00185EC4"/>
    <w:rsid w:val="00187A0B"/>
    <w:rsid w:val="00190087"/>
    <w:rsid w:val="00190DAA"/>
    <w:rsid w:val="001913C4"/>
    <w:rsid w:val="001922DF"/>
    <w:rsid w:val="0019348F"/>
    <w:rsid w:val="00193A07"/>
    <w:rsid w:val="00194C95"/>
    <w:rsid w:val="00195C34"/>
    <w:rsid w:val="00196EF5"/>
    <w:rsid w:val="00197943"/>
    <w:rsid w:val="00197B3A"/>
    <w:rsid w:val="00197B80"/>
    <w:rsid w:val="001A06E5"/>
    <w:rsid w:val="001A1A53"/>
    <w:rsid w:val="001A22C4"/>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977"/>
    <w:rsid w:val="002A5A13"/>
    <w:rsid w:val="002A6221"/>
    <w:rsid w:val="002A6A05"/>
    <w:rsid w:val="002A757F"/>
    <w:rsid w:val="002A7D17"/>
    <w:rsid w:val="002A7F44"/>
    <w:rsid w:val="002B0C40"/>
    <w:rsid w:val="002B1966"/>
    <w:rsid w:val="002B2402"/>
    <w:rsid w:val="002B4508"/>
    <w:rsid w:val="002B5779"/>
    <w:rsid w:val="002B60AE"/>
    <w:rsid w:val="002B7332"/>
    <w:rsid w:val="002B786A"/>
    <w:rsid w:val="002B7F51"/>
    <w:rsid w:val="002C0155"/>
    <w:rsid w:val="002C04B8"/>
    <w:rsid w:val="002C08CC"/>
    <w:rsid w:val="002C09E7"/>
    <w:rsid w:val="002C1BD1"/>
    <w:rsid w:val="002C1E06"/>
    <w:rsid w:val="002C2C22"/>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30E0"/>
    <w:rsid w:val="002F35E4"/>
    <w:rsid w:val="002F3730"/>
    <w:rsid w:val="002F38E1"/>
    <w:rsid w:val="002F456E"/>
    <w:rsid w:val="002F45F1"/>
    <w:rsid w:val="002F50EF"/>
    <w:rsid w:val="002F7AF6"/>
    <w:rsid w:val="003003F7"/>
    <w:rsid w:val="00300810"/>
    <w:rsid w:val="00300E63"/>
    <w:rsid w:val="00301543"/>
    <w:rsid w:val="0030233C"/>
    <w:rsid w:val="00302F5F"/>
    <w:rsid w:val="0030300E"/>
    <w:rsid w:val="00304053"/>
    <w:rsid w:val="0030441D"/>
    <w:rsid w:val="00304CD8"/>
    <w:rsid w:val="003051F9"/>
    <w:rsid w:val="00305D7C"/>
    <w:rsid w:val="00306063"/>
    <w:rsid w:val="00307BC1"/>
    <w:rsid w:val="00313B85"/>
    <w:rsid w:val="00313CD0"/>
    <w:rsid w:val="003166FA"/>
    <w:rsid w:val="00317988"/>
    <w:rsid w:val="00317B3E"/>
    <w:rsid w:val="00317B9A"/>
    <w:rsid w:val="003215FD"/>
    <w:rsid w:val="003221B4"/>
    <w:rsid w:val="0032258D"/>
    <w:rsid w:val="00322E62"/>
    <w:rsid w:val="00324D13"/>
    <w:rsid w:val="00324EDD"/>
    <w:rsid w:val="00326C89"/>
    <w:rsid w:val="0032729A"/>
    <w:rsid w:val="00327772"/>
    <w:rsid w:val="00327D02"/>
    <w:rsid w:val="00327F85"/>
    <w:rsid w:val="0033237E"/>
    <w:rsid w:val="003331E4"/>
    <w:rsid w:val="0033423B"/>
    <w:rsid w:val="00334702"/>
    <w:rsid w:val="00334874"/>
    <w:rsid w:val="00336C64"/>
    <w:rsid w:val="00337162"/>
    <w:rsid w:val="003375FE"/>
    <w:rsid w:val="00337AEB"/>
    <w:rsid w:val="00340D98"/>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4E6E"/>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77B30"/>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24B1"/>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841"/>
    <w:rsid w:val="003F16C3"/>
    <w:rsid w:val="003F23D3"/>
    <w:rsid w:val="003F3F08"/>
    <w:rsid w:val="003F49F1"/>
    <w:rsid w:val="003F4FBF"/>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2729"/>
    <w:rsid w:val="00452D6B"/>
    <w:rsid w:val="00454484"/>
    <w:rsid w:val="0045517B"/>
    <w:rsid w:val="00455A1A"/>
    <w:rsid w:val="00455BBA"/>
    <w:rsid w:val="00455CB5"/>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181"/>
    <w:rsid w:val="004746B1"/>
    <w:rsid w:val="00474F9A"/>
    <w:rsid w:val="00475627"/>
    <w:rsid w:val="0047583F"/>
    <w:rsid w:val="00475DE8"/>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2F02"/>
    <w:rsid w:val="004939AE"/>
    <w:rsid w:val="00495AF2"/>
    <w:rsid w:val="00495D60"/>
    <w:rsid w:val="004A01D0"/>
    <w:rsid w:val="004A031A"/>
    <w:rsid w:val="004A12DF"/>
    <w:rsid w:val="004A1BA8"/>
    <w:rsid w:val="004A2ADC"/>
    <w:rsid w:val="004A2B5B"/>
    <w:rsid w:val="004A390C"/>
    <w:rsid w:val="004A4B57"/>
    <w:rsid w:val="004A5FD9"/>
    <w:rsid w:val="004A6321"/>
    <w:rsid w:val="004A63FA"/>
    <w:rsid w:val="004A6A3D"/>
    <w:rsid w:val="004A6F1C"/>
    <w:rsid w:val="004A715D"/>
    <w:rsid w:val="004A72E8"/>
    <w:rsid w:val="004B0272"/>
    <w:rsid w:val="004B0D63"/>
    <w:rsid w:val="004B1D22"/>
    <w:rsid w:val="004B2159"/>
    <w:rsid w:val="004B218B"/>
    <w:rsid w:val="004B2701"/>
    <w:rsid w:val="004B2E1B"/>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2F5A"/>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6F8"/>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5D9D"/>
    <w:rsid w:val="005D6234"/>
    <w:rsid w:val="005D6A95"/>
    <w:rsid w:val="005D6B2C"/>
    <w:rsid w:val="005D6D9C"/>
    <w:rsid w:val="005D751F"/>
    <w:rsid w:val="005E0403"/>
    <w:rsid w:val="005E144D"/>
    <w:rsid w:val="005E2335"/>
    <w:rsid w:val="005E245C"/>
    <w:rsid w:val="005E318E"/>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5AD5"/>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205AF"/>
    <w:rsid w:val="006205D6"/>
    <w:rsid w:val="00620968"/>
    <w:rsid w:val="00620CFA"/>
    <w:rsid w:val="00621632"/>
    <w:rsid w:val="00622A2C"/>
    <w:rsid w:val="00623116"/>
    <w:rsid w:val="006233AA"/>
    <w:rsid w:val="006245C6"/>
    <w:rsid w:val="00624B3A"/>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9C"/>
    <w:rsid w:val="006D16C4"/>
    <w:rsid w:val="006D22C3"/>
    <w:rsid w:val="006D2674"/>
    <w:rsid w:val="006D3E96"/>
    <w:rsid w:val="006D4515"/>
    <w:rsid w:val="006D453E"/>
    <w:rsid w:val="006D4BB1"/>
    <w:rsid w:val="006D51D8"/>
    <w:rsid w:val="006D6593"/>
    <w:rsid w:val="006D6AD2"/>
    <w:rsid w:val="006D6D4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4B88"/>
    <w:rsid w:val="00755402"/>
    <w:rsid w:val="00755500"/>
    <w:rsid w:val="00755C16"/>
    <w:rsid w:val="0075610F"/>
    <w:rsid w:val="00756169"/>
    <w:rsid w:val="0075662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533"/>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5A3D"/>
    <w:rsid w:val="007B5B95"/>
    <w:rsid w:val="007B6032"/>
    <w:rsid w:val="007B6456"/>
    <w:rsid w:val="007B674B"/>
    <w:rsid w:val="007B68EA"/>
    <w:rsid w:val="007B7453"/>
    <w:rsid w:val="007C044B"/>
    <w:rsid w:val="007C17F4"/>
    <w:rsid w:val="007C2C6E"/>
    <w:rsid w:val="007C2D89"/>
    <w:rsid w:val="007C4593"/>
    <w:rsid w:val="007C500D"/>
    <w:rsid w:val="007C5309"/>
    <w:rsid w:val="007C6069"/>
    <w:rsid w:val="007C6174"/>
    <w:rsid w:val="007C64C1"/>
    <w:rsid w:val="007C6C8F"/>
    <w:rsid w:val="007D014D"/>
    <w:rsid w:val="007D06C4"/>
    <w:rsid w:val="007D1352"/>
    <w:rsid w:val="007D2508"/>
    <w:rsid w:val="007D28E1"/>
    <w:rsid w:val="007D3072"/>
    <w:rsid w:val="007D346A"/>
    <w:rsid w:val="007D3E51"/>
    <w:rsid w:val="007D3FBF"/>
    <w:rsid w:val="007D6518"/>
    <w:rsid w:val="007D6F46"/>
    <w:rsid w:val="007D7184"/>
    <w:rsid w:val="007D76BD"/>
    <w:rsid w:val="007E0BF1"/>
    <w:rsid w:val="007E0E2A"/>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B4"/>
    <w:rsid w:val="008251EA"/>
    <w:rsid w:val="008254AE"/>
    <w:rsid w:val="008269DD"/>
    <w:rsid w:val="00826A9B"/>
    <w:rsid w:val="00826B01"/>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B5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4C29"/>
    <w:rsid w:val="008F4D13"/>
    <w:rsid w:val="008F5921"/>
    <w:rsid w:val="008F686F"/>
    <w:rsid w:val="008F6F5F"/>
    <w:rsid w:val="008F6FC5"/>
    <w:rsid w:val="008F70BD"/>
    <w:rsid w:val="008F788F"/>
    <w:rsid w:val="008F7EA2"/>
    <w:rsid w:val="00901E8E"/>
    <w:rsid w:val="00902722"/>
    <w:rsid w:val="009027BC"/>
    <w:rsid w:val="0090308E"/>
    <w:rsid w:val="00904999"/>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38C1"/>
    <w:rsid w:val="009245AE"/>
    <w:rsid w:val="009245F5"/>
    <w:rsid w:val="009249EC"/>
    <w:rsid w:val="00925D61"/>
    <w:rsid w:val="00926C31"/>
    <w:rsid w:val="00926F91"/>
    <w:rsid w:val="009273B3"/>
    <w:rsid w:val="00930064"/>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421"/>
    <w:rsid w:val="00944FC2"/>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3DB3"/>
    <w:rsid w:val="009750BC"/>
    <w:rsid w:val="009756D4"/>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3F62"/>
    <w:rsid w:val="00984EFA"/>
    <w:rsid w:val="0098556C"/>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72AD"/>
    <w:rsid w:val="009A74CA"/>
    <w:rsid w:val="009A789F"/>
    <w:rsid w:val="009B09E0"/>
    <w:rsid w:val="009B0BC5"/>
    <w:rsid w:val="009B1247"/>
    <w:rsid w:val="009B1F02"/>
    <w:rsid w:val="009B3CC7"/>
    <w:rsid w:val="009B4F03"/>
    <w:rsid w:val="009B5781"/>
    <w:rsid w:val="009B6029"/>
    <w:rsid w:val="009B6661"/>
    <w:rsid w:val="009B66C5"/>
    <w:rsid w:val="009B67C4"/>
    <w:rsid w:val="009B6971"/>
    <w:rsid w:val="009B7767"/>
    <w:rsid w:val="009C098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36F9"/>
    <w:rsid w:val="009D47FA"/>
    <w:rsid w:val="009D4BAB"/>
    <w:rsid w:val="009D4C5B"/>
    <w:rsid w:val="009D50D2"/>
    <w:rsid w:val="009D5341"/>
    <w:rsid w:val="009D65FC"/>
    <w:rsid w:val="009D6BCA"/>
    <w:rsid w:val="009D70C9"/>
    <w:rsid w:val="009D72D4"/>
    <w:rsid w:val="009E0F62"/>
    <w:rsid w:val="009E2F0A"/>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0142"/>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62D6"/>
    <w:rsid w:val="00A865B0"/>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3C70"/>
    <w:rsid w:val="00AA4286"/>
    <w:rsid w:val="00AA449C"/>
    <w:rsid w:val="00AA456B"/>
    <w:rsid w:val="00AA5077"/>
    <w:rsid w:val="00AA57F5"/>
    <w:rsid w:val="00AA672E"/>
    <w:rsid w:val="00AA6EC9"/>
    <w:rsid w:val="00AB0A12"/>
    <w:rsid w:val="00AB1BB3"/>
    <w:rsid w:val="00AB1F28"/>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31E"/>
    <w:rsid w:val="00B016F6"/>
    <w:rsid w:val="00B01F87"/>
    <w:rsid w:val="00B03413"/>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FE8"/>
    <w:rsid w:val="00B142A0"/>
    <w:rsid w:val="00B14564"/>
    <w:rsid w:val="00B147DD"/>
    <w:rsid w:val="00B156FD"/>
    <w:rsid w:val="00B15BB9"/>
    <w:rsid w:val="00B20EDE"/>
    <w:rsid w:val="00B21952"/>
    <w:rsid w:val="00B21F61"/>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DCD"/>
    <w:rsid w:val="00B508CC"/>
    <w:rsid w:val="00B50E50"/>
    <w:rsid w:val="00B52120"/>
    <w:rsid w:val="00B53023"/>
    <w:rsid w:val="00B533B6"/>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F02"/>
    <w:rsid w:val="00B92358"/>
    <w:rsid w:val="00B939B1"/>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C3"/>
    <w:rsid w:val="00BB46D0"/>
    <w:rsid w:val="00BB5EE3"/>
    <w:rsid w:val="00BB5F8F"/>
    <w:rsid w:val="00BB657A"/>
    <w:rsid w:val="00BB6641"/>
    <w:rsid w:val="00BB692F"/>
    <w:rsid w:val="00BC15BB"/>
    <w:rsid w:val="00BC1A4E"/>
    <w:rsid w:val="00BC2EFF"/>
    <w:rsid w:val="00BC5DC7"/>
    <w:rsid w:val="00BC5EE5"/>
    <w:rsid w:val="00BC61E2"/>
    <w:rsid w:val="00BC6B8B"/>
    <w:rsid w:val="00BC6D47"/>
    <w:rsid w:val="00BC6E9E"/>
    <w:rsid w:val="00BC73D8"/>
    <w:rsid w:val="00BC74C4"/>
    <w:rsid w:val="00BC7633"/>
    <w:rsid w:val="00BD0065"/>
    <w:rsid w:val="00BD052B"/>
    <w:rsid w:val="00BD1972"/>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BF7B53"/>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0A6C"/>
    <w:rsid w:val="00C10AAF"/>
    <w:rsid w:val="00C11C89"/>
    <w:rsid w:val="00C13319"/>
    <w:rsid w:val="00C13EE9"/>
    <w:rsid w:val="00C145CE"/>
    <w:rsid w:val="00C15466"/>
    <w:rsid w:val="00C164A1"/>
    <w:rsid w:val="00C20020"/>
    <w:rsid w:val="00C21540"/>
    <w:rsid w:val="00C21906"/>
    <w:rsid w:val="00C219AC"/>
    <w:rsid w:val="00C21BFA"/>
    <w:rsid w:val="00C22987"/>
    <w:rsid w:val="00C22BEC"/>
    <w:rsid w:val="00C22D8B"/>
    <w:rsid w:val="00C23374"/>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7E0B"/>
    <w:rsid w:val="00C404C7"/>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2A5"/>
    <w:rsid w:val="00C72410"/>
    <w:rsid w:val="00C726B1"/>
    <w:rsid w:val="00C7287F"/>
    <w:rsid w:val="00C73334"/>
    <w:rsid w:val="00C74260"/>
    <w:rsid w:val="00C748FC"/>
    <w:rsid w:val="00C74B5F"/>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B55"/>
    <w:rsid w:val="00CE0C4F"/>
    <w:rsid w:val="00CE2BA4"/>
    <w:rsid w:val="00CE30EA"/>
    <w:rsid w:val="00CE55DD"/>
    <w:rsid w:val="00CE5959"/>
    <w:rsid w:val="00CE6384"/>
    <w:rsid w:val="00CF048A"/>
    <w:rsid w:val="00CF0D9A"/>
    <w:rsid w:val="00CF1448"/>
    <w:rsid w:val="00CF155A"/>
    <w:rsid w:val="00CF2947"/>
    <w:rsid w:val="00CF3938"/>
    <w:rsid w:val="00CF3BE6"/>
    <w:rsid w:val="00CF42BB"/>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202AE"/>
    <w:rsid w:val="00D203BB"/>
    <w:rsid w:val="00D20585"/>
    <w:rsid w:val="00D20737"/>
    <w:rsid w:val="00D21E81"/>
    <w:rsid w:val="00D223DE"/>
    <w:rsid w:val="00D22590"/>
    <w:rsid w:val="00D24208"/>
    <w:rsid w:val="00D25E37"/>
    <w:rsid w:val="00D260C3"/>
    <w:rsid w:val="00D2661A"/>
    <w:rsid w:val="00D271E0"/>
    <w:rsid w:val="00D27582"/>
    <w:rsid w:val="00D27596"/>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05B"/>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049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376A"/>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4B0"/>
    <w:rsid w:val="00DD57EE"/>
    <w:rsid w:val="00DD5BF5"/>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26E"/>
    <w:rsid w:val="00DF44DE"/>
    <w:rsid w:val="00DF46BA"/>
    <w:rsid w:val="00DF54C1"/>
    <w:rsid w:val="00E01138"/>
    <w:rsid w:val="00E01D52"/>
    <w:rsid w:val="00E0224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4FE"/>
    <w:rsid w:val="00E32CCF"/>
    <w:rsid w:val="00E34A98"/>
    <w:rsid w:val="00E35D1E"/>
    <w:rsid w:val="00E364F9"/>
    <w:rsid w:val="00E365FA"/>
    <w:rsid w:val="00E36789"/>
    <w:rsid w:val="00E36A38"/>
    <w:rsid w:val="00E44A83"/>
    <w:rsid w:val="00E44F44"/>
    <w:rsid w:val="00E47B0B"/>
    <w:rsid w:val="00E5028A"/>
    <w:rsid w:val="00E502C1"/>
    <w:rsid w:val="00E502DD"/>
    <w:rsid w:val="00E50D3A"/>
    <w:rsid w:val="00E51387"/>
    <w:rsid w:val="00E51E68"/>
    <w:rsid w:val="00E5294F"/>
    <w:rsid w:val="00E52CD9"/>
    <w:rsid w:val="00E52EFD"/>
    <w:rsid w:val="00E5333B"/>
    <w:rsid w:val="00E5408A"/>
    <w:rsid w:val="00E54FC8"/>
    <w:rsid w:val="00E5537D"/>
    <w:rsid w:val="00E56800"/>
    <w:rsid w:val="00E56F37"/>
    <w:rsid w:val="00E60C63"/>
    <w:rsid w:val="00E61044"/>
    <w:rsid w:val="00E61DFD"/>
    <w:rsid w:val="00E62035"/>
    <w:rsid w:val="00E62D91"/>
    <w:rsid w:val="00E62FF9"/>
    <w:rsid w:val="00E635D6"/>
    <w:rsid w:val="00E639BC"/>
    <w:rsid w:val="00E65E39"/>
    <w:rsid w:val="00E664CC"/>
    <w:rsid w:val="00E70388"/>
    <w:rsid w:val="00E70F92"/>
    <w:rsid w:val="00E71261"/>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A54"/>
    <w:rsid w:val="00E94AF0"/>
    <w:rsid w:val="00E94C66"/>
    <w:rsid w:val="00E95D13"/>
    <w:rsid w:val="00E95DD3"/>
    <w:rsid w:val="00E96271"/>
    <w:rsid w:val="00E9647D"/>
    <w:rsid w:val="00E964BB"/>
    <w:rsid w:val="00E969D5"/>
    <w:rsid w:val="00E97699"/>
    <w:rsid w:val="00EA337E"/>
    <w:rsid w:val="00EA3445"/>
    <w:rsid w:val="00EA39C9"/>
    <w:rsid w:val="00EA43C7"/>
    <w:rsid w:val="00EA5378"/>
    <w:rsid w:val="00EA58D1"/>
    <w:rsid w:val="00EA61BC"/>
    <w:rsid w:val="00EA681A"/>
    <w:rsid w:val="00EA735B"/>
    <w:rsid w:val="00EA73A9"/>
    <w:rsid w:val="00EA7D23"/>
    <w:rsid w:val="00EB026C"/>
    <w:rsid w:val="00EB0ED3"/>
    <w:rsid w:val="00EB0FA6"/>
    <w:rsid w:val="00EB1E69"/>
    <w:rsid w:val="00EB2086"/>
    <w:rsid w:val="00EB2D8E"/>
    <w:rsid w:val="00EB2FD0"/>
    <w:rsid w:val="00EB31ED"/>
    <w:rsid w:val="00EB496D"/>
    <w:rsid w:val="00EB5B4D"/>
    <w:rsid w:val="00EB5EDF"/>
    <w:rsid w:val="00EB60FE"/>
    <w:rsid w:val="00EB6B5C"/>
    <w:rsid w:val="00EB74DB"/>
    <w:rsid w:val="00EC0877"/>
    <w:rsid w:val="00EC28ED"/>
    <w:rsid w:val="00EC2A6B"/>
    <w:rsid w:val="00EC335F"/>
    <w:rsid w:val="00EC44F8"/>
    <w:rsid w:val="00EC4892"/>
    <w:rsid w:val="00EC4B96"/>
    <w:rsid w:val="00EC5359"/>
    <w:rsid w:val="00EC562A"/>
    <w:rsid w:val="00EC6C49"/>
    <w:rsid w:val="00EC6E90"/>
    <w:rsid w:val="00ED067A"/>
    <w:rsid w:val="00ED2B50"/>
    <w:rsid w:val="00ED398D"/>
    <w:rsid w:val="00ED532F"/>
    <w:rsid w:val="00EE0350"/>
    <w:rsid w:val="00EE0719"/>
    <w:rsid w:val="00EE0E80"/>
    <w:rsid w:val="00EE1E22"/>
    <w:rsid w:val="00EE3892"/>
    <w:rsid w:val="00EE39A0"/>
    <w:rsid w:val="00EE613F"/>
    <w:rsid w:val="00EE7295"/>
    <w:rsid w:val="00EE7869"/>
    <w:rsid w:val="00EF054A"/>
    <w:rsid w:val="00EF2348"/>
    <w:rsid w:val="00EF24AD"/>
    <w:rsid w:val="00EF309F"/>
    <w:rsid w:val="00EF3235"/>
    <w:rsid w:val="00EF3804"/>
    <w:rsid w:val="00EF47A2"/>
    <w:rsid w:val="00EF5153"/>
    <w:rsid w:val="00EF5B35"/>
    <w:rsid w:val="00EF6493"/>
    <w:rsid w:val="00EF6EB2"/>
    <w:rsid w:val="00EF7E4A"/>
    <w:rsid w:val="00EF7E72"/>
    <w:rsid w:val="00F00BEC"/>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3B87"/>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09B4"/>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21"/>
    <w:rsid w:val="00F940AD"/>
    <w:rsid w:val="00F94782"/>
    <w:rsid w:val="00F95248"/>
    <w:rsid w:val="00F956A9"/>
    <w:rsid w:val="00F963ED"/>
    <w:rsid w:val="00F966CF"/>
    <w:rsid w:val="00F96CAE"/>
    <w:rsid w:val="00F97C99"/>
    <w:rsid w:val="00FA12FE"/>
    <w:rsid w:val="00FA1D02"/>
    <w:rsid w:val="00FA20CF"/>
    <w:rsid w:val="00FA2E7C"/>
    <w:rsid w:val="00FA4347"/>
    <w:rsid w:val="00FA662D"/>
    <w:rsid w:val="00FA73B1"/>
    <w:rsid w:val="00FB0CB9"/>
    <w:rsid w:val="00FB231D"/>
    <w:rsid w:val="00FB3317"/>
    <w:rsid w:val="00FB360C"/>
    <w:rsid w:val="00FB40FE"/>
    <w:rsid w:val="00FB45F1"/>
    <w:rsid w:val="00FB4A72"/>
    <w:rsid w:val="00FB54E8"/>
    <w:rsid w:val="00FB57F8"/>
    <w:rsid w:val="00FB6410"/>
    <w:rsid w:val="00FB6CF0"/>
    <w:rsid w:val="00FB6F98"/>
    <w:rsid w:val="00FB7054"/>
    <w:rsid w:val="00FB7954"/>
    <w:rsid w:val="00FC00DE"/>
    <w:rsid w:val="00FC0336"/>
    <w:rsid w:val="00FC033F"/>
    <w:rsid w:val="00FC17B7"/>
    <w:rsid w:val="00FC2CB7"/>
    <w:rsid w:val="00FC33E5"/>
    <w:rsid w:val="00FC3ADB"/>
    <w:rsid w:val="00FC4090"/>
    <w:rsid w:val="00FC48B1"/>
    <w:rsid w:val="00FC55B4"/>
    <w:rsid w:val="00FC5F08"/>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566"/>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C070BE"/>
    <w:rsid w:val="380C3035"/>
    <w:rsid w:val="3E1F1B4E"/>
    <w:rsid w:val="4BE57950"/>
    <w:rsid w:val="4CC70625"/>
    <w:rsid w:val="543870C3"/>
    <w:rsid w:val="59DF288A"/>
    <w:rsid w:val="5B6B40E2"/>
    <w:rsid w:val="61E43AAD"/>
    <w:rsid w:val="64032252"/>
    <w:rsid w:val="64B6590C"/>
    <w:rsid w:val="666351EC"/>
    <w:rsid w:val="67580299"/>
    <w:rsid w:val="695B21AB"/>
    <w:rsid w:val="6EBA3E17"/>
    <w:rsid w:val="73425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1"/>
    <w:qFormat/>
    <w:uiPriority w:val="0"/>
    <w:pPr>
      <w:numPr>
        <w:ilvl w:val="2"/>
      </w:numPr>
      <w:spacing w:before="50" w:after="50"/>
      <w:outlineLvl w:val="3"/>
    </w:pPr>
  </w:style>
  <w:style w:type="paragraph" w:customStyle="1" w:styleId="235">
    <w:name w:val="三级条标题"/>
    <w:basedOn w:val="234"/>
    <w:next w:val="1"/>
    <w:qFormat/>
    <w:uiPriority w:val="0"/>
    <w:pPr>
      <w:numPr>
        <w:ilvl w:val="3"/>
      </w:numPr>
      <w:outlineLvl w:val="4"/>
    </w:pPr>
  </w:style>
  <w:style w:type="paragraph" w:customStyle="1" w:styleId="23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37">
    <w:name w:val="四级条标题"/>
    <w:basedOn w:val="235"/>
    <w:next w:val="1"/>
    <w:qFormat/>
    <w:uiPriority w:val="0"/>
    <w:pPr>
      <w:numPr>
        <w:ilvl w:val="4"/>
      </w:numPr>
      <w:outlineLvl w:val="5"/>
    </w:pPr>
  </w:style>
  <w:style w:type="paragraph" w:customStyle="1" w:styleId="238">
    <w:name w:val="五级条标题"/>
    <w:basedOn w:val="237"/>
    <w:next w:val="1"/>
    <w:qFormat/>
    <w:uiPriority w:val="0"/>
    <w:pPr>
      <w:numPr>
        <w:ilvl w:val="5"/>
      </w:numPr>
      <w:outlineLvl w:val="6"/>
    </w:pPr>
  </w:style>
  <w:style w:type="paragraph" w:customStyle="1" w:styleId="23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0">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1">
    <w:name w:val="二级无"/>
    <w:basedOn w:val="234"/>
    <w:qFormat/>
    <w:uiPriority w:val="0"/>
    <w:pPr>
      <w:spacing w:beforeLines="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39CF8A0489408B91B6CFE33D952123"/>
        <w:style w:val=""/>
        <w:category>
          <w:name w:val="常规"/>
          <w:gallery w:val="placeholder"/>
        </w:category>
        <w:types>
          <w:type w:val="bbPlcHdr"/>
        </w:types>
        <w:behaviors>
          <w:behavior w:val="content"/>
        </w:behaviors>
        <w:description w:val=""/>
        <w:guid w:val="{50C9D2AD-88B3-4B80-80DB-F5D5F316CF3A}"/>
      </w:docPartPr>
      <w:docPartBody>
        <w:p w14:paraId="11026A30">
          <w:pPr>
            <w:pStyle w:val="5"/>
          </w:pPr>
          <w:r>
            <w:rPr>
              <w:rStyle w:val="4"/>
              <w:rFonts w:hint="eastAsia"/>
            </w:rPr>
            <w:t>单击或点击此处输入文字。</w:t>
          </w:r>
        </w:p>
      </w:docPartBody>
    </w:docPart>
    <w:docPart>
      <w:docPartPr>
        <w:name w:val="D117C2ECA379403AAC8B0889F394A394"/>
        <w:style w:val=""/>
        <w:category>
          <w:name w:val="常规"/>
          <w:gallery w:val="placeholder"/>
        </w:category>
        <w:types>
          <w:type w:val="bbPlcHdr"/>
        </w:types>
        <w:behaviors>
          <w:behavior w:val="content"/>
        </w:behaviors>
        <w:description w:val=""/>
        <w:guid w:val="{3C399E9B-AE94-4BD3-8AE5-02AFA74DBE8E}"/>
      </w:docPartPr>
      <w:docPartBody>
        <w:p w14:paraId="34AB3001">
          <w:pPr>
            <w:pStyle w:val="6"/>
          </w:pPr>
          <w:r>
            <w:rPr>
              <w:rStyle w:val="4"/>
              <w:rFonts w:hint="eastAsia"/>
            </w:rPr>
            <w:t>选择一项。</w:t>
          </w:r>
        </w:p>
      </w:docPartBody>
    </w:docPart>
    <w:docPart>
      <w:docPartPr>
        <w:name w:val="7A4DC41AD3C7418B880A22AE39641804"/>
        <w:style w:val=""/>
        <w:category>
          <w:name w:val="常规"/>
          <w:gallery w:val="placeholder"/>
        </w:category>
        <w:types>
          <w:type w:val="bbPlcHdr"/>
        </w:types>
        <w:behaviors>
          <w:behavior w:val="content"/>
        </w:behaviors>
        <w:description w:val=""/>
        <w:guid w:val="{391871FC-832F-4561-A803-EF45DFA48687}"/>
      </w:docPartPr>
      <w:docPartBody>
        <w:p w14:paraId="4EA350D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D73CB"/>
    <w:rsid w:val="00256528"/>
    <w:rsid w:val="002D298C"/>
    <w:rsid w:val="003267BF"/>
    <w:rsid w:val="00336584"/>
    <w:rsid w:val="00342EC4"/>
    <w:rsid w:val="003946C7"/>
    <w:rsid w:val="003C6532"/>
    <w:rsid w:val="003E114C"/>
    <w:rsid w:val="00403027"/>
    <w:rsid w:val="00452EC1"/>
    <w:rsid w:val="0048476F"/>
    <w:rsid w:val="004A1ED1"/>
    <w:rsid w:val="004A3C53"/>
    <w:rsid w:val="00512802"/>
    <w:rsid w:val="00515CDB"/>
    <w:rsid w:val="00522F84"/>
    <w:rsid w:val="00524187"/>
    <w:rsid w:val="00551162"/>
    <w:rsid w:val="0056100E"/>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42E19"/>
    <w:rsid w:val="00744141"/>
    <w:rsid w:val="00751E37"/>
    <w:rsid w:val="00755B19"/>
    <w:rsid w:val="007851C9"/>
    <w:rsid w:val="007923AE"/>
    <w:rsid w:val="007E0004"/>
    <w:rsid w:val="0081591F"/>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0310D"/>
    <w:rsid w:val="00B74433"/>
    <w:rsid w:val="00B87C46"/>
    <w:rsid w:val="00BA765B"/>
    <w:rsid w:val="00BC26F7"/>
    <w:rsid w:val="00BD3D0A"/>
    <w:rsid w:val="00BD5A14"/>
    <w:rsid w:val="00BD715C"/>
    <w:rsid w:val="00C95D83"/>
    <w:rsid w:val="00CE5602"/>
    <w:rsid w:val="00D04C86"/>
    <w:rsid w:val="00D246F7"/>
    <w:rsid w:val="00DB4E3E"/>
    <w:rsid w:val="00DE6E42"/>
    <w:rsid w:val="00DF65B0"/>
    <w:rsid w:val="00E32992"/>
    <w:rsid w:val="00E64A2F"/>
    <w:rsid w:val="00E67CB5"/>
    <w:rsid w:val="00EE4359"/>
    <w:rsid w:val="00EF77E1"/>
    <w:rsid w:val="00F23991"/>
    <w:rsid w:val="00F67FB2"/>
    <w:rsid w:val="00F917B6"/>
    <w:rsid w:val="00FA5432"/>
    <w:rsid w:val="00FC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039CF8A0489408B91B6CFE33D952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17C2ECA379403AAC8B0889F394A3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4DC41AD3C7418B880A22AE3964180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98927-CC21-4A65-BB1C-026990D83EF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2564</Words>
  <Characters>3008</Characters>
  <Lines>29</Lines>
  <Paragraphs>8</Paragraphs>
  <TotalTime>4001</TotalTime>
  <ScaleCrop>false</ScaleCrop>
  <LinksUpToDate>false</LinksUpToDate>
  <CharactersWithSpaces>3233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2023-02-20T02:12:00Z</dcterms:created>
  <dc:creator>Windows User</dc:creator>
  <dc:description>&lt;config cover="true" show_menu="true" version="1.0.0" doctype="SDKXY"&gt;_x000d_
&lt;/config&gt;</dc:description>
  <cp:lastModifiedBy>8237477301</cp:lastModifiedBy>
  <cp:lastPrinted>2024-12-18T08:50:00Z</cp:lastPrinted>
  <dcterms:modified xsi:type="dcterms:W3CDTF">2025-03-31T06:13:21Z</dcterms:modified>
  <dc:title>团体标准</dc:title>
  <cp:revision>4682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eyJoZGlkIjoiODNjZTQ0MmYyOGQzZjI1N2E2MjRkOTZlM2YwN2I1OWUiLCJ1c2VySWQiOiIxNjQ1MzkxODUxIn0=</vt:lpwstr>
  </property>
</Properties>
</file>