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F5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74445F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58EB6EFC">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67.040</w:t>
            </w:r>
            <w:r>
              <w:rPr>
                <w:rFonts w:ascii="黑体" w:hAnsi="黑体" w:eastAsia="黑体"/>
                <w:sz w:val="21"/>
                <w:szCs w:val="21"/>
              </w:rPr>
              <w:fldChar w:fldCharType="end"/>
            </w:r>
            <w:bookmarkEnd w:id="0"/>
          </w:p>
        </w:tc>
      </w:tr>
      <w:tr w14:paraId="1FE0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6668A1">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DB133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1E4214B">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14:paraId="7B4B74D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10</w:t>
            </w:r>
            <w:r>
              <w:rPr>
                <w:rFonts w:ascii="黑体" w:hAnsi="黑体" w:eastAsia="黑体"/>
                <w:sz w:val="21"/>
                <w:szCs w:val="21"/>
              </w:rPr>
              <w:fldChar w:fldCharType="end"/>
            </w:r>
            <w:bookmarkEnd w:id="2"/>
          </w:p>
        </w:tc>
      </w:tr>
    </w:tbl>
    <w:p w14:paraId="377F3B28">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96FA9C7">
      <w:pPr>
        <w:pStyle w:val="196"/>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4708A65D">
      <w:pPr>
        <w:pStyle w:val="197"/>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118267BD">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00BC046E">
      <w:pPr>
        <w:pStyle w:val="51"/>
        <w:framePr w:w="9639" w:h="6976" w:hRule="exact" w:hSpace="0" w:vSpace="0" w:wrap="around" w:hAnchor="page" w:y="6408"/>
        <w:jc w:val="center"/>
        <w:rPr>
          <w:rFonts w:ascii="黑体" w:hAnsi="黑体" w:eastAsia="黑体"/>
          <w:b w:val="0"/>
          <w:bCs w:val="0"/>
          <w:w w:val="100"/>
        </w:rPr>
      </w:pPr>
    </w:p>
    <w:p w14:paraId="0FB76B87">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天然梅精</w:t>
      </w:r>
      <w:r>
        <w:fldChar w:fldCharType="end"/>
      </w:r>
      <w:bookmarkEnd w:id="8"/>
    </w:p>
    <w:p w14:paraId="53B549F9">
      <w:pPr>
        <w:framePr w:w="9639" w:h="6974" w:hRule="exact" w:wrap="around" w:vAnchor="page" w:hAnchor="page" w:x="1419" w:y="6408" w:anchorLock="1"/>
        <w:ind w:left="-1418"/>
      </w:pPr>
    </w:p>
    <w:p w14:paraId="0F247929">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Natural </w:t>
      </w:r>
      <w:r>
        <w:rPr>
          <w:rFonts w:hint="eastAsia" w:eastAsia="黑体"/>
          <w:szCs w:val="28"/>
        </w:rPr>
        <w:t>p</w:t>
      </w:r>
      <w:r>
        <w:rPr>
          <w:rFonts w:eastAsia="黑体"/>
          <w:szCs w:val="28"/>
        </w:rPr>
        <w:t xml:space="preserve">lum </w:t>
      </w:r>
      <w:r>
        <w:rPr>
          <w:rFonts w:hint="eastAsia" w:eastAsia="黑体"/>
          <w:szCs w:val="28"/>
        </w:rPr>
        <w:t>e</w:t>
      </w:r>
      <w:r>
        <w:rPr>
          <w:rFonts w:eastAsia="黑体"/>
          <w:szCs w:val="28"/>
        </w:rPr>
        <w:t>ssence</w:t>
      </w:r>
      <w:r>
        <w:rPr>
          <w:rFonts w:eastAsia="黑体"/>
          <w:szCs w:val="28"/>
        </w:rPr>
        <w:fldChar w:fldCharType="end"/>
      </w:r>
      <w:bookmarkEnd w:id="9"/>
    </w:p>
    <w:p w14:paraId="4692CD67">
      <w:pPr>
        <w:framePr w:w="9639" w:h="6974" w:hRule="exact" w:wrap="around" w:vAnchor="page" w:hAnchor="page" w:x="1419" w:y="6408" w:anchorLock="1"/>
        <w:spacing w:line="760" w:lineRule="exact"/>
        <w:ind w:left="-1418"/>
      </w:pPr>
    </w:p>
    <w:p w14:paraId="73BCF1F2">
      <w:pPr>
        <w:pStyle w:val="126"/>
        <w:framePr w:w="9639" w:h="6974" w:hRule="exact" w:wrap="around" w:vAnchor="page" w:hAnchor="page" w:x="1419" w:y="6408" w:anchorLock="1"/>
        <w:spacing w:before="720" w:beforeLines="300" w:after="72" w:afterLines="30" w:line="240" w:lineRule="auto"/>
        <w:textAlignment w:val="bottom"/>
        <w:rPr>
          <w:b/>
          <w:sz w:val="21"/>
          <w:szCs w:val="28"/>
        </w:rPr>
      </w:pPr>
    </w:p>
    <w:p w14:paraId="18807AD8">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rPr>
          <w:rFonts w:hint="eastAsia"/>
        </w:rPr>
        <w:t>发布</w:t>
      </w:r>
    </w:p>
    <w:p w14:paraId="060B40F3">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3F97796D">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8A2302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37D02045">
      <w:pPr>
        <w:pStyle w:val="92"/>
        <w:spacing w:after="360"/>
        <w:rPr>
          <w:rFonts w:hint="eastAsia"/>
        </w:rPr>
      </w:pPr>
      <w:bookmarkStart w:id="17" w:name="BookMark1"/>
      <w:bookmarkStart w:id="18" w:name="_Toc132803940"/>
      <w:bookmarkStart w:id="19" w:name="_Toc169535783"/>
      <w:bookmarkStart w:id="20" w:name="_Toc129366049"/>
      <w:bookmarkStart w:id="21" w:name="_Toc165387154"/>
      <w:bookmarkStart w:id="22" w:name="_Toc163835568"/>
      <w:bookmarkStart w:id="23" w:name="_Toc138863064"/>
      <w:bookmarkStart w:id="24" w:name="_Toc178173474"/>
      <w:bookmarkStart w:id="25" w:name="_Toc175221116"/>
      <w:bookmarkStart w:id="26" w:name="_Toc132806718"/>
      <w:bookmarkStart w:id="27" w:name="_Toc132638407"/>
      <w:bookmarkStart w:id="28" w:name="_Toc173164835"/>
      <w:bookmarkStart w:id="29" w:name="_Toc187327082"/>
      <w:bookmarkStart w:id="30" w:name="_Toc182300222"/>
      <w:bookmarkStart w:id="31" w:name="_Toc163835794"/>
      <w:bookmarkStart w:id="32" w:name="_Toc129272283"/>
      <w:bookmarkStart w:id="33" w:name="_Toc134114409"/>
      <w:bookmarkStart w:id="34" w:name="_Toc179448073"/>
      <w:bookmarkStart w:id="35" w:name="_Toc182302113"/>
      <w:bookmarkStart w:id="36" w:name="_Toc173422056"/>
      <w:bookmarkStart w:id="37" w:name="_Toc163901344"/>
      <w:bookmarkStart w:id="38" w:name="_Toc176188018"/>
      <w:bookmarkStart w:id="39" w:name="_Toc187326982"/>
      <w:bookmarkStart w:id="40" w:name="_Toc183097545"/>
      <w:bookmarkStart w:id="41" w:name="_Toc191650109"/>
      <w:r>
        <w:rPr>
          <w:rFonts w:hint="eastAsia"/>
          <w:spacing w:val="320"/>
        </w:rPr>
        <w:t>目</w:t>
      </w:r>
      <w:r>
        <w:rPr>
          <w:rFonts w:hint="eastAsia"/>
        </w:rPr>
        <w:t>次</w:t>
      </w:r>
    </w:p>
    <w:p w14:paraId="5D18B981">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"_Toc194323933" </w:instrText>
      </w:r>
      <w:r>
        <w:fldChar w:fldCharType="separate"/>
      </w:r>
      <w:r>
        <w:rPr>
          <w:rStyle w:val="33"/>
          <w:rFonts w:hint="eastAsia"/>
        </w:rPr>
        <w:t>前言</w:t>
      </w:r>
      <w:r>
        <w:tab/>
      </w:r>
      <w:r>
        <w:fldChar w:fldCharType="begin"/>
      </w:r>
      <w:r>
        <w:instrText xml:space="preserve"> PAGEREF _Toc194323933 \h </w:instrText>
      </w:r>
      <w:r>
        <w:fldChar w:fldCharType="separate"/>
      </w:r>
      <w:r>
        <w:t>II</w:t>
      </w:r>
      <w:r>
        <w:fldChar w:fldCharType="end"/>
      </w:r>
      <w:r>
        <w:fldChar w:fldCharType="end"/>
      </w:r>
    </w:p>
    <w:p w14:paraId="6B87157F">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"_Toc194323934" </w:instrText>
      </w:r>
      <w:r>
        <w:fldChar w:fldCharType="separate"/>
      </w:r>
      <w:r>
        <w:rPr>
          <w:rStyle w:val="33"/>
        </w:rPr>
        <w:t xml:space="preserve">1 </w:t>
      </w:r>
      <w:r>
        <w:rPr>
          <w:rStyle w:val="33"/>
          <w:rFonts w:hint="eastAsia"/>
        </w:rPr>
        <w:t xml:space="preserve"> 范围</w:t>
      </w:r>
      <w:r>
        <w:tab/>
      </w:r>
      <w:r>
        <w:fldChar w:fldCharType="begin"/>
      </w:r>
      <w:r>
        <w:instrText xml:space="preserve"> PAGEREF _Toc194323934 \h </w:instrText>
      </w:r>
      <w:r>
        <w:fldChar w:fldCharType="separate"/>
      </w:r>
      <w:r>
        <w:t>1</w:t>
      </w:r>
      <w:r>
        <w:fldChar w:fldCharType="end"/>
      </w:r>
      <w:r>
        <w:fldChar w:fldCharType="end"/>
      </w:r>
    </w:p>
    <w:p w14:paraId="66FD82CF">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"_Toc194323935"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_Toc194323935 \h </w:instrText>
      </w:r>
      <w:r>
        <w:fldChar w:fldCharType="separate"/>
      </w:r>
      <w:r>
        <w:t>1</w:t>
      </w:r>
      <w:r>
        <w:fldChar w:fldCharType="end"/>
      </w:r>
      <w:r>
        <w:fldChar w:fldCharType="end"/>
      </w:r>
    </w:p>
    <w:p w14:paraId="3B8B0621">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"_Toc194323936"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_Toc194323936 \h </w:instrText>
      </w:r>
      <w:r>
        <w:fldChar w:fldCharType="separate"/>
      </w:r>
      <w:r>
        <w:t>1</w:t>
      </w:r>
      <w:r>
        <w:fldChar w:fldCharType="end"/>
      </w:r>
      <w:r>
        <w:fldChar w:fldCharType="end"/>
      </w:r>
    </w:p>
    <w:p w14:paraId="24E5FB15">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"_Toc194323937" </w:instrText>
      </w:r>
      <w:r>
        <w:fldChar w:fldCharType="separate"/>
      </w:r>
      <w:r>
        <w:rPr>
          <w:rStyle w:val="33"/>
        </w:rPr>
        <w:t xml:space="preserve">4 </w:t>
      </w:r>
      <w:r>
        <w:rPr>
          <w:rStyle w:val="33"/>
          <w:rFonts w:hint="eastAsia"/>
        </w:rPr>
        <w:t xml:space="preserve"> 要求</w:t>
      </w:r>
      <w:r>
        <w:tab/>
      </w:r>
      <w:r>
        <w:fldChar w:fldCharType="begin"/>
      </w:r>
      <w:r>
        <w:instrText xml:space="preserve"> PAGEREF _Toc194323937 \h </w:instrText>
      </w:r>
      <w:r>
        <w:fldChar w:fldCharType="separate"/>
      </w:r>
      <w:r>
        <w:t>2</w:t>
      </w:r>
      <w:r>
        <w:fldChar w:fldCharType="end"/>
      </w:r>
      <w:r>
        <w:fldChar w:fldCharType="end"/>
      </w:r>
    </w:p>
    <w:p w14:paraId="7423115E">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"_Toc194323938" </w:instrText>
      </w:r>
      <w:r>
        <w:fldChar w:fldCharType="separate"/>
      </w:r>
      <w:r>
        <w:rPr>
          <w:rStyle w:val="33"/>
        </w:rPr>
        <w:t xml:space="preserve">5 </w:t>
      </w:r>
      <w:r>
        <w:rPr>
          <w:rStyle w:val="33"/>
          <w:rFonts w:hint="eastAsia"/>
        </w:rPr>
        <w:t xml:space="preserve"> 试验方法</w:t>
      </w:r>
      <w:r>
        <w:tab/>
      </w:r>
      <w:r>
        <w:fldChar w:fldCharType="begin"/>
      </w:r>
      <w:r>
        <w:instrText xml:space="preserve"> PAGEREF _Toc194323938 \h </w:instrText>
      </w:r>
      <w:r>
        <w:fldChar w:fldCharType="separate"/>
      </w:r>
      <w:r>
        <w:t>3</w:t>
      </w:r>
      <w:r>
        <w:fldChar w:fldCharType="end"/>
      </w:r>
      <w:r>
        <w:fldChar w:fldCharType="end"/>
      </w:r>
    </w:p>
    <w:p w14:paraId="19D81C63">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"_Toc194323939" </w:instrText>
      </w:r>
      <w:r>
        <w:fldChar w:fldCharType="separate"/>
      </w:r>
      <w:r>
        <w:rPr>
          <w:rStyle w:val="33"/>
        </w:rPr>
        <w:t xml:space="preserve">6 </w:t>
      </w:r>
      <w:r>
        <w:rPr>
          <w:rStyle w:val="33"/>
          <w:rFonts w:hint="eastAsia"/>
        </w:rPr>
        <w:t xml:space="preserve"> 检验规则</w:t>
      </w:r>
      <w:r>
        <w:tab/>
      </w:r>
      <w:r>
        <w:fldChar w:fldCharType="begin"/>
      </w:r>
      <w:r>
        <w:instrText xml:space="preserve"> PAGEREF _Toc194323939 \h </w:instrText>
      </w:r>
      <w:r>
        <w:fldChar w:fldCharType="separate"/>
      </w:r>
      <w:r>
        <w:t>4</w:t>
      </w:r>
      <w:r>
        <w:fldChar w:fldCharType="end"/>
      </w:r>
      <w:r>
        <w:fldChar w:fldCharType="end"/>
      </w:r>
    </w:p>
    <w:p w14:paraId="12E3521F">
      <w:pPr>
        <w:pStyle w:val="20"/>
        <w:tabs>
          <w:tab w:val="right" w:leader="dot" w:pos="9344"/>
        </w:tabs>
        <w:rPr>
          <w:rFonts w:asciiTheme="minorHAnsi" w:hAnsiTheme="minorHAnsi" w:eastAsiaTheme="minorEastAsia" w:cstheme="minorBidi"/>
          <w:szCs w:val="22"/>
        </w:rPr>
      </w:pPr>
      <w:r>
        <w:fldChar w:fldCharType="begin"/>
      </w:r>
      <w:r>
        <w:instrText xml:space="preserve"> HYPERLINK \l "_Toc194323940" </w:instrText>
      </w:r>
      <w:r>
        <w:fldChar w:fldCharType="separate"/>
      </w:r>
      <w:r>
        <w:rPr>
          <w:rStyle w:val="33"/>
        </w:rPr>
        <w:t xml:space="preserve">7 </w:t>
      </w:r>
      <w:r>
        <w:rPr>
          <w:rStyle w:val="33"/>
          <w:rFonts w:hint="eastAsia"/>
        </w:rPr>
        <w:t xml:space="preserve"> 标签、标志、包装、运输和贮存</w:t>
      </w:r>
      <w:r>
        <w:tab/>
      </w:r>
      <w:r>
        <w:fldChar w:fldCharType="begin"/>
      </w:r>
      <w:r>
        <w:instrText xml:space="preserve"> PAGEREF _Toc194323940 \h </w:instrText>
      </w:r>
      <w:r>
        <w:fldChar w:fldCharType="separate"/>
      </w:r>
      <w:r>
        <w:t>5</w:t>
      </w:r>
      <w:r>
        <w:fldChar w:fldCharType="end"/>
      </w:r>
      <w:r>
        <w:fldChar w:fldCharType="end"/>
      </w:r>
    </w:p>
    <w:p w14:paraId="77653FEB">
      <w:pPr>
        <w:pStyle w:val="92"/>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7"/>
    <w:p w14:paraId="09E43D3A">
      <w:pPr>
        <w:pStyle w:val="90"/>
        <w:spacing w:after="360"/>
      </w:pPr>
      <w:bookmarkStart w:id="42" w:name="_Toc194323933"/>
      <w:bookmarkStart w:id="43" w:name="BookMark2"/>
      <w:r>
        <w:rPr>
          <w:spacing w:val="320"/>
        </w:rPr>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FE30536">
      <w:pPr>
        <w:pStyle w:val="57"/>
        <w:spacing w:line="288" w:lineRule="auto"/>
        <w:ind w:firstLine="420"/>
      </w:pPr>
      <w:r>
        <w:rPr>
          <w:rFonts w:hint="eastAsia"/>
        </w:rPr>
        <w:t>本文件按照GB/T 1.1—2020《标准化工作导则  第1部分：标准化文件的结构和起草规则》的规定起草。</w:t>
      </w:r>
    </w:p>
    <w:p w14:paraId="3FAD241F">
      <w:pPr>
        <w:pStyle w:val="57"/>
        <w:spacing w:line="288" w:lineRule="auto"/>
        <w:ind w:firstLine="420"/>
      </w:pPr>
      <w:r>
        <w:rPr>
          <w:rFonts w:hint="eastAsia"/>
        </w:rPr>
        <w:t>请注意本文件的某些内容可能涉及专利。本文件的发布机构不承担识别专利的责任。</w:t>
      </w:r>
    </w:p>
    <w:p w14:paraId="2374D88D">
      <w:pPr>
        <w:pStyle w:val="57"/>
        <w:spacing w:line="288" w:lineRule="auto"/>
        <w:ind w:firstLine="420"/>
      </w:pPr>
      <w:r>
        <w:rPr>
          <w:rFonts w:hint="eastAsia"/>
        </w:rPr>
        <w:t>本文件由溜溜果园集团股份有限公司提出。</w:t>
      </w:r>
    </w:p>
    <w:p w14:paraId="3E10B131">
      <w:pPr>
        <w:pStyle w:val="57"/>
        <w:spacing w:line="288" w:lineRule="auto"/>
        <w:ind w:firstLine="420"/>
      </w:pPr>
      <w:r>
        <w:rPr>
          <w:rFonts w:hint="eastAsia"/>
        </w:rPr>
        <w:t>本文件由中国商品学会归口。</w:t>
      </w:r>
    </w:p>
    <w:p w14:paraId="68339C31">
      <w:pPr>
        <w:pStyle w:val="57"/>
        <w:spacing w:line="288" w:lineRule="auto"/>
        <w:ind w:firstLine="420"/>
      </w:pPr>
      <w:r>
        <w:rPr>
          <w:rFonts w:hint="eastAsia"/>
        </w:rPr>
        <w:t>本文件起草单位：溜溜果园集团股份有限公司。</w:t>
      </w:r>
    </w:p>
    <w:p w14:paraId="26EA270E">
      <w:pPr>
        <w:pStyle w:val="57"/>
        <w:spacing w:line="288" w:lineRule="auto"/>
        <w:ind w:firstLine="420"/>
      </w:pPr>
      <w:r>
        <w:rPr>
          <w:rFonts w:hint="eastAsia"/>
        </w:rPr>
        <w:t>本文件主要起草人：XXX。</w:t>
      </w:r>
    </w:p>
    <w:p w14:paraId="7852549D">
      <w:pPr>
        <w:pStyle w:val="57"/>
        <w:ind w:firstLine="420"/>
        <w:rPr>
          <w:color w:val="FF0000"/>
        </w:rPr>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43"/>
    <w:p w14:paraId="2C2A3867">
      <w:pPr>
        <w:spacing w:line="20" w:lineRule="exact"/>
        <w:jc w:val="center"/>
        <w:rPr>
          <w:rFonts w:ascii="黑体" w:hAnsi="黑体" w:eastAsia="黑体"/>
          <w:sz w:val="32"/>
          <w:szCs w:val="32"/>
        </w:rPr>
      </w:pPr>
      <w:bookmarkStart w:id="44" w:name="BookMark4"/>
    </w:p>
    <w:p w14:paraId="1645CC99">
      <w:pPr>
        <w:spacing w:line="20" w:lineRule="exact"/>
        <w:jc w:val="center"/>
        <w:rPr>
          <w:rFonts w:ascii="黑体" w:hAnsi="黑体" w:eastAsia="黑体"/>
          <w:sz w:val="32"/>
          <w:szCs w:val="32"/>
        </w:rPr>
      </w:pPr>
    </w:p>
    <w:sdt>
      <w:sdtPr>
        <w:tag w:val="NEW_STAND_NAME"/>
        <w:id w:val="595910757"/>
        <w:lock w:val="sdtLocked"/>
        <w:placeholder>
          <w:docPart w:val="8039CF8A0489408B91B6CFE33D952123"/>
        </w:placeholder>
      </w:sdtPr>
      <w:sdtContent>
        <w:p w14:paraId="2D2B2378">
          <w:pPr>
            <w:pStyle w:val="178"/>
            <w:spacing w:before="240" w:beforeLines="100" w:after="528" w:afterLines="220"/>
          </w:pPr>
          <w:bookmarkStart w:id="45" w:name="NEW_STAND_NAME"/>
          <w:r>
            <w:rPr>
              <w:rFonts w:hint="eastAsia"/>
            </w:rPr>
            <w:t>天然梅精</w:t>
          </w:r>
        </w:p>
      </w:sdtContent>
    </w:sdt>
    <w:bookmarkEnd w:id="45"/>
    <w:p w14:paraId="44A8346F">
      <w:pPr>
        <w:pStyle w:val="105"/>
        <w:spacing w:before="240" w:after="240" w:line="288" w:lineRule="auto"/>
      </w:pPr>
      <w:bookmarkStart w:id="46" w:name="_Toc176188019"/>
      <w:bookmarkStart w:id="47" w:name="_Toc165387155"/>
      <w:bookmarkStart w:id="48" w:name="_Toc163901345"/>
      <w:bookmarkStart w:id="49" w:name="_Toc132638408"/>
      <w:bookmarkStart w:id="50" w:name="_Toc132803941"/>
      <w:bookmarkStart w:id="51" w:name="_Toc132806719"/>
      <w:bookmarkStart w:id="52" w:name="_Toc173164836"/>
      <w:bookmarkStart w:id="53" w:name="_Toc163835569"/>
      <w:bookmarkStart w:id="54" w:name="_Toc26986771"/>
      <w:bookmarkStart w:id="55" w:name="_Toc17233325"/>
      <w:bookmarkStart w:id="56" w:name="_Toc26986530"/>
      <w:bookmarkStart w:id="57" w:name="_Toc24884211"/>
      <w:bookmarkStart w:id="58" w:name="_Toc26648465"/>
      <w:bookmarkStart w:id="59" w:name="_Toc163835795"/>
      <w:bookmarkStart w:id="60" w:name="_Toc138863065"/>
      <w:bookmarkStart w:id="61" w:name="_Toc134114410"/>
      <w:bookmarkStart w:id="62" w:name="_Toc17233333"/>
      <w:bookmarkStart w:id="63" w:name="_Toc183097546"/>
      <w:bookmarkStart w:id="64" w:name="_Toc26718930"/>
      <w:bookmarkStart w:id="65" w:name="_Toc182300223"/>
      <w:bookmarkStart w:id="66" w:name="_Toc179448074"/>
      <w:bookmarkStart w:id="67" w:name="_Toc129366050"/>
      <w:bookmarkStart w:id="68" w:name="_Toc169535784"/>
      <w:bookmarkStart w:id="69" w:name="_Toc187326983"/>
      <w:bookmarkStart w:id="70" w:name="_Toc175221117"/>
      <w:bookmarkStart w:id="71" w:name="_Toc194323934"/>
      <w:bookmarkStart w:id="72" w:name="_Toc187327083"/>
      <w:bookmarkStart w:id="73" w:name="_Toc173422057"/>
      <w:bookmarkStart w:id="74" w:name="_Toc191650110"/>
      <w:bookmarkStart w:id="75" w:name="_Toc182302114"/>
      <w:bookmarkStart w:id="76" w:name="_Toc178173475"/>
      <w:bookmarkStart w:id="77" w:name="_Toc129272284"/>
      <w:bookmarkStart w:id="78" w:name="_Toc24884218"/>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C4277B6">
      <w:pPr>
        <w:pStyle w:val="57"/>
        <w:spacing w:line="288" w:lineRule="auto"/>
        <w:ind w:firstLine="420"/>
      </w:pPr>
      <w:bookmarkStart w:id="79" w:name="_Toc26648466"/>
      <w:bookmarkStart w:id="80" w:name="_Toc17233326"/>
      <w:bookmarkStart w:id="81" w:name="_Toc24884219"/>
      <w:bookmarkStart w:id="82" w:name="_Toc24884212"/>
      <w:bookmarkStart w:id="83" w:name="_Toc17233334"/>
      <w:r>
        <w:rPr>
          <w:rFonts w:hint="eastAsia"/>
        </w:rPr>
        <w:t>本文件规定了天然梅精的要求、试验方法、检验规则、标签、标志、包装、运输和贮存。</w:t>
      </w:r>
    </w:p>
    <w:p w14:paraId="1FE3036A">
      <w:pPr>
        <w:pStyle w:val="57"/>
        <w:spacing w:line="288" w:lineRule="auto"/>
        <w:ind w:firstLine="420"/>
      </w:pPr>
      <w:r>
        <w:rPr>
          <w:rFonts w:hint="eastAsia"/>
        </w:rPr>
        <w:t>本文件适用于天然梅精的生产和检验。</w:t>
      </w:r>
    </w:p>
    <w:p w14:paraId="4AB4563A">
      <w:pPr>
        <w:pStyle w:val="105"/>
        <w:spacing w:before="240" w:after="240" w:line="288" w:lineRule="auto"/>
      </w:pPr>
      <w:bookmarkStart w:id="84" w:name="_Toc163835796"/>
      <w:bookmarkStart w:id="85" w:name="_Toc169535785"/>
      <w:bookmarkStart w:id="86" w:name="_Toc132806720"/>
      <w:bookmarkStart w:id="87" w:name="_Toc129272285"/>
      <w:bookmarkStart w:id="88" w:name="_Toc176188020"/>
      <w:bookmarkStart w:id="89" w:name="_Toc26986772"/>
      <w:bookmarkStart w:id="90" w:name="_Toc132638409"/>
      <w:bookmarkStart w:id="91" w:name="_Toc129366051"/>
      <w:bookmarkStart w:id="92" w:name="_Toc175221118"/>
      <w:bookmarkStart w:id="93" w:name="_Toc182302115"/>
      <w:bookmarkStart w:id="94" w:name="_Toc173422058"/>
      <w:bookmarkStart w:id="95" w:name="_Toc183097547"/>
      <w:bookmarkStart w:id="96" w:name="_Toc194323935"/>
      <w:bookmarkStart w:id="97" w:name="_Toc163835570"/>
      <w:bookmarkStart w:id="98" w:name="_Toc138863066"/>
      <w:bookmarkStart w:id="99" w:name="_Toc179448075"/>
      <w:bookmarkStart w:id="100" w:name="_Toc134114411"/>
      <w:bookmarkStart w:id="101" w:name="_Toc165387156"/>
      <w:bookmarkStart w:id="102" w:name="_Toc173164837"/>
      <w:bookmarkStart w:id="103" w:name="_Toc187327084"/>
      <w:bookmarkStart w:id="104" w:name="_Toc187326984"/>
      <w:bookmarkStart w:id="105" w:name="_Toc26986531"/>
      <w:bookmarkStart w:id="106" w:name="_Toc191650111"/>
      <w:bookmarkStart w:id="107" w:name="_Toc26718931"/>
      <w:bookmarkStart w:id="108" w:name="_Toc163901346"/>
      <w:bookmarkStart w:id="109" w:name="_Toc132803942"/>
      <w:bookmarkStart w:id="110" w:name="_Toc182300224"/>
      <w:bookmarkStart w:id="111" w:name="_Toc178173476"/>
      <w:r>
        <w:rPr>
          <w:rFonts w:hint="eastAsia"/>
        </w:rPr>
        <w:t>规范性引用文件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E2A1A24">
          <w:pPr>
            <w:pStyle w:val="57"/>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55A13C">
      <w:pPr>
        <w:pStyle w:val="57"/>
        <w:spacing w:line="288" w:lineRule="auto"/>
        <w:ind w:firstLine="420"/>
        <w:rPr>
          <w:rFonts w:hint="eastAsia"/>
        </w:rPr>
      </w:pPr>
      <w:r>
        <w:rPr>
          <w:rFonts w:hint="eastAsia"/>
        </w:rPr>
        <w:t>GB/T 191  包装储运图示标志</w:t>
      </w:r>
    </w:p>
    <w:p w14:paraId="5E530796">
      <w:pPr>
        <w:pStyle w:val="57"/>
        <w:spacing w:line="288" w:lineRule="auto"/>
        <w:ind w:firstLine="420"/>
      </w:pPr>
      <w:r>
        <w:rPr>
          <w:rFonts w:hint="eastAsia"/>
        </w:rPr>
        <w:t>GB 2761  食品安全国家标准  食品中真菌毒素限量</w:t>
      </w:r>
    </w:p>
    <w:p w14:paraId="6B501309">
      <w:pPr>
        <w:pStyle w:val="57"/>
        <w:spacing w:line="288" w:lineRule="auto"/>
        <w:ind w:firstLine="420"/>
      </w:pPr>
      <w:r>
        <w:rPr>
          <w:rFonts w:hint="eastAsia"/>
        </w:rPr>
        <w:t>GB 2762  食品安全国家标准  食品中污染物限量</w:t>
      </w:r>
    </w:p>
    <w:p w14:paraId="2C734350">
      <w:pPr>
        <w:pStyle w:val="57"/>
        <w:spacing w:line="288" w:lineRule="auto"/>
        <w:ind w:firstLine="420"/>
      </w:pPr>
      <w:r>
        <w:rPr>
          <w:rFonts w:hint="eastAsia"/>
        </w:rPr>
        <w:t>GB 2763  食品安全国家标准  食品中农药最大残留限量</w:t>
      </w:r>
    </w:p>
    <w:p w14:paraId="075EB9DB">
      <w:pPr>
        <w:pStyle w:val="57"/>
        <w:spacing w:line="288" w:lineRule="auto"/>
        <w:ind w:firstLine="420"/>
      </w:pPr>
      <w:r>
        <w:rPr>
          <w:rFonts w:hint="eastAsia"/>
        </w:rPr>
        <w:t>GB 4789.1  食品安全国家标准  食品微生物学检验  总则</w:t>
      </w:r>
    </w:p>
    <w:p w14:paraId="440B450B">
      <w:pPr>
        <w:pStyle w:val="57"/>
        <w:spacing w:line="288" w:lineRule="auto"/>
        <w:ind w:firstLine="420"/>
      </w:pPr>
      <w:r>
        <w:rPr>
          <w:rFonts w:hint="eastAsia"/>
        </w:rPr>
        <w:t>GB 4789.2  食品安全国家标准  食品微生物学检验  菌落总数测定</w:t>
      </w:r>
    </w:p>
    <w:p w14:paraId="2333EEC4">
      <w:pPr>
        <w:pStyle w:val="57"/>
        <w:spacing w:line="288" w:lineRule="auto"/>
        <w:ind w:firstLine="420"/>
      </w:pPr>
      <w:r>
        <w:rPr>
          <w:rFonts w:hint="eastAsia"/>
        </w:rPr>
        <w:t>GB 4789.3  食品安全国家标准  食品微生物学检验  大肠菌群计数</w:t>
      </w:r>
    </w:p>
    <w:p w14:paraId="498DACAF">
      <w:pPr>
        <w:pStyle w:val="57"/>
        <w:spacing w:line="288" w:lineRule="auto"/>
        <w:ind w:firstLine="420"/>
      </w:pPr>
      <w:r>
        <w:rPr>
          <w:rFonts w:hint="eastAsia"/>
        </w:rPr>
        <w:t>GB 4789.15  食品安全国家标准  食品微生物学检验  霉菌和酵母计数</w:t>
      </w:r>
    </w:p>
    <w:p w14:paraId="411D1A06">
      <w:pPr>
        <w:pStyle w:val="57"/>
        <w:spacing w:line="288" w:lineRule="auto"/>
        <w:ind w:firstLine="420"/>
        <w:rPr>
          <w:rFonts w:hint="eastAsia"/>
        </w:rPr>
      </w:pPr>
      <w:r>
        <w:rPr>
          <w:rFonts w:hint="eastAsia"/>
        </w:rPr>
        <w:t>GB/T 4789.21  食品卫生微生物学检验  冷冻饮品、饮料检验</w:t>
      </w:r>
    </w:p>
    <w:p w14:paraId="68ABE48E">
      <w:pPr>
        <w:pStyle w:val="57"/>
        <w:spacing w:line="288" w:lineRule="auto"/>
        <w:ind w:firstLine="420"/>
      </w:pPr>
      <w:r>
        <w:rPr>
          <w:rFonts w:hint="eastAsia"/>
        </w:rPr>
        <w:t>GB 5009.237  食品安全国家标准  食品pH值的测定</w:t>
      </w:r>
    </w:p>
    <w:p w14:paraId="3FE59AA9">
      <w:pPr>
        <w:pStyle w:val="57"/>
        <w:spacing w:line="288" w:lineRule="auto"/>
        <w:ind w:firstLine="420"/>
      </w:pPr>
      <w:r>
        <w:rPr>
          <w:rFonts w:hint="eastAsia"/>
        </w:rPr>
        <w:t>GB 5749  生活饮用水卫生标准</w:t>
      </w:r>
    </w:p>
    <w:p w14:paraId="46B3ABBD">
      <w:pPr>
        <w:pStyle w:val="57"/>
        <w:spacing w:line="288" w:lineRule="auto"/>
        <w:ind w:firstLine="420"/>
        <w:rPr>
          <w:rFonts w:hint="eastAsia"/>
        </w:rPr>
      </w:pPr>
      <w:r>
        <w:rPr>
          <w:rFonts w:hint="eastAsia"/>
        </w:rPr>
        <w:t>GB 7718  食品安全国家标准  预包装食品标签通则</w:t>
      </w:r>
    </w:p>
    <w:p w14:paraId="69D02870">
      <w:pPr>
        <w:pStyle w:val="57"/>
        <w:spacing w:line="288" w:lineRule="auto"/>
        <w:ind w:firstLine="420"/>
        <w:rPr>
          <w:rFonts w:hint="eastAsia"/>
        </w:rPr>
      </w:pPr>
      <w:r>
        <w:rPr>
          <w:rFonts w:hint="eastAsia"/>
        </w:rPr>
        <w:t>GB/T 12143  饮料通用分析方法</w:t>
      </w:r>
    </w:p>
    <w:p w14:paraId="715B672B">
      <w:pPr>
        <w:pStyle w:val="57"/>
        <w:spacing w:line="288" w:lineRule="auto"/>
        <w:ind w:firstLine="420"/>
      </w:pPr>
      <w:r>
        <w:rPr>
          <w:rFonts w:hint="eastAsia"/>
        </w:rPr>
        <w:t>GB 12456  食品安全国家标准  食品中总酸的测定</w:t>
      </w:r>
    </w:p>
    <w:p w14:paraId="28C482C1">
      <w:pPr>
        <w:pStyle w:val="57"/>
        <w:spacing w:line="288" w:lineRule="auto"/>
        <w:ind w:firstLine="420"/>
      </w:pPr>
      <w:r>
        <w:rPr>
          <w:rFonts w:hint="eastAsia"/>
        </w:rPr>
        <w:t>GB 12695  食品安全国家标准  饮料生产卫生规范</w:t>
      </w:r>
    </w:p>
    <w:p w14:paraId="51ABE748">
      <w:pPr>
        <w:pStyle w:val="57"/>
        <w:spacing w:line="288" w:lineRule="auto"/>
        <w:ind w:firstLine="420"/>
      </w:pPr>
      <w:r>
        <w:rPr>
          <w:rFonts w:hint="eastAsia"/>
        </w:rPr>
        <w:t>GB 14881  食品安全国家标准  食品生产通用卫生规范</w:t>
      </w:r>
    </w:p>
    <w:p w14:paraId="4DDF465F">
      <w:pPr>
        <w:pStyle w:val="57"/>
        <w:spacing w:line="288" w:lineRule="auto"/>
        <w:ind w:firstLine="420"/>
      </w:pPr>
      <w:r>
        <w:rPr>
          <w:rFonts w:hint="eastAsia"/>
        </w:rPr>
        <w:t>GB 28050  食品安全国家标准  预包装食品营养标签通则</w:t>
      </w:r>
    </w:p>
    <w:p w14:paraId="44DFC88C">
      <w:pPr>
        <w:pStyle w:val="57"/>
        <w:spacing w:line="288" w:lineRule="auto"/>
        <w:ind w:firstLine="420"/>
      </w:pPr>
      <w:r>
        <w:rPr>
          <w:rFonts w:hint="eastAsia"/>
        </w:rPr>
        <w:t>GB 29921  食品安全国家标准  预包装食品中致病菌限量</w:t>
      </w:r>
    </w:p>
    <w:p w14:paraId="4842E718">
      <w:pPr>
        <w:pStyle w:val="57"/>
        <w:spacing w:line="288" w:lineRule="auto"/>
        <w:ind w:firstLine="420"/>
      </w:pPr>
      <w:r>
        <w:rPr>
          <w:rFonts w:hint="eastAsia"/>
        </w:rPr>
        <w:t>JJF 1070  定量包装商品净含量计量检验规则</w:t>
      </w:r>
    </w:p>
    <w:p w14:paraId="6CE19F45">
      <w:pPr>
        <w:pStyle w:val="105"/>
        <w:spacing w:before="240" w:after="240" w:line="288" w:lineRule="auto"/>
      </w:pPr>
      <w:bookmarkStart w:id="112" w:name="_Toc169535786"/>
      <w:bookmarkStart w:id="113" w:name="_Toc129366052"/>
      <w:bookmarkStart w:id="114" w:name="_Toc178173477"/>
      <w:bookmarkStart w:id="115" w:name="_Toc165387157"/>
      <w:bookmarkStart w:id="116" w:name="_Toc176188021"/>
      <w:bookmarkStart w:id="117" w:name="_Toc163901347"/>
      <w:bookmarkStart w:id="118" w:name="_Toc163835797"/>
      <w:bookmarkStart w:id="119" w:name="_Toc173164838"/>
      <w:bookmarkStart w:id="120" w:name="_Toc175221119"/>
      <w:bookmarkStart w:id="121" w:name="_Toc182300225"/>
      <w:bookmarkStart w:id="122" w:name="_Toc132806721"/>
      <w:bookmarkStart w:id="123" w:name="_Toc138863067"/>
      <w:bookmarkStart w:id="124" w:name="_Toc134114412"/>
      <w:bookmarkStart w:id="125" w:name="_Toc187326985"/>
      <w:bookmarkStart w:id="126" w:name="_Toc173422059"/>
      <w:bookmarkStart w:id="127" w:name="_Toc191650112"/>
      <w:bookmarkStart w:id="128" w:name="_Toc183097548"/>
      <w:bookmarkStart w:id="129" w:name="_Toc187327085"/>
      <w:bookmarkStart w:id="130" w:name="_Toc163835571"/>
      <w:bookmarkStart w:id="131" w:name="_Toc132803943"/>
      <w:bookmarkStart w:id="132" w:name="_Toc132638410"/>
      <w:bookmarkStart w:id="133" w:name="_Toc182302116"/>
      <w:bookmarkStart w:id="134" w:name="_Toc179448076"/>
      <w:bookmarkStart w:id="135" w:name="_Toc129272286"/>
      <w:bookmarkStart w:id="136" w:name="_Toc194323936"/>
      <w:r>
        <w:rPr>
          <w:rFonts w:hint="eastAsia"/>
          <w:szCs w:val="21"/>
        </w:rPr>
        <w:t>术语和定义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DDC39F2">
          <w:pPr>
            <w:pStyle w:val="57"/>
            <w:spacing w:line="288" w:lineRule="auto"/>
            <w:ind w:firstLine="420"/>
          </w:pPr>
          <w:bookmarkStart w:id="137" w:name="_Toc26986532"/>
          <w:bookmarkEnd w:id="137"/>
          <w:r>
            <w:rPr>
              <w:rFonts w:hint="eastAsia"/>
            </w:rPr>
            <w:t>下列术语和定义适用于本文件。</w:t>
          </w:r>
        </w:p>
      </w:sdtContent>
    </w:sdt>
    <w:p w14:paraId="20092A2F">
      <w:pPr>
        <w:pStyle w:val="224"/>
        <w:spacing w:line="288" w:lineRule="auto"/>
        <w:ind w:left="420" w:hanging="420" w:hangingChars="200"/>
        <w:rPr>
          <w:rFonts w:ascii="黑体" w:hAnsi="黑体" w:eastAsia="黑体"/>
        </w:rPr>
      </w:pPr>
      <w:bookmarkStart w:id="138" w:name="_Toc138863071"/>
      <w:bookmarkStart w:id="139" w:name="_Toc191650113"/>
      <w:bookmarkStart w:id="140" w:name="_Toc132803947"/>
      <w:bookmarkStart w:id="141" w:name="_Toc182300226"/>
      <w:bookmarkStart w:id="142" w:name="_Toc173422060"/>
      <w:bookmarkStart w:id="143" w:name="_Toc176188022"/>
      <w:bookmarkStart w:id="144" w:name="_Toc187326986"/>
      <w:bookmarkStart w:id="145" w:name="_Toc182302117"/>
      <w:bookmarkStart w:id="146" w:name="_Toc132806725"/>
      <w:bookmarkStart w:id="147" w:name="_Toc179448078"/>
      <w:bookmarkStart w:id="148" w:name="_Toc178173478"/>
      <w:bookmarkStart w:id="149" w:name="_Toc132638414"/>
      <w:bookmarkStart w:id="150" w:name="_Toc163835798"/>
      <w:bookmarkStart w:id="151" w:name="_Toc163901349"/>
      <w:bookmarkStart w:id="152" w:name="_Toc169535787"/>
      <w:bookmarkStart w:id="153" w:name="_Toc134114416"/>
      <w:bookmarkStart w:id="154" w:name="_Toc129272287"/>
      <w:bookmarkStart w:id="155" w:name="_Toc175221121"/>
      <w:bookmarkStart w:id="156" w:name="_Toc129366053"/>
      <w:bookmarkStart w:id="157" w:name="_Toc183097549"/>
      <w:bookmarkStart w:id="158" w:name="_Toc173164840"/>
      <w:bookmarkStart w:id="159" w:name="_Toc187327086"/>
      <w:bookmarkStart w:id="160" w:name="_Toc165387159"/>
      <w:bookmarkStart w:id="161" w:name="_Toc163835572"/>
      <w:r>
        <w:rPr>
          <w:rFonts w:ascii="黑体" w:hAnsi="黑体" w:eastAsia="黑体"/>
        </w:rPr>
        <w:br w:type="textWrapping"/>
      </w:r>
      <w:r>
        <w:rPr>
          <w:rFonts w:hint="eastAsia" w:ascii="黑体" w:hAnsi="黑体" w:eastAsia="黑体"/>
        </w:rPr>
        <w:t>天然梅精  natural plum essence</w:t>
      </w:r>
    </w:p>
    <w:p w14:paraId="4574F40F">
      <w:pPr>
        <w:pStyle w:val="57"/>
        <w:spacing w:line="288" w:lineRule="auto"/>
        <w:ind w:firstLine="420"/>
      </w:pPr>
      <w:r>
        <w:rPr>
          <w:rFonts w:hint="eastAsia"/>
        </w:rPr>
        <w:t>以青梅为原料，经清洗、榨汁、过滤、浓缩、灌装等加工工艺制成的可用水冲调饮用，或用于生产饮料或其他食品的浓缩液。</w:t>
      </w:r>
    </w:p>
    <w:p w14:paraId="75C5DB2E">
      <w:pPr>
        <w:pStyle w:val="105"/>
        <w:spacing w:before="240" w:after="240" w:line="288" w:lineRule="auto"/>
      </w:pPr>
      <w:bookmarkStart w:id="162" w:name="_Toc194323937"/>
      <w:r>
        <w:rPr>
          <w:rFonts w:hint="eastAsia"/>
        </w:rPr>
        <w:t>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83FE346">
      <w:pPr>
        <w:pStyle w:val="106"/>
        <w:spacing w:before="120" w:after="120" w:line="288" w:lineRule="auto"/>
      </w:pPr>
      <w:r>
        <w:rPr>
          <w:rFonts w:hint="eastAsia"/>
        </w:rPr>
        <w:t>原料要求</w:t>
      </w:r>
    </w:p>
    <w:p w14:paraId="3AAE46C3">
      <w:pPr>
        <w:pStyle w:val="166"/>
        <w:spacing w:line="288" w:lineRule="auto"/>
      </w:pPr>
      <w:r>
        <w:rPr>
          <w:rFonts w:hint="eastAsia"/>
        </w:rPr>
        <w:t>青梅应成熟适度，无畸形、无腐烂、无病虫害，并符合 GB 2762、GB 2763 的规定。</w:t>
      </w:r>
    </w:p>
    <w:p w14:paraId="7E197355">
      <w:pPr>
        <w:pStyle w:val="166"/>
        <w:spacing w:line="288" w:lineRule="auto"/>
      </w:pPr>
      <w:r>
        <w:rPr>
          <w:rFonts w:hint="eastAsia"/>
        </w:rPr>
        <w:t>生产用水应符合 GB 5749 的规定。</w:t>
      </w:r>
    </w:p>
    <w:p w14:paraId="45C329C8">
      <w:pPr>
        <w:pStyle w:val="106"/>
        <w:spacing w:before="120" w:after="120" w:line="288" w:lineRule="auto"/>
      </w:pPr>
      <w:r>
        <w:t>感官要求</w:t>
      </w:r>
    </w:p>
    <w:p w14:paraId="2CA636C7">
      <w:pPr>
        <w:pStyle w:val="57"/>
        <w:spacing w:line="288" w:lineRule="auto"/>
        <w:ind w:firstLine="420"/>
      </w:pPr>
      <w:r>
        <w:rPr>
          <w:rFonts w:hint="eastAsia"/>
        </w:rPr>
        <w:t>应符合表 1 的规定。</w:t>
      </w:r>
    </w:p>
    <w:p w14:paraId="144833A3">
      <w:pPr>
        <w:pStyle w:val="113"/>
        <w:spacing w:before="120" w:after="120" w:line="288" w:lineRule="auto"/>
      </w:pPr>
      <w:r>
        <w:t>感官要求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7"/>
        <w:gridCol w:w="7237"/>
      </w:tblGrid>
      <w:tr w14:paraId="321F8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37" w:type="dxa"/>
            <w:tcBorders>
              <w:top w:val="single" w:color="auto" w:sz="8" w:space="0"/>
              <w:bottom w:val="single" w:color="auto" w:sz="8" w:space="0"/>
            </w:tcBorders>
            <w:shd w:val="clear" w:color="auto" w:fill="auto"/>
            <w:vAlign w:val="center"/>
          </w:tcPr>
          <w:p w14:paraId="3EE1E5FF">
            <w:pPr>
              <w:pStyle w:val="179"/>
              <w:spacing w:line="288" w:lineRule="auto"/>
            </w:pPr>
            <w:r>
              <w:t>项目</w:t>
            </w:r>
          </w:p>
        </w:tc>
        <w:tc>
          <w:tcPr>
            <w:tcW w:w="7237" w:type="dxa"/>
            <w:tcBorders>
              <w:top w:val="single" w:color="auto" w:sz="8" w:space="0"/>
              <w:bottom w:val="single" w:color="auto" w:sz="8" w:space="0"/>
            </w:tcBorders>
            <w:shd w:val="clear" w:color="auto" w:fill="auto"/>
            <w:vAlign w:val="center"/>
          </w:tcPr>
          <w:p w14:paraId="0FBC9D15">
            <w:pPr>
              <w:pStyle w:val="179"/>
              <w:spacing w:line="288" w:lineRule="auto"/>
            </w:pPr>
            <w:r>
              <w:t>要求</w:t>
            </w:r>
          </w:p>
        </w:tc>
      </w:tr>
      <w:tr w14:paraId="68B2A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37" w:type="dxa"/>
            <w:tcBorders>
              <w:top w:val="single" w:color="auto" w:sz="8" w:space="0"/>
              <w:bottom w:val="single" w:color="auto" w:sz="8" w:space="0"/>
            </w:tcBorders>
            <w:shd w:val="clear" w:color="auto" w:fill="auto"/>
            <w:vAlign w:val="center"/>
          </w:tcPr>
          <w:p w14:paraId="553F03C1">
            <w:pPr>
              <w:pStyle w:val="179"/>
              <w:spacing w:line="288" w:lineRule="auto"/>
            </w:pPr>
            <w:r>
              <w:t>色泽</w:t>
            </w:r>
          </w:p>
        </w:tc>
        <w:tc>
          <w:tcPr>
            <w:tcW w:w="7237" w:type="dxa"/>
            <w:tcBorders>
              <w:top w:val="single" w:color="auto" w:sz="8" w:space="0"/>
              <w:bottom w:val="single" w:color="auto" w:sz="8" w:space="0"/>
            </w:tcBorders>
            <w:shd w:val="clear" w:color="auto" w:fill="auto"/>
            <w:vAlign w:val="center"/>
          </w:tcPr>
          <w:p w14:paraId="1000BE1B">
            <w:pPr>
              <w:pStyle w:val="179"/>
              <w:spacing w:line="288" w:lineRule="auto"/>
            </w:pPr>
            <w:r>
              <w:t>具有该</w:t>
            </w:r>
            <w:r>
              <w:rPr>
                <w:rFonts w:hint="eastAsia"/>
              </w:rPr>
              <w:t>产品</w:t>
            </w:r>
            <w:r>
              <w:t>应有的色泽</w:t>
            </w:r>
          </w:p>
        </w:tc>
      </w:tr>
      <w:tr w14:paraId="44590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shd w:val="clear" w:color="auto" w:fill="auto"/>
            <w:vAlign w:val="center"/>
          </w:tcPr>
          <w:p w14:paraId="1459E805">
            <w:pPr>
              <w:pStyle w:val="179"/>
              <w:spacing w:line="288" w:lineRule="auto"/>
            </w:pPr>
            <w:r>
              <w:t>滋味</w:t>
            </w:r>
            <w:r>
              <w:rPr>
                <w:rFonts w:hint="eastAsia"/>
              </w:rPr>
              <w:t>、</w:t>
            </w:r>
            <w:r>
              <w:t>气味</w:t>
            </w:r>
          </w:p>
        </w:tc>
        <w:tc>
          <w:tcPr>
            <w:tcW w:w="7237" w:type="dxa"/>
            <w:shd w:val="clear" w:color="auto" w:fill="auto"/>
            <w:vAlign w:val="center"/>
          </w:tcPr>
          <w:p w14:paraId="67130564">
            <w:pPr>
              <w:pStyle w:val="179"/>
              <w:spacing w:line="288" w:lineRule="auto"/>
            </w:pPr>
            <w:r>
              <w:rPr>
                <w:rFonts w:hint="eastAsia"/>
              </w:rPr>
              <w:t>无异味、无异臭</w:t>
            </w:r>
          </w:p>
        </w:tc>
      </w:tr>
      <w:tr w14:paraId="37AF0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shd w:val="clear" w:color="auto" w:fill="auto"/>
            <w:vAlign w:val="center"/>
          </w:tcPr>
          <w:p w14:paraId="52B337A0">
            <w:pPr>
              <w:pStyle w:val="179"/>
              <w:spacing w:line="288" w:lineRule="auto"/>
            </w:pPr>
            <w:r>
              <w:rPr>
                <w:rFonts w:hint="eastAsia"/>
              </w:rPr>
              <w:t>状态</w:t>
            </w:r>
          </w:p>
        </w:tc>
        <w:tc>
          <w:tcPr>
            <w:tcW w:w="7237" w:type="dxa"/>
            <w:shd w:val="clear" w:color="auto" w:fill="auto"/>
            <w:vAlign w:val="center"/>
          </w:tcPr>
          <w:p w14:paraId="68A7CDE3">
            <w:pPr>
              <w:pStyle w:val="179"/>
              <w:spacing w:line="288" w:lineRule="auto"/>
            </w:pPr>
            <w:r>
              <w:rPr>
                <w:rFonts w:hint="eastAsia"/>
              </w:rPr>
              <w:t>无正常视力可见的外来异物</w:t>
            </w:r>
          </w:p>
        </w:tc>
      </w:tr>
    </w:tbl>
    <w:p w14:paraId="64B45EA7">
      <w:pPr>
        <w:pStyle w:val="57"/>
        <w:spacing w:line="288" w:lineRule="auto"/>
        <w:ind w:firstLine="420"/>
      </w:pPr>
    </w:p>
    <w:p w14:paraId="5664985D">
      <w:pPr>
        <w:pStyle w:val="106"/>
        <w:spacing w:before="120" w:after="120" w:line="288" w:lineRule="auto"/>
      </w:pPr>
      <w:r>
        <w:t>理化指标</w:t>
      </w:r>
    </w:p>
    <w:p w14:paraId="5A11ED4C">
      <w:pPr>
        <w:pStyle w:val="166"/>
        <w:numPr>
          <w:ilvl w:val="0"/>
          <w:numId w:val="0"/>
        </w:numPr>
        <w:spacing w:line="288" w:lineRule="auto"/>
        <w:ind w:firstLine="420" w:firstLineChars="200"/>
      </w:pPr>
      <w:r>
        <w:rPr>
          <w:rFonts w:hint="eastAsia"/>
        </w:rPr>
        <w:t>应符合表 2 的规定。</w:t>
      </w:r>
    </w:p>
    <w:p w14:paraId="6B3055F6">
      <w:pPr>
        <w:pStyle w:val="113"/>
        <w:spacing w:before="120" w:after="120" w:line="288" w:lineRule="auto"/>
      </w:pPr>
      <w:r>
        <w:rPr>
          <w:rFonts w:hint="eastAsia"/>
        </w:rPr>
        <w:t>理化指标</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55"/>
        <w:gridCol w:w="4119"/>
      </w:tblGrid>
      <w:tr w14:paraId="47E81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255" w:type="dxa"/>
            <w:tcBorders>
              <w:top w:val="single" w:color="auto" w:sz="8" w:space="0"/>
              <w:bottom w:val="single" w:color="auto" w:sz="8" w:space="0"/>
            </w:tcBorders>
            <w:shd w:val="clear" w:color="auto" w:fill="auto"/>
            <w:vAlign w:val="center"/>
          </w:tcPr>
          <w:p w14:paraId="329731C4">
            <w:pPr>
              <w:pStyle w:val="179"/>
              <w:spacing w:line="288" w:lineRule="auto"/>
            </w:pPr>
            <w:r>
              <w:rPr>
                <w:rFonts w:hint="eastAsia"/>
              </w:rPr>
              <w:t>项目</w:t>
            </w:r>
          </w:p>
        </w:tc>
        <w:tc>
          <w:tcPr>
            <w:tcW w:w="4119" w:type="dxa"/>
            <w:tcBorders>
              <w:top w:val="single" w:color="auto" w:sz="8" w:space="0"/>
              <w:bottom w:val="single" w:color="auto" w:sz="8" w:space="0"/>
            </w:tcBorders>
            <w:shd w:val="clear" w:color="auto" w:fill="auto"/>
            <w:vAlign w:val="center"/>
          </w:tcPr>
          <w:p w14:paraId="7734B455">
            <w:pPr>
              <w:pStyle w:val="179"/>
              <w:spacing w:line="288" w:lineRule="auto"/>
            </w:pPr>
            <w:r>
              <w:rPr>
                <w:rFonts w:hint="eastAsia"/>
              </w:rPr>
              <w:t>指标</w:t>
            </w:r>
          </w:p>
        </w:tc>
      </w:tr>
      <w:tr w14:paraId="31DF2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255" w:type="dxa"/>
            <w:tcBorders>
              <w:top w:val="single" w:color="auto" w:sz="8" w:space="0"/>
              <w:bottom w:val="single" w:color="auto" w:sz="8" w:space="0"/>
            </w:tcBorders>
            <w:shd w:val="clear" w:color="auto" w:fill="auto"/>
            <w:vAlign w:val="center"/>
          </w:tcPr>
          <w:p w14:paraId="4B3CEED8">
            <w:pPr>
              <w:pStyle w:val="179"/>
              <w:spacing w:line="288" w:lineRule="auto"/>
              <w:rPr>
                <w:rFonts w:hint="eastAsia"/>
              </w:rPr>
            </w:pPr>
            <w:r>
              <w:rPr>
                <w:rFonts w:hint="eastAsia"/>
              </w:rPr>
              <w:t>总酸（以柠檬酸计）/%</w:t>
            </w:r>
          </w:p>
        </w:tc>
        <w:tc>
          <w:tcPr>
            <w:tcW w:w="4119" w:type="dxa"/>
            <w:tcBorders>
              <w:top w:val="single" w:color="auto" w:sz="8" w:space="0"/>
              <w:bottom w:val="single" w:color="auto" w:sz="8" w:space="0"/>
            </w:tcBorders>
            <w:shd w:val="clear" w:color="auto" w:fill="auto"/>
            <w:vAlign w:val="center"/>
          </w:tcPr>
          <w:p w14:paraId="7D978BBF">
            <w:pPr>
              <w:pStyle w:val="179"/>
              <w:spacing w:line="288" w:lineRule="auto"/>
              <w:rPr>
                <w:rFonts w:hint="eastAsia"/>
              </w:rPr>
            </w:pPr>
            <w:r>
              <w:rPr>
                <w:rFonts w:hAnsi="宋体"/>
              </w:rPr>
              <w:t>≥</w:t>
            </w:r>
            <w:r>
              <w:rPr>
                <w:rFonts w:hint="eastAsia" w:hAnsi="宋体"/>
              </w:rPr>
              <w:t>5.0</w:t>
            </w:r>
          </w:p>
        </w:tc>
      </w:tr>
      <w:tr w14:paraId="26FD0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55" w:type="dxa"/>
            <w:tcBorders>
              <w:top w:val="single" w:color="auto" w:sz="8" w:space="0"/>
            </w:tcBorders>
            <w:shd w:val="clear" w:color="auto" w:fill="auto"/>
            <w:vAlign w:val="center"/>
          </w:tcPr>
          <w:p w14:paraId="1F69AD45">
            <w:pPr>
              <w:pStyle w:val="179"/>
              <w:spacing w:line="288" w:lineRule="auto"/>
            </w:pPr>
            <w:r>
              <w:t>可溶性固形物（</w:t>
            </w:r>
            <w:r>
              <w:rPr>
                <w:rFonts w:hint="eastAsia"/>
              </w:rPr>
              <w:t>20 ℃ 折光计法</w:t>
            </w:r>
            <w:r>
              <w:t>）</w:t>
            </w:r>
            <w:r>
              <w:rPr>
                <w:rFonts w:hint="eastAsia"/>
              </w:rPr>
              <w:t>/%</w:t>
            </w:r>
          </w:p>
        </w:tc>
        <w:tc>
          <w:tcPr>
            <w:tcW w:w="4119" w:type="dxa"/>
            <w:tcBorders>
              <w:top w:val="single" w:color="auto" w:sz="8" w:space="0"/>
            </w:tcBorders>
            <w:shd w:val="clear" w:color="auto" w:fill="auto"/>
            <w:vAlign w:val="center"/>
          </w:tcPr>
          <w:p w14:paraId="3E1AD6CD">
            <w:pPr>
              <w:pStyle w:val="179"/>
              <w:spacing w:line="288" w:lineRule="auto"/>
              <w:rPr>
                <w:rFonts w:hAnsi="宋体"/>
              </w:rPr>
            </w:pPr>
            <w:bookmarkStart w:id="163" w:name="OLE_LINK2"/>
            <w:bookmarkStart w:id="164" w:name="OLE_LINK3"/>
            <w:bookmarkStart w:id="165" w:name="OLE_LINK1"/>
            <w:r>
              <w:rPr>
                <w:rFonts w:hAnsi="宋体"/>
              </w:rPr>
              <w:t>≥</w:t>
            </w:r>
            <w:bookmarkEnd w:id="163"/>
            <w:bookmarkEnd w:id="164"/>
            <w:bookmarkEnd w:id="165"/>
            <w:r>
              <w:rPr>
                <w:rFonts w:hint="eastAsia" w:hAnsi="宋体"/>
              </w:rPr>
              <w:t>20</w:t>
            </w:r>
          </w:p>
        </w:tc>
      </w:tr>
      <w:tr w14:paraId="182C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55" w:type="dxa"/>
            <w:tcBorders>
              <w:top w:val="single" w:color="auto" w:sz="8" w:space="0"/>
              <w:bottom w:val="single" w:color="auto" w:sz="8" w:space="0"/>
            </w:tcBorders>
            <w:shd w:val="clear" w:color="auto" w:fill="auto"/>
            <w:vAlign w:val="center"/>
          </w:tcPr>
          <w:p w14:paraId="6B64FEA5">
            <w:pPr>
              <w:pStyle w:val="179"/>
              <w:spacing w:line="288" w:lineRule="auto"/>
            </w:pPr>
            <w:r>
              <w:t>pH</w:t>
            </w:r>
            <w:r>
              <w:rPr>
                <w:rFonts w:hint="eastAsia"/>
              </w:rPr>
              <w:t xml:space="preserve"> </w:t>
            </w:r>
            <w:r>
              <w:t>值</w:t>
            </w:r>
          </w:p>
        </w:tc>
        <w:tc>
          <w:tcPr>
            <w:tcW w:w="4119" w:type="dxa"/>
            <w:tcBorders>
              <w:top w:val="single" w:color="auto" w:sz="8" w:space="0"/>
              <w:bottom w:val="single" w:color="auto" w:sz="8" w:space="0"/>
            </w:tcBorders>
            <w:shd w:val="clear" w:color="auto" w:fill="auto"/>
            <w:vAlign w:val="center"/>
          </w:tcPr>
          <w:p w14:paraId="583896FF">
            <w:pPr>
              <w:pStyle w:val="179"/>
              <w:spacing w:line="288" w:lineRule="auto"/>
            </w:pPr>
            <w:r>
              <w:rPr>
                <w:rFonts w:hint="eastAsia"/>
              </w:rPr>
              <w:t>3.0～6.0</w:t>
            </w:r>
          </w:p>
        </w:tc>
      </w:tr>
    </w:tbl>
    <w:p w14:paraId="2C55C85D">
      <w:pPr>
        <w:pStyle w:val="57"/>
        <w:spacing w:line="288" w:lineRule="auto"/>
        <w:ind w:firstLine="420"/>
      </w:pPr>
    </w:p>
    <w:p w14:paraId="78FE7C99">
      <w:pPr>
        <w:pStyle w:val="106"/>
        <w:spacing w:before="120" w:after="120" w:line="288" w:lineRule="auto"/>
        <w:rPr>
          <w:rFonts w:hint="eastAsia"/>
        </w:rPr>
      </w:pPr>
      <w:r>
        <w:rPr>
          <w:rFonts w:hint="eastAsia"/>
        </w:rPr>
        <w:t>污染物限量和真菌毒素限量</w:t>
      </w:r>
    </w:p>
    <w:p w14:paraId="6A00E409">
      <w:pPr>
        <w:pStyle w:val="166"/>
        <w:spacing w:line="288" w:lineRule="auto"/>
        <w:rPr>
          <w:rFonts w:hint="eastAsia"/>
        </w:rPr>
      </w:pPr>
      <w:r>
        <w:rPr>
          <w:rFonts w:hint="eastAsia"/>
        </w:rPr>
        <w:t>污染物限量应符合 GB 2762 中浓缩果蔬汁（浆）的规定。</w:t>
      </w:r>
    </w:p>
    <w:p w14:paraId="7C568467">
      <w:pPr>
        <w:pStyle w:val="166"/>
        <w:spacing w:line="288" w:lineRule="auto"/>
      </w:pPr>
      <w:r>
        <w:rPr>
          <w:rFonts w:hint="eastAsia"/>
        </w:rPr>
        <w:t>真菌毒素限量应符合 GB 2761 中 果蔬汁类的规定。</w:t>
      </w:r>
    </w:p>
    <w:p w14:paraId="0F8B2E84">
      <w:pPr>
        <w:pStyle w:val="106"/>
        <w:spacing w:before="120" w:after="120" w:line="288" w:lineRule="auto"/>
      </w:pPr>
      <w:r>
        <w:rPr>
          <w:rFonts w:hint="eastAsia"/>
        </w:rPr>
        <w:t>农药残留限量</w:t>
      </w:r>
    </w:p>
    <w:p w14:paraId="1B7ECE75">
      <w:pPr>
        <w:pStyle w:val="57"/>
        <w:spacing w:line="288" w:lineRule="auto"/>
        <w:ind w:firstLine="420"/>
      </w:pPr>
      <w:r>
        <w:rPr>
          <w:rFonts w:hint="eastAsia"/>
        </w:rPr>
        <w:t>应符合 GB 2763 的规定。</w:t>
      </w:r>
    </w:p>
    <w:p w14:paraId="7EC1FBEF">
      <w:pPr>
        <w:pStyle w:val="106"/>
        <w:spacing w:before="120" w:after="120" w:line="288" w:lineRule="auto"/>
      </w:pPr>
      <w:r>
        <w:t>微生物限量</w:t>
      </w:r>
    </w:p>
    <w:p w14:paraId="0E5D6D12">
      <w:pPr>
        <w:pStyle w:val="166"/>
        <w:spacing w:line="288" w:lineRule="auto"/>
      </w:pPr>
      <w:r>
        <w:rPr>
          <w:rFonts w:hint="eastAsia"/>
        </w:rPr>
        <w:t>致病菌限量应符合 GB 29921 中饮料的规定。</w:t>
      </w:r>
    </w:p>
    <w:p w14:paraId="2B75361D">
      <w:pPr>
        <w:pStyle w:val="166"/>
        <w:spacing w:line="288" w:lineRule="auto"/>
        <w:rPr>
          <w:rFonts w:hint="eastAsia"/>
        </w:rPr>
      </w:pPr>
      <w:r>
        <w:rPr>
          <w:rFonts w:hint="eastAsia"/>
        </w:rPr>
        <w:t>其他微生物限量应符合表 3 的规定。</w:t>
      </w:r>
    </w:p>
    <w:p w14:paraId="2B13ED83">
      <w:pPr>
        <w:pStyle w:val="166"/>
        <w:numPr>
          <w:ilvl w:val="0"/>
          <w:numId w:val="0"/>
        </w:numPr>
        <w:spacing w:line="288" w:lineRule="auto"/>
        <w:rPr>
          <w:rFonts w:hint="eastAsia"/>
        </w:rPr>
      </w:pPr>
    </w:p>
    <w:p w14:paraId="41025D5C">
      <w:pPr>
        <w:pStyle w:val="166"/>
        <w:numPr>
          <w:ilvl w:val="0"/>
          <w:numId w:val="0"/>
        </w:numPr>
        <w:spacing w:line="288" w:lineRule="auto"/>
        <w:rPr>
          <w:rFonts w:hint="eastAsia"/>
        </w:rPr>
      </w:pPr>
    </w:p>
    <w:p w14:paraId="14DDD80D">
      <w:pPr>
        <w:pStyle w:val="166"/>
        <w:numPr>
          <w:ilvl w:val="0"/>
          <w:numId w:val="0"/>
        </w:numPr>
        <w:spacing w:line="288" w:lineRule="auto"/>
        <w:rPr>
          <w:rFonts w:hint="eastAsia"/>
        </w:rPr>
      </w:pPr>
    </w:p>
    <w:p w14:paraId="297EE0B0">
      <w:pPr>
        <w:pStyle w:val="166"/>
        <w:numPr>
          <w:ilvl w:val="0"/>
          <w:numId w:val="0"/>
        </w:numPr>
        <w:spacing w:line="288" w:lineRule="auto"/>
        <w:rPr>
          <w:rFonts w:hint="eastAsia"/>
        </w:rPr>
      </w:pPr>
    </w:p>
    <w:p w14:paraId="2C6C752F">
      <w:pPr>
        <w:pStyle w:val="166"/>
        <w:numPr>
          <w:ilvl w:val="0"/>
          <w:numId w:val="0"/>
        </w:numPr>
        <w:spacing w:line="288" w:lineRule="auto"/>
        <w:rPr>
          <w:rFonts w:hint="eastAsia"/>
        </w:rPr>
      </w:pPr>
    </w:p>
    <w:p w14:paraId="1650D5B1">
      <w:pPr>
        <w:pStyle w:val="166"/>
        <w:numPr>
          <w:ilvl w:val="0"/>
          <w:numId w:val="0"/>
        </w:numPr>
        <w:spacing w:line="288" w:lineRule="auto"/>
      </w:pPr>
    </w:p>
    <w:p w14:paraId="1D25700D">
      <w:pPr>
        <w:pStyle w:val="113"/>
        <w:spacing w:before="120" w:after="120" w:line="288" w:lineRule="auto"/>
      </w:pPr>
      <w:r>
        <w:t>微生物限量</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62"/>
        <w:gridCol w:w="1703"/>
        <w:gridCol w:w="1703"/>
        <w:gridCol w:w="1703"/>
        <w:gridCol w:w="1703"/>
      </w:tblGrid>
      <w:tr w14:paraId="5DDB7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62" w:type="dxa"/>
            <w:vMerge w:val="restart"/>
            <w:tcBorders>
              <w:top w:val="single" w:color="auto" w:sz="8" w:space="0"/>
            </w:tcBorders>
            <w:shd w:val="clear" w:color="auto" w:fill="auto"/>
            <w:vAlign w:val="center"/>
          </w:tcPr>
          <w:p w14:paraId="6EC9C795">
            <w:pPr>
              <w:pStyle w:val="179"/>
              <w:spacing w:line="288" w:lineRule="auto"/>
            </w:pPr>
            <w:r>
              <w:t>项目</w:t>
            </w:r>
          </w:p>
        </w:tc>
        <w:tc>
          <w:tcPr>
            <w:tcW w:w="6812" w:type="dxa"/>
            <w:gridSpan w:val="4"/>
            <w:tcBorders>
              <w:top w:val="single" w:color="auto" w:sz="8" w:space="0"/>
              <w:bottom w:val="single" w:color="auto" w:sz="8" w:space="0"/>
            </w:tcBorders>
            <w:shd w:val="clear" w:color="auto" w:fill="auto"/>
            <w:vAlign w:val="center"/>
          </w:tcPr>
          <w:p w14:paraId="4EF95F4D">
            <w:pPr>
              <w:pStyle w:val="179"/>
              <w:spacing w:line="288" w:lineRule="auto"/>
            </w:pPr>
            <w:r>
              <w:t>采样方案</w:t>
            </w:r>
            <w:r>
              <w:rPr>
                <w:vertAlign w:val="superscript"/>
              </w:rPr>
              <w:t>a</w:t>
            </w:r>
            <w:r>
              <w:t>及限量</w:t>
            </w:r>
          </w:p>
        </w:tc>
      </w:tr>
      <w:tr w14:paraId="5F391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62" w:type="dxa"/>
            <w:vMerge w:val="continue"/>
            <w:tcBorders>
              <w:bottom w:val="single" w:color="auto" w:sz="8" w:space="0"/>
            </w:tcBorders>
            <w:shd w:val="clear" w:color="auto" w:fill="auto"/>
            <w:vAlign w:val="center"/>
          </w:tcPr>
          <w:p w14:paraId="52B88EF9">
            <w:pPr>
              <w:pStyle w:val="179"/>
              <w:spacing w:line="288" w:lineRule="auto"/>
            </w:pPr>
          </w:p>
        </w:tc>
        <w:tc>
          <w:tcPr>
            <w:tcW w:w="1703" w:type="dxa"/>
            <w:tcBorders>
              <w:top w:val="single" w:color="auto" w:sz="8" w:space="0"/>
              <w:bottom w:val="single" w:color="auto" w:sz="8" w:space="0"/>
            </w:tcBorders>
            <w:shd w:val="clear" w:color="auto" w:fill="auto"/>
            <w:vAlign w:val="center"/>
          </w:tcPr>
          <w:p w14:paraId="6D805B38">
            <w:pPr>
              <w:pStyle w:val="179"/>
              <w:spacing w:line="288" w:lineRule="auto"/>
            </w:pPr>
            <w:r>
              <w:t>n</w:t>
            </w:r>
          </w:p>
        </w:tc>
        <w:tc>
          <w:tcPr>
            <w:tcW w:w="1703" w:type="dxa"/>
            <w:tcBorders>
              <w:top w:val="single" w:color="auto" w:sz="8" w:space="0"/>
              <w:bottom w:val="single" w:color="auto" w:sz="8" w:space="0"/>
            </w:tcBorders>
            <w:shd w:val="clear" w:color="auto" w:fill="auto"/>
            <w:vAlign w:val="center"/>
          </w:tcPr>
          <w:p w14:paraId="1583B8F7">
            <w:pPr>
              <w:pStyle w:val="179"/>
              <w:spacing w:line="288" w:lineRule="auto"/>
            </w:pPr>
            <w:r>
              <w:t>c</w:t>
            </w:r>
          </w:p>
        </w:tc>
        <w:tc>
          <w:tcPr>
            <w:tcW w:w="1703" w:type="dxa"/>
            <w:tcBorders>
              <w:top w:val="single" w:color="auto" w:sz="8" w:space="0"/>
              <w:bottom w:val="single" w:color="auto" w:sz="8" w:space="0"/>
            </w:tcBorders>
            <w:shd w:val="clear" w:color="auto" w:fill="auto"/>
            <w:vAlign w:val="center"/>
          </w:tcPr>
          <w:p w14:paraId="150099E3">
            <w:pPr>
              <w:pStyle w:val="179"/>
              <w:spacing w:line="288" w:lineRule="auto"/>
            </w:pPr>
            <w:r>
              <w:t>m</w:t>
            </w:r>
          </w:p>
        </w:tc>
        <w:tc>
          <w:tcPr>
            <w:tcW w:w="1703" w:type="dxa"/>
            <w:tcBorders>
              <w:top w:val="single" w:color="auto" w:sz="8" w:space="0"/>
              <w:bottom w:val="single" w:color="auto" w:sz="8" w:space="0"/>
            </w:tcBorders>
            <w:shd w:val="clear" w:color="auto" w:fill="auto"/>
            <w:vAlign w:val="center"/>
          </w:tcPr>
          <w:p w14:paraId="34C24EC6">
            <w:pPr>
              <w:pStyle w:val="179"/>
              <w:spacing w:line="288" w:lineRule="auto"/>
            </w:pPr>
            <w:r>
              <w:t>M</w:t>
            </w:r>
          </w:p>
        </w:tc>
      </w:tr>
      <w:tr w14:paraId="74F39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tcBorders>
              <w:top w:val="single" w:color="auto" w:sz="8" w:space="0"/>
            </w:tcBorders>
            <w:shd w:val="clear" w:color="auto" w:fill="auto"/>
            <w:vAlign w:val="center"/>
          </w:tcPr>
          <w:p w14:paraId="1661E80A">
            <w:pPr>
              <w:pStyle w:val="179"/>
              <w:spacing w:line="288" w:lineRule="auto"/>
            </w:pPr>
            <w:r>
              <w:t>菌落总数</w:t>
            </w:r>
            <w:r>
              <w:rPr>
                <w:rFonts w:hint="eastAsia"/>
              </w:rPr>
              <w:t>/（CFU/mL）</w:t>
            </w:r>
          </w:p>
        </w:tc>
        <w:tc>
          <w:tcPr>
            <w:tcW w:w="1703" w:type="dxa"/>
            <w:tcBorders>
              <w:top w:val="single" w:color="auto" w:sz="8" w:space="0"/>
            </w:tcBorders>
            <w:shd w:val="clear" w:color="auto" w:fill="auto"/>
            <w:vAlign w:val="center"/>
          </w:tcPr>
          <w:p w14:paraId="25B9BE3F">
            <w:pPr>
              <w:pStyle w:val="179"/>
              <w:spacing w:line="288" w:lineRule="auto"/>
            </w:pPr>
            <w:r>
              <w:rPr>
                <w:rFonts w:hint="eastAsia"/>
              </w:rPr>
              <w:t>5</w:t>
            </w:r>
          </w:p>
        </w:tc>
        <w:tc>
          <w:tcPr>
            <w:tcW w:w="1703" w:type="dxa"/>
            <w:tcBorders>
              <w:top w:val="single" w:color="auto" w:sz="8" w:space="0"/>
            </w:tcBorders>
            <w:shd w:val="clear" w:color="auto" w:fill="auto"/>
            <w:vAlign w:val="center"/>
          </w:tcPr>
          <w:p w14:paraId="364110C6">
            <w:pPr>
              <w:pStyle w:val="179"/>
              <w:spacing w:line="288" w:lineRule="auto"/>
            </w:pPr>
            <w:r>
              <w:rPr>
                <w:rFonts w:hint="eastAsia"/>
              </w:rPr>
              <w:t>2</w:t>
            </w:r>
          </w:p>
        </w:tc>
        <w:tc>
          <w:tcPr>
            <w:tcW w:w="1703" w:type="dxa"/>
            <w:tcBorders>
              <w:top w:val="single" w:color="auto" w:sz="8" w:space="0"/>
            </w:tcBorders>
            <w:shd w:val="clear" w:color="auto" w:fill="auto"/>
            <w:vAlign w:val="center"/>
          </w:tcPr>
          <w:p w14:paraId="39BF2E2B">
            <w:pPr>
              <w:pStyle w:val="179"/>
              <w:spacing w:line="288" w:lineRule="auto"/>
            </w:pPr>
            <w:r>
              <w:rPr>
                <w:rFonts w:hint="eastAsia"/>
              </w:rPr>
              <w:t>10</w:t>
            </w:r>
            <w:r>
              <w:rPr>
                <w:rFonts w:hint="eastAsia"/>
                <w:vertAlign w:val="superscript"/>
              </w:rPr>
              <w:t>2</w:t>
            </w:r>
          </w:p>
        </w:tc>
        <w:tc>
          <w:tcPr>
            <w:tcW w:w="1703" w:type="dxa"/>
            <w:tcBorders>
              <w:top w:val="single" w:color="auto" w:sz="8" w:space="0"/>
            </w:tcBorders>
            <w:shd w:val="clear" w:color="auto" w:fill="auto"/>
            <w:vAlign w:val="center"/>
          </w:tcPr>
          <w:p w14:paraId="701E2FDF">
            <w:pPr>
              <w:pStyle w:val="179"/>
              <w:spacing w:line="288" w:lineRule="auto"/>
            </w:pPr>
            <w:r>
              <w:rPr>
                <w:rFonts w:hint="eastAsia"/>
              </w:rPr>
              <w:t>10</w:t>
            </w:r>
            <w:r>
              <w:rPr>
                <w:rFonts w:hint="eastAsia"/>
                <w:vertAlign w:val="superscript"/>
              </w:rPr>
              <w:t>4</w:t>
            </w:r>
          </w:p>
        </w:tc>
      </w:tr>
      <w:tr w14:paraId="552DF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5250FCEF">
            <w:pPr>
              <w:pStyle w:val="179"/>
              <w:spacing w:line="288" w:lineRule="auto"/>
            </w:pPr>
            <w:r>
              <w:rPr>
                <w:rFonts w:hint="eastAsia"/>
              </w:rPr>
              <w:t>大肠菌群/（CFU/mL）</w:t>
            </w:r>
          </w:p>
        </w:tc>
        <w:tc>
          <w:tcPr>
            <w:tcW w:w="1703" w:type="dxa"/>
            <w:shd w:val="clear" w:color="auto" w:fill="auto"/>
            <w:vAlign w:val="center"/>
          </w:tcPr>
          <w:p w14:paraId="0E4A64C8">
            <w:pPr>
              <w:pStyle w:val="179"/>
              <w:spacing w:line="288" w:lineRule="auto"/>
            </w:pPr>
            <w:r>
              <w:rPr>
                <w:rFonts w:hint="eastAsia"/>
              </w:rPr>
              <w:t>5</w:t>
            </w:r>
          </w:p>
        </w:tc>
        <w:tc>
          <w:tcPr>
            <w:tcW w:w="1703" w:type="dxa"/>
            <w:shd w:val="clear" w:color="auto" w:fill="auto"/>
            <w:vAlign w:val="center"/>
          </w:tcPr>
          <w:p w14:paraId="40EF2F44">
            <w:pPr>
              <w:pStyle w:val="179"/>
              <w:spacing w:line="288" w:lineRule="auto"/>
            </w:pPr>
            <w:r>
              <w:rPr>
                <w:rFonts w:hint="eastAsia"/>
              </w:rPr>
              <w:t>2</w:t>
            </w:r>
          </w:p>
        </w:tc>
        <w:tc>
          <w:tcPr>
            <w:tcW w:w="1703" w:type="dxa"/>
            <w:shd w:val="clear" w:color="auto" w:fill="auto"/>
            <w:vAlign w:val="center"/>
          </w:tcPr>
          <w:p w14:paraId="23E870D9">
            <w:pPr>
              <w:pStyle w:val="179"/>
              <w:spacing w:line="288" w:lineRule="auto"/>
            </w:pPr>
            <w:r>
              <w:rPr>
                <w:rFonts w:hint="eastAsia"/>
              </w:rPr>
              <w:t>10</w:t>
            </w:r>
          </w:p>
        </w:tc>
        <w:tc>
          <w:tcPr>
            <w:tcW w:w="1703" w:type="dxa"/>
            <w:shd w:val="clear" w:color="auto" w:fill="auto"/>
            <w:vAlign w:val="center"/>
          </w:tcPr>
          <w:p w14:paraId="2F795D22">
            <w:pPr>
              <w:pStyle w:val="179"/>
              <w:spacing w:line="288" w:lineRule="auto"/>
            </w:pPr>
            <w:r>
              <w:rPr>
                <w:rFonts w:hint="eastAsia"/>
              </w:rPr>
              <w:t>10</w:t>
            </w:r>
            <w:r>
              <w:rPr>
                <w:rFonts w:hint="eastAsia"/>
                <w:vertAlign w:val="superscript"/>
              </w:rPr>
              <w:t>2</w:t>
            </w:r>
          </w:p>
        </w:tc>
      </w:tr>
      <w:tr w14:paraId="0E270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1960FDC6">
            <w:pPr>
              <w:pStyle w:val="179"/>
              <w:spacing w:line="288" w:lineRule="auto"/>
            </w:pPr>
            <w:r>
              <w:t>霉菌</w:t>
            </w:r>
            <w:r>
              <w:rPr>
                <w:rFonts w:hint="eastAsia"/>
              </w:rPr>
              <w:t>/（CFU/mL）</w:t>
            </w:r>
          </w:p>
        </w:tc>
        <w:tc>
          <w:tcPr>
            <w:tcW w:w="6812" w:type="dxa"/>
            <w:gridSpan w:val="4"/>
            <w:shd w:val="clear" w:color="auto" w:fill="auto"/>
            <w:vAlign w:val="center"/>
          </w:tcPr>
          <w:p w14:paraId="5AEF8B33">
            <w:pPr>
              <w:pStyle w:val="179"/>
              <w:spacing w:line="288" w:lineRule="auto"/>
            </w:pPr>
            <w:r>
              <w:rPr>
                <w:rFonts w:hAnsi="宋体"/>
              </w:rPr>
              <w:t>≤</w:t>
            </w:r>
            <w:r>
              <w:rPr>
                <w:rFonts w:hint="eastAsia"/>
              </w:rPr>
              <w:t>20</w:t>
            </w:r>
          </w:p>
        </w:tc>
      </w:tr>
      <w:tr w14:paraId="5712B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0D138CDD">
            <w:pPr>
              <w:pStyle w:val="179"/>
              <w:spacing w:line="288" w:lineRule="auto"/>
            </w:pPr>
            <w:r>
              <w:t>酵母</w:t>
            </w:r>
            <w:r>
              <w:rPr>
                <w:rFonts w:hint="eastAsia"/>
              </w:rPr>
              <w:t>/（CFU/mL）</w:t>
            </w:r>
          </w:p>
        </w:tc>
        <w:tc>
          <w:tcPr>
            <w:tcW w:w="6812" w:type="dxa"/>
            <w:gridSpan w:val="4"/>
            <w:shd w:val="clear" w:color="auto" w:fill="auto"/>
            <w:vAlign w:val="center"/>
          </w:tcPr>
          <w:p w14:paraId="415102E0">
            <w:pPr>
              <w:pStyle w:val="179"/>
              <w:spacing w:line="288" w:lineRule="auto"/>
            </w:pPr>
            <w:r>
              <w:rPr>
                <w:rFonts w:hAnsi="宋体"/>
              </w:rPr>
              <w:t>≤</w:t>
            </w:r>
            <w:r>
              <w:rPr>
                <w:rFonts w:hint="eastAsia"/>
              </w:rPr>
              <w:t>20</w:t>
            </w:r>
          </w:p>
        </w:tc>
      </w:tr>
      <w:tr w14:paraId="4176C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shd w:val="clear" w:color="auto" w:fill="auto"/>
            <w:vAlign w:val="center"/>
          </w:tcPr>
          <w:p w14:paraId="634AB567">
            <w:pPr>
              <w:pStyle w:val="180"/>
              <w:numPr>
                <w:ilvl w:val="0"/>
                <w:numId w:val="0"/>
              </w:numPr>
              <w:spacing w:line="288" w:lineRule="auto"/>
              <w:ind w:left="737" w:hanging="374"/>
            </w:pPr>
            <w:r>
              <w:rPr>
                <w:rFonts w:hint="eastAsia"/>
                <w:vertAlign w:val="superscript"/>
              </w:rPr>
              <w:t>a</w:t>
            </w:r>
            <w:r>
              <w:rPr>
                <w:rFonts w:hint="eastAsia"/>
              </w:rPr>
              <w:t xml:space="preserve"> 样品的分析及处理按 GB 4789.1 和 GB/T 4789.21 执行。</w:t>
            </w:r>
          </w:p>
        </w:tc>
      </w:tr>
    </w:tbl>
    <w:p w14:paraId="57D36893">
      <w:pPr>
        <w:pStyle w:val="57"/>
        <w:spacing w:line="288" w:lineRule="auto"/>
        <w:ind w:firstLine="420"/>
      </w:pPr>
    </w:p>
    <w:p w14:paraId="02FCD67E">
      <w:pPr>
        <w:pStyle w:val="106"/>
        <w:spacing w:before="120" w:after="120" w:line="288" w:lineRule="auto"/>
      </w:pPr>
      <w:r>
        <w:t>净含量</w:t>
      </w:r>
    </w:p>
    <w:p w14:paraId="3D76A69C">
      <w:pPr>
        <w:pStyle w:val="57"/>
        <w:spacing w:line="288" w:lineRule="auto"/>
        <w:ind w:firstLine="420"/>
      </w:pPr>
      <w:r>
        <w:rPr>
          <w:rFonts w:hint="eastAsia"/>
        </w:rPr>
        <w:t>应符合 JJF 1070 的规定。</w:t>
      </w:r>
    </w:p>
    <w:p w14:paraId="637955FD">
      <w:pPr>
        <w:pStyle w:val="106"/>
        <w:spacing w:before="120" w:after="120" w:line="288" w:lineRule="auto"/>
      </w:pPr>
      <w:r>
        <w:t>生产加工过程的卫生要求</w:t>
      </w:r>
    </w:p>
    <w:p w14:paraId="384D4B27">
      <w:pPr>
        <w:pStyle w:val="57"/>
        <w:spacing w:line="288" w:lineRule="auto"/>
        <w:ind w:firstLine="420"/>
      </w:pPr>
      <w:r>
        <w:rPr>
          <w:rFonts w:hint="eastAsia"/>
        </w:rPr>
        <w:t>应符合 GB 14881、GB 12695 的规定。</w:t>
      </w:r>
    </w:p>
    <w:p w14:paraId="3CBA61D6">
      <w:pPr>
        <w:pStyle w:val="105"/>
        <w:spacing w:before="240" w:after="240" w:line="288" w:lineRule="auto"/>
      </w:pPr>
      <w:bookmarkStart w:id="166" w:name="_Toc132638415"/>
      <w:bookmarkStart w:id="167" w:name="_Toc176188023"/>
      <w:bookmarkStart w:id="168" w:name="_Toc183097550"/>
      <w:bookmarkStart w:id="169" w:name="_Toc129272288"/>
      <w:bookmarkStart w:id="170" w:name="_Toc187326987"/>
      <w:bookmarkStart w:id="171" w:name="_Toc134114417"/>
      <w:bookmarkStart w:id="172" w:name="_Toc179448079"/>
      <w:bookmarkStart w:id="173" w:name="_Toc163835799"/>
      <w:bookmarkStart w:id="174" w:name="_Toc165387160"/>
      <w:bookmarkStart w:id="175" w:name="_Toc182300227"/>
      <w:bookmarkStart w:id="176" w:name="_Toc173164841"/>
      <w:bookmarkStart w:id="177" w:name="_Toc138863072"/>
      <w:bookmarkStart w:id="178" w:name="_Toc169535788"/>
      <w:bookmarkStart w:id="179" w:name="_Toc132806726"/>
      <w:bookmarkStart w:id="180" w:name="_Toc163835573"/>
      <w:bookmarkStart w:id="181" w:name="_Toc173422061"/>
      <w:bookmarkStart w:id="182" w:name="_Toc182302118"/>
      <w:bookmarkStart w:id="183" w:name="_Toc187327087"/>
      <w:bookmarkStart w:id="184" w:name="_Toc175221122"/>
      <w:bookmarkStart w:id="185" w:name="_Toc163901350"/>
      <w:bookmarkStart w:id="186" w:name="_Toc132803948"/>
      <w:bookmarkStart w:id="187" w:name="_Toc191650114"/>
      <w:bookmarkStart w:id="188" w:name="_Toc194323938"/>
      <w:bookmarkStart w:id="189" w:name="_Toc129366054"/>
      <w:bookmarkStart w:id="190" w:name="_Toc178173479"/>
      <w:r>
        <w:t>试验方法</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4F07385">
      <w:pPr>
        <w:pStyle w:val="106"/>
        <w:spacing w:before="120" w:after="120" w:line="288" w:lineRule="auto"/>
      </w:pPr>
      <w:r>
        <w:t>感官</w:t>
      </w:r>
    </w:p>
    <w:p w14:paraId="6B7B739F">
      <w:pPr>
        <w:pStyle w:val="57"/>
        <w:spacing w:line="288" w:lineRule="auto"/>
        <w:ind w:firstLine="420"/>
      </w:pPr>
      <w:r>
        <w:rPr>
          <w:rFonts w:hint="eastAsia"/>
        </w:rPr>
        <w:t>取一定量混合均匀的被测样品置 50 mL 无色透明烧杯中，在自然光下观察色泽，鉴别气味，品尝滋味，检</w:t>
      </w:r>
      <w:r>
        <w:rPr>
          <w:rFonts w:hint="eastAsia"/>
          <w:lang w:eastAsia="zh-CN"/>
        </w:rPr>
        <w:t>查</w:t>
      </w:r>
      <w:r>
        <w:rPr>
          <w:rFonts w:hint="eastAsia"/>
        </w:rPr>
        <w:t>其有无异物。</w:t>
      </w:r>
    </w:p>
    <w:p w14:paraId="2C60208C">
      <w:pPr>
        <w:pStyle w:val="106"/>
        <w:spacing w:before="120" w:after="120" w:line="288" w:lineRule="auto"/>
      </w:pPr>
      <w:r>
        <w:rPr>
          <w:rFonts w:hint="eastAsia"/>
        </w:rPr>
        <w:t>理化</w:t>
      </w:r>
      <w:r>
        <w:t>指标</w:t>
      </w:r>
    </w:p>
    <w:p w14:paraId="38ECE585">
      <w:pPr>
        <w:pStyle w:val="66"/>
        <w:spacing w:before="120" w:after="120" w:line="288" w:lineRule="auto"/>
        <w:rPr>
          <w:rFonts w:hint="eastAsia"/>
        </w:rPr>
      </w:pPr>
      <w:r>
        <w:t>总酸</w:t>
      </w:r>
    </w:p>
    <w:p w14:paraId="4C1BFA85">
      <w:pPr>
        <w:pStyle w:val="57"/>
        <w:spacing w:line="288" w:lineRule="auto"/>
        <w:ind w:firstLine="420"/>
        <w:rPr>
          <w:rFonts w:hint="eastAsia"/>
        </w:rPr>
      </w:pPr>
      <w:r>
        <w:rPr>
          <w:rFonts w:hint="eastAsia"/>
        </w:rPr>
        <w:t xml:space="preserve">按 </w:t>
      </w:r>
      <w:bookmarkStart w:id="191" w:name="OLE_LINK11"/>
      <w:bookmarkStart w:id="192" w:name="OLE_LINK12"/>
      <w:r>
        <w:rPr>
          <w:rFonts w:hint="eastAsia"/>
        </w:rPr>
        <w:t>GB 12456</w:t>
      </w:r>
      <w:bookmarkEnd w:id="191"/>
      <w:bookmarkEnd w:id="192"/>
      <w:r>
        <w:rPr>
          <w:rFonts w:hint="eastAsia"/>
        </w:rPr>
        <w:t xml:space="preserve"> 规定的方法测定。</w:t>
      </w:r>
    </w:p>
    <w:p w14:paraId="5C98CCCF">
      <w:pPr>
        <w:pStyle w:val="66"/>
        <w:spacing w:before="120" w:after="120" w:line="288" w:lineRule="auto"/>
        <w:rPr>
          <w:rFonts w:hint="eastAsia"/>
        </w:rPr>
      </w:pPr>
      <w:r>
        <w:t>可溶性固形物</w:t>
      </w:r>
    </w:p>
    <w:p w14:paraId="70C8CEE4">
      <w:pPr>
        <w:pStyle w:val="57"/>
        <w:spacing w:line="288" w:lineRule="auto"/>
        <w:ind w:firstLine="420"/>
        <w:rPr>
          <w:rFonts w:hint="eastAsia"/>
        </w:rPr>
      </w:pPr>
      <w:r>
        <w:rPr>
          <w:rFonts w:hint="eastAsia"/>
        </w:rPr>
        <w:t>按</w:t>
      </w:r>
      <w:r>
        <w:t xml:space="preserve"> </w:t>
      </w:r>
      <w:bookmarkStart w:id="193" w:name="OLE_LINK10"/>
      <w:bookmarkStart w:id="194" w:name="OLE_LINK9"/>
      <w:r>
        <w:t>GB/T 12143</w:t>
      </w:r>
      <w:bookmarkEnd w:id="193"/>
      <w:bookmarkEnd w:id="194"/>
      <w:r>
        <w:t xml:space="preserve"> </w:t>
      </w:r>
      <w:r>
        <w:rPr>
          <w:rFonts w:hint="eastAsia"/>
        </w:rPr>
        <w:t>规定的方法测定。</w:t>
      </w:r>
    </w:p>
    <w:p w14:paraId="73AEE855">
      <w:pPr>
        <w:pStyle w:val="66"/>
        <w:spacing w:before="120" w:after="120" w:line="288" w:lineRule="auto"/>
        <w:rPr>
          <w:rFonts w:hint="eastAsia"/>
        </w:rPr>
      </w:pPr>
      <w:r>
        <w:t>pH</w:t>
      </w:r>
      <w:r>
        <w:rPr>
          <w:rFonts w:hint="eastAsia"/>
        </w:rPr>
        <w:t>值</w:t>
      </w:r>
    </w:p>
    <w:p w14:paraId="4A7C7D76">
      <w:pPr>
        <w:pStyle w:val="57"/>
        <w:spacing w:line="288" w:lineRule="auto"/>
        <w:ind w:firstLine="420"/>
      </w:pPr>
      <w:r>
        <w:rPr>
          <w:rFonts w:hint="eastAsia"/>
        </w:rPr>
        <w:t xml:space="preserve">按 </w:t>
      </w:r>
      <w:bookmarkStart w:id="195" w:name="OLE_LINK7"/>
      <w:bookmarkStart w:id="196" w:name="OLE_LINK8"/>
      <w:r>
        <w:rPr>
          <w:rFonts w:hint="eastAsia"/>
        </w:rPr>
        <w:t>GB 5009.237</w:t>
      </w:r>
      <w:bookmarkEnd w:id="195"/>
      <w:bookmarkEnd w:id="196"/>
      <w:r>
        <w:rPr>
          <w:rFonts w:hint="eastAsia"/>
        </w:rPr>
        <w:t xml:space="preserve"> 规定的方法测定。</w:t>
      </w:r>
    </w:p>
    <w:p w14:paraId="24530D33">
      <w:pPr>
        <w:pStyle w:val="106"/>
        <w:spacing w:before="120" w:after="120" w:line="288" w:lineRule="auto"/>
        <w:rPr>
          <w:rFonts w:hint="eastAsia"/>
        </w:rPr>
      </w:pPr>
      <w:r>
        <w:rPr>
          <w:rFonts w:hint="eastAsia"/>
        </w:rPr>
        <w:t>污染物限量和真菌毒素限量</w:t>
      </w:r>
    </w:p>
    <w:p w14:paraId="0C573053">
      <w:pPr>
        <w:pStyle w:val="57"/>
        <w:spacing w:line="288" w:lineRule="auto"/>
        <w:ind w:firstLine="420"/>
        <w:rPr>
          <w:rFonts w:hint="eastAsia"/>
        </w:rPr>
      </w:pPr>
      <w:r>
        <w:rPr>
          <w:rFonts w:hint="eastAsia"/>
        </w:rPr>
        <w:t>污染物限量按</w:t>
      </w:r>
      <w:r>
        <w:t xml:space="preserve"> GB 276</w:t>
      </w:r>
      <w:r>
        <w:rPr>
          <w:rFonts w:hint="eastAsia"/>
        </w:rPr>
        <w:t>2</w:t>
      </w:r>
      <w:r>
        <w:t xml:space="preserve"> </w:t>
      </w:r>
      <w:r>
        <w:rPr>
          <w:rFonts w:hint="eastAsia"/>
        </w:rPr>
        <w:t>规定的方法测定。</w:t>
      </w:r>
    </w:p>
    <w:p w14:paraId="1CB67265">
      <w:pPr>
        <w:pStyle w:val="57"/>
        <w:spacing w:line="288" w:lineRule="auto"/>
        <w:ind w:firstLine="420"/>
        <w:rPr>
          <w:rFonts w:hint="eastAsia"/>
        </w:rPr>
      </w:pPr>
      <w:r>
        <w:rPr>
          <w:rFonts w:hint="eastAsia"/>
        </w:rPr>
        <w:t>真菌毒素限量按</w:t>
      </w:r>
      <w:r>
        <w:t xml:space="preserve"> GB 276</w:t>
      </w:r>
      <w:r>
        <w:rPr>
          <w:rFonts w:hint="eastAsia"/>
        </w:rPr>
        <w:t>1</w:t>
      </w:r>
      <w:r>
        <w:t xml:space="preserve"> </w:t>
      </w:r>
      <w:r>
        <w:rPr>
          <w:rFonts w:hint="eastAsia"/>
        </w:rPr>
        <w:t>规定的方法测定。</w:t>
      </w:r>
    </w:p>
    <w:p w14:paraId="2708270F">
      <w:pPr>
        <w:pStyle w:val="106"/>
        <w:spacing w:before="120" w:after="120" w:line="288" w:lineRule="auto"/>
      </w:pPr>
      <w:r>
        <w:rPr>
          <w:rFonts w:hint="eastAsia"/>
        </w:rPr>
        <w:t>农药残留限量</w:t>
      </w:r>
    </w:p>
    <w:p w14:paraId="17AA35DE">
      <w:pPr>
        <w:pStyle w:val="57"/>
        <w:spacing w:line="288" w:lineRule="auto"/>
        <w:ind w:firstLine="420"/>
      </w:pPr>
      <w:bookmarkStart w:id="197" w:name="OLE_LINK5"/>
      <w:bookmarkStart w:id="198" w:name="OLE_LINK6"/>
      <w:bookmarkStart w:id="199" w:name="OLE_LINK4"/>
      <w:r>
        <w:rPr>
          <w:rFonts w:hint="eastAsia"/>
        </w:rPr>
        <w:t>按 GB 2763 规定的方法测定。</w:t>
      </w:r>
      <w:bookmarkEnd w:id="197"/>
      <w:bookmarkEnd w:id="198"/>
      <w:bookmarkEnd w:id="199"/>
    </w:p>
    <w:p w14:paraId="6003E15B">
      <w:pPr>
        <w:pStyle w:val="106"/>
        <w:spacing w:before="120" w:after="120" w:line="288" w:lineRule="auto"/>
      </w:pPr>
      <w:r>
        <w:t>微生物</w:t>
      </w:r>
      <w:r>
        <w:rPr>
          <w:rFonts w:hint="eastAsia"/>
        </w:rPr>
        <w:t>限量</w:t>
      </w:r>
    </w:p>
    <w:p w14:paraId="77FE0D01">
      <w:pPr>
        <w:pStyle w:val="66"/>
        <w:spacing w:before="120" w:after="120" w:line="288" w:lineRule="auto"/>
      </w:pPr>
      <w:r>
        <w:rPr>
          <w:rFonts w:hint="eastAsia"/>
        </w:rPr>
        <w:t>致病菌</w:t>
      </w:r>
    </w:p>
    <w:p w14:paraId="6DA74B5F">
      <w:pPr>
        <w:pStyle w:val="57"/>
        <w:spacing w:line="288" w:lineRule="auto"/>
        <w:ind w:firstLine="420"/>
      </w:pPr>
      <w:r>
        <w:rPr>
          <w:rFonts w:hint="eastAsia"/>
        </w:rPr>
        <w:t>按 GB 29921 规定的方法测定。</w:t>
      </w:r>
    </w:p>
    <w:p w14:paraId="577AF7D4">
      <w:pPr>
        <w:pStyle w:val="66"/>
        <w:spacing w:before="120" w:after="120" w:line="288" w:lineRule="auto"/>
      </w:pPr>
      <w:r>
        <w:t>菌落总数</w:t>
      </w:r>
    </w:p>
    <w:p w14:paraId="72035321">
      <w:pPr>
        <w:pStyle w:val="57"/>
        <w:spacing w:line="288" w:lineRule="auto"/>
        <w:ind w:firstLine="420"/>
      </w:pPr>
      <w:r>
        <w:rPr>
          <w:rFonts w:hint="eastAsia"/>
        </w:rPr>
        <w:t>按 GB 4789.2 规定的方法测定。</w:t>
      </w:r>
    </w:p>
    <w:p w14:paraId="6FC36411">
      <w:pPr>
        <w:pStyle w:val="66"/>
        <w:spacing w:before="120" w:after="120" w:line="288" w:lineRule="auto"/>
      </w:pPr>
      <w:r>
        <w:t>大肠菌群</w:t>
      </w:r>
    </w:p>
    <w:p w14:paraId="1FA62766">
      <w:pPr>
        <w:pStyle w:val="57"/>
        <w:spacing w:line="288" w:lineRule="auto"/>
        <w:ind w:firstLine="420"/>
      </w:pPr>
      <w:r>
        <w:rPr>
          <w:rFonts w:hint="eastAsia"/>
        </w:rPr>
        <w:t>按 GB 4789.3 平板计数法测定。</w:t>
      </w:r>
    </w:p>
    <w:p w14:paraId="5AB62E40">
      <w:pPr>
        <w:pStyle w:val="66"/>
        <w:spacing w:before="120" w:after="120" w:line="288" w:lineRule="auto"/>
      </w:pPr>
      <w:r>
        <w:t>霉菌</w:t>
      </w:r>
    </w:p>
    <w:p w14:paraId="77350784">
      <w:pPr>
        <w:pStyle w:val="57"/>
        <w:spacing w:line="288" w:lineRule="auto"/>
        <w:ind w:firstLine="420"/>
      </w:pPr>
      <w:r>
        <w:rPr>
          <w:rFonts w:hint="eastAsia"/>
        </w:rPr>
        <w:t>按 GB 4789.15 规定的方法测定。</w:t>
      </w:r>
    </w:p>
    <w:p w14:paraId="3C68B991">
      <w:pPr>
        <w:pStyle w:val="66"/>
        <w:spacing w:before="120" w:after="120" w:line="288" w:lineRule="auto"/>
      </w:pPr>
      <w:r>
        <w:t>酵母</w:t>
      </w:r>
    </w:p>
    <w:p w14:paraId="00D886F6">
      <w:pPr>
        <w:pStyle w:val="57"/>
        <w:spacing w:line="288" w:lineRule="auto"/>
        <w:ind w:firstLine="420"/>
      </w:pPr>
      <w:r>
        <w:rPr>
          <w:rFonts w:hint="eastAsia"/>
        </w:rPr>
        <w:t>按 GB 4789.15 规定的方法测定。</w:t>
      </w:r>
    </w:p>
    <w:p w14:paraId="2A146326">
      <w:pPr>
        <w:pStyle w:val="106"/>
        <w:spacing w:before="120" w:after="120" w:line="288" w:lineRule="auto"/>
      </w:pPr>
      <w:r>
        <w:rPr>
          <w:rFonts w:hint="eastAsia"/>
        </w:rPr>
        <w:t>净含量</w:t>
      </w:r>
    </w:p>
    <w:p w14:paraId="31D6534D">
      <w:pPr>
        <w:pStyle w:val="57"/>
        <w:spacing w:line="288" w:lineRule="auto"/>
        <w:ind w:firstLine="420"/>
      </w:pPr>
      <w:r>
        <w:rPr>
          <w:rFonts w:hint="eastAsia"/>
        </w:rPr>
        <w:t>按 JJF 1070 的规定进行。</w:t>
      </w:r>
    </w:p>
    <w:p w14:paraId="0677CDB5">
      <w:pPr>
        <w:pStyle w:val="105"/>
        <w:spacing w:before="240" w:after="240" w:line="288" w:lineRule="auto"/>
      </w:pPr>
      <w:bookmarkStart w:id="200" w:name="_Toc183097551"/>
      <w:bookmarkStart w:id="201" w:name="_Toc187326988"/>
      <w:bookmarkStart w:id="202" w:name="_Toc182302119"/>
      <w:bookmarkStart w:id="203" w:name="_Toc187327088"/>
      <w:bookmarkStart w:id="204" w:name="_Toc191650115"/>
      <w:bookmarkStart w:id="205" w:name="_Toc182300228"/>
      <w:bookmarkStart w:id="206" w:name="_Toc194323939"/>
      <w:r>
        <w:t>检验规则</w:t>
      </w:r>
      <w:bookmarkEnd w:id="200"/>
      <w:bookmarkEnd w:id="201"/>
      <w:bookmarkEnd w:id="202"/>
      <w:bookmarkEnd w:id="203"/>
      <w:bookmarkEnd w:id="204"/>
      <w:bookmarkEnd w:id="205"/>
      <w:bookmarkEnd w:id="206"/>
    </w:p>
    <w:p w14:paraId="229BEA64">
      <w:pPr>
        <w:pStyle w:val="106"/>
        <w:spacing w:before="120" w:after="120" w:line="288" w:lineRule="auto"/>
      </w:pPr>
      <w:r>
        <w:rPr>
          <w:rFonts w:hint="eastAsia"/>
        </w:rPr>
        <w:t>组批</w:t>
      </w:r>
    </w:p>
    <w:p w14:paraId="131F7DBE">
      <w:pPr>
        <w:pStyle w:val="57"/>
        <w:spacing w:line="288" w:lineRule="auto"/>
        <w:ind w:firstLine="420"/>
      </w:pPr>
      <w:r>
        <w:rPr>
          <w:rFonts w:hint="eastAsia"/>
        </w:rPr>
        <w:t>以同一次投料、同一生产线、同一班次生产的同规格产品为一组批。</w:t>
      </w:r>
    </w:p>
    <w:p w14:paraId="0C41963E">
      <w:pPr>
        <w:pStyle w:val="106"/>
        <w:spacing w:before="120" w:after="120" w:line="288" w:lineRule="auto"/>
      </w:pPr>
      <w:r>
        <w:rPr>
          <w:rFonts w:hint="eastAsia"/>
        </w:rPr>
        <w:t>取样</w:t>
      </w:r>
    </w:p>
    <w:p w14:paraId="391D2ACB">
      <w:pPr>
        <w:pStyle w:val="57"/>
        <w:spacing w:line="288" w:lineRule="auto"/>
        <w:ind w:firstLine="420"/>
      </w:pPr>
      <w:r>
        <w:rPr>
          <w:rFonts w:hint="eastAsia"/>
        </w:rPr>
        <w:t>从每批产品中随机抽取样品，抽样基数不少于 200 个包装，抽样数量为 18 个包装，样品分为 2 份，1 份检验，1 份备查。</w:t>
      </w:r>
    </w:p>
    <w:p w14:paraId="251AA000">
      <w:pPr>
        <w:pStyle w:val="106"/>
        <w:spacing w:before="120" w:after="120" w:line="288" w:lineRule="auto"/>
      </w:pPr>
      <w:r>
        <w:rPr>
          <w:rFonts w:hint="eastAsia"/>
        </w:rPr>
        <w:t>出厂检验</w:t>
      </w:r>
    </w:p>
    <w:p w14:paraId="66DD759D">
      <w:pPr>
        <w:pStyle w:val="166"/>
        <w:spacing w:line="288" w:lineRule="auto"/>
      </w:pPr>
      <w:r>
        <w:rPr>
          <w:rFonts w:hint="eastAsia"/>
        </w:rPr>
        <w:t>每批产品应进行出厂检验，并出具产品合格证明后方可出厂。</w:t>
      </w:r>
    </w:p>
    <w:p w14:paraId="660C03D5">
      <w:pPr>
        <w:pStyle w:val="166"/>
        <w:spacing w:line="288" w:lineRule="auto"/>
      </w:pPr>
      <w:r>
        <w:rPr>
          <w:rFonts w:hint="eastAsia"/>
        </w:rPr>
        <w:t>出厂检验项目为：感官要求、总酸、可溶性固形物、pH 值、菌落总数、大肠菌群、净含量。</w:t>
      </w:r>
    </w:p>
    <w:p w14:paraId="6BF51D5E">
      <w:pPr>
        <w:pStyle w:val="106"/>
        <w:spacing w:before="120" w:after="120" w:line="288" w:lineRule="auto"/>
      </w:pPr>
      <w:r>
        <w:rPr>
          <w:rFonts w:hint="eastAsia"/>
        </w:rPr>
        <w:t>型式检验</w:t>
      </w:r>
    </w:p>
    <w:p w14:paraId="26BC2B32">
      <w:pPr>
        <w:pStyle w:val="166"/>
        <w:spacing w:line="288" w:lineRule="auto"/>
      </w:pPr>
      <w:r>
        <w:rPr>
          <w:rFonts w:hint="eastAsia"/>
        </w:rPr>
        <w:t>型式检验项目为本文件规定的全部项目。</w:t>
      </w:r>
    </w:p>
    <w:p w14:paraId="47153CB1">
      <w:pPr>
        <w:pStyle w:val="166"/>
        <w:spacing w:line="288" w:lineRule="auto"/>
      </w:pPr>
      <w:r>
        <w:rPr>
          <w:rFonts w:hint="eastAsia"/>
        </w:rPr>
        <w:t>每年至少应对产品进行一次型式检验，有下列情况之一时也应进行型式检验：</w:t>
      </w:r>
    </w:p>
    <w:p w14:paraId="59F9BCB9">
      <w:pPr>
        <w:pStyle w:val="175"/>
        <w:spacing w:line="288" w:lineRule="auto"/>
      </w:pPr>
      <w:r>
        <w:rPr>
          <w:rFonts w:hint="eastAsia"/>
        </w:rPr>
        <w:t>更改主要原料；</w:t>
      </w:r>
    </w:p>
    <w:p w14:paraId="3A65C1EC">
      <w:pPr>
        <w:pStyle w:val="175"/>
        <w:spacing w:line="288" w:lineRule="auto"/>
      </w:pPr>
      <w:r>
        <w:rPr>
          <w:rFonts w:hint="eastAsia"/>
        </w:rPr>
        <w:t>工艺有较大变化；</w:t>
      </w:r>
    </w:p>
    <w:p w14:paraId="624AE326">
      <w:pPr>
        <w:pStyle w:val="175"/>
        <w:spacing w:line="288" w:lineRule="auto"/>
      </w:pPr>
      <w:r>
        <w:rPr>
          <w:rFonts w:hint="eastAsia"/>
        </w:rPr>
        <w:t>长期停产后恢复生产；</w:t>
      </w:r>
    </w:p>
    <w:p w14:paraId="7E76B9FB">
      <w:pPr>
        <w:pStyle w:val="175"/>
        <w:spacing w:line="288" w:lineRule="auto"/>
      </w:pPr>
      <w:r>
        <w:rPr>
          <w:rFonts w:hint="eastAsia"/>
        </w:rPr>
        <w:t>出厂检验的结果与上次型式检验有较大差异。</w:t>
      </w:r>
    </w:p>
    <w:p w14:paraId="44ED8DE8">
      <w:pPr>
        <w:pStyle w:val="106"/>
        <w:spacing w:before="120" w:after="120" w:line="288" w:lineRule="auto"/>
      </w:pPr>
      <w:r>
        <w:t>判定规则</w:t>
      </w:r>
    </w:p>
    <w:p w14:paraId="36827F69">
      <w:pPr>
        <w:pStyle w:val="166"/>
        <w:spacing w:line="288" w:lineRule="auto"/>
      </w:pPr>
      <w:r>
        <w:rPr>
          <w:rFonts w:hint="eastAsia"/>
        </w:rPr>
        <w:t>检验结果全部项目符合本文件要求时，判该批产品为合格品。</w:t>
      </w:r>
    </w:p>
    <w:p w14:paraId="6169CCFC">
      <w:pPr>
        <w:pStyle w:val="166"/>
        <w:spacing w:line="288" w:lineRule="auto"/>
      </w:pPr>
      <w:r>
        <w:rPr>
          <w:rFonts w:hint="eastAsia"/>
        </w:rPr>
        <w:t>若检验结果中有项目不符合本文件要求，可以在原批次产品中双倍抽样复验一次，判定以复验结果为准。复验时若仍有一项或一项以上指标不符合本文件要求，则判该批产品为不合格品。微生物指标不得复检。</w:t>
      </w:r>
    </w:p>
    <w:p w14:paraId="5B0B3990">
      <w:pPr>
        <w:pStyle w:val="105"/>
        <w:spacing w:before="240" w:after="240" w:line="288" w:lineRule="auto"/>
      </w:pPr>
      <w:bookmarkStart w:id="207" w:name="_Toc183097552"/>
      <w:bookmarkStart w:id="208" w:name="_Toc191650116"/>
      <w:bookmarkStart w:id="209" w:name="_Toc194323940"/>
      <w:bookmarkStart w:id="210" w:name="_Toc182302120"/>
      <w:bookmarkStart w:id="211" w:name="_Toc187326989"/>
      <w:bookmarkStart w:id="212" w:name="_Toc182300229"/>
      <w:bookmarkStart w:id="213" w:name="_Toc187327089"/>
      <w:r>
        <w:t>标签、标志、包装、运输</w:t>
      </w:r>
      <w:r>
        <w:rPr>
          <w:rFonts w:hint="eastAsia"/>
        </w:rPr>
        <w:t>和</w:t>
      </w:r>
      <w:r>
        <w:t>贮存</w:t>
      </w:r>
      <w:bookmarkEnd w:id="207"/>
      <w:bookmarkEnd w:id="208"/>
      <w:bookmarkEnd w:id="209"/>
      <w:bookmarkEnd w:id="210"/>
      <w:bookmarkEnd w:id="211"/>
      <w:bookmarkEnd w:id="212"/>
      <w:bookmarkEnd w:id="213"/>
    </w:p>
    <w:p w14:paraId="5D52108E">
      <w:pPr>
        <w:pStyle w:val="106"/>
        <w:spacing w:before="120" w:after="120" w:line="288" w:lineRule="auto"/>
      </w:pPr>
      <w:r>
        <w:rPr>
          <w:rFonts w:hint="eastAsia"/>
        </w:rPr>
        <w:t>标签、标志</w:t>
      </w:r>
    </w:p>
    <w:p w14:paraId="65E3DA0A">
      <w:pPr>
        <w:pStyle w:val="166"/>
        <w:spacing w:line="288" w:lineRule="auto"/>
      </w:pPr>
      <w:r>
        <w:rPr>
          <w:rFonts w:hint="eastAsia"/>
        </w:rPr>
        <w:t>标签应符合 GB 7718 和 GB 28050 的规定。</w:t>
      </w:r>
    </w:p>
    <w:p w14:paraId="562B44DB">
      <w:pPr>
        <w:pStyle w:val="166"/>
        <w:spacing w:line="288" w:lineRule="auto"/>
      </w:pPr>
      <w:r>
        <w:rPr>
          <w:rFonts w:hint="eastAsia"/>
        </w:rPr>
        <w:t>外包装标志应符合 GB/T 191 的规定</w:t>
      </w:r>
      <w:bookmarkStart w:id="215" w:name="_GoBack"/>
      <w:r>
        <w:rPr>
          <w:rFonts w:hint="eastAsia"/>
          <w:lang w:eastAsia="zh-CN"/>
        </w:rPr>
        <w:t>。</w:t>
      </w:r>
      <w:bookmarkEnd w:id="215"/>
    </w:p>
    <w:p w14:paraId="6FCC62DD">
      <w:pPr>
        <w:pStyle w:val="106"/>
        <w:spacing w:before="120" w:after="120" w:line="288" w:lineRule="auto"/>
      </w:pPr>
      <w:r>
        <w:rPr>
          <w:rFonts w:hint="eastAsia"/>
        </w:rPr>
        <w:t>包装</w:t>
      </w:r>
    </w:p>
    <w:p w14:paraId="257FB30D">
      <w:pPr>
        <w:pStyle w:val="166"/>
        <w:numPr>
          <w:ilvl w:val="0"/>
          <w:numId w:val="0"/>
        </w:numPr>
        <w:spacing w:line="288" w:lineRule="auto"/>
        <w:ind w:firstLine="420" w:firstLineChars="200"/>
      </w:pPr>
      <w:r>
        <w:rPr>
          <w:rFonts w:hint="eastAsia"/>
        </w:rPr>
        <w:t>包装材料、包装容器应清洁、无毒、无异味，符合相关标准及规定。</w:t>
      </w:r>
    </w:p>
    <w:p w14:paraId="11F06C20">
      <w:pPr>
        <w:pStyle w:val="106"/>
        <w:spacing w:before="120" w:after="120" w:line="288" w:lineRule="auto"/>
      </w:pPr>
      <w:r>
        <w:rPr>
          <w:rFonts w:hint="eastAsia"/>
        </w:rPr>
        <w:t>运输</w:t>
      </w:r>
    </w:p>
    <w:p w14:paraId="1D6249F0">
      <w:pPr>
        <w:pStyle w:val="57"/>
        <w:spacing w:line="288" w:lineRule="auto"/>
        <w:ind w:firstLine="420"/>
      </w:pPr>
      <w:r>
        <w:rPr>
          <w:rFonts w:hint="eastAsia"/>
        </w:rPr>
        <w:t>运输工具应清洁、无异味，不应与有毒、有异味、有腐蚀性物品混装混运。运输中应轻装、轻卸、防雨、防晒。</w:t>
      </w:r>
    </w:p>
    <w:p w14:paraId="6A95FF52">
      <w:pPr>
        <w:pStyle w:val="106"/>
        <w:spacing w:before="120" w:after="120" w:line="288" w:lineRule="auto"/>
      </w:pPr>
      <w:r>
        <w:rPr>
          <w:rFonts w:hint="eastAsia"/>
        </w:rPr>
        <w:t>贮存</w:t>
      </w:r>
    </w:p>
    <w:p w14:paraId="190B828C">
      <w:pPr>
        <w:pStyle w:val="57"/>
        <w:spacing w:line="288" w:lineRule="auto"/>
        <w:ind w:firstLine="420"/>
      </w:pPr>
      <w:r>
        <w:rPr>
          <w:rFonts w:hint="eastAsia"/>
        </w:rPr>
        <w:t>产品应贮存在阴凉、干燥、通风的仓库内，不应与有毒、有异味、易挥发、易腐蚀物品混贮。</w:t>
      </w:r>
    </w:p>
    <w:bookmarkEnd w:id="44"/>
    <w:p w14:paraId="7B70F0C4">
      <w:pPr>
        <w:pStyle w:val="57"/>
        <w:ind w:firstLine="0" w:firstLineChars="0"/>
        <w:jc w:val="center"/>
      </w:pPr>
      <w:bookmarkStart w:id="214" w:name="BookMark8"/>
      <w: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stretch>
                      <a:fillRect/>
                    </a:stretch>
                  </pic:blipFill>
                  <pic:spPr>
                    <a:xfrm>
                      <a:off x="0" y="0"/>
                      <a:ext cx="1485900" cy="317500"/>
                    </a:xfrm>
                    <a:prstGeom prst="rect">
                      <a:avLst/>
                    </a:prstGeom>
                  </pic:spPr>
                </pic:pic>
              </a:graphicData>
            </a:graphic>
          </wp:inline>
        </w:drawing>
      </w:r>
      <w:bookmarkEnd w:id="214"/>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926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13D5">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E163">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3C2C">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6B67">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FFA2">
    <w:pPr>
      <w:pStyle w:val="53"/>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80A3">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39B2">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7896">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FBE6">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A49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7AB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7B6C">
    <w:pPr>
      <w:pStyle w:val="62"/>
    </w:pPr>
    <w:r>
      <w:fldChar w:fldCharType="begin"/>
    </w:r>
    <w:r>
      <w:instrText xml:space="preserve"> STYLEREF  标准文件_文件编号  \* MERGEFORMAT </w:instrText>
    </w:r>
    <w:r>
      <w:fldChar w:fldCharType="separate"/>
    </w:r>
    <w:r>
      <w:t>T/CS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DF92E">
    <w:pPr>
      <w:pStyle w:val="63"/>
    </w:pPr>
    <w:r>
      <w:fldChar w:fldCharType="begin"/>
    </w:r>
    <w:r>
      <w:instrText xml:space="preserve"> STYLEREF  标准文件_文件编号 \* MERGEFORMAT </w:instrText>
    </w:r>
    <w:r>
      <w:fldChar w:fldCharType="separate"/>
    </w:r>
    <w:r>
      <w:t>T/CS 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592E">
    <w:pPr>
      <w:pStyle w:val="62"/>
    </w:pPr>
    <w:r>
      <w:fldChar w:fldCharType="begin"/>
    </w:r>
    <w:r>
      <w:instrText xml:space="preserve"> STYLEREF  标准文件_文件编号  \* MERGEFORMAT </w:instrText>
    </w:r>
    <w:r>
      <w:fldChar w:fldCharType="separate"/>
    </w:r>
    <w:r>
      <w:t>T/CS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B90F">
    <w:pPr>
      <w:pStyle w:val="63"/>
    </w:pPr>
    <w:r>
      <w:fldChar w:fldCharType="begin"/>
    </w:r>
    <w:r>
      <w:instrText xml:space="preserve"> STYLEREF  标准文件_文件编号 \* MERGEFORMAT </w:instrText>
    </w:r>
    <w:r>
      <w:fldChar w:fldCharType="separate"/>
    </w:r>
    <w:r>
      <w:t>T/CS 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CF9D">
    <w:pPr>
      <w:pStyle w:val="62"/>
    </w:pPr>
    <w:r>
      <w:fldChar w:fldCharType="begin"/>
    </w:r>
    <w:r>
      <w:instrText xml:space="preserve"> STYLEREF  标准文件_文件编号  \* MERGEFORMAT </w:instrText>
    </w:r>
    <w:r>
      <w:fldChar w:fldCharType="separate"/>
    </w:r>
    <w:r>
      <w:t>T/CS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EC73">
    <w:pPr>
      <w:pStyle w:val="63"/>
    </w:pPr>
    <w:r>
      <w:fldChar w:fldCharType="begin"/>
    </w:r>
    <w:r>
      <w:instrText xml:space="preserve"> STYLEREF  标准文件_文件编号 \* MERGEFORMAT </w:instrText>
    </w:r>
    <w:r>
      <w:fldChar w:fldCharType="separate"/>
    </w:r>
    <w:r>
      <w:t>T/CS 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7A9"/>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00D"/>
    <w:rsid w:val="0002352E"/>
    <w:rsid w:val="000238E0"/>
    <w:rsid w:val="00023902"/>
    <w:rsid w:val="0002422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B49"/>
    <w:rsid w:val="00083D2C"/>
    <w:rsid w:val="000843C8"/>
    <w:rsid w:val="00084E5B"/>
    <w:rsid w:val="000861A1"/>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905"/>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5D3D"/>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0F33"/>
    <w:rsid w:val="00121A13"/>
    <w:rsid w:val="00121FE4"/>
    <w:rsid w:val="00122B6E"/>
    <w:rsid w:val="00123149"/>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8"/>
    <w:rsid w:val="001852C9"/>
    <w:rsid w:val="00185EC4"/>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2C4"/>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2508"/>
    <w:rsid w:val="001F25E5"/>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3F44"/>
    <w:rsid w:val="00234351"/>
    <w:rsid w:val="0023482A"/>
    <w:rsid w:val="0023497E"/>
    <w:rsid w:val="00234EC4"/>
    <w:rsid w:val="002359CB"/>
    <w:rsid w:val="00235B17"/>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75D"/>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7C0"/>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977"/>
    <w:rsid w:val="002A5A13"/>
    <w:rsid w:val="002A6221"/>
    <w:rsid w:val="002A6A05"/>
    <w:rsid w:val="002A7239"/>
    <w:rsid w:val="002A757F"/>
    <w:rsid w:val="002A7D17"/>
    <w:rsid w:val="002A7F44"/>
    <w:rsid w:val="002B0C40"/>
    <w:rsid w:val="002B1966"/>
    <w:rsid w:val="002B2402"/>
    <w:rsid w:val="002B4508"/>
    <w:rsid w:val="002B5779"/>
    <w:rsid w:val="002B60AE"/>
    <w:rsid w:val="002B7332"/>
    <w:rsid w:val="002B786A"/>
    <w:rsid w:val="002B7F51"/>
    <w:rsid w:val="002C0155"/>
    <w:rsid w:val="002C04B8"/>
    <w:rsid w:val="002C08CC"/>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30E0"/>
    <w:rsid w:val="002F35E4"/>
    <w:rsid w:val="002F3730"/>
    <w:rsid w:val="002F38E1"/>
    <w:rsid w:val="002F456E"/>
    <w:rsid w:val="002F45F1"/>
    <w:rsid w:val="002F50EF"/>
    <w:rsid w:val="002F7AF6"/>
    <w:rsid w:val="003003F7"/>
    <w:rsid w:val="00300810"/>
    <w:rsid w:val="00300E63"/>
    <w:rsid w:val="00301543"/>
    <w:rsid w:val="0030233C"/>
    <w:rsid w:val="00302F5F"/>
    <w:rsid w:val="0030300E"/>
    <w:rsid w:val="00304053"/>
    <w:rsid w:val="0030441D"/>
    <w:rsid w:val="00304CD8"/>
    <w:rsid w:val="003051F9"/>
    <w:rsid w:val="00305D7C"/>
    <w:rsid w:val="00306063"/>
    <w:rsid w:val="00307BC1"/>
    <w:rsid w:val="00313B85"/>
    <w:rsid w:val="00313CD0"/>
    <w:rsid w:val="003166FA"/>
    <w:rsid w:val="00317988"/>
    <w:rsid w:val="00317B3E"/>
    <w:rsid w:val="00317B9A"/>
    <w:rsid w:val="003215FD"/>
    <w:rsid w:val="003221B4"/>
    <w:rsid w:val="0032258D"/>
    <w:rsid w:val="00322E62"/>
    <w:rsid w:val="00324D13"/>
    <w:rsid w:val="00324EDD"/>
    <w:rsid w:val="00326C89"/>
    <w:rsid w:val="0032729A"/>
    <w:rsid w:val="00327772"/>
    <w:rsid w:val="00327D02"/>
    <w:rsid w:val="00327F85"/>
    <w:rsid w:val="0033237E"/>
    <w:rsid w:val="003331E4"/>
    <w:rsid w:val="0033423B"/>
    <w:rsid w:val="00334702"/>
    <w:rsid w:val="00334874"/>
    <w:rsid w:val="00336C64"/>
    <w:rsid w:val="00337162"/>
    <w:rsid w:val="003375FE"/>
    <w:rsid w:val="00337AEB"/>
    <w:rsid w:val="00340D98"/>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4E6E"/>
    <w:rsid w:val="00360D07"/>
    <w:rsid w:val="0036107C"/>
    <w:rsid w:val="003615D2"/>
    <w:rsid w:val="003618BE"/>
    <w:rsid w:val="0036338C"/>
    <w:rsid w:val="0036429C"/>
    <w:rsid w:val="00364A53"/>
    <w:rsid w:val="00364AE6"/>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77B30"/>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5D87"/>
    <w:rsid w:val="003A6441"/>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24B1"/>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841"/>
    <w:rsid w:val="003F16C3"/>
    <w:rsid w:val="003F23D3"/>
    <w:rsid w:val="003F3F08"/>
    <w:rsid w:val="003F49F1"/>
    <w:rsid w:val="003F4FBF"/>
    <w:rsid w:val="003F5029"/>
    <w:rsid w:val="003F6272"/>
    <w:rsid w:val="003F6895"/>
    <w:rsid w:val="003F787D"/>
    <w:rsid w:val="00400E72"/>
    <w:rsid w:val="00401400"/>
    <w:rsid w:val="00402487"/>
    <w:rsid w:val="004029C9"/>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2729"/>
    <w:rsid w:val="00452D6B"/>
    <w:rsid w:val="00454484"/>
    <w:rsid w:val="0045517B"/>
    <w:rsid w:val="00455A1A"/>
    <w:rsid w:val="00455BBA"/>
    <w:rsid w:val="00455CB5"/>
    <w:rsid w:val="00457598"/>
    <w:rsid w:val="00463B77"/>
    <w:rsid w:val="00463C7B"/>
    <w:rsid w:val="00463EEB"/>
    <w:rsid w:val="004642B4"/>
    <w:rsid w:val="004644A6"/>
    <w:rsid w:val="004659BD"/>
    <w:rsid w:val="00466785"/>
    <w:rsid w:val="00466DB0"/>
    <w:rsid w:val="00466DC5"/>
    <w:rsid w:val="0046787E"/>
    <w:rsid w:val="00470775"/>
    <w:rsid w:val="00470B37"/>
    <w:rsid w:val="00471267"/>
    <w:rsid w:val="0047214A"/>
    <w:rsid w:val="00472C8F"/>
    <w:rsid w:val="004730F7"/>
    <w:rsid w:val="00474181"/>
    <w:rsid w:val="004746B1"/>
    <w:rsid w:val="00474F9A"/>
    <w:rsid w:val="00475627"/>
    <w:rsid w:val="0047583F"/>
    <w:rsid w:val="00475DE8"/>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2F02"/>
    <w:rsid w:val="004939AE"/>
    <w:rsid w:val="00495AF2"/>
    <w:rsid w:val="00495D60"/>
    <w:rsid w:val="004A01D0"/>
    <w:rsid w:val="004A031A"/>
    <w:rsid w:val="004A12DF"/>
    <w:rsid w:val="004A1BA8"/>
    <w:rsid w:val="004A2ADC"/>
    <w:rsid w:val="004A2B5B"/>
    <w:rsid w:val="004A390C"/>
    <w:rsid w:val="004A4B57"/>
    <w:rsid w:val="004A5FD9"/>
    <w:rsid w:val="004A6321"/>
    <w:rsid w:val="004A63FA"/>
    <w:rsid w:val="004A6A3D"/>
    <w:rsid w:val="004A6F1C"/>
    <w:rsid w:val="004A715D"/>
    <w:rsid w:val="004A72E8"/>
    <w:rsid w:val="004B0272"/>
    <w:rsid w:val="004B0D63"/>
    <w:rsid w:val="004B1D22"/>
    <w:rsid w:val="004B2159"/>
    <w:rsid w:val="004B218B"/>
    <w:rsid w:val="004B2701"/>
    <w:rsid w:val="004B2E1B"/>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070"/>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6F8"/>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5D9D"/>
    <w:rsid w:val="005D6234"/>
    <w:rsid w:val="005D6A95"/>
    <w:rsid w:val="005D6B2C"/>
    <w:rsid w:val="005D6D9C"/>
    <w:rsid w:val="005D751F"/>
    <w:rsid w:val="005E0403"/>
    <w:rsid w:val="005E144D"/>
    <w:rsid w:val="005E2335"/>
    <w:rsid w:val="005E245C"/>
    <w:rsid w:val="005E318E"/>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5AD5"/>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205AF"/>
    <w:rsid w:val="006205D6"/>
    <w:rsid w:val="00620968"/>
    <w:rsid w:val="00620CFA"/>
    <w:rsid w:val="00621632"/>
    <w:rsid w:val="00622A2C"/>
    <w:rsid w:val="00623116"/>
    <w:rsid w:val="006233AA"/>
    <w:rsid w:val="006245C6"/>
    <w:rsid w:val="00624B3A"/>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6BF3"/>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0B1F"/>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9C"/>
    <w:rsid w:val="006D16C4"/>
    <w:rsid w:val="006D22C3"/>
    <w:rsid w:val="006D2674"/>
    <w:rsid w:val="006D3E96"/>
    <w:rsid w:val="006D4515"/>
    <w:rsid w:val="006D453E"/>
    <w:rsid w:val="006D4BB1"/>
    <w:rsid w:val="006D51D8"/>
    <w:rsid w:val="006D6593"/>
    <w:rsid w:val="006D6AD2"/>
    <w:rsid w:val="006D6D4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4B88"/>
    <w:rsid w:val="00755402"/>
    <w:rsid w:val="00755500"/>
    <w:rsid w:val="00755C16"/>
    <w:rsid w:val="0075610F"/>
    <w:rsid w:val="00756169"/>
    <w:rsid w:val="0075662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533"/>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5A3D"/>
    <w:rsid w:val="007B5B95"/>
    <w:rsid w:val="007B6032"/>
    <w:rsid w:val="007B6456"/>
    <w:rsid w:val="007B674B"/>
    <w:rsid w:val="007B68EA"/>
    <w:rsid w:val="007B7453"/>
    <w:rsid w:val="007C044B"/>
    <w:rsid w:val="007C17F4"/>
    <w:rsid w:val="007C2C6E"/>
    <w:rsid w:val="007C2D89"/>
    <w:rsid w:val="007C4593"/>
    <w:rsid w:val="007C500D"/>
    <w:rsid w:val="007C5309"/>
    <w:rsid w:val="007C6069"/>
    <w:rsid w:val="007C6174"/>
    <w:rsid w:val="007C64C1"/>
    <w:rsid w:val="007C6C8F"/>
    <w:rsid w:val="007D014D"/>
    <w:rsid w:val="007D06C4"/>
    <w:rsid w:val="007D1352"/>
    <w:rsid w:val="007D2508"/>
    <w:rsid w:val="007D28E1"/>
    <w:rsid w:val="007D3072"/>
    <w:rsid w:val="007D346A"/>
    <w:rsid w:val="007D3E51"/>
    <w:rsid w:val="007D3FBF"/>
    <w:rsid w:val="007D6518"/>
    <w:rsid w:val="007D6F46"/>
    <w:rsid w:val="007D7184"/>
    <w:rsid w:val="007D76BD"/>
    <w:rsid w:val="007E0BF1"/>
    <w:rsid w:val="007E0E2A"/>
    <w:rsid w:val="007E41BC"/>
    <w:rsid w:val="007F01F2"/>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8B4"/>
    <w:rsid w:val="00821F02"/>
    <w:rsid w:val="00823303"/>
    <w:rsid w:val="008233B2"/>
    <w:rsid w:val="00823A9F"/>
    <w:rsid w:val="00823C85"/>
    <w:rsid w:val="00825008"/>
    <w:rsid w:val="00825138"/>
    <w:rsid w:val="008251B4"/>
    <w:rsid w:val="008251EA"/>
    <w:rsid w:val="008254AE"/>
    <w:rsid w:val="008269DD"/>
    <w:rsid w:val="00826A9B"/>
    <w:rsid w:val="00826B01"/>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7B76"/>
    <w:rsid w:val="008515F5"/>
    <w:rsid w:val="0085173A"/>
    <w:rsid w:val="00852742"/>
    <w:rsid w:val="0085541C"/>
    <w:rsid w:val="008562BC"/>
    <w:rsid w:val="00856552"/>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B50"/>
    <w:rsid w:val="00877E78"/>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1FC6"/>
    <w:rsid w:val="008A2282"/>
    <w:rsid w:val="008A2627"/>
    <w:rsid w:val="008A2857"/>
    <w:rsid w:val="008A2DF2"/>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4C29"/>
    <w:rsid w:val="008F4D13"/>
    <w:rsid w:val="008F5921"/>
    <w:rsid w:val="008F686F"/>
    <w:rsid w:val="008F6F5F"/>
    <w:rsid w:val="008F6FC5"/>
    <w:rsid w:val="008F70BD"/>
    <w:rsid w:val="008F788F"/>
    <w:rsid w:val="008F7EA2"/>
    <w:rsid w:val="00901E8E"/>
    <w:rsid w:val="00902722"/>
    <w:rsid w:val="009027BC"/>
    <w:rsid w:val="0090308E"/>
    <w:rsid w:val="00904999"/>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38C1"/>
    <w:rsid w:val="009245AE"/>
    <w:rsid w:val="009245F5"/>
    <w:rsid w:val="009249EC"/>
    <w:rsid w:val="00925D61"/>
    <w:rsid w:val="00926C31"/>
    <w:rsid w:val="00926F91"/>
    <w:rsid w:val="009273B3"/>
    <w:rsid w:val="00930064"/>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FC2"/>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691B"/>
    <w:rsid w:val="009674AD"/>
    <w:rsid w:val="00970039"/>
    <w:rsid w:val="009709F8"/>
    <w:rsid w:val="00970ABB"/>
    <w:rsid w:val="00970CDC"/>
    <w:rsid w:val="009732BF"/>
    <w:rsid w:val="009737C8"/>
    <w:rsid w:val="00973DB3"/>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5E11"/>
    <w:rsid w:val="0099612E"/>
    <w:rsid w:val="00996BD2"/>
    <w:rsid w:val="009971BB"/>
    <w:rsid w:val="00997BF1"/>
    <w:rsid w:val="009A089C"/>
    <w:rsid w:val="009A0C8D"/>
    <w:rsid w:val="009A118E"/>
    <w:rsid w:val="009A21CD"/>
    <w:rsid w:val="009A278C"/>
    <w:rsid w:val="009A2BC2"/>
    <w:rsid w:val="009A3AF1"/>
    <w:rsid w:val="009A42C1"/>
    <w:rsid w:val="009A5429"/>
    <w:rsid w:val="009A72AD"/>
    <w:rsid w:val="009A74CA"/>
    <w:rsid w:val="009A789F"/>
    <w:rsid w:val="009B09E0"/>
    <w:rsid w:val="009B0BC5"/>
    <w:rsid w:val="009B1247"/>
    <w:rsid w:val="009B1F02"/>
    <w:rsid w:val="009B27C2"/>
    <w:rsid w:val="009B3CC7"/>
    <w:rsid w:val="009B4F03"/>
    <w:rsid w:val="009B5781"/>
    <w:rsid w:val="009B6029"/>
    <w:rsid w:val="009B6661"/>
    <w:rsid w:val="009B66C5"/>
    <w:rsid w:val="009B67C4"/>
    <w:rsid w:val="009B6971"/>
    <w:rsid w:val="009B7767"/>
    <w:rsid w:val="009C098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C793B"/>
    <w:rsid w:val="009D112C"/>
    <w:rsid w:val="009D1385"/>
    <w:rsid w:val="009D2CA4"/>
    <w:rsid w:val="009D36F9"/>
    <w:rsid w:val="009D47FA"/>
    <w:rsid w:val="009D4BAB"/>
    <w:rsid w:val="009D4C5B"/>
    <w:rsid w:val="009D50D2"/>
    <w:rsid w:val="009D5341"/>
    <w:rsid w:val="009D65FC"/>
    <w:rsid w:val="009D6BCA"/>
    <w:rsid w:val="009D70C9"/>
    <w:rsid w:val="009D72D4"/>
    <w:rsid w:val="009E0F62"/>
    <w:rsid w:val="009E1D86"/>
    <w:rsid w:val="009E2F0A"/>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10B"/>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0142"/>
    <w:rsid w:val="00A60977"/>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652F"/>
    <w:rsid w:val="00A77CCB"/>
    <w:rsid w:val="00A804E8"/>
    <w:rsid w:val="00A80B96"/>
    <w:rsid w:val="00A81C71"/>
    <w:rsid w:val="00A82346"/>
    <w:rsid w:val="00A8288C"/>
    <w:rsid w:val="00A82B58"/>
    <w:rsid w:val="00A82DCD"/>
    <w:rsid w:val="00A836D2"/>
    <w:rsid w:val="00A83D8D"/>
    <w:rsid w:val="00A8446B"/>
    <w:rsid w:val="00A8473F"/>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3C70"/>
    <w:rsid w:val="00AA4286"/>
    <w:rsid w:val="00AA456B"/>
    <w:rsid w:val="00AA5077"/>
    <w:rsid w:val="00AA57F5"/>
    <w:rsid w:val="00AA672E"/>
    <w:rsid w:val="00AA6EC9"/>
    <w:rsid w:val="00AB0A12"/>
    <w:rsid w:val="00AB0B27"/>
    <w:rsid w:val="00AB1BB3"/>
    <w:rsid w:val="00AB1F28"/>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31E"/>
    <w:rsid w:val="00B016F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FE8"/>
    <w:rsid w:val="00B142A0"/>
    <w:rsid w:val="00B14564"/>
    <w:rsid w:val="00B147DD"/>
    <w:rsid w:val="00B156FD"/>
    <w:rsid w:val="00B15BB9"/>
    <w:rsid w:val="00B20EDE"/>
    <w:rsid w:val="00B21952"/>
    <w:rsid w:val="00B21F61"/>
    <w:rsid w:val="00B2303E"/>
    <w:rsid w:val="00B23A59"/>
    <w:rsid w:val="00B23DCD"/>
    <w:rsid w:val="00B261F1"/>
    <w:rsid w:val="00B265BC"/>
    <w:rsid w:val="00B269F3"/>
    <w:rsid w:val="00B31FB1"/>
    <w:rsid w:val="00B32508"/>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DCD"/>
    <w:rsid w:val="00B508CC"/>
    <w:rsid w:val="00B50E50"/>
    <w:rsid w:val="00B52120"/>
    <w:rsid w:val="00B53023"/>
    <w:rsid w:val="00B53CF4"/>
    <w:rsid w:val="00B53D8D"/>
    <w:rsid w:val="00B54ABC"/>
    <w:rsid w:val="00B55950"/>
    <w:rsid w:val="00B56FBE"/>
    <w:rsid w:val="00B57C7B"/>
    <w:rsid w:val="00B57CFB"/>
    <w:rsid w:val="00B607DE"/>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F02"/>
    <w:rsid w:val="00B939B1"/>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C3"/>
    <w:rsid w:val="00BB46D0"/>
    <w:rsid w:val="00BB5EE3"/>
    <w:rsid w:val="00BB5F8F"/>
    <w:rsid w:val="00BB657A"/>
    <w:rsid w:val="00BB6641"/>
    <w:rsid w:val="00BB692F"/>
    <w:rsid w:val="00BC15BB"/>
    <w:rsid w:val="00BC1A4E"/>
    <w:rsid w:val="00BC2EFF"/>
    <w:rsid w:val="00BC5DC7"/>
    <w:rsid w:val="00BC5EE5"/>
    <w:rsid w:val="00BC61E2"/>
    <w:rsid w:val="00BC6B8B"/>
    <w:rsid w:val="00BC6D47"/>
    <w:rsid w:val="00BC6E9E"/>
    <w:rsid w:val="00BC73D8"/>
    <w:rsid w:val="00BC74C4"/>
    <w:rsid w:val="00BC7633"/>
    <w:rsid w:val="00BD0065"/>
    <w:rsid w:val="00BD052B"/>
    <w:rsid w:val="00BD1972"/>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F0993"/>
    <w:rsid w:val="00BF0CFC"/>
    <w:rsid w:val="00BF10A9"/>
    <w:rsid w:val="00BF147C"/>
    <w:rsid w:val="00BF1703"/>
    <w:rsid w:val="00BF231C"/>
    <w:rsid w:val="00BF2575"/>
    <w:rsid w:val="00BF2847"/>
    <w:rsid w:val="00BF2E07"/>
    <w:rsid w:val="00BF47B5"/>
    <w:rsid w:val="00BF4E03"/>
    <w:rsid w:val="00BF51E5"/>
    <w:rsid w:val="00BF61A5"/>
    <w:rsid w:val="00BF74A6"/>
    <w:rsid w:val="00BF7B53"/>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0A6C"/>
    <w:rsid w:val="00C10AAF"/>
    <w:rsid w:val="00C11C89"/>
    <w:rsid w:val="00C13319"/>
    <w:rsid w:val="00C13EE9"/>
    <w:rsid w:val="00C145CE"/>
    <w:rsid w:val="00C15466"/>
    <w:rsid w:val="00C164A1"/>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7E0B"/>
    <w:rsid w:val="00C404C7"/>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2A5"/>
    <w:rsid w:val="00C72410"/>
    <w:rsid w:val="00C726B1"/>
    <w:rsid w:val="00C7287F"/>
    <w:rsid w:val="00C73334"/>
    <w:rsid w:val="00C74260"/>
    <w:rsid w:val="00C748FC"/>
    <w:rsid w:val="00C74B5F"/>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E7D"/>
    <w:rsid w:val="00CB517D"/>
    <w:rsid w:val="00CB69DB"/>
    <w:rsid w:val="00CC038D"/>
    <w:rsid w:val="00CC03E4"/>
    <w:rsid w:val="00CC08DB"/>
    <w:rsid w:val="00CC36C4"/>
    <w:rsid w:val="00CC39FF"/>
    <w:rsid w:val="00CC3C2F"/>
    <w:rsid w:val="00CC4AB9"/>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938"/>
    <w:rsid w:val="00CF3BE6"/>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16F65"/>
    <w:rsid w:val="00D203BB"/>
    <w:rsid w:val="00D20585"/>
    <w:rsid w:val="00D20737"/>
    <w:rsid w:val="00D21E81"/>
    <w:rsid w:val="00D223DE"/>
    <w:rsid w:val="00D22590"/>
    <w:rsid w:val="00D24208"/>
    <w:rsid w:val="00D25E37"/>
    <w:rsid w:val="00D2661A"/>
    <w:rsid w:val="00D271E0"/>
    <w:rsid w:val="00D27582"/>
    <w:rsid w:val="00D27596"/>
    <w:rsid w:val="00D27EC4"/>
    <w:rsid w:val="00D31337"/>
    <w:rsid w:val="00D322F3"/>
    <w:rsid w:val="00D32719"/>
    <w:rsid w:val="00D33333"/>
    <w:rsid w:val="00D33BD8"/>
    <w:rsid w:val="00D34AD1"/>
    <w:rsid w:val="00D352A2"/>
    <w:rsid w:val="00D35A3F"/>
    <w:rsid w:val="00D35E18"/>
    <w:rsid w:val="00D36D88"/>
    <w:rsid w:val="00D40053"/>
    <w:rsid w:val="00D4095C"/>
    <w:rsid w:val="00D40A75"/>
    <w:rsid w:val="00D40E2D"/>
    <w:rsid w:val="00D4162B"/>
    <w:rsid w:val="00D41AF1"/>
    <w:rsid w:val="00D424C1"/>
    <w:rsid w:val="00D44046"/>
    <w:rsid w:val="00D4405B"/>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049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289"/>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4B0"/>
    <w:rsid w:val="00DD57EE"/>
    <w:rsid w:val="00DD5BF5"/>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26E"/>
    <w:rsid w:val="00DF44DE"/>
    <w:rsid w:val="00DF46BA"/>
    <w:rsid w:val="00DF54C1"/>
    <w:rsid w:val="00DF5CF6"/>
    <w:rsid w:val="00E01138"/>
    <w:rsid w:val="00E01D52"/>
    <w:rsid w:val="00E0224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4FE"/>
    <w:rsid w:val="00E32CCF"/>
    <w:rsid w:val="00E34A98"/>
    <w:rsid w:val="00E35D1E"/>
    <w:rsid w:val="00E364F9"/>
    <w:rsid w:val="00E365FA"/>
    <w:rsid w:val="00E36789"/>
    <w:rsid w:val="00E36A38"/>
    <w:rsid w:val="00E44A83"/>
    <w:rsid w:val="00E44F44"/>
    <w:rsid w:val="00E47B0B"/>
    <w:rsid w:val="00E5028A"/>
    <w:rsid w:val="00E502C1"/>
    <w:rsid w:val="00E502DD"/>
    <w:rsid w:val="00E50D3A"/>
    <w:rsid w:val="00E51387"/>
    <w:rsid w:val="00E51E68"/>
    <w:rsid w:val="00E5294F"/>
    <w:rsid w:val="00E52CD9"/>
    <w:rsid w:val="00E52EFD"/>
    <w:rsid w:val="00E5333B"/>
    <w:rsid w:val="00E5408A"/>
    <w:rsid w:val="00E54FC8"/>
    <w:rsid w:val="00E5537D"/>
    <w:rsid w:val="00E56800"/>
    <w:rsid w:val="00E56F37"/>
    <w:rsid w:val="00E60C63"/>
    <w:rsid w:val="00E61044"/>
    <w:rsid w:val="00E61DFD"/>
    <w:rsid w:val="00E62035"/>
    <w:rsid w:val="00E62D91"/>
    <w:rsid w:val="00E62FF9"/>
    <w:rsid w:val="00E635D6"/>
    <w:rsid w:val="00E639BC"/>
    <w:rsid w:val="00E65E39"/>
    <w:rsid w:val="00E664CC"/>
    <w:rsid w:val="00E70388"/>
    <w:rsid w:val="00E70F92"/>
    <w:rsid w:val="00E71261"/>
    <w:rsid w:val="00E71A1B"/>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A54"/>
    <w:rsid w:val="00E94AF0"/>
    <w:rsid w:val="00E94C66"/>
    <w:rsid w:val="00E95D13"/>
    <w:rsid w:val="00E95DD3"/>
    <w:rsid w:val="00E96271"/>
    <w:rsid w:val="00E9647D"/>
    <w:rsid w:val="00E964BB"/>
    <w:rsid w:val="00E969D5"/>
    <w:rsid w:val="00E97699"/>
    <w:rsid w:val="00EA337E"/>
    <w:rsid w:val="00EA3445"/>
    <w:rsid w:val="00EA39C9"/>
    <w:rsid w:val="00EA43C7"/>
    <w:rsid w:val="00EA5378"/>
    <w:rsid w:val="00EA58D1"/>
    <w:rsid w:val="00EA61BC"/>
    <w:rsid w:val="00EA681A"/>
    <w:rsid w:val="00EA735B"/>
    <w:rsid w:val="00EA7D23"/>
    <w:rsid w:val="00EB026C"/>
    <w:rsid w:val="00EB0ED3"/>
    <w:rsid w:val="00EB0FA6"/>
    <w:rsid w:val="00EB1033"/>
    <w:rsid w:val="00EB1E69"/>
    <w:rsid w:val="00EB2086"/>
    <w:rsid w:val="00EB2D8E"/>
    <w:rsid w:val="00EB2FD0"/>
    <w:rsid w:val="00EB31ED"/>
    <w:rsid w:val="00EB496D"/>
    <w:rsid w:val="00EB5B4D"/>
    <w:rsid w:val="00EB5EDF"/>
    <w:rsid w:val="00EB60FE"/>
    <w:rsid w:val="00EB6B5C"/>
    <w:rsid w:val="00EB74DB"/>
    <w:rsid w:val="00EC0877"/>
    <w:rsid w:val="00EC28ED"/>
    <w:rsid w:val="00EC2A6B"/>
    <w:rsid w:val="00EC335F"/>
    <w:rsid w:val="00EC44F8"/>
    <w:rsid w:val="00EC4892"/>
    <w:rsid w:val="00EC4B96"/>
    <w:rsid w:val="00EC5359"/>
    <w:rsid w:val="00EC562A"/>
    <w:rsid w:val="00EC6C49"/>
    <w:rsid w:val="00EC6E90"/>
    <w:rsid w:val="00EC7DB9"/>
    <w:rsid w:val="00ED067A"/>
    <w:rsid w:val="00ED2B50"/>
    <w:rsid w:val="00ED398D"/>
    <w:rsid w:val="00ED532F"/>
    <w:rsid w:val="00EE0350"/>
    <w:rsid w:val="00EE0719"/>
    <w:rsid w:val="00EE0E80"/>
    <w:rsid w:val="00EE1E22"/>
    <w:rsid w:val="00EE3892"/>
    <w:rsid w:val="00EE613F"/>
    <w:rsid w:val="00EE7295"/>
    <w:rsid w:val="00EE7869"/>
    <w:rsid w:val="00EF054A"/>
    <w:rsid w:val="00EF2348"/>
    <w:rsid w:val="00EF24AD"/>
    <w:rsid w:val="00EF309F"/>
    <w:rsid w:val="00EF3235"/>
    <w:rsid w:val="00EF3804"/>
    <w:rsid w:val="00EF47A2"/>
    <w:rsid w:val="00EF5153"/>
    <w:rsid w:val="00EF5B35"/>
    <w:rsid w:val="00EF6493"/>
    <w:rsid w:val="00EF6EB2"/>
    <w:rsid w:val="00EF7E4A"/>
    <w:rsid w:val="00EF7E72"/>
    <w:rsid w:val="00F00BEC"/>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47D1F"/>
    <w:rsid w:val="00F50179"/>
    <w:rsid w:val="00F508B5"/>
    <w:rsid w:val="00F509B4"/>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4782"/>
    <w:rsid w:val="00F95248"/>
    <w:rsid w:val="00F956A9"/>
    <w:rsid w:val="00F963ED"/>
    <w:rsid w:val="00F966CF"/>
    <w:rsid w:val="00F96CAE"/>
    <w:rsid w:val="00F97C99"/>
    <w:rsid w:val="00FA12FE"/>
    <w:rsid w:val="00FA1D02"/>
    <w:rsid w:val="00FA20CF"/>
    <w:rsid w:val="00FA2E7C"/>
    <w:rsid w:val="00FA4347"/>
    <w:rsid w:val="00FA662D"/>
    <w:rsid w:val="00FA73B1"/>
    <w:rsid w:val="00FB0CB9"/>
    <w:rsid w:val="00FB231D"/>
    <w:rsid w:val="00FB306A"/>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1EAE"/>
    <w:rsid w:val="00FC2CB7"/>
    <w:rsid w:val="00FC33E5"/>
    <w:rsid w:val="00FC3ADB"/>
    <w:rsid w:val="00FC4090"/>
    <w:rsid w:val="00FC48B1"/>
    <w:rsid w:val="00FC55B4"/>
    <w:rsid w:val="00FC5F08"/>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566"/>
    <w:rsid w:val="00FE4A6E"/>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C070BE"/>
    <w:rsid w:val="3E1F1B4E"/>
    <w:rsid w:val="4BE57950"/>
    <w:rsid w:val="59DF288A"/>
    <w:rsid w:val="5B6B40E2"/>
    <w:rsid w:val="64B6590C"/>
    <w:rsid w:val="67580299"/>
    <w:rsid w:val="68EF440A"/>
    <w:rsid w:val="695B21AB"/>
    <w:rsid w:val="6EBA3E17"/>
    <w:rsid w:val="73425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1"/>
    <w:qFormat/>
    <w:uiPriority w:val="0"/>
    <w:pPr>
      <w:numPr>
        <w:ilvl w:val="2"/>
      </w:numPr>
      <w:spacing w:before="50" w:after="50"/>
      <w:outlineLvl w:val="3"/>
    </w:pPr>
  </w:style>
  <w:style w:type="paragraph" w:customStyle="1" w:styleId="235">
    <w:name w:val="三级条标题"/>
    <w:basedOn w:val="234"/>
    <w:next w:val="1"/>
    <w:qFormat/>
    <w:uiPriority w:val="0"/>
    <w:pPr>
      <w:numPr>
        <w:ilvl w:val="3"/>
      </w:numPr>
      <w:outlineLvl w:val="4"/>
    </w:pPr>
  </w:style>
  <w:style w:type="paragraph" w:customStyle="1" w:styleId="23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37">
    <w:name w:val="四级条标题"/>
    <w:basedOn w:val="235"/>
    <w:next w:val="1"/>
    <w:qFormat/>
    <w:uiPriority w:val="0"/>
    <w:pPr>
      <w:numPr>
        <w:ilvl w:val="4"/>
      </w:numPr>
      <w:outlineLvl w:val="5"/>
    </w:pPr>
  </w:style>
  <w:style w:type="paragraph" w:customStyle="1" w:styleId="238">
    <w:name w:val="五级条标题"/>
    <w:basedOn w:val="237"/>
    <w:next w:val="1"/>
    <w:qFormat/>
    <w:uiPriority w:val="0"/>
    <w:pPr>
      <w:numPr>
        <w:ilvl w:val="5"/>
      </w:numPr>
      <w:outlineLvl w:val="6"/>
    </w:pPr>
  </w:style>
  <w:style w:type="paragraph" w:customStyle="1" w:styleId="23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0">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1">
    <w:name w:val="二级无"/>
    <w:basedOn w:val="234"/>
    <w:qFormat/>
    <w:uiPriority w:val="0"/>
    <w:pPr>
      <w:spacing w:beforeLines="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39CF8A0489408B91B6CFE33D952123"/>
        <w:style w:val=""/>
        <w:category>
          <w:name w:val="常规"/>
          <w:gallery w:val="placeholder"/>
        </w:category>
        <w:types>
          <w:type w:val="bbPlcHdr"/>
        </w:types>
        <w:behaviors>
          <w:behavior w:val="content"/>
        </w:behaviors>
        <w:description w:val=""/>
        <w:guid w:val="{50C9D2AD-88B3-4B80-80DB-F5D5F316CF3A}"/>
      </w:docPartPr>
      <w:docPartBody>
        <w:p w14:paraId="66381D53">
          <w:pPr>
            <w:pStyle w:val="5"/>
          </w:pPr>
          <w:r>
            <w:rPr>
              <w:rStyle w:val="4"/>
              <w:rFonts w:hint="eastAsia"/>
            </w:rPr>
            <w:t>单击或点击此处输入文字。</w:t>
          </w:r>
        </w:p>
      </w:docPartBody>
    </w:docPart>
    <w:docPart>
      <w:docPartPr>
        <w:name w:val="D117C2ECA379403AAC8B0889F394A394"/>
        <w:style w:val=""/>
        <w:category>
          <w:name w:val="常规"/>
          <w:gallery w:val="placeholder"/>
        </w:category>
        <w:types>
          <w:type w:val="bbPlcHdr"/>
        </w:types>
        <w:behaviors>
          <w:behavior w:val="content"/>
        </w:behaviors>
        <w:description w:val=""/>
        <w:guid w:val="{3C399E9B-AE94-4BD3-8AE5-02AFA74DBE8E}"/>
      </w:docPartPr>
      <w:docPartBody>
        <w:p w14:paraId="1C93A119">
          <w:pPr>
            <w:pStyle w:val="6"/>
          </w:pPr>
          <w:r>
            <w:rPr>
              <w:rStyle w:val="4"/>
              <w:rFonts w:hint="eastAsia"/>
            </w:rPr>
            <w:t>选择一项。</w:t>
          </w:r>
        </w:p>
      </w:docPartBody>
    </w:docPart>
    <w:docPart>
      <w:docPartPr>
        <w:name w:val="7A4DC41AD3C7418B880A22AE39641804"/>
        <w:style w:val=""/>
        <w:category>
          <w:name w:val="常规"/>
          <w:gallery w:val="placeholder"/>
        </w:category>
        <w:types>
          <w:type w:val="bbPlcHdr"/>
        </w:types>
        <w:behaviors>
          <w:behavior w:val="content"/>
        </w:behaviors>
        <w:description w:val=""/>
        <w:guid w:val="{391871FC-832F-4561-A803-EF45DFA48687}"/>
      </w:docPartPr>
      <w:docPartBody>
        <w:p w14:paraId="292B1C1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D73CB"/>
    <w:rsid w:val="00256528"/>
    <w:rsid w:val="002D298C"/>
    <w:rsid w:val="003267BF"/>
    <w:rsid w:val="00336584"/>
    <w:rsid w:val="00342EC4"/>
    <w:rsid w:val="003946C7"/>
    <w:rsid w:val="003C6532"/>
    <w:rsid w:val="003E114C"/>
    <w:rsid w:val="00403027"/>
    <w:rsid w:val="00452EC1"/>
    <w:rsid w:val="0048476F"/>
    <w:rsid w:val="004A1ED1"/>
    <w:rsid w:val="004A3C53"/>
    <w:rsid w:val="00512802"/>
    <w:rsid w:val="00515CDB"/>
    <w:rsid w:val="00522F84"/>
    <w:rsid w:val="00524187"/>
    <w:rsid w:val="00551162"/>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42E19"/>
    <w:rsid w:val="00744141"/>
    <w:rsid w:val="00751E37"/>
    <w:rsid w:val="00755B19"/>
    <w:rsid w:val="007923AE"/>
    <w:rsid w:val="007E0004"/>
    <w:rsid w:val="0081591F"/>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0310D"/>
    <w:rsid w:val="00B52EAB"/>
    <w:rsid w:val="00B74433"/>
    <w:rsid w:val="00B87C46"/>
    <w:rsid w:val="00BA765B"/>
    <w:rsid w:val="00BD5A14"/>
    <w:rsid w:val="00BD715C"/>
    <w:rsid w:val="00C95D83"/>
    <w:rsid w:val="00CE5602"/>
    <w:rsid w:val="00D04C86"/>
    <w:rsid w:val="00D246F7"/>
    <w:rsid w:val="00DB4E3E"/>
    <w:rsid w:val="00DE6E42"/>
    <w:rsid w:val="00DF65B0"/>
    <w:rsid w:val="00E32992"/>
    <w:rsid w:val="00E64A2F"/>
    <w:rsid w:val="00E67CB5"/>
    <w:rsid w:val="00E77374"/>
    <w:rsid w:val="00EE4359"/>
    <w:rsid w:val="00EF77E1"/>
    <w:rsid w:val="00F23991"/>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039CF8A0489408B91B6CFE33D952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17C2ECA379403AAC8B0889F394A3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4DC41AD3C7418B880A22AE3964180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EEB81-D91E-435C-A65A-1A0BA057972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2033</Words>
  <Characters>2409</Characters>
  <Lines>25</Lines>
  <Paragraphs>7</Paragraphs>
  <TotalTime>4033</TotalTime>
  <ScaleCrop>false</ScaleCrop>
  <LinksUpToDate>false</LinksUpToDate>
  <CharactersWithSpaces>2669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2023-02-20T02:12:00Z</dcterms:created>
  <dc:creator>Windows User</dc:creator>
  <dc:description>&lt;config cover="true" show_menu="true" version="1.0.0" doctype="SDKXY"&gt;_x000d_
&lt;/config&gt;</dc:description>
  <cp:lastModifiedBy>8237477301</cp:lastModifiedBy>
  <cp:lastPrinted>2024-12-18T08:50:00Z</cp:lastPrinted>
  <dcterms:modified xsi:type="dcterms:W3CDTF">2025-03-31T06:33:12Z</dcterms:modified>
  <dc:title>团体标准</dc:title>
  <cp:revision>4720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eyJoZGlkIjoiODNjZTQ0MmYyOGQzZjI1N2E2MjRkOTZlM2YwN2I1OWUiLCJ1c2VySWQiOiIxNjQ1MzkxODUxIn0=</vt:lpwstr>
  </property>
</Properties>
</file>