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297F1">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黑体" w:hAnsi="黑体" w:eastAsia="黑体" w:cs="黑体"/>
          <w:color w:val="000000" w:themeColor="text1"/>
          <w:sz w:val="20"/>
          <w:szCs w:val="20"/>
          <w:lang w:val="en" w:eastAsia="zh-CN"/>
          <w14:textFill>
            <w14:solidFill>
              <w14:schemeClr w14:val="tx1"/>
            </w14:solidFill>
          </w14:textFill>
        </w:rPr>
      </w:pPr>
      <w:r>
        <w:rPr>
          <w:rFonts w:hint="eastAsia" w:ascii="黑体" w:hAnsi="黑体" w:eastAsia="黑体" w:cs="黑体"/>
          <w:color w:val="000000" w:themeColor="text1"/>
          <w:sz w:val="20"/>
          <w:szCs w:val="20"/>
          <w:lang w:val="en-US" w:eastAsia="zh-CN"/>
          <w14:textFill>
            <w14:solidFill>
              <w14:schemeClr w14:val="tx1"/>
            </w14:solidFill>
          </w14:textFill>
        </w:rPr>
        <w:t>ICS 65.020.20</w:t>
      </w:r>
    </w:p>
    <w:p w14:paraId="4B17AF0B">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黑体" w:hAnsi="黑体" w:eastAsia="黑体" w:cs="黑体"/>
          <w:color w:val="000000" w:themeColor="text1"/>
          <w:sz w:val="20"/>
          <w:szCs w:val="20"/>
          <w:lang w:val="en" w:eastAsia="zh-CN"/>
          <w14:textFill>
            <w14:solidFill>
              <w14:schemeClr w14:val="tx1"/>
            </w14:solidFill>
          </w14:textFill>
        </w:rPr>
      </w:pPr>
      <w:r>
        <w:rPr>
          <w:rFonts w:hint="eastAsia" w:ascii="黑体" w:hAnsi="黑体" w:eastAsia="黑体" w:cs="黑体"/>
          <w:color w:val="000000" w:themeColor="text1"/>
          <w:sz w:val="20"/>
          <w:szCs w:val="20"/>
          <w:lang w:val="en-US" w:eastAsia="zh-CN"/>
          <w14:textFill>
            <w14:solidFill>
              <w14:schemeClr w14:val="tx1"/>
            </w14:solidFill>
          </w14:textFill>
        </w:rPr>
        <w:t>CCS B 05</w:t>
      </w:r>
    </w:p>
    <w:p w14:paraId="0B7DC7DC">
      <w:pPr>
        <w:keepNext w:val="0"/>
        <w:keepLines w:val="0"/>
        <w:pageBreakBefore w:val="0"/>
        <w:widowControl w:val="0"/>
        <w:kinsoku/>
        <w:wordWrap/>
        <w:overflowPunct/>
        <w:topLinePunct w:val="0"/>
        <w:autoSpaceDE/>
        <w:autoSpaceDN/>
        <w:bidi w:val="0"/>
        <w:adjustRightInd w:val="0"/>
        <w:snapToGrid w:val="0"/>
        <w:spacing w:line="240" w:lineRule="atLeast"/>
        <w:jc w:val="right"/>
        <w:textAlignment w:val="auto"/>
        <w:rPr>
          <w:rFonts w:hint="default" w:ascii="Times New Roman" w:hAnsi="Times New Roman" w:eastAsia="黑体" w:cs="Times New Roman"/>
          <w:b/>
          <w:bCs/>
          <w:color w:val="000000" w:themeColor="text1"/>
          <w:sz w:val="96"/>
          <w:szCs w:val="96"/>
          <w:lang w:val="en-US" w:eastAsia="zh-CN"/>
          <w14:textFill>
            <w14:solidFill>
              <w14:schemeClr w14:val="tx1"/>
            </w14:solidFill>
          </w14:textFill>
        </w:rPr>
      </w:pPr>
      <w:r>
        <w:rPr>
          <w:rFonts w:hint="default" w:ascii="Times New Roman" w:hAnsi="Times New Roman" w:eastAsia="黑体" w:cs="Times New Roman"/>
          <w:b/>
          <w:bCs/>
          <w:color w:val="000000" w:themeColor="text1"/>
          <w:sz w:val="96"/>
          <w:szCs w:val="96"/>
          <w:lang w:val="en-US" w:eastAsia="zh-CN"/>
          <w14:textFill>
            <w14:solidFill>
              <w14:schemeClr w14:val="tx1"/>
            </w14:solidFill>
          </w14:textFill>
        </w:rPr>
        <w:t>T/SZNB</w:t>
      </w:r>
    </w:p>
    <w:p w14:paraId="0CC795F4">
      <w:pPr>
        <w:keepNext w:val="0"/>
        <w:keepLines w:val="0"/>
        <w:pageBreakBefore w:val="0"/>
        <w:widowControl w:val="0"/>
        <w:kinsoku/>
        <w:overflowPunct/>
        <w:topLinePunct w:val="0"/>
        <w:autoSpaceDE/>
        <w:autoSpaceDN/>
        <w:bidi w:val="0"/>
        <w:adjustRightInd w:val="0"/>
        <w:snapToGrid w:val="0"/>
        <w:spacing w:line="240" w:lineRule="atLeast"/>
        <w:jc w:val="distribute"/>
        <w:textAlignment w:val="auto"/>
        <w:rPr>
          <w:rFonts w:hint="eastAsia" w:ascii="Times New Roman" w:hAnsi="Times New Roman" w:eastAsia="黑体" w:cs="Times New Roman"/>
          <w:b/>
          <w:bCs/>
          <w:color w:val="000000" w:themeColor="text1"/>
          <w:sz w:val="72"/>
          <w:szCs w:val="72"/>
          <w:lang w:val="en-US" w:eastAsia="zh-CN"/>
          <w14:textFill>
            <w14:solidFill>
              <w14:schemeClr w14:val="tx1"/>
            </w14:solidFill>
          </w14:textFill>
        </w:rPr>
      </w:pPr>
      <w:r>
        <w:rPr>
          <w:rFonts w:hint="eastAsia" w:ascii="Times New Roman" w:hAnsi="Times New Roman" w:eastAsia="黑体" w:cs="Times New Roman"/>
          <w:b/>
          <w:bCs/>
          <w:color w:val="000000" w:themeColor="text1"/>
          <w:sz w:val="72"/>
          <w:szCs w:val="72"/>
          <w:lang w:val="en-US" w:eastAsia="zh-CN"/>
          <w14:textFill>
            <w14:solidFill>
              <w14:schemeClr w14:val="tx1"/>
            </w14:solidFill>
          </w14:textFill>
        </w:rPr>
        <w:t>团体标准</w:t>
      </w:r>
    </w:p>
    <w:p w14:paraId="19B683D3">
      <w:pPr>
        <w:keepNext w:val="0"/>
        <w:keepLines w:val="0"/>
        <w:pageBreakBefore w:val="0"/>
        <w:widowControl w:val="0"/>
        <w:kinsoku/>
        <w:wordWrap w:val="0"/>
        <w:overflowPunct/>
        <w:topLinePunct w:val="0"/>
        <w:autoSpaceDE/>
        <w:autoSpaceDN/>
        <w:bidi w:val="0"/>
        <w:adjustRightInd w:val="0"/>
        <w:snapToGrid w:val="0"/>
        <w:spacing w:line="240" w:lineRule="atLeast"/>
        <w:jc w:val="right"/>
        <w:textAlignment w:val="auto"/>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pPr>
    </w:p>
    <w:p w14:paraId="34B3A2CB">
      <w:pPr>
        <w:keepNext w:val="0"/>
        <w:keepLines w:val="0"/>
        <w:pageBreakBefore w:val="0"/>
        <w:widowControl w:val="0"/>
        <w:kinsoku/>
        <w:wordWrap w:val="0"/>
        <w:overflowPunct/>
        <w:topLinePunct w:val="0"/>
        <w:autoSpaceDE/>
        <w:autoSpaceDN/>
        <w:bidi w:val="0"/>
        <w:adjustRightInd w:val="0"/>
        <w:snapToGrid w:val="0"/>
        <w:spacing w:line="240" w:lineRule="atLeast"/>
        <w:jc w:val="right"/>
        <w:textAlignment w:val="auto"/>
        <w:rPr>
          <w:rFonts w:hint="default" w:ascii="Times New Roman" w:hAnsi="Times New Roman" w:eastAsia="黑体"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28"/>
          <w:szCs w:val="28"/>
          <w:lang w:val="en-US" w:eastAsia="zh-CN"/>
          <w14:textFill>
            <w14:solidFill>
              <w14:schemeClr w14:val="tx1"/>
            </w14:solidFill>
          </w14:textFill>
        </w:rPr>
        <w:t xml:space="preserve">T/SZNB </w:t>
      </w:r>
      <w:r>
        <w:rPr>
          <w:rFonts w:hint="default" w:ascii="Times New Roman" w:hAnsi="Times New Roman" w:eastAsia="黑体" w:cs="Times New Roman"/>
          <w:b w:val="0"/>
          <w:bCs w:val="0"/>
          <w:color w:val="000000" w:themeColor="text1"/>
          <w:sz w:val="28"/>
          <w:szCs w:val="28"/>
          <w:lang w:val="en" w:eastAsia="zh-CN"/>
          <w14:textFill>
            <w14:solidFill>
              <w14:schemeClr w14:val="tx1"/>
            </w14:solidFill>
          </w14:textFill>
        </w:rPr>
        <w:t>xxx</w:t>
      </w:r>
      <w:r>
        <w:rPr>
          <w:rFonts w:hint="eastAsia" w:ascii="Times New Roman" w:hAnsi="Times New Roman" w:eastAsia="黑体" w:cs="Times New Roman"/>
          <w:b w:val="0"/>
          <w:bCs w:val="0"/>
          <w:color w:val="000000" w:themeColor="text1"/>
          <w:sz w:val="28"/>
          <w:szCs w:val="28"/>
          <w:lang w:val="en-US" w:eastAsia="zh-CN"/>
          <w14:textFill>
            <w14:solidFill>
              <w14:schemeClr w14:val="tx1"/>
            </w14:solidFill>
          </w14:textFill>
        </w:rPr>
        <w:t>-2025</w:t>
      </w:r>
    </w:p>
    <w:p w14:paraId="42853E7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000000" w:themeColor="text1"/>
          <w:sz w:val="28"/>
          <w:szCs w:val="28"/>
          <w:u w:val="none"/>
          <w:lang w:val="en-US" w:eastAsia="zh-CN"/>
          <w14:textFill>
            <w14:solidFill>
              <w14:schemeClr w14:val="tx1"/>
            </w14:solidFill>
          </w14:textFill>
        </w:rPr>
      </w:pPr>
      <w:r>
        <w:rPr>
          <w:rFonts w:hint="eastAsia" w:ascii="Times New Roman" w:hAnsi="Times New Roman" w:eastAsia="黑体" w:cs="Times New Roman"/>
          <w:b/>
          <w:bCs/>
          <w:color w:val="000000" w:themeColor="text1"/>
          <w:sz w:val="28"/>
          <w:szCs w:val="28"/>
          <w:u w:val="single"/>
          <w:lang w:val="en-US" w:eastAsia="zh-CN"/>
          <w14:textFill>
            <w14:solidFill>
              <w14:schemeClr w14:val="tx1"/>
            </w14:solidFill>
          </w14:textFill>
        </w:rPr>
        <w:t xml:space="preserve">                                                                      </w:t>
      </w:r>
    </w:p>
    <w:p w14:paraId="088B301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000000" w:themeColor="text1"/>
          <w:sz w:val="28"/>
          <w:szCs w:val="28"/>
          <w:u w:val="none"/>
          <w:lang w:val="en-US" w:eastAsia="zh-CN"/>
          <w14:textFill>
            <w14:solidFill>
              <w14:schemeClr w14:val="tx1"/>
            </w14:solidFill>
          </w14:textFill>
        </w:rPr>
      </w:pPr>
    </w:p>
    <w:p w14:paraId="48D240F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000000" w:themeColor="text1"/>
          <w:sz w:val="28"/>
          <w:szCs w:val="28"/>
          <w:u w:val="none"/>
          <w:lang w:val="en-US" w:eastAsia="zh-CN"/>
          <w14:textFill>
            <w14:solidFill>
              <w14:schemeClr w14:val="tx1"/>
            </w14:solidFill>
          </w14:textFill>
        </w:rPr>
      </w:pPr>
    </w:p>
    <w:p w14:paraId="25C2CA3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000000" w:themeColor="text1"/>
          <w:sz w:val="28"/>
          <w:szCs w:val="28"/>
          <w:u w:val="none"/>
          <w:lang w:val="en-US" w:eastAsia="zh-CN"/>
          <w14:textFill>
            <w14:solidFill>
              <w14:schemeClr w14:val="tx1"/>
            </w14:solidFill>
          </w14:textFill>
        </w:rPr>
      </w:pPr>
    </w:p>
    <w:p w14:paraId="1C0C441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000000" w:themeColor="text1"/>
          <w:sz w:val="28"/>
          <w:szCs w:val="28"/>
          <w:u w:val="none"/>
          <w:lang w:val="en-US" w:eastAsia="zh-CN"/>
          <w14:textFill>
            <w14:solidFill>
              <w14:schemeClr w14:val="tx1"/>
            </w14:solidFill>
          </w14:textFill>
        </w:rPr>
      </w:pPr>
    </w:p>
    <w:p w14:paraId="3D855E31">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000000" w:themeColor="text1"/>
          <w:sz w:val="28"/>
          <w:szCs w:val="28"/>
          <w:u w:val="none"/>
          <w:lang w:val="en-US" w:eastAsia="zh-CN"/>
          <w14:textFill>
            <w14:solidFill>
              <w14:schemeClr w14:val="tx1"/>
            </w14:solidFill>
          </w14:textFill>
        </w:rPr>
      </w:pPr>
    </w:p>
    <w:p w14:paraId="3881502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000000" w:themeColor="text1"/>
          <w:sz w:val="28"/>
          <w:szCs w:val="28"/>
          <w:u w:val="none"/>
          <w:lang w:val="en-US" w:eastAsia="zh-CN"/>
          <w14:textFill>
            <w14:solidFill>
              <w14:schemeClr w14:val="tx1"/>
            </w14:solidFill>
          </w14:textFill>
        </w:rPr>
      </w:pPr>
    </w:p>
    <w:p w14:paraId="22238F7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000000" w:themeColor="text1"/>
          <w:sz w:val="28"/>
          <w:szCs w:val="28"/>
          <w:u w:val="none"/>
          <w:lang w:val="en-US" w:eastAsia="zh-CN"/>
          <w14:textFill>
            <w14:solidFill>
              <w14:schemeClr w14:val="tx1"/>
            </w14:solidFill>
          </w14:textFill>
        </w:rPr>
      </w:pPr>
    </w:p>
    <w:p w14:paraId="042EA93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000000" w:themeColor="text1"/>
          <w:sz w:val="28"/>
          <w:szCs w:val="28"/>
          <w:u w:val="none"/>
          <w:lang w:val="en-US" w:eastAsia="zh-CN"/>
          <w14:textFill>
            <w14:solidFill>
              <w14:schemeClr w14:val="tx1"/>
            </w14:solidFill>
          </w14:textFill>
        </w:rPr>
      </w:pPr>
    </w:p>
    <w:p w14:paraId="0B15475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000000" w:themeColor="text1"/>
          <w:sz w:val="28"/>
          <w:szCs w:val="28"/>
          <w:u w:val="none"/>
          <w:lang w:val="en-US" w:eastAsia="zh-CN"/>
          <w14:textFill>
            <w14:solidFill>
              <w14:schemeClr w14:val="tx1"/>
            </w14:solidFill>
          </w14:textFill>
        </w:rPr>
      </w:pPr>
    </w:p>
    <w:p w14:paraId="20CD87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themeColor="text1"/>
          <w:sz w:val="52"/>
          <w:szCs w:val="52"/>
          <w:u w:val="none"/>
          <w:lang w:val="en-US" w:eastAsia="zh-CN"/>
          <w14:textFill>
            <w14:solidFill>
              <w14:schemeClr w14:val="tx1"/>
            </w14:solidFill>
          </w14:textFill>
        </w:rPr>
      </w:pPr>
      <w:r>
        <w:rPr>
          <w:rFonts w:hint="eastAsia" w:ascii="黑体" w:hAnsi="黑体" w:eastAsia="黑体" w:cs="黑体"/>
          <w:color w:val="000000" w:themeColor="text1"/>
          <w:sz w:val="52"/>
          <w:szCs w:val="52"/>
          <w:highlight w:val="none"/>
          <w:lang w:val="en-US" w:eastAsia="zh-CN"/>
          <w14:textFill>
            <w14:solidFill>
              <w14:schemeClr w14:val="tx1"/>
            </w14:solidFill>
          </w14:textFill>
        </w:rPr>
        <w:t>优质</w:t>
      </w:r>
      <w:r>
        <w:rPr>
          <w:rFonts w:hint="eastAsia" w:ascii="黑体" w:hAnsi="黑体" w:eastAsia="黑体" w:cs="黑体"/>
          <w:color w:val="000000" w:themeColor="text1"/>
          <w:sz w:val="52"/>
          <w:szCs w:val="52"/>
          <w:highlight w:val="none"/>
          <w:lang w:eastAsia="zh-CN"/>
          <w14:textFill>
            <w14:solidFill>
              <w14:schemeClr w14:val="tx1"/>
            </w14:solidFill>
          </w14:textFill>
        </w:rPr>
        <w:t>储良龙眼生产技术规程</w:t>
      </w:r>
    </w:p>
    <w:p w14:paraId="1998E00E">
      <w:pPr>
        <w:wordWrap/>
        <w:jc w:val="center"/>
        <w:rPr>
          <w:rFonts w:hint="eastAsia" w:ascii="Times New Roman" w:hAnsi="Times New Roman" w:eastAsia="黑体" w:cs="Times New Roman"/>
          <w:b w:val="0"/>
          <w:bCs w:val="0"/>
          <w:color w:val="000000" w:themeColor="text1"/>
          <w:sz w:val="44"/>
          <w:szCs w:val="44"/>
          <w:u w:val="none"/>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44"/>
          <w:szCs w:val="44"/>
          <w:u w:val="none"/>
          <w:lang w:val="en-US" w:eastAsia="zh-CN"/>
          <w14:textFill>
            <w14:solidFill>
              <w14:schemeClr w14:val="tx1"/>
            </w14:solidFill>
          </w14:textFill>
        </w:rPr>
        <w:t>Technical c</w:t>
      </w:r>
      <w:r>
        <w:rPr>
          <w:rFonts w:hint="default" w:ascii="Times New Roman" w:hAnsi="Times New Roman" w:eastAsia="黑体" w:cs="Times New Roman"/>
          <w:b w:val="0"/>
          <w:bCs w:val="0"/>
          <w:color w:val="000000" w:themeColor="text1"/>
          <w:sz w:val="44"/>
          <w:szCs w:val="44"/>
          <w:u w:val="none"/>
          <w:lang w:val="en-US" w:eastAsia="zh-CN"/>
          <w14:textFill>
            <w14:solidFill>
              <w14:schemeClr w14:val="tx1"/>
            </w14:solidFill>
          </w14:textFill>
        </w:rPr>
        <w:t xml:space="preserve">ode of practice for </w:t>
      </w:r>
      <w:r>
        <w:rPr>
          <w:rFonts w:hint="eastAsia" w:ascii="Times New Roman" w:hAnsi="Times New Roman" w:eastAsia="黑体" w:cs="Times New Roman"/>
          <w:b w:val="0"/>
          <w:bCs w:val="0"/>
          <w:color w:val="000000" w:themeColor="text1"/>
          <w:sz w:val="44"/>
          <w:szCs w:val="44"/>
          <w:u w:val="none"/>
          <w:lang w:val="en-US" w:eastAsia="zh-CN"/>
          <w14:textFill>
            <w14:solidFill>
              <w14:schemeClr w14:val="tx1"/>
            </w14:solidFill>
          </w14:textFill>
        </w:rPr>
        <w:t>high quality C</w:t>
      </w:r>
      <w:r>
        <w:rPr>
          <w:rFonts w:hint="default" w:ascii="Times New Roman" w:hAnsi="Times New Roman" w:eastAsia="黑体" w:cs="Times New Roman"/>
          <w:b w:val="0"/>
          <w:bCs w:val="0"/>
          <w:color w:val="000000" w:themeColor="text1"/>
          <w:sz w:val="44"/>
          <w:szCs w:val="44"/>
          <w:u w:val="none"/>
          <w:lang w:val="en" w:eastAsia="zh-CN"/>
          <w14:textFill>
            <w14:solidFill>
              <w14:schemeClr w14:val="tx1"/>
            </w14:solidFill>
          </w14:textFill>
        </w:rPr>
        <w:t>huliang longan</w:t>
      </w:r>
      <w:r>
        <w:rPr>
          <w:rFonts w:hint="default" w:ascii="Times New Roman" w:hAnsi="Times New Roman" w:eastAsia="黑体" w:cs="Times New Roman"/>
          <w:b w:val="0"/>
          <w:bCs w:val="0"/>
          <w:color w:val="000000" w:themeColor="text1"/>
          <w:sz w:val="44"/>
          <w:szCs w:val="44"/>
          <w:u w:val="none"/>
          <w:lang w:val="en-US" w:eastAsia="zh-CN"/>
          <w14:textFill>
            <w14:solidFill>
              <w14:schemeClr w14:val="tx1"/>
            </w14:solidFill>
          </w14:textFill>
        </w:rPr>
        <w:t xml:space="preserve"> production</w:t>
      </w:r>
    </w:p>
    <w:p w14:paraId="46A73C7A">
      <w:pPr>
        <w:wordWrap/>
        <w:jc w:val="center"/>
        <w:rPr>
          <w:rFonts w:hint="eastAsia" w:ascii="Times New Roman" w:hAnsi="Times New Roman" w:eastAsia="黑体" w:cs="Times New Roman"/>
          <w:b w:val="0"/>
          <w:bCs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28"/>
          <w:szCs w:val="28"/>
          <w:lang w:val="en-US" w:eastAsia="zh-CN"/>
          <w14:textFill>
            <w14:solidFill>
              <w14:schemeClr w14:val="tx1"/>
            </w14:solidFill>
          </w14:textFill>
        </w:rPr>
        <w:t>（征求意见稿）</w:t>
      </w:r>
    </w:p>
    <w:p w14:paraId="5C4693B0">
      <w:pPr>
        <w:wordWrap/>
        <w:jc w:val="left"/>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pPr>
    </w:p>
    <w:p w14:paraId="7527918D">
      <w:pPr>
        <w:wordWrap/>
        <w:jc w:val="left"/>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pPr>
    </w:p>
    <w:p w14:paraId="48EF2AD5">
      <w:pPr>
        <w:wordWrap/>
        <w:jc w:val="left"/>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pPr>
    </w:p>
    <w:p w14:paraId="106EF385">
      <w:pPr>
        <w:wordWrap/>
        <w:jc w:val="left"/>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pPr>
    </w:p>
    <w:p w14:paraId="4743622A">
      <w:pPr>
        <w:wordWrap/>
        <w:jc w:val="left"/>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pPr>
    </w:p>
    <w:p w14:paraId="6221E68D">
      <w:pPr>
        <w:wordWrap/>
        <w:jc w:val="left"/>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pPr>
    </w:p>
    <w:p w14:paraId="154E28A7">
      <w:pPr>
        <w:wordWrap/>
        <w:jc w:val="left"/>
        <w:rPr>
          <w:rFonts w:hint="eastAsia" w:ascii="Times New Roman" w:hAnsi="Times New Roman" w:eastAsia="黑体" w:cs="Times New Roman"/>
          <w:b w:val="0"/>
          <w:bCs w:val="0"/>
          <w:color w:val="000000" w:themeColor="text1"/>
          <w:sz w:val="28"/>
          <w:szCs w:val="28"/>
          <w:u w:val="single"/>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28"/>
          <w:szCs w:val="28"/>
          <w:u w:val="single"/>
          <w:lang w:val="en-US" w:eastAsia="zh-CN"/>
          <w14:textFill>
            <w14:solidFill>
              <w14:schemeClr w14:val="tx1"/>
            </w14:solidFill>
          </w14:textFill>
        </w:rPr>
        <w:t>XXXX-XX-XX发布                                XXXX-XX-XX实施</w:t>
      </w:r>
    </w:p>
    <w:p w14:paraId="70694DD2">
      <w:pPr>
        <w:wordWrap/>
        <w:jc w:val="left"/>
        <w:rPr>
          <w:rFonts w:hint="eastAsia" w:ascii="Times New Roman" w:hAnsi="Times New Roman" w:eastAsia="黑体" w:cs="Times New Roman"/>
          <w:b w:val="0"/>
          <w:bCs w:val="0"/>
          <w:color w:val="000000" w:themeColor="text1"/>
          <w:sz w:val="28"/>
          <w:szCs w:val="28"/>
          <w:u w:val="none"/>
          <w:lang w:val="en-US" w:eastAsia="zh-CN"/>
          <w14:textFill>
            <w14:solidFill>
              <w14:schemeClr w14:val="tx1"/>
            </w14:solidFill>
          </w14:textFill>
        </w:rPr>
      </w:pPr>
    </w:p>
    <w:p w14:paraId="03FB0215">
      <w:pPr>
        <w:wordWrap/>
        <w:jc w:val="center"/>
        <w:rPr>
          <w:color w:val="000000" w:themeColor="text1"/>
          <w14:textFill>
            <w14:solidFill>
              <w14:schemeClr w14:val="tx1"/>
            </w14:solidFill>
          </w14:textFill>
        </w:rPr>
        <w:sectPr>
          <w:headerReference r:id="rId3" w:type="even"/>
          <w:footerReference r:id="rId4" w:type="even"/>
          <w:pgSz w:w="11850" w:h="16838"/>
          <w:pgMar w:top="567" w:right="1134" w:bottom="1134" w:left="1417" w:header="0" w:footer="0"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Times New Roman" w:hAnsi="Times New Roman" w:eastAsia="黑体" w:cs="Times New Roman"/>
          <w:b w:val="0"/>
          <w:bCs w:val="0"/>
          <w:color w:val="000000" w:themeColor="text1"/>
          <w:sz w:val="32"/>
          <w:szCs w:val="32"/>
          <w:u w:val="none"/>
          <w:lang w:val="en-US" w:eastAsia="zh-CN"/>
          <w14:textFill>
            <w14:solidFill>
              <w14:schemeClr w14:val="tx1"/>
            </w14:solidFill>
          </w14:textFill>
        </w:rPr>
        <w:t>深圳市农业产业化龙头企业协会     发布</w:t>
      </w:r>
      <w:r>
        <w:rPr>
          <w:rFonts w:hint="eastAsia" w:ascii="Times New Roman" w:hAnsi="Times New Roman" w:eastAsia="黑体" w:cs="Times New Roman"/>
          <w:b/>
          <w:bCs/>
          <w:color w:val="000000" w:themeColor="text1"/>
          <w:sz w:val="32"/>
          <w:szCs w:val="32"/>
          <w:u w:val="none"/>
          <w:lang w:val="en-US" w:eastAsia="zh-CN"/>
          <w14:textFill>
            <w14:solidFill>
              <w14:schemeClr w14:val="tx1"/>
            </w14:solidFill>
          </w14:textFill>
        </w:rPr>
        <w:t xml:space="preserve"> </w: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2354580</wp:posOffset>
                </wp:positionV>
                <wp:extent cx="5974080" cy="127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5974080" cy="12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5pt;margin-top:185.4pt;height:0.1pt;width:470.4pt;z-index:251659264;mso-width-relative:page;mso-height-relative:page;" filled="f" stroked="t" coordsize="21600,21600" o:gfxdata="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bVWzjXAAAACQEAAA8AAAAAAAAAAQAgAAAAIgAAAGRy&#10;cy9kb3ducmV2LnhtbFBLAQIUABQAAAAIAIdO4kA4Sg+cBgIAAAEEAAAOAAAAAAAAAAEAIAAAACYB&#10;AABkcnMvZTJvRG9jLnhtbFBLBQYAAAAABgAGAFkBAACeBQAAAAA=&#10;">
                <v:fill on="f" focussize="0,0"/>
                <v:stroke color="#000000" joinstyle="round"/>
                <v:imagedata o:title=""/>
                <o:lock v:ext="edit" aspectratio="f"/>
              </v:line>
            </w:pict>
          </mc:Fallback>
        </mc:AlternateContent>
      </w:r>
    </w:p>
    <w:p w14:paraId="5E42F40E">
      <w:pPr>
        <w:spacing w:before="640" w:after="560"/>
        <w:jc w:val="center"/>
        <w:rPr>
          <w:rFonts w:hint="eastAsia" w:ascii="黑体" w:hAnsi="Times New Roman" w:eastAsia="黑体" w:cs="Times New Roman"/>
          <w:color w:val="000000" w:themeColor="text1"/>
          <w:kern w:val="0"/>
          <w:sz w:val="32"/>
          <w:szCs w:val="20"/>
          <w:lang w:eastAsia="zh-CN"/>
          <w14:textFill>
            <w14:solidFill>
              <w14:schemeClr w14:val="tx1"/>
            </w14:solidFill>
          </w14:textFill>
        </w:rPr>
      </w:pPr>
      <w:r>
        <w:rPr>
          <w:rFonts w:hint="eastAsia" w:ascii="黑体" w:hAnsi="Times New Roman" w:eastAsia="黑体" w:cs="Times New Roman"/>
          <w:color w:val="000000" w:themeColor="text1"/>
          <w:kern w:val="0"/>
          <w:sz w:val="32"/>
          <w:szCs w:val="20"/>
          <w14:textFill>
            <w14:solidFill>
              <w14:schemeClr w14:val="tx1"/>
            </w14:solidFill>
          </w14:textFill>
        </w:rPr>
        <w:t xml:space="preserve">目    </w:t>
      </w:r>
      <w:r>
        <w:rPr>
          <w:rFonts w:hint="eastAsia" w:ascii="黑体" w:hAnsi="Times New Roman" w:eastAsia="黑体" w:cs="Times New Roman"/>
          <w:color w:val="000000" w:themeColor="text1"/>
          <w:kern w:val="0"/>
          <w:sz w:val="32"/>
          <w:szCs w:val="20"/>
          <w:lang w:eastAsia="zh-CN"/>
          <w14:textFill>
            <w14:solidFill>
              <w14:schemeClr w14:val="tx1"/>
            </w14:solidFill>
          </w14:textFill>
        </w:rPr>
        <w:t>次</w:t>
      </w:r>
    </w:p>
    <w:p w14:paraId="0A7DAF56">
      <w:pPr>
        <w:pStyle w:val="7"/>
        <w:tabs>
          <w:tab w:val="right" w:leader="dot" w:pos="9299"/>
          <w:tab w:val="clear" w:pos="9241"/>
        </w:tabs>
        <w:rPr>
          <w:color w:val="000000" w:themeColor="text1"/>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 w:val="21"/>
          <w:szCs w:val="21"/>
          <w:lang w:val="en-US" w:eastAsia="zh-CN" w:bidi="ar-SA"/>
          <w14:textFill>
            <w14:solidFill>
              <w14:schemeClr w14:val="tx1"/>
            </w14:solidFill>
          </w14:textFill>
        </w:rPr>
        <w:instrText xml:space="preserve">TOC \o "1-1" \h \u </w:instrText>
      </w:r>
      <w:r>
        <w:rPr>
          <w:rFonts w:hint="eastAsia" w:ascii="宋体" w:hAnsi="宋体" w:eastAsia="宋体" w:cs="宋体"/>
          <w:color w:val="000000" w:themeColor="text1"/>
          <w:kern w:val="2"/>
          <w:sz w:val="21"/>
          <w:szCs w:val="21"/>
          <w:lang w:val="en-US" w:eastAsia="zh-CN" w:bidi="ar-SA"/>
          <w14:textFill>
            <w14:solidFill>
              <w14:schemeClr w14:val="tx1"/>
            </w14:solidFill>
          </w14:textFill>
        </w:rPr>
        <w:fldChar w:fldCharType="separate"/>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Cs w:val="21"/>
          <w:lang w:val="en-US" w:eastAsia="zh-CN" w:bidi="ar-SA"/>
          <w14:textFill>
            <w14:solidFill>
              <w14:schemeClr w14:val="tx1"/>
            </w14:solidFill>
          </w14:textFill>
        </w:rPr>
        <w:instrText xml:space="preserve"> HYPERLINK \l _Toc1664311801 </w:instrText>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separate"/>
      </w:r>
      <w:r>
        <w:rPr>
          <w:rFonts w:hint="eastAsia" w:hAnsi="Times New Roman" w:cs="Times New Roman"/>
          <w:color w:val="000000" w:themeColor="text1"/>
          <w14:textFill>
            <w14:solidFill>
              <w14:schemeClr w14:val="tx1"/>
            </w14:solidFill>
          </w14:textFill>
        </w:rPr>
        <w:t xml:space="preserve">前   </w:t>
      </w:r>
      <w:bookmarkStart w:id="399" w:name="_GoBack"/>
      <w:bookmarkEnd w:id="399"/>
      <w:r>
        <w:rPr>
          <w:rFonts w:hint="eastAsia" w:hAnsi="Times New Roman" w:cs="Times New Roman"/>
          <w:color w:val="000000" w:themeColor="text1"/>
          <w14:textFill>
            <w14:solidFill>
              <w14:schemeClr w14:val="tx1"/>
            </w14:solidFill>
          </w14:textFill>
        </w:rPr>
        <w:t>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_Toc1664311801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end"/>
      </w:r>
    </w:p>
    <w:p w14:paraId="63F36940">
      <w:pPr>
        <w:pStyle w:val="7"/>
        <w:tabs>
          <w:tab w:val="right" w:leader="dot" w:pos="9299"/>
          <w:tab w:val="clear" w:pos="9241"/>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Cs w:val="21"/>
          <w:lang w:val="en-US" w:eastAsia="zh-CN" w:bidi="ar-SA"/>
          <w14:textFill>
            <w14:solidFill>
              <w14:schemeClr w14:val="tx1"/>
            </w14:solidFill>
          </w14:textFill>
        </w:rPr>
        <w:instrText xml:space="preserve"> HYPERLINK \l _Toc164663657 </w:instrText>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separate"/>
      </w:r>
      <w:r>
        <w:rPr>
          <w:rFonts w:hint="eastAsia" w:ascii="宋体" w:hAnsi="宋体" w:eastAsia="宋体" w:cs="宋体"/>
          <w:bCs/>
          <w:color w:val="000000" w:themeColor="text1"/>
          <w:kern w:val="0"/>
          <w14:textFill>
            <w14:solidFill>
              <w14:schemeClr w14:val="tx1"/>
            </w14:solidFill>
          </w14:textFill>
        </w:rPr>
        <w:t>1  范围</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_Toc164663657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end"/>
      </w:r>
    </w:p>
    <w:p w14:paraId="27D0908D">
      <w:pPr>
        <w:pStyle w:val="7"/>
        <w:tabs>
          <w:tab w:val="right" w:leader="dot" w:pos="9299"/>
          <w:tab w:val="clear" w:pos="9241"/>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Cs w:val="21"/>
          <w:lang w:val="en-US" w:eastAsia="zh-CN" w:bidi="ar-SA"/>
          <w14:textFill>
            <w14:solidFill>
              <w14:schemeClr w14:val="tx1"/>
            </w14:solidFill>
          </w14:textFill>
        </w:rPr>
        <w:instrText xml:space="preserve"> HYPERLINK \l _Toc1025200182 </w:instrText>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separate"/>
      </w:r>
      <w:r>
        <w:rPr>
          <w:rFonts w:hint="eastAsia" w:ascii="宋体" w:hAnsi="宋体" w:eastAsia="宋体" w:cs="宋体"/>
          <w:bCs/>
          <w:color w:val="000000" w:themeColor="text1"/>
          <w:kern w:val="0"/>
          <w14:textFill>
            <w14:solidFill>
              <w14:schemeClr w14:val="tx1"/>
            </w14:solidFill>
          </w14:textFill>
        </w:rPr>
        <w:t>2  规范性引用文件</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_Toc1025200182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end"/>
      </w:r>
    </w:p>
    <w:p w14:paraId="5F1E4035">
      <w:pPr>
        <w:pStyle w:val="7"/>
        <w:tabs>
          <w:tab w:val="right" w:leader="dot" w:pos="9299"/>
          <w:tab w:val="clear" w:pos="9241"/>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Cs w:val="21"/>
          <w:lang w:val="en-US" w:eastAsia="zh-CN" w:bidi="ar-SA"/>
          <w14:textFill>
            <w14:solidFill>
              <w14:schemeClr w14:val="tx1"/>
            </w14:solidFill>
          </w14:textFill>
        </w:rPr>
        <w:instrText xml:space="preserve"> HYPERLINK \l _Toc818716292 </w:instrText>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separate"/>
      </w:r>
      <w:r>
        <w:rPr>
          <w:rFonts w:hint="eastAsia" w:ascii="宋体" w:hAnsi="宋体" w:eastAsia="宋体" w:cs="宋体"/>
          <w:bCs/>
          <w:color w:val="000000" w:themeColor="text1"/>
          <w:kern w:val="0"/>
          <w14:textFill>
            <w14:solidFill>
              <w14:schemeClr w14:val="tx1"/>
            </w14:solidFill>
          </w14:textFill>
        </w:rPr>
        <w:t xml:space="preserve">3 </w:t>
      </w:r>
      <w:r>
        <w:rPr>
          <w:rFonts w:hint="eastAsia" w:ascii="宋体" w:hAnsi="宋体" w:eastAsia="宋体" w:cs="宋体"/>
          <w:bCs/>
          <w:color w:val="000000" w:themeColor="text1"/>
          <w:kern w:val="0"/>
          <w:lang w:val="en-US" w:eastAsia="zh-CN"/>
          <w14:textFill>
            <w14:solidFill>
              <w14:schemeClr w14:val="tx1"/>
            </w14:solidFill>
          </w14:textFill>
        </w:rPr>
        <w:t xml:space="preserve"> </w:t>
      </w:r>
      <w:r>
        <w:rPr>
          <w:rFonts w:hint="eastAsia" w:ascii="宋体" w:hAnsi="宋体" w:eastAsia="宋体" w:cs="宋体"/>
          <w:bCs/>
          <w:color w:val="000000" w:themeColor="text1"/>
          <w:kern w:val="0"/>
          <w14:textFill>
            <w14:solidFill>
              <w14:schemeClr w14:val="tx1"/>
            </w14:solidFill>
          </w14:textFill>
        </w:rPr>
        <w:t>术语和定义</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_Toc818716292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end"/>
      </w:r>
    </w:p>
    <w:p w14:paraId="5E35C43D">
      <w:pPr>
        <w:pStyle w:val="7"/>
        <w:tabs>
          <w:tab w:val="right" w:leader="dot" w:pos="9299"/>
          <w:tab w:val="clear" w:pos="9241"/>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Cs w:val="21"/>
          <w:lang w:val="en-US" w:eastAsia="zh-CN" w:bidi="ar-SA"/>
          <w14:textFill>
            <w14:solidFill>
              <w14:schemeClr w14:val="tx1"/>
            </w14:solidFill>
          </w14:textFill>
        </w:rPr>
        <w:instrText xml:space="preserve"> HYPERLINK \l _Toc72463391 </w:instrText>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separate"/>
      </w:r>
      <w:r>
        <w:rPr>
          <w:rFonts w:hint="eastAsia" w:ascii="宋体" w:hAnsi="宋体" w:eastAsia="宋体" w:cs="宋体"/>
          <w:bCs/>
          <w:color w:val="000000" w:themeColor="text1"/>
          <w:kern w:val="0"/>
          <w14:textFill>
            <w14:solidFill>
              <w14:schemeClr w14:val="tx1"/>
            </w14:solidFill>
          </w14:textFill>
        </w:rPr>
        <w:t xml:space="preserve">4 </w:t>
      </w:r>
      <w:r>
        <w:rPr>
          <w:rFonts w:hint="eastAsia" w:ascii="宋体" w:hAnsi="宋体" w:eastAsia="宋体" w:cs="宋体"/>
          <w:bCs/>
          <w:color w:val="000000" w:themeColor="text1"/>
          <w:kern w:val="0"/>
          <w:lang w:val="en-US" w:eastAsia="zh-CN"/>
          <w14:textFill>
            <w14:solidFill>
              <w14:schemeClr w14:val="tx1"/>
            </w14:solidFill>
          </w14:textFill>
        </w:rPr>
        <w:t xml:space="preserve"> </w:t>
      </w:r>
      <w:r>
        <w:rPr>
          <w:rFonts w:hint="eastAsia" w:ascii="宋体" w:hAnsi="宋体" w:eastAsia="宋体" w:cs="宋体"/>
          <w:bCs/>
          <w:color w:val="000000" w:themeColor="text1"/>
          <w:kern w:val="0"/>
          <w:lang w:eastAsia="zh-CN"/>
          <w14:textFill>
            <w14:solidFill>
              <w14:schemeClr w14:val="tx1"/>
            </w14:solidFill>
          </w14:textFill>
        </w:rPr>
        <w:t>建园</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_Toc72463391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end"/>
      </w:r>
    </w:p>
    <w:p w14:paraId="41A1CE00">
      <w:pPr>
        <w:pStyle w:val="7"/>
        <w:tabs>
          <w:tab w:val="right" w:leader="dot" w:pos="9299"/>
          <w:tab w:val="clear" w:pos="9241"/>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Cs w:val="21"/>
          <w:lang w:val="en-US" w:eastAsia="zh-CN" w:bidi="ar-SA"/>
          <w14:textFill>
            <w14:solidFill>
              <w14:schemeClr w14:val="tx1"/>
            </w14:solidFill>
          </w14:textFill>
        </w:rPr>
        <w:instrText xml:space="preserve"> HYPERLINK \l _Toc1546745978 </w:instrText>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separate"/>
      </w:r>
      <w:r>
        <w:rPr>
          <w:rFonts w:hint="eastAsia" w:ascii="宋体" w:hAnsi="宋体" w:eastAsia="宋体" w:cs="宋体"/>
          <w:bCs/>
          <w:color w:val="000000" w:themeColor="text1"/>
          <w:kern w:val="0"/>
          <w:lang w:eastAsia="zh-CN"/>
          <w14:textFill>
            <w14:solidFill>
              <w14:schemeClr w14:val="tx1"/>
            </w14:solidFill>
          </w14:textFill>
        </w:rPr>
        <w:t>5</w:t>
      </w:r>
      <w:r>
        <w:rPr>
          <w:rFonts w:hint="eastAsia" w:ascii="宋体" w:hAnsi="宋体" w:eastAsia="宋体" w:cs="宋体"/>
          <w:bCs/>
          <w:color w:val="000000" w:themeColor="text1"/>
          <w:kern w:val="0"/>
          <w14:textFill>
            <w14:solidFill>
              <w14:schemeClr w14:val="tx1"/>
            </w14:solidFill>
          </w14:textFill>
        </w:rPr>
        <w:t xml:space="preserve">  </w:t>
      </w:r>
      <w:r>
        <w:rPr>
          <w:rFonts w:hint="eastAsia" w:ascii="宋体" w:hAnsi="宋体" w:eastAsia="宋体" w:cs="宋体"/>
          <w:bCs/>
          <w:color w:val="000000" w:themeColor="text1"/>
          <w:kern w:val="0"/>
          <w:lang w:eastAsia="zh-CN"/>
          <w14:textFill>
            <w14:solidFill>
              <w14:schemeClr w14:val="tx1"/>
            </w14:solidFill>
          </w14:textFill>
        </w:rPr>
        <w:t>栽植</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_Toc1546745978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end"/>
      </w:r>
    </w:p>
    <w:p w14:paraId="3106E82F">
      <w:pPr>
        <w:pStyle w:val="7"/>
        <w:tabs>
          <w:tab w:val="right" w:leader="dot" w:pos="9299"/>
          <w:tab w:val="clear" w:pos="9241"/>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Cs w:val="21"/>
          <w:lang w:val="en-US" w:eastAsia="zh-CN" w:bidi="ar-SA"/>
          <w14:textFill>
            <w14:solidFill>
              <w14:schemeClr w14:val="tx1"/>
            </w14:solidFill>
          </w14:textFill>
        </w:rPr>
        <w:instrText xml:space="preserve"> HYPERLINK \l _Toc227752922 </w:instrText>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separate"/>
      </w:r>
      <w:r>
        <w:rPr>
          <w:rFonts w:hint="eastAsia" w:ascii="宋体" w:hAnsi="宋体" w:eastAsia="宋体" w:cs="宋体"/>
          <w:bCs/>
          <w:color w:val="000000" w:themeColor="text1"/>
          <w:kern w:val="0"/>
          <w:lang w:val="en-US" w:eastAsia="zh-CN"/>
          <w14:textFill>
            <w14:solidFill>
              <w14:schemeClr w14:val="tx1"/>
            </w14:solidFill>
          </w14:textFill>
        </w:rPr>
        <w:t>6</w:t>
      </w:r>
      <w:r>
        <w:rPr>
          <w:rFonts w:hint="eastAsia" w:ascii="宋体" w:hAnsi="宋体" w:eastAsia="宋体" w:cs="宋体"/>
          <w:bCs/>
          <w:color w:val="000000" w:themeColor="text1"/>
          <w:kern w:val="0"/>
          <w14:textFill>
            <w14:solidFill>
              <w14:schemeClr w14:val="tx1"/>
            </w14:solidFill>
          </w14:textFill>
        </w:rPr>
        <w:t xml:space="preserve">  </w:t>
      </w:r>
      <w:r>
        <w:rPr>
          <w:rFonts w:hint="eastAsia" w:ascii="宋体" w:hAnsi="宋体" w:eastAsia="宋体" w:cs="宋体"/>
          <w:bCs/>
          <w:color w:val="000000" w:themeColor="text1"/>
          <w:kern w:val="0"/>
          <w:lang w:eastAsia="zh-CN"/>
          <w14:textFill>
            <w14:solidFill>
              <w14:schemeClr w14:val="tx1"/>
            </w14:solidFill>
          </w14:textFill>
        </w:rPr>
        <w:t>土肥水管理</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_Toc227752922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end"/>
      </w:r>
    </w:p>
    <w:p w14:paraId="63644103">
      <w:pPr>
        <w:pStyle w:val="7"/>
        <w:tabs>
          <w:tab w:val="right" w:leader="dot" w:pos="9299"/>
          <w:tab w:val="clear" w:pos="9241"/>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Cs w:val="21"/>
          <w:lang w:val="en-US" w:eastAsia="zh-CN" w:bidi="ar-SA"/>
          <w14:textFill>
            <w14:solidFill>
              <w14:schemeClr w14:val="tx1"/>
            </w14:solidFill>
          </w14:textFill>
        </w:rPr>
        <w:instrText xml:space="preserve"> HYPERLINK \l _Toc1957163344 </w:instrText>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separate"/>
      </w:r>
      <w:r>
        <w:rPr>
          <w:rFonts w:hint="eastAsia" w:ascii="宋体" w:hAnsi="宋体" w:eastAsia="宋体" w:cs="宋体"/>
          <w:bCs/>
          <w:color w:val="000000" w:themeColor="text1"/>
          <w:kern w:val="0"/>
          <w:lang w:val="en-US" w:eastAsia="zh-CN"/>
          <w14:textFill>
            <w14:solidFill>
              <w14:schemeClr w14:val="tx1"/>
            </w14:solidFill>
          </w14:textFill>
        </w:rPr>
        <w:t>7</w:t>
      </w:r>
      <w:r>
        <w:rPr>
          <w:rFonts w:hint="eastAsia" w:ascii="宋体" w:hAnsi="宋体" w:eastAsia="宋体" w:cs="宋体"/>
          <w:bCs/>
          <w:color w:val="000000" w:themeColor="text1"/>
          <w:kern w:val="0"/>
          <w14:textFill>
            <w14:solidFill>
              <w14:schemeClr w14:val="tx1"/>
            </w14:solidFill>
          </w14:textFill>
        </w:rPr>
        <w:t xml:space="preserve"> </w:t>
      </w:r>
      <w:r>
        <w:rPr>
          <w:rFonts w:hint="eastAsia" w:ascii="宋体" w:hAnsi="宋体" w:eastAsia="宋体" w:cs="宋体"/>
          <w:bCs/>
          <w:color w:val="000000" w:themeColor="text1"/>
          <w:kern w:val="0"/>
          <w:lang w:val="en-US" w:eastAsia="zh-CN"/>
          <w14:textFill>
            <w14:solidFill>
              <w14:schemeClr w14:val="tx1"/>
            </w14:solidFill>
          </w14:textFill>
        </w:rPr>
        <w:t xml:space="preserve"> </w:t>
      </w:r>
      <w:r>
        <w:rPr>
          <w:rFonts w:hint="eastAsia" w:ascii="宋体" w:hAnsi="宋体" w:eastAsia="宋体" w:cs="宋体"/>
          <w:bCs/>
          <w:color w:val="000000" w:themeColor="text1"/>
          <w:kern w:val="0"/>
          <w:lang w:eastAsia="zh-CN"/>
          <w14:textFill>
            <w14:solidFill>
              <w14:schemeClr w14:val="tx1"/>
            </w14:solidFill>
          </w14:textFill>
        </w:rPr>
        <w:t>整形修剪</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_Toc1957163344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end"/>
      </w:r>
    </w:p>
    <w:p w14:paraId="29FC087A">
      <w:pPr>
        <w:pStyle w:val="7"/>
        <w:tabs>
          <w:tab w:val="right" w:leader="dot" w:pos="9299"/>
          <w:tab w:val="clear" w:pos="9241"/>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Cs w:val="21"/>
          <w:lang w:val="en-US" w:eastAsia="zh-CN" w:bidi="ar-SA"/>
          <w14:textFill>
            <w14:solidFill>
              <w14:schemeClr w14:val="tx1"/>
            </w14:solidFill>
          </w14:textFill>
        </w:rPr>
        <w:instrText xml:space="preserve"> HYPERLINK \l _Toc816851791 </w:instrText>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separate"/>
      </w:r>
      <w:r>
        <w:rPr>
          <w:rFonts w:hint="eastAsia" w:ascii="宋体" w:hAnsi="宋体" w:eastAsia="宋体" w:cs="宋体"/>
          <w:bCs/>
          <w:color w:val="000000" w:themeColor="text1"/>
          <w:kern w:val="0"/>
          <w:lang w:val="en-US" w:eastAsia="zh-CN"/>
          <w14:textFill>
            <w14:solidFill>
              <w14:schemeClr w14:val="tx1"/>
            </w14:solidFill>
          </w14:textFill>
        </w:rPr>
        <w:t>8</w:t>
      </w:r>
      <w:r>
        <w:rPr>
          <w:rFonts w:hint="eastAsia" w:ascii="宋体" w:hAnsi="宋体" w:eastAsia="宋体" w:cs="宋体"/>
          <w:bCs/>
          <w:color w:val="000000" w:themeColor="text1"/>
          <w:kern w:val="0"/>
          <w14:textFill>
            <w14:solidFill>
              <w14:schemeClr w14:val="tx1"/>
            </w14:solidFill>
          </w14:textFill>
        </w:rPr>
        <w:t xml:space="preserve"> </w:t>
      </w:r>
      <w:r>
        <w:rPr>
          <w:rFonts w:hint="eastAsia" w:ascii="宋体" w:hAnsi="宋体" w:eastAsia="宋体" w:cs="宋体"/>
          <w:bCs/>
          <w:color w:val="000000" w:themeColor="text1"/>
          <w:kern w:val="0"/>
          <w:lang w:val="en-US" w:eastAsia="zh-CN"/>
          <w14:textFill>
            <w14:solidFill>
              <w14:schemeClr w14:val="tx1"/>
            </w14:solidFill>
          </w14:textFill>
        </w:rPr>
        <w:t xml:space="preserve"> </w:t>
      </w:r>
      <w:r>
        <w:rPr>
          <w:rFonts w:hint="eastAsia" w:ascii="宋体" w:hAnsi="宋体" w:eastAsia="宋体" w:cs="宋体"/>
          <w:bCs/>
          <w:color w:val="000000" w:themeColor="text1"/>
          <w:kern w:val="0"/>
          <w:lang w:eastAsia="zh-CN"/>
          <w14:textFill>
            <w14:solidFill>
              <w14:schemeClr w14:val="tx1"/>
            </w14:solidFill>
          </w14:textFill>
        </w:rPr>
        <w:t>花果管理</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_Toc816851791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end"/>
      </w:r>
    </w:p>
    <w:p w14:paraId="4527D58E">
      <w:pPr>
        <w:pStyle w:val="7"/>
        <w:tabs>
          <w:tab w:val="right" w:leader="dot" w:pos="9299"/>
          <w:tab w:val="clear" w:pos="9241"/>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Cs w:val="21"/>
          <w:lang w:val="en-US" w:eastAsia="zh-CN" w:bidi="ar-SA"/>
          <w14:textFill>
            <w14:solidFill>
              <w14:schemeClr w14:val="tx1"/>
            </w14:solidFill>
          </w14:textFill>
        </w:rPr>
        <w:instrText xml:space="preserve"> HYPERLINK \l _Toc1206476259 </w:instrText>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separate"/>
      </w:r>
      <w:r>
        <w:rPr>
          <w:rFonts w:hint="eastAsia" w:ascii="宋体" w:hAnsi="宋体" w:eastAsia="宋体" w:cs="宋体"/>
          <w:bCs/>
          <w:color w:val="000000" w:themeColor="text1"/>
          <w:kern w:val="0"/>
          <w:lang w:val="en-US" w:eastAsia="zh-CN"/>
          <w14:textFill>
            <w14:solidFill>
              <w14:schemeClr w14:val="tx1"/>
            </w14:solidFill>
          </w14:textFill>
        </w:rPr>
        <w:t>9  越冬管理</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_Toc1206476259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end"/>
      </w:r>
    </w:p>
    <w:p w14:paraId="515DFBC7">
      <w:pPr>
        <w:pStyle w:val="7"/>
        <w:tabs>
          <w:tab w:val="right" w:leader="dot" w:pos="9299"/>
          <w:tab w:val="clear" w:pos="9241"/>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Cs w:val="21"/>
          <w:lang w:val="en-US" w:eastAsia="zh-CN" w:bidi="ar-SA"/>
          <w14:textFill>
            <w14:solidFill>
              <w14:schemeClr w14:val="tx1"/>
            </w14:solidFill>
          </w14:textFill>
        </w:rPr>
        <w:instrText xml:space="preserve"> HYPERLINK \l _Toc1652415928 </w:instrText>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separate"/>
      </w:r>
      <w:r>
        <w:rPr>
          <w:rFonts w:hint="eastAsia" w:ascii="宋体" w:hAnsi="宋体" w:eastAsia="宋体" w:cs="宋体"/>
          <w:bCs/>
          <w:color w:val="000000" w:themeColor="text1"/>
          <w:kern w:val="0"/>
          <w:lang w:val="en-US" w:eastAsia="zh-CN"/>
          <w14:textFill>
            <w14:solidFill>
              <w14:schemeClr w14:val="tx1"/>
            </w14:solidFill>
          </w14:textFill>
        </w:rPr>
        <w:t>10</w:t>
      </w:r>
      <w:r>
        <w:rPr>
          <w:rFonts w:hint="eastAsia" w:ascii="宋体" w:hAnsi="宋体" w:eastAsia="宋体" w:cs="宋体"/>
          <w:bCs/>
          <w:color w:val="000000" w:themeColor="text1"/>
          <w:kern w:val="0"/>
          <w:lang w:eastAsia="zh-CN"/>
          <w14:textFill>
            <w14:solidFill>
              <w14:schemeClr w14:val="tx1"/>
            </w14:solidFill>
          </w14:textFill>
        </w:rPr>
        <w:t xml:space="preserve">  </w:t>
      </w:r>
      <w:r>
        <w:rPr>
          <w:rFonts w:hint="eastAsia" w:ascii="宋体" w:hAnsi="宋体" w:eastAsia="宋体" w:cs="宋体"/>
          <w:bCs/>
          <w:color w:val="000000" w:themeColor="text1"/>
          <w:kern w:val="0"/>
          <w:lang w:val="en-US" w:eastAsia="zh-CN"/>
          <w14:textFill>
            <w14:solidFill>
              <w14:schemeClr w14:val="tx1"/>
            </w14:solidFill>
          </w14:textFill>
        </w:rPr>
        <w:t>病虫害防治</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_Toc1652415928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end"/>
      </w:r>
    </w:p>
    <w:p w14:paraId="73B71833">
      <w:pPr>
        <w:pStyle w:val="7"/>
        <w:tabs>
          <w:tab w:val="right" w:leader="dot" w:pos="9299"/>
          <w:tab w:val="clear" w:pos="9241"/>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Cs w:val="21"/>
          <w:lang w:val="en-US" w:eastAsia="zh-CN" w:bidi="ar-SA"/>
          <w14:textFill>
            <w14:solidFill>
              <w14:schemeClr w14:val="tx1"/>
            </w14:solidFill>
          </w14:textFill>
        </w:rPr>
        <w:instrText xml:space="preserve"> HYPERLINK \l _Toc1576990003 </w:instrText>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separate"/>
      </w:r>
      <w:r>
        <w:rPr>
          <w:rFonts w:hint="eastAsia" w:ascii="宋体" w:hAnsi="宋体" w:eastAsia="宋体" w:cs="宋体"/>
          <w:bCs/>
          <w:color w:val="000000" w:themeColor="text1"/>
          <w:kern w:val="0"/>
          <w:lang w:val="en-US" w:eastAsia="zh-CN"/>
          <w14:textFill>
            <w14:solidFill>
              <w14:schemeClr w14:val="tx1"/>
            </w14:solidFill>
          </w14:textFill>
        </w:rPr>
        <w:t>11  果实采收</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_Toc1576990003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end"/>
      </w:r>
    </w:p>
    <w:p w14:paraId="026961D2">
      <w:pPr>
        <w:pStyle w:val="7"/>
        <w:tabs>
          <w:tab w:val="right" w:leader="dot" w:pos="9299"/>
          <w:tab w:val="clear" w:pos="9241"/>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Cs w:val="21"/>
          <w:lang w:val="en-US" w:eastAsia="zh-CN" w:bidi="ar-SA"/>
          <w14:textFill>
            <w14:solidFill>
              <w14:schemeClr w14:val="tx1"/>
            </w14:solidFill>
          </w14:textFill>
        </w:rPr>
        <w:instrText xml:space="preserve"> HYPERLINK \l _Toc864940638 </w:instrText>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separate"/>
      </w:r>
      <w:r>
        <w:rPr>
          <w:rFonts w:hint="eastAsia" w:ascii="宋体" w:hAnsi="宋体" w:eastAsia="宋体" w:cs="宋体"/>
          <w:bCs/>
          <w:color w:val="000000" w:themeColor="text1"/>
          <w:kern w:val="0"/>
          <w:lang w:val="en-US" w:eastAsia="zh-CN"/>
          <w14:textFill>
            <w14:solidFill>
              <w14:schemeClr w14:val="tx1"/>
            </w14:solidFill>
          </w14:textFill>
        </w:rPr>
        <w:t>12  采后贮藏与运输</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_Toc864940638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end"/>
      </w:r>
    </w:p>
    <w:p w14:paraId="4B0DAAD0">
      <w:pPr>
        <w:pStyle w:val="7"/>
        <w:tabs>
          <w:tab w:val="right" w:leader="dot" w:pos="9299"/>
          <w:tab w:val="clear" w:pos="9241"/>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Cs w:val="21"/>
          <w:lang w:val="en-US" w:eastAsia="zh-CN" w:bidi="ar-SA"/>
          <w14:textFill>
            <w14:solidFill>
              <w14:schemeClr w14:val="tx1"/>
            </w14:solidFill>
          </w14:textFill>
        </w:rPr>
        <w:instrText xml:space="preserve"> HYPERLINK \l _Toc1018089962 </w:instrText>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separate"/>
      </w:r>
      <w:r>
        <w:rPr>
          <w:rFonts w:hint="eastAsia" w:ascii="宋体" w:hAnsi="宋体" w:eastAsia="宋体" w:cs="宋体"/>
          <w:bCs/>
          <w:color w:val="000000" w:themeColor="text1"/>
          <w:kern w:val="0"/>
          <w:lang w:val="en-US" w:eastAsia="zh-CN"/>
          <w14:textFill>
            <w14:solidFill>
              <w14:schemeClr w14:val="tx1"/>
            </w14:solidFill>
          </w14:textFill>
        </w:rPr>
        <w:t>13  产品质量溯源</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_Toc1018089962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end"/>
      </w:r>
    </w:p>
    <w:p w14:paraId="326DECB9">
      <w:pPr>
        <w:spacing w:before="80" w:beforeLines="25" w:after="80" w:afterLines="2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end"/>
      </w:r>
    </w:p>
    <w:p w14:paraId="581EBA5B">
      <w:pPr>
        <w:spacing w:before="0" w:beforeLines="0" w:after="0" w:afterLines="0"/>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p w14:paraId="7213E2F4">
      <w:pPr>
        <w:spacing w:before="0" w:beforeLines="0" w:after="0" w:afterLines="0"/>
        <w:rPr>
          <w:rFonts w:hint="eastAsia"/>
          <w:color w:val="000000" w:themeColor="text1"/>
          <w:lang w:val="en-US" w:eastAsia="zh-CN"/>
          <w14:textFill>
            <w14:solidFill>
              <w14:schemeClr w14:val="tx1"/>
            </w14:solidFill>
          </w14:textFill>
        </w:rPr>
      </w:pPr>
    </w:p>
    <w:p w14:paraId="65F139F4">
      <w:pPr>
        <w:spacing w:before="0" w:beforeLines="0" w:after="0" w:afterLines="0"/>
        <w:rPr>
          <w:rFonts w:hint="eastAsia"/>
          <w:color w:val="000000" w:themeColor="text1"/>
          <w:lang w:val="en-US" w:eastAsia="zh-CN"/>
          <w14:textFill>
            <w14:solidFill>
              <w14:schemeClr w14:val="tx1"/>
            </w14:solidFill>
          </w14:textFill>
        </w:rPr>
      </w:pPr>
    </w:p>
    <w:p w14:paraId="0415F78A">
      <w:pPr>
        <w:spacing w:before="0" w:beforeLines="0" w:after="0" w:afterLines="0"/>
        <w:rPr>
          <w:rFonts w:hint="eastAsia"/>
          <w:color w:val="000000" w:themeColor="text1"/>
          <w:lang w:val="en-US" w:eastAsia="zh-CN"/>
          <w14:textFill>
            <w14:solidFill>
              <w14:schemeClr w14:val="tx1"/>
            </w14:solidFill>
          </w14:textFill>
        </w:rPr>
      </w:pPr>
    </w:p>
    <w:p w14:paraId="0D713777">
      <w:pPr>
        <w:spacing w:before="0" w:beforeLines="0" w:after="0" w:afterLines="0"/>
        <w:rPr>
          <w:rFonts w:hint="eastAsia"/>
          <w:color w:val="000000" w:themeColor="text1"/>
          <w:lang w:val="en-US" w:eastAsia="zh-CN"/>
          <w14:textFill>
            <w14:solidFill>
              <w14:schemeClr w14:val="tx1"/>
            </w14:solidFill>
          </w14:textFill>
        </w:rPr>
      </w:pPr>
    </w:p>
    <w:p w14:paraId="31E66D0A">
      <w:pPr>
        <w:spacing w:before="0" w:beforeLines="0" w:after="0" w:afterLines="0"/>
        <w:rPr>
          <w:rFonts w:hint="eastAsia"/>
          <w:color w:val="000000" w:themeColor="text1"/>
          <w:lang w:val="en-US" w:eastAsia="zh-CN"/>
          <w14:textFill>
            <w14:solidFill>
              <w14:schemeClr w14:val="tx1"/>
            </w14:solidFill>
          </w14:textFill>
        </w:rPr>
      </w:pPr>
    </w:p>
    <w:p w14:paraId="07C13A60">
      <w:pPr>
        <w:spacing w:before="0" w:beforeLines="0" w:after="0" w:afterLines="0"/>
        <w:rPr>
          <w:rFonts w:hint="eastAsia"/>
          <w:color w:val="000000" w:themeColor="text1"/>
          <w:lang w:val="en-US" w:eastAsia="zh-CN"/>
          <w14:textFill>
            <w14:solidFill>
              <w14:schemeClr w14:val="tx1"/>
            </w14:solidFill>
          </w14:textFill>
        </w:rPr>
      </w:pPr>
    </w:p>
    <w:p w14:paraId="3903BA76">
      <w:pPr>
        <w:pStyle w:val="14"/>
        <w:shd w:val="clear" w:color="FFFFFF" w:fill="FFFFFF"/>
        <w:rPr>
          <w:rFonts w:hint="eastAsia" w:hAnsi="Times New Roman" w:cs="Times New Roman"/>
          <w:color w:val="000000" w:themeColor="text1"/>
          <w14:textFill>
            <w14:solidFill>
              <w14:schemeClr w14:val="tx1"/>
            </w14:solidFill>
          </w14:textFill>
        </w:rPr>
        <w:sectPr>
          <w:headerReference r:id="rId5" w:type="default"/>
          <w:footerReference r:id="rId7" w:type="default"/>
          <w:headerReference r:id="rId6" w:type="even"/>
          <w:footerReference r:id="rId8" w:type="even"/>
          <w:pgSz w:w="11850" w:h="16838"/>
          <w:pgMar w:top="1417" w:right="1134" w:bottom="1134" w:left="1417" w:header="1361" w:footer="1134" w:gutter="0"/>
          <w:pgBorders>
            <w:top w:val="none" w:sz="0" w:space="0"/>
            <w:left w:val="none" w:sz="0" w:space="0"/>
            <w:bottom w:val="none" w:sz="0" w:space="0"/>
            <w:right w:val="none" w:sz="0" w:space="0"/>
          </w:pgBorders>
          <w:pgNumType w:fmt="upperRoman" w:start="1"/>
          <w:cols w:space="720" w:num="1"/>
          <w:formProt w:val="0"/>
          <w:docGrid w:type="lines" w:linePitch="317" w:charSpace="0"/>
        </w:sectPr>
      </w:pPr>
      <w:bookmarkStart w:id="0" w:name="_Toc1158615905"/>
      <w:bookmarkStart w:id="1" w:name="_Toc1013756116"/>
      <w:bookmarkStart w:id="2" w:name="_Toc1771923123"/>
      <w:bookmarkStart w:id="3" w:name="_Toc229526536"/>
      <w:bookmarkStart w:id="4" w:name="_Toc510798535"/>
      <w:bookmarkStart w:id="5" w:name="_Toc1971438919"/>
      <w:bookmarkStart w:id="6" w:name="_Toc1687993081_WPSOffice_Level1"/>
      <w:bookmarkStart w:id="7" w:name="_Toc1840553258_WPSOffice_Level1"/>
      <w:bookmarkStart w:id="8" w:name="_Toc422246168"/>
      <w:bookmarkStart w:id="9" w:name="_Toc37017368"/>
      <w:bookmarkStart w:id="10" w:name="_Toc1243496534"/>
      <w:bookmarkStart w:id="11" w:name="_Toc628255779"/>
      <w:bookmarkStart w:id="12" w:name="_Toc62017068"/>
      <w:bookmarkStart w:id="13" w:name="_Toc724511782"/>
      <w:bookmarkStart w:id="14" w:name="_Toc1238527625"/>
      <w:bookmarkStart w:id="15" w:name="_Toc529858275"/>
      <w:bookmarkStart w:id="16" w:name="_Toc557985373"/>
      <w:bookmarkStart w:id="17" w:name="_Toc1778581731"/>
      <w:bookmarkStart w:id="18" w:name="_Toc1163414783"/>
      <w:bookmarkStart w:id="19" w:name="_Toc1821022035"/>
      <w:bookmarkStart w:id="20" w:name="_Toc2097590084"/>
      <w:bookmarkStart w:id="21" w:name="_Toc1909311902"/>
      <w:bookmarkStart w:id="22" w:name="_Toc1874705586"/>
      <w:bookmarkStart w:id="23" w:name="_Toc1575066952"/>
      <w:bookmarkStart w:id="24" w:name="_Toc1972267959"/>
      <w:bookmarkStart w:id="25" w:name="_Toc31606472"/>
      <w:bookmarkStart w:id="26" w:name="_Toc17695"/>
      <w:bookmarkStart w:id="27" w:name="_Toc1046641565"/>
      <w:bookmarkStart w:id="28" w:name="_Toc1985836135"/>
    </w:p>
    <w:p w14:paraId="5A44779E">
      <w:pPr>
        <w:pStyle w:val="14"/>
        <w:shd w:val="clear" w:color="FFFFFF" w:fill="FFFFFF"/>
        <w:rPr>
          <w:rFonts w:hint="eastAsia" w:hAnsi="Times New Roman" w:cs="Times New Roman"/>
          <w:color w:val="000000" w:themeColor="text1"/>
          <w14:textFill>
            <w14:solidFill>
              <w14:schemeClr w14:val="tx1"/>
            </w14:solidFill>
          </w14:textFill>
        </w:rPr>
      </w:pPr>
      <w:bookmarkStart w:id="29" w:name="_Toc1664311801"/>
      <w:r>
        <w:rPr>
          <w:rFonts w:hint="eastAsia" w:hAnsi="Times New Roman" w:cs="Times New Roman"/>
          <w:color w:val="000000" w:themeColor="text1"/>
          <w14:textFill>
            <w14:solidFill>
              <w14:schemeClr w14:val="tx1"/>
            </w14:solidFill>
          </w14:textFill>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0859524">
      <w:pPr>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本文件按照GB/T 1.1-2020《标准化工作导则 第1部分：标准化文件的结构和起草规则》的规定起草。</w:t>
      </w:r>
    </w:p>
    <w:p w14:paraId="7F885A62">
      <w:pPr>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请注意本文件的某些内容可能涉及专利，本文件的发布机构不承担</w:t>
      </w:r>
      <w:r>
        <w:rPr>
          <w:rFonts w:hint="eastAsia" w:ascii="宋体" w:hAnsi="宋体" w:eastAsia="宋体" w:cs="宋体"/>
          <w:color w:val="000000" w:themeColor="text1"/>
          <w:szCs w:val="21"/>
          <w:lang w:val="en-US" w:eastAsia="zh-CN"/>
          <w14:textFill>
            <w14:solidFill>
              <w14:schemeClr w14:val="tx1"/>
            </w14:solidFill>
          </w14:textFill>
        </w:rPr>
        <w:t>识别</w:t>
      </w:r>
      <w:r>
        <w:rPr>
          <w:rFonts w:hint="eastAsia" w:ascii="宋体" w:hAnsi="宋体" w:eastAsia="宋体" w:cs="宋体"/>
          <w:color w:val="000000" w:themeColor="text1"/>
          <w:szCs w:val="21"/>
          <w:lang w:eastAsia="zh-CN"/>
          <w14:textFill>
            <w14:solidFill>
              <w14:schemeClr w14:val="tx1"/>
            </w14:solidFill>
          </w14:textFill>
        </w:rPr>
        <w:t>专利的责任。</w:t>
      </w:r>
    </w:p>
    <w:p w14:paraId="182F39AC">
      <w:pPr>
        <w:ind w:firstLine="420" w:firstLineChars="200"/>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本文件由深圳农产品质量提升联盟提出。</w:t>
      </w:r>
    </w:p>
    <w:p w14:paraId="235EBF8D">
      <w:pPr>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本文件由深圳市农业产业化龙头企业协会</w:t>
      </w:r>
      <w:r>
        <w:rPr>
          <w:rFonts w:hint="eastAsia" w:ascii="宋体" w:hAnsi="宋体" w:eastAsia="宋体" w:cs="宋体"/>
          <w:color w:val="000000" w:themeColor="text1"/>
          <w:szCs w:val="21"/>
          <w:lang w:eastAsia="zh-CN"/>
          <w14:textFill>
            <w14:solidFill>
              <w14:schemeClr w14:val="tx1"/>
            </w14:solidFill>
          </w14:textFill>
        </w:rPr>
        <w:t>归口。</w:t>
      </w:r>
    </w:p>
    <w:p w14:paraId="4B55A5A7">
      <w:pPr>
        <w:keepNext w:val="0"/>
        <w:keepLines w:val="0"/>
        <w:widowControl/>
        <w:suppressLineNumbers w:val="0"/>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本文件起草单位：深圳市农产品质量安全检验检测中心、深圳市五谷网络科技有限公司、深圳市农业产业化龙头企业协会</w:t>
      </w:r>
    </w:p>
    <w:p w14:paraId="5A7664AC">
      <w:pPr>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本文件主要起草人：鲁长青、钟燕珠、程玉、李广斌、林军军、袁文静、苏晓润、刘东风、彭李亚、张向刚、肖志沛、祁百福、刘家贤、王菲菲、陈汉锋、李楠</w:t>
      </w:r>
      <w:r>
        <w:rPr>
          <w:rFonts w:hint="eastAsia" w:ascii="宋体" w:hAnsi="宋体" w:cs="宋体"/>
          <w:color w:val="000000" w:themeColor="text1"/>
          <w:szCs w:val="21"/>
          <w:lang w:val="en-US" w:eastAsia="zh-CN"/>
          <w14:textFill>
            <w14:solidFill>
              <w14:schemeClr w14:val="tx1"/>
            </w14:solidFill>
          </w14:textFill>
        </w:rPr>
        <w:t>。</w:t>
      </w:r>
    </w:p>
    <w:p w14:paraId="17D09756">
      <w:pPr>
        <w:rPr>
          <w:rFonts w:hint="eastAsia" w:ascii="宋体" w:hAnsi="宋体" w:eastAsia="宋体" w:cs="宋体"/>
          <w:color w:val="000000" w:themeColor="text1"/>
          <w:szCs w:val="21"/>
          <w:lang w:val="en-US" w:eastAsia="zh-CN"/>
          <w14:textFill>
            <w14:solidFill>
              <w14:schemeClr w14:val="tx1"/>
            </w14:solidFill>
          </w14:textFill>
        </w:rPr>
        <w:sectPr>
          <w:pgSz w:w="11850" w:h="16838"/>
          <w:pgMar w:top="1417" w:right="1134" w:bottom="1134" w:left="1417" w:header="1361" w:footer="1134" w:gutter="0"/>
          <w:pgBorders>
            <w:top w:val="none" w:sz="0" w:space="0"/>
            <w:left w:val="none" w:sz="0" w:space="0"/>
            <w:bottom w:val="none" w:sz="0" w:space="0"/>
            <w:right w:val="none" w:sz="0" w:space="0"/>
          </w:pgBorders>
          <w:pgNumType w:fmt="upperRoman"/>
          <w:cols w:space="720" w:num="1"/>
          <w:formProt w:val="0"/>
          <w:docGrid w:type="lines" w:linePitch="317" w:charSpace="0"/>
        </w:sectPr>
      </w:pPr>
    </w:p>
    <w:p w14:paraId="564B93E0">
      <w:pPr>
        <w:pStyle w:val="9"/>
        <w:bidi w:val="0"/>
        <w:jc w:val="center"/>
        <w:rPr>
          <w:rFonts w:hint="eastAsia"/>
          <w:b/>
          <w:bCs/>
          <w:color w:val="000000" w:themeColor="text1"/>
          <w:sz w:val="32"/>
          <w:szCs w:val="32"/>
          <w14:textFill>
            <w14:solidFill>
              <w14:schemeClr w14:val="tx1"/>
            </w14:solidFill>
          </w14:textFill>
        </w:rPr>
      </w:pPr>
      <w:bookmarkStart w:id="30" w:name="_Toc2104901381"/>
      <w:bookmarkStart w:id="31" w:name="_Toc434453992_WPSOffice_Level1"/>
      <w:bookmarkStart w:id="32" w:name="_Toc1171994390"/>
      <w:bookmarkStart w:id="33" w:name="_Toc1272541697"/>
      <w:bookmarkStart w:id="34" w:name="_Toc1093420993"/>
      <w:bookmarkStart w:id="35" w:name="_Toc612717049"/>
      <w:bookmarkStart w:id="36" w:name="_Toc600667840"/>
      <w:bookmarkStart w:id="37" w:name="_Toc1811888526_WPSOffice_Level1"/>
      <w:bookmarkStart w:id="38" w:name="_Toc166793890"/>
      <w:bookmarkStart w:id="39" w:name="_Toc1015473950"/>
      <w:bookmarkStart w:id="40" w:name="_Toc1955306598_WPSOffice_Level1"/>
      <w:bookmarkStart w:id="41" w:name="_Toc1062993073"/>
      <w:bookmarkStart w:id="42" w:name="_Toc16633988"/>
      <w:bookmarkStart w:id="43" w:name="_Toc1479560462"/>
      <w:bookmarkStart w:id="44" w:name="_Toc1537239523"/>
      <w:bookmarkStart w:id="45" w:name="_Toc380511581"/>
      <w:bookmarkStart w:id="46" w:name="_Toc1388408312"/>
      <w:bookmarkStart w:id="47" w:name="_Toc1406273980"/>
      <w:bookmarkStart w:id="48" w:name="_Toc1727372371"/>
      <w:bookmarkStart w:id="49" w:name="_Toc1404313652"/>
      <w:bookmarkStart w:id="50" w:name="_Toc356756144"/>
      <w:bookmarkStart w:id="51" w:name="_Toc1837874480"/>
      <w:bookmarkStart w:id="52" w:name="_Toc1392971447_WPSOffice_Level1"/>
      <w:bookmarkStart w:id="53" w:name="_Toc1347276615"/>
      <w:bookmarkStart w:id="54" w:name="_Toc755347572"/>
      <w:bookmarkStart w:id="55" w:name="_Toc173799239"/>
      <w:bookmarkStart w:id="56" w:name="_Toc263678010_WPSOffice_Level1"/>
      <w:bookmarkStart w:id="57" w:name="_Toc693547020"/>
      <w:bookmarkStart w:id="58" w:name="_Toc683063712"/>
      <w:r>
        <w:rPr>
          <w:rFonts w:hint="eastAsia"/>
          <w:b/>
          <w:bCs/>
          <w:color w:val="000000" w:themeColor="text1"/>
          <w:sz w:val="32"/>
          <w:szCs w:val="32"/>
          <w:lang w:val="en-US" w:eastAsia="zh-CN"/>
          <w14:textFill>
            <w14:solidFill>
              <w14:schemeClr w14:val="tx1"/>
            </w14:solidFill>
          </w14:textFill>
        </w:rPr>
        <w:t>优质</w:t>
      </w:r>
      <w:r>
        <w:rPr>
          <w:rFonts w:hint="eastAsia"/>
          <w:b/>
          <w:bCs/>
          <w:color w:val="000000" w:themeColor="text1"/>
          <w:sz w:val="32"/>
          <w:szCs w:val="32"/>
          <w:lang w:eastAsia="zh-CN"/>
          <w14:textFill>
            <w14:solidFill>
              <w14:schemeClr w14:val="tx1"/>
            </w14:solidFill>
          </w14:textFill>
        </w:rPr>
        <w:t>储良龙眼生产技术规程</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610A498B">
      <w:pPr>
        <w:pStyle w:val="15"/>
        <w:autoSpaceDE w:val="0"/>
        <w:autoSpaceDN w:val="0"/>
        <w:adjustRightInd w:val="0"/>
        <w:spacing w:before="312" w:beforeLines="100" w:after="312" w:afterLines="100"/>
        <w:ind w:firstLine="0" w:firstLineChars="0"/>
        <w:outlineLvl w:val="0"/>
        <w:rPr>
          <w:rFonts w:hint="eastAsia" w:ascii="黑体" w:hAnsi="黑体" w:eastAsia="黑体" w:cs="Times New Roman"/>
          <w:bCs/>
          <w:color w:val="000000" w:themeColor="text1"/>
          <w:kern w:val="0"/>
          <w14:textFill>
            <w14:solidFill>
              <w14:schemeClr w14:val="tx1"/>
            </w14:solidFill>
          </w14:textFill>
        </w:rPr>
      </w:pPr>
      <w:bookmarkStart w:id="59" w:name="_Toc2028842366"/>
      <w:bookmarkStart w:id="60" w:name="_Toc609512463"/>
      <w:bookmarkStart w:id="61" w:name="_Toc1573429465"/>
      <w:bookmarkStart w:id="62" w:name="_Toc1335544810"/>
      <w:bookmarkStart w:id="63" w:name="_Toc17930"/>
      <w:bookmarkStart w:id="64" w:name="_Toc1978353979"/>
      <w:bookmarkStart w:id="65" w:name="_Toc763326676"/>
      <w:bookmarkStart w:id="66" w:name="_Toc606021758"/>
      <w:bookmarkStart w:id="67" w:name="_Toc1402317439_WPSOffice_Level1"/>
      <w:bookmarkStart w:id="68" w:name="_Toc119045679"/>
      <w:bookmarkStart w:id="69" w:name="_Toc1856274372"/>
      <w:bookmarkStart w:id="70" w:name="_Toc295920153"/>
      <w:bookmarkStart w:id="71" w:name="_Toc1071428728"/>
      <w:bookmarkStart w:id="72" w:name="_Toc1124668128"/>
      <w:bookmarkStart w:id="73" w:name="_Toc2040741854"/>
      <w:bookmarkStart w:id="74" w:name="_Toc1313404813"/>
      <w:bookmarkStart w:id="75" w:name="_Toc691201958"/>
      <w:bookmarkStart w:id="76" w:name="_Toc1619898109"/>
      <w:bookmarkStart w:id="77" w:name="_Toc485282707"/>
      <w:bookmarkStart w:id="78" w:name="_Toc1590742052"/>
      <w:bookmarkStart w:id="79" w:name="_Toc282546559"/>
      <w:bookmarkStart w:id="80" w:name="_Toc1777036336"/>
      <w:bookmarkStart w:id="81" w:name="_Toc1893957395"/>
      <w:bookmarkStart w:id="82" w:name="_Toc1811514523"/>
      <w:bookmarkStart w:id="83" w:name="_Toc28184668"/>
      <w:bookmarkStart w:id="84" w:name="_Toc164663657"/>
      <w:bookmarkStart w:id="85" w:name="_Toc387940006"/>
      <w:bookmarkStart w:id="86" w:name="_Toc252854279"/>
      <w:bookmarkStart w:id="87" w:name="_Toc1653228291"/>
      <w:bookmarkStart w:id="88" w:name="_Toc249320894"/>
      <w:bookmarkStart w:id="89" w:name="_Toc1015473950_WPSOffice_Level1"/>
      <w:bookmarkStart w:id="90" w:name="_Toc1228835968"/>
      <w:bookmarkStart w:id="91" w:name="_Toc1487932985"/>
      <w:bookmarkStart w:id="92" w:name="_Toc925858812"/>
      <w:r>
        <w:rPr>
          <w:rFonts w:hint="eastAsia" w:ascii="黑体" w:hAnsi="黑体" w:eastAsia="黑体" w:cs="Times New Roman"/>
          <w:bCs/>
          <w:color w:val="000000" w:themeColor="text1"/>
          <w:kern w:val="0"/>
          <w14:textFill>
            <w14:solidFill>
              <w14:schemeClr w14:val="tx1"/>
            </w14:solidFill>
          </w14:textFill>
        </w:rPr>
        <w:t>1  范围</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82064FA">
      <w:pPr>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本文件规定了</w:t>
      </w:r>
      <w:r>
        <w:rPr>
          <w:rFonts w:hint="eastAsia" w:ascii="宋体" w:hAnsi="宋体" w:cs="宋体"/>
          <w:color w:val="000000" w:themeColor="text1"/>
          <w:szCs w:val="21"/>
          <w:lang w:eastAsia="zh-CN"/>
          <w14:textFill>
            <w14:solidFill>
              <w14:schemeClr w14:val="tx1"/>
            </w14:solidFill>
          </w14:textFill>
        </w:rPr>
        <w:t>储良龙眼</w:t>
      </w:r>
      <w:r>
        <w:rPr>
          <w:rFonts w:hint="eastAsia" w:ascii="宋体" w:hAnsi="宋体" w:eastAsia="宋体" w:cs="宋体"/>
          <w:color w:val="000000" w:themeColor="text1"/>
          <w:szCs w:val="21"/>
          <w:lang w:eastAsia="zh-CN"/>
          <w14:textFill>
            <w14:solidFill>
              <w14:schemeClr w14:val="tx1"/>
            </w14:solidFill>
          </w14:textFill>
        </w:rPr>
        <w:t>生产的建园、</w:t>
      </w:r>
      <w:r>
        <w:rPr>
          <w:rFonts w:hint="eastAsia" w:ascii="宋体" w:hAnsi="宋体" w:eastAsia="宋体" w:cs="宋体"/>
          <w:color w:val="000000" w:themeColor="text1"/>
          <w:szCs w:val="21"/>
          <w:lang w:val="en-US" w:eastAsia="zh-CN"/>
          <w14:textFill>
            <w14:solidFill>
              <w14:schemeClr w14:val="tx1"/>
            </w14:solidFill>
          </w14:textFill>
        </w:rPr>
        <w:t>栽植</w:t>
      </w:r>
      <w:r>
        <w:rPr>
          <w:rFonts w:hint="eastAsia" w:ascii="宋体" w:hAnsi="宋体" w:eastAsia="宋体" w:cs="宋体"/>
          <w:color w:val="000000" w:themeColor="text1"/>
          <w:szCs w:val="21"/>
          <w:lang w:eastAsia="zh-CN"/>
          <w14:textFill>
            <w14:solidFill>
              <w14:schemeClr w14:val="tx1"/>
            </w14:solidFill>
          </w14:textFill>
        </w:rPr>
        <w:t>、土肥水管理、整形修剪、花果管理、</w:t>
      </w:r>
      <w:r>
        <w:rPr>
          <w:rFonts w:hint="eastAsia" w:ascii="宋体" w:hAnsi="宋体" w:cs="宋体"/>
          <w:color w:val="000000" w:themeColor="text1"/>
          <w:szCs w:val="21"/>
          <w:lang w:eastAsia="zh-CN"/>
          <w14:textFill>
            <w14:solidFill>
              <w14:schemeClr w14:val="tx1"/>
            </w14:solidFill>
          </w14:textFill>
        </w:rPr>
        <w:t>越冬管理、</w:t>
      </w:r>
      <w:r>
        <w:rPr>
          <w:rFonts w:hint="eastAsia" w:ascii="宋体" w:hAnsi="宋体" w:eastAsia="宋体" w:cs="宋体"/>
          <w:color w:val="000000" w:themeColor="text1"/>
          <w:szCs w:val="21"/>
          <w:lang w:eastAsia="zh-CN"/>
          <w14:textFill>
            <w14:solidFill>
              <w14:schemeClr w14:val="tx1"/>
            </w14:solidFill>
          </w14:textFill>
        </w:rPr>
        <w:t>病虫害防治、果实采收</w:t>
      </w:r>
      <w:r>
        <w:rPr>
          <w:rFonts w:hint="eastAsia" w:ascii="宋体" w:hAnsi="宋体" w:cs="宋体"/>
          <w:color w:val="000000" w:themeColor="text1"/>
          <w:szCs w:val="21"/>
          <w:lang w:eastAsia="zh-CN"/>
          <w14:textFill>
            <w14:solidFill>
              <w14:schemeClr w14:val="tx1"/>
            </w14:solidFill>
          </w14:textFill>
        </w:rPr>
        <w:t>、采后贮藏与运输</w:t>
      </w:r>
      <w:r>
        <w:rPr>
          <w:rFonts w:hint="eastAsia" w:ascii="宋体" w:hAnsi="宋体" w:eastAsia="宋体" w:cs="宋体"/>
          <w:color w:val="000000" w:themeColor="text1"/>
          <w:szCs w:val="21"/>
          <w:lang w:eastAsia="zh-CN"/>
          <w14:textFill>
            <w14:solidFill>
              <w14:schemeClr w14:val="tx1"/>
            </w14:solidFill>
          </w14:textFill>
        </w:rPr>
        <w:t>以及产品质量溯源等内容。</w:t>
      </w:r>
    </w:p>
    <w:p w14:paraId="614DB943">
      <w:pPr>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本文件适用于</w:t>
      </w:r>
      <w:r>
        <w:rPr>
          <w:rFonts w:hint="eastAsia" w:ascii="宋体" w:hAnsi="宋体" w:cs="宋体"/>
          <w:color w:val="000000" w:themeColor="text1"/>
          <w:szCs w:val="21"/>
          <w:lang w:eastAsia="zh-CN"/>
          <w14:textFill>
            <w14:solidFill>
              <w14:schemeClr w14:val="tx1"/>
            </w14:solidFill>
          </w14:textFill>
        </w:rPr>
        <w:t>储良龙眼</w:t>
      </w:r>
      <w:r>
        <w:rPr>
          <w:rFonts w:hint="eastAsia" w:ascii="宋体" w:hAnsi="宋体" w:eastAsia="宋体" w:cs="宋体"/>
          <w:color w:val="000000" w:themeColor="text1"/>
          <w:szCs w:val="21"/>
          <w:lang w:eastAsia="zh-CN"/>
          <w14:textFill>
            <w14:solidFill>
              <w14:schemeClr w14:val="tx1"/>
            </w14:solidFill>
          </w14:textFill>
        </w:rPr>
        <w:t>的生产。</w:t>
      </w:r>
    </w:p>
    <w:p w14:paraId="5B4C4D29">
      <w:pPr>
        <w:pStyle w:val="15"/>
        <w:autoSpaceDE w:val="0"/>
        <w:autoSpaceDN w:val="0"/>
        <w:adjustRightInd w:val="0"/>
        <w:spacing w:before="312" w:beforeLines="100" w:after="312" w:afterLines="100"/>
        <w:ind w:firstLine="0" w:firstLineChars="0"/>
        <w:outlineLvl w:val="0"/>
        <w:rPr>
          <w:rFonts w:hint="eastAsia" w:ascii="黑体" w:hAnsi="黑体" w:eastAsia="黑体" w:cs="Times New Roman"/>
          <w:bCs/>
          <w:color w:val="000000" w:themeColor="text1"/>
          <w:kern w:val="0"/>
          <w14:textFill>
            <w14:solidFill>
              <w14:schemeClr w14:val="tx1"/>
            </w14:solidFill>
          </w14:textFill>
        </w:rPr>
      </w:pPr>
      <w:bookmarkStart w:id="93" w:name="_Toc913934457"/>
      <w:bookmarkStart w:id="94" w:name="_Toc1618842360"/>
      <w:bookmarkStart w:id="95" w:name="_Toc742038409"/>
      <w:bookmarkStart w:id="96" w:name="_Toc698327630"/>
      <w:bookmarkStart w:id="97" w:name="_Toc406894733"/>
      <w:bookmarkStart w:id="98" w:name="_Toc711496148"/>
      <w:bookmarkStart w:id="99" w:name="_Toc1490186137"/>
      <w:bookmarkStart w:id="100" w:name="_Toc803642723"/>
      <w:bookmarkStart w:id="101" w:name="_Toc61542395"/>
      <w:bookmarkStart w:id="102" w:name="_Toc16537764"/>
      <w:bookmarkStart w:id="103" w:name="_Toc1157593183"/>
      <w:bookmarkStart w:id="104" w:name="_Toc1665240425"/>
      <w:bookmarkStart w:id="105" w:name="_Toc521513986"/>
      <w:bookmarkStart w:id="106" w:name="_Toc224051332"/>
      <w:bookmarkStart w:id="107" w:name="_Toc1125384143"/>
      <w:bookmarkStart w:id="108" w:name="_Toc1335544810_WPSOffice_Level1"/>
      <w:bookmarkStart w:id="109" w:name="_Toc1025200182"/>
      <w:bookmarkStart w:id="110" w:name="_Toc2063347847"/>
      <w:bookmarkStart w:id="111" w:name="_Toc2075361567"/>
      <w:bookmarkStart w:id="112" w:name="_Toc1394913492"/>
      <w:bookmarkStart w:id="113" w:name="_Toc1887863556"/>
      <w:bookmarkStart w:id="114" w:name="_Toc1646861461"/>
      <w:bookmarkStart w:id="115" w:name="_Toc38775891"/>
      <w:bookmarkStart w:id="116" w:name="_Toc1415012942"/>
      <w:bookmarkStart w:id="117" w:name="_Toc569448012"/>
      <w:bookmarkStart w:id="118" w:name="_Toc563603213"/>
      <w:bookmarkStart w:id="119" w:name="_Toc1406530138"/>
      <w:bookmarkStart w:id="120" w:name="_Toc270287602"/>
      <w:bookmarkStart w:id="121" w:name="_Toc13318"/>
      <w:bookmarkStart w:id="122" w:name="_Toc1268089891_WPSOffice_Level1"/>
      <w:bookmarkStart w:id="123" w:name="_Toc790848796"/>
      <w:bookmarkStart w:id="124" w:name="_Toc1793053435"/>
      <w:bookmarkStart w:id="125" w:name="_Toc1679858165"/>
      <w:bookmarkStart w:id="126" w:name="_Toc1790491590"/>
      <w:r>
        <w:rPr>
          <w:rFonts w:hint="eastAsia" w:ascii="黑体" w:hAnsi="黑体" w:eastAsia="黑体" w:cs="Times New Roman"/>
          <w:bCs/>
          <w:color w:val="000000" w:themeColor="text1"/>
          <w:kern w:val="0"/>
          <w14:textFill>
            <w14:solidFill>
              <w14:schemeClr w14:val="tx1"/>
            </w14:solidFill>
          </w14:textFill>
        </w:rPr>
        <w:t>2  规范性引用文件</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4361B9F8">
      <w:pPr>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下列文件中的内容通过文中的规范性引用而构成本文件必不可少的条款。其中，注日期的引用文件，仅该日期对应版本适用于本文件；不注日期的引用文件，其最新版本（包括所有的修改单）适用于本文件。</w:t>
      </w:r>
    </w:p>
    <w:p w14:paraId="120619FA">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GB 3095  环境空气质量标准</w:t>
      </w:r>
    </w:p>
    <w:p w14:paraId="782C46A1">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GB 5084  农田灌溉水质标准</w:t>
      </w:r>
    </w:p>
    <w:p w14:paraId="05E65E6B">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GB 15618  土壤环境质量 农用地土壤污染风险管控标准</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试行</w:t>
      </w:r>
      <w:r>
        <w:rPr>
          <w:rFonts w:hint="eastAsia" w:ascii="宋体" w:hAnsi="宋体" w:cs="宋体"/>
          <w:color w:val="000000" w:themeColor="text1"/>
          <w:szCs w:val="21"/>
          <w:lang w:val="en-US" w:eastAsia="zh-CN"/>
          <w14:textFill>
            <w14:solidFill>
              <w14:schemeClr w14:val="tx1"/>
            </w14:solidFill>
          </w14:textFill>
        </w:rPr>
        <w:t>）</w:t>
      </w:r>
    </w:p>
    <w:p w14:paraId="28531092">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GB/T 8321  </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所有部分</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 xml:space="preserve"> 农药合理使用准则</w:t>
      </w:r>
    </w:p>
    <w:p w14:paraId="3301727D">
      <w:pPr>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GB/T</w:t>
      </w:r>
      <w:r>
        <w:rPr>
          <w:rFonts w:hint="eastAsia" w:ascii="宋体" w:hAnsi="宋体" w:eastAsia="宋体" w:cs="宋体"/>
          <w:color w:val="000000" w:themeColor="text1"/>
          <w:szCs w:val="21"/>
          <w:lang w:val="en-US" w:eastAsia="zh-CN"/>
          <w14:textFill>
            <w14:solidFill>
              <w14:schemeClr w14:val="tx1"/>
            </w14:solidFill>
          </w14:textFill>
        </w:rPr>
        <w:t xml:space="preserve"> 29373 </w:t>
      </w:r>
      <w:r>
        <w:rPr>
          <w:rFonts w:hint="eastAsia" w:ascii="宋体" w:hAnsi="宋体" w:eastAsia="宋体" w:cs="宋体"/>
          <w:color w:val="000000" w:themeColor="text1"/>
          <w:szCs w:val="21"/>
          <w:lang w:eastAsia="zh-CN"/>
          <w14:textFill>
            <w14:solidFill>
              <w14:schemeClr w14:val="tx1"/>
            </w14:solidFill>
          </w14:textFill>
        </w:rPr>
        <w:t xml:space="preserve"> 农产品追溯要求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lang w:eastAsia="zh-CN"/>
          <w14:textFill>
            <w14:solidFill>
              <w14:schemeClr w14:val="tx1"/>
            </w14:solidFill>
          </w14:textFill>
        </w:rPr>
        <w:t>果蔬</w:t>
      </w:r>
    </w:p>
    <w:p w14:paraId="29DE0654">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NY/T </w:t>
      </w:r>
      <w:r>
        <w:rPr>
          <w:rFonts w:hint="default" w:ascii="宋体" w:hAnsi="宋体" w:cs="宋体"/>
          <w:color w:val="000000" w:themeColor="text1"/>
          <w:szCs w:val="21"/>
          <w:lang w:val="en" w:eastAsia="zh-CN"/>
          <w14:textFill>
            <w14:solidFill>
              <w14:schemeClr w14:val="tx1"/>
            </w14:solidFill>
          </w14:textFill>
        </w:rPr>
        <w:t>394</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绿色食品</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肥料使用准则</w:t>
      </w:r>
    </w:p>
    <w:p w14:paraId="21DCD052">
      <w:pPr>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NY/T 1</w:t>
      </w:r>
      <w:r>
        <w:rPr>
          <w:rFonts w:hint="eastAsia" w:ascii="宋体" w:hAnsi="宋体" w:cs="宋体"/>
          <w:color w:val="000000" w:themeColor="text1"/>
          <w:szCs w:val="21"/>
          <w:lang w:val="en-US" w:eastAsia="zh-CN"/>
          <w14:textFill>
            <w14:solidFill>
              <w14:schemeClr w14:val="tx1"/>
            </w14:solidFill>
          </w14:textFill>
        </w:rPr>
        <w:t>472</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龙眼 种苗</w:t>
      </w:r>
    </w:p>
    <w:p w14:paraId="532CE057">
      <w:pPr>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NY/T 1</w:t>
      </w:r>
      <w:r>
        <w:rPr>
          <w:rFonts w:hint="eastAsia" w:ascii="宋体" w:hAnsi="宋体" w:cs="宋体"/>
          <w:color w:val="000000" w:themeColor="text1"/>
          <w:szCs w:val="21"/>
          <w:lang w:val="en-US" w:eastAsia="zh-CN"/>
          <w14:textFill>
            <w14:solidFill>
              <w14:schemeClr w14:val="tx1"/>
            </w14:solidFill>
          </w14:textFill>
        </w:rPr>
        <w:t>479</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龙眼病虫害防治技术规范</w:t>
      </w:r>
    </w:p>
    <w:p w14:paraId="3FC0ABA5">
      <w:pPr>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NY/T 1</w:t>
      </w:r>
      <w:r>
        <w:rPr>
          <w:rFonts w:hint="eastAsia" w:ascii="宋体" w:hAnsi="宋体" w:cs="宋体"/>
          <w:color w:val="000000" w:themeColor="text1"/>
          <w:szCs w:val="21"/>
          <w:lang w:val="en-US" w:eastAsia="zh-CN"/>
          <w14:textFill>
            <w14:solidFill>
              <w14:schemeClr w14:val="tx1"/>
            </w14:solidFill>
          </w14:textFill>
        </w:rPr>
        <w:t>530</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龙眼、荔枝产后贮运保鲜技术规程</w:t>
      </w:r>
    </w:p>
    <w:p w14:paraId="5799B9CF">
      <w:pPr>
        <w:pStyle w:val="15"/>
        <w:autoSpaceDE w:val="0"/>
        <w:autoSpaceDN w:val="0"/>
        <w:adjustRightInd w:val="0"/>
        <w:spacing w:before="312" w:beforeLines="100" w:after="312" w:afterLines="100"/>
        <w:ind w:firstLine="0" w:firstLineChars="0"/>
        <w:outlineLvl w:val="0"/>
        <w:rPr>
          <w:rFonts w:hint="default" w:ascii="宋体" w:hAnsi="宋体" w:eastAsia="宋体" w:cs="宋体"/>
          <w:color w:val="000000" w:themeColor="text1"/>
          <w:kern w:val="2"/>
          <w:sz w:val="21"/>
          <w:szCs w:val="21"/>
          <w:lang w:val="en-US" w:eastAsia="zh-CN" w:bidi="ar-SA"/>
          <w14:textFill>
            <w14:solidFill>
              <w14:schemeClr w14:val="tx1"/>
            </w14:solidFill>
          </w14:textFill>
        </w:rPr>
      </w:pPr>
      <w:bookmarkStart w:id="127" w:name="_Toc225394789"/>
      <w:bookmarkStart w:id="128" w:name="_Toc344135802"/>
      <w:bookmarkStart w:id="129" w:name="_Toc1354248757"/>
      <w:bookmarkStart w:id="130" w:name="_Toc828464622"/>
      <w:bookmarkStart w:id="131" w:name="_Toc346242431"/>
      <w:bookmarkStart w:id="132" w:name="_Toc818716292"/>
      <w:bookmarkStart w:id="133" w:name="_Toc736829189"/>
      <w:bookmarkStart w:id="134" w:name="_Toc1008648934"/>
      <w:bookmarkStart w:id="135" w:name="_Toc747758552"/>
      <w:bookmarkStart w:id="136" w:name="_Toc230036028"/>
      <w:bookmarkStart w:id="137" w:name="_Toc135692718"/>
      <w:bookmarkStart w:id="138" w:name="_Toc1647728117"/>
      <w:bookmarkStart w:id="139" w:name="_Toc2006598449"/>
      <w:bookmarkStart w:id="140" w:name="_Toc851112037"/>
      <w:bookmarkStart w:id="141" w:name="_Toc2006859401"/>
      <w:bookmarkStart w:id="142" w:name="_Toc1139694789"/>
      <w:bookmarkStart w:id="143" w:name="_Toc1533069024"/>
      <w:bookmarkStart w:id="144" w:name="_Toc9417"/>
      <w:bookmarkStart w:id="145" w:name="_Toc1237916768"/>
      <w:bookmarkStart w:id="146" w:name="_Toc1805031483"/>
      <w:bookmarkStart w:id="147" w:name="_Toc539290467"/>
      <w:bookmarkStart w:id="148" w:name="_Toc1125384143_WPSOffice_Level1"/>
      <w:bookmarkStart w:id="149" w:name="_Toc536286987"/>
      <w:bookmarkStart w:id="150" w:name="_Toc434933458"/>
      <w:bookmarkStart w:id="151" w:name="_Toc1461736194"/>
      <w:bookmarkStart w:id="152" w:name="_Toc211540638"/>
      <w:bookmarkStart w:id="153" w:name="_Toc457431808_WPSOffice_Level1"/>
      <w:bookmarkStart w:id="154" w:name="_Toc1361629202"/>
      <w:bookmarkStart w:id="155" w:name="_Toc779421264"/>
      <w:bookmarkStart w:id="156" w:name="_Toc1212921988"/>
      <w:bookmarkStart w:id="157" w:name="_Toc1925231570"/>
      <w:bookmarkStart w:id="158" w:name="_Toc1838881368"/>
      <w:bookmarkStart w:id="159" w:name="_Toc282515443"/>
      <w:bookmarkStart w:id="160" w:name="_Toc645567785"/>
      <w:r>
        <w:rPr>
          <w:rFonts w:hint="default" w:ascii="黑体" w:hAnsi="黑体" w:eastAsia="黑体" w:cs="Times New Roman"/>
          <w:bCs/>
          <w:color w:val="000000" w:themeColor="text1"/>
          <w:kern w:val="0"/>
          <w14:textFill>
            <w14:solidFill>
              <w14:schemeClr w14:val="tx1"/>
            </w14:solidFill>
          </w14:textFill>
        </w:rPr>
        <w:t xml:space="preserve">3 </w:t>
      </w:r>
      <w:r>
        <w:rPr>
          <w:rFonts w:hint="eastAsia" w:ascii="黑体" w:hAnsi="黑体" w:eastAsia="黑体" w:cs="Times New Roman"/>
          <w:bCs/>
          <w:color w:val="000000" w:themeColor="text1"/>
          <w:kern w:val="0"/>
          <w:lang w:val="en-US" w:eastAsia="zh-CN"/>
          <w14:textFill>
            <w14:solidFill>
              <w14:schemeClr w14:val="tx1"/>
            </w14:solidFill>
          </w14:textFill>
        </w:rPr>
        <w:t xml:space="preserve"> </w:t>
      </w:r>
      <w:r>
        <w:rPr>
          <w:rFonts w:hint="default" w:ascii="黑体" w:hAnsi="黑体" w:eastAsia="黑体" w:cs="Times New Roman"/>
          <w:bCs/>
          <w:color w:val="000000" w:themeColor="text1"/>
          <w:kern w:val="0"/>
          <w14:textFill>
            <w14:solidFill>
              <w14:schemeClr w14:val="tx1"/>
            </w14:solidFill>
          </w14:textFill>
        </w:rPr>
        <w:t>术语和定义</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53FC8406">
      <w:pPr>
        <w:pStyle w:val="3"/>
        <w:bidi w:val="0"/>
        <w:ind w:firstLine="420" w:firstLineChars="200"/>
        <w:rPr>
          <w:rFonts w:hint="eastAsia"/>
          <w:color w:val="000000" w:themeColor="text1"/>
          <w:lang w:val="en-US" w:eastAsia="zh-CN"/>
          <w14:textFill>
            <w14:solidFill>
              <w14:schemeClr w14:val="tx1"/>
            </w14:solidFill>
          </w14:textFill>
        </w:rPr>
      </w:pPr>
      <w:bookmarkStart w:id="161" w:name="_Toc108092506"/>
      <w:bookmarkStart w:id="162" w:name="_Toc911804536"/>
      <w:bookmarkStart w:id="163" w:name="_Toc769840256"/>
      <w:bookmarkStart w:id="164" w:name="_Toc1448486266"/>
      <w:bookmarkStart w:id="165" w:name="_Toc2024741839"/>
      <w:bookmarkStart w:id="166" w:name="_Toc827689885"/>
      <w:bookmarkStart w:id="167" w:name="_Toc1692340326"/>
      <w:bookmarkStart w:id="168" w:name="_Toc1270286273"/>
      <w:bookmarkStart w:id="169" w:name="_Toc1283434822"/>
      <w:bookmarkStart w:id="170" w:name="_Toc2088861704"/>
      <w:bookmarkStart w:id="171" w:name="_Toc225268655"/>
      <w:bookmarkStart w:id="172" w:name="_Toc1037027193"/>
      <w:bookmarkStart w:id="173" w:name="_Toc1675137268"/>
      <w:bookmarkStart w:id="174" w:name="_Toc468972652"/>
      <w:bookmarkStart w:id="175" w:name="_Toc2013128030"/>
      <w:bookmarkStart w:id="176" w:name="_Toc15250"/>
      <w:bookmarkStart w:id="177" w:name="_Toc1580222388"/>
      <w:r>
        <w:rPr>
          <w:rFonts w:hint="eastAsia"/>
          <w:color w:val="000000" w:themeColor="text1"/>
          <w:lang w:val="en-US" w:eastAsia="zh-CN"/>
          <w14:textFill>
            <w14:solidFill>
              <w14:schemeClr w14:val="tx1"/>
            </w14:solidFill>
          </w14:textFill>
        </w:rPr>
        <w:t>下列术语和定义适用于本文件。</w:t>
      </w:r>
    </w:p>
    <w:p w14:paraId="343B5EA9">
      <w:pPr>
        <w:pStyle w:val="15"/>
        <w:autoSpaceDE w:val="0"/>
        <w:autoSpaceDN w:val="0"/>
        <w:adjustRightInd w:val="0"/>
        <w:spacing w:before="156" w:beforeLines="50" w:after="156" w:afterLines="50"/>
        <w:ind w:firstLine="0" w:firstLineChars="0"/>
        <w:outlineLvl w:val="1"/>
        <w:rPr>
          <w:rFonts w:hint="default"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3.1  储良龙眼</w:t>
      </w:r>
    </w:p>
    <w:p w14:paraId="05454398">
      <w:pPr>
        <w:keepNext w:val="0"/>
        <w:keepLines w:val="0"/>
        <w:widowControl/>
        <w:suppressLineNumbers w:val="0"/>
        <w:ind w:firstLine="420" w:firstLineChars="200"/>
        <w:jc w:val="left"/>
      </w:pPr>
      <w:r>
        <w:rPr>
          <w:rFonts w:hint="eastAsia" w:ascii="宋体" w:hAnsi="宋体" w:eastAsia="宋体" w:cs="宋体"/>
          <w:i w:val="0"/>
          <w:caps w:val="0"/>
          <w:color w:val="000000" w:themeColor="text1"/>
          <w:spacing w:val="0"/>
          <w:kern w:val="2"/>
          <w:sz w:val="21"/>
          <w:szCs w:val="21"/>
          <w:shd w:val="clear" w:color="auto" w:fill="auto"/>
          <w:lang w:val="en-US" w:eastAsia="zh-CN" w:bidi="ar"/>
          <w14:textFill>
            <w14:solidFill>
              <w14:schemeClr w14:val="tx1"/>
            </w14:solidFill>
          </w14:textFill>
        </w:rPr>
        <w:t>原产于广东省茂名市高州市分界镇储良村</w:t>
      </w:r>
      <w:r>
        <w:rPr>
          <w:rFonts w:hint="eastAsia" w:ascii="宋体" w:hAnsi="宋体" w:cs="宋体"/>
          <w:i w:val="0"/>
          <w:caps w:val="0"/>
          <w:color w:val="000000" w:themeColor="text1"/>
          <w:spacing w:val="0"/>
          <w:kern w:val="2"/>
          <w:sz w:val="21"/>
          <w:szCs w:val="21"/>
          <w:shd w:val="clear" w:color="auto" w:fill="auto"/>
          <w:lang w:val="en-US" w:eastAsia="zh-CN" w:bidi="ar"/>
          <w14:textFill>
            <w14:solidFill>
              <w14:schemeClr w14:val="tx1"/>
            </w14:solidFill>
          </w14:textFill>
        </w:rPr>
        <w:t>的优质中熟龙眼品种。</w:t>
      </w:r>
      <w:r>
        <w:rPr>
          <w:rFonts w:hint="eastAsia" w:ascii="宋体" w:hAnsi="宋体" w:eastAsia="宋体" w:cs="宋体"/>
          <w:i w:val="0"/>
          <w:caps w:val="0"/>
          <w:color w:val="000000" w:themeColor="text1"/>
          <w:spacing w:val="0"/>
          <w:kern w:val="2"/>
          <w:sz w:val="21"/>
          <w:szCs w:val="21"/>
          <w:shd w:val="clear" w:color="auto" w:fill="auto"/>
          <w:lang w:val="en-US" w:eastAsia="zh-CN" w:bidi="ar"/>
          <w14:textFill>
            <w14:solidFill>
              <w14:schemeClr w14:val="tx1"/>
            </w14:solidFill>
          </w14:textFill>
        </w:rPr>
        <w:t>树势中等，适应性强，抗病虫害能力突出，早结丰产</w:t>
      </w:r>
      <w:r>
        <w:rPr>
          <w:rFonts w:hint="eastAsia" w:ascii="宋体" w:hAnsi="宋体" w:cs="宋体"/>
          <w:i w:val="0"/>
          <w:caps w:val="0"/>
          <w:color w:val="000000" w:themeColor="text1"/>
          <w:spacing w:val="0"/>
          <w:kern w:val="2"/>
          <w:sz w:val="21"/>
          <w:szCs w:val="21"/>
          <w:shd w:val="clear" w:color="auto" w:fill="auto"/>
          <w:lang w:val="en-US" w:eastAsia="zh-CN" w:bidi="ar"/>
          <w14:textFill>
            <w14:solidFill>
              <w14:schemeClr w14:val="tx1"/>
            </w14:solidFill>
          </w14:textFill>
        </w:rPr>
        <w:t>。</w:t>
      </w:r>
      <w:r>
        <w:rPr>
          <w:rFonts w:hint="eastAsia" w:ascii="宋体" w:hAnsi="宋体" w:eastAsia="宋体" w:cs="宋体"/>
          <w:i w:val="0"/>
          <w:caps w:val="0"/>
          <w:color w:val="000000" w:themeColor="text1"/>
          <w:spacing w:val="0"/>
          <w:kern w:val="2"/>
          <w:sz w:val="21"/>
          <w:szCs w:val="21"/>
          <w:shd w:val="clear" w:color="auto" w:fill="auto"/>
          <w:lang w:val="en-US" w:eastAsia="zh-CN" w:bidi="ar"/>
          <w14:textFill>
            <w14:solidFill>
              <w14:schemeClr w14:val="tx1"/>
            </w14:solidFill>
          </w14:textFill>
        </w:rPr>
        <w:t>果实中等大小，果粒均匀，单果重约12</w:t>
      </w:r>
      <w:r>
        <w:rPr>
          <w:rFonts w:hint="eastAsia" w:ascii="宋体" w:hAnsi="宋体" w:cs="宋体"/>
          <w:i w:val="0"/>
          <w:caps w:val="0"/>
          <w:color w:val="000000" w:themeColor="text1"/>
          <w:spacing w:val="0"/>
          <w:kern w:val="2"/>
          <w:sz w:val="21"/>
          <w:szCs w:val="21"/>
          <w:shd w:val="clear" w:color="auto" w:fill="auto"/>
          <w:lang w:val="en-US" w:eastAsia="zh-CN" w:bidi="ar"/>
          <w14:textFill>
            <w14:solidFill>
              <w14:schemeClr w14:val="tx1"/>
            </w14:solidFill>
          </w14:textFill>
        </w:rPr>
        <w:t xml:space="preserve"> g，</w:t>
      </w:r>
      <w:r>
        <w:rPr>
          <w:rFonts w:hint="eastAsia" w:ascii="宋体" w:hAnsi="宋体" w:eastAsia="宋体" w:cs="宋体"/>
          <w:i w:val="0"/>
          <w:caps w:val="0"/>
          <w:color w:val="000000" w:themeColor="text1"/>
          <w:spacing w:val="0"/>
          <w:kern w:val="2"/>
          <w:sz w:val="21"/>
          <w:szCs w:val="21"/>
          <w:shd w:val="clear" w:color="auto" w:fill="auto"/>
          <w:lang w:val="en-US" w:eastAsia="zh-CN" w:bidi="ar"/>
          <w14:textFill>
            <w14:solidFill>
              <w14:schemeClr w14:val="tx1"/>
            </w14:solidFill>
          </w14:textFill>
        </w:rPr>
        <w:t>果形扁圆形，</w:t>
      </w:r>
      <w:r>
        <w:rPr>
          <w:rFonts w:hint="eastAsia" w:ascii="宋体" w:hAnsi="宋体" w:cs="宋体"/>
          <w:i w:val="0"/>
          <w:caps w:val="0"/>
          <w:color w:val="000000" w:themeColor="text1"/>
          <w:spacing w:val="0"/>
          <w:kern w:val="2"/>
          <w:sz w:val="21"/>
          <w:szCs w:val="21"/>
          <w:shd w:val="clear" w:color="auto" w:fill="auto"/>
          <w:lang w:val="en-US" w:eastAsia="zh-CN" w:bidi="ar"/>
          <w14:textFill>
            <w14:solidFill>
              <w14:schemeClr w14:val="tx1"/>
            </w14:solidFill>
          </w14:textFill>
        </w:rPr>
        <w:t>果</w:t>
      </w:r>
      <w:r>
        <w:rPr>
          <w:rFonts w:hint="eastAsia" w:ascii="宋体" w:hAnsi="宋体" w:eastAsia="宋体" w:cs="宋体"/>
          <w:i w:val="0"/>
          <w:caps w:val="0"/>
          <w:color w:val="000000" w:themeColor="text1"/>
          <w:spacing w:val="0"/>
          <w:kern w:val="2"/>
          <w:sz w:val="21"/>
          <w:szCs w:val="21"/>
          <w:shd w:val="clear" w:color="auto" w:fill="auto"/>
          <w:lang w:val="en-US" w:eastAsia="zh-CN" w:bidi="ar"/>
          <w14:textFill>
            <w14:solidFill>
              <w14:schemeClr w14:val="tx1"/>
            </w14:solidFill>
          </w14:textFill>
        </w:rPr>
        <w:t>皮呈黄褐色，果肉乳白色不透明，口感爽脆香甜</w:t>
      </w:r>
      <w:r>
        <w:rPr>
          <w:rFonts w:hint="eastAsia" w:ascii="宋体" w:hAnsi="宋体" w:cs="宋体"/>
          <w:i w:val="0"/>
          <w:caps w:val="0"/>
          <w:color w:val="000000" w:themeColor="text1"/>
          <w:spacing w:val="0"/>
          <w:kern w:val="2"/>
          <w:sz w:val="21"/>
          <w:szCs w:val="21"/>
          <w:shd w:val="clear" w:color="auto" w:fill="auto"/>
          <w:lang w:val="en-US" w:eastAsia="zh-CN" w:bidi="ar"/>
          <w14:textFill>
            <w14:solidFill>
              <w14:schemeClr w14:val="tx1"/>
            </w14:solidFill>
          </w14:textFill>
        </w:rPr>
        <w:t>，</w:t>
      </w:r>
      <w:r>
        <w:rPr>
          <w:rFonts w:hint="eastAsia" w:ascii="宋体" w:hAnsi="宋体" w:eastAsia="宋体" w:cs="宋体"/>
          <w:i w:val="0"/>
          <w:caps w:val="0"/>
          <w:color w:val="000000" w:themeColor="text1"/>
          <w:spacing w:val="0"/>
          <w:kern w:val="2"/>
          <w:sz w:val="21"/>
          <w:szCs w:val="21"/>
          <w:shd w:val="clear" w:color="auto" w:fill="auto"/>
          <w:lang w:val="en-US" w:eastAsia="zh-CN" w:bidi="ar"/>
          <w14:textFill>
            <w14:solidFill>
              <w14:schemeClr w14:val="tx1"/>
            </w14:solidFill>
          </w14:textFill>
        </w:rPr>
        <w:t>果核较小，呈棕褐色</w:t>
      </w:r>
      <w:r>
        <w:rPr>
          <w:rFonts w:hint="eastAsia" w:ascii="宋体" w:hAnsi="宋体" w:cs="宋体"/>
          <w:i w:val="0"/>
          <w:caps w:val="0"/>
          <w:color w:val="000000" w:themeColor="text1"/>
          <w:spacing w:val="0"/>
          <w:kern w:val="2"/>
          <w:sz w:val="21"/>
          <w:szCs w:val="21"/>
          <w:shd w:val="clear" w:color="auto" w:fill="auto"/>
          <w:lang w:val="en-US" w:eastAsia="zh-CN" w:bidi="ar"/>
          <w14:textFill>
            <w14:solidFill>
              <w14:schemeClr w14:val="tx1"/>
            </w14:solidFill>
          </w14:textFill>
        </w:rPr>
        <w:t>。</w:t>
      </w:r>
    </w:p>
    <w:p w14:paraId="15500EDB">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3.2  冲梢 </w:t>
      </w:r>
    </w:p>
    <w:p w14:paraId="712B3ABF">
      <w:pPr>
        <w:pStyle w:val="3"/>
        <w:bidi w:val="0"/>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发育中的龙眼花穗受某种条件的影响长出枝叶，花序发育终止的现象。</w:t>
      </w:r>
    </w:p>
    <w:p w14:paraId="4C7FB24C">
      <w:pPr>
        <w:pStyle w:val="15"/>
        <w:autoSpaceDE w:val="0"/>
        <w:autoSpaceDN w:val="0"/>
        <w:adjustRightInd w:val="0"/>
        <w:spacing w:before="312" w:beforeLines="100" w:after="312" w:afterLines="100"/>
        <w:ind w:firstLine="0" w:firstLineChars="0"/>
        <w:outlineLvl w:val="0"/>
        <w:rPr>
          <w:rFonts w:hint="eastAsia" w:ascii="黑体" w:hAnsi="黑体" w:eastAsia="黑体" w:cs="Times New Roman"/>
          <w:bCs/>
          <w:color w:val="000000" w:themeColor="text1"/>
          <w:kern w:val="0"/>
          <w:lang w:val="en-US" w:eastAsia="zh-CN"/>
          <w14:textFill>
            <w14:solidFill>
              <w14:schemeClr w14:val="tx1"/>
            </w14:solidFill>
          </w14:textFill>
        </w:rPr>
      </w:pPr>
      <w:bookmarkStart w:id="178" w:name="_Toc72463391"/>
      <w:r>
        <w:rPr>
          <w:rFonts w:hint="default" w:ascii="黑体" w:hAnsi="黑体" w:eastAsia="黑体" w:cs="Times New Roman"/>
          <w:bCs/>
          <w:color w:val="000000" w:themeColor="text1"/>
          <w:kern w:val="0"/>
          <w14:textFill>
            <w14:solidFill>
              <w14:schemeClr w14:val="tx1"/>
            </w14:solidFill>
          </w14:textFill>
        </w:rPr>
        <w:t>4</w:t>
      </w:r>
      <w:r>
        <w:rPr>
          <w:rFonts w:hint="eastAsia" w:ascii="黑体" w:hAnsi="黑体" w:eastAsia="黑体" w:cs="Times New Roman"/>
          <w:bCs/>
          <w:color w:val="000000" w:themeColor="text1"/>
          <w:kern w:val="0"/>
          <w14:textFill>
            <w14:solidFill>
              <w14:schemeClr w14:val="tx1"/>
            </w14:solidFill>
          </w14:textFill>
        </w:rPr>
        <w:t xml:space="preserve"> </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rFonts w:hint="eastAsia" w:ascii="黑体" w:hAnsi="黑体" w:eastAsia="黑体" w:cs="Times New Roman"/>
          <w:bCs/>
          <w:color w:val="000000" w:themeColor="text1"/>
          <w:kern w:val="0"/>
          <w:lang w:val="en-US" w:eastAsia="zh-CN"/>
          <w14:textFill>
            <w14:solidFill>
              <w14:schemeClr w14:val="tx1"/>
            </w14:solidFill>
          </w14:textFill>
        </w:rPr>
        <w:t xml:space="preserve"> </w:t>
      </w:r>
      <w:bookmarkEnd w:id="160"/>
      <w:r>
        <w:rPr>
          <w:rFonts w:hint="eastAsia" w:ascii="黑体" w:hAnsi="黑体" w:eastAsia="黑体" w:cs="Times New Roman"/>
          <w:bCs/>
          <w:color w:val="000000" w:themeColor="text1"/>
          <w:kern w:val="0"/>
          <w:lang w:eastAsia="zh-CN"/>
          <w14:textFill>
            <w14:solidFill>
              <w14:schemeClr w14:val="tx1"/>
            </w14:solidFill>
          </w14:textFill>
        </w:rPr>
        <w:t>建园</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07DA663B">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bookmarkStart w:id="179" w:name="_Toc1379053353"/>
      <w:bookmarkStart w:id="180" w:name="_Toc12399"/>
      <w:bookmarkStart w:id="181" w:name="_Toc1983457384"/>
      <w:bookmarkStart w:id="182" w:name="_Toc807984765"/>
      <w:bookmarkStart w:id="183" w:name="_Toc924355833"/>
      <w:bookmarkStart w:id="184" w:name="_Toc135707847"/>
      <w:bookmarkStart w:id="185" w:name="_Toc1040215417"/>
      <w:bookmarkStart w:id="186" w:name="_Toc1489930855"/>
      <w:bookmarkStart w:id="187" w:name="_Toc288015835"/>
      <w:bookmarkStart w:id="188" w:name="_Toc1267459665"/>
      <w:bookmarkStart w:id="189" w:name="_Toc790219048"/>
      <w:bookmarkStart w:id="190" w:name="_Toc1894089155"/>
      <w:r>
        <w:rPr>
          <w:rFonts w:hint="eastAsia" w:ascii="黑体" w:hAnsi="黑体" w:eastAsia="黑体" w:cs="黑体"/>
          <w:color w:val="000000" w:themeColor="text1"/>
          <w:lang w:val="en-US" w:eastAsia="zh-CN"/>
          <w14:textFill>
            <w14:solidFill>
              <w14:schemeClr w14:val="tx1"/>
            </w14:solidFill>
          </w14:textFill>
        </w:rPr>
        <w:t>4.1  园地环境</w:t>
      </w:r>
      <w:bookmarkEnd w:id="179"/>
      <w:bookmarkEnd w:id="180"/>
      <w:bookmarkEnd w:id="181"/>
      <w:bookmarkEnd w:id="182"/>
      <w:bookmarkEnd w:id="183"/>
      <w:bookmarkEnd w:id="184"/>
      <w:bookmarkEnd w:id="185"/>
      <w:bookmarkEnd w:id="186"/>
      <w:bookmarkEnd w:id="187"/>
      <w:bookmarkEnd w:id="188"/>
      <w:bookmarkEnd w:id="189"/>
      <w:bookmarkEnd w:id="190"/>
    </w:p>
    <w:p w14:paraId="0E7E120D">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4.1.1  气候条件</w:t>
      </w:r>
    </w:p>
    <w:p w14:paraId="3CEDCC5F">
      <w:pPr>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年总日照数不低于</w:t>
      </w:r>
      <w:r>
        <w:rPr>
          <w:rFonts w:hint="eastAsia" w:ascii="宋体" w:hAnsi="宋体" w:cs="宋体"/>
          <w:color w:val="000000" w:themeColor="text1"/>
          <w:szCs w:val="21"/>
          <w:lang w:val="en-US" w:eastAsia="zh-CN"/>
          <w14:textFill>
            <w14:solidFill>
              <w14:schemeClr w14:val="tx1"/>
            </w14:solidFill>
          </w14:textFill>
        </w:rPr>
        <w:t xml:space="preserve">1800 </w:t>
      </w:r>
      <w:r>
        <w:rPr>
          <w:rFonts w:hint="eastAsia" w:ascii="宋体" w:hAnsi="宋体" w:eastAsia="宋体" w:cs="宋体"/>
          <w:color w:val="000000" w:themeColor="text1"/>
          <w:szCs w:val="21"/>
          <w:lang w:val="en-US" w:eastAsia="zh-CN"/>
          <w14:textFill>
            <w14:solidFill>
              <w14:schemeClr w14:val="tx1"/>
            </w14:solidFill>
          </w14:textFill>
        </w:rPr>
        <w:t>h，≥10</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℃有效积温</w:t>
      </w:r>
      <w:r>
        <w:rPr>
          <w:rFonts w:hint="eastAsia" w:ascii="宋体" w:hAnsi="宋体" w:cs="宋体"/>
          <w:color w:val="000000" w:themeColor="text1"/>
          <w:szCs w:val="21"/>
          <w:lang w:val="en-US" w:eastAsia="zh-CN"/>
          <w14:textFill>
            <w14:solidFill>
              <w14:schemeClr w14:val="tx1"/>
            </w14:solidFill>
          </w14:textFill>
        </w:rPr>
        <w:t xml:space="preserve">2500 </w:t>
      </w:r>
      <w:r>
        <w:rPr>
          <w:rFonts w:hint="eastAsia" w:ascii="宋体" w:hAnsi="宋体" w:eastAsia="宋体" w:cs="宋体"/>
          <w:color w:val="000000" w:themeColor="text1"/>
          <w:szCs w:val="21"/>
          <w:lang w:val="en-US" w:eastAsia="zh-CN"/>
          <w14:textFill>
            <w14:solidFill>
              <w14:schemeClr w14:val="tx1"/>
            </w14:solidFill>
          </w14:textFill>
        </w:rPr>
        <w:t>℃以上，年平均气温</w:t>
      </w:r>
      <w:r>
        <w:rPr>
          <w:rFonts w:hint="eastAsia" w:ascii="宋体" w:hAnsi="宋体" w:cs="宋体"/>
          <w:color w:val="000000" w:themeColor="text1"/>
          <w:szCs w:val="21"/>
          <w:lang w:val="en-US" w:eastAsia="zh-CN"/>
          <w14:textFill>
            <w14:solidFill>
              <w14:schemeClr w14:val="tx1"/>
            </w14:solidFill>
          </w14:textFill>
        </w:rPr>
        <w:t>在22 ℃</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26 ℃</w:t>
      </w:r>
      <w:r>
        <w:rPr>
          <w:rFonts w:hint="eastAsia" w:ascii="宋体" w:hAnsi="宋体" w:eastAsia="宋体" w:cs="宋体"/>
          <w:color w:val="000000" w:themeColor="text1"/>
          <w:szCs w:val="21"/>
          <w:lang w:val="en-US" w:eastAsia="zh-CN"/>
          <w14:textFill>
            <w14:solidFill>
              <w14:schemeClr w14:val="tx1"/>
            </w14:solidFill>
          </w14:textFill>
        </w:rPr>
        <w:t xml:space="preserve"> ，最低气温不低于</w:t>
      </w:r>
      <w:r>
        <w:rPr>
          <w:rFonts w:hint="eastAsia" w:ascii="宋体" w:hAnsi="宋体" w:cs="宋体"/>
          <w:color w:val="000000" w:themeColor="text1"/>
          <w:szCs w:val="21"/>
          <w:lang w:val="en-US" w:eastAsia="zh-CN"/>
          <w14:textFill>
            <w14:solidFill>
              <w14:schemeClr w14:val="tx1"/>
            </w14:solidFill>
          </w14:textFill>
        </w:rPr>
        <w:t xml:space="preserve">0 </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，冬季有15 d的13 ℃</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15 ℃低温刺激，抽穗期8 ℃</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14 ℃，花期19 ℃</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27 ℃为宜。年降水量在1500 mm</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1800 mm</w:t>
      </w:r>
      <w:r>
        <w:rPr>
          <w:rFonts w:hint="eastAsia" w:ascii="宋体" w:hAnsi="宋体" w:eastAsia="宋体" w:cs="宋体"/>
          <w:color w:val="000000" w:themeColor="text1"/>
          <w:szCs w:val="21"/>
          <w:lang w:val="en-US" w:eastAsia="zh-CN"/>
          <w14:textFill>
            <w14:solidFill>
              <w14:schemeClr w14:val="tx1"/>
            </w14:solidFill>
          </w14:textFill>
        </w:rPr>
        <w:t>。</w:t>
      </w:r>
    </w:p>
    <w:p w14:paraId="3D7E4E25">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4.1.2  地形地势</w:t>
      </w:r>
    </w:p>
    <w:p w14:paraId="693A437D">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选阳光充足、排水良好的</w:t>
      </w:r>
      <w:r>
        <w:rPr>
          <w:rFonts w:hint="eastAsia" w:ascii="宋体" w:hAnsi="宋体" w:cs="宋体"/>
          <w:color w:val="000000" w:themeColor="text1"/>
          <w:szCs w:val="21"/>
          <w:lang w:val="en-US" w:eastAsia="zh-CN"/>
          <w14:textFill>
            <w14:solidFill>
              <w14:schemeClr w14:val="tx1"/>
            </w14:solidFill>
          </w14:textFill>
        </w:rPr>
        <w:t>平地、</w:t>
      </w:r>
      <w:r>
        <w:rPr>
          <w:rFonts w:hint="eastAsia" w:ascii="宋体" w:hAnsi="宋体" w:eastAsia="宋体" w:cs="宋体"/>
          <w:color w:val="000000" w:themeColor="text1"/>
          <w:szCs w:val="21"/>
          <w:lang w:val="en-US" w:eastAsia="zh-CN"/>
          <w14:textFill>
            <w14:solidFill>
              <w14:schemeClr w14:val="tx1"/>
            </w14:solidFill>
          </w14:textFill>
        </w:rPr>
        <w:t>山地</w:t>
      </w:r>
      <w:r>
        <w:rPr>
          <w:rFonts w:hint="eastAsia" w:ascii="宋体" w:hAnsi="宋体" w:cs="宋体"/>
          <w:color w:val="000000" w:themeColor="text1"/>
          <w:szCs w:val="21"/>
          <w:lang w:val="en-US" w:eastAsia="zh-CN"/>
          <w14:textFill>
            <w14:solidFill>
              <w14:schemeClr w14:val="tx1"/>
            </w14:solidFill>
          </w14:textFill>
        </w:rPr>
        <w:t>或</w:t>
      </w:r>
      <w:r>
        <w:rPr>
          <w:rFonts w:hint="eastAsia" w:ascii="宋体" w:hAnsi="宋体" w:eastAsia="宋体" w:cs="宋体"/>
          <w:color w:val="000000" w:themeColor="text1"/>
          <w:szCs w:val="21"/>
          <w:lang w:val="en-US" w:eastAsia="zh-CN"/>
          <w14:textFill>
            <w14:solidFill>
              <w14:schemeClr w14:val="tx1"/>
            </w14:solidFill>
          </w14:textFill>
        </w:rPr>
        <w:t>丘陵地，坡度在</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eastAsia="宋体" w:cs="宋体"/>
          <w:color w:val="000000" w:themeColor="text1"/>
          <w:szCs w:val="21"/>
          <w:lang w:val="en-US" w:eastAsia="zh-CN"/>
          <w14:textFill>
            <w14:solidFill>
              <w14:schemeClr w14:val="tx1"/>
            </w14:solidFill>
          </w14:textFill>
        </w:rPr>
        <w:t>°以下</w:t>
      </w:r>
      <w:r>
        <w:rPr>
          <w:rFonts w:hint="eastAsia" w:ascii="宋体" w:hAnsi="宋体" w:cs="宋体"/>
          <w:color w:val="000000" w:themeColor="text1"/>
          <w:szCs w:val="21"/>
          <w:lang w:val="en-US" w:eastAsia="zh-CN"/>
          <w14:textFill>
            <w14:solidFill>
              <w14:schemeClr w14:val="tx1"/>
            </w14:solidFill>
          </w14:textFill>
        </w:rPr>
        <w:t>。</w:t>
      </w:r>
    </w:p>
    <w:p w14:paraId="1F6F7825">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4.1.3  土壤条件</w:t>
      </w:r>
    </w:p>
    <w:p w14:paraId="260AD7DA">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宜选择疏松肥沃、排水性能良好的</w:t>
      </w:r>
      <w:r>
        <w:rPr>
          <w:rFonts w:hint="eastAsia" w:ascii="宋体" w:hAnsi="宋体" w:cs="宋体"/>
          <w:color w:val="000000" w:themeColor="text1"/>
          <w:szCs w:val="21"/>
          <w:lang w:val="en-US" w:eastAsia="zh-CN"/>
          <w14:textFill>
            <w14:solidFill>
              <w14:schemeClr w14:val="tx1"/>
            </w14:solidFill>
          </w14:textFill>
        </w:rPr>
        <w:t>砂</w:t>
      </w:r>
      <w:r>
        <w:rPr>
          <w:rFonts w:hint="eastAsia" w:ascii="宋体" w:hAnsi="宋体" w:eastAsia="宋体" w:cs="宋体"/>
          <w:color w:val="000000" w:themeColor="text1"/>
          <w:szCs w:val="21"/>
          <w:lang w:val="en-US" w:eastAsia="zh-CN"/>
          <w14:textFill>
            <w14:solidFill>
              <w14:schemeClr w14:val="tx1"/>
            </w14:solidFill>
          </w14:textFill>
        </w:rPr>
        <w:t>质壤土或</w:t>
      </w:r>
      <w:r>
        <w:rPr>
          <w:rFonts w:hint="eastAsia" w:ascii="宋体" w:hAnsi="宋体" w:cs="宋体"/>
          <w:color w:val="000000" w:themeColor="text1"/>
          <w:szCs w:val="21"/>
          <w:lang w:val="en-US" w:eastAsia="zh-CN"/>
          <w14:textFill>
            <w14:solidFill>
              <w14:schemeClr w14:val="tx1"/>
            </w14:solidFill>
          </w14:textFill>
        </w:rPr>
        <w:t>红壤土</w:t>
      </w:r>
      <w:r>
        <w:rPr>
          <w:rFonts w:hint="eastAsia" w:ascii="宋体" w:hAnsi="宋体" w:eastAsia="宋体" w:cs="宋体"/>
          <w:color w:val="000000" w:themeColor="text1"/>
          <w:szCs w:val="21"/>
          <w:lang w:val="en-US" w:eastAsia="zh-CN"/>
          <w14:textFill>
            <w14:solidFill>
              <w14:schemeClr w14:val="tx1"/>
            </w14:solidFill>
          </w14:textFill>
        </w:rPr>
        <w:t>，pH值</w:t>
      </w:r>
      <w:r>
        <w:rPr>
          <w:rFonts w:hint="eastAsia" w:ascii="宋体" w:hAnsi="宋体" w:cs="宋体"/>
          <w:color w:val="000000" w:themeColor="text1"/>
          <w:szCs w:val="21"/>
          <w:lang w:val="en-US" w:eastAsia="zh-CN"/>
          <w14:textFill>
            <w14:solidFill>
              <w14:schemeClr w14:val="tx1"/>
            </w14:solidFill>
          </w14:textFill>
        </w:rPr>
        <w:t>5.5</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lang w:val="en-US" w:eastAsia="zh-CN"/>
          <w14:textFill>
            <w14:solidFill>
              <w14:schemeClr w14:val="tx1"/>
            </w14:solidFill>
          </w14:textFill>
        </w:rPr>
        <w:t>地下水位低于100 cm</w:t>
      </w:r>
      <w:r>
        <w:rPr>
          <w:rFonts w:hint="eastAsia" w:ascii="宋体" w:hAnsi="宋体" w:eastAsia="宋体" w:cs="宋体"/>
          <w:color w:val="000000" w:themeColor="text1"/>
          <w:szCs w:val="21"/>
          <w:lang w:val="en-US" w:eastAsia="zh-CN"/>
          <w14:textFill>
            <w14:solidFill>
              <w14:schemeClr w14:val="tx1"/>
            </w14:solidFill>
          </w14:textFill>
        </w:rPr>
        <w:t>，表层</w:t>
      </w:r>
      <w:r>
        <w:rPr>
          <w:rFonts w:hint="eastAsia" w:ascii="宋体" w:hAnsi="宋体" w:cs="宋体"/>
          <w:color w:val="000000" w:themeColor="text1"/>
          <w:szCs w:val="21"/>
          <w:lang w:val="en-US" w:eastAsia="zh-CN"/>
          <w14:textFill>
            <w14:solidFill>
              <w14:schemeClr w14:val="tx1"/>
            </w14:solidFill>
          </w14:textFill>
        </w:rPr>
        <w:t>土壤中</w:t>
      </w:r>
      <w:r>
        <w:rPr>
          <w:rFonts w:hint="eastAsia" w:ascii="宋体" w:hAnsi="宋体" w:eastAsia="宋体" w:cs="宋体"/>
          <w:color w:val="000000" w:themeColor="text1"/>
          <w:szCs w:val="21"/>
          <w:lang w:val="en-US" w:eastAsia="zh-CN"/>
          <w14:textFill>
            <w14:solidFill>
              <w14:schemeClr w14:val="tx1"/>
            </w14:solidFill>
          </w14:textFill>
        </w:rPr>
        <w:t>有机质含量</w:t>
      </w:r>
      <w:r>
        <w:rPr>
          <w:rFonts w:hint="eastAsia" w:ascii="宋体" w:hAnsi="宋体" w:cs="宋体"/>
          <w:color w:val="000000" w:themeColor="text1"/>
          <w:szCs w:val="21"/>
          <w:lang w:val="en-US" w:eastAsia="zh-CN"/>
          <w14:textFill>
            <w14:solidFill>
              <w14:schemeClr w14:val="tx1"/>
            </w14:solidFill>
          </w14:textFill>
        </w:rPr>
        <w:t>丰富</w:t>
      </w:r>
      <w:r>
        <w:rPr>
          <w:rFonts w:hint="eastAsia" w:ascii="宋体" w:hAnsi="宋体" w:eastAsia="宋体" w:cs="宋体"/>
          <w:color w:val="000000" w:themeColor="text1"/>
          <w:szCs w:val="21"/>
          <w:lang w:val="en-US" w:eastAsia="zh-CN"/>
          <w14:textFill>
            <w14:solidFill>
              <w14:schemeClr w14:val="tx1"/>
            </w14:solidFill>
          </w14:textFill>
        </w:rPr>
        <w:t>。土壤环境质量应符合GB 15618的规定。</w:t>
      </w:r>
    </w:p>
    <w:p w14:paraId="488D9E9B">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4.1.4  交通</w:t>
      </w:r>
    </w:p>
    <w:p w14:paraId="09476188">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auto"/>
          <w:szCs w:val="21"/>
          <w:lang w:val="en-US" w:eastAsia="zh-CN"/>
        </w:rPr>
        <w:t>宜选在交通</w:t>
      </w:r>
      <w:r>
        <w:rPr>
          <w:rFonts w:hint="eastAsia" w:ascii="宋体" w:hAnsi="宋体" w:cs="宋体"/>
          <w:color w:val="auto"/>
          <w:szCs w:val="21"/>
          <w:lang w:val="en-US" w:eastAsia="zh-CN"/>
        </w:rPr>
        <w:t>便利的</w:t>
      </w:r>
      <w:r>
        <w:rPr>
          <w:rFonts w:hint="eastAsia" w:ascii="宋体" w:hAnsi="宋体" w:eastAsia="宋体" w:cs="宋体"/>
          <w:color w:val="auto"/>
          <w:szCs w:val="21"/>
          <w:lang w:val="en-US" w:eastAsia="zh-CN"/>
        </w:rPr>
        <w:t>地方建园</w:t>
      </w:r>
      <w:r>
        <w:rPr>
          <w:rFonts w:hint="eastAsia" w:ascii="宋体" w:hAnsi="宋体" w:cs="宋体"/>
          <w:color w:val="auto"/>
          <w:szCs w:val="21"/>
          <w:lang w:val="en-US" w:eastAsia="zh-CN"/>
        </w:rPr>
        <w:t>。</w:t>
      </w:r>
    </w:p>
    <w:p w14:paraId="0A630B30">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bookmarkStart w:id="191" w:name="_Toc109491873"/>
      <w:bookmarkStart w:id="192" w:name="_Toc1293076253"/>
      <w:bookmarkStart w:id="193" w:name="_Toc276028792"/>
      <w:bookmarkStart w:id="194" w:name="_Toc1140662766"/>
      <w:bookmarkStart w:id="195" w:name="_Toc2269"/>
      <w:bookmarkStart w:id="196" w:name="_Toc134826264"/>
      <w:bookmarkStart w:id="197" w:name="_Toc1889476495"/>
      <w:bookmarkStart w:id="198" w:name="_Toc1486010224"/>
      <w:bookmarkStart w:id="199" w:name="_Toc1041888977"/>
      <w:bookmarkStart w:id="200" w:name="_Toc1573447010"/>
      <w:bookmarkStart w:id="201" w:name="_Toc1364701754"/>
      <w:bookmarkStart w:id="202" w:name="_Toc661622353"/>
      <w:r>
        <w:rPr>
          <w:rFonts w:hint="eastAsia" w:ascii="黑体" w:hAnsi="黑体" w:eastAsia="黑体" w:cs="黑体"/>
          <w:color w:val="000000" w:themeColor="text1"/>
          <w:lang w:val="en-US" w:eastAsia="zh-CN"/>
          <w14:textFill>
            <w14:solidFill>
              <w14:schemeClr w14:val="tx1"/>
            </w14:solidFill>
          </w14:textFill>
        </w:rPr>
        <w:t xml:space="preserve">4.1.5  </w:t>
      </w:r>
      <w:bookmarkEnd w:id="191"/>
      <w:bookmarkEnd w:id="192"/>
      <w:bookmarkEnd w:id="193"/>
      <w:bookmarkEnd w:id="194"/>
      <w:bookmarkEnd w:id="195"/>
      <w:bookmarkEnd w:id="196"/>
      <w:bookmarkEnd w:id="197"/>
      <w:bookmarkEnd w:id="198"/>
      <w:bookmarkEnd w:id="199"/>
      <w:r>
        <w:rPr>
          <w:rFonts w:hint="eastAsia" w:ascii="黑体" w:hAnsi="黑体" w:eastAsia="黑体" w:cs="黑体"/>
          <w:color w:val="000000" w:themeColor="text1"/>
          <w:lang w:val="en-US" w:eastAsia="zh-CN"/>
          <w14:textFill>
            <w14:solidFill>
              <w14:schemeClr w14:val="tx1"/>
            </w14:solidFill>
          </w14:textFill>
        </w:rPr>
        <w:t>水源与空气质量</w:t>
      </w:r>
      <w:bookmarkEnd w:id="200"/>
      <w:bookmarkEnd w:id="201"/>
      <w:bookmarkEnd w:id="202"/>
    </w:p>
    <w:p w14:paraId="1AFA5B23">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园地应具备稳定的水源和便利的灌溉和排水条件，灌溉用水水质应符合GB 5084的规定。空气质量应符合GB 3095的规定。</w:t>
      </w:r>
    </w:p>
    <w:p w14:paraId="0CB4400F">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bookmarkStart w:id="203" w:name="_Toc1131706446"/>
      <w:bookmarkStart w:id="204" w:name="_Toc2022112051"/>
      <w:bookmarkStart w:id="205" w:name="_Toc1237785482"/>
      <w:bookmarkStart w:id="206" w:name="_Toc1068331260"/>
      <w:bookmarkStart w:id="207" w:name="_Toc135045327"/>
      <w:bookmarkStart w:id="208" w:name="_Toc325266523"/>
      <w:bookmarkStart w:id="209" w:name="_Toc1173619646"/>
      <w:bookmarkStart w:id="210" w:name="_Toc619082625"/>
      <w:bookmarkStart w:id="211" w:name="_Toc1555672331"/>
      <w:bookmarkStart w:id="212" w:name="_Toc9634"/>
      <w:bookmarkStart w:id="213" w:name="_Toc1873182038"/>
      <w:bookmarkStart w:id="214" w:name="_Toc1272521613"/>
      <w:bookmarkStart w:id="215" w:name="_Toc1803489910"/>
      <w:bookmarkStart w:id="216" w:name="_Toc538002251"/>
      <w:bookmarkStart w:id="217" w:name="_Toc376263594_WPSOffice_Level1"/>
      <w:bookmarkStart w:id="218" w:name="_Toc581326087"/>
      <w:bookmarkStart w:id="219" w:name="_Toc784647918"/>
      <w:bookmarkStart w:id="220" w:name="_Toc190572607"/>
      <w:bookmarkStart w:id="221" w:name="_Toc463118126"/>
      <w:bookmarkStart w:id="222" w:name="_Toc257759068"/>
      <w:bookmarkStart w:id="223" w:name="_Toc536286987_WPSOffice_Level1"/>
      <w:bookmarkStart w:id="224" w:name="_Toc1917970961"/>
      <w:bookmarkStart w:id="225" w:name="_Toc914839894"/>
      <w:bookmarkStart w:id="226" w:name="_Toc1971784945"/>
      <w:bookmarkStart w:id="227" w:name="_Toc350287653"/>
      <w:bookmarkStart w:id="228" w:name="_Toc1523359332"/>
      <w:bookmarkStart w:id="229" w:name="_Toc1412531912"/>
      <w:bookmarkStart w:id="230" w:name="_Toc1896190266"/>
      <w:r>
        <w:rPr>
          <w:rFonts w:hint="eastAsia" w:ascii="黑体" w:hAnsi="黑体" w:eastAsia="黑体" w:cs="黑体"/>
          <w:color w:val="000000" w:themeColor="text1"/>
          <w:lang w:val="en-US" w:eastAsia="zh-CN"/>
          <w14:textFill>
            <w14:solidFill>
              <w14:schemeClr w14:val="tx1"/>
            </w14:solidFill>
          </w14:textFill>
        </w:rPr>
        <w:t>4.2  园地规划</w:t>
      </w:r>
      <w:bookmarkEnd w:id="203"/>
      <w:bookmarkEnd w:id="204"/>
      <w:bookmarkEnd w:id="205"/>
      <w:bookmarkEnd w:id="206"/>
      <w:bookmarkEnd w:id="207"/>
      <w:bookmarkEnd w:id="208"/>
      <w:bookmarkEnd w:id="209"/>
      <w:bookmarkEnd w:id="210"/>
      <w:bookmarkEnd w:id="211"/>
      <w:bookmarkEnd w:id="212"/>
      <w:bookmarkEnd w:id="213"/>
      <w:bookmarkEnd w:id="214"/>
    </w:p>
    <w:p w14:paraId="373A3B14">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4.2.1  园地设置</w:t>
      </w:r>
    </w:p>
    <w:p w14:paraId="772757DA">
      <w:pPr>
        <w:ind w:firstLine="420" w:firstLineChars="0"/>
        <w:rPr>
          <w:rFonts w:hint="eastAsia" w:ascii="宋体" w:hAnsi="宋体" w:cs="宋体"/>
          <w:color w:val="auto"/>
          <w:szCs w:val="21"/>
          <w:lang w:val="en-US" w:eastAsia="zh-CN"/>
        </w:rPr>
      </w:pPr>
      <w:r>
        <w:rPr>
          <w:rFonts w:hint="eastAsia" w:ascii="宋体" w:hAnsi="宋体" w:cs="宋体"/>
          <w:color w:val="auto"/>
          <w:szCs w:val="21"/>
          <w:lang w:val="en-US" w:eastAsia="zh-CN"/>
        </w:rPr>
        <w:t>根据地形土壤条件、坡度、坡向、结合排灌系统和道路进行划分小区，区间应留汽车道和机耕道,方便小区作业；山地、丘陵山地在种植前按等高线修筑水平梯田。</w:t>
      </w:r>
    </w:p>
    <w:p w14:paraId="616ED6A4">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4.2.2  排灌系统</w:t>
      </w:r>
    </w:p>
    <w:p w14:paraId="1E189337">
      <w:pPr>
        <w:pStyle w:val="3"/>
        <w:ind w:firstLine="420" w:firstLineChars="200"/>
        <w:rPr>
          <w:rFonts w:hint="eastAsia"/>
          <w:color w:val="auto"/>
          <w:lang w:val="en-US" w:eastAsia="zh-CN"/>
        </w:rPr>
      </w:pPr>
      <w:r>
        <w:rPr>
          <w:rFonts w:hint="eastAsia" w:ascii="宋体" w:hAnsi="宋体" w:eastAsia="宋体" w:cs="宋体"/>
          <w:color w:val="auto"/>
          <w:szCs w:val="21"/>
          <w:lang w:val="en-US" w:eastAsia="zh-CN"/>
        </w:rPr>
        <w:t xml:space="preserve">a) </w:t>
      </w:r>
      <w:r>
        <w:rPr>
          <w:rFonts w:hint="eastAsia" w:ascii="宋体" w:hAnsi="宋体" w:eastAsia="宋体" w:cs="宋体"/>
          <w:color w:val="auto"/>
          <w:szCs w:val="21"/>
          <w:lang w:eastAsia="zh-CN"/>
        </w:rPr>
        <w:t>园</w:t>
      </w:r>
      <w:r>
        <w:rPr>
          <w:rFonts w:hint="eastAsia" w:ascii="宋体" w:hAnsi="宋体" w:cs="宋体"/>
          <w:color w:val="auto"/>
          <w:szCs w:val="21"/>
          <w:lang w:val="en-US" w:eastAsia="zh-CN"/>
        </w:rPr>
        <w:t>区应提前</w:t>
      </w:r>
      <w:r>
        <w:rPr>
          <w:rFonts w:hint="eastAsia" w:ascii="宋体" w:hAnsi="宋体" w:eastAsia="宋体" w:cs="宋体"/>
          <w:color w:val="auto"/>
          <w:szCs w:val="21"/>
          <w:lang w:eastAsia="zh-CN"/>
        </w:rPr>
        <w:t>设排水沟</w:t>
      </w:r>
      <w:r>
        <w:rPr>
          <w:rFonts w:hint="eastAsia" w:ascii="宋体" w:hAnsi="宋体" w:cs="宋体"/>
          <w:color w:val="auto"/>
          <w:szCs w:val="21"/>
          <w:lang w:eastAsia="zh-CN"/>
        </w:rPr>
        <w:t>。</w:t>
      </w:r>
      <w:r>
        <w:rPr>
          <w:rFonts w:hint="eastAsia" w:ascii="宋体" w:hAnsi="宋体" w:cs="宋体"/>
          <w:color w:val="auto"/>
          <w:szCs w:val="21"/>
          <w:lang w:val="en-US" w:eastAsia="zh-CN"/>
        </w:rPr>
        <w:t>平地果园周围设环沟，园区内设主排水沟、支排水沟，主排水沟深度≥1.5 m，宽度≥1 m，每行设小排水沟。</w:t>
      </w:r>
      <w:r>
        <w:rPr>
          <w:rFonts w:hint="eastAsia"/>
          <w:color w:val="auto"/>
          <w:lang w:val="en-US" w:eastAsia="zh-CN"/>
        </w:rPr>
        <w:t>在山地果园上方要设环山防洪沟，小区间设纵向排水沟。</w:t>
      </w:r>
    </w:p>
    <w:p w14:paraId="51FF3CE2">
      <w:pPr>
        <w:ind w:firstLine="420" w:firstLineChars="200"/>
        <w:rPr>
          <w:rFonts w:hint="default"/>
          <w:color w:val="auto"/>
          <w:lang w:val="en-US" w:eastAsia="zh-CN"/>
        </w:rPr>
      </w:pPr>
      <w:r>
        <w:rPr>
          <w:rFonts w:hint="eastAsia" w:ascii="宋体" w:hAnsi="宋体" w:cs="宋体"/>
          <w:color w:val="auto"/>
          <w:szCs w:val="21"/>
          <w:lang w:val="en-US" w:eastAsia="zh-CN"/>
        </w:rPr>
        <w:t>b</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有条件的果园推荐建设</w:t>
      </w:r>
      <w:r>
        <w:rPr>
          <w:rFonts w:hint="eastAsia" w:ascii="宋体" w:hAnsi="宋体" w:eastAsia="宋体" w:cs="宋体"/>
          <w:color w:val="auto"/>
          <w:szCs w:val="21"/>
          <w:lang w:val="en-US" w:eastAsia="zh-CN"/>
        </w:rPr>
        <w:t>水肥一体化</w:t>
      </w:r>
      <w:r>
        <w:rPr>
          <w:rFonts w:hint="eastAsia" w:ascii="宋体" w:hAnsi="宋体" w:eastAsia="宋体" w:cs="宋体"/>
          <w:color w:val="auto"/>
          <w:szCs w:val="21"/>
          <w:lang w:eastAsia="zh-CN"/>
        </w:rPr>
        <w:t>系统</w:t>
      </w:r>
      <w:r>
        <w:rPr>
          <w:rFonts w:hint="eastAsia" w:ascii="宋体" w:hAnsi="宋体" w:cs="宋体"/>
          <w:color w:val="auto"/>
          <w:szCs w:val="21"/>
          <w:lang w:eastAsia="zh-CN"/>
        </w:rPr>
        <w:t>。</w:t>
      </w:r>
    </w:p>
    <w:p w14:paraId="46BBC2B6">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4.2.3  道路系统</w:t>
      </w:r>
    </w:p>
    <w:p w14:paraId="4B37CFB3">
      <w:pPr>
        <w:ind w:firstLine="420"/>
        <w:rPr>
          <w:rFonts w:hint="eastAsia"/>
          <w:color w:val="auto"/>
          <w:lang w:val="en-US" w:eastAsia="zh-CN"/>
        </w:rPr>
      </w:pPr>
      <w:r>
        <w:rPr>
          <w:rFonts w:hint="eastAsia" w:ascii="宋体" w:hAnsi="宋体" w:cs="宋体"/>
          <w:color w:val="auto"/>
          <w:szCs w:val="21"/>
          <w:lang w:val="en-US" w:eastAsia="zh-CN"/>
        </w:rPr>
        <w:t>园区应提前规划道路，园区设置主干道、支干道、工作小道。主干道一般设在园区中部，与外部公路相接，路宽6</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7 m，保证运输车辆正常通行；支干道与主干道相连，路宽4 m左右，</w:t>
      </w:r>
      <w:r>
        <w:rPr>
          <w:rFonts w:hint="default" w:ascii="宋体" w:hAnsi="宋体" w:cs="宋体"/>
          <w:color w:val="auto"/>
          <w:szCs w:val="21"/>
          <w:lang w:val="en-US" w:eastAsia="zh-CN"/>
        </w:rPr>
        <w:t>一般小区以支</w:t>
      </w:r>
      <w:r>
        <w:rPr>
          <w:rFonts w:hint="eastAsia" w:ascii="宋体" w:hAnsi="宋体" w:cs="宋体"/>
          <w:color w:val="auto"/>
          <w:szCs w:val="21"/>
          <w:lang w:val="en-US" w:eastAsia="zh-CN"/>
        </w:rPr>
        <w:t>干道</w:t>
      </w:r>
      <w:r>
        <w:rPr>
          <w:rFonts w:hint="default" w:ascii="宋体" w:hAnsi="宋体" w:cs="宋体"/>
          <w:color w:val="auto"/>
          <w:szCs w:val="21"/>
          <w:lang w:val="en-US" w:eastAsia="zh-CN"/>
        </w:rPr>
        <w:t>为界</w:t>
      </w:r>
      <w:r>
        <w:rPr>
          <w:rFonts w:hint="eastAsia" w:ascii="宋体" w:hAnsi="宋体" w:cs="宋体"/>
          <w:color w:val="auto"/>
          <w:szCs w:val="21"/>
          <w:lang w:val="en-US" w:eastAsia="zh-CN"/>
        </w:rPr>
        <w:t>；小区中间可根据需要设置与支干道相接的工作小道，路宽1</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2 m，便于作业。</w:t>
      </w:r>
    </w:p>
    <w:p w14:paraId="3B190682">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4.2.4  喷药系统</w:t>
      </w:r>
    </w:p>
    <w:p w14:paraId="3BCB48A0">
      <w:pPr>
        <w:ind w:firstLine="420" w:firstLineChars="200"/>
        <w:rPr>
          <w:rFonts w:hint="eastAsia"/>
          <w:color w:val="auto"/>
          <w:lang w:val="en-US" w:eastAsia="zh-CN"/>
        </w:rPr>
      </w:pPr>
      <w:r>
        <w:rPr>
          <w:rFonts w:hint="eastAsia" w:ascii="宋体" w:hAnsi="宋体" w:cs="宋体"/>
          <w:color w:val="auto"/>
          <w:szCs w:val="21"/>
          <w:lang w:val="en-US" w:eastAsia="zh-CN"/>
        </w:rPr>
        <w:t>果园应建设喷药系统，沿主排水沟埋设主管，按照小区设置，合理分配支管，并配备打药管。有条件的果园推荐配备1</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2台植保无人机。</w:t>
      </w:r>
    </w:p>
    <w:p w14:paraId="45FB6F57">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4.2.5  其他配套设施</w:t>
      </w:r>
    </w:p>
    <w:p w14:paraId="74C25E2C">
      <w:pPr>
        <w:pStyle w:val="3"/>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auto"/>
          <w:kern w:val="2"/>
          <w:sz w:val="21"/>
          <w:szCs w:val="21"/>
          <w:lang w:val="en-US" w:eastAsia="zh-CN" w:bidi="ar-SA"/>
        </w:rPr>
        <w:t>根据生产规模，建设和完善农机仓库、农资仓储、果品分级包装设备及贮藏库房、工作室等配套设施。</w:t>
      </w:r>
    </w:p>
    <w:p w14:paraId="3155B2C2">
      <w:pPr>
        <w:pStyle w:val="3"/>
        <w:autoSpaceDE w:val="0"/>
        <w:autoSpaceDN w:val="0"/>
        <w:adjustRightInd w:val="0"/>
        <w:spacing w:before="312" w:beforeLines="100" w:after="312" w:afterLines="100"/>
        <w:ind w:firstLineChars="0"/>
        <w:outlineLvl w:val="0"/>
        <w:rPr>
          <w:rFonts w:hint="eastAsia" w:ascii="黑体" w:hAnsi="黑体" w:eastAsia="黑体" w:cs="Times New Roman"/>
          <w:bCs/>
          <w:color w:val="000000" w:themeColor="text1"/>
          <w:kern w:val="0"/>
          <w:lang w:eastAsia="zh-CN"/>
          <w14:textFill>
            <w14:solidFill>
              <w14:schemeClr w14:val="tx1"/>
            </w14:solidFill>
          </w14:textFill>
        </w:rPr>
      </w:pPr>
      <w:bookmarkStart w:id="231" w:name="_Toc1549947031"/>
      <w:bookmarkStart w:id="232" w:name="_Toc263105271"/>
      <w:bookmarkStart w:id="233" w:name="_Toc1428089287"/>
      <w:bookmarkStart w:id="234" w:name="_Toc1334847298"/>
      <w:bookmarkStart w:id="235" w:name="_Toc409125879"/>
      <w:bookmarkStart w:id="236" w:name="_Toc1194933387"/>
      <w:bookmarkStart w:id="237" w:name="_Toc745191816"/>
      <w:bookmarkStart w:id="238" w:name="_Toc1109704621"/>
      <w:bookmarkStart w:id="239" w:name="_Toc893240798"/>
      <w:bookmarkStart w:id="240" w:name="_Toc1241251045"/>
      <w:bookmarkStart w:id="241" w:name="_Toc206724978"/>
      <w:bookmarkStart w:id="242" w:name="_Toc479804318"/>
      <w:bookmarkStart w:id="243" w:name="_Toc1566466776"/>
      <w:bookmarkStart w:id="244" w:name="_Toc3557"/>
      <w:bookmarkStart w:id="245" w:name="_Toc989499673"/>
      <w:bookmarkStart w:id="246" w:name="_Toc621585501"/>
      <w:bookmarkStart w:id="247" w:name="_Toc2056626423"/>
      <w:bookmarkStart w:id="248" w:name="_Toc1546745978"/>
      <w:r>
        <w:rPr>
          <w:rFonts w:hint="default" w:ascii="黑体" w:hAnsi="黑体" w:eastAsia="黑体" w:cs="Times New Roman"/>
          <w:bCs/>
          <w:color w:val="000000" w:themeColor="text1"/>
          <w:kern w:val="0"/>
          <w:lang w:eastAsia="zh-CN"/>
          <w14:textFill>
            <w14:solidFill>
              <w14:schemeClr w14:val="tx1"/>
            </w14:solidFill>
          </w14:textFill>
        </w:rPr>
        <w:t>5</w:t>
      </w:r>
      <w:r>
        <w:rPr>
          <w:rFonts w:hint="eastAsia" w:ascii="黑体" w:hAnsi="黑体" w:eastAsia="黑体" w:cs="Times New Roman"/>
          <w:bCs/>
          <w:color w:val="000000" w:themeColor="text1"/>
          <w:kern w:val="0"/>
          <w14:textFill>
            <w14:solidFill>
              <w14:schemeClr w14:val="tx1"/>
            </w14:solidFill>
          </w14:textFill>
        </w:rPr>
        <w:t xml:space="preserve">  </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hint="eastAsia" w:ascii="黑体" w:hAnsi="黑体" w:eastAsia="黑体" w:cs="Times New Roman"/>
          <w:bCs/>
          <w:color w:val="000000" w:themeColor="text1"/>
          <w:kern w:val="0"/>
          <w:lang w:eastAsia="zh-CN"/>
          <w14:textFill>
            <w14:solidFill>
              <w14:schemeClr w14:val="tx1"/>
            </w14:solidFill>
          </w14:textFill>
        </w:rPr>
        <w:t>栽植</w:t>
      </w:r>
      <w:bookmarkEnd w:id="248"/>
    </w:p>
    <w:p w14:paraId="60BA80A4">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5.1  苗木选择</w:t>
      </w:r>
    </w:p>
    <w:p w14:paraId="4FE4CA3E">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auto"/>
          <w:kern w:val="2"/>
          <w:sz w:val="21"/>
          <w:szCs w:val="21"/>
          <w:highlight w:val="none"/>
          <w:lang w:val="en-US" w:eastAsia="zh-CN"/>
        </w:rPr>
        <w:t>选用嫁接苗</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en-US" w:eastAsia="zh-CN"/>
        </w:rPr>
        <w:t>圈枝苗</w:t>
      </w:r>
      <w:r>
        <w:rPr>
          <w:rFonts w:hint="eastAsia" w:ascii="宋体" w:hAnsi="宋体" w:cs="宋体"/>
          <w:color w:val="auto"/>
          <w:kern w:val="2"/>
          <w:sz w:val="21"/>
          <w:szCs w:val="21"/>
          <w:highlight w:val="none"/>
          <w:lang w:val="en-US" w:eastAsia="zh-CN"/>
        </w:rPr>
        <w:t>或</w:t>
      </w:r>
      <w:r>
        <w:rPr>
          <w:rFonts w:hint="eastAsia"/>
          <w:color w:val="auto"/>
        </w:rPr>
        <w:t>容器苗</w:t>
      </w:r>
      <w:r>
        <w:rPr>
          <w:rFonts w:hint="eastAsia" w:ascii="宋体" w:hAnsi="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种苗规格和质量应符合NY</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1472的规定。</w:t>
      </w:r>
      <w:r>
        <w:rPr>
          <w:rFonts w:hint="eastAsia" w:ascii="宋体" w:hAnsi="宋体" w:cs="宋体"/>
          <w:color w:val="000000" w:themeColor="text1"/>
          <w:szCs w:val="21"/>
          <w:lang w:val="en-US" w:eastAsia="zh-CN"/>
          <w14:textFill>
            <w14:solidFill>
              <w14:schemeClr w14:val="tx1"/>
            </w14:solidFill>
          </w14:textFill>
        </w:rPr>
        <w:t>严禁</w:t>
      </w:r>
      <w:r>
        <w:rPr>
          <w:rFonts w:hint="eastAsia" w:ascii="宋体" w:hAnsi="宋体" w:eastAsia="宋体" w:cs="宋体"/>
          <w:color w:val="000000" w:themeColor="text1"/>
          <w:szCs w:val="21"/>
          <w:lang w:val="en-US" w:eastAsia="zh-CN"/>
          <w14:textFill>
            <w14:solidFill>
              <w14:schemeClr w14:val="tx1"/>
            </w14:solidFill>
          </w14:textFill>
        </w:rPr>
        <w:t>从疫区调运种苗。</w:t>
      </w:r>
    </w:p>
    <w:bookmarkEnd w:id="215"/>
    <w:p w14:paraId="416FFB57">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bookmarkStart w:id="249" w:name="_Toc919593320"/>
      <w:bookmarkStart w:id="250" w:name="_Toc862813438"/>
      <w:bookmarkStart w:id="251" w:name="_Toc1084590034"/>
      <w:bookmarkStart w:id="252" w:name="_Toc12621"/>
      <w:bookmarkStart w:id="253" w:name="_Toc749240888"/>
      <w:bookmarkStart w:id="254" w:name="_Toc964904920"/>
      <w:bookmarkStart w:id="255" w:name="_Toc1954430148"/>
      <w:bookmarkStart w:id="256" w:name="_Toc1482839945"/>
      <w:bookmarkStart w:id="257" w:name="_Toc1830835877"/>
      <w:bookmarkStart w:id="258" w:name="_Toc1435082035"/>
      <w:bookmarkStart w:id="259" w:name="_Toc1278770116"/>
      <w:bookmarkStart w:id="260" w:name="_Toc307118433"/>
      <w:r>
        <w:rPr>
          <w:rFonts w:hint="eastAsia" w:ascii="黑体" w:hAnsi="黑体" w:eastAsia="黑体" w:cs="黑体"/>
          <w:color w:val="000000" w:themeColor="text1"/>
          <w:lang w:val="en-US" w:eastAsia="zh-CN"/>
          <w14:textFill>
            <w14:solidFill>
              <w14:schemeClr w14:val="tx1"/>
            </w14:solidFill>
          </w14:textFill>
        </w:rPr>
        <w:t>5.2  栽植时间</w:t>
      </w:r>
      <w:bookmarkEnd w:id="249"/>
      <w:bookmarkEnd w:id="250"/>
      <w:bookmarkEnd w:id="251"/>
      <w:bookmarkEnd w:id="252"/>
      <w:bookmarkEnd w:id="253"/>
      <w:bookmarkEnd w:id="254"/>
      <w:bookmarkEnd w:id="255"/>
      <w:bookmarkEnd w:id="256"/>
      <w:bookmarkEnd w:id="257"/>
      <w:bookmarkEnd w:id="258"/>
      <w:bookmarkEnd w:id="259"/>
      <w:bookmarkEnd w:id="260"/>
    </w:p>
    <w:p w14:paraId="3722E504">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bookmarkStart w:id="261" w:name="_Toc1140429111"/>
      <w:r>
        <w:rPr>
          <w:rFonts w:hint="eastAsia" w:ascii="宋体" w:hAnsi="宋体" w:eastAsia="宋体" w:cs="宋体"/>
          <w:color w:val="000000" w:themeColor="text1"/>
          <w:szCs w:val="21"/>
          <w:lang w:val="en-US" w:eastAsia="zh-CN"/>
          <w14:textFill>
            <w14:solidFill>
              <w14:schemeClr w14:val="tx1"/>
            </w14:solidFill>
          </w14:textFill>
        </w:rPr>
        <w:t>春季栽植一般在</w:t>
      </w:r>
      <w:r>
        <w:rPr>
          <w:rFonts w:hint="default" w:ascii="宋体" w:hAnsi="宋体" w:cs="宋体"/>
          <w:color w:val="000000" w:themeColor="text1"/>
          <w:szCs w:val="21"/>
          <w:lang w:val="en" w:eastAsia="zh-CN"/>
          <w14:textFill>
            <w14:solidFill>
              <w14:schemeClr w14:val="tx1"/>
            </w14:solidFill>
          </w14:textFill>
        </w:rPr>
        <w:t>2</w:t>
      </w:r>
      <w:r>
        <w:rPr>
          <w:rFonts w:hint="eastAsia" w:ascii="宋体" w:hAnsi="宋体" w:cs="宋体"/>
          <w:color w:val="000000" w:themeColor="text1"/>
          <w:szCs w:val="21"/>
          <w:lang w:val="en" w:eastAsia="zh-CN"/>
          <w14:textFill>
            <w14:solidFill>
              <w14:schemeClr w14:val="tx1"/>
            </w14:solidFill>
          </w14:textFill>
        </w:rPr>
        <w:t>月至</w:t>
      </w:r>
      <w:r>
        <w:rPr>
          <w:rFonts w:hint="eastAsia" w:ascii="宋体" w:hAnsi="宋体" w:cs="宋体"/>
          <w:color w:val="000000" w:themeColor="text1"/>
          <w:szCs w:val="21"/>
          <w:lang w:val="en-US" w:eastAsia="zh-CN"/>
          <w14:textFill>
            <w14:solidFill>
              <w14:schemeClr w14:val="tx1"/>
            </w14:solidFill>
          </w14:textFill>
        </w:rPr>
        <w:t>5月</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南方无霜期可在早春2月定植</w:t>
      </w:r>
      <w:bookmarkEnd w:id="261"/>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秋季栽植一般在9月至10月，具体时间视当地气候而定</w:t>
      </w:r>
      <w:r>
        <w:rPr>
          <w:rFonts w:hint="eastAsia" w:ascii="宋体" w:hAnsi="宋体" w:cs="宋体"/>
          <w:color w:val="000000" w:themeColor="text1"/>
          <w:szCs w:val="21"/>
          <w:lang w:val="en-US" w:eastAsia="zh-CN"/>
          <w14:textFill>
            <w14:solidFill>
              <w14:schemeClr w14:val="tx1"/>
            </w14:solidFill>
          </w14:textFill>
        </w:rPr>
        <w:t>。</w:t>
      </w:r>
    </w:p>
    <w:p w14:paraId="311AA3D9">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bookmarkStart w:id="262" w:name="_Toc2035005238"/>
      <w:bookmarkStart w:id="263" w:name="_Toc1491788172"/>
      <w:bookmarkStart w:id="264" w:name="_Toc1849540134"/>
      <w:bookmarkStart w:id="265" w:name="_Toc1451302571"/>
      <w:bookmarkStart w:id="266" w:name="_Toc835575878"/>
      <w:bookmarkStart w:id="267" w:name="_Toc428996527"/>
      <w:bookmarkStart w:id="268" w:name="_Toc881449285"/>
      <w:bookmarkStart w:id="269" w:name="_Toc1846922913"/>
      <w:bookmarkStart w:id="270" w:name="_Toc1835123868"/>
      <w:bookmarkStart w:id="271" w:name="_Toc1988465421"/>
      <w:bookmarkStart w:id="272" w:name="_Toc2588658"/>
      <w:bookmarkStart w:id="273" w:name="_Toc7053"/>
      <w:r>
        <w:rPr>
          <w:rFonts w:hint="eastAsia" w:ascii="黑体" w:hAnsi="黑体" w:eastAsia="黑体" w:cs="黑体"/>
          <w:color w:val="000000" w:themeColor="text1"/>
          <w:lang w:val="en-US" w:eastAsia="zh-CN"/>
          <w14:textFill>
            <w14:solidFill>
              <w14:schemeClr w14:val="tx1"/>
            </w14:solidFill>
          </w14:textFill>
        </w:rPr>
        <w:t>5.3  栽植密度</w:t>
      </w:r>
      <w:bookmarkEnd w:id="262"/>
      <w:bookmarkEnd w:id="263"/>
      <w:bookmarkEnd w:id="264"/>
      <w:bookmarkEnd w:id="265"/>
      <w:bookmarkEnd w:id="266"/>
      <w:bookmarkEnd w:id="267"/>
      <w:bookmarkEnd w:id="268"/>
      <w:bookmarkEnd w:id="269"/>
      <w:bookmarkEnd w:id="270"/>
      <w:bookmarkEnd w:id="271"/>
      <w:bookmarkEnd w:id="272"/>
      <w:bookmarkEnd w:id="273"/>
    </w:p>
    <w:p w14:paraId="0662C420">
      <w:pPr>
        <w:rPr>
          <w:rFonts w:hint="eastAsia" w:ascii="宋体" w:hAnsi="宋体" w:cs="宋体"/>
          <w:color w:val="000000" w:themeColor="text1"/>
          <w:szCs w:val="21"/>
          <w:lang w:val="en-US" w:eastAsia="zh-CN"/>
          <w14:textFill>
            <w14:solidFill>
              <w14:schemeClr w14:val="tx1"/>
            </w14:solidFill>
          </w14:textFill>
        </w:rPr>
      </w:pPr>
      <w:bookmarkStart w:id="274" w:name="_Toc1613787340"/>
      <w:r>
        <w:rPr>
          <w:rFonts w:hint="eastAsia" w:ascii="黑体" w:hAnsi="黑体" w:eastAsia="黑体" w:cs="黑体"/>
          <w:color w:val="000000" w:themeColor="text1"/>
          <w:sz w:val="21"/>
          <w:szCs w:val="21"/>
          <w:lang w:val="en-US" w:eastAsia="zh-CN"/>
          <w14:textFill>
            <w14:solidFill>
              <w14:schemeClr w14:val="tx1"/>
            </w14:solidFill>
          </w14:textFill>
        </w:rPr>
        <w:t xml:space="preserve">5.3.1 </w:t>
      </w:r>
      <w:r>
        <w:rPr>
          <w:rFonts w:hint="eastAsia" w:ascii="宋体" w:hAnsi="宋体" w:cs="宋体"/>
          <w:color w:val="000000" w:themeColor="text1"/>
          <w:szCs w:val="21"/>
          <w:lang w:val="en-US" w:eastAsia="zh-CN"/>
          <w14:textFill>
            <w14:solidFill>
              <w14:schemeClr w14:val="tx1"/>
            </w14:solidFill>
          </w14:textFill>
        </w:rPr>
        <w:t>常规栽植密度</w:t>
      </w:r>
    </w:p>
    <w:p w14:paraId="35D92590">
      <w:pPr>
        <w:ind w:firstLine="630" w:firstLineChars="3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a) </w:t>
      </w:r>
      <w:r>
        <w:rPr>
          <w:rFonts w:hint="eastAsia" w:ascii="宋体" w:hAnsi="宋体" w:cs="宋体"/>
          <w:color w:val="000000" w:themeColor="text1"/>
          <w:szCs w:val="21"/>
          <w:lang w:val="en-US" w:eastAsia="zh-CN"/>
          <w14:textFill>
            <w14:solidFill>
              <w14:schemeClr w14:val="tx1"/>
            </w14:solidFill>
          </w14:textFill>
        </w:rPr>
        <w:t>传统自然树冠模式株行距：平地或缓坡地4 m</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 m×5 m</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6 m，22</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33株/亩。</w:t>
      </w:r>
    </w:p>
    <w:p w14:paraId="4BBF45E0">
      <w:pPr>
        <w:ind w:firstLine="630" w:firstLineChars="3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b</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矮化密植模式株行距：3 m</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 m×4 m</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 m，33</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55株/亩。 </w:t>
      </w:r>
    </w:p>
    <w:p w14:paraId="640B2AF8">
      <w:pPr>
        <w:rPr>
          <w:rFonts w:hint="eastAsia" w:ascii="宋体" w:hAnsi="宋体" w:cs="宋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 xml:space="preserve">5.3.2 </w:t>
      </w:r>
      <w:r>
        <w:rPr>
          <w:rFonts w:hint="eastAsia" w:ascii="宋体" w:hAnsi="宋体" w:eastAsia="宋体" w:cs="宋体"/>
          <w:color w:val="000000" w:themeColor="text1"/>
          <w:szCs w:val="21"/>
          <w:lang w:val="en-US" w:eastAsia="zh-CN"/>
          <w14:textFill>
            <w14:solidFill>
              <w14:schemeClr w14:val="tx1"/>
            </w14:solidFill>
          </w14:textFill>
        </w:rPr>
        <w:t>根据土壤条件确定栽植密度</w:t>
      </w:r>
      <w:bookmarkEnd w:id="274"/>
      <w:r>
        <w:rPr>
          <w:rFonts w:hint="eastAsia" w:ascii="宋体" w:hAnsi="宋体" w:cs="宋体"/>
          <w:color w:val="000000" w:themeColor="text1"/>
          <w:szCs w:val="21"/>
          <w:lang w:val="en-US" w:eastAsia="zh-CN"/>
          <w14:textFill>
            <w14:solidFill>
              <w14:schemeClr w14:val="tx1"/>
            </w14:solidFill>
          </w14:textFill>
        </w:rPr>
        <w:t>时</w:t>
      </w:r>
    </w:p>
    <w:p w14:paraId="7F08FD5C">
      <w:pPr>
        <w:ind w:firstLine="630" w:firstLineChars="3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a) </w:t>
      </w:r>
      <w:r>
        <w:rPr>
          <w:rFonts w:hint="eastAsia" w:ascii="宋体" w:hAnsi="宋体" w:cs="宋体"/>
          <w:color w:val="000000" w:themeColor="text1"/>
          <w:szCs w:val="21"/>
          <w:lang w:val="en-US" w:eastAsia="zh-CN"/>
          <w14:textFill>
            <w14:solidFill>
              <w14:schemeClr w14:val="tx1"/>
            </w14:solidFill>
          </w14:textFill>
        </w:rPr>
        <w:t xml:space="preserve">平地/肥沃地：适当稀植株行距5 m×6 m，避免后期树冠郁闭。  </w:t>
      </w:r>
    </w:p>
    <w:p w14:paraId="147C57A0">
      <w:pPr>
        <w:ind w:firstLine="630" w:firstLineChars="3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b</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 xml:space="preserve">丘陵/贫瘠地：可稍密株行距4 m×5 m，但需加强土壤改良。  </w:t>
      </w:r>
    </w:p>
    <w:p w14:paraId="048BF14C">
      <w:pPr>
        <w:ind w:firstLine="630" w:firstLineChars="3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c</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机械化作业：行距需≥5 米，便于机械通行。</w:t>
      </w:r>
    </w:p>
    <w:p w14:paraId="6CFD131F">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bookmarkStart w:id="275" w:name="_Toc693673010"/>
      <w:bookmarkStart w:id="276" w:name="_Toc1509098505"/>
      <w:bookmarkStart w:id="277" w:name="_Toc1805036642"/>
      <w:bookmarkStart w:id="278" w:name="_Toc416913990"/>
      <w:bookmarkStart w:id="279" w:name="_Toc2063857045"/>
      <w:bookmarkStart w:id="280" w:name="_Toc1983425664"/>
      <w:bookmarkStart w:id="281" w:name="_Toc519931446"/>
      <w:bookmarkStart w:id="282" w:name="_Toc12879"/>
      <w:bookmarkStart w:id="283" w:name="_Toc335701780"/>
      <w:bookmarkStart w:id="284" w:name="_Toc949646456"/>
      <w:bookmarkStart w:id="285" w:name="_Toc1256249623"/>
      <w:bookmarkStart w:id="286" w:name="_Toc1699127857"/>
      <w:r>
        <w:rPr>
          <w:rFonts w:hint="eastAsia" w:ascii="黑体" w:hAnsi="黑体" w:eastAsia="黑体" w:cs="黑体"/>
          <w:color w:val="000000" w:themeColor="text1"/>
          <w:lang w:val="en-US" w:eastAsia="zh-CN"/>
          <w14:textFill>
            <w14:solidFill>
              <w14:schemeClr w14:val="tx1"/>
            </w14:solidFill>
          </w14:textFill>
        </w:rPr>
        <w:t>5.4  栽植方法</w:t>
      </w:r>
      <w:bookmarkEnd w:id="275"/>
      <w:bookmarkEnd w:id="276"/>
      <w:bookmarkEnd w:id="277"/>
      <w:bookmarkEnd w:id="278"/>
      <w:bookmarkEnd w:id="279"/>
      <w:bookmarkEnd w:id="280"/>
      <w:bookmarkEnd w:id="281"/>
      <w:bookmarkEnd w:id="282"/>
      <w:bookmarkEnd w:id="283"/>
      <w:bookmarkEnd w:id="284"/>
      <w:bookmarkEnd w:id="285"/>
      <w:bookmarkEnd w:id="286"/>
    </w:p>
    <w:p w14:paraId="54F3FE85">
      <w:pPr>
        <w:bidi w:val="0"/>
        <w:ind w:firstLine="0" w:firstLineChars="0"/>
        <w:rPr>
          <w:rFonts w:hint="eastAsia" w:ascii="宋体" w:hAnsi="宋体" w:eastAsia="宋体" w:cs="宋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 xml:space="preserve">5.4.1  </w:t>
      </w:r>
      <w:r>
        <w:rPr>
          <w:rFonts w:hint="eastAsia" w:ascii="宋体" w:hAnsi="宋体" w:eastAsia="宋体" w:cs="宋体"/>
          <w:color w:val="000000" w:themeColor="text1"/>
          <w:szCs w:val="21"/>
          <w:lang w:val="en-US" w:eastAsia="zh-CN"/>
          <w14:textFill>
            <w14:solidFill>
              <w14:schemeClr w14:val="tx1"/>
            </w14:solidFill>
          </w14:textFill>
        </w:rPr>
        <w:t>根据种植行距</w:t>
      </w:r>
      <w:r>
        <w:rPr>
          <w:rFonts w:hint="eastAsia" w:ascii="宋体" w:hAnsi="宋体" w:cs="宋体"/>
          <w:color w:val="000000" w:themeColor="text1"/>
          <w:szCs w:val="21"/>
          <w:lang w:val="en-US" w:eastAsia="zh-CN"/>
          <w14:textFill>
            <w14:solidFill>
              <w14:schemeClr w14:val="tx1"/>
            </w14:solidFill>
          </w14:textFill>
        </w:rPr>
        <w:t>要求</w:t>
      </w:r>
      <w:r>
        <w:rPr>
          <w:rFonts w:hint="eastAsia" w:ascii="宋体" w:hAnsi="宋体" w:eastAsia="宋体" w:cs="宋体"/>
          <w:color w:val="000000" w:themeColor="text1"/>
          <w:szCs w:val="21"/>
          <w:lang w:val="en-US" w:eastAsia="zh-CN"/>
          <w14:textFill>
            <w14:solidFill>
              <w14:schemeClr w14:val="tx1"/>
            </w14:solidFill>
          </w14:textFill>
        </w:rPr>
        <w:t>挖定植</w:t>
      </w:r>
      <w:r>
        <w:rPr>
          <w:rFonts w:hint="eastAsia" w:ascii="宋体" w:hAnsi="宋体" w:cs="宋体"/>
          <w:color w:val="000000" w:themeColor="text1"/>
          <w:szCs w:val="21"/>
          <w:lang w:val="en-US" w:eastAsia="zh-CN"/>
          <w14:textFill>
            <w14:solidFill>
              <w14:schemeClr w14:val="tx1"/>
            </w14:solidFill>
          </w14:textFill>
        </w:rPr>
        <w:t>穴</w:t>
      </w:r>
      <w:r>
        <w:rPr>
          <w:rFonts w:hint="eastAsia" w:ascii="宋体" w:hAnsi="宋体" w:eastAsia="宋体" w:cs="宋体"/>
          <w:color w:val="000000" w:themeColor="text1"/>
          <w:szCs w:val="21"/>
          <w:lang w:val="en-US" w:eastAsia="zh-CN"/>
          <w14:textFill>
            <w14:solidFill>
              <w14:schemeClr w14:val="tx1"/>
            </w14:solidFill>
          </w14:textFill>
        </w:rPr>
        <w:t>，定植</w:t>
      </w:r>
      <w:r>
        <w:rPr>
          <w:rFonts w:hint="eastAsia" w:ascii="宋体" w:hAnsi="宋体" w:cs="宋体"/>
          <w:color w:val="000000" w:themeColor="text1"/>
          <w:szCs w:val="21"/>
          <w:lang w:val="en-US" w:eastAsia="zh-CN"/>
          <w14:textFill>
            <w14:solidFill>
              <w14:schemeClr w14:val="tx1"/>
            </w14:solidFill>
          </w14:textFill>
        </w:rPr>
        <w:t xml:space="preserve">穴长×宽×深为1.0 </w:t>
      </w:r>
      <w:r>
        <w:rPr>
          <w:rFonts w:hint="eastAsia" w:ascii="宋体" w:hAnsi="宋体" w:eastAsia="宋体" w:cs="宋体"/>
          <w:color w:val="000000" w:themeColor="text1"/>
          <w:szCs w:val="21"/>
          <w:lang w:val="en-US" w:eastAsia="zh-CN"/>
          <w14:textFill>
            <w14:solidFill>
              <w14:schemeClr w14:val="tx1"/>
            </w14:solidFill>
          </w14:textFill>
        </w:rPr>
        <w:t>m</w:t>
      </w:r>
      <w:r>
        <w:rPr>
          <w:rFonts w:hint="eastAsia" w:ascii="宋体" w:hAnsi="宋体" w:cs="宋体"/>
          <w:color w:val="000000" w:themeColor="text1"/>
          <w:szCs w:val="21"/>
          <w:lang w:val="en-US" w:eastAsia="zh-CN"/>
          <w14:textFill>
            <w14:solidFill>
              <w14:schemeClr w14:val="tx1"/>
            </w14:solidFill>
          </w14:textFill>
        </w:rPr>
        <w:t xml:space="preserve">×1.0 </w:t>
      </w:r>
      <w:r>
        <w:rPr>
          <w:rFonts w:hint="eastAsia" w:ascii="宋体" w:hAnsi="宋体" w:eastAsia="宋体" w:cs="宋体"/>
          <w:color w:val="000000" w:themeColor="text1"/>
          <w:szCs w:val="21"/>
          <w:lang w:val="en-US" w:eastAsia="zh-CN"/>
          <w14:textFill>
            <w14:solidFill>
              <w14:schemeClr w14:val="tx1"/>
            </w14:solidFill>
          </w14:textFill>
        </w:rPr>
        <w:t>m</w:t>
      </w:r>
      <w:r>
        <w:rPr>
          <w:rFonts w:hint="eastAsia" w:ascii="宋体" w:hAnsi="宋体" w:cs="宋体"/>
          <w:color w:val="000000" w:themeColor="text1"/>
          <w:szCs w:val="21"/>
          <w:lang w:val="en-US" w:eastAsia="zh-CN"/>
          <w14:textFill>
            <w14:solidFill>
              <w14:schemeClr w14:val="tx1"/>
            </w14:solidFill>
          </w14:textFill>
        </w:rPr>
        <w:t>×0.8 m</w:t>
      </w:r>
      <w:r>
        <w:rPr>
          <w:rFonts w:hint="eastAsia" w:ascii="宋体" w:hAnsi="宋体" w:eastAsia="宋体" w:cs="宋体"/>
          <w:color w:val="000000" w:themeColor="text1"/>
          <w:szCs w:val="21"/>
          <w:lang w:val="en-US" w:eastAsia="zh-CN"/>
          <w14:textFill>
            <w14:solidFill>
              <w14:schemeClr w14:val="tx1"/>
            </w14:solidFill>
          </w14:textFill>
        </w:rPr>
        <w:t>。</w:t>
      </w:r>
    </w:p>
    <w:p w14:paraId="6BE71053">
      <w:pPr>
        <w:bidi w:val="0"/>
        <w:ind w:firstLine="0" w:firstLineChars="0"/>
        <w:rPr>
          <w:rFonts w:hint="default" w:ascii="宋体" w:hAnsi="宋体" w:cs="宋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 xml:space="preserve">5.4.2  </w:t>
      </w:r>
      <w:r>
        <w:rPr>
          <w:rFonts w:hint="eastAsia" w:ascii="宋体" w:hAnsi="宋体" w:eastAsia="宋体" w:cs="宋体"/>
          <w:color w:val="auto"/>
          <w:kern w:val="2"/>
          <w:sz w:val="21"/>
          <w:szCs w:val="21"/>
          <w:highlight w:val="none"/>
          <w:lang w:val="en-US" w:eastAsia="zh-CN"/>
        </w:rPr>
        <w:t>在定植前</w:t>
      </w:r>
      <w:r>
        <w:rPr>
          <w:rFonts w:hint="eastAsia" w:ascii="宋体" w:hAnsi="宋体" w:cs="宋体"/>
          <w:color w:val="auto"/>
          <w:kern w:val="2"/>
          <w:sz w:val="21"/>
          <w:szCs w:val="21"/>
          <w:highlight w:val="none"/>
          <w:lang w:val="en-US" w:eastAsia="zh-CN"/>
        </w:rPr>
        <w:t>每穴分</w:t>
      </w:r>
      <w:r>
        <w:rPr>
          <w:rFonts w:hint="eastAsia" w:ascii="宋体" w:hAnsi="宋体" w:eastAsia="宋体" w:cs="宋体"/>
          <w:szCs w:val="21"/>
          <w:lang w:val="en-US" w:eastAsia="zh-CN"/>
        </w:rPr>
        <w:t>3～4层压填绿肥、杂草、秸秆和</w:t>
      </w:r>
      <w:r>
        <w:rPr>
          <w:rFonts w:hint="eastAsia" w:ascii="宋体" w:hAnsi="宋体" w:eastAsia="宋体" w:cs="宋体"/>
          <w:color w:val="auto"/>
          <w:kern w:val="2"/>
          <w:sz w:val="21"/>
          <w:szCs w:val="21"/>
          <w:highlight w:val="none"/>
          <w:lang w:val="en-US" w:eastAsia="zh-CN"/>
        </w:rPr>
        <w:t>腐熟有机肥20 kg～30 kg</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en-US" w:eastAsia="zh-CN"/>
        </w:rPr>
        <w:t>磷肥</w:t>
      </w:r>
      <w:r>
        <w:rPr>
          <w:rFonts w:hint="eastAsia" w:ascii="宋体" w:hAnsi="宋体" w:eastAsia="宋体" w:cs="宋体"/>
          <w:szCs w:val="21"/>
          <w:lang w:val="en-US" w:eastAsia="zh-CN"/>
        </w:rPr>
        <w:t>0.5 kg～1.0 kg</w:t>
      </w:r>
      <w:r>
        <w:rPr>
          <w:rFonts w:hint="eastAsia" w:ascii="宋体" w:hAnsi="宋体" w:cs="宋体"/>
          <w:color w:val="auto"/>
          <w:kern w:val="2"/>
          <w:sz w:val="21"/>
          <w:szCs w:val="21"/>
          <w:highlight w:val="none"/>
          <w:lang w:val="en-US" w:eastAsia="zh-CN"/>
        </w:rPr>
        <w:t>，</w:t>
      </w:r>
      <w:r>
        <w:rPr>
          <w:rFonts w:hint="eastAsia" w:ascii="宋体" w:hAnsi="宋体" w:eastAsia="宋体" w:cs="宋体"/>
          <w:szCs w:val="21"/>
          <w:lang w:val="en-US" w:eastAsia="zh-CN"/>
        </w:rPr>
        <w:t>酸性土壤加石灰0.5～1 kg</w:t>
      </w:r>
      <w:r>
        <w:rPr>
          <w:rFonts w:hint="eastAsia" w:ascii="宋体" w:hAnsi="宋体" w:eastAsia="宋体" w:cs="宋体"/>
          <w:color w:val="auto"/>
          <w:kern w:val="2"/>
          <w:sz w:val="21"/>
          <w:szCs w:val="21"/>
          <w:highlight w:val="none"/>
          <w:lang w:val="en-US" w:eastAsia="zh-CN"/>
        </w:rPr>
        <w:t>，一周后栽植。</w:t>
      </w:r>
    </w:p>
    <w:p w14:paraId="503A5415">
      <w:pPr>
        <w:bidi w:val="0"/>
        <w:ind w:firstLine="0" w:firstLineChars="0"/>
        <w:rPr>
          <w:rFonts w:hint="eastAsia" w:ascii="宋体" w:hAnsi="宋体" w:eastAsia="宋体" w:cs="宋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 xml:space="preserve">5.4.3  </w:t>
      </w:r>
      <w:r>
        <w:rPr>
          <w:rFonts w:hint="eastAsia" w:ascii="宋体" w:hAnsi="宋体" w:eastAsia="宋体" w:cs="宋体"/>
          <w:color w:val="000000" w:themeColor="text1"/>
          <w:szCs w:val="21"/>
          <w:lang w:val="en-US" w:eastAsia="zh-CN"/>
          <w14:textFill>
            <w14:solidFill>
              <w14:schemeClr w14:val="tx1"/>
            </w14:solidFill>
          </w14:textFill>
        </w:rPr>
        <w:t>栽植深度以</w:t>
      </w:r>
      <w:r>
        <w:rPr>
          <w:rFonts w:hint="eastAsia" w:ascii="宋体" w:hAnsi="宋体" w:cs="宋体"/>
          <w:color w:val="000000" w:themeColor="text1"/>
          <w:szCs w:val="21"/>
          <w:lang w:val="en-US" w:eastAsia="zh-CN"/>
          <w14:textFill>
            <w14:solidFill>
              <w14:schemeClr w14:val="tx1"/>
            </w14:solidFill>
          </w14:textFill>
        </w:rPr>
        <w:t>根茎稍高于</w:t>
      </w:r>
      <w:r>
        <w:rPr>
          <w:rFonts w:hint="eastAsia" w:ascii="宋体" w:hAnsi="宋体" w:eastAsia="宋体" w:cs="宋体"/>
          <w:color w:val="000000" w:themeColor="text1"/>
          <w:szCs w:val="21"/>
          <w:lang w:val="en-US" w:eastAsia="zh-CN"/>
          <w14:textFill>
            <w14:solidFill>
              <w14:schemeClr w14:val="tx1"/>
            </w14:solidFill>
          </w14:textFill>
        </w:rPr>
        <w:t>地面为宜，</w:t>
      </w:r>
      <w:r>
        <w:rPr>
          <w:rFonts w:hint="eastAsia" w:ascii="宋体" w:hAnsi="宋体" w:cs="宋体"/>
          <w:color w:val="000000" w:themeColor="text1"/>
          <w:szCs w:val="21"/>
          <w:lang w:val="en-US" w:eastAsia="zh-CN"/>
          <w14:textFill>
            <w14:solidFill>
              <w14:schemeClr w14:val="tx1"/>
            </w14:solidFill>
          </w14:textFill>
        </w:rPr>
        <w:t>并筑一个外高（高于地表20 cm）内低、直径≥80 cm的定植墩，龙眼苗置于穴中间，正苗、填土</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压实、浇透定根水</w:t>
      </w:r>
      <w:r>
        <w:rPr>
          <w:rFonts w:hint="eastAsia" w:ascii="宋体" w:hAnsi="宋体" w:eastAsia="宋体" w:cs="宋体"/>
          <w:color w:val="000000" w:themeColor="text1"/>
          <w:szCs w:val="21"/>
          <w:lang w:val="en-US" w:eastAsia="zh-CN"/>
          <w14:textFill>
            <w14:solidFill>
              <w14:schemeClr w14:val="tx1"/>
            </w14:solidFill>
          </w14:textFill>
        </w:rPr>
        <w:t>。</w:t>
      </w:r>
    </w:p>
    <w:p w14:paraId="3C193D99">
      <w:pPr>
        <w:bidi w:val="0"/>
        <w:ind w:firstLine="0" w:firstLineChars="0"/>
        <w:rPr>
          <w:rFonts w:hint="default" w:ascii="宋体" w:hAnsi="宋体" w:eastAsia="宋体" w:cs="宋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 xml:space="preserve">5.4.4  </w:t>
      </w:r>
      <w:r>
        <w:rPr>
          <w:rFonts w:hint="eastAsia" w:ascii="宋体" w:hAnsi="宋体" w:cs="宋体"/>
          <w:color w:val="000000" w:themeColor="text1"/>
          <w:szCs w:val="21"/>
          <w:lang w:val="en-US" w:eastAsia="zh-CN"/>
          <w14:textFill>
            <w14:solidFill>
              <w14:schemeClr w14:val="tx1"/>
            </w14:solidFill>
          </w14:textFill>
        </w:rPr>
        <w:t>定植后树盘覆盖稻草或地膜保湿，</w:t>
      </w:r>
      <w:r>
        <w:rPr>
          <w:rFonts w:hint="eastAsia" w:ascii="宋体" w:hAnsi="宋体" w:eastAsia="宋体" w:cs="宋体"/>
          <w:color w:val="000000" w:themeColor="text1"/>
          <w:sz w:val="21"/>
          <w:szCs w:val="21"/>
          <w:lang w:val="en-US" w:eastAsia="zh-CN"/>
          <w14:textFill>
            <w14:solidFill>
              <w14:schemeClr w14:val="tx1"/>
            </w14:solidFill>
          </w14:textFill>
        </w:rPr>
        <w:t>两个月内遇旱应坚持淋水</w:t>
      </w:r>
      <w:r>
        <w:rPr>
          <w:rFonts w:hint="eastAsia" w:ascii="宋体" w:hAnsi="宋体" w:cs="宋体"/>
          <w:color w:val="000000" w:themeColor="text1"/>
          <w:szCs w:val="21"/>
          <w:lang w:val="en-US" w:eastAsia="zh-CN"/>
          <w14:textFill>
            <w14:solidFill>
              <w14:schemeClr w14:val="tx1"/>
            </w14:solidFill>
          </w14:textFill>
        </w:rPr>
        <w:t>。若遇寒潮，需用薄膜或稻草覆盖根颈防冻。</w:t>
      </w:r>
    </w:p>
    <w:p w14:paraId="3F688AAF">
      <w:pPr>
        <w:bidi w:val="0"/>
        <w:ind w:firstLine="0" w:firstLineChars="0"/>
        <w:rPr>
          <w:rFonts w:hint="eastAsia" w:ascii="宋体" w:hAnsi="宋体" w:eastAsia="宋体" w:cs="宋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 xml:space="preserve">5.4.5  </w:t>
      </w:r>
      <w:r>
        <w:rPr>
          <w:rFonts w:hint="eastAsia" w:ascii="宋体" w:hAnsi="宋体" w:eastAsia="宋体" w:cs="宋体"/>
          <w:color w:val="000000" w:themeColor="text1"/>
          <w:szCs w:val="21"/>
          <w:lang w:val="en-US" w:eastAsia="zh-CN"/>
          <w14:textFill>
            <w14:solidFill>
              <w14:schemeClr w14:val="tx1"/>
            </w14:solidFill>
          </w14:textFill>
        </w:rPr>
        <w:t>种植面积较大的果园，可按照计划的株行距采用机械种植苗木。</w:t>
      </w:r>
      <w:bookmarkStart w:id="287" w:name="_Toc1288970771"/>
      <w:bookmarkStart w:id="288" w:name="_Toc1656210647"/>
      <w:bookmarkStart w:id="289" w:name="_Toc3883398"/>
      <w:bookmarkStart w:id="290" w:name="_Toc204249789"/>
      <w:bookmarkStart w:id="291" w:name="_Toc2011232877"/>
      <w:bookmarkStart w:id="292" w:name="_Toc159713003"/>
      <w:bookmarkStart w:id="293" w:name="_Toc1304422481"/>
      <w:bookmarkStart w:id="294" w:name="_Toc793025047"/>
      <w:bookmarkStart w:id="295" w:name="_Toc1111709309"/>
      <w:bookmarkStart w:id="296" w:name="_Toc260142533"/>
      <w:bookmarkStart w:id="297" w:name="_Toc2060241782"/>
      <w:bookmarkStart w:id="298" w:name="_Toc1141874422"/>
      <w:bookmarkStart w:id="299" w:name="_Toc266161524"/>
      <w:bookmarkStart w:id="300" w:name="_Toc18039"/>
      <w:bookmarkStart w:id="301" w:name="_Toc803023543"/>
      <w:bookmarkStart w:id="302" w:name="_Toc1102959217"/>
      <w:bookmarkStart w:id="303" w:name="_Toc53135240"/>
      <w:bookmarkStart w:id="304" w:name="_Toc1519962430"/>
    </w:p>
    <w:p w14:paraId="5689AAE4">
      <w:pPr>
        <w:bidi w:val="0"/>
        <w:ind w:firstLine="0" w:firstLineChars="0"/>
        <w:rPr>
          <w:rFonts w:hint="default"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 xml:space="preserve">5.4.6  </w:t>
      </w:r>
      <w:r>
        <w:rPr>
          <w:rFonts w:hint="eastAsia" w:ascii="宋体" w:hAnsi="宋体" w:cs="宋体"/>
          <w:color w:val="000000" w:themeColor="text1"/>
          <w:szCs w:val="21"/>
          <w:lang w:val="en-US" w:eastAsia="zh-CN"/>
          <w14:textFill>
            <w14:solidFill>
              <w14:schemeClr w14:val="tx1"/>
            </w14:solidFill>
          </w14:textFill>
        </w:rPr>
        <w:t>台风多发地区，幼树需立柱固定。</w:t>
      </w:r>
    </w:p>
    <w:p w14:paraId="682AB396">
      <w:pPr>
        <w:pStyle w:val="15"/>
        <w:autoSpaceDE w:val="0"/>
        <w:autoSpaceDN w:val="0"/>
        <w:adjustRightInd w:val="0"/>
        <w:spacing w:before="312" w:beforeLines="100" w:after="312" w:afterLines="100"/>
        <w:ind w:firstLine="0" w:firstLineChars="0"/>
        <w:outlineLvl w:val="0"/>
        <w:rPr>
          <w:rFonts w:hint="eastAsia" w:ascii="黑体" w:hAnsi="黑体" w:eastAsia="黑体" w:cs="Times New Roman"/>
          <w:bCs/>
          <w:color w:val="000000" w:themeColor="text1"/>
          <w:kern w:val="0"/>
          <w:lang w:eastAsia="zh-CN"/>
          <w14:textFill>
            <w14:solidFill>
              <w14:schemeClr w14:val="tx1"/>
            </w14:solidFill>
          </w14:textFill>
        </w:rPr>
      </w:pPr>
      <w:bookmarkStart w:id="305" w:name="_Toc227752922"/>
      <w:r>
        <w:rPr>
          <w:rFonts w:hint="eastAsia" w:ascii="黑体" w:hAnsi="黑体" w:eastAsia="黑体" w:cs="Times New Roman"/>
          <w:bCs/>
          <w:color w:val="000000" w:themeColor="text1"/>
          <w:kern w:val="0"/>
          <w:lang w:val="en-US" w:eastAsia="zh-CN"/>
          <w14:textFill>
            <w14:solidFill>
              <w14:schemeClr w14:val="tx1"/>
            </w14:solidFill>
          </w14:textFill>
        </w:rPr>
        <w:t>6</w:t>
      </w:r>
      <w:r>
        <w:rPr>
          <w:rFonts w:hint="default" w:ascii="黑体" w:hAnsi="黑体" w:eastAsia="黑体" w:cs="Times New Roman"/>
          <w:bCs/>
          <w:color w:val="000000" w:themeColor="text1"/>
          <w:kern w:val="0"/>
          <w14:textFill>
            <w14:solidFill>
              <w14:schemeClr w14:val="tx1"/>
            </w14:solidFill>
          </w14:textFill>
        </w:rPr>
        <w:t xml:space="preserve">  </w:t>
      </w:r>
      <w:bookmarkEnd w:id="287"/>
      <w:r>
        <w:rPr>
          <w:rFonts w:hint="eastAsia" w:ascii="黑体" w:hAnsi="黑体" w:eastAsia="黑体" w:cs="Times New Roman"/>
          <w:bCs/>
          <w:color w:val="000000" w:themeColor="text1"/>
          <w:kern w:val="0"/>
          <w:lang w:eastAsia="zh-CN"/>
          <w14:textFill>
            <w14:solidFill>
              <w14:schemeClr w14:val="tx1"/>
            </w14:solidFill>
          </w14:textFill>
        </w:rPr>
        <w:t>土肥水管理</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7875B8C5">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bookmarkStart w:id="306" w:name="_Toc1941694038"/>
      <w:bookmarkStart w:id="307" w:name="_Toc831293061"/>
      <w:bookmarkStart w:id="308" w:name="_Toc42121544"/>
      <w:bookmarkStart w:id="309" w:name="_Toc979092484"/>
      <w:bookmarkStart w:id="310" w:name="_Toc1134516959"/>
      <w:bookmarkStart w:id="311" w:name="_Toc1467489182"/>
      <w:bookmarkStart w:id="312" w:name="_Toc1779228983"/>
      <w:bookmarkStart w:id="313" w:name="_Toc1497715498"/>
      <w:bookmarkStart w:id="314" w:name="_Toc1539873156"/>
      <w:bookmarkStart w:id="315" w:name="_Toc1442415483"/>
      <w:bookmarkStart w:id="316" w:name="_Toc13804"/>
      <w:bookmarkStart w:id="317" w:name="_Toc1571432849"/>
      <w:bookmarkStart w:id="318" w:name="_Toc861243284"/>
      <w:r>
        <w:rPr>
          <w:rFonts w:hint="eastAsia" w:ascii="黑体" w:hAnsi="黑体" w:eastAsia="黑体" w:cs="黑体"/>
          <w:color w:val="000000" w:themeColor="text1"/>
          <w:lang w:val="en-US" w:eastAsia="zh-CN"/>
          <w14:textFill>
            <w14:solidFill>
              <w14:schemeClr w14:val="tx1"/>
            </w14:solidFill>
          </w14:textFill>
        </w:rPr>
        <w:t xml:space="preserve">6.1  </w:t>
      </w:r>
      <w:bookmarkEnd w:id="306"/>
      <w:r>
        <w:rPr>
          <w:rFonts w:hint="eastAsia" w:ascii="黑体" w:hAnsi="黑体" w:eastAsia="黑体" w:cs="黑体"/>
          <w:color w:val="000000" w:themeColor="text1"/>
          <w:lang w:val="en-US" w:eastAsia="zh-CN"/>
          <w14:textFill>
            <w14:solidFill>
              <w14:schemeClr w14:val="tx1"/>
            </w14:solidFill>
          </w14:textFill>
        </w:rPr>
        <w:t>土壤管理</w:t>
      </w:r>
      <w:bookmarkEnd w:id="307"/>
      <w:bookmarkEnd w:id="308"/>
      <w:bookmarkEnd w:id="309"/>
      <w:bookmarkEnd w:id="310"/>
      <w:bookmarkEnd w:id="311"/>
      <w:bookmarkEnd w:id="312"/>
      <w:bookmarkEnd w:id="313"/>
      <w:bookmarkEnd w:id="314"/>
      <w:bookmarkEnd w:id="315"/>
      <w:bookmarkEnd w:id="316"/>
      <w:bookmarkEnd w:id="317"/>
      <w:bookmarkEnd w:id="318"/>
    </w:p>
    <w:p w14:paraId="0013A054">
      <w:pPr>
        <w:pStyle w:val="15"/>
        <w:autoSpaceDE w:val="0"/>
        <w:autoSpaceDN w:val="0"/>
        <w:adjustRightInd w:val="0"/>
        <w:spacing w:before="156" w:beforeLines="50" w:after="156" w:afterLines="50"/>
        <w:ind w:firstLine="0" w:firstLineChars="0"/>
        <w:outlineLvl w:val="1"/>
        <w:rPr>
          <w:rFonts w:hint="default"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6</w:t>
      </w:r>
      <w:r>
        <w:rPr>
          <w:rFonts w:hint="default" w:ascii="黑体" w:hAnsi="黑体" w:eastAsia="黑体" w:cs="黑体"/>
          <w:color w:val="000000" w:themeColor="text1"/>
          <w:lang w:val="en-US" w:eastAsia="zh-CN"/>
          <w14:textFill>
            <w14:solidFill>
              <w14:schemeClr w14:val="tx1"/>
            </w14:solidFill>
          </w14:textFill>
        </w:rPr>
        <w:t xml:space="preserve">.1.1  </w:t>
      </w:r>
      <w:r>
        <w:rPr>
          <w:rFonts w:hint="eastAsia" w:ascii="黑体" w:hAnsi="黑体" w:eastAsia="黑体" w:cs="黑体"/>
          <w:b w:val="0"/>
          <w:bCs w:val="0"/>
          <w:color w:val="000000" w:themeColor="text1"/>
          <w:sz w:val="21"/>
          <w:szCs w:val="21"/>
          <w:lang w:val="en-US" w:eastAsia="zh-CN"/>
          <w14:textFill>
            <w14:solidFill>
              <w14:schemeClr w14:val="tx1"/>
            </w14:solidFill>
          </w14:textFill>
        </w:rPr>
        <w:t>挖穴改土</w:t>
      </w:r>
    </w:p>
    <w:p w14:paraId="6984DDFD">
      <w:pPr>
        <w:ind w:firstLine="420" w:firstLineChars="20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a) </w:t>
      </w:r>
      <w:r>
        <w:rPr>
          <w:rFonts w:hint="eastAsia" w:ascii="宋体" w:hAnsi="宋体" w:eastAsia="宋体" w:cs="宋体"/>
          <w:b w:val="0"/>
          <w:bCs w:val="0"/>
          <w:color w:val="000000" w:themeColor="text1"/>
          <w:sz w:val="21"/>
          <w:szCs w:val="21"/>
          <w:lang w:val="en-US" w:eastAsia="zh-CN"/>
          <w14:textFill>
            <w14:solidFill>
              <w14:schemeClr w14:val="tx1"/>
            </w14:solidFill>
          </w14:textFill>
        </w:rPr>
        <w:t>幼树定植两年后在原植穴外围开沟扩穴，然后埋入绿肥。</w:t>
      </w:r>
    </w:p>
    <w:p w14:paraId="660CF0CC">
      <w:pPr>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b) </w:t>
      </w:r>
      <w:r>
        <w:rPr>
          <w:rFonts w:hint="eastAsia" w:ascii="宋体" w:hAnsi="宋体" w:eastAsia="宋体" w:cs="宋体"/>
          <w:b w:val="0"/>
          <w:bCs w:val="0"/>
          <w:color w:val="000000" w:themeColor="text1"/>
          <w:sz w:val="21"/>
          <w:szCs w:val="21"/>
          <w:lang w:val="en-US" w:eastAsia="zh-CN"/>
          <w14:textFill>
            <w14:solidFill>
              <w14:schemeClr w14:val="tx1"/>
            </w14:solidFill>
          </w14:textFill>
        </w:rPr>
        <w:t>结果树在每年末次秋梢老熟后深施有机肥，在树冠滴水线外围挖深40 cm</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50 cm、</w:t>
      </w:r>
      <w:r>
        <w:rPr>
          <w:rFonts w:hint="eastAsia" w:ascii="宋体" w:hAnsi="宋体" w:eastAsia="宋体" w:cs="宋体"/>
          <w:color w:val="000000" w:themeColor="text1"/>
          <w:sz w:val="21"/>
          <w:szCs w:val="21"/>
          <w:lang w:val="en-US" w:eastAsia="zh-CN"/>
          <w14:textFill>
            <w14:solidFill>
              <w14:schemeClr w14:val="tx1"/>
            </w14:solidFill>
          </w14:textFill>
        </w:rPr>
        <w:t>长120 cm、宽50 cm左右的长方形深穴2～4个，逐年轮换位置，第一年在植株相对方位挖穴1～2个，次年挖穴方位相对错开，分层埋入腐熟有机肥、绿肥、杂草，粗料在下，细料在上。</w:t>
      </w:r>
    </w:p>
    <w:p w14:paraId="0EB656AF">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6</w:t>
      </w:r>
      <w:r>
        <w:rPr>
          <w:rFonts w:hint="default" w:ascii="黑体" w:hAnsi="黑体" w:eastAsia="黑体" w:cs="黑体"/>
          <w:color w:val="000000" w:themeColor="text1"/>
          <w:lang w:val="en-US" w:eastAsia="zh-CN"/>
          <w14:textFill>
            <w14:solidFill>
              <w14:schemeClr w14:val="tx1"/>
            </w14:solidFill>
          </w14:textFill>
        </w:rPr>
        <w:t>.1</w:t>
      </w:r>
      <w:r>
        <w:rPr>
          <w:rFonts w:hint="eastAsia" w:ascii="黑体" w:hAnsi="黑体" w:eastAsia="黑体" w:cs="黑体"/>
          <w:color w:val="000000" w:themeColor="text1"/>
          <w:lang w:val="en-US" w:eastAsia="zh-CN"/>
          <w14:textFill>
            <w14:solidFill>
              <w14:schemeClr w14:val="tx1"/>
            </w14:solidFill>
          </w14:textFill>
        </w:rPr>
        <w:t>.2</w:t>
      </w:r>
      <w:r>
        <w:rPr>
          <w:rFonts w:hint="default" w:ascii="黑体" w:hAnsi="黑体" w:eastAsia="黑体" w:cs="黑体"/>
          <w:color w:val="000000" w:themeColor="text1"/>
          <w:lang w:val="en-US" w:eastAsia="zh-CN"/>
          <w14:textFill>
            <w14:solidFill>
              <w14:schemeClr w14:val="tx1"/>
            </w14:solidFill>
          </w14:textFill>
        </w:rPr>
        <w:t xml:space="preserve">  </w:t>
      </w:r>
      <w:r>
        <w:rPr>
          <w:rFonts w:hint="eastAsia" w:ascii="黑体" w:hAnsi="黑体" w:eastAsia="黑体" w:cs="黑体"/>
          <w:color w:val="000000" w:themeColor="text1"/>
          <w:lang w:val="en-US" w:eastAsia="zh-CN"/>
          <w14:textFill>
            <w14:solidFill>
              <w14:schemeClr w14:val="tx1"/>
            </w14:solidFill>
          </w14:textFill>
        </w:rPr>
        <w:t>行间套作和生草</w:t>
      </w:r>
    </w:p>
    <w:p w14:paraId="3BCAD0E0">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a) 幼龄果园：行间可种植豆科作物</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如花生、黄豆或绿肥紫云英、苕子</w:t>
      </w:r>
      <w:r>
        <w:rPr>
          <w:rFonts w:hint="eastAsia" w:ascii="宋体" w:hAnsi="宋体" w:cs="宋体"/>
          <w:color w:val="000000" w:themeColor="text1"/>
          <w:szCs w:val="21"/>
          <w:lang w:val="en-US" w:eastAsia="zh-CN"/>
          <w14:textFill>
            <w14:solidFill>
              <w14:schemeClr w14:val="tx1"/>
            </w14:solidFill>
          </w14:textFill>
        </w:rPr>
        <w:t>等</w:t>
      </w:r>
      <w:r>
        <w:rPr>
          <w:rFonts w:hint="eastAsia" w:ascii="宋体" w:hAnsi="宋体" w:eastAsia="宋体" w:cs="宋体"/>
          <w:color w:val="000000" w:themeColor="text1"/>
          <w:szCs w:val="21"/>
          <w:lang w:val="en-US" w:eastAsia="zh-CN"/>
          <w14:textFill>
            <w14:solidFill>
              <w14:schemeClr w14:val="tx1"/>
            </w14:solidFill>
          </w14:textFill>
        </w:rPr>
        <w:t xml:space="preserve">，翻压后增加土壤有机质。  </w:t>
      </w:r>
    </w:p>
    <w:p w14:paraId="4EB25272">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b) 成龄果园：保留浅根草种</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如</w:t>
      </w:r>
      <w:r>
        <w:rPr>
          <w:rFonts w:hint="eastAsia" w:ascii="宋体" w:hAnsi="宋体" w:cs="宋体"/>
          <w:color w:val="000000" w:themeColor="text1"/>
          <w:szCs w:val="21"/>
          <w:lang w:val="en-US" w:eastAsia="zh-CN"/>
          <w14:textFill>
            <w14:solidFill>
              <w14:schemeClr w14:val="tx1"/>
            </w14:solidFill>
          </w14:textFill>
        </w:rPr>
        <w:t>藿香</w:t>
      </w:r>
      <w:r>
        <w:rPr>
          <w:rFonts w:hint="eastAsia" w:ascii="宋体" w:hAnsi="宋体" w:eastAsia="宋体" w:cs="宋体"/>
          <w:color w:val="000000" w:themeColor="text1"/>
          <w:szCs w:val="21"/>
          <w:lang w:val="en-US" w:eastAsia="zh-CN"/>
          <w14:textFill>
            <w14:solidFill>
              <w14:schemeClr w14:val="tx1"/>
            </w14:solidFill>
          </w14:textFill>
        </w:rPr>
        <w:t>蓟</w:t>
      </w:r>
      <w:r>
        <w:rPr>
          <w:rFonts w:hint="eastAsia" w:ascii="宋体" w:hAnsi="宋体" w:cs="宋体"/>
          <w:color w:val="000000" w:themeColor="text1"/>
          <w:szCs w:val="21"/>
          <w:lang w:val="en-US" w:eastAsia="zh-CN"/>
          <w14:textFill>
            <w14:solidFill>
              <w14:schemeClr w14:val="tx1"/>
            </w14:solidFill>
          </w14:textFill>
        </w:rPr>
        <w:t>等</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适时</w:t>
      </w:r>
      <w:r>
        <w:rPr>
          <w:rFonts w:hint="eastAsia" w:ascii="宋体" w:hAnsi="宋体" w:eastAsia="宋体" w:cs="宋体"/>
          <w:color w:val="000000" w:themeColor="text1"/>
          <w:szCs w:val="21"/>
          <w:lang w:val="en-US" w:eastAsia="zh-CN"/>
          <w14:textFill>
            <w14:solidFill>
              <w14:schemeClr w14:val="tx1"/>
            </w14:solidFill>
          </w14:textFill>
        </w:rPr>
        <w:t>刈割覆盖树盘，减少水土流失。</w:t>
      </w:r>
    </w:p>
    <w:p w14:paraId="712EC80C">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6.1.3  中耕除草</w:t>
      </w:r>
    </w:p>
    <w:p w14:paraId="40BC1867">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末次秋梢老熟后进行，中耕深度</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c</w:t>
      </w:r>
      <w:r>
        <w:rPr>
          <w:rFonts w:hint="eastAsia" w:ascii="宋体" w:hAnsi="宋体" w:eastAsia="宋体" w:cs="宋体"/>
          <w:color w:val="000000" w:themeColor="text1"/>
          <w:szCs w:val="21"/>
          <w:lang w:val="en-US" w:eastAsia="zh-CN"/>
          <w14:textFill>
            <w14:solidFill>
              <w14:schemeClr w14:val="tx1"/>
            </w14:solidFill>
          </w14:textFill>
        </w:rPr>
        <w:t>m</w:t>
      </w:r>
      <w:r>
        <w:rPr>
          <w:rFonts w:hint="eastAsia" w:ascii="宋体" w:hAnsi="宋体" w:cs="宋体"/>
          <w:color w:val="000000" w:themeColor="text1"/>
          <w:szCs w:val="21"/>
          <w:lang w:val="en-US" w:eastAsia="zh-CN"/>
          <w14:textFill>
            <w14:solidFill>
              <w14:schemeClr w14:val="tx1"/>
            </w14:solidFill>
          </w14:textFill>
        </w:rPr>
        <w:t>。以树干为半径60 c</w:t>
      </w:r>
      <w:r>
        <w:rPr>
          <w:rFonts w:hint="eastAsia" w:ascii="宋体" w:hAnsi="宋体" w:cs="宋体"/>
          <w:color w:val="000000" w:themeColor="text1"/>
          <w:szCs w:val="21"/>
          <w:u w:val="dotted"/>
          <w:lang w:val="en-US" w:eastAsia="zh-CN"/>
          <w14:textFill>
            <w14:solidFill>
              <w14:schemeClr w14:val="tx1"/>
            </w14:solidFill>
          </w14:textFill>
        </w:rPr>
        <w:t>m</w:t>
      </w:r>
      <w:r>
        <w:rPr>
          <w:rFonts w:hint="eastAsia" w:ascii="宋体" w:hAnsi="宋体" w:cs="宋体"/>
          <w:color w:val="000000" w:themeColor="text1"/>
          <w:szCs w:val="21"/>
          <w:lang w:val="en-US" w:eastAsia="zh-CN"/>
          <w14:textFill>
            <w14:solidFill>
              <w14:schemeClr w14:val="tx1"/>
            </w14:solidFill>
          </w14:textFill>
        </w:rPr>
        <w:t>内不中耕，半径60 cm至树冠滴水线宜浅耕，滴水线以外宜深耕。</w:t>
      </w:r>
    </w:p>
    <w:p w14:paraId="3C89E9F6">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6.1.4 树盘覆盖</w:t>
      </w:r>
    </w:p>
    <w:p w14:paraId="7BF74342">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树盘覆盖稻草、甘蔗渣或</w:t>
      </w:r>
      <w:r>
        <w:rPr>
          <w:rFonts w:hint="eastAsia" w:ascii="宋体" w:hAnsi="宋体" w:cs="宋体"/>
          <w:color w:val="000000" w:themeColor="text1"/>
          <w:szCs w:val="21"/>
          <w:lang w:val="en-US" w:eastAsia="zh-CN"/>
          <w14:textFill>
            <w14:solidFill>
              <w14:schemeClr w14:val="tx1"/>
            </w14:solidFill>
          </w14:textFill>
        </w:rPr>
        <w:t>干草等，每年修剪的枝叶经粉碎成碎屑后覆盖树盘，覆盖</w:t>
      </w:r>
      <w:r>
        <w:rPr>
          <w:rFonts w:hint="eastAsia" w:ascii="宋体" w:hAnsi="宋体" w:eastAsia="宋体" w:cs="宋体"/>
          <w:color w:val="000000" w:themeColor="text1"/>
          <w:szCs w:val="21"/>
          <w:lang w:val="en-US" w:eastAsia="zh-CN"/>
          <w14:textFill>
            <w14:solidFill>
              <w14:schemeClr w14:val="tx1"/>
            </w14:solidFill>
          </w14:textFill>
        </w:rPr>
        <w:t>厚度</w:t>
      </w:r>
      <w:r>
        <w:rPr>
          <w:rFonts w:hint="eastAsia" w:ascii="宋体" w:hAnsi="宋体" w:cs="宋体"/>
          <w:color w:val="000000" w:themeColor="text1"/>
          <w:szCs w:val="21"/>
          <w:lang w:val="en-US" w:eastAsia="zh-CN"/>
          <w14:textFill>
            <w14:solidFill>
              <w14:schemeClr w14:val="tx1"/>
            </w14:solidFill>
          </w14:textFill>
        </w:rPr>
        <w:t>以10 cm</w:t>
      </w:r>
      <w:r>
        <w:rPr>
          <w:rFonts w:hint="eastAsia" w:ascii="宋体" w:hAnsi="宋体" w:eastAsia="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lang w:val="en-US" w:eastAsia="zh-CN"/>
          <w14:textFill>
            <w14:solidFill>
              <w14:schemeClr w14:val="tx1"/>
            </w14:solidFill>
          </w14:textFill>
        </w:rPr>
        <w:t xml:space="preserve"> c</w:t>
      </w:r>
      <w:r>
        <w:rPr>
          <w:rFonts w:hint="eastAsia" w:ascii="宋体" w:hAnsi="宋体" w:eastAsia="宋体" w:cs="宋体"/>
          <w:color w:val="000000" w:themeColor="text1"/>
          <w:szCs w:val="21"/>
          <w:lang w:val="en-US" w:eastAsia="zh-CN"/>
          <w14:textFill>
            <w14:solidFill>
              <w14:schemeClr w14:val="tx1"/>
            </w14:solidFill>
          </w14:textFill>
        </w:rPr>
        <w:t>m</w:t>
      </w:r>
      <w:r>
        <w:rPr>
          <w:rFonts w:hint="eastAsia" w:ascii="宋体" w:hAnsi="宋体" w:cs="宋体"/>
          <w:color w:val="000000" w:themeColor="text1"/>
          <w:szCs w:val="21"/>
          <w:lang w:val="en-US" w:eastAsia="zh-CN"/>
          <w14:textFill>
            <w14:solidFill>
              <w14:schemeClr w14:val="tx1"/>
            </w14:solidFill>
          </w14:textFill>
        </w:rPr>
        <w:t>为宜</w:t>
      </w:r>
      <w:r>
        <w:rPr>
          <w:rFonts w:hint="eastAsia" w:ascii="宋体" w:hAnsi="宋体" w:eastAsia="宋体" w:cs="宋体"/>
          <w:color w:val="000000" w:themeColor="text1"/>
          <w:szCs w:val="21"/>
          <w:lang w:val="en-US" w:eastAsia="zh-CN"/>
          <w14:textFill>
            <w14:solidFill>
              <w14:schemeClr w14:val="tx1"/>
            </w14:solidFill>
          </w14:textFill>
        </w:rPr>
        <w:t>。</w:t>
      </w:r>
    </w:p>
    <w:p w14:paraId="1B1D9FD0">
      <w:pPr>
        <w:pStyle w:val="15"/>
        <w:autoSpaceDE w:val="0"/>
        <w:autoSpaceDN w:val="0"/>
        <w:adjustRightInd w:val="0"/>
        <w:spacing w:before="156" w:beforeLines="50" w:after="156" w:afterLines="50"/>
        <w:ind w:firstLine="0" w:firstLineChars="0"/>
        <w:outlineLvl w:val="1"/>
        <w:rPr>
          <w:rFonts w:hint="default" w:ascii="黑体" w:hAnsi="黑体" w:eastAsia="黑体" w:cs="黑体"/>
          <w:color w:val="000000" w:themeColor="text1"/>
          <w:lang w:val="en-US" w:eastAsia="zh-CN"/>
          <w14:textFill>
            <w14:solidFill>
              <w14:schemeClr w14:val="tx1"/>
            </w14:solidFill>
          </w14:textFill>
        </w:rPr>
      </w:pPr>
      <w:bookmarkStart w:id="319" w:name="_Toc2039332321"/>
      <w:bookmarkStart w:id="320" w:name="_Toc387227798"/>
      <w:bookmarkStart w:id="321" w:name="_Toc1076"/>
      <w:bookmarkStart w:id="322" w:name="_Toc117918843"/>
      <w:bookmarkStart w:id="323" w:name="_Toc439991057"/>
      <w:bookmarkStart w:id="324" w:name="_Toc2001591162"/>
      <w:bookmarkStart w:id="325" w:name="_Toc1408027926"/>
      <w:bookmarkStart w:id="326" w:name="_Toc872793360"/>
      <w:bookmarkStart w:id="327" w:name="_Toc897590854"/>
      <w:bookmarkStart w:id="328" w:name="_Toc1739874924"/>
      <w:bookmarkStart w:id="329" w:name="_Toc1512138596"/>
      <w:bookmarkStart w:id="330" w:name="_Toc1296349298"/>
      <w:r>
        <w:rPr>
          <w:rFonts w:hint="eastAsia" w:ascii="黑体" w:hAnsi="黑体" w:eastAsia="黑体" w:cs="黑体"/>
          <w:color w:val="000000" w:themeColor="text1"/>
          <w:lang w:val="en-US" w:eastAsia="zh-CN"/>
          <w14:textFill>
            <w14:solidFill>
              <w14:schemeClr w14:val="tx1"/>
            </w14:solidFill>
          </w14:textFill>
        </w:rPr>
        <w:t>6</w:t>
      </w:r>
      <w:r>
        <w:rPr>
          <w:rFonts w:hint="default" w:ascii="黑体" w:hAnsi="黑体" w:eastAsia="黑体" w:cs="黑体"/>
          <w:color w:val="000000" w:themeColor="text1"/>
          <w:lang w:val="en-US" w:eastAsia="zh-CN"/>
          <w14:textFill>
            <w14:solidFill>
              <w14:schemeClr w14:val="tx1"/>
            </w14:solidFill>
          </w14:textFill>
        </w:rPr>
        <w:t>.2  施肥管理</w:t>
      </w:r>
      <w:bookmarkEnd w:id="319"/>
      <w:bookmarkEnd w:id="320"/>
      <w:bookmarkEnd w:id="321"/>
      <w:bookmarkEnd w:id="322"/>
      <w:bookmarkEnd w:id="323"/>
      <w:bookmarkEnd w:id="324"/>
      <w:bookmarkEnd w:id="325"/>
      <w:bookmarkEnd w:id="326"/>
      <w:bookmarkEnd w:id="327"/>
      <w:bookmarkEnd w:id="328"/>
      <w:bookmarkEnd w:id="329"/>
      <w:bookmarkEnd w:id="330"/>
    </w:p>
    <w:p w14:paraId="7A6C04D3">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6.2.1  施肥原则</w:t>
      </w:r>
    </w:p>
    <w:p w14:paraId="79052BF9">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采用平衡施肥原则。</w:t>
      </w:r>
      <w:r>
        <w:rPr>
          <w:rFonts w:hint="eastAsia" w:ascii="宋体" w:hAnsi="宋体" w:cs="宋体"/>
          <w:color w:val="000000" w:themeColor="text1"/>
          <w:szCs w:val="21"/>
          <w:lang w:val="en-US" w:eastAsia="zh-CN"/>
          <w14:textFill>
            <w14:solidFill>
              <w14:schemeClr w14:val="tx1"/>
            </w14:solidFill>
          </w14:textFill>
        </w:rPr>
        <w:t>根据果园土壤条件、树龄、树势和结果量等，结合营养诊断进行施肥，</w:t>
      </w:r>
      <w:r>
        <w:rPr>
          <w:rFonts w:hint="eastAsia" w:ascii="宋体" w:hAnsi="宋体" w:eastAsia="宋体" w:cs="宋体"/>
          <w:color w:val="000000" w:themeColor="text1"/>
          <w:sz w:val="21"/>
          <w:szCs w:val="21"/>
          <w:lang w:val="en-US" w:eastAsia="zh-CN"/>
          <w14:textFill>
            <w14:solidFill>
              <w14:schemeClr w14:val="tx1"/>
            </w14:solidFill>
          </w14:textFill>
        </w:rPr>
        <w:t>提倡以有机肥、微生物肥为主，化肥为辅，叶面肥为快速补充的配合方式施肥。</w:t>
      </w:r>
      <w:r>
        <w:rPr>
          <w:rFonts w:hint="eastAsia" w:ascii="宋体" w:hAnsi="宋体" w:cs="宋体"/>
          <w:color w:val="000000" w:themeColor="text1"/>
          <w:szCs w:val="21"/>
          <w:lang w:val="en-US" w:eastAsia="zh-CN"/>
          <w14:textFill>
            <w14:solidFill>
              <w14:schemeClr w14:val="tx1"/>
            </w14:solidFill>
          </w14:textFill>
        </w:rPr>
        <w:t>肥料使用</w:t>
      </w:r>
      <w:r>
        <w:rPr>
          <w:rFonts w:hint="eastAsia" w:ascii="宋体" w:hAnsi="宋体" w:eastAsia="宋体" w:cs="宋体"/>
          <w:color w:val="000000" w:themeColor="text1"/>
          <w:szCs w:val="21"/>
          <w:lang w:val="en-US" w:eastAsia="zh-CN"/>
          <w14:textFill>
            <w14:solidFill>
              <w14:schemeClr w14:val="tx1"/>
            </w14:solidFill>
          </w14:textFill>
        </w:rPr>
        <w:t>应符合NY/T 394的规定。</w:t>
      </w:r>
    </w:p>
    <w:p w14:paraId="1C46F0D9">
      <w:pPr>
        <w:pStyle w:val="15"/>
        <w:autoSpaceDE w:val="0"/>
        <w:autoSpaceDN w:val="0"/>
        <w:adjustRightInd w:val="0"/>
        <w:spacing w:before="156" w:beforeLines="50" w:after="156" w:afterLines="50"/>
        <w:ind w:left="0" w:leftChars="0"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6.2.2  幼树期施肥</w:t>
      </w:r>
    </w:p>
    <w:p w14:paraId="2896EDA4">
      <w:pPr>
        <w:pStyle w:val="15"/>
        <w:autoSpaceDE w:val="0"/>
        <w:autoSpaceDN w:val="0"/>
        <w:adjustRightInd w:val="0"/>
        <w:spacing w:before="156" w:beforeLines="50" w:after="156" w:afterLines="50"/>
        <w:ind w:firstLine="420" w:firstLineChars="200"/>
        <w:outlineLvl w:val="1"/>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定植一个月后开始施肥，</w:t>
      </w:r>
      <w:r>
        <w:rPr>
          <w:rFonts w:hint="eastAsia" w:ascii="宋体" w:hAnsi="宋体" w:cs="宋体"/>
          <w:color w:val="000000" w:themeColor="text1"/>
          <w:sz w:val="21"/>
          <w:szCs w:val="21"/>
          <w:lang w:val="en-US" w:eastAsia="zh-CN"/>
          <w14:textFill>
            <w14:solidFill>
              <w14:schemeClr w14:val="tx1"/>
            </w14:solidFill>
          </w14:textFill>
        </w:rPr>
        <w:t>一般分4</w:t>
      </w:r>
      <w:r>
        <w:rPr>
          <w:rFonts w:hint="eastAsia" w:ascii="宋体" w:hAnsi="宋体" w:eastAsia="宋体" w:cs="宋体"/>
          <w:sz w:val="21"/>
          <w:szCs w:val="21"/>
          <w:lang w:val="en-US" w:eastAsia="zh-CN"/>
        </w:rPr>
        <w:t>～</w:t>
      </w:r>
      <w:r>
        <w:rPr>
          <w:rFonts w:hint="eastAsia" w:ascii="宋体" w:hAnsi="宋体" w:cs="宋体"/>
          <w:color w:val="000000" w:themeColor="text1"/>
          <w:sz w:val="21"/>
          <w:szCs w:val="21"/>
          <w:lang w:val="en-US" w:eastAsia="zh-CN"/>
          <w14:textFill>
            <w14:solidFill>
              <w14:schemeClr w14:val="tx1"/>
            </w14:solidFill>
          </w14:textFill>
        </w:rPr>
        <w:t>6次进行，“一梢两肥”，即芽眼萌动时第一次施肥，新梢叶片展开转绿时施第二次肥。</w:t>
      </w:r>
      <w:r>
        <w:rPr>
          <w:rFonts w:hint="eastAsia" w:ascii="宋体" w:hAnsi="宋体" w:eastAsia="宋体" w:cs="宋体"/>
          <w:color w:val="000000" w:themeColor="text1"/>
          <w:sz w:val="21"/>
          <w:szCs w:val="21"/>
          <w:lang w:val="en-US" w:eastAsia="zh-CN"/>
          <w14:textFill>
            <w14:solidFill>
              <w14:schemeClr w14:val="tx1"/>
            </w14:solidFill>
          </w14:textFill>
        </w:rPr>
        <w:t>第一年开浅沟株施45</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%复合肥1 kg，第二年起比上年增加50</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%～100</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%用量。每年在根际株施有机肥30 kg，生石灰2 kg。</w:t>
      </w:r>
    </w:p>
    <w:p w14:paraId="6F4EB23F">
      <w:pPr>
        <w:pStyle w:val="15"/>
        <w:autoSpaceDE w:val="0"/>
        <w:autoSpaceDN w:val="0"/>
        <w:adjustRightInd w:val="0"/>
        <w:spacing w:before="156" w:beforeLines="50" w:after="156" w:afterLines="50"/>
        <w:ind w:left="0" w:leftChars="0"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6.2.3  结果期施肥</w:t>
      </w:r>
    </w:p>
    <w:p w14:paraId="6C962412">
      <w:pPr>
        <w:ind w:firstLine="420" w:firstLineChars="200"/>
        <w:rPr>
          <w:rFonts w:hint="eastAsia" w:ascii="宋体" w:hAnsi="宋体" w:eastAsia="宋体" w:cs="宋体"/>
          <w:sz w:val="21"/>
          <w:szCs w:val="21"/>
          <w:lang w:val="en-US" w:eastAsia="zh-CN"/>
        </w:rPr>
      </w:pPr>
      <w:bookmarkStart w:id="331" w:name="_Toc234905839"/>
      <w:bookmarkStart w:id="332" w:name="_Toc73935346"/>
      <w:r>
        <w:rPr>
          <w:rFonts w:hint="eastAsia" w:ascii="宋体" w:hAnsi="宋体" w:cs="宋体"/>
          <w:sz w:val="21"/>
          <w:szCs w:val="21"/>
          <w:lang w:val="en-US" w:eastAsia="zh-CN"/>
        </w:rPr>
        <w:t>结果树全年施肥分促花肥、幼果肥、壮果肥和促梢肥四个主要阶段，</w:t>
      </w:r>
      <w:r>
        <w:rPr>
          <w:rFonts w:hint="eastAsia" w:ascii="宋体" w:hAnsi="宋体" w:eastAsia="宋体" w:cs="宋体"/>
          <w:sz w:val="21"/>
          <w:szCs w:val="21"/>
          <w:lang w:val="en-US" w:eastAsia="zh-CN"/>
        </w:rPr>
        <w:t>根据果园土壤肥力状况、果树生产能力和不同发育阶段</w:t>
      </w:r>
      <w:r>
        <w:rPr>
          <w:rFonts w:hint="eastAsia" w:ascii="宋体" w:hAnsi="宋体" w:cs="宋体"/>
          <w:sz w:val="21"/>
          <w:szCs w:val="21"/>
          <w:lang w:val="en-US" w:eastAsia="zh-CN"/>
        </w:rPr>
        <w:t>确定施肥种类和施用量</w:t>
      </w:r>
      <w:r>
        <w:rPr>
          <w:rFonts w:hint="eastAsia" w:ascii="宋体" w:hAnsi="宋体" w:eastAsia="宋体" w:cs="宋体"/>
          <w:sz w:val="21"/>
          <w:szCs w:val="21"/>
          <w:lang w:val="en-US" w:eastAsia="zh-CN"/>
        </w:rPr>
        <w:t>。年施肥量以每生产50kg鲜果计算</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全年施肥时期和施肥量参考表1。</w:t>
      </w:r>
    </w:p>
    <w:p w14:paraId="45A5CDFE">
      <w:pPr>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表1 储良龙眼结果树施肥量</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1590"/>
        <w:gridCol w:w="1594"/>
        <w:gridCol w:w="1594"/>
        <w:gridCol w:w="1594"/>
        <w:gridCol w:w="1605"/>
      </w:tblGrid>
      <w:tr w14:paraId="0EFE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vMerge w:val="restart"/>
            <w:noWrap w:val="0"/>
            <w:vAlign w:val="center"/>
          </w:tcPr>
          <w:p w14:paraId="603427B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施肥时期</w:t>
            </w:r>
          </w:p>
        </w:tc>
        <w:tc>
          <w:tcPr>
            <w:tcW w:w="4168" w:type="pct"/>
            <w:gridSpan w:val="5"/>
            <w:noWrap w:val="0"/>
            <w:vAlign w:val="top"/>
          </w:tcPr>
          <w:p w14:paraId="6C9FCB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生产50</w:t>
            </w:r>
            <w:r>
              <w:rPr>
                <w:rFonts w:hint="eastAsia" w:ascii="宋体" w:hAnsi="宋体" w:cs="宋体"/>
                <w:color w:val="auto"/>
                <w:sz w:val="21"/>
                <w:szCs w:val="21"/>
                <w:vertAlign w:val="baseline"/>
                <w:lang w:val="en-US" w:eastAsia="zh-CN"/>
              </w:rPr>
              <w:t xml:space="preserve"> </w:t>
            </w:r>
            <w:r>
              <w:rPr>
                <w:rFonts w:hint="eastAsia" w:ascii="宋体" w:hAnsi="宋体" w:eastAsia="宋体" w:cs="宋体"/>
                <w:color w:val="auto"/>
                <w:sz w:val="21"/>
                <w:szCs w:val="21"/>
                <w:vertAlign w:val="baseline"/>
                <w:lang w:val="en-US" w:eastAsia="zh-CN"/>
              </w:rPr>
              <w:t>kg果实的肥料使用量（kg）</w:t>
            </w:r>
          </w:p>
        </w:tc>
      </w:tr>
      <w:tr w14:paraId="461A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vMerge w:val="continue"/>
            <w:noWrap w:val="0"/>
            <w:vAlign w:val="top"/>
          </w:tcPr>
          <w:p w14:paraId="08D1E267">
            <w:pPr>
              <w:keepNext w:val="0"/>
              <w:keepLines w:val="0"/>
              <w:suppressLineNumbers w:val="0"/>
              <w:spacing w:before="0" w:beforeAutospacing="0" w:after="0" w:afterAutospacing="0"/>
              <w:ind w:left="0" w:right="0"/>
              <w:rPr>
                <w:rFonts w:hint="eastAsia" w:ascii="宋体" w:hAnsi="宋体" w:eastAsia="宋体" w:cs="宋体"/>
                <w:color w:val="auto"/>
                <w:sz w:val="21"/>
                <w:szCs w:val="21"/>
                <w:vertAlign w:val="baseline"/>
                <w:lang w:val="en-US" w:eastAsia="zh-CN"/>
              </w:rPr>
            </w:pPr>
          </w:p>
        </w:tc>
        <w:tc>
          <w:tcPr>
            <w:tcW w:w="831" w:type="pct"/>
            <w:noWrap w:val="0"/>
            <w:vAlign w:val="top"/>
          </w:tcPr>
          <w:p w14:paraId="2C96732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花生麸</w:t>
            </w:r>
          </w:p>
        </w:tc>
        <w:tc>
          <w:tcPr>
            <w:tcW w:w="833" w:type="pct"/>
            <w:noWrap w:val="0"/>
            <w:vAlign w:val="top"/>
          </w:tcPr>
          <w:p w14:paraId="5F0F1F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尿素</w:t>
            </w:r>
          </w:p>
        </w:tc>
        <w:tc>
          <w:tcPr>
            <w:tcW w:w="833" w:type="pct"/>
            <w:noWrap w:val="0"/>
            <w:vAlign w:val="top"/>
          </w:tcPr>
          <w:p w14:paraId="44B71F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氯化钾</w:t>
            </w:r>
          </w:p>
        </w:tc>
        <w:tc>
          <w:tcPr>
            <w:tcW w:w="833" w:type="pct"/>
            <w:noWrap w:val="0"/>
            <w:vAlign w:val="top"/>
          </w:tcPr>
          <w:p w14:paraId="1D34627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复合肥</w:t>
            </w:r>
          </w:p>
        </w:tc>
        <w:tc>
          <w:tcPr>
            <w:tcW w:w="836" w:type="pct"/>
            <w:noWrap w:val="0"/>
            <w:vAlign w:val="top"/>
          </w:tcPr>
          <w:p w14:paraId="486D680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生石灰</w:t>
            </w:r>
          </w:p>
        </w:tc>
      </w:tr>
      <w:tr w14:paraId="0EB1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noWrap w:val="0"/>
            <w:vAlign w:val="top"/>
          </w:tcPr>
          <w:p w14:paraId="3E9D167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促花肥</w:t>
            </w:r>
          </w:p>
        </w:tc>
        <w:tc>
          <w:tcPr>
            <w:tcW w:w="831" w:type="pct"/>
            <w:noWrap w:val="0"/>
            <w:vAlign w:val="top"/>
          </w:tcPr>
          <w:p w14:paraId="4D3FBD1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r>
              <w:rPr>
                <w:rFonts w:hint="eastAsia" w:ascii="宋体" w:hAnsi="宋体" w:eastAsia="宋体" w:cs="宋体"/>
                <w:sz w:val="21"/>
                <w:szCs w:val="21"/>
                <w:lang w:val="en-US" w:eastAsia="zh-CN"/>
              </w:rPr>
              <w:t>～</w:t>
            </w:r>
            <w:r>
              <w:rPr>
                <w:rFonts w:hint="eastAsia" w:ascii="宋体" w:hAnsi="宋体" w:eastAsia="宋体" w:cs="宋体"/>
                <w:color w:val="auto"/>
                <w:sz w:val="21"/>
                <w:szCs w:val="21"/>
                <w:vertAlign w:val="baseline"/>
                <w:lang w:val="en-US" w:eastAsia="zh-CN"/>
              </w:rPr>
              <w:t>5</w:t>
            </w:r>
          </w:p>
        </w:tc>
        <w:tc>
          <w:tcPr>
            <w:tcW w:w="833" w:type="pct"/>
            <w:noWrap w:val="0"/>
            <w:vAlign w:val="top"/>
          </w:tcPr>
          <w:p w14:paraId="69E2130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0.5</w:t>
            </w:r>
            <w:r>
              <w:rPr>
                <w:rFonts w:hint="eastAsia" w:ascii="宋体" w:hAnsi="宋体" w:eastAsia="宋体" w:cs="宋体"/>
                <w:sz w:val="21"/>
                <w:szCs w:val="21"/>
                <w:lang w:val="en-US" w:eastAsia="zh-CN"/>
              </w:rPr>
              <w:t>～</w:t>
            </w:r>
            <w:r>
              <w:rPr>
                <w:rFonts w:hint="eastAsia" w:ascii="宋体" w:hAnsi="宋体" w:eastAsia="宋体" w:cs="宋体"/>
                <w:color w:val="auto"/>
                <w:sz w:val="21"/>
                <w:szCs w:val="21"/>
                <w:vertAlign w:val="baseline"/>
                <w:lang w:val="en-US" w:eastAsia="zh-CN"/>
              </w:rPr>
              <w:t>0.8</w:t>
            </w:r>
          </w:p>
        </w:tc>
        <w:tc>
          <w:tcPr>
            <w:tcW w:w="833" w:type="pct"/>
            <w:noWrap w:val="0"/>
            <w:vAlign w:val="top"/>
          </w:tcPr>
          <w:p w14:paraId="4DE9E5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0.2</w:t>
            </w:r>
            <w:r>
              <w:rPr>
                <w:rFonts w:hint="eastAsia" w:ascii="宋体" w:hAnsi="宋体" w:eastAsia="宋体" w:cs="宋体"/>
                <w:sz w:val="21"/>
                <w:szCs w:val="21"/>
                <w:lang w:val="en-US" w:eastAsia="zh-CN"/>
              </w:rPr>
              <w:t>～</w:t>
            </w:r>
            <w:r>
              <w:rPr>
                <w:rFonts w:hint="eastAsia" w:ascii="宋体" w:hAnsi="宋体" w:eastAsia="宋体" w:cs="宋体"/>
                <w:color w:val="auto"/>
                <w:sz w:val="21"/>
                <w:szCs w:val="21"/>
                <w:vertAlign w:val="baseline"/>
                <w:lang w:val="en-US" w:eastAsia="zh-CN"/>
              </w:rPr>
              <w:t>0.3</w:t>
            </w:r>
          </w:p>
        </w:tc>
        <w:tc>
          <w:tcPr>
            <w:tcW w:w="833" w:type="pct"/>
            <w:noWrap w:val="0"/>
            <w:vAlign w:val="top"/>
          </w:tcPr>
          <w:p w14:paraId="7BE8349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0.5</w:t>
            </w:r>
          </w:p>
        </w:tc>
        <w:tc>
          <w:tcPr>
            <w:tcW w:w="836" w:type="pct"/>
            <w:noWrap w:val="0"/>
            <w:vAlign w:val="top"/>
          </w:tcPr>
          <w:p w14:paraId="35DC99C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w:t>
            </w:r>
            <w:r>
              <w:rPr>
                <w:rFonts w:hint="eastAsia" w:ascii="宋体" w:hAnsi="宋体" w:eastAsia="宋体" w:cs="宋体"/>
                <w:sz w:val="21"/>
                <w:szCs w:val="21"/>
                <w:lang w:val="en-US" w:eastAsia="zh-CN"/>
              </w:rPr>
              <w:t>～</w:t>
            </w:r>
            <w:r>
              <w:rPr>
                <w:rFonts w:hint="eastAsia" w:ascii="宋体" w:hAnsi="宋体" w:eastAsia="宋体" w:cs="宋体"/>
                <w:color w:val="auto"/>
                <w:sz w:val="21"/>
                <w:szCs w:val="21"/>
                <w:vertAlign w:val="baseline"/>
                <w:lang w:val="en-US" w:eastAsia="zh-CN"/>
              </w:rPr>
              <w:t>2.5</w:t>
            </w:r>
          </w:p>
        </w:tc>
      </w:tr>
      <w:tr w14:paraId="5863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noWrap w:val="0"/>
            <w:vAlign w:val="top"/>
          </w:tcPr>
          <w:p w14:paraId="603DD93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幼果肥</w:t>
            </w:r>
          </w:p>
        </w:tc>
        <w:tc>
          <w:tcPr>
            <w:tcW w:w="831" w:type="pct"/>
            <w:noWrap w:val="0"/>
            <w:vAlign w:val="top"/>
          </w:tcPr>
          <w:p w14:paraId="4258EF7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833" w:type="pct"/>
            <w:noWrap w:val="0"/>
            <w:vAlign w:val="top"/>
          </w:tcPr>
          <w:p w14:paraId="3205489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0.3</w:t>
            </w:r>
            <w:r>
              <w:rPr>
                <w:rFonts w:hint="eastAsia" w:ascii="宋体" w:hAnsi="宋体" w:eastAsia="宋体" w:cs="宋体"/>
                <w:sz w:val="21"/>
                <w:szCs w:val="21"/>
                <w:lang w:val="en-US" w:eastAsia="zh-CN"/>
              </w:rPr>
              <w:t>～</w:t>
            </w:r>
            <w:r>
              <w:rPr>
                <w:rFonts w:hint="eastAsia" w:ascii="宋体" w:hAnsi="宋体" w:eastAsia="宋体" w:cs="宋体"/>
                <w:color w:val="auto"/>
                <w:sz w:val="21"/>
                <w:szCs w:val="21"/>
                <w:vertAlign w:val="baseline"/>
                <w:lang w:val="en-US" w:eastAsia="zh-CN"/>
              </w:rPr>
              <w:t>0.5</w:t>
            </w:r>
          </w:p>
        </w:tc>
        <w:tc>
          <w:tcPr>
            <w:tcW w:w="833" w:type="pct"/>
            <w:noWrap w:val="0"/>
            <w:vAlign w:val="top"/>
          </w:tcPr>
          <w:p w14:paraId="771CD1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0.6</w:t>
            </w:r>
            <w:r>
              <w:rPr>
                <w:rFonts w:hint="eastAsia" w:ascii="宋体" w:hAnsi="宋体" w:eastAsia="宋体" w:cs="宋体"/>
                <w:sz w:val="21"/>
                <w:szCs w:val="21"/>
                <w:lang w:val="en-US" w:eastAsia="zh-CN"/>
              </w:rPr>
              <w:t>～</w:t>
            </w:r>
            <w:r>
              <w:rPr>
                <w:rFonts w:hint="eastAsia" w:ascii="宋体" w:hAnsi="宋体" w:eastAsia="宋体" w:cs="宋体"/>
                <w:color w:val="auto"/>
                <w:sz w:val="21"/>
                <w:szCs w:val="21"/>
                <w:vertAlign w:val="baseline"/>
                <w:lang w:val="en-US" w:eastAsia="zh-CN"/>
              </w:rPr>
              <w:t>0.8</w:t>
            </w:r>
          </w:p>
        </w:tc>
        <w:tc>
          <w:tcPr>
            <w:tcW w:w="833" w:type="pct"/>
            <w:noWrap w:val="0"/>
            <w:vAlign w:val="top"/>
          </w:tcPr>
          <w:p w14:paraId="5A831B5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0.6</w:t>
            </w:r>
          </w:p>
        </w:tc>
        <w:tc>
          <w:tcPr>
            <w:tcW w:w="836" w:type="pct"/>
            <w:noWrap w:val="0"/>
            <w:vAlign w:val="top"/>
          </w:tcPr>
          <w:p w14:paraId="0F4C1C0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r>
      <w:tr w14:paraId="542F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noWrap w:val="0"/>
            <w:vAlign w:val="top"/>
          </w:tcPr>
          <w:p w14:paraId="2A864E9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壮果肥</w:t>
            </w:r>
          </w:p>
        </w:tc>
        <w:tc>
          <w:tcPr>
            <w:tcW w:w="831" w:type="pct"/>
            <w:noWrap w:val="0"/>
            <w:vAlign w:val="top"/>
          </w:tcPr>
          <w:p w14:paraId="0F3290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833" w:type="pct"/>
            <w:noWrap w:val="0"/>
            <w:vAlign w:val="top"/>
          </w:tcPr>
          <w:p w14:paraId="2FF557A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0.3</w:t>
            </w:r>
            <w:r>
              <w:rPr>
                <w:rFonts w:hint="eastAsia" w:ascii="宋体" w:hAnsi="宋体" w:eastAsia="宋体" w:cs="宋体"/>
                <w:sz w:val="21"/>
                <w:szCs w:val="21"/>
                <w:lang w:val="en-US" w:eastAsia="zh-CN"/>
              </w:rPr>
              <w:t>～</w:t>
            </w:r>
            <w:r>
              <w:rPr>
                <w:rFonts w:hint="eastAsia" w:ascii="宋体" w:hAnsi="宋体" w:eastAsia="宋体" w:cs="宋体"/>
                <w:color w:val="auto"/>
                <w:sz w:val="21"/>
                <w:szCs w:val="21"/>
                <w:vertAlign w:val="baseline"/>
                <w:lang w:val="en-US" w:eastAsia="zh-CN"/>
              </w:rPr>
              <w:t>0.5</w:t>
            </w:r>
          </w:p>
        </w:tc>
        <w:tc>
          <w:tcPr>
            <w:tcW w:w="833" w:type="pct"/>
            <w:noWrap w:val="0"/>
            <w:vAlign w:val="top"/>
          </w:tcPr>
          <w:p w14:paraId="7364A73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0.6</w:t>
            </w:r>
            <w:r>
              <w:rPr>
                <w:rFonts w:hint="eastAsia" w:ascii="宋体" w:hAnsi="宋体" w:eastAsia="宋体" w:cs="宋体"/>
                <w:sz w:val="21"/>
                <w:szCs w:val="21"/>
                <w:lang w:val="en-US" w:eastAsia="zh-CN"/>
              </w:rPr>
              <w:t>～</w:t>
            </w:r>
            <w:r>
              <w:rPr>
                <w:rFonts w:hint="eastAsia" w:ascii="宋体" w:hAnsi="宋体" w:eastAsia="宋体" w:cs="宋体"/>
                <w:color w:val="auto"/>
                <w:sz w:val="21"/>
                <w:szCs w:val="21"/>
                <w:vertAlign w:val="baseline"/>
                <w:lang w:val="en-US" w:eastAsia="zh-CN"/>
              </w:rPr>
              <w:t>0.8</w:t>
            </w:r>
          </w:p>
        </w:tc>
        <w:tc>
          <w:tcPr>
            <w:tcW w:w="833" w:type="pct"/>
            <w:noWrap w:val="0"/>
            <w:vAlign w:val="top"/>
          </w:tcPr>
          <w:p w14:paraId="131BC36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0.6</w:t>
            </w:r>
          </w:p>
        </w:tc>
        <w:tc>
          <w:tcPr>
            <w:tcW w:w="836" w:type="pct"/>
            <w:noWrap w:val="0"/>
            <w:vAlign w:val="top"/>
          </w:tcPr>
          <w:p w14:paraId="70CA477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r>
      <w:tr w14:paraId="0FE6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noWrap w:val="0"/>
            <w:vAlign w:val="top"/>
          </w:tcPr>
          <w:p w14:paraId="289859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促梢肥</w:t>
            </w:r>
          </w:p>
        </w:tc>
        <w:tc>
          <w:tcPr>
            <w:tcW w:w="831" w:type="pct"/>
            <w:noWrap w:val="0"/>
            <w:vAlign w:val="top"/>
          </w:tcPr>
          <w:p w14:paraId="7D7ED47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833" w:type="pct"/>
            <w:noWrap w:val="0"/>
            <w:vAlign w:val="top"/>
          </w:tcPr>
          <w:p w14:paraId="2181E6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0.9</w:t>
            </w:r>
            <w:r>
              <w:rPr>
                <w:rFonts w:hint="eastAsia" w:ascii="宋体" w:hAnsi="宋体" w:eastAsia="宋体" w:cs="宋体"/>
                <w:sz w:val="21"/>
                <w:szCs w:val="21"/>
                <w:lang w:val="en-US" w:eastAsia="zh-CN"/>
              </w:rPr>
              <w:t>～</w:t>
            </w:r>
            <w:r>
              <w:rPr>
                <w:rFonts w:hint="eastAsia" w:ascii="宋体" w:hAnsi="宋体" w:eastAsia="宋体" w:cs="宋体"/>
                <w:color w:val="auto"/>
                <w:sz w:val="21"/>
                <w:szCs w:val="21"/>
                <w:vertAlign w:val="baseline"/>
                <w:lang w:val="en-US" w:eastAsia="zh-CN"/>
              </w:rPr>
              <w:t>1.1</w:t>
            </w:r>
          </w:p>
        </w:tc>
        <w:tc>
          <w:tcPr>
            <w:tcW w:w="833" w:type="pct"/>
            <w:noWrap w:val="0"/>
            <w:vAlign w:val="top"/>
          </w:tcPr>
          <w:p w14:paraId="06B3C41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0.2</w:t>
            </w:r>
            <w:r>
              <w:rPr>
                <w:rFonts w:hint="eastAsia" w:ascii="宋体" w:hAnsi="宋体" w:eastAsia="宋体" w:cs="宋体"/>
                <w:sz w:val="21"/>
                <w:szCs w:val="21"/>
                <w:lang w:val="en-US" w:eastAsia="zh-CN"/>
              </w:rPr>
              <w:t>～</w:t>
            </w:r>
            <w:r>
              <w:rPr>
                <w:rFonts w:hint="eastAsia" w:ascii="宋体" w:hAnsi="宋体" w:eastAsia="宋体" w:cs="宋体"/>
                <w:color w:val="auto"/>
                <w:sz w:val="21"/>
                <w:szCs w:val="21"/>
                <w:vertAlign w:val="baseline"/>
                <w:lang w:val="en-US" w:eastAsia="zh-CN"/>
              </w:rPr>
              <w:t>0.4</w:t>
            </w:r>
          </w:p>
        </w:tc>
        <w:tc>
          <w:tcPr>
            <w:tcW w:w="833" w:type="pct"/>
            <w:noWrap w:val="0"/>
            <w:vAlign w:val="top"/>
          </w:tcPr>
          <w:p w14:paraId="03A8D70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0.4</w:t>
            </w:r>
          </w:p>
        </w:tc>
        <w:tc>
          <w:tcPr>
            <w:tcW w:w="836" w:type="pct"/>
            <w:noWrap w:val="0"/>
            <w:vAlign w:val="top"/>
          </w:tcPr>
          <w:p w14:paraId="756FF04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r>
      <w:tr w14:paraId="72D0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noWrap w:val="0"/>
            <w:vAlign w:val="top"/>
          </w:tcPr>
          <w:p w14:paraId="651625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全年</w:t>
            </w:r>
          </w:p>
        </w:tc>
        <w:tc>
          <w:tcPr>
            <w:tcW w:w="831" w:type="pct"/>
            <w:noWrap w:val="0"/>
            <w:vAlign w:val="top"/>
          </w:tcPr>
          <w:p w14:paraId="4F6C756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r>
              <w:rPr>
                <w:rFonts w:hint="eastAsia" w:ascii="宋体" w:hAnsi="宋体" w:eastAsia="宋体" w:cs="宋体"/>
                <w:sz w:val="21"/>
                <w:szCs w:val="21"/>
                <w:lang w:val="en-US" w:eastAsia="zh-CN"/>
              </w:rPr>
              <w:t>～</w:t>
            </w:r>
            <w:r>
              <w:rPr>
                <w:rFonts w:hint="eastAsia" w:ascii="宋体" w:hAnsi="宋体" w:eastAsia="宋体" w:cs="宋体"/>
                <w:color w:val="auto"/>
                <w:sz w:val="21"/>
                <w:szCs w:val="21"/>
                <w:vertAlign w:val="baseline"/>
                <w:lang w:val="en-US" w:eastAsia="zh-CN"/>
              </w:rPr>
              <w:t>5</w:t>
            </w:r>
          </w:p>
        </w:tc>
        <w:tc>
          <w:tcPr>
            <w:tcW w:w="833" w:type="pct"/>
            <w:noWrap w:val="0"/>
            <w:vAlign w:val="top"/>
          </w:tcPr>
          <w:p w14:paraId="5AC3C6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w:t>
            </w:r>
            <w:r>
              <w:rPr>
                <w:rFonts w:hint="eastAsia" w:ascii="宋体" w:hAnsi="宋体" w:eastAsia="宋体" w:cs="宋体"/>
                <w:sz w:val="21"/>
                <w:szCs w:val="21"/>
                <w:lang w:val="en-US" w:eastAsia="zh-CN"/>
              </w:rPr>
              <w:t>～</w:t>
            </w:r>
            <w:r>
              <w:rPr>
                <w:rFonts w:hint="eastAsia" w:ascii="宋体" w:hAnsi="宋体" w:eastAsia="宋体" w:cs="宋体"/>
                <w:color w:val="auto"/>
                <w:sz w:val="21"/>
                <w:szCs w:val="21"/>
                <w:vertAlign w:val="baseline"/>
                <w:lang w:val="en-US" w:eastAsia="zh-CN"/>
              </w:rPr>
              <w:t>2.9</w:t>
            </w:r>
          </w:p>
        </w:tc>
        <w:tc>
          <w:tcPr>
            <w:tcW w:w="833" w:type="pct"/>
            <w:noWrap w:val="0"/>
            <w:vAlign w:val="top"/>
          </w:tcPr>
          <w:p w14:paraId="0BD0860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w:t>
            </w:r>
            <w:r>
              <w:rPr>
                <w:rFonts w:hint="eastAsia" w:ascii="宋体" w:hAnsi="宋体" w:eastAsia="宋体" w:cs="宋体"/>
                <w:sz w:val="21"/>
                <w:szCs w:val="21"/>
                <w:lang w:val="en-US" w:eastAsia="zh-CN"/>
              </w:rPr>
              <w:t>～</w:t>
            </w:r>
            <w:r>
              <w:rPr>
                <w:rFonts w:hint="eastAsia" w:ascii="宋体" w:hAnsi="宋体" w:eastAsia="宋体" w:cs="宋体"/>
                <w:color w:val="auto"/>
                <w:sz w:val="21"/>
                <w:szCs w:val="21"/>
                <w:vertAlign w:val="baseline"/>
                <w:lang w:val="en-US" w:eastAsia="zh-CN"/>
              </w:rPr>
              <w:t>2.3</w:t>
            </w:r>
          </w:p>
        </w:tc>
        <w:tc>
          <w:tcPr>
            <w:tcW w:w="833" w:type="pct"/>
            <w:noWrap w:val="0"/>
            <w:vAlign w:val="top"/>
          </w:tcPr>
          <w:p w14:paraId="6729A35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2.1</w:t>
            </w:r>
          </w:p>
        </w:tc>
        <w:tc>
          <w:tcPr>
            <w:tcW w:w="836" w:type="pct"/>
            <w:noWrap w:val="0"/>
            <w:vAlign w:val="top"/>
          </w:tcPr>
          <w:p w14:paraId="3CF3605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w:t>
            </w:r>
            <w:r>
              <w:rPr>
                <w:rFonts w:hint="eastAsia" w:ascii="宋体" w:hAnsi="宋体" w:eastAsia="宋体" w:cs="宋体"/>
                <w:sz w:val="21"/>
                <w:szCs w:val="21"/>
                <w:lang w:val="en-US" w:eastAsia="zh-CN"/>
              </w:rPr>
              <w:t>～</w:t>
            </w:r>
            <w:r>
              <w:rPr>
                <w:rFonts w:hint="eastAsia" w:ascii="宋体" w:hAnsi="宋体" w:eastAsia="宋体" w:cs="宋体"/>
                <w:color w:val="auto"/>
                <w:sz w:val="21"/>
                <w:szCs w:val="21"/>
                <w:vertAlign w:val="baseline"/>
                <w:lang w:val="en-US" w:eastAsia="zh-CN"/>
              </w:rPr>
              <w:t>2.5</w:t>
            </w:r>
          </w:p>
        </w:tc>
      </w:tr>
    </w:tbl>
    <w:p w14:paraId="2C970599">
      <w:pPr>
        <w:ind w:firstLine="0" w:firstLineChars="0"/>
        <w:jc w:val="center"/>
        <w:rPr>
          <w:rFonts w:hint="eastAsia" w:ascii="宋体" w:hAnsi="宋体" w:eastAsia="宋体" w:cs="宋体"/>
          <w:color w:val="auto"/>
          <w:sz w:val="21"/>
          <w:szCs w:val="21"/>
          <w:lang w:val="en-US" w:eastAsia="zh-CN"/>
        </w:rPr>
      </w:pPr>
    </w:p>
    <w:bookmarkEnd w:id="331"/>
    <w:bookmarkEnd w:id="332"/>
    <w:p w14:paraId="61BFAAEE">
      <w:pPr>
        <w:pStyle w:val="15"/>
        <w:autoSpaceDE w:val="0"/>
        <w:autoSpaceDN w:val="0"/>
        <w:adjustRightInd w:val="0"/>
        <w:spacing w:before="156" w:beforeLines="50" w:after="156" w:afterLines="50"/>
        <w:ind w:left="0" w:leftChars="0" w:firstLine="0" w:firstLineChars="0"/>
        <w:outlineLvl w:val="2"/>
        <w:rPr>
          <w:rFonts w:hint="eastAsia" w:ascii="黑体" w:hAnsi="黑体" w:eastAsia="黑体" w:cs="黑体"/>
          <w:color w:val="000000" w:themeColor="text1"/>
          <w:lang w:val="en-US" w:eastAsia="zh-CN"/>
          <w14:textFill>
            <w14:solidFill>
              <w14:schemeClr w14:val="tx1"/>
            </w14:solidFill>
          </w14:textFill>
        </w:rPr>
      </w:pPr>
      <w:bookmarkStart w:id="333" w:name="_Toc986739946"/>
      <w:bookmarkStart w:id="334" w:name="_Toc8724"/>
      <w:bookmarkStart w:id="335" w:name="_Toc1159956378"/>
      <w:bookmarkStart w:id="336" w:name="_Toc797972066"/>
      <w:r>
        <w:rPr>
          <w:rFonts w:hint="eastAsia" w:ascii="黑体" w:hAnsi="黑体" w:eastAsia="黑体" w:cs="黑体"/>
          <w:color w:val="000000" w:themeColor="text1"/>
          <w:lang w:val="en-US" w:eastAsia="zh-CN"/>
          <w14:textFill>
            <w14:solidFill>
              <w14:schemeClr w14:val="tx1"/>
            </w14:solidFill>
          </w14:textFill>
        </w:rPr>
        <w:t>6.2.4  根外追肥</w:t>
      </w:r>
    </w:p>
    <w:p w14:paraId="6562AC5C">
      <w:pPr>
        <w:ind w:firstLine="420" w:firstLineChars="200"/>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以龙眼树体生理发育为依据，在新梢展叶期、花芽分化期、花穗抽生期、第一次生理落果后期、结果母枝养分积累期等，按“有机质类为主、无机质类为辅”的原则，选择适宜的、国家批准生产的叶面肥种类和浓度。可选用钼酸铵0.02 %</w:t>
      </w:r>
      <w:r>
        <w:rPr>
          <w:rFonts w:hint="eastAsia" w:ascii="宋体" w:hAnsi="宋体" w:eastAsia="宋体" w:cs="宋体"/>
          <w:b w:val="0"/>
          <w:bCs w:val="0"/>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0.1 %，磷酸二氢钾0.2 %</w:t>
      </w:r>
      <w:r>
        <w:rPr>
          <w:rFonts w:hint="eastAsia" w:ascii="宋体" w:hAnsi="宋体" w:eastAsia="宋体" w:cs="宋体"/>
          <w:b w:val="0"/>
          <w:bCs w:val="0"/>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0.3 %，硼砂（硼酸）0.1 %</w:t>
      </w:r>
      <w:r>
        <w:rPr>
          <w:rFonts w:hint="eastAsia" w:ascii="宋体" w:hAnsi="宋体" w:eastAsia="宋体" w:cs="宋体"/>
          <w:b w:val="0"/>
          <w:bCs w:val="0"/>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0.2 %，以及国家批准生产的氨基酸、核苷酸等叶面肥。在果实采收前20 d内不应喷施叶面肥。</w:t>
      </w:r>
    </w:p>
    <w:p w14:paraId="7B661951">
      <w:pPr>
        <w:pStyle w:val="15"/>
        <w:autoSpaceDE w:val="0"/>
        <w:autoSpaceDN w:val="0"/>
        <w:adjustRightInd w:val="0"/>
        <w:spacing w:before="156" w:beforeLines="50" w:after="156" w:afterLines="50"/>
        <w:ind w:firstLine="0" w:firstLineChars="0"/>
        <w:outlineLvl w:val="1"/>
        <w:rPr>
          <w:rFonts w:hint="default" w:ascii="黑体" w:hAnsi="黑体" w:eastAsia="黑体" w:cs="黑体"/>
          <w:color w:val="000000" w:themeColor="text1"/>
          <w:lang w:val="en-US" w:eastAsia="zh-CN"/>
          <w14:textFill>
            <w14:solidFill>
              <w14:schemeClr w14:val="tx1"/>
            </w14:solidFill>
          </w14:textFill>
        </w:rPr>
      </w:pPr>
      <w:bookmarkStart w:id="337" w:name="_Toc1414049010"/>
      <w:bookmarkStart w:id="338" w:name="_Toc756837892"/>
      <w:bookmarkStart w:id="339" w:name="_Toc1448470222"/>
      <w:bookmarkStart w:id="340" w:name="_Toc1840736616"/>
      <w:bookmarkStart w:id="341" w:name="_Toc2058276708"/>
      <w:bookmarkStart w:id="342" w:name="_Toc2017648605"/>
      <w:bookmarkStart w:id="343" w:name="_Toc1061894659"/>
      <w:bookmarkStart w:id="344" w:name="_Toc1464710240"/>
      <w:r>
        <w:rPr>
          <w:rFonts w:hint="eastAsia" w:ascii="黑体" w:hAnsi="黑体" w:eastAsia="黑体" w:cs="黑体"/>
          <w:color w:val="000000" w:themeColor="text1"/>
          <w:lang w:val="en-US" w:eastAsia="zh-CN"/>
          <w14:textFill>
            <w14:solidFill>
              <w14:schemeClr w14:val="tx1"/>
            </w14:solidFill>
          </w14:textFill>
        </w:rPr>
        <w:t>6</w:t>
      </w:r>
      <w:r>
        <w:rPr>
          <w:rFonts w:hint="default" w:ascii="黑体" w:hAnsi="黑体" w:eastAsia="黑体" w:cs="黑体"/>
          <w:color w:val="000000" w:themeColor="text1"/>
          <w:lang w:val="en-US" w:eastAsia="zh-CN"/>
          <w14:textFill>
            <w14:solidFill>
              <w14:schemeClr w14:val="tx1"/>
            </w14:solidFill>
          </w14:textFill>
        </w:rPr>
        <w:t>.3  水分管理</w:t>
      </w:r>
      <w:bookmarkEnd w:id="333"/>
      <w:bookmarkEnd w:id="334"/>
      <w:bookmarkEnd w:id="335"/>
      <w:bookmarkEnd w:id="336"/>
      <w:bookmarkEnd w:id="337"/>
      <w:bookmarkEnd w:id="338"/>
      <w:bookmarkEnd w:id="339"/>
      <w:bookmarkEnd w:id="340"/>
      <w:bookmarkEnd w:id="341"/>
      <w:bookmarkEnd w:id="342"/>
      <w:bookmarkEnd w:id="343"/>
      <w:bookmarkEnd w:id="344"/>
    </w:p>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5D9821C5">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bookmarkStart w:id="345" w:name="_Toc1886748786"/>
      <w:bookmarkStart w:id="346" w:name="_Toc1945808923"/>
      <w:bookmarkStart w:id="347" w:name="_Toc2137079921"/>
      <w:bookmarkStart w:id="348" w:name="_Toc226669444"/>
      <w:bookmarkStart w:id="349" w:name="_Toc1474537935"/>
      <w:bookmarkStart w:id="350" w:name="_Toc826127273"/>
      <w:bookmarkStart w:id="351" w:name="_Toc819005622"/>
      <w:bookmarkStart w:id="352" w:name="_Toc694973944"/>
      <w:bookmarkStart w:id="353" w:name="_Toc1892310750"/>
      <w:bookmarkStart w:id="354" w:name="_Toc1558372382"/>
      <w:bookmarkStart w:id="355" w:name="_Toc373805202"/>
      <w:bookmarkStart w:id="356" w:name="_Toc1987712320"/>
      <w:bookmarkStart w:id="357" w:name="_Toc21051"/>
      <w:bookmarkStart w:id="358" w:name="_Toc1800829692"/>
      <w:bookmarkStart w:id="359" w:name="_Toc942380066"/>
      <w:bookmarkStart w:id="360" w:name="_Toc1074879376"/>
      <w:bookmarkStart w:id="361" w:name="_Toc1748587499"/>
      <w:bookmarkStart w:id="362" w:name="_Toc190028072"/>
      <w:r>
        <w:rPr>
          <w:rFonts w:hint="eastAsia" w:ascii="黑体" w:hAnsi="黑体" w:eastAsia="黑体" w:cs="黑体"/>
          <w:color w:val="000000" w:themeColor="text1"/>
          <w:lang w:val="en-US" w:eastAsia="zh-CN"/>
          <w14:textFill>
            <w14:solidFill>
              <w14:schemeClr w14:val="tx1"/>
            </w14:solidFill>
          </w14:textFill>
        </w:rPr>
        <w:t>6.3.1  灌溉关键期</w:t>
      </w:r>
    </w:p>
    <w:p w14:paraId="003A7F2B">
      <w:pPr>
        <w:ind w:firstLine="630" w:firstLineChars="3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a) </w:t>
      </w:r>
      <w:r>
        <w:rPr>
          <w:rFonts w:hint="eastAsia" w:ascii="宋体" w:hAnsi="宋体" w:cs="宋体"/>
          <w:color w:val="000000" w:themeColor="text1"/>
          <w:szCs w:val="21"/>
          <w:lang w:val="en-US" w:eastAsia="zh-CN"/>
          <w14:textFill>
            <w14:solidFill>
              <w14:schemeClr w14:val="tx1"/>
            </w14:solidFill>
          </w14:textFill>
        </w:rPr>
        <w:t>花穗抽发期2月</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3月：保持10 cm</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 cm的土层湿润，每10 d灌水1次</w:t>
      </w:r>
    </w:p>
    <w:p w14:paraId="2A60DB06">
      <w:pPr>
        <w:ind w:firstLine="630" w:firstLineChars="3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b</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幼果膨大期5月</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6月：需水量最大，土壤湿度保持60 %</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70 %，干旱时每周灌水1次。</w:t>
      </w:r>
    </w:p>
    <w:p w14:paraId="2711628E">
      <w:pPr>
        <w:ind w:firstLine="630" w:firstLineChars="3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c</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秋梢抽发期8月</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9月：采果后及时灌水，促发健壮秋梢。</w:t>
      </w:r>
    </w:p>
    <w:p w14:paraId="7605D3A1">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6.3.2  控水期</w:t>
      </w:r>
    </w:p>
    <w:p w14:paraId="2916BAD7">
      <w:pPr>
        <w:ind w:firstLine="630" w:firstLineChars="3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a) </w:t>
      </w:r>
      <w:r>
        <w:rPr>
          <w:rFonts w:hint="eastAsia" w:ascii="宋体" w:hAnsi="宋体" w:cs="宋体"/>
          <w:color w:val="000000" w:themeColor="text1"/>
          <w:szCs w:val="21"/>
          <w:lang w:val="en-US" w:eastAsia="zh-CN"/>
          <w14:textFill>
            <w14:solidFill>
              <w14:schemeClr w14:val="tx1"/>
            </w14:solidFill>
          </w14:textFill>
        </w:rPr>
        <w:t>花芽分化期11月</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12月：适度干旱，土壤湿度40 %</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50 %，抑制冬梢，促进成花。</w:t>
      </w:r>
    </w:p>
    <w:p w14:paraId="554D8527">
      <w:pPr>
        <w:ind w:firstLine="630" w:firstLineChars="3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b</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果实采收前15 d：停止灌水，提升果实糖度，减少裂果。</w:t>
      </w:r>
    </w:p>
    <w:p w14:paraId="37E3E5AE">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6.3.3  排水防涝期</w:t>
      </w:r>
    </w:p>
    <w:p w14:paraId="022CA49A">
      <w:pPr>
        <w:ind w:firstLine="630" w:firstLineChars="3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a) </w:t>
      </w:r>
      <w:r>
        <w:rPr>
          <w:rFonts w:hint="eastAsia" w:ascii="宋体" w:hAnsi="宋体" w:cs="宋体"/>
          <w:color w:val="000000" w:themeColor="text1"/>
          <w:szCs w:val="21"/>
          <w:lang w:val="en-US" w:eastAsia="zh-CN"/>
          <w14:textFill>
            <w14:solidFill>
              <w14:schemeClr w14:val="tx1"/>
            </w14:solidFill>
          </w14:textFill>
        </w:rPr>
        <w:t>雨季清理排水沟，确保果园无积水，龙眼根系忌水淹超过24 h。</w:t>
      </w:r>
    </w:p>
    <w:p w14:paraId="6B545E88">
      <w:pPr>
        <w:ind w:firstLine="630" w:firstLineChars="3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b</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低洼地采用高畦栽培，畦面高出地面30 cm，畦间挖沟，宽40 cm、深50 cm。</w:t>
      </w:r>
    </w:p>
    <w:p w14:paraId="5BB3B124">
      <w:pPr>
        <w:pStyle w:val="15"/>
        <w:autoSpaceDE w:val="0"/>
        <w:autoSpaceDN w:val="0"/>
        <w:adjustRightInd w:val="0"/>
        <w:spacing w:before="312" w:beforeLines="100" w:after="312" w:afterLines="100"/>
        <w:ind w:firstLine="0" w:firstLineChars="0"/>
        <w:outlineLvl w:val="0"/>
        <w:rPr>
          <w:rFonts w:hint="eastAsia" w:ascii="黑体" w:hAnsi="黑体" w:eastAsia="黑体" w:cs="Times New Roman"/>
          <w:bCs/>
          <w:color w:val="000000" w:themeColor="text1"/>
          <w:kern w:val="0"/>
          <w:lang w:eastAsia="zh-CN"/>
          <w14:textFill>
            <w14:solidFill>
              <w14:schemeClr w14:val="tx1"/>
            </w14:solidFill>
          </w14:textFill>
        </w:rPr>
      </w:pPr>
      <w:bookmarkStart w:id="363" w:name="_Toc1957163344"/>
      <w:r>
        <w:rPr>
          <w:rFonts w:hint="eastAsia" w:ascii="黑体" w:hAnsi="黑体" w:eastAsia="黑体" w:cs="Times New Roman"/>
          <w:bCs/>
          <w:color w:val="000000" w:themeColor="text1"/>
          <w:kern w:val="0"/>
          <w:lang w:val="en-US" w:eastAsia="zh-CN"/>
          <w14:textFill>
            <w14:solidFill>
              <w14:schemeClr w14:val="tx1"/>
            </w14:solidFill>
          </w14:textFill>
        </w:rPr>
        <w:t>7</w:t>
      </w:r>
      <w:r>
        <w:rPr>
          <w:rFonts w:hint="eastAsia" w:ascii="黑体" w:hAnsi="黑体" w:eastAsia="黑体" w:cs="Times New Roman"/>
          <w:bCs/>
          <w:color w:val="000000" w:themeColor="text1"/>
          <w:kern w:val="0"/>
          <w14:textFill>
            <w14:solidFill>
              <w14:schemeClr w14:val="tx1"/>
            </w14:solidFill>
          </w14:textFill>
        </w:rPr>
        <w:t xml:space="preserve"> </w:t>
      </w:r>
      <w:r>
        <w:rPr>
          <w:rFonts w:hint="eastAsia" w:ascii="黑体" w:hAnsi="黑体" w:eastAsia="黑体" w:cs="Times New Roman"/>
          <w:bCs/>
          <w:color w:val="000000" w:themeColor="text1"/>
          <w:kern w:val="0"/>
          <w:lang w:val="en-US" w:eastAsia="zh-CN"/>
          <w14:textFill>
            <w14:solidFill>
              <w14:schemeClr w14:val="tx1"/>
            </w14:solidFill>
          </w14:textFill>
        </w:rPr>
        <w:t xml:space="preserve"> </w:t>
      </w:r>
      <w:r>
        <w:rPr>
          <w:rFonts w:hint="eastAsia" w:ascii="黑体" w:hAnsi="黑体" w:eastAsia="黑体" w:cs="Times New Roman"/>
          <w:bCs/>
          <w:color w:val="000000" w:themeColor="text1"/>
          <w:kern w:val="0"/>
          <w:lang w:eastAsia="zh-CN"/>
          <w14:textFill>
            <w14:solidFill>
              <w14:schemeClr w14:val="tx1"/>
            </w14:solidFill>
          </w14:textFill>
        </w:rPr>
        <w:t>整形修剪</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3"/>
    </w:p>
    <w:p w14:paraId="7012D378">
      <w:pPr>
        <w:pStyle w:val="15"/>
        <w:autoSpaceDE w:val="0"/>
        <w:autoSpaceDN w:val="0"/>
        <w:adjustRightInd w:val="0"/>
        <w:spacing w:before="156" w:beforeLines="50" w:after="156" w:afterLines="50"/>
        <w:ind w:firstLine="0" w:firstLineChars="0"/>
        <w:outlineLvl w:val="1"/>
        <w:rPr>
          <w:rFonts w:hint="default"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7.1  幼树期整形修剪</w:t>
      </w:r>
    </w:p>
    <w:p w14:paraId="031CA772">
      <w:pPr>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幼树期的修剪以定干、</w:t>
      </w:r>
      <w:r>
        <w:rPr>
          <w:rFonts w:hint="eastAsia" w:ascii="宋体" w:hAnsi="宋体" w:cs="宋体"/>
          <w:color w:val="000000" w:themeColor="text1"/>
          <w:szCs w:val="21"/>
          <w:lang w:val="en-US" w:eastAsia="zh-CN"/>
          <w14:textFill>
            <w14:solidFill>
              <w14:schemeClr w14:val="tx1"/>
            </w14:solidFill>
          </w14:textFill>
        </w:rPr>
        <w:t>整形为主</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定植后离地0.5 m</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0.6 m处短截主干促发侧枝，主干分生处留主枝3</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4条，着生角度为50 °</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60 °，在主枝两侧间隔0.3 m</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0.4 m选留副主枝2条</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3条，下一级分枝按副主枝方式选留。再剪去弱枝、病枝、密生枝等培养自然圆头形或开心形树冠。</w:t>
      </w:r>
    </w:p>
    <w:p w14:paraId="201B8545">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7.2  结果树修剪</w:t>
      </w:r>
    </w:p>
    <w:p w14:paraId="0920959B">
      <w:pPr>
        <w:ind w:firstLine="0" w:firstLineChars="0"/>
        <w:rPr>
          <w:rFonts w:hint="eastAsia" w:ascii="宋体" w:hAnsi="宋体" w:eastAsia="宋体" w:cs="宋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 xml:space="preserve">7.2.1  </w:t>
      </w:r>
      <w:r>
        <w:rPr>
          <w:rFonts w:hint="eastAsia" w:ascii="宋体" w:hAnsi="宋体" w:eastAsia="宋体" w:cs="宋体"/>
          <w:color w:val="000000" w:themeColor="text1"/>
          <w:szCs w:val="21"/>
          <w:lang w:val="en-US" w:eastAsia="zh-CN"/>
          <w14:textFill>
            <w14:solidFill>
              <w14:schemeClr w14:val="tx1"/>
            </w14:solidFill>
          </w14:textFill>
        </w:rPr>
        <w:t>果实采收后15 d左右进行修剪。根据结果枝的健壮程度进行回缩修剪。长势好的宜采果后立即进行，长势弱的宜在梢期生长稳定后修剪。</w:t>
      </w:r>
    </w:p>
    <w:p w14:paraId="13A21964">
      <w:pPr>
        <w:ind w:firstLine="0" w:firstLineChars="0"/>
        <w:rPr>
          <w:rFonts w:hint="eastAsia" w:ascii="宋体" w:hAnsi="宋体" w:cs="宋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 xml:space="preserve">7.2.2  </w:t>
      </w:r>
      <w:r>
        <w:rPr>
          <w:rFonts w:hint="eastAsia" w:ascii="宋体" w:hAnsi="宋体" w:eastAsia="宋体" w:cs="宋体"/>
          <w:color w:val="000000" w:themeColor="text1"/>
          <w:kern w:val="2"/>
          <w:sz w:val="21"/>
          <w:szCs w:val="21"/>
          <w:lang w:val="en-US" w:eastAsia="zh-CN" w:bidi="ar-SA"/>
          <w14:textFill>
            <w14:solidFill>
              <w14:schemeClr w14:val="tx1"/>
            </w14:solidFill>
          </w14:textFill>
        </w:rPr>
        <w:t>根据空间位置和健壮程度，</w:t>
      </w:r>
      <w:r>
        <w:rPr>
          <w:rFonts w:hint="eastAsia" w:ascii="宋体" w:hAnsi="宋体" w:eastAsia="宋体" w:cs="宋体"/>
          <w:color w:val="000000" w:themeColor="text1"/>
          <w:szCs w:val="21"/>
          <w:lang w:val="en-US" w:eastAsia="zh-CN"/>
          <w14:textFill>
            <w14:solidFill>
              <w14:schemeClr w14:val="tx1"/>
            </w14:solidFill>
          </w14:textFill>
        </w:rPr>
        <w:t>修剪后每个剪口留2条～3条新梢，枝梢长度25 cm～30 cm。抹除多余枝梢，疏除弱枝、隐蔽枝、病虫枝等。若龙眼树内膛枝条较密，可疏除较光秃的枝条。修剪后枝条分布均匀</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阳光透入树冠后</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地面出现“金钱眼”为宜</w:t>
      </w:r>
      <w:r>
        <w:rPr>
          <w:rFonts w:hint="eastAsia" w:ascii="宋体" w:hAnsi="宋体" w:cs="宋体"/>
          <w:color w:val="000000" w:themeColor="text1"/>
          <w:szCs w:val="21"/>
          <w:lang w:val="en-US" w:eastAsia="zh-CN"/>
          <w14:textFill>
            <w14:solidFill>
              <w14:schemeClr w14:val="tx1"/>
            </w14:solidFill>
          </w14:textFill>
        </w:rPr>
        <w:t>。</w:t>
      </w:r>
    </w:p>
    <w:p w14:paraId="20410274">
      <w:pPr>
        <w:ind w:firstLine="0" w:firstLineChars="0"/>
        <w:rPr>
          <w:rFonts w:hint="eastAsia" w:ascii="宋体" w:hAnsi="宋体" w:cs="宋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 xml:space="preserve">7.2.3  </w:t>
      </w:r>
      <w:r>
        <w:rPr>
          <w:rFonts w:hint="eastAsia" w:ascii="宋体" w:hAnsi="宋体" w:eastAsia="宋体" w:cs="宋体"/>
          <w:color w:val="000000" w:themeColor="text1"/>
          <w:szCs w:val="21"/>
          <w:lang w:val="en-US" w:eastAsia="zh-CN"/>
          <w14:textFill>
            <w14:solidFill>
              <w14:schemeClr w14:val="tx1"/>
            </w14:solidFill>
          </w14:textFill>
        </w:rPr>
        <w:t>已郁闭封行的果园</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选择间伐或中度回缩修剪。间伐采取同行间伐或品字形间伐</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中度回缩修剪</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在直径8 cm～15 cm的第四级主枝或五级主枝上进行</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留基部10 cm～30 cm锯断</w:t>
      </w:r>
      <w:r>
        <w:rPr>
          <w:rFonts w:hint="eastAsia" w:ascii="宋体" w:hAnsi="宋体" w:cs="宋体"/>
          <w:color w:val="000000" w:themeColor="text1"/>
          <w:szCs w:val="21"/>
          <w:lang w:val="en-US" w:eastAsia="zh-CN"/>
          <w14:textFill>
            <w14:solidFill>
              <w14:schemeClr w14:val="tx1"/>
            </w14:solidFill>
          </w14:textFill>
        </w:rPr>
        <w:t>。</w:t>
      </w:r>
    </w:p>
    <w:p w14:paraId="259F9CB6">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7.3  衰老树修剪</w:t>
      </w:r>
    </w:p>
    <w:p w14:paraId="0794A793">
      <w:pPr>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衰老树的修剪以更新复壮为主。对衰弱枝组进行回缩修剪，重新培养树形。</w:t>
      </w:r>
    </w:p>
    <w:p w14:paraId="294A7C0B">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szCs w:val="21"/>
          <w:lang w:val="en-US" w:eastAsia="zh-CN"/>
          <w14:textFill>
            <w14:solidFill>
              <w14:schemeClr w14:val="tx1"/>
            </w14:solidFill>
          </w14:textFill>
        </w:rPr>
      </w:pPr>
      <w:bookmarkStart w:id="364" w:name="_Toc816851791"/>
      <w:r>
        <w:rPr>
          <w:rFonts w:hint="eastAsia" w:ascii="黑体" w:hAnsi="黑体" w:eastAsia="黑体" w:cs="黑体"/>
          <w:bCs w:val="0"/>
          <w:color w:val="000000" w:themeColor="text1"/>
          <w:kern w:val="2"/>
          <w:lang w:val="en-US" w:eastAsia="zh-CN"/>
          <w14:textFill>
            <w14:solidFill>
              <w14:schemeClr w14:val="tx1"/>
            </w14:solidFill>
          </w14:textFill>
        </w:rPr>
        <w:t>8</w:t>
      </w:r>
      <w:r>
        <w:rPr>
          <w:rFonts w:hint="eastAsia" w:ascii="黑体" w:hAnsi="黑体" w:eastAsia="黑体" w:cs="黑体"/>
          <w:bCs w:val="0"/>
          <w:color w:val="000000" w:themeColor="text1"/>
          <w:kern w:val="2"/>
          <w14:textFill>
            <w14:solidFill>
              <w14:schemeClr w14:val="tx1"/>
            </w14:solidFill>
          </w14:textFill>
        </w:rPr>
        <w:t xml:space="preserve"> </w:t>
      </w:r>
      <w:r>
        <w:rPr>
          <w:rFonts w:hint="eastAsia" w:ascii="黑体" w:hAnsi="黑体" w:eastAsia="黑体" w:cs="黑体"/>
          <w:bCs w:val="0"/>
          <w:color w:val="000000" w:themeColor="text1"/>
          <w:kern w:val="2"/>
          <w:lang w:val="en-US" w:eastAsia="zh-CN"/>
          <w14:textFill>
            <w14:solidFill>
              <w14:schemeClr w14:val="tx1"/>
            </w14:solidFill>
          </w14:textFill>
        </w:rPr>
        <w:t xml:space="preserve"> </w:t>
      </w:r>
      <w:r>
        <w:rPr>
          <w:rFonts w:hint="eastAsia" w:ascii="黑体" w:hAnsi="黑体" w:eastAsia="黑体" w:cs="黑体"/>
          <w:bCs w:val="0"/>
          <w:color w:val="000000" w:themeColor="text1"/>
          <w:kern w:val="2"/>
          <w:lang w:eastAsia="zh-CN"/>
          <w14:textFill>
            <w14:solidFill>
              <w14:schemeClr w14:val="tx1"/>
            </w14:solidFill>
          </w14:textFill>
        </w:rPr>
        <w:t>花果管理</w:t>
      </w:r>
      <w:bookmarkEnd w:id="364"/>
    </w:p>
    <w:p w14:paraId="4692CE8B">
      <w:pPr>
        <w:pStyle w:val="15"/>
        <w:autoSpaceDE w:val="0"/>
        <w:autoSpaceDN w:val="0"/>
        <w:adjustRightInd w:val="0"/>
        <w:spacing w:before="156" w:beforeLines="50" w:after="156" w:afterLines="50"/>
        <w:ind w:firstLine="0" w:firstLineChars="0"/>
        <w:outlineLvl w:val="1"/>
        <w:rPr>
          <w:rFonts w:hint="default" w:ascii="黑体" w:hAnsi="黑体" w:eastAsia="黑体" w:cs="黑体"/>
          <w:color w:val="000000" w:themeColor="text1"/>
          <w:lang w:val="en-US" w:eastAsia="zh-CN"/>
          <w14:textFill>
            <w14:solidFill>
              <w14:schemeClr w14:val="tx1"/>
            </w14:solidFill>
          </w14:textFill>
        </w:rPr>
      </w:pPr>
      <w:bookmarkStart w:id="365" w:name="_Toc110782961"/>
      <w:bookmarkStart w:id="366" w:name="_Toc1190312096"/>
      <w:bookmarkStart w:id="367" w:name="_Toc429703622"/>
      <w:bookmarkStart w:id="368" w:name="_Toc1451479908"/>
      <w:bookmarkStart w:id="369" w:name="_Toc279751838"/>
      <w:r>
        <w:rPr>
          <w:rFonts w:hint="eastAsia" w:ascii="黑体" w:hAnsi="黑体" w:eastAsia="黑体" w:cs="黑体"/>
          <w:color w:val="000000" w:themeColor="text1"/>
          <w:lang w:val="en-US" w:eastAsia="zh-CN"/>
          <w14:textFill>
            <w14:solidFill>
              <w14:schemeClr w14:val="tx1"/>
            </w14:solidFill>
          </w14:textFill>
        </w:rPr>
        <w:t>8.1  控冬梢促花</w:t>
      </w:r>
    </w:p>
    <w:p w14:paraId="19EB3E8E">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8.1.1  适时放梢</w:t>
      </w:r>
    </w:p>
    <w:p w14:paraId="261C3A2A">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合理安排秋梢抽生期</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应在9月中旬～10月上旬灌透水及施足追肥</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促使末次秋梢在9月底</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10月上中旬抽生</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之后每隔7 d～10 d根外追肥一次</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树冠喷洒0.2</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%～0.3</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%磷酸二氢钾加0.2</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%～0.3</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%硫酸镁</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或再加0.5</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%花生麸沤制液或5</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%沼气液</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促使末次秋梢在11月底～12月中旬老熟。次年1月中旬花芽生理分化期灌水</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促使芽体及早萌动</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防止冲梢。</w:t>
      </w:r>
    </w:p>
    <w:p w14:paraId="334A2224">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8.1.2  药物控冬梢、促花</w:t>
      </w:r>
    </w:p>
    <w:p w14:paraId="65D06E22">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末次秋梢老熟后</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可用多效唑或</w:t>
      </w:r>
      <w:r>
        <w:rPr>
          <w:rFonts w:hint="eastAsia" w:ascii="宋体" w:hAnsi="宋体" w:cs="宋体"/>
          <w:color w:val="000000" w:themeColor="text1"/>
          <w:szCs w:val="21"/>
          <w:lang w:val="en-US" w:eastAsia="zh-CN"/>
          <w14:textFill>
            <w14:solidFill>
              <w14:schemeClr w14:val="tx1"/>
            </w14:solidFill>
          </w14:textFill>
        </w:rPr>
        <w:t>其他</w:t>
      </w:r>
      <w:r>
        <w:rPr>
          <w:rFonts w:hint="eastAsia" w:ascii="宋体" w:hAnsi="宋体" w:eastAsia="宋体" w:cs="宋体"/>
          <w:color w:val="000000" w:themeColor="text1"/>
          <w:szCs w:val="21"/>
          <w:lang w:val="en-US" w:eastAsia="zh-CN"/>
          <w14:textFill>
            <w14:solidFill>
              <w14:schemeClr w14:val="tx1"/>
            </w14:solidFill>
          </w14:textFill>
        </w:rPr>
        <w:t>已在龙眼上登记的控梢促花药物</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按推荐使用浓度</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在12月上旬冬梢抽出至刚展叶时喷树冠</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次～</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次。在1月上旬喷施含钾叶面肥促花。</w:t>
      </w:r>
    </w:p>
    <w:p w14:paraId="478FBF5E">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8.1.3  辅助措施</w:t>
      </w:r>
    </w:p>
    <w:p w14:paraId="742677BE">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12月中下旬对冬梢进行人工短截</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短截时基部留1 cm～2 cm。末次秋梢转绿后</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控水控肥。春季如遇极端低温寒潮天气</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选用海藻素等含有生物活性物质的叶面肥、配合促花类生长调节药剂促进花芽适时萌发。</w:t>
      </w:r>
    </w:p>
    <w:bookmarkEnd w:id="365"/>
    <w:bookmarkEnd w:id="366"/>
    <w:bookmarkEnd w:id="367"/>
    <w:bookmarkEnd w:id="368"/>
    <w:bookmarkEnd w:id="369"/>
    <w:p w14:paraId="2514688E">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bookmarkStart w:id="370" w:name="_Toc1988670593"/>
      <w:bookmarkStart w:id="371" w:name="_Toc1587528568"/>
      <w:bookmarkStart w:id="372" w:name="_Toc1585059902"/>
      <w:bookmarkStart w:id="373" w:name="_Toc1558794182"/>
      <w:bookmarkStart w:id="374" w:name="_Toc1541614515"/>
      <w:r>
        <w:rPr>
          <w:rFonts w:hint="eastAsia" w:ascii="黑体" w:hAnsi="黑体" w:eastAsia="黑体" w:cs="黑体"/>
          <w:color w:val="000000" w:themeColor="text1"/>
          <w:lang w:val="en-US" w:eastAsia="zh-CN"/>
          <w14:textFill>
            <w14:solidFill>
              <w14:schemeClr w14:val="tx1"/>
            </w14:solidFill>
          </w14:textFill>
        </w:rPr>
        <w:t>8.2  预防“冲梢”</w:t>
      </w:r>
    </w:p>
    <w:p w14:paraId="126A38C8">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8.2.1  控梢控穗</w:t>
      </w:r>
    </w:p>
    <w:p w14:paraId="0E52A5DF">
      <w:pPr>
        <w:pStyle w:val="3"/>
        <w:ind w:firstLine="420" w:firstLineChars="200"/>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春梢抽出2 cm</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3 cm时使用多效唑，按推荐使用浓度喷雾。</w:t>
      </w:r>
    </w:p>
    <w:p w14:paraId="17A291E8">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8.2.2  摘除花穗叶片</w:t>
      </w:r>
    </w:p>
    <w:p w14:paraId="759B1EA9">
      <w:pPr>
        <w:pStyle w:val="3"/>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当龙眼出现冲梢现象时，及时人工摘除花穗上的叶片，每</w:t>
      </w:r>
      <w:r>
        <w:rPr>
          <w:rFonts w:hint="eastAsia" w:ascii="宋体" w:hAnsi="宋体" w:eastAsia="宋体" w:cs="宋体"/>
          <w:color w:val="000000" w:themeColor="text1"/>
          <w:lang w:val="en-US" w:eastAsia="zh-CN"/>
          <w14:textFill>
            <w14:solidFill>
              <w14:schemeClr w14:val="tx1"/>
            </w14:solidFill>
          </w14:textFill>
        </w:rPr>
        <w:t>3 d</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5 d一</w:t>
      </w:r>
      <w:r>
        <w:rPr>
          <w:rFonts w:hint="eastAsia"/>
          <w:color w:val="000000" w:themeColor="text1"/>
          <w:lang w:val="en-US" w:eastAsia="zh-CN"/>
          <w14:textFill>
            <w14:solidFill>
              <w14:schemeClr w14:val="tx1"/>
            </w14:solidFill>
          </w14:textFill>
        </w:rPr>
        <w:t>次，直至花穗完整抽出为止。</w:t>
      </w:r>
    </w:p>
    <w:p w14:paraId="50CBF457">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8.2.3  喷药杀小叶</w:t>
      </w:r>
    </w:p>
    <w:p w14:paraId="219F674A">
      <w:pPr>
        <w:pStyle w:val="3"/>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使用已在龙眼上登记的促花药物，按推荐使用浓度，杀花穗小嫩叶。</w:t>
      </w:r>
    </w:p>
    <w:p w14:paraId="781B2D66">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8.2.4  摘除顶芽</w:t>
      </w:r>
    </w:p>
    <w:p w14:paraId="317110A7">
      <w:pPr>
        <w:pStyle w:val="3"/>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当花序已抽出长达</w:t>
      </w:r>
      <w:r>
        <w:rPr>
          <w:rFonts w:hint="eastAsia" w:ascii="宋体" w:hAnsi="宋体" w:eastAsia="宋体" w:cs="宋体"/>
          <w:color w:val="000000" w:themeColor="text1"/>
          <w:lang w:val="en-US" w:eastAsia="zh-CN"/>
          <w14:textFill>
            <w14:solidFill>
              <w14:schemeClr w14:val="tx1"/>
            </w14:solidFill>
          </w14:textFill>
        </w:rPr>
        <w:t>10 cm</w:t>
      </w:r>
      <w:r>
        <w:rPr>
          <w:rFonts w:hint="eastAsia"/>
          <w:color w:val="000000" w:themeColor="text1"/>
          <w:lang w:val="en-US" w:eastAsia="zh-CN"/>
          <w14:textFill>
            <w14:solidFill>
              <w14:schemeClr w14:val="tx1"/>
            </w14:solidFill>
          </w14:textFill>
        </w:rPr>
        <w:t>以上，叶腋已出现“蟹眼”，遇气温上升有可能发生花包叶的“冲梢”时，及时摘除顶芽。</w:t>
      </w:r>
    </w:p>
    <w:p w14:paraId="57689E27">
      <w:pPr>
        <w:pStyle w:val="15"/>
        <w:autoSpaceDE w:val="0"/>
        <w:autoSpaceDN w:val="0"/>
        <w:adjustRightInd w:val="0"/>
        <w:spacing w:before="156" w:beforeLines="50" w:after="156" w:afterLines="50"/>
        <w:ind w:firstLine="0" w:firstLineChars="0"/>
        <w:outlineLvl w:val="1"/>
        <w:rPr>
          <w:rFonts w:hint="default"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8</w:t>
      </w:r>
      <w:r>
        <w:rPr>
          <w:rFonts w:hint="default" w:ascii="黑体" w:hAnsi="黑体" w:eastAsia="黑体" w:cs="黑体"/>
          <w:color w:val="000000" w:themeColor="text1"/>
          <w:lang w:val="en-US"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3</w:t>
      </w:r>
      <w:r>
        <w:rPr>
          <w:rFonts w:hint="default" w:ascii="黑体" w:hAnsi="黑体" w:eastAsia="黑体" w:cs="黑体"/>
          <w:color w:val="000000" w:themeColor="text1"/>
          <w:lang w:val="en-US" w:eastAsia="zh-CN"/>
          <w14:textFill>
            <w14:solidFill>
              <w14:schemeClr w14:val="tx1"/>
            </w14:solidFill>
          </w14:textFill>
        </w:rPr>
        <w:t xml:space="preserve">  授粉</w:t>
      </w:r>
    </w:p>
    <w:p w14:paraId="5BCAC356">
      <w:pPr>
        <w:pStyle w:val="15"/>
        <w:ind w:firstLine="420" w:firstLineChars="200"/>
        <w:rPr>
          <w:rFonts w:hint="eastAsia" w:ascii="黑体" w:hAnsi="黑体" w:eastAsia="黑体" w:cs="黑体"/>
          <w:color w:val="000000" w:themeColor="text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自然授粉成功率较低时或种植规模大时</w:t>
      </w:r>
      <w:r>
        <w:rPr>
          <w:rFonts w:hint="eastAsia" w:ascii="宋体" w:hAnsi="宋体" w:eastAsia="宋体" w:cs="宋体"/>
          <w:color w:val="000000" w:themeColor="text1"/>
          <w:szCs w:val="21"/>
          <w:lang w:val="en-US" w:eastAsia="zh-CN"/>
          <w14:textFill>
            <w14:solidFill>
              <w14:schemeClr w14:val="tx1"/>
            </w14:solidFill>
          </w14:textFill>
        </w:rPr>
        <w:t>采用放蜂进行辅助授粉</w:t>
      </w:r>
      <w:r>
        <w:rPr>
          <w:rFonts w:hint="eastAsia" w:ascii="宋体" w:hAnsi="宋体" w:cs="宋体"/>
          <w:color w:val="000000" w:themeColor="text1"/>
          <w:szCs w:val="21"/>
          <w:lang w:val="en-US" w:eastAsia="zh-CN"/>
          <w14:textFill>
            <w14:solidFill>
              <w14:schemeClr w14:val="tx1"/>
            </w14:solidFill>
          </w14:textFill>
        </w:rPr>
        <w:t>，可提高授粉均匀度和坐果率</w:t>
      </w:r>
      <w:r>
        <w:rPr>
          <w:rFonts w:hint="eastAsia" w:ascii="宋体" w:hAnsi="宋体" w:eastAsia="宋体" w:cs="宋体"/>
          <w:color w:val="000000" w:themeColor="text1"/>
          <w:szCs w:val="21"/>
          <w:lang w:val="en-US" w:eastAsia="zh-CN"/>
          <w14:textFill>
            <w14:solidFill>
              <w14:schemeClr w14:val="tx1"/>
            </w14:solidFill>
          </w14:textFill>
        </w:rPr>
        <w:t>。</w:t>
      </w:r>
    </w:p>
    <w:p w14:paraId="0E003889">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8.4  疏花疏果</w:t>
      </w:r>
      <w:bookmarkEnd w:id="370"/>
      <w:bookmarkEnd w:id="371"/>
      <w:bookmarkEnd w:id="372"/>
      <w:bookmarkEnd w:id="373"/>
      <w:bookmarkEnd w:id="374"/>
    </w:p>
    <w:p w14:paraId="1D4DE795">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8.4.1  疏花</w:t>
      </w:r>
    </w:p>
    <w:p w14:paraId="30471A80">
      <w:pPr>
        <w:ind w:firstLine="420" w:firstLineChars="200"/>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a）花穗长约12 cm</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16 cm，能识别花穗强弱时进行疏花，疏除过密弱花穗。</w:t>
      </w:r>
    </w:p>
    <w:p w14:paraId="0D25F49D">
      <w:pPr>
        <w:ind w:firstLine="420" w:firstLineChars="200"/>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b）根据结果枝组的健壮程度，留1</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2个花穗，每穗留60</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80粒花蕾或花粒。</w:t>
      </w:r>
    </w:p>
    <w:p w14:paraId="1E8DE84A">
      <w:pPr>
        <w:ind w:firstLine="420" w:firstLineChars="200"/>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c）花穗过长时，将花穗主轴顶端部分摘除，留15 cm</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20 cm的花穗。</w:t>
      </w:r>
    </w:p>
    <w:p w14:paraId="3121A0F4">
      <w:pPr>
        <w:pStyle w:val="3"/>
        <w:ind w:firstLine="420" w:firstLineChars="200"/>
        <w:rPr>
          <w:rFonts w:hint="default"/>
          <w:color w:val="000000" w:themeColor="text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d）疏去总花量的30 %</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50 %，使龙眼全株花穗均匀分布。</w:t>
      </w:r>
    </w:p>
    <w:p w14:paraId="3A677C16">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8.4.2  疏果</w:t>
      </w:r>
    </w:p>
    <w:p w14:paraId="45E0B1CD">
      <w:pPr>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a) </w:t>
      </w:r>
      <w:r>
        <w:rPr>
          <w:rFonts w:hint="eastAsia" w:ascii="宋体" w:hAnsi="宋体" w:cs="宋体"/>
          <w:color w:val="000000" w:themeColor="text1"/>
          <w:szCs w:val="21"/>
          <w:lang w:val="en-US" w:eastAsia="zh-CN"/>
          <w14:textFill>
            <w14:solidFill>
              <w14:schemeClr w14:val="tx1"/>
            </w14:solidFill>
          </w14:textFill>
        </w:rPr>
        <w:t>幼果黄豆大小时进行疏果，疏除畸形果、病虫果和过密的果实。</w:t>
      </w:r>
    </w:p>
    <w:p w14:paraId="72B0157A">
      <w:pPr>
        <w:ind w:left="840" w:leftChars="200" w:hanging="420" w:hanging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b) </w:t>
      </w:r>
      <w:r>
        <w:rPr>
          <w:rFonts w:hint="eastAsia" w:ascii="宋体" w:hAnsi="宋体" w:cs="宋体"/>
          <w:color w:val="000000" w:themeColor="text1"/>
          <w:szCs w:val="21"/>
          <w:lang w:val="en-US" w:eastAsia="zh-CN"/>
          <w14:textFill>
            <w14:solidFill>
              <w14:schemeClr w14:val="tx1"/>
            </w14:solidFill>
          </w14:textFill>
        </w:rPr>
        <w:t>根据树势强弱，</w:t>
      </w:r>
      <w:r>
        <w:rPr>
          <w:rFonts w:hint="eastAsia" w:ascii="宋体" w:hAnsi="宋体" w:eastAsia="宋体" w:cs="宋体"/>
          <w:color w:val="000000" w:themeColor="text1"/>
          <w:szCs w:val="21"/>
          <w:lang w:val="en-US" w:eastAsia="zh-CN"/>
          <w14:textFill>
            <w14:solidFill>
              <w14:schemeClr w14:val="tx1"/>
            </w14:solidFill>
          </w14:textFill>
        </w:rPr>
        <w:t>控制全树留果量，保持合理负载</w:t>
      </w:r>
      <w:r>
        <w:rPr>
          <w:rFonts w:hint="eastAsia" w:ascii="宋体" w:hAnsi="宋体" w:cs="宋体"/>
          <w:color w:val="000000" w:themeColor="text1"/>
          <w:szCs w:val="21"/>
          <w:lang w:val="en-US" w:eastAsia="zh-CN"/>
          <w14:textFill>
            <w14:solidFill>
              <w14:schemeClr w14:val="tx1"/>
            </w14:solidFill>
          </w14:textFill>
        </w:rPr>
        <w:t>，每穗果枝保留≤30个果。</w:t>
      </w:r>
    </w:p>
    <w:p w14:paraId="6EEFCE32">
      <w:pPr>
        <w:pStyle w:val="15"/>
        <w:autoSpaceDE w:val="0"/>
        <w:autoSpaceDN w:val="0"/>
        <w:adjustRightInd w:val="0"/>
        <w:spacing w:before="312" w:beforeLines="100" w:after="312" w:afterLines="100"/>
        <w:ind w:firstLine="0" w:firstLineChars="0"/>
        <w:outlineLvl w:val="0"/>
        <w:rPr>
          <w:rFonts w:hint="eastAsia" w:ascii="黑体" w:hAnsi="黑体" w:eastAsia="黑体" w:cs="Times New Roman"/>
          <w:bCs/>
          <w:color w:val="000000" w:themeColor="text1"/>
          <w:kern w:val="0"/>
          <w:lang w:val="en-US" w:eastAsia="zh-CN"/>
          <w14:textFill>
            <w14:solidFill>
              <w14:schemeClr w14:val="tx1"/>
            </w14:solidFill>
          </w14:textFill>
        </w:rPr>
      </w:pPr>
      <w:bookmarkStart w:id="375" w:name="_Toc2052995482"/>
      <w:bookmarkStart w:id="376" w:name="_Toc1704603227"/>
      <w:bookmarkStart w:id="377" w:name="_Toc1206476259"/>
      <w:bookmarkStart w:id="378" w:name="_Toc1121502949"/>
      <w:bookmarkStart w:id="379" w:name="_Toc1323511701"/>
      <w:bookmarkStart w:id="380" w:name="_Toc232714649"/>
      <w:bookmarkStart w:id="381" w:name="_Toc896800951"/>
      <w:bookmarkStart w:id="382" w:name="_Toc1895826454"/>
      <w:r>
        <w:rPr>
          <w:rFonts w:hint="eastAsia" w:ascii="黑体" w:hAnsi="黑体" w:eastAsia="黑体" w:cs="Times New Roman"/>
          <w:bCs/>
          <w:color w:val="000000" w:themeColor="text1"/>
          <w:kern w:val="0"/>
          <w:lang w:val="en-US" w:eastAsia="zh-CN"/>
          <w14:textFill>
            <w14:solidFill>
              <w14:schemeClr w14:val="tx1"/>
            </w14:solidFill>
          </w14:textFill>
        </w:rPr>
        <w:t>9  越冬管理</w:t>
      </w:r>
      <w:bookmarkEnd w:id="375"/>
      <w:bookmarkEnd w:id="376"/>
      <w:bookmarkEnd w:id="377"/>
    </w:p>
    <w:p w14:paraId="45BA6834">
      <w:pPr>
        <w:pStyle w:val="15"/>
        <w:autoSpaceDE w:val="0"/>
        <w:autoSpaceDN w:val="0"/>
        <w:adjustRightInd w:val="0"/>
        <w:spacing w:before="156" w:beforeLines="50" w:after="156" w:afterLines="50"/>
        <w:ind w:firstLine="0" w:firstLineChars="0"/>
        <w:outlineLvl w:val="1"/>
        <w:rPr>
          <w:rFonts w:hint="default"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9.1  冬季清园</w:t>
      </w:r>
    </w:p>
    <w:p w14:paraId="7597EAC7">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每年冬季，将园内的枯枝、落叶、杂草进行集中堆沤处理。清园后全园撒施生石灰</w:t>
      </w:r>
      <w:r>
        <w:rPr>
          <w:rFonts w:hint="eastAsia" w:ascii="宋体" w:hAnsi="宋体" w:cs="宋体"/>
          <w:color w:val="000000" w:themeColor="text1"/>
          <w:szCs w:val="21"/>
          <w:lang w:val="en-US" w:eastAsia="zh-CN"/>
          <w14:textFill>
            <w14:solidFill>
              <w14:schemeClr w14:val="tx1"/>
            </w14:solidFill>
          </w14:textFill>
        </w:rPr>
        <w:t>25</w:t>
      </w:r>
      <w:r>
        <w:rPr>
          <w:rFonts w:hint="eastAsia" w:ascii="宋体" w:hAnsi="宋体" w:eastAsia="宋体" w:cs="宋体"/>
          <w:color w:val="000000" w:themeColor="text1"/>
          <w:szCs w:val="21"/>
          <w:lang w:val="en-US" w:eastAsia="zh-CN"/>
          <w14:textFill>
            <w14:solidFill>
              <w14:schemeClr w14:val="tx1"/>
            </w14:solidFill>
          </w14:textFill>
        </w:rPr>
        <w:t xml:space="preserve"> kg/</w:t>
      </w:r>
      <w:r>
        <w:rPr>
          <w:rFonts w:hint="eastAsia" w:ascii="宋体" w:hAnsi="宋体" w:cs="宋体"/>
          <w:color w:val="000000" w:themeColor="text1"/>
          <w:szCs w:val="21"/>
          <w:lang w:val="en-US" w:eastAsia="zh-CN"/>
          <w14:textFill>
            <w14:solidFill>
              <w14:schemeClr w14:val="tx1"/>
            </w14:solidFill>
          </w14:textFill>
        </w:rPr>
        <w:t>亩</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kg/</w:t>
      </w:r>
      <w:r>
        <w:rPr>
          <w:rFonts w:hint="eastAsia" w:ascii="宋体" w:hAnsi="宋体" w:cs="宋体"/>
          <w:color w:val="000000" w:themeColor="text1"/>
          <w:szCs w:val="21"/>
          <w:lang w:val="en-US" w:eastAsia="zh-CN"/>
          <w14:textFill>
            <w14:solidFill>
              <w14:schemeClr w14:val="tx1"/>
            </w14:solidFill>
          </w14:textFill>
        </w:rPr>
        <w:t>亩</w:t>
      </w:r>
      <w:r>
        <w:rPr>
          <w:rFonts w:hint="eastAsia" w:ascii="宋体" w:hAnsi="宋体" w:eastAsia="宋体" w:cs="宋体"/>
          <w:color w:val="000000" w:themeColor="text1"/>
          <w:szCs w:val="21"/>
          <w:lang w:val="en-US" w:eastAsia="zh-CN"/>
          <w14:textFill>
            <w14:solidFill>
              <w14:schemeClr w14:val="tx1"/>
            </w14:solidFill>
          </w14:textFill>
        </w:rPr>
        <w:t>；树体全面喷施胶体硫800倍液。</w:t>
      </w:r>
    </w:p>
    <w:p w14:paraId="00B4F6E6">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9.2  树干涂白</w:t>
      </w:r>
    </w:p>
    <w:p w14:paraId="1B2A44BB">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冬季对</w:t>
      </w:r>
      <w:r>
        <w:rPr>
          <w:rFonts w:hint="eastAsia" w:ascii="宋体" w:hAnsi="宋体" w:eastAsia="宋体" w:cs="宋体"/>
          <w:color w:val="000000" w:themeColor="text1"/>
          <w:szCs w:val="21"/>
          <w:lang w:val="en-US" w:eastAsia="zh-CN"/>
          <w14:textFill>
            <w14:solidFill>
              <w14:schemeClr w14:val="tx1"/>
            </w14:solidFill>
          </w14:textFill>
        </w:rPr>
        <w:t>树干进行涂白，涂白剂按水、生石灰、</w:t>
      </w:r>
      <w:r>
        <w:rPr>
          <w:rFonts w:hint="eastAsia" w:ascii="宋体" w:hAnsi="宋体" w:cs="宋体"/>
          <w:color w:val="000000" w:themeColor="text1"/>
          <w:szCs w:val="21"/>
          <w:lang w:val="en-US" w:eastAsia="zh-CN"/>
          <w14:textFill>
            <w14:solidFill>
              <w14:schemeClr w14:val="tx1"/>
            </w14:solidFill>
          </w14:textFill>
        </w:rPr>
        <w:t>硫磺粉</w:t>
      </w:r>
      <w:r>
        <w:rPr>
          <w:rFonts w:hint="eastAsia" w:ascii="宋体" w:hAnsi="宋体" w:eastAsia="宋体" w:cs="宋体"/>
          <w:color w:val="000000" w:themeColor="text1"/>
          <w:szCs w:val="21"/>
          <w:lang w:val="en-US" w:eastAsia="zh-CN"/>
          <w14:textFill>
            <w14:solidFill>
              <w14:schemeClr w14:val="tx1"/>
            </w14:solidFill>
          </w14:textFill>
        </w:rPr>
        <w:t>按30︰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lang w:val="en-US" w:eastAsia="zh-CN"/>
          <w14:textFill>
            <w14:solidFill>
              <w14:schemeClr w14:val="tx1"/>
            </w14:solidFill>
          </w14:textFill>
        </w:rPr>
        <w:t>︰1的比例配置</w:t>
      </w:r>
      <w:r>
        <w:rPr>
          <w:rFonts w:hint="eastAsia" w:ascii="宋体" w:hAnsi="宋体" w:cs="宋体"/>
          <w:color w:val="000000" w:themeColor="text1"/>
          <w:szCs w:val="21"/>
          <w:lang w:val="en-US" w:eastAsia="zh-CN"/>
          <w14:textFill>
            <w14:solidFill>
              <w14:schemeClr w14:val="tx1"/>
            </w14:solidFill>
          </w14:textFill>
        </w:rPr>
        <w:t>或购买专用涂白剂</w:t>
      </w:r>
      <w:r>
        <w:rPr>
          <w:rFonts w:hint="eastAsia" w:ascii="宋体" w:hAnsi="宋体" w:eastAsia="宋体" w:cs="宋体"/>
          <w:color w:val="000000" w:themeColor="text1"/>
          <w:szCs w:val="21"/>
          <w:lang w:val="en-US" w:eastAsia="zh-CN"/>
          <w14:textFill>
            <w14:solidFill>
              <w14:schemeClr w14:val="tx1"/>
            </w14:solidFill>
          </w14:textFill>
        </w:rPr>
        <w:t>。粉刷主干及一、二级分枝</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szCs w:val="21"/>
          <w:lang w:val="en-US" w:eastAsia="zh-CN"/>
        </w:rPr>
        <w:t>高度为100</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szCs w:val="21"/>
          <w:lang w:val="en-US" w:eastAsia="zh-CN"/>
        </w:rPr>
        <w:t>150</w:t>
      </w:r>
      <w:r>
        <w:rPr>
          <w:rFonts w:hint="eastAsia" w:ascii="宋体" w:hAnsi="宋体" w:eastAsia="宋体" w:cs="宋体"/>
          <w:szCs w:val="21"/>
          <w:lang w:val="en-US" w:eastAsia="zh-CN"/>
        </w:rPr>
        <w:t xml:space="preserve"> cm</w:t>
      </w:r>
      <w:r>
        <w:rPr>
          <w:rFonts w:hint="eastAsia" w:ascii="宋体" w:hAnsi="宋体" w:cs="宋体"/>
          <w:color w:val="000000" w:themeColor="text1"/>
          <w:szCs w:val="21"/>
          <w:lang w:val="en-US" w:eastAsia="zh-CN"/>
          <w14:textFill>
            <w14:solidFill>
              <w14:schemeClr w14:val="tx1"/>
            </w14:solidFill>
          </w14:textFill>
        </w:rPr>
        <w:t>。</w:t>
      </w:r>
    </w:p>
    <w:p w14:paraId="5954C6C1">
      <w:pPr>
        <w:pStyle w:val="15"/>
        <w:autoSpaceDE w:val="0"/>
        <w:autoSpaceDN w:val="0"/>
        <w:adjustRightInd w:val="0"/>
        <w:spacing w:before="312" w:beforeLines="100" w:after="312" w:afterLines="100"/>
        <w:ind w:firstLine="0" w:firstLineChars="0"/>
        <w:outlineLvl w:val="0"/>
        <w:rPr>
          <w:rFonts w:hint="default" w:ascii="黑体" w:hAnsi="黑体" w:eastAsia="黑体" w:cs="Times New Roman"/>
          <w:bCs/>
          <w:color w:val="000000" w:themeColor="text1"/>
          <w:kern w:val="0"/>
          <w:lang w:val="en-US" w:eastAsia="zh-CN"/>
          <w14:textFill>
            <w14:solidFill>
              <w14:schemeClr w14:val="tx1"/>
            </w14:solidFill>
          </w14:textFill>
        </w:rPr>
      </w:pPr>
      <w:bookmarkStart w:id="383" w:name="_Toc1652415928"/>
      <w:bookmarkStart w:id="384" w:name="_Toc311595282"/>
      <w:bookmarkStart w:id="385" w:name="_Toc1841729156"/>
      <w:bookmarkStart w:id="386" w:name="_Toc1940372508"/>
      <w:bookmarkStart w:id="387" w:name="_Toc1353567254"/>
      <w:r>
        <w:rPr>
          <w:rFonts w:hint="default" w:ascii="黑体" w:hAnsi="黑体" w:eastAsia="黑体" w:cs="Times New Roman"/>
          <w:bCs/>
          <w:color w:val="000000" w:themeColor="text1"/>
          <w:kern w:val="0"/>
          <w:lang w:val="en-US" w:eastAsia="zh-CN"/>
          <w14:textFill>
            <w14:solidFill>
              <w14:schemeClr w14:val="tx1"/>
            </w14:solidFill>
          </w14:textFill>
        </w:rPr>
        <w:t>1</w:t>
      </w:r>
      <w:r>
        <w:rPr>
          <w:rFonts w:hint="eastAsia" w:ascii="黑体" w:hAnsi="黑体" w:eastAsia="黑体" w:cs="Times New Roman"/>
          <w:bCs/>
          <w:color w:val="000000" w:themeColor="text1"/>
          <w:kern w:val="0"/>
          <w:lang w:val="en-US" w:eastAsia="zh-CN"/>
          <w14:textFill>
            <w14:solidFill>
              <w14:schemeClr w14:val="tx1"/>
            </w14:solidFill>
          </w14:textFill>
        </w:rPr>
        <w:t>0</w:t>
      </w:r>
      <w:r>
        <w:rPr>
          <w:rFonts w:hint="eastAsia" w:ascii="黑体" w:hAnsi="黑体" w:eastAsia="黑体" w:cs="Times New Roman"/>
          <w:bCs/>
          <w:color w:val="000000" w:themeColor="text1"/>
          <w:kern w:val="0"/>
          <w:lang w:eastAsia="zh-CN"/>
          <w14:textFill>
            <w14:solidFill>
              <w14:schemeClr w14:val="tx1"/>
            </w14:solidFill>
          </w14:textFill>
        </w:rPr>
        <w:t xml:space="preserve">  </w:t>
      </w:r>
      <w:r>
        <w:rPr>
          <w:rFonts w:hint="default" w:ascii="黑体" w:hAnsi="黑体" w:eastAsia="黑体" w:cs="Times New Roman"/>
          <w:bCs/>
          <w:color w:val="000000" w:themeColor="text1"/>
          <w:kern w:val="0"/>
          <w:lang w:val="en-US" w:eastAsia="zh-CN"/>
          <w14:textFill>
            <w14:solidFill>
              <w14:schemeClr w14:val="tx1"/>
            </w14:solidFill>
          </w14:textFill>
        </w:rPr>
        <w:t>病虫害防治</w:t>
      </w:r>
      <w:bookmarkEnd w:id="383"/>
      <w:bookmarkEnd w:id="384"/>
      <w:bookmarkEnd w:id="385"/>
      <w:bookmarkEnd w:id="386"/>
      <w:bookmarkEnd w:id="387"/>
    </w:p>
    <w:p w14:paraId="1B9E14AC">
      <w:pPr>
        <w:pStyle w:val="15"/>
        <w:autoSpaceDE w:val="0"/>
        <w:autoSpaceDN w:val="0"/>
        <w:adjustRightInd w:val="0"/>
        <w:spacing w:before="156" w:beforeLines="50" w:after="156" w:afterLines="50"/>
        <w:ind w:firstLine="0" w:firstLineChars="0"/>
        <w:outlineLvl w:val="1"/>
        <w:rPr>
          <w:rFonts w:hint="default" w:ascii="黑体" w:hAnsi="黑体" w:eastAsia="黑体" w:cs="黑体"/>
          <w:color w:val="000000" w:themeColor="text1"/>
          <w:lang w:val="en-US" w:eastAsia="zh-CN"/>
          <w14:textFill>
            <w14:solidFill>
              <w14:schemeClr w14:val="tx1"/>
            </w14:solidFill>
          </w14:textFill>
        </w:rPr>
      </w:pPr>
      <w:r>
        <w:rPr>
          <w:rFonts w:hint="default" w:ascii="黑体" w:hAnsi="黑体" w:eastAsia="黑体" w:cs="黑体"/>
          <w:color w:val="000000" w:themeColor="text1"/>
          <w:lang w:val="en-US" w:eastAsia="zh-CN"/>
          <w14:textFill>
            <w14:solidFill>
              <w14:schemeClr w14:val="tx1"/>
            </w14:solidFill>
          </w14:textFill>
        </w:rPr>
        <w:t>1</w:t>
      </w:r>
      <w:r>
        <w:rPr>
          <w:rFonts w:hint="eastAsia" w:ascii="黑体" w:hAnsi="黑体" w:eastAsia="黑体" w:cs="黑体"/>
          <w:color w:val="000000" w:themeColor="text1"/>
          <w:lang w:val="en-US" w:eastAsia="zh-CN"/>
          <w14:textFill>
            <w14:solidFill>
              <w14:schemeClr w14:val="tx1"/>
            </w14:solidFill>
          </w14:textFill>
        </w:rPr>
        <w:t>0</w:t>
      </w:r>
      <w:r>
        <w:rPr>
          <w:rFonts w:hint="default" w:ascii="黑体" w:hAnsi="黑体" w:eastAsia="黑体" w:cs="黑体"/>
          <w:color w:val="000000" w:themeColor="text1"/>
          <w:lang w:val="en-US" w:eastAsia="zh-CN"/>
          <w14:textFill>
            <w14:solidFill>
              <w14:schemeClr w14:val="tx1"/>
            </w14:solidFill>
          </w14:textFill>
        </w:rPr>
        <w:t>.1  防治原则</w:t>
      </w:r>
    </w:p>
    <w:p w14:paraId="49682AC2">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 坚持</w:t>
      </w:r>
      <w:r>
        <w:rPr>
          <w:rFonts w:hint="eastAsia" w:ascii="宋体" w:hAnsi="宋体" w:eastAsia="宋体" w:cs="宋体"/>
          <w:color w:val="000000" w:themeColor="text1"/>
          <w:szCs w:val="21"/>
          <w:lang w:val="en"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预防为主、综合防治</w:t>
      </w:r>
      <w:r>
        <w:rPr>
          <w:rFonts w:hint="eastAsia" w:ascii="宋体" w:hAnsi="宋体" w:eastAsia="宋体" w:cs="宋体"/>
          <w:color w:val="000000" w:themeColor="text1"/>
          <w:szCs w:val="21"/>
          <w:lang w:val="en"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的植保方针</w:t>
      </w:r>
      <w:r>
        <w:rPr>
          <w:rFonts w:hint="eastAsia" w:ascii="宋体" w:hAnsi="宋体" w:eastAsia="宋体" w:cs="宋体"/>
          <w:color w:val="000000" w:themeColor="text1"/>
          <w:szCs w:val="21"/>
          <w:lang w:val="en" w:eastAsia="zh-CN"/>
          <w14:textFill>
            <w14:solidFill>
              <w14:schemeClr w14:val="tx1"/>
            </w14:solidFill>
          </w14:textFill>
        </w:rPr>
        <w:t>，</w:t>
      </w:r>
      <w:r>
        <w:rPr>
          <w:rFonts w:hint="eastAsia" w:ascii="宋体" w:hAnsi="宋体" w:cs="宋体"/>
          <w:color w:val="000000" w:themeColor="text1"/>
          <w:szCs w:val="21"/>
          <w:lang w:val="en" w:eastAsia="zh-CN"/>
          <w14:textFill>
            <w14:solidFill>
              <w14:schemeClr w14:val="tx1"/>
            </w14:solidFill>
          </w14:textFill>
        </w:rPr>
        <w:t>结合实际发生情况，以</w:t>
      </w:r>
      <w:r>
        <w:rPr>
          <w:rFonts w:hint="eastAsia" w:ascii="宋体" w:hAnsi="宋体" w:cs="宋体"/>
          <w:color w:val="000000" w:themeColor="text1"/>
          <w:szCs w:val="21"/>
          <w:lang w:val="en"/>
          <w14:textFill>
            <w14:solidFill>
              <w14:schemeClr w14:val="tx1"/>
            </w14:solidFill>
          </w14:textFill>
        </w:rPr>
        <w:t>农业防治为基础、生物防治为重点、物理防治为辅助、化学防治为补充</w:t>
      </w:r>
      <w:r>
        <w:rPr>
          <w:rFonts w:hint="eastAsia" w:ascii="宋体" w:hAnsi="宋体" w:cs="宋体"/>
          <w:color w:val="000000" w:themeColor="text1"/>
          <w:szCs w:val="21"/>
          <w:lang w:val="en" w:eastAsia="zh-CN"/>
          <w14:textFill>
            <w14:solidFill>
              <w14:schemeClr w14:val="tx1"/>
            </w14:solidFill>
          </w14:textFill>
        </w:rPr>
        <w:t>。</w:t>
      </w:r>
    </w:p>
    <w:p w14:paraId="5EE78AC3">
      <w:pPr>
        <w:pStyle w:val="15"/>
        <w:autoSpaceDE w:val="0"/>
        <w:autoSpaceDN w:val="0"/>
        <w:adjustRightInd w:val="0"/>
        <w:spacing w:before="156" w:beforeLines="50" w:after="156" w:afterLines="50"/>
        <w:ind w:firstLine="0" w:firstLineChars="0"/>
        <w:outlineLvl w:val="1"/>
        <w:rPr>
          <w:rFonts w:hint="default" w:ascii="黑体" w:hAnsi="黑体" w:eastAsia="黑体" w:cs="黑体"/>
          <w:color w:val="000000" w:themeColor="text1"/>
          <w:lang w:val="en-US" w:eastAsia="zh-CN"/>
          <w14:textFill>
            <w14:solidFill>
              <w14:schemeClr w14:val="tx1"/>
            </w14:solidFill>
          </w14:textFill>
        </w:rPr>
      </w:pPr>
      <w:r>
        <w:rPr>
          <w:rFonts w:hint="default" w:ascii="黑体" w:hAnsi="黑体" w:eastAsia="黑体" w:cs="黑体"/>
          <w:color w:val="000000" w:themeColor="text1"/>
          <w:lang w:val="en-US" w:eastAsia="zh-CN"/>
          <w14:textFill>
            <w14:solidFill>
              <w14:schemeClr w14:val="tx1"/>
            </w14:solidFill>
          </w14:textFill>
        </w:rPr>
        <w:t>1</w:t>
      </w:r>
      <w:r>
        <w:rPr>
          <w:rFonts w:hint="eastAsia" w:ascii="黑体" w:hAnsi="黑体" w:eastAsia="黑体" w:cs="黑体"/>
          <w:color w:val="000000" w:themeColor="text1"/>
          <w:lang w:val="en-US" w:eastAsia="zh-CN"/>
          <w14:textFill>
            <w14:solidFill>
              <w14:schemeClr w14:val="tx1"/>
            </w14:solidFill>
          </w14:textFill>
        </w:rPr>
        <w:t>0</w:t>
      </w:r>
      <w:r>
        <w:rPr>
          <w:rFonts w:hint="default" w:ascii="黑体" w:hAnsi="黑体" w:eastAsia="黑体" w:cs="黑体"/>
          <w:color w:val="000000" w:themeColor="text1"/>
          <w:lang w:val="en-US"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2</w:t>
      </w:r>
      <w:r>
        <w:rPr>
          <w:rFonts w:hint="default" w:ascii="黑体" w:hAnsi="黑体" w:eastAsia="黑体" w:cs="黑体"/>
          <w:color w:val="000000" w:themeColor="text1"/>
          <w:lang w:val="en-US" w:eastAsia="zh-CN"/>
          <w14:textFill>
            <w14:solidFill>
              <w14:schemeClr w14:val="tx1"/>
            </w14:solidFill>
          </w14:textFill>
        </w:rPr>
        <w:t xml:space="preserve">  防治</w:t>
      </w:r>
      <w:r>
        <w:rPr>
          <w:rFonts w:hint="eastAsia" w:ascii="黑体" w:hAnsi="黑体" w:eastAsia="黑体" w:cs="黑体"/>
          <w:color w:val="000000" w:themeColor="text1"/>
          <w:lang w:val="en-US" w:eastAsia="zh-CN"/>
          <w14:textFill>
            <w14:solidFill>
              <w14:schemeClr w14:val="tx1"/>
            </w14:solidFill>
          </w14:textFill>
        </w:rPr>
        <w:t>对象</w:t>
      </w:r>
    </w:p>
    <w:p w14:paraId="69521C1E">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10.</w:t>
      </w:r>
      <w:r>
        <w:rPr>
          <w:rFonts w:hint="default" w:ascii="黑体" w:hAnsi="黑体" w:eastAsia="黑体" w:cs="黑体"/>
          <w:color w:val="000000" w:themeColor="text1"/>
          <w:lang w:val="en" w:eastAsia="zh-CN"/>
          <w14:textFill>
            <w14:solidFill>
              <w14:schemeClr w14:val="tx1"/>
            </w14:solidFill>
          </w14:textFill>
        </w:rPr>
        <w:t>2</w:t>
      </w:r>
      <w:r>
        <w:rPr>
          <w:rFonts w:hint="eastAsia" w:ascii="黑体" w:hAnsi="黑体" w:eastAsia="黑体" w:cs="黑体"/>
          <w:color w:val="000000" w:themeColor="text1"/>
          <w:lang w:val="en-US" w:eastAsia="zh-CN"/>
          <w14:textFill>
            <w14:solidFill>
              <w14:schemeClr w14:val="tx1"/>
            </w14:solidFill>
          </w14:textFill>
        </w:rPr>
        <w:t>.1  主要病害</w:t>
      </w:r>
    </w:p>
    <w:p w14:paraId="71950544">
      <w:pPr>
        <w:pStyle w:val="15"/>
        <w:autoSpaceDE w:val="0"/>
        <w:autoSpaceDN w:val="0"/>
        <w:adjustRightInd w:val="0"/>
        <w:spacing w:before="156" w:beforeLines="50" w:after="156" w:afterLines="50"/>
        <w:ind w:firstLine="420" w:firstLineChars="200"/>
        <w:outlineLvl w:val="1"/>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龙眼霜疫霉病、龙眼炭疽病，龙眼鬼帚病、龙眼白霉病等。</w:t>
      </w:r>
    </w:p>
    <w:p w14:paraId="5C361D1D">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10.</w:t>
      </w:r>
      <w:r>
        <w:rPr>
          <w:rFonts w:hint="default" w:ascii="黑体" w:hAnsi="黑体" w:eastAsia="黑体" w:cs="黑体"/>
          <w:color w:val="000000" w:themeColor="text1"/>
          <w:lang w:val="en" w:eastAsia="zh-CN"/>
          <w14:textFill>
            <w14:solidFill>
              <w14:schemeClr w14:val="tx1"/>
            </w14:solidFill>
          </w14:textFill>
        </w:rPr>
        <w:t>2</w:t>
      </w:r>
      <w:r>
        <w:rPr>
          <w:rFonts w:hint="eastAsia" w:ascii="黑体" w:hAnsi="黑体" w:eastAsia="黑体" w:cs="黑体"/>
          <w:color w:val="000000" w:themeColor="text1"/>
          <w:lang w:val="en-US" w:eastAsia="zh-CN"/>
          <w14:textFill>
            <w14:solidFill>
              <w14:schemeClr w14:val="tx1"/>
            </w14:solidFill>
          </w14:textFill>
        </w:rPr>
        <w:t>.2  主要虫害</w:t>
      </w:r>
    </w:p>
    <w:p w14:paraId="27A2C550">
      <w:pPr>
        <w:pStyle w:val="15"/>
        <w:autoSpaceDE w:val="0"/>
        <w:autoSpaceDN w:val="0"/>
        <w:adjustRightInd w:val="0"/>
        <w:spacing w:before="156" w:beforeLines="50" w:after="156" w:afterLines="50"/>
        <w:ind w:firstLine="420" w:firstLineChars="200"/>
        <w:outlineLvl w:val="1"/>
        <w:rPr>
          <w:rFonts w:hint="eastAsia" w:ascii="宋体" w:hAnsi="宋体" w:eastAsia="宋体" w:cs="宋体"/>
          <w:color w:val="000000" w:themeColor="text1"/>
          <w:lang w:val="e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荔枝蒂蛀虫、荔枝蝽、龙眼瘿螨、龙眼角颊木虱、蓟马、红蜘蛛等。</w:t>
      </w:r>
      <w:r>
        <w:rPr>
          <w:rFonts w:hint="eastAsia" w:ascii="宋体" w:hAnsi="宋体" w:eastAsia="宋体" w:cs="宋体"/>
          <w:color w:val="000000" w:themeColor="text1"/>
          <w:lang w:val="en"/>
          <w14:textFill>
            <w14:solidFill>
              <w14:schemeClr w14:val="tx1"/>
            </w14:solidFill>
          </w14:textFill>
        </w:rPr>
        <w:t>‌</w:t>
      </w:r>
    </w:p>
    <w:p w14:paraId="4D65E5C5">
      <w:pPr>
        <w:pStyle w:val="15"/>
        <w:autoSpaceDE w:val="0"/>
        <w:autoSpaceDN w:val="0"/>
        <w:adjustRightInd w:val="0"/>
        <w:spacing w:before="156" w:beforeLines="50" w:after="156" w:afterLines="50"/>
        <w:ind w:firstLine="0" w:firstLineChars="0"/>
        <w:outlineLvl w:val="1"/>
        <w:rPr>
          <w:rFonts w:hint="default" w:ascii="黑体" w:hAnsi="黑体" w:eastAsia="黑体" w:cs="黑体"/>
          <w:color w:val="000000" w:themeColor="text1"/>
          <w:lang w:val="en-US" w:eastAsia="zh-CN"/>
          <w14:textFill>
            <w14:solidFill>
              <w14:schemeClr w14:val="tx1"/>
            </w14:solidFill>
          </w14:textFill>
        </w:rPr>
      </w:pPr>
      <w:r>
        <w:rPr>
          <w:rFonts w:hint="default" w:ascii="黑体" w:hAnsi="黑体" w:eastAsia="黑体" w:cs="黑体"/>
          <w:color w:val="000000" w:themeColor="text1"/>
          <w:lang w:val="en-US" w:eastAsia="zh-CN"/>
          <w14:textFill>
            <w14:solidFill>
              <w14:schemeClr w14:val="tx1"/>
            </w14:solidFill>
          </w14:textFill>
        </w:rPr>
        <w:t>1</w:t>
      </w:r>
      <w:r>
        <w:rPr>
          <w:rFonts w:hint="eastAsia" w:ascii="黑体" w:hAnsi="黑体" w:eastAsia="黑体" w:cs="黑体"/>
          <w:color w:val="000000" w:themeColor="text1"/>
          <w:lang w:val="en-US" w:eastAsia="zh-CN"/>
          <w14:textFill>
            <w14:solidFill>
              <w14:schemeClr w14:val="tx1"/>
            </w14:solidFill>
          </w14:textFill>
        </w:rPr>
        <w:t>0</w:t>
      </w:r>
      <w:r>
        <w:rPr>
          <w:rFonts w:hint="default" w:ascii="黑体" w:hAnsi="黑体" w:eastAsia="黑体" w:cs="黑体"/>
          <w:color w:val="000000" w:themeColor="text1"/>
          <w:lang w:val="en-US"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4</w:t>
      </w:r>
      <w:r>
        <w:rPr>
          <w:rFonts w:hint="default" w:ascii="黑体" w:hAnsi="黑体" w:eastAsia="黑体" w:cs="黑体"/>
          <w:color w:val="000000" w:themeColor="text1"/>
          <w:lang w:val="en-US" w:eastAsia="zh-CN"/>
          <w14:textFill>
            <w14:solidFill>
              <w14:schemeClr w14:val="tx1"/>
            </w14:solidFill>
          </w14:textFill>
        </w:rPr>
        <w:t xml:space="preserve">  防治措施</w:t>
      </w:r>
    </w:p>
    <w:p w14:paraId="53BDBAA5">
      <w:pPr>
        <w:pStyle w:val="15"/>
        <w:autoSpaceDE w:val="0"/>
        <w:autoSpaceDN w:val="0"/>
        <w:adjustRightInd w:val="0"/>
        <w:spacing w:before="156" w:beforeLines="50" w:after="156" w:afterLines="50"/>
        <w:ind w:firstLine="0" w:firstLineChars="0"/>
        <w:outlineLvl w:val="1"/>
        <w:rPr>
          <w:rFonts w:hint="default" w:ascii="黑体" w:hAnsi="黑体" w:eastAsia="黑体" w:cs="黑体"/>
          <w:color w:val="000000" w:themeColor="text1"/>
          <w:lang w:val="en-US" w:eastAsia="zh-CN"/>
          <w14:textFill>
            <w14:solidFill>
              <w14:schemeClr w14:val="tx1"/>
            </w14:solidFill>
          </w14:textFill>
        </w:rPr>
      </w:pPr>
      <w:r>
        <w:rPr>
          <w:rFonts w:hint="default" w:ascii="黑体" w:hAnsi="黑体" w:eastAsia="黑体" w:cs="黑体"/>
          <w:color w:val="000000" w:themeColor="text1"/>
          <w:lang w:val="en-US" w:eastAsia="zh-CN"/>
          <w14:textFill>
            <w14:solidFill>
              <w14:schemeClr w14:val="tx1"/>
            </w14:solidFill>
          </w14:textFill>
        </w:rPr>
        <w:t>1</w:t>
      </w:r>
      <w:r>
        <w:rPr>
          <w:rFonts w:hint="eastAsia" w:ascii="黑体" w:hAnsi="黑体" w:eastAsia="黑体" w:cs="黑体"/>
          <w:color w:val="000000" w:themeColor="text1"/>
          <w:lang w:val="en-US" w:eastAsia="zh-CN"/>
          <w14:textFill>
            <w14:solidFill>
              <w14:schemeClr w14:val="tx1"/>
            </w14:solidFill>
          </w14:textFill>
        </w:rPr>
        <w:t>0</w:t>
      </w:r>
      <w:r>
        <w:rPr>
          <w:rFonts w:hint="default" w:ascii="黑体" w:hAnsi="黑体" w:eastAsia="黑体" w:cs="黑体"/>
          <w:color w:val="000000" w:themeColor="text1"/>
          <w:lang w:val="en-US"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4.1</w:t>
      </w:r>
      <w:r>
        <w:rPr>
          <w:rFonts w:hint="default" w:ascii="黑体" w:hAnsi="黑体" w:eastAsia="黑体" w:cs="黑体"/>
          <w:color w:val="000000" w:themeColor="text1"/>
          <w:lang w:val="en-US" w:eastAsia="zh-CN"/>
          <w14:textFill>
            <w14:solidFill>
              <w14:schemeClr w14:val="tx1"/>
            </w14:solidFill>
          </w14:textFill>
        </w:rPr>
        <w:t xml:space="preserve">  </w:t>
      </w:r>
      <w:r>
        <w:rPr>
          <w:rFonts w:hint="eastAsia" w:ascii="黑体" w:hAnsi="黑体" w:eastAsia="黑体" w:cs="黑体"/>
          <w:color w:val="000000" w:themeColor="text1"/>
          <w:lang w:val="en-US" w:eastAsia="zh-CN"/>
          <w14:textFill>
            <w14:solidFill>
              <w14:schemeClr w14:val="tx1"/>
            </w14:solidFill>
          </w14:textFill>
        </w:rPr>
        <w:t>病虫害预报预测</w:t>
      </w:r>
    </w:p>
    <w:p w14:paraId="763B5D92">
      <w:pPr>
        <w:pStyle w:val="15"/>
        <w:autoSpaceDE w:val="0"/>
        <w:autoSpaceDN w:val="0"/>
        <w:adjustRightInd w:val="0"/>
        <w:spacing w:before="156" w:beforeLines="50" w:after="156" w:afterLines="50"/>
        <w:ind w:firstLine="420" w:firstLineChars="20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宋体" w:hAnsi="宋体" w:eastAsia="宋体" w:cs="宋体"/>
          <w:bCs w:val="0"/>
          <w:color w:val="000000" w:themeColor="text1"/>
          <w:kern w:val="2"/>
          <w:sz w:val="21"/>
          <w:szCs w:val="21"/>
          <w:lang w:val="en" w:eastAsia="zh-CN"/>
          <w14:textFill>
            <w14:solidFill>
              <w14:schemeClr w14:val="tx1"/>
            </w14:solidFill>
          </w14:textFill>
        </w:rPr>
        <w:t>建立病虫害</w:t>
      </w:r>
      <w:r>
        <w:rPr>
          <w:rFonts w:hint="default" w:ascii="宋体" w:hAnsi="宋体" w:eastAsia="宋体" w:cs="宋体"/>
          <w:bCs w:val="0"/>
          <w:color w:val="000000" w:themeColor="text1"/>
          <w:kern w:val="2"/>
          <w:sz w:val="21"/>
          <w:szCs w:val="21"/>
          <w:lang w:val="en" w:eastAsia="zh-CN"/>
          <w14:textFill>
            <w14:solidFill>
              <w14:schemeClr w14:val="tx1"/>
            </w14:solidFill>
          </w14:textFill>
        </w:rPr>
        <w:t>预报预测系统。</w:t>
      </w:r>
      <w:r>
        <w:rPr>
          <w:rFonts w:hint="eastAsia" w:ascii="宋体" w:hAnsi="宋体" w:eastAsia="宋体" w:cs="宋体"/>
          <w:color w:val="000000" w:themeColor="text1"/>
          <w:lang w:val="en"/>
          <w14:textFill>
            <w14:solidFill>
              <w14:schemeClr w14:val="tx1"/>
            </w14:solidFill>
          </w14:textFill>
        </w:rPr>
        <w:t>通过监测</w:t>
      </w:r>
      <w:r>
        <w:rPr>
          <w:rFonts w:hint="eastAsia" w:ascii="宋体" w:hAnsi="宋体" w:cs="宋体"/>
          <w:color w:val="000000" w:themeColor="text1"/>
          <w:lang w:val="en" w:eastAsia="zh-CN"/>
          <w14:textFill>
            <w14:solidFill>
              <w14:schemeClr w14:val="tx1"/>
            </w14:solidFill>
          </w14:textFill>
        </w:rPr>
        <w:t>果园</w:t>
      </w:r>
      <w:r>
        <w:rPr>
          <w:rFonts w:hint="eastAsia" w:ascii="宋体" w:hAnsi="宋体" w:eastAsia="宋体" w:cs="宋体"/>
          <w:color w:val="000000" w:themeColor="text1"/>
          <w:lang w:val="en"/>
          <w14:textFill>
            <w14:solidFill>
              <w14:schemeClr w14:val="tx1"/>
            </w14:solidFill>
          </w14:textFill>
        </w:rPr>
        <w:t>环境、气象条件和病虫害发生规律，提前预测病虫害发生的可能性及其危害程度，根据监测和</w:t>
      </w:r>
      <w:r>
        <w:rPr>
          <w:rFonts w:hint="eastAsia" w:ascii="宋体" w:hAnsi="宋体" w:eastAsia="宋体" w:cs="宋体"/>
          <w:color w:val="000000" w:themeColor="text1"/>
          <w:lang w:val="en" w:eastAsia="zh-CN"/>
          <w14:textFill>
            <w14:solidFill>
              <w14:schemeClr w14:val="tx1"/>
            </w14:solidFill>
          </w14:textFill>
        </w:rPr>
        <w:t>数据</w:t>
      </w:r>
      <w:r>
        <w:rPr>
          <w:rFonts w:hint="eastAsia" w:ascii="宋体" w:hAnsi="宋体" w:eastAsia="宋体" w:cs="宋体"/>
          <w:color w:val="000000" w:themeColor="text1"/>
          <w:lang w:val="en"/>
          <w14:textFill>
            <w14:solidFill>
              <w14:schemeClr w14:val="tx1"/>
            </w14:solidFill>
          </w14:textFill>
        </w:rPr>
        <w:t>分析结果</w:t>
      </w:r>
      <w:r>
        <w:rPr>
          <w:rFonts w:hint="default" w:ascii="宋体" w:hAnsi="宋体" w:eastAsia="宋体" w:cs="宋体"/>
          <w:color w:val="000000" w:themeColor="text1"/>
          <w:lang w:val="en"/>
          <w14:textFill>
            <w14:solidFill>
              <w14:schemeClr w14:val="tx1"/>
            </w14:solidFill>
          </w14:textFill>
        </w:rPr>
        <w:t>，</w:t>
      </w:r>
      <w:r>
        <w:rPr>
          <w:rFonts w:hint="eastAsia" w:ascii="宋体" w:hAnsi="宋体" w:eastAsia="宋体" w:cs="宋体"/>
          <w:color w:val="000000" w:themeColor="text1"/>
          <w:lang w:val="en"/>
          <w14:textFill>
            <w14:solidFill>
              <w14:schemeClr w14:val="tx1"/>
            </w14:solidFill>
          </w14:textFill>
        </w:rPr>
        <w:t>为</w:t>
      </w:r>
      <w:r>
        <w:rPr>
          <w:rFonts w:hint="eastAsia" w:ascii="宋体" w:hAnsi="宋体" w:cs="宋体"/>
          <w:color w:val="000000" w:themeColor="text1"/>
          <w:lang w:val="en" w:eastAsia="zh-CN"/>
          <w14:textFill>
            <w14:solidFill>
              <w14:schemeClr w14:val="tx1"/>
            </w14:solidFill>
          </w14:textFill>
        </w:rPr>
        <w:t>龙眼</w:t>
      </w:r>
      <w:r>
        <w:rPr>
          <w:rFonts w:hint="default" w:ascii="宋体" w:hAnsi="宋体" w:eastAsia="宋体" w:cs="宋体"/>
          <w:color w:val="000000" w:themeColor="text1"/>
          <w:lang w:val="en"/>
          <w14:textFill>
            <w14:solidFill>
              <w14:schemeClr w14:val="tx1"/>
            </w14:solidFill>
          </w14:textFill>
        </w:rPr>
        <w:t>病虫害防治</w:t>
      </w:r>
      <w:r>
        <w:rPr>
          <w:rFonts w:hint="eastAsia" w:ascii="宋体" w:hAnsi="宋体" w:eastAsia="宋体" w:cs="宋体"/>
          <w:color w:val="000000" w:themeColor="text1"/>
          <w:lang w:val="en"/>
          <w14:textFill>
            <w14:solidFill>
              <w14:schemeClr w14:val="tx1"/>
            </w14:solidFill>
          </w14:textFill>
        </w:rPr>
        <w:t>制定合理的防治策略提供依据</w:t>
      </w:r>
      <w:r>
        <w:rPr>
          <w:rFonts w:hint="default" w:ascii="宋体" w:hAnsi="宋体" w:eastAsia="宋体" w:cs="宋体"/>
          <w:color w:val="000000" w:themeColor="text1"/>
          <w:lang w:val="en"/>
          <w14:textFill>
            <w14:solidFill>
              <w14:schemeClr w14:val="tx1"/>
            </w14:solidFill>
          </w14:textFill>
        </w:rPr>
        <w:t>。</w:t>
      </w:r>
    </w:p>
    <w:p w14:paraId="0026482F">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10.4.2  农业防治</w:t>
      </w:r>
    </w:p>
    <w:p w14:paraId="3169EE69">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加强栽培管理，培育壮苗，提高树体抗病虫害能力；及时剪除病枝、病叶、病果，减少侵染源；</w:t>
      </w:r>
      <w:r>
        <w:rPr>
          <w:rFonts w:hint="eastAsia" w:ascii="宋体" w:hAnsi="宋体" w:cs="宋体"/>
          <w:color w:val="000000" w:themeColor="text1"/>
          <w:szCs w:val="21"/>
          <w:lang w:val="en-US" w:eastAsia="zh-CN"/>
          <w14:textFill>
            <w14:solidFill>
              <w14:schemeClr w14:val="tx1"/>
            </w14:solidFill>
          </w14:textFill>
        </w:rPr>
        <w:t>留种藿香蓟、紫花苜蓿等益草，吸引草蛉、瓢虫等天敌昆虫；</w:t>
      </w:r>
      <w:r>
        <w:rPr>
          <w:rFonts w:hint="eastAsia" w:ascii="宋体" w:hAnsi="宋体" w:eastAsia="宋体" w:cs="宋体"/>
          <w:color w:val="000000" w:themeColor="text1"/>
          <w:szCs w:val="21"/>
          <w:lang w:val="en-US" w:eastAsia="zh-CN"/>
          <w14:textFill>
            <w14:solidFill>
              <w14:schemeClr w14:val="tx1"/>
            </w14:solidFill>
          </w14:textFill>
        </w:rPr>
        <w:t>采取科学施肥、合理灌溉、通风透光、适宜密度、合理负载、定期中耕除草、清洁果园等措施控制病虫害发生。</w:t>
      </w:r>
    </w:p>
    <w:p w14:paraId="1EB75160">
      <w:pPr>
        <w:pStyle w:val="15"/>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10.4.3  物理防治</w:t>
      </w:r>
    </w:p>
    <w:p w14:paraId="3AB1EA8A">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采用</w:t>
      </w:r>
      <w:r>
        <w:rPr>
          <w:rFonts w:hint="eastAsia" w:ascii="宋体" w:hAnsi="宋体" w:cs="宋体"/>
          <w:color w:val="000000" w:themeColor="text1"/>
          <w:szCs w:val="21"/>
          <w:lang w:val="en-US" w:eastAsia="zh-CN"/>
          <w14:textFill>
            <w14:solidFill>
              <w14:schemeClr w14:val="tx1"/>
            </w14:solidFill>
          </w14:textFill>
        </w:rPr>
        <w:t>黑光灯、频振式杀虫灯</w:t>
      </w:r>
      <w:r>
        <w:rPr>
          <w:rFonts w:hint="eastAsia" w:ascii="宋体" w:hAnsi="宋体" w:eastAsia="宋体" w:cs="宋体"/>
          <w:color w:val="000000" w:themeColor="text1"/>
          <w:szCs w:val="21"/>
          <w:lang w:val="en-US" w:eastAsia="zh-CN"/>
          <w14:textFill>
            <w14:solidFill>
              <w14:schemeClr w14:val="tx1"/>
            </w14:solidFill>
          </w14:textFill>
        </w:rPr>
        <w:t>、黏虫板等方法诱杀害虫。</w:t>
      </w:r>
    </w:p>
    <w:p w14:paraId="1F26BB23">
      <w:pPr>
        <w:pStyle w:val="15"/>
        <w:autoSpaceDE w:val="0"/>
        <w:autoSpaceDN w:val="0"/>
        <w:adjustRightInd w:val="0"/>
        <w:spacing w:before="156" w:beforeLines="50" w:after="156" w:afterLines="50"/>
        <w:ind w:firstLine="0" w:firstLineChars="0"/>
        <w:outlineLvl w:val="1"/>
        <w:rPr>
          <w:rFonts w:hint="default" w:ascii="黑体" w:hAnsi="黑体" w:eastAsia="黑体" w:cs="黑体"/>
          <w:color w:val="000000" w:themeColor="text1"/>
          <w:lang w:val="en-US" w:eastAsia="zh-CN"/>
          <w14:textFill>
            <w14:solidFill>
              <w14:schemeClr w14:val="tx1"/>
            </w14:solidFill>
          </w14:textFill>
        </w:rPr>
      </w:pPr>
      <w:r>
        <w:rPr>
          <w:rFonts w:hint="default" w:ascii="黑体" w:hAnsi="黑体" w:eastAsia="黑体" w:cs="黑体"/>
          <w:color w:val="000000" w:themeColor="text1"/>
          <w:lang w:val="en-US" w:eastAsia="zh-CN"/>
          <w14:textFill>
            <w14:solidFill>
              <w14:schemeClr w14:val="tx1"/>
            </w14:solidFill>
          </w14:textFill>
        </w:rPr>
        <w:t>1</w:t>
      </w:r>
      <w:r>
        <w:rPr>
          <w:rFonts w:hint="eastAsia" w:ascii="黑体" w:hAnsi="黑体" w:eastAsia="黑体" w:cs="黑体"/>
          <w:color w:val="000000" w:themeColor="text1"/>
          <w:lang w:val="en-US" w:eastAsia="zh-CN"/>
          <w14:textFill>
            <w14:solidFill>
              <w14:schemeClr w14:val="tx1"/>
            </w14:solidFill>
          </w14:textFill>
        </w:rPr>
        <w:t>0</w:t>
      </w:r>
      <w:r>
        <w:rPr>
          <w:rFonts w:hint="default" w:ascii="黑体" w:hAnsi="黑体" w:eastAsia="黑体" w:cs="黑体"/>
          <w:color w:val="000000" w:themeColor="text1"/>
          <w:lang w:val="en-US"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4</w:t>
      </w:r>
      <w:r>
        <w:rPr>
          <w:rFonts w:hint="default" w:ascii="黑体" w:hAnsi="黑体" w:eastAsia="黑体" w:cs="黑体"/>
          <w:color w:val="000000" w:themeColor="text1"/>
          <w:lang w:val="en-US"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4</w:t>
      </w:r>
      <w:r>
        <w:rPr>
          <w:rFonts w:hint="default" w:ascii="黑体" w:hAnsi="黑体" w:eastAsia="黑体" w:cs="黑体"/>
          <w:color w:val="000000" w:themeColor="text1"/>
          <w:lang w:val="en-US" w:eastAsia="zh-CN"/>
          <w14:textFill>
            <w14:solidFill>
              <w14:schemeClr w14:val="tx1"/>
            </w14:solidFill>
          </w14:textFill>
        </w:rPr>
        <w:t xml:space="preserve">  生物防治</w:t>
      </w:r>
    </w:p>
    <w:p w14:paraId="6E3643A7">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采用登记的生物源农药以及</w:t>
      </w:r>
      <w:r>
        <w:rPr>
          <w:rFonts w:hint="eastAsia" w:ascii="宋体" w:hAnsi="宋体" w:cs="宋体"/>
          <w:color w:val="000000" w:themeColor="text1"/>
          <w:szCs w:val="21"/>
          <w:lang w:val="en-US" w:eastAsia="zh-CN"/>
          <w14:textFill>
            <w14:solidFill>
              <w14:schemeClr w14:val="tx1"/>
            </w14:solidFill>
          </w14:textFill>
        </w:rPr>
        <w:t>人工释放</w:t>
      </w:r>
      <w:r>
        <w:rPr>
          <w:rFonts w:hint="eastAsia" w:ascii="宋体" w:hAnsi="宋体" w:eastAsia="宋体" w:cs="宋体"/>
          <w:color w:val="000000" w:themeColor="text1"/>
          <w:szCs w:val="21"/>
          <w:lang w:val="en-US" w:eastAsia="zh-CN"/>
          <w14:textFill>
            <w14:solidFill>
              <w14:schemeClr w14:val="tx1"/>
            </w14:solidFill>
          </w14:textFill>
        </w:rPr>
        <w:t>害虫天敌</w:t>
      </w:r>
      <w:r>
        <w:rPr>
          <w:rFonts w:hint="eastAsia" w:ascii="宋体" w:hAnsi="宋体" w:cs="宋体"/>
          <w:color w:val="000000" w:themeColor="text1"/>
          <w:szCs w:val="21"/>
          <w:lang w:val="en-US" w:eastAsia="zh-CN"/>
          <w14:textFill>
            <w14:solidFill>
              <w14:schemeClr w14:val="tx1"/>
            </w14:solidFill>
          </w14:textFill>
        </w:rPr>
        <w:t>平腹小蜂、捕食螨</w:t>
      </w:r>
      <w:r>
        <w:rPr>
          <w:rFonts w:hint="eastAsia" w:ascii="宋体" w:hAnsi="宋体" w:eastAsia="宋体" w:cs="宋体"/>
          <w:color w:val="000000" w:themeColor="text1"/>
          <w:szCs w:val="21"/>
          <w:lang w:val="en-US" w:eastAsia="zh-CN"/>
          <w14:textFill>
            <w14:solidFill>
              <w14:schemeClr w14:val="tx1"/>
            </w14:solidFill>
          </w14:textFill>
        </w:rPr>
        <w:t>等防治虫害。</w:t>
      </w:r>
    </w:p>
    <w:p w14:paraId="37FADEC9">
      <w:pPr>
        <w:pStyle w:val="15"/>
        <w:autoSpaceDE w:val="0"/>
        <w:autoSpaceDN w:val="0"/>
        <w:adjustRightInd w:val="0"/>
        <w:spacing w:before="156" w:beforeLines="50" w:after="156" w:afterLines="50"/>
        <w:ind w:firstLine="0" w:firstLineChars="0"/>
        <w:outlineLvl w:val="1"/>
        <w:rPr>
          <w:rFonts w:hint="default" w:ascii="黑体" w:hAnsi="黑体" w:eastAsia="黑体" w:cs="黑体"/>
          <w:color w:val="000000" w:themeColor="text1"/>
          <w:lang w:val="en-US" w:eastAsia="zh-CN"/>
          <w14:textFill>
            <w14:solidFill>
              <w14:schemeClr w14:val="tx1"/>
            </w14:solidFill>
          </w14:textFill>
        </w:rPr>
      </w:pPr>
      <w:r>
        <w:rPr>
          <w:rFonts w:hint="default" w:ascii="黑体" w:hAnsi="黑体" w:eastAsia="黑体" w:cs="黑体"/>
          <w:color w:val="000000" w:themeColor="text1"/>
          <w:lang w:val="en-US" w:eastAsia="zh-CN"/>
          <w14:textFill>
            <w14:solidFill>
              <w14:schemeClr w14:val="tx1"/>
            </w14:solidFill>
          </w14:textFill>
        </w:rPr>
        <w:t>1</w:t>
      </w:r>
      <w:r>
        <w:rPr>
          <w:rFonts w:hint="eastAsia" w:ascii="黑体" w:hAnsi="黑体" w:eastAsia="黑体" w:cs="黑体"/>
          <w:color w:val="000000" w:themeColor="text1"/>
          <w:lang w:val="en-US" w:eastAsia="zh-CN"/>
          <w14:textFill>
            <w14:solidFill>
              <w14:schemeClr w14:val="tx1"/>
            </w14:solidFill>
          </w14:textFill>
        </w:rPr>
        <w:t>0</w:t>
      </w:r>
      <w:r>
        <w:rPr>
          <w:rFonts w:hint="default" w:ascii="黑体" w:hAnsi="黑体" w:eastAsia="黑体" w:cs="黑体"/>
          <w:color w:val="000000" w:themeColor="text1"/>
          <w:lang w:val="en-US"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4</w:t>
      </w:r>
      <w:r>
        <w:rPr>
          <w:rFonts w:hint="default" w:ascii="黑体" w:hAnsi="黑体" w:eastAsia="黑体" w:cs="黑体"/>
          <w:color w:val="000000" w:themeColor="text1"/>
          <w:lang w:val="en-US"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5</w:t>
      </w:r>
      <w:r>
        <w:rPr>
          <w:rFonts w:hint="default" w:ascii="黑体" w:hAnsi="黑体" w:eastAsia="黑体" w:cs="黑体"/>
          <w:color w:val="000000" w:themeColor="text1"/>
          <w:lang w:val="en-US" w:eastAsia="zh-CN"/>
          <w14:textFill>
            <w14:solidFill>
              <w14:schemeClr w14:val="tx1"/>
            </w14:solidFill>
          </w14:textFill>
        </w:rPr>
        <w:t xml:space="preserve">  化学防治</w:t>
      </w:r>
    </w:p>
    <w:p w14:paraId="07A2C203">
      <w:pPr>
        <w:ind w:left="840" w:leftChars="200" w:hanging="420" w:hangingChars="200"/>
        <w:jc w:val="both"/>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a) 宜选用符合国家规定，高效、低毒、低残留、环境友好型农药，不同作用机理农药应轮换、交</w:t>
      </w:r>
    </w:p>
    <w:p w14:paraId="34BF1CCE">
      <w:pPr>
        <w:ind w:left="840" w:leftChars="300" w:hanging="210" w:hangingChars="100"/>
        <w:jc w:val="both"/>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替使用，农药使用准则按GB/T 8321（所有部分）的规定执行</w:t>
      </w:r>
      <w:r>
        <w:rPr>
          <w:rFonts w:hint="eastAsia" w:ascii="宋体" w:hAnsi="宋体" w:cs="宋体"/>
          <w:color w:val="000000" w:themeColor="text1"/>
          <w:szCs w:val="21"/>
          <w:lang w:val="en-US" w:eastAsia="zh-CN"/>
          <w14:textFill>
            <w14:solidFill>
              <w14:schemeClr w14:val="tx1"/>
            </w14:solidFill>
          </w14:textFill>
        </w:rPr>
        <w:t>，化学防控方法参照NY/T 1479相</w:t>
      </w:r>
    </w:p>
    <w:p w14:paraId="3D6C8D64">
      <w:pPr>
        <w:ind w:left="840" w:leftChars="300" w:hanging="210" w:hangingChars="100"/>
        <w:jc w:val="both"/>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关规定执行</w:t>
      </w:r>
      <w:r>
        <w:rPr>
          <w:rFonts w:hint="eastAsia" w:ascii="宋体" w:hAnsi="宋体" w:eastAsia="宋体" w:cs="宋体"/>
          <w:color w:val="000000" w:themeColor="text1"/>
          <w:szCs w:val="21"/>
          <w:lang w:val="en-US" w:eastAsia="zh-CN"/>
          <w14:textFill>
            <w14:solidFill>
              <w14:schemeClr w14:val="tx1"/>
            </w14:solidFill>
          </w14:textFill>
        </w:rPr>
        <w:t>。</w:t>
      </w:r>
    </w:p>
    <w:p w14:paraId="49F681EA">
      <w:pPr>
        <w:ind w:left="840" w:leftChars="200" w:hanging="420" w:hanging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b) 在</w:t>
      </w:r>
      <w:r>
        <w:rPr>
          <w:rFonts w:hint="eastAsia" w:ascii="宋体" w:hAnsi="宋体" w:cs="宋体"/>
          <w:color w:val="000000" w:themeColor="text1"/>
          <w:szCs w:val="21"/>
          <w:lang w:val="en-US" w:eastAsia="zh-CN"/>
          <w14:textFill>
            <w14:solidFill>
              <w14:schemeClr w14:val="tx1"/>
            </w14:solidFill>
          </w14:textFill>
        </w:rPr>
        <w:t>春梢期、花期、幼果膨大期、秋梢期、冬季清园</w:t>
      </w:r>
      <w:r>
        <w:rPr>
          <w:rFonts w:hint="eastAsia" w:ascii="宋体" w:hAnsi="宋体" w:eastAsia="宋体" w:cs="宋体"/>
          <w:color w:val="000000" w:themeColor="text1"/>
          <w:szCs w:val="21"/>
          <w:lang w:val="en-US" w:eastAsia="zh-CN"/>
          <w14:textFill>
            <w14:solidFill>
              <w14:schemeClr w14:val="tx1"/>
            </w14:solidFill>
          </w14:textFill>
        </w:rPr>
        <w:t>等关键时期，精准施药</w:t>
      </w:r>
      <w:r>
        <w:rPr>
          <w:rFonts w:hint="eastAsia" w:ascii="宋体" w:hAnsi="宋体" w:cs="宋体"/>
          <w:color w:val="000000" w:themeColor="text1"/>
          <w:szCs w:val="21"/>
          <w:lang w:val="en-US" w:eastAsia="zh-CN"/>
          <w14:textFill>
            <w14:solidFill>
              <w14:schemeClr w14:val="tx1"/>
            </w14:solidFill>
          </w14:textFill>
        </w:rPr>
        <w:t>。储良龙眼主要病虫</w:t>
      </w:r>
    </w:p>
    <w:p w14:paraId="2E7DD7D8">
      <w:pPr>
        <w:ind w:firstLine="630" w:firstLineChars="3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害的化学防治方法见附录A。</w:t>
      </w:r>
    </w:p>
    <w:p w14:paraId="359647DF">
      <w:pPr>
        <w:pStyle w:val="15"/>
        <w:autoSpaceDE w:val="0"/>
        <w:autoSpaceDN w:val="0"/>
        <w:adjustRightInd w:val="0"/>
        <w:spacing w:before="312" w:beforeLines="100" w:after="312" w:afterLines="100"/>
        <w:ind w:firstLine="0" w:firstLineChars="0"/>
        <w:outlineLvl w:val="0"/>
        <w:rPr>
          <w:rFonts w:hint="eastAsia" w:ascii="黑体" w:hAnsi="黑体" w:eastAsia="黑体" w:cs="Times New Roman"/>
          <w:bCs/>
          <w:color w:val="000000" w:themeColor="text1"/>
          <w:kern w:val="0"/>
          <w:lang w:val="en-US" w:eastAsia="zh-CN"/>
          <w14:textFill>
            <w14:solidFill>
              <w14:schemeClr w14:val="tx1"/>
            </w14:solidFill>
          </w14:textFill>
        </w:rPr>
      </w:pPr>
      <w:bookmarkStart w:id="388" w:name="_Toc1491457565"/>
      <w:bookmarkStart w:id="389" w:name="_Toc556429785"/>
      <w:bookmarkStart w:id="390" w:name="_Toc1656192780"/>
      <w:bookmarkStart w:id="391" w:name="_Toc969667045"/>
      <w:bookmarkStart w:id="392" w:name="_Toc1576990003"/>
      <w:r>
        <w:rPr>
          <w:rFonts w:hint="eastAsia" w:ascii="黑体" w:hAnsi="黑体" w:eastAsia="黑体" w:cs="Times New Roman"/>
          <w:bCs/>
          <w:color w:val="000000" w:themeColor="text1"/>
          <w:kern w:val="0"/>
          <w:lang w:val="en-US" w:eastAsia="zh-CN"/>
          <w14:textFill>
            <w14:solidFill>
              <w14:schemeClr w14:val="tx1"/>
            </w14:solidFill>
          </w14:textFill>
        </w:rPr>
        <w:t>11  果实采收</w:t>
      </w:r>
      <w:bookmarkEnd w:id="388"/>
      <w:bookmarkEnd w:id="389"/>
      <w:bookmarkEnd w:id="390"/>
      <w:bookmarkEnd w:id="391"/>
      <w:bookmarkEnd w:id="392"/>
    </w:p>
    <w:p w14:paraId="2B736114">
      <w:pPr>
        <w:autoSpaceDE/>
        <w:autoSpaceDN/>
        <w:adjustRightInd/>
        <w:spacing w:beforeLines="0" w:afterLines="0"/>
        <w:ind w:firstLine="0" w:firstLineChars="0"/>
        <w:outlineLvl w:val="9"/>
        <w:rPr>
          <w:rFonts w:hint="eastAsia" w:ascii="宋体" w:hAnsi="宋体" w:eastAsia="宋体" w:cs="宋体"/>
          <w:color w:val="000000" w:themeColor="text1"/>
          <w:szCs w:val="21"/>
          <w:lang w:val="en-US" w:eastAsia="zh-CN"/>
          <w14:textFill>
            <w14:solidFill>
              <w14:schemeClr w14:val="tx1"/>
            </w14:solidFill>
          </w14:textFill>
        </w:rPr>
      </w:pPr>
      <w:r>
        <w:rPr>
          <w:rFonts w:hint="eastAsia" w:ascii="黑体" w:hAnsi="黑体" w:eastAsia="黑体" w:cs="黑体"/>
          <w:bCs w:val="0"/>
          <w:color w:val="000000" w:themeColor="text1"/>
          <w:kern w:val="2"/>
          <w:sz w:val="21"/>
          <w:szCs w:val="21"/>
          <w:lang w:val="en-US" w:eastAsia="zh-CN"/>
          <w14:textFill>
            <w14:solidFill>
              <w14:schemeClr w14:val="tx1"/>
            </w14:solidFill>
          </w14:textFill>
        </w:rPr>
        <w:t>11.1</w:t>
      </w:r>
      <w:r>
        <w:rPr>
          <w:rFonts w:hint="eastAsia" w:ascii="黑体" w:hAnsi="黑体" w:eastAsia="黑体" w:cs="黑体"/>
          <w:color w:val="000000" w:themeColor="text1"/>
          <w:sz w:val="21"/>
          <w:szCs w:val="21"/>
          <w:lang w:eastAsia="zh-CN"/>
          <w14:textFill>
            <w14:solidFill>
              <w14:schemeClr w14:val="tx1"/>
            </w14:solidFill>
          </w14:textFill>
        </w:rPr>
        <w:t xml:space="preserve"> </w:t>
      </w:r>
      <w:r>
        <w:rPr>
          <w:rFonts w:hint="eastAsia" w:ascii="黑体" w:hAnsi="黑体" w:eastAsia="黑体" w:cs="黑体"/>
          <w:color w:val="000000" w:themeColor="text1"/>
          <w:sz w:val="20"/>
          <w:szCs w:val="20"/>
          <w:lang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应在果实正常成熟，表现出该品种固有的品质特性（色泽、香味、风味和口感等）时采收。</w:t>
      </w:r>
    </w:p>
    <w:p w14:paraId="3B4179E9">
      <w:pPr>
        <w:autoSpaceDE/>
        <w:autoSpaceDN/>
        <w:adjustRightInd/>
        <w:spacing w:beforeLines="0" w:afterLines="0"/>
        <w:ind w:firstLine="0" w:firstLineChars="0"/>
        <w:outlineLvl w:val="9"/>
        <w:rPr>
          <w:rFonts w:hint="eastAsia" w:ascii="宋体" w:hAnsi="宋体" w:cs="宋体"/>
          <w:color w:val="000000" w:themeColor="text1"/>
          <w:szCs w:val="21"/>
          <w:lang w:val="en-US" w:eastAsia="zh-CN"/>
          <w14:textFill>
            <w14:solidFill>
              <w14:schemeClr w14:val="tx1"/>
            </w14:solidFill>
          </w14:textFill>
        </w:rPr>
      </w:pPr>
      <w:r>
        <w:rPr>
          <w:rFonts w:hint="eastAsia" w:ascii="黑体" w:hAnsi="黑体" w:eastAsia="黑体" w:cs="黑体"/>
          <w:bCs w:val="0"/>
          <w:color w:val="000000" w:themeColor="text1"/>
          <w:kern w:val="2"/>
          <w:sz w:val="21"/>
          <w:szCs w:val="21"/>
          <w:lang w:val="en-US" w:eastAsia="zh-CN"/>
          <w14:textFill>
            <w14:solidFill>
              <w14:schemeClr w14:val="tx1"/>
            </w14:solidFill>
          </w14:textFill>
        </w:rPr>
        <w:t>11</w:t>
      </w:r>
      <w:r>
        <w:rPr>
          <w:rFonts w:hint="eastAsia" w:ascii="黑体" w:hAnsi="黑体" w:eastAsia="黑体" w:cs="黑体"/>
          <w:color w:val="000000" w:themeColor="text1"/>
          <w:sz w:val="21"/>
          <w:szCs w:val="21"/>
          <w:lang w:eastAsia="zh-CN"/>
          <w14:textFill>
            <w14:solidFill>
              <w14:schemeClr w14:val="tx1"/>
            </w14:solidFill>
          </w14:textFill>
        </w:rPr>
        <w:t>.</w:t>
      </w:r>
      <w:r>
        <w:rPr>
          <w:rFonts w:hint="eastAsia" w:ascii="黑体" w:hAnsi="黑体" w:eastAsia="黑体" w:cs="黑体"/>
          <w:color w:val="000000" w:themeColor="text1"/>
          <w:sz w:val="21"/>
          <w:szCs w:val="21"/>
          <w:lang w:val="en-US" w:eastAsia="zh-CN"/>
          <w14:textFill>
            <w14:solidFill>
              <w14:schemeClr w14:val="tx1"/>
            </w14:solidFill>
          </w14:textFill>
        </w:rPr>
        <w:t>2</w:t>
      </w:r>
      <w:r>
        <w:rPr>
          <w:rFonts w:hint="eastAsia" w:ascii="黑体" w:hAnsi="黑体" w:eastAsia="黑体" w:cs="黑体"/>
          <w:color w:val="000000" w:themeColor="text1"/>
          <w:sz w:val="21"/>
          <w:szCs w:val="21"/>
          <w:lang w:eastAsia="zh-CN"/>
          <w14:textFill>
            <w14:solidFill>
              <w14:schemeClr w14:val="tx1"/>
            </w14:solidFill>
          </w14:textFill>
        </w:rPr>
        <w:t xml:space="preserve"> </w:t>
      </w:r>
      <w:r>
        <w:rPr>
          <w:rFonts w:hint="eastAsia" w:ascii="黑体" w:hAnsi="黑体" w:eastAsia="黑体" w:cs="黑体"/>
          <w:color w:val="000000" w:themeColor="text1"/>
          <w:sz w:val="20"/>
          <w:szCs w:val="20"/>
          <w:lang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避免雨天</w:t>
      </w:r>
      <w:r>
        <w:rPr>
          <w:rFonts w:hint="eastAsia" w:ascii="宋体" w:hAnsi="宋体" w:cs="宋体"/>
          <w:color w:val="000000" w:themeColor="text1"/>
          <w:szCs w:val="21"/>
          <w:lang w:val="en-US" w:eastAsia="zh-CN"/>
          <w14:textFill>
            <w14:solidFill>
              <w14:schemeClr w14:val="tx1"/>
            </w14:solidFill>
          </w14:textFill>
        </w:rPr>
        <w:t>和露水未干时采收，宜在晴天避开中午烈日和阴天采收。</w:t>
      </w:r>
    </w:p>
    <w:p w14:paraId="670A75D2">
      <w:pPr>
        <w:autoSpaceDE/>
        <w:autoSpaceDN/>
        <w:adjustRightInd/>
        <w:spacing w:beforeLines="0" w:afterLines="0"/>
        <w:ind w:firstLine="0" w:firstLineChars="0"/>
        <w:outlineLvl w:val="9"/>
        <w:rPr>
          <w:rFonts w:hint="default" w:ascii="宋体" w:hAnsi="宋体" w:cs="宋体"/>
          <w:color w:val="000000" w:themeColor="text1"/>
          <w:szCs w:val="21"/>
          <w:lang w:val="en-US" w:eastAsia="zh-CN"/>
          <w14:textFill>
            <w14:solidFill>
              <w14:schemeClr w14:val="tx1"/>
            </w14:solidFill>
          </w14:textFill>
        </w:rPr>
      </w:pPr>
      <w:r>
        <w:rPr>
          <w:rFonts w:hint="eastAsia" w:ascii="黑体" w:hAnsi="黑体" w:eastAsia="黑体" w:cs="黑体"/>
          <w:bCs w:val="0"/>
          <w:color w:val="000000" w:themeColor="text1"/>
          <w:kern w:val="2"/>
          <w:sz w:val="21"/>
          <w:szCs w:val="21"/>
          <w:lang w:val="en-US" w:eastAsia="zh-CN"/>
          <w14:textFill>
            <w14:solidFill>
              <w14:schemeClr w14:val="tx1"/>
            </w14:solidFill>
          </w14:textFill>
        </w:rPr>
        <w:t>11</w:t>
      </w:r>
      <w:r>
        <w:rPr>
          <w:rFonts w:hint="eastAsia" w:ascii="黑体" w:hAnsi="黑体" w:eastAsia="黑体" w:cs="黑体"/>
          <w:color w:val="000000" w:themeColor="text1"/>
          <w:sz w:val="21"/>
          <w:szCs w:val="21"/>
          <w:lang w:eastAsia="zh-CN"/>
          <w14:textFill>
            <w14:solidFill>
              <w14:schemeClr w14:val="tx1"/>
            </w14:solidFill>
          </w14:textFill>
        </w:rPr>
        <w:t>.</w:t>
      </w:r>
      <w:r>
        <w:rPr>
          <w:rFonts w:hint="eastAsia" w:ascii="黑体" w:hAnsi="黑体" w:eastAsia="黑体" w:cs="黑体"/>
          <w:color w:val="000000" w:themeColor="text1"/>
          <w:sz w:val="21"/>
          <w:szCs w:val="21"/>
          <w:lang w:val="en-US" w:eastAsia="zh-CN"/>
          <w14:textFill>
            <w14:solidFill>
              <w14:schemeClr w14:val="tx1"/>
            </w14:solidFill>
          </w14:textFill>
        </w:rPr>
        <w:t>3</w:t>
      </w:r>
      <w:r>
        <w:rPr>
          <w:rFonts w:hint="eastAsia" w:ascii="黑体" w:hAnsi="黑体" w:eastAsia="黑体" w:cs="黑体"/>
          <w:color w:val="000000" w:themeColor="text1"/>
          <w:sz w:val="21"/>
          <w:szCs w:val="21"/>
          <w:lang w:eastAsia="zh-CN"/>
          <w14:textFill>
            <w14:solidFill>
              <w14:schemeClr w14:val="tx1"/>
            </w14:solidFill>
          </w14:textFill>
        </w:rPr>
        <w:t xml:space="preserve"> </w:t>
      </w:r>
      <w:r>
        <w:rPr>
          <w:rFonts w:hint="eastAsia" w:ascii="黑体" w:hAnsi="黑体" w:eastAsia="黑体" w:cs="黑体"/>
          <w:color w:val="000000" w:themeColor="text1"/>
          <w:sz w:val="20"/>
          <w:szCs w:val="20"/>
          <w:lang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成穗采收从果穗基部1 cm</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 cm处剪断，保留果梗，避免撕拉损伤枝条。</w:t>
      </w:r>
    </w:p>
    <w:p w14:paraId="7A2DA9E5">
      <w:pPr>
        <w:autoSpaceDE/>
        <w:autoSpaceDN/>
        <w:adjustRightInd/>
        <w:spacing w:beforeLines="0" w:afterLines="0"/>
        <w:ind w:firstLine="0" w:firstLineChars="0"/>
        <w:outlineLvl w:val="9"/>
        <w:rPr>
          <w:rFonts w:hint="default" w:ascii="宋体" w:hAnsi="宋体" w:cs="宋体"/>
          <w:color w:val="000000" w:themeColor="text1"/>
          <w:szCs w:val="21"/>
          <w:lang w:val="en-US" w:eastAsia="zh-CN"/>
          <w14:textFill>
            <w14:solidFill>
              <w14:schemeClr w14:val="tx1"/>
            </w14:solidFill>
          </w14:textFill>
        </w:rPr>
      </w:pPr>
      <w:r>
        <w:rPr>
          <w:rFonts w:hint="eastAsia" w:ascii="黑体" w:hAnsi="黑体" w:eastAsia="黑体" w:cs="黑体"/>
          <w:bCs w:val="0"/>
          <w:color w:val="000000" w:themeColor="text1"/>
          <w:kern w:val="2"/>
          <w:sz w:val="21"/>
          <w:szCs w:val="21"/>
          <w:lang w:val="en-US" w:eastAsia="zh-CN"/>
          <w14:textFill>
            <w14:solidFill>
              <w14:schemeClr w14:val="tx1"/>
            </w14:solidFill>
          </w14:textFill>
        </w:rPr>
        <w:t>11</w:t>
      </w:r>
      <w:r>
        <w:rPr>
          <w:rFonts w:hint="eastAsia" w:ascii="黑体" w:hAnsi="黑体" w:eastAsia="黑体" w:cs="黑体"/>
          <w:color w:val="000000" w:themeColor="text1"/>
          <w:sz w:val="21"/>
          <w:szCs w:val="21"/>
          <w:lang w:eastAsia="zh-CN"/>
          <w14:textFill>
            <w14:solidFill>
              <w14:schemeClr w14:val="tx1"/>
            </w14:solidFill>
          </w14:textFill>
        </w:rPr>
        <w:t>.</w:t>
      </w:r>
      <w:r>
        <w:rPr>
          <w:rFonts w:hint="eastAsia" w:ascii="黑体" w:hAnsi="黑体" w:eastAsia="黑体" w:cs="黑体"/>
          <w:color w:val="000000" w:themeColor="text1"/>
          <w:sz w:val="21"/>
          <w:szCs w:val="21"/>
          <w:lang w:val="en-US" w:eastAsia="zh-CN"/>
          <w14:textFill>
            <w14:solidFill>
              <w14:schemeClr w14:val="tx1"/>
            </w14:solidFill>
          </w14:textFill>
        </w:rPr>
        <w:t>4</w:t>
      </w:r>
      <w:r>
        <w:rPr>
          <w:rFonts w:hint="eastAsia" w:ascii="黑体" w:hAnsi="黑体" w:eastAsia="黑体" w:cs="黑体"/>
          <w:color w:val="000000" w:themeColor="text1"/>
          <w:sz w:val="21"/>
          <w:szCs w:val="21"/>
          <w:lang w:eastAsia="zh-CN"/>
          <w14:textFill>
            <w14:solidFill>
              <w14:schemeClr w14:val="tx1"/>
            </w14:solidFill>
          </w14:textFill>
        </w:rPr>
        <w:t xml:space="preserve"> </w:t>
      </w:r>
      <w:r>
        <w:rPr>
          <w:rFonts w:hint="eastAsia" w:ascii="黑体" w:hAnsi="黑体" w:eastAsia="黑体" w:cs="黑体"/>
          <w:color w:val="000000" w:themeColor="text1"/>
          <w:sz w:val="20"/>
          <w:szCs w:val="20"/>
          <w:lang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单果采收特级果，剪刀贴近果蒂剪下，保留完整果梗。</w:t>
      </w:r>
    </w:p>
    <w:p w14:paraId="242B03E6">
      <w:pPr>
        <w:autoSpaceDE/>
        <w:autoSpaceDN/>
        <w:adjustRightInd/>
        <w:spacing w:beforeLines="0" w:afterLines="0"/>
        <w:ind w:firstLine="0" w:firstLineChars="0"/>
        <w:outlineLvl w:val="9"/>
        <w:rPr>
          <w:rFonts w:hint="default" w:ascii="宋体" w:hAnsi="宋体" w:eastAsia="宋体" w:cs="宋体"/>
          <w:color w:val="000000" w:themeColor="text1"/>
          <w:szCs w:val="21"/>
          <w:lang w:val="en-US" w:eastAsia="zh-CN"/>
          <w14:textFill>
            <w14:solidFill>
              <w14:schemeClr w14:val="tx1"/>
            </w14:solidFill>
          </w14:textFill>
        </w:rPr>
      </w:pPr>
      <w:r>
        <w:rPr>
          <w:rFonts w:hint="eastAsia" w:ascii="黑体" w:hAnsi="黑体" w:eastAsia="黑体" w:cs="黑体"/>
          <w:bCs w:val="0"/>
          <w:color w:val="000000" w:themeColor="text1"/>
          <w:kern w:val="2"/>
          <w:sz w:val="21"/>
          <w:szCs w:val="21"/>
          <w:lang w:val="en-US" w:eastAsia="zh-CN"/>
          <w14:textFill>
            <w14:solidFill>
              <w14:schemeClr w14:val="tx1"/>
            </w14:solidFill>
          </w14:textFill>
        </w:rPr>
        <w:t>11</w:t>
      </w:r>
      <w:r>
        <w:rPr>
          <w:rFonts w:hint="eastAsia" w:ascii="黑体" w:hAnsi="黑体" w:eastAsia="黑体" w:cs="黑体"/>
          <w:color w:val="000000" w:themeColor="text1"/>
          <w:sz w:val="21"/>
          <w:szCs w:val="21"/>
          <w:lang w:eastAsia="zh-CN"/>
          <w14:textFill>
            <w14:solidFill>
              <w14:schemeClr w14:val="tx1"/>
            </w14:solidFill>
          </w14:textFill>
        </w:rPr>
        <w:t>.</w:t>
      </w:r>
      <w:r>
        <w:rPr>
          <w:rFonts w:hint="eastAsia" w:ascii="黑体" w:hAnsi="黑体" w:eastAsia="黑体" w:cs="黑体"/>
          <w:color w:val="000000" w:themeColor="text1"/>
          <w:sz w:val="21"/>
          <w:szCs w:val="21"/>
          <w:lang w:val="en-US" w:eastAsia="zh-CN"/>
          <w14:textFill>
            <w14:solidFill>
              <w14:schemeClr w14:val="tx1"/>
            </w14:solidFill>
          </w14:textFill>
        </w:rPr>
        <w:t>5</w:t>
      </w:r>
      <w:r>
        <w:rPr>
          <w:rFonts w:hint="eastAsia" w:ascii="黑体" w:hAnsi="黑体" w:eastAsia="黑体" w:cs="黑体"/>
          <w:bCs w:val="0"/>
          <w:color w:val="000000" w:themeColor="text1"/>
          <w:kern w:val="2"/>
          <w:sz w:val="21"/>
          <w:szCs w:val="21"/>
          <w:lang w:val="en-US" w:eastAsia="zh-CN"/>
          <w14:textFill>
            <w14:solidFill>
              <w14:schemeClr w14:val="tx1"/>
            </w14:solidFill>
          </w14:textFill>
        </w:rPr>
        <w:t xml:space="preserve"> </w:t>
      </w:r>
      <w:r>
        <w:rPr>
          <w:rFonts w:hint="eastAsia" w:ascii="黑体" w:hAnsi="黑体" w:eastAsia="黑体" w:cs="黑体"/>
          <w:bCs w:val="0"/>
          <w:color w:val="000000" w:themeColor="text1"/>
          <w:kern w:val="2"/>
          <w:sz w:val="21"/>
          <w:szCs w:val="21"/>
          <w:lang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采收过程中宜避免机械损伤和果实暴晒</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采收后4 h内进行果实挑选、包装和贮运保鲜</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有条件的宜在采摘后2 h内进行预冷。</w:t>
      </w:r>
    </w:p>
    <w:p w14:paraId="591AD5EF">
      <w:pPr>
        <w:pStyle w:val="15"/>
        <w:autoSpaceDE w:val="0"/>
        <w:autoSpaceDN w:val="0"/>
        <w:adjustRightInd w:val="0"/>
        <w:spacing w:before="312" w:beforeLines="100" w:after="312" w:afterLines="100"/>
        <w:ind w:firstLine="0" w:firstLineChars="0"/>
        <w:outlineLvl w:val="0"/>
        <w:rPr>
          <w:rFonts w:hint="default" w:ascii="黑体" w:hAnsi="黑体" w:eastAsia="黑体" w:cs="Times New Roman"/>
          <w:bCs/>
          <w:color w:val="000000" w:themeColor="text1"/>
          <w:kern w:val="0"/>
          <w:lang w:val="en-US" w:eastAsia="zh-CN"/>
          <w14:textFill>
            <w14:solidFill>
              <w14:schemeClr w14:val="tx1"/>
            </w14:solidFill>
          </w14:textFill>
        </w:rPr>
      </w:pPr>
      <w:bookmarkStart w:id="393" w:name="_Toc864940638"/>
      <w:bookmarkStart w:id="394" w:name="_Toc1556817612"/>
      <w:r>
        <w:rPr>
          <w:rFonts w:hint="default" w:ascii="黑体" w:hAnsi="黑体" w:eastAsia="黑体" w:cs="Times New Roman"/>
          <w:bCs/>
          <w:color w:val="000000" w:themeColor="text1"/>
          <w:kern w:val="0"/>
          <w:lang w:val="en-US" w:eastAsia="zh-CN"/>
          <w14:textFill>
            <w14:solidFill>
              <w14:schemeClr w14:val="tx1"/>
            </w14:solidFill>
          </w14:textFill>
        </w:rPr>
        <w:t>1</w:t>
      </w:r>
      <w:r>
        <w:rPr>
          <w:rFonts w:hint="eastAsia" w:ascii="黑体" w:hAnsi="黑体" w:eastAsia="黑体" w:cs="Times New Roman"/>
          <w:bCs/>
          <w:color w:val="000000" w:themeColor="text1"/>
          <w:kern w:val="0"/>
          <w:lang w:val="en-US" w:eastAsia="zh-CN"/>
          <w14:textFill>
            <w14:solidFill>
              <w14:schemeClr w14:val="tx1"/>
            </w14:solidFill>
          </w14:textFill>
        </w:rPr>
        <w:t>2</w:t>
      </w:r>
      <w:r>
        <w:rPr>
          <w:rFonts w:hint="default" w:ascii="黑体" w:hAnsi="黑体" w:eastAsia="黑体" w:cs="Times New Roman"/>
          <w:bCs/>
          <w:color w:val="000000" w:themeColor="text1"/>
          <w:kern w:val="0"/>
          <w:lang w:val="en-US" w:eastAsia="zh-CN"/>
          <w14:textFill>
            <w14:solidFill>
              <w14:schemeClr w14:val="tx1"/>
            </w14:solidFill>
          </w14:textFill>
        </w:rPr>
        <w:t xml:space="preserve">  采后贮藏</w:t>
      </w:r>
      <w:r>
        <w:rPr>
          <w:rFonts w:hint="eastAsia" w:ascii="黑体" w:hAnsi="黑体" w:eastAsia="黑体" w:cs="Times New Roman"/>
          <w:bCs/>
          <w:color w:val="000000" w:themeColor="text1"/>
          <w:kern w:val="0"/>
          <w:lang w:val="en-US" w:eastAsia="zh-CN"/>
          <w14:textFill>
            <w14:solidFill>
              <w14:schemeClr w14:val="tx1"/>
            </w14:solidFill>
          </w14:textFill>
        </w:rPr>
        <w:t>与运输</w:t>
      </w:r>
      <w:bookmarkEnd w:id="393"/>
      <w:bookmarkEnd w:id="394"/>
    </w:p>
    <w:p w14:paraId="395100DC">
      <w:pPr>
        <w:autoSpaceDE/>
        <w:autoSpaceDN/>
        <w:adjustRightInd/>
        <w:spacing w:beforeLines="0" w:afterLines="0"/>
        <w:ind w:firstLine="420" w:firstLineChars="200"/>
        <w:outlineLvl w:val="9"/>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采后贮藏温度</w:t>
      </w:r>
      <w:r>
        <w:rPr>
          <w:rFonts w:hint="eastAsia" w:ascii="宋体" w:hAnsi="宋体" w:cs="宋体"/>
          <w:color w:val="000000" w:themeColor="text1"/>
          <w:szCs w:val="21"/>
          <w:lang w:val="en-US" w:eastAsia="zh-CN"/>
          <w14:textFill>
            <w14:solidFill>
              <w14:schemeClr w14:val="tx1"/>
            </w14:solidFill>
          </w14:textFill>
        </w:rPr>
        <w:t>宜</w:t>
      </w:r>
      <w:r>
        <w:rPr>
          <w:rFonts w:hint="eastAsia" w:ascii="宋体" w:hAnsi="宋体" w:eastAsia="宋体" w:cs="宋体"/>
          <w:color w:val="000000" w:themeColor="text1"/>
          <w:szCs w:val="21"/>
          <w:lang w:val="en-US" w:eastAsia="zh-CN"/>
          <w14:textFill>
            <w14:solidFill>
              <w14:schemeClr w14:val="tx1"/>
            </w14:solidFill>
          </w14:textFill>
        </w:rPr>
        <w:t>为</w:t>
      </w:r>
      <w:r>
        <w:rPr>
          <w:rFonts w:hint="eastAsia" w:ascii="宋体" w:hAnsi="宋体" w:cs="宋体"/>
          <w:color w:val="000000" w:themeColor="text1"/>
          <w:szCs w:val="21"/>
          <w:lang w:val="en-US" w:eastAsia="zh-CN"/>
          <w14:textFill>
            <w14:solidFill>
              <w14:schemeClr w14:val="tx1"/>
            </w14:solidFill>
          </w14:textFill>
        </w:rPr>
        <w:t xml:space="preserve">3 </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5 </w:t>
      </w:r>
      <w:r>
        <w:rPr>
          <w:rFonts w:hint="eastAsia" w:ascii="宋体" w:hAnsi="宋体" w:eastAsia="宋体" w:cs="宋体"/>
          <w:color w:val="000000" w:themeColor="text1"/>
          <w:szCs w:val="21"/>
          <w:lang w:val="en-US" w:eastAsia="zh-CN"/>
          <w14:textFill>
            <w14:solidFill>
              <w14:schemeClr w14:val="tx1"/>
            </w14:solidFill>
          </w14:textFill>
        </w:rPr>
        <w:t>℃，相对湿度保持在</w:t>
      </w:r>
      <w:r>
        <w:rPr>
          <w:rFonts w:hint="eastAsia" w:ascii="宋体" w:hAnsi="宋体" w:cs="宋体"/>
          <w:color w:val="000000" w:themeColor="text1"/>
          <w:szCs w:val="21"/>
          <w:lang w:val="en-US" w:eastAsia="zh-CN"/>
          <w14:textFill>
            <w14:solidFill>
              <w14:schemeClr w14:val="tx1"/>
            </w14:solidFill>
          </w14:textFill>
        </w:rPr>
        <w:t xml:space="preserve">90 </w:t>
      </w:r>
      <w:r>
        <w:rPr>
          <w:rFonts w:hint="eastAsia" w:ascii="宋体" w:hAnsi="宋体" w:eastAsia="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lang w:val="en-US" w:eastAsia="zh-CN"/>
          <w14:textFill>
            <w14:solidFill>
              <w14:schemeClr w14:val="tx1"/>
            </w14:solidFill>
          </w14:textFill>
        </w:rPr>
        <w:t xml:space="preserve">5 </w:t>
      </w:r>
      <w:r>
        <w:rPr>
          <w:rFonts w:hint="eastAsia" w:ascii="宋体" w:hAnsi="宋体" w:eastAsia="宋体" w:cs="宋体"/>
          <w:color w:val="000000" w:themeColor="text1"/>
          <w:szCs w:val="21"/>
          <w:lang w:val="en-US" w:eastAsia="zh-CN"/>
          <w14:textFill>
            <w14:solidFill>
              <w14:schemeClr w14:val="tx1"/>
            </w14:solidFill>
          </w14:textFill>
        </w:rPr>
        <w:t>%，运输车厢的温度宜控制在</w:t>
      </w:r>
      <w:r>
        <w:rPr>
          <w:rFonts w:hint="eastAsia" w:ascii="宋体" w:hAnsi="宋体" w:cs="宋体"/>
          <w:color w:val="000000" w:themeColor="text1"/>
          <w:szCs w:val="21"/>
          <w:lang w:val="en-US" w:eastAsia="zh-CN"/>
          <w14:textFill>
            <w14:solidFill>
              <w14:schemeClr w14:val="tx1"/>
            </w14:solidFill>
          </w14:textFill>
        </w:rPr>
        <w:t xml:space="preserve">3 </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5 </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具体</w:t>
      </w:r>
      <w:r>
        <w:rPr>
          <w:rFonts w:hint="eastAsia" w:ascii="宋体" w:hAnsi="宋体" w:eastAsia="宋体" w:cs="宋体"/>
          <w:color w:val="000000" w:themeColor="text1"/>
          <w:szCs w:val="21"/>
          <w:lang w:val="en-US" w:eastAsia="zh-CN"/>
          <w14:textFill>
            <w14:solidFill>
              <w14:schemeClr w14:val="tx1"/>
            </w14:solidFill>
          </w14:textFill>
        </w:rPr>
        <w:t>贮藏与运输按照</w:t>
      </w:r>
      <w:r>
        <w:rPr>
          <w:rFonts w:hint="eastAsia" w:ascii="宋体" w:hAnsi="宋体" w:cs="宋体"/>
          <w:color w:val="000000" w:themeColor="text1"/>
          <w:szCs w:val="21"/>
          <w:lang w:val="en-US" w:eastAsia="zh-CN"/>
          <w14:textFill>
            <w14:solidFill>
              <w14:schemeClr w14:val="tx1"/>
            </w14:solidFill>
          </w14:textFill>
        </w:rPr>
        <w:t>NY/T 1530</w:t>
      </w:r>
      <w:r>
        <w:rPr>
          <w:rFonts w:hint="eastAsia" w:ascii="宋体" w:hAnsi="宋体" w:eastAsia="宋体" w:cs="宋体"/>
          <w:color w:val="000000" w:themeColor="text1"/>
          <w:szCs w:val="21"/>
          <w:lang w:val="en-US" w:eastAsia="zh-CN"/>
          <w14:textFill>
            <w14:solidFill>
              <w14:schemeClr w14:val="tx1"/>
            </w14:solidFill>
          </w14:textFill>
        </w:rPr>
        <w:t>的规定执行。</w:t>
      </w:r>
      <w:bookmarkStart w:id="395" w:name="_Toc1766822011"/>
      <w:bookmarkStart w:id="396" w:name="_Toc1546913299"/>
    </w:p>
    <w:p w14:paraId="3BE386F6">
      <w:pPr>
        <w:pStyle w:val="15"/>
        <w:autoSpaceDE w:val="0"/>
        <w:autoSpaceDN w:val="0"/>
        <w:adjustRightInd w:val="0"/>
        <w:spacing w:before="312" w:beforeLines="100" w:after="312" w:afterLines="100"/>
        <w:ind w:firstLine="0" w:firstLineChars="0"/>
        <w:outlineLvl w:val="0"/>
        <w:rPr>
          <w:rFonts w:hint="eastAsia" w:ascii="黑体" w:hAnsi="黑体" w:eastAsia="黑体" w:cs="Times New Roman"/>
          <w:bCs/>
          <w:color w:val="000000" w:themeColor="text1"/>
          <w:kern w:val="0"/>
          <w:lang w:val="en-US" w:eastAsia="zh-CN"/>
          <w14:textFill>
            <w14:solidFill>
              <w14:schemeClr w14:val="tx1"/>
            </w14:solidFill>
          </w14:textFill>
        </w:rPr>
      </w:pPr>
      <w:bookmarkStart w:id="397" w:name="_Toc1018089962"/>
      <w:bookmarkStart w:id="398" w:name="_Toc1385827996"/>
      <w:r>
        <w:rPr>
          <w:rFonts w:hint="eastAsia" w:ascii="黑体" w:hAnsi="黑体" w:eastAsia="黑体" w:cs="Times New Roman"/>
          <w:bCs/>
          <w:color w:val="000000" w:themeColor="text1"/>
          <w:kern w:val="0"/>
          <w:lang w:val="en-US" w:eastAsia="zh-CN"/>
          <w14:textFill>
            <w14:solidFill>
              <w14:schemeClr w14:val="tx1"/>
            </w14:solidFill>
          </w14:textFill>
        </w:rPr>
        <w:t>13  产品质量</w:t>
      </w:r>
      <w:bookmarkEnd w:id="395"/>
      <w:bookmarkEnd w:id="396"/>
      <w:r>
        <w:rPr>
          <w:rFonts w:hint="eastAsia" w:ascii="黑体" w:hAnsi="黑体" w:eastAsia="黑体" w:cs="Times New Roman"/>
          <w:bCs/>
          <w:color w:val="000000" w:themeColor="text1"/>
          <w:kern w:val="0"/>
          <w:lang w:val="en-US" w:eastAsia="zh-CN"/>
          <w14:textFill>
            <w14:solidFill>
              <w14:schemeClr w14:val="tx1"/>
            </w14:solidFill>
          </w14:textFill>
        </w:rPr>
        <w:t>溯源</w:t>
      </w:r>
      <w:bookmarkEnd w:id="397"/>
      <w:bookmarkEnd w:id="398"/>
    </w:p>
    <w:p w14:paraId="1F1AAEBE">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bCs/>
          <w:color w:val="000000" w:themeColor="text1"/>
          <w:kern w:val="0"/>
          <w:sz w:val="20"/>
          <w:szCs w:val="20"/>
          <w:highlight w:val="none"/>
          <w:lang w:val="en-US" w:eastAsia="zh-CN" w:bidi="ar-SA"/>
          <w14:textFill>
            <w14:solidFill>
              <w14:schemeClr w14:val="tx1"/>
            </w14:solidFill>
          </w14:textFill>
        </w:rPr>
      </w:pPr>
      <w:r>
        <w:rPr>
          <w:rFonts w:hint="eastAsia" w:ascii="黑体" w:hAnsi="黑体" w:eastAsia="黑体" w:cs="Times New Roman"/>
          <w:bCs/>
          <w:color w:val="000000" w:themeColor="text1"/>
          <w:sz w:val="20"/>
          <w:szCs w:val="20"/>
          <w:highlight w:val="none"/>
          <w:lang w:val="en-US" w:eastAsia="zh-CN" w:bidi="ar-SA"/>
          <w14:textFill>
            <w14:solidFill>
              <w14:schemeClr w14:val="tx1"/>
            </w14:solidFill>
          </w14:textFill>
        </w:rPr>
        <w:t xml:space="preserve">13.1 </w:t>
      </w:r>
      <w:r>
        <w:rPr>
          <w:rFonts w:hint="eastAsia" w:ascii="宋体" w:hAnsi="宋体" w:eastAsia="宋体" w:cs="宋体"/>
          <w:bCs/>
          <w:color w:val="000000" w:themeColor="text1"/>
          <w:kern w:val="0"/>
          <w:sz w:val="20"/>
          <w:szCs w:val="20"/>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生产主体应承诺产品合格，并有产品自检记录或产品检验报告。</w:t>
      </w:r>
    </w:p>
    <w:p w14:paraId="402D329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黑体" w:hAnsi="黑体" w:eastAsia="黑体" w:cs="Times New Roman"/>
          <w:bCs/>
          <w:color w:val="000000" w:themeColor="text1"/>
          <w:sz w:val="20"/>
          <w:szCs w:val="20"/>
          <w:highlight w:val="none"/>
          <w:lang w:val="en-US" w:eastAsia="zh-CN" w:bidi="ar-SA"/>
          <w14:textFill>
            <w14:solidFill>
              <w14:schemeClr w14:val="tx1"/>
            </w14:solidFill>
          </w14:textFill>
        </w:rPr>
        <w:t xml:space="preserve">13.2  </w:t>
      </w:r>
      <w:r>
        <w:rPr>
          <w:rFonts w:hint="eastAsia" w:ascii="宋体" w:hAnsi="宋体" w:eastAsia="宋体" w:cs="宋体"/>
          <w:color w:val="000000" w:themeColor="text1"/>
          <w:szCs w:val="21"/>
          <w:lang w:val="en-US" w:eastAsia="zh-CN"/>
          <w14:textFill>
            <w14:solidFill>
              <w14:schemeClr w14:val="tx1"/>
            </w14:solidFill>
          </w14:textFill>
        </w:rPr>
        <w:t>应建立并保存各环节的生产记录和档案，包括生产过程、采收、包装、销售</w:t>
      </w:r>
      <w:r>
        <w:rPr>
          <w:rFonts w:hint="eastAsia" w:ascii="宋体" w:hAnsi="宋体" w:cs="宋体"/>
          <w:color w:val="000000" w:themeColor="text1"/>
          <w:szCs w:val="21"/>
          <w:lang w:val="en-US" w:eastAsia="zh-CN"/>
          <w14:textFill>
            <w14:solidFill>
              <w14:schemeClr w14:val="tx1"/>
            </w14:solidFill>
          </w14:textFill>
        </w:rPr>
        <w:t>、以</w:t>
      </w:r>
      <w:r>
        <w:rPr>
          <w:rFonts w:hint="eastAsia" w:ascii="宋体" w:hAnsi="宋体" w:eastAsia="宋体" w:cs="宋体"/>
          <w:color w:val="000000" w:themeColor="text1"/>
          <w:szCs w:val="21"/>
          <w:lang w:val="en-US" w:eastAsia="zh-CN"/>
          <w14:textFill>
            <w14:solidFill>
              <w14:schemeClr w14:val="tx1"/>
            </w14:solidFill>
          </w14:textFill>
        </w:rPr>
        <w:t>及售后等。记录和档案应保证产品可追溯，保存２年以上。</w:t>
      </w:r>
    </w:p>
    <w:p w14:paraId="7C27F88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黑体" w:hAnsi="黑体" w:eastAsia="黑体" w:cs="Times New Roman"/>
          <w:bCs/>
          <w:color w:val="000000" w:themeColor="text1"/>
          <w:sz w:val="20"/>
          <w:szCs w:val="20"/>
          <w:highlight w:val="none"/>
          <w:lang w:val="en-US" w:eastAsia="zh-CN" w:bidi="ar-SA"/>
          <w14:textFill>
            <w14:solidFill>
              <w14:schemeClr w14:val="tx1"/>
            </w14:solidFill>
          </w14:textFill>
        </w:rPr>
        <w:t xml:space="preserve">13.3 </w:t>
      </w:r>
      <w:r>
        <w:rPr>
          <w:rFonts w:hint="eastAsia" w:ascii="宋体" w:hAnsi="宋体" w:eastAsia="宋体" w:cs="宋体"/>
          <w:color w:val="000000" w:themeColor="text1"/>
          <w:kern w:val="0"/>
          <w:sz w:val="20"/>
          <w:szCs w:val="20"/>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结合GB/T 29373的要求，借助自动化物联网设备构建可追溯体系，至少具备产地追溯、产地远程监控画面查看、产地农业四情信息记录查看、生产资料电子档案追溯、生产流程电子档案追溯等功能。</w:t>
      </w:r>
      <w:bookmarkEnd w:id="47"/>
      <w:bookmarkEnd w:id="48"/>
      <w:bookmarkEnd w:id="49"/>
      <w:bookmarkEnd w:id="50"/>
      <w:bookmarkEnd w:id="51"/>
      <w:bookmarkEnd w:id="52"/>
      <w:bookmarkEnd w:id="53"/>
      <w:bookmarkEnd w:id="54"/>
      <w:bookmarkEnd w:id="55"/>
      <w:bookmarkEnd w:id="56"/>
      <w:bookmarkEnd w:id="57"/>
      <w:bookmarkEnd w:id="58"/>
      <w:bookmarkEnd w:id="362"/>
      <w:bookmarkEnd w:id="378"/>
      <w:bookmarkEnd w:id="379"/>
      <w:bookmarkEnd w:id="380"/>
      <w:bookmarkEnd w:id="381"/>
      <w:bookmarkEnd w:id="382"/>
    </w:p>
    <w:p w14:paraId="42DE389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themeColor="text1"/>
          <w:szCs w:val="21"/>
          <w:lang w:val="en-US" w:eastAsia="zh-CN"/>
          <w14:textFill>
            <w14:solidFill>
              <w14:schemeClr w14:val="tx1"/>
            </w14:solidFill>
          </w14:textFill>
        </w:rPr>
      </w:pPr>
    </w:p>
    <w:p w14:paraId="2A2D89FC">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000000" w:themeColor="text1"/>
          <w:szCs w:val="21"/>
          <w:lang w:val="en-US" w:eastAsia="zh-CN"/>
          <w14:textFill>
            <w14:solidFill>
              <w14:schemeClr w14:val="tx1"/>
            </w14:solidFill>
          </w14:textFill>
        </w:rPr>
      </w:pPr>
    </w:p>
    <w:p w14:paraId="393E7C52">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000000" w:themeColor="text1"/>
          <w:szCs w:val="21"/>
          <w:lang w:val="en-US" w:eastAsia="zh-CN"/>
          <w14:textFill>
            <w14:solidFill>
              <w14:schemeClr w14:val="tx1"/>
            </w14:solidFill>
          </w14:textFill>
        </w:rPr>
      </w:pPr>
    </w:p>
    <w:p w14:paraId="70CD8D82">
      <w:pPr>
        <w:jc w:val="both"/>
        <w:rPr>
          <w:rFonts w:hint="default" w:ascii="黑体" w:hAnsi="宋体" w:eastAsia="黑体" w:cs="Times New Roman"/>
          <w:color w:val="000000" w:themeColor="text1"/>
          <w:kern w:val="0"/>
          <w:sz w:val="21"/>
          <w:szCs w:val="21"/>
          <w:lang w:val="en-US" w:eastAsia="zh-CN" w:bidi="ar"/>
          <w14:textFill>
            <w14:solidFill>
              <w14:schemeClr w14:val="tx1"/>
            </w14:solidFill>
          </w14:textFill>
        </w:rPr>
        <w:sectPr>
          <w:headerReference r:id="rId9" w:type="default"/>
          <w:footerReference r:id="rId10" w:type="default"/>
          <w:pgSz w:w="11906" w:h="16838"/>
          <w:pgMar w:top="1417" w:right="1134" w:bottom="1134" w:left="1417" w:header="851" w:footer="992" w:gutter="0"/>
          <w:pgNumType w:fmt="decimal" w:start="1"/>
          <w:cols w:space="720" w:num="1"/>
          <w:docGrid w:type="lines" w:linePitch="312" w:charSpace="0"/>
        </w:sectPr>
      </w:pPr>
    </w:p>
    <w:p w14:paraId="27FCABC8">
      <w:pPr>
        <w:jc w:val="center"/>
        <w:rPr>
          <w:rFonts w:hint="eastAsia" w:ascii="宋体" w:hAnsi="宋体" w:eastAsia="宋体" w:cs="宋体"/>
          <w:b/>
          <w:bCs/>
          <w:color w:val="000000" w:themeColor="text1"/>
          <w:kern w:val="0"/>
          <w:sz w:val="21"/>
          <w:szCs w:val="20"/>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0"/>
          <w:highlight w:val="none"/>
          <w:lang w:val="en-US" w:eastAsia="zh-CN" w:bidi="ar-SA"/>
          <w14:textFill>
            <w14:solidFill>
              <w14:schemeClr w14:val="tx1"/>
            </w14:solidFill>
          </w14:textFill>
        </w:rPr>
        <w:t>附录A</w:t>
      </w:r>
    </w:p>
    <w:p w14:paraId="75850300">
      <w:pPr>
        <w:jc w:val="center"/>
        <w:rPr>
          <w:rFonts w:hint="eastAsia" w:ascii="宋体" w:hAnsi="宋体" w:eastAsia="宋体" w:cs="宋体"/>
          <w:b/>
          <w:bCs/>
          <w:color w:val="000000" w:themeColor="text1"/>
          <w:kern w:val="0"/>
          <w:sz w:val="21"/>
          <w:szCs w:val="20"/>
          <w:highlight w:val="none"/>
          <w:lang w:val="en-US" w:eastAsia="zh-CN" w:bidi="ar-SA"/>
          <w14:textFill>
            <w14:solidFill>
              <w14:schemeClr w14:val="tx1"/>
            </w14:solidFill>
          </w14:textFill>
        </w:rPr>
      </w:pPr>
      <w:r>
        <w:rPr>
          <w:rFonts w:hint="eastAsia" w:ascii="宋体" w:hAnsi="宋体" w:cs="宋体"/>
          <w:b/>
          <w:bCs/>
          <w:color w:val="000000" w:themeColor="text1"/>
          <w:kern w:val="0"/>
          <w:sz w:val="21"/>
          <w:szCs w:val="20"/>
          <w:highlight w:val="none"/>
          <w:lang w:val="en-US" w:eastAsia="zh-CN" w:bidi="ar-SA"/>
          <w14:textFill>
            <w14:solidFill>
              <w14:schemeClr w14:val="tx1"/>
            </w14:solidFill>
          </w14:textFill>
        </w:rPr>
        <w:t>（</w:t>
      </w:r>
      <w:r>
        <w:rPr>
          <w:rFonts w:hint="eastAsia" w:ascii="宋体" w:hAnsi="宋体" w:eastAsia="宋体" w:cs="宋体"/>
          <w:b/>
          <w:bCs/>
          <w:color w:val="000000" w:themeColor="text1"/>
          <w:kern w:val="0"/>
          <w:sz w:val="21"/>
          <w:szCs w:val="20"/>
          <w:highlight w:val="none"/>
          <w:lang w:val="en-US" w:eastAsia="zh-CN" w:bidi="ar-SA"/>
          <w14:textFill>
            <w14:solidFill>
              <w14:schemeClr w14:val="tx1"/>
            </w14:solidFill>
          </w14:textFill>
        </w:rPr>
        <w:t>资料性</w:t>
      </w:r>
      <w:r>
        <w:rPr>
          <w:rFonts w:hint="eastAsia" w:ascii="宋体" w:hAnsi="宋体" w:cs="宋体"/>
          <w:b/>
          <w:bCs/>
          <w:color w:val="000000" w:themeColor="text1"/>
          <w:kern w:val="0"/>
          <w:sz w:val="21"/>
          <w:szCs w:val="20"/>
          <w:highlight w:val="none"/>
          <w:lang w:val="en-US" w:eastAsia="zh-CN" w:bidi="ar-SA"/>
          <w14:textFill>
            <w14:solidFill>
              <w14:schemeClr w14:val="tx1"/>
            </w14:solidFill>
          </w14:textFill>
        </w:rPr>
        <w:t>）</w:t>
      </w:r>
    </w:p>
    <w:p w14:paraId="6AE8E945">
      <w:pPr>
        <w:keepNext w:val="0"/>
        <w:keepLines w:val="0"/>
        <w:pageBreakBefore w:val="0"/>
        <w:widowControl w:val="0"/>
        <w:kinsoku/>
        <w:wordWrap/>
        <w:overflowPunct/>
        <w:topLinePunct w:val="0"/>
        <w:autoSpaceDE/>
        <w:autoSpaceDN/>
        <w:bidi w:val="0"/>
        <w:adjustRightInd/>
        <w:snapToGrid/>
        <w:spacing w:before="157" w:beforeLines="50" w:after="158" w:afterLines="50" w:line="240" w:lineRule="auto"/>
        <w:jc w:val="center"/>
        <w:textAlignment w:val="auto"/>
        <w:outlineLvl w:val="9"/>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bCs/>
          <w:color w:val="000000" w:themeColor="text1"/>
          <w:kern w:val="0"/>
          <w:szCs w:val="21"/>
          <w:lang w:val="en-US" w:eastAsia="zh-CN"/>
          <w14:textFill>
            <w14:solidFill>
              <w14:schemeClr w14:val="tx1"/>
            </w14:solidFill>
          </w14:textFill>
        </w:rPr>
        <w:t>表1储良龙眼主要病虫害的化学防治方法</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2497"/>
        <w:gridCol w:w="6145"/>
      </w:tblGrid>
      <w:tr w14:paraId="711B32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tcBorders>
              <w:bottom w:val="single" w:color="auto" w:sz="12" w:space="0"/>
            </w:tcBorders>
            <w:noWrap w:val="0"/>
            <w:vAlign w:val="top"/>
          </w:tcPr>
          <w:p w14:paraId="42805A4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名称</w:t>
            </w:r>
          </w:p>
        </w:tc>
        <w:tc>
          <w:tcPr>
            <w:tcW w:w="2497" w:type="dxa"/>
            <w:tcBorders>
              <w:bottom w:val="single" w:color="auto" w:sz="12" w:space="0"/>
            </w:tcBorders>
            <w:noWrap w:val="0"/>
            <w:vAlign w:val="top"/>
          </w:tcPr>
          <w:p w14:paraId="51B9015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发病时期</w:t>
            </w:r>
          </w:p>
        </w:tc>
        <w:tc>
          <w:tcPr>
            <w:tcW w:w="0" w:type="auto"/>
            <w:tcBorders>
              <w:bottom w:val="single" w:color="auto" w:sz="12" w:space="0"/>
            </w:tcBorders>
            <w:noWrap w:val="0"/>
            <w:vAlign w:val="top"/>
          </w:tcPr>
          <w:p w14:paraId="1946ED8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防治方法</w:t>
            </w:r>
          </w:p>
        </w:tc>
      </w:tr>
      <w:tr w14:paraId="382F5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tcBorders>
              <w:top w:val="single" w:color="auto" w:sz="12" w:space="0"/>
              <w:bottom w:val="single" w:color="auto" w:sz="12" w:space="0"/>
              <w:tl2br w:val="nil"/>
              <w:tr2bl w:val="nil"/>
            </w:tcBorders>
            <w:noWrap w:val="0"/>
            <w:vAlign w:val="center"/>
          </w:tcPr>
          <w:p w14:paraId="2BA5FA4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龙眼霜霉疫病</w:t>
            </w:r>
          </w:p>
        </w:tc>
        <w:tc>
          <w:tcPr>
            <w:tcW w:w="2497" w:type="dxa"/>
            <w:tcBorders>
              <w:top w:val="single" w:color="auto" w:sz="12" w:space="0"/>
              <w:bottom w:val="single" w:color="auto" w:sz="12" w:space="0"/>
              <w:tl2br w:val="nil"/>
              <w:tr2bl w:val="nil"/>
            </w:tcBorders>
            <w:noWrap w:val="0"/>
            <w:vAlign w:val="center"/>
          </w:tcPr>
          <w:p w14:paraId="3359558F">
            <w:pPr>
              <w:keepNext w:val="0"/>
              <w:keepLines w:val="0"/>
              <w:suppressLineNumbers w:val="0"/>
              <w:spacing w:before="0" w:beforeAutospacing="0" w:after="0" w:afterAutospacing="0"/>
              <w:ind w:left="0" w:right="0"/>
              <w:jc w:val="both"/>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花蕾期、幼果期和果实成熟期可喷药保护果实</w:t>
            </w:r>
          </w:p>
        </w:tc>
        <w:tc>
          <w:tcPr>
            <w:tcW w:w="0" w:type="auto"/>
            <w:tcBorders>
              <w:top w:val="single" w:color="auto" w:sz="12" w:space="0"/>
              <w:bottom w:val="single" w:color="auto" w:sz="12" w:space="0"/>
              <w:tl2br w:val="nil"/>
              <w:tr2bl w:val="nil"/>
            </w:tcBorders>
            <w:noWrap w:val="0"/>
            <w:vAlign w:val="center"/>
          </w:tcPr>
          <w:p w14:paraId="09CFC137">
            <w:pPr>
              <w:keepNext w:val="0"/>
              <w:keepLines w:val="0"/>
              <w:suppressLineNumbers w:val="0"/>
              <w:spacing w:before="0" w:beforeAutospacing="0" w:after="0" w:afterAutospacing="0"/>
              <w:ind w:left="0" w:right="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72</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霜脲·锰锌可湿性粉剂500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700倍液</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或</w:t>
            </w:r>
            <w:r>
              <w:rPr>
                <w:rFonts w:hint="eastAsia" w:ascii="宋体" w:hAnsi="宋体" w:eastAsia="宋体" w:cs="宋体"/>
                <w:color w:val="000000" w:themeColor="text1"/>
                <w:kern w:val="0"/>
                <w:sz w:val="18"/>
                <w:szCs w:val="18"/>
                <w14:textFill>
                  <w14:solidFill>
                    <w14:schemeClr w14:val="tx1"/>
                  </w14:solidFill>
                </w14:textFill>
              </w:rPr>
              <w:t>80</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代森锰锌可湿性粉剂400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6</w:t>
            </w:r>
            <w:r>
              <w:rPr>
                <w:rFonts w:hint="eastAsia" w:ascii="宋体" w:hAnsi="宋体" w:eastAsia="宋体" w:cs="宋体"/>
                <w:color w:val="000000" w:themeColor="text1"/>
                <w:kern w:val="0"/>
                <w:sz w:val="18"/>
                <w:szCs w:val="18"/>
                <w14:textFill>
                  <w14:solidFill>
                    <w14:schemeClr w14:val="tx1"/>
                  </w14:solidFill>
                </w14:textFill>
              </w:rPr>
              <w:t>00倍液</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叶面喷雾。</w:t>
            </w:r>
          </w:p>
        </w:tc>
      </w:tr>
      <w:tr w14:paraId="62853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tcBorders>
              <w:top w:val="single" w:color="auto" w:sz="12" w:space="0"/>
              <w:bottom w:val="single" w:color="auto" w:sz="12" w:space="0"/>
              <w:tl2br w:val="nil"/>
              <w:tr2bl w:val="nil"/>
            </w:tcBorders>
            <w:noWrap w:val="0"/>
            <w:vAlign w:val="center"/>
          </w:tcPr>
          <w:p w14:paraId="7668E35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龙眼炭疽病</w:t>
            </w:r>
          </w:p>
        </w:tc>
        <w:tc>
          <w:tcPr>
            <w:tcW w:w="2497" w:type="dxa"/>
            <w:tcBorders>
              <w:top w:val="single" w:color="auto" w:sz="12" w:space="0"/>
              <w:bottom w:val="single" w:color="auto" w:sz="12" w:space="0"/>
              <w:tl2br w:val="nil"/>
              <w:tr2bl w:val="nil"/>
            </w:tcBorders>
            <w:noWrap w:val="0"/>
            <w:vAlign w:val="center"/>
          </w:tcPr>
          <w:p w14:paraId="3C959C7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果实成熟初期</w:t>
            </w:r>
          </w:p>
        </w:tc>
        <w:tc>
          <w:tcPr>
            <w:tcW w:w="0" w:type="auto"/>
            <w:tcBorders>
              <w:top w:val="single" w:color="auto" w:sz="12" w:space="0"/>
              <w:bottom w:val="single" w:color="auto" w:sz="12" w:space="0"/>
              <w:tl2br w:val="nil"/>
              <w:tr2bl w:val="nil"/>
            </w:tcBorders>
            <w:noWrap w:val="0"/>
            <w:vAlign w:val="center"/>
          </w:tcPr>
          <w:p w14:paraId="2A5BAED2">
            <w:pPr>
              <w:keepNext w:val="0"/>
              <w:keepLines w:val="0"/>
              <w:suppressLineNumbers w:val="0"/>
              <w:spacing w:before="0" w:beforeAutospacing="0" w:after="0" w:afterAutospacing="0"/>
              <w:ind w:left="0" w:right="0"/>
              <w:jc w:val="both"/>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25</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lang w:val="en-US" w:eastAsia="zh-CN"/>
                <w14:textFill>
                  <w14:solidFill>
                    <w14:schemeClr w14:val="tx1"/>
                  </w14:solidFill>
                </w14:textFill>
              </w:rPr>
              <w:t>%咪鲜胺乳油1 000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1 200倍液</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或10</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lang w:val="en-US" w:eastAsia="zh-CN"/>
                <w14:textFill>
                  <w14:solidFill>
                    <w14:schemeClr w14:val="tx1"/>
                  </w14:solidFill>
                </w14:textFill>
              </w:rPr>
              <w:t>%苯醚甲环唑水分散粒剂650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1 000倍液</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叶面喷雾。</w:t>
            </w:r>
          </w:p>
        </w:tc>
      </w:tr>
      <w:tr w14:paraId="0B5DD0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tcBorders>
              <w:top w:val="single" w:color="auto" w:sz="12" w:space="0"/>
              <w:bottom w:val="single" w:color="auto" w:sz="12" w:space="0"/>
              <w:tl2br w:val="nil"/>
              <w:tr2bl w:val="nil"/>
            </w:tcBorders>
            <w:noWrap w:val="0"/>
            <w:vAlign w:val="center"/>
          </w:tcPr>
          <w:p w14:paraId="46F2D64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龙眼鬼帚病</w:t>
            </w:r>
          </w:p>
        </w:tc>
        <w:tc>
          <w:tcPr>
            <w:tcW w:w="2497" w:type="dxa"/>
            <w:tcBorders>
              <w:top w:val="single" w:color="auto" w:sz="12" w:space="0"/>
              <w:bottom w:val="single" w:color="auto" w:sz="12" w:space="0"/>
              <w:tl2br w:val="nil"/>
              <w:tr2bl w:val="nil"/>
            </w:tcBorders>
            <w:noWrap w:val="0"/>
            <w:vAlign w:val="center"/>
          </w:tcPr>
          <w:p w14:paraId="5339489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春梢和花穗萌动前</w:t>
            </w:r>
          </w:p>
        </w:tc>
        <w:tc>
          <w:tcPr>
            <w:tcW w:w="0" w:type="auto"/>
            <w:tcBorders>
              <w:top w:val="single" w:color="auto" w:sz="12" w:space="0"/>
              <w:bottom w:val="single" w:color="auto" w:sz="12" w:space="0"/>
              <w:tl2br w:val="nil"/>
              <w:tr2bl w:val="nil"/>
            </w:tcBorders>
            <w:noWrap w:val="0"/>
            <w:vAlign w:val="center"/>
          </w:tcPr>
          <w:p w14:paraId="59A01E9D">
            <w:pPr>
              <w:keepNext w:val="0"/>
              <w:keepLines w:val="0"/>
              <w:suppressLineNumbers w:val="0"/>
              <w:spacing w:before="0" w:beforeAutospacing="0" w:after="0" w:afterAutospacing="0"/>
              <w:ind w:left="0" w:right="0"/>
              <w:jc w:val="both"/>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主要控制该病</w:t>
            </w:r>
            <w:r>
              <w:rPr>
                <w:rFonts w:hint="eastAsia" w:ascii="宋体" w:hAnsi="宋体" w:cs="宋体"/>
                <w:color w:val="000000" w:themeColor="text1"/>
                <w:kern w:val="0"/>
                <w:sz w:val="18"/>
                <w:szCs w:val="18"/>
                <w:lang w:val="en-US" w:eastAsia="zh-CN"/>
                <w14:textFill>
                  <w14:solidFill>
                    <w14:schemeClr w14:val="tx1"/>
                  </w14:solidFill>
                </w14:textFill>
              </w:rPr>
              <w:t>传播的</w:t>
            </w:r>
            <w:r>
              <w:rPr>
                <w:rFonts w:hint="eastAsia" w:ascii="宋体" w:hAnsi="宋体" w:eastAsia="宋体" w:cs="宋体"/>
                <w:color w:val="000000" w:themeColor="text1"/>
                <w:kern w:val="0"/>
                <w:sz w:val="18"/>
                <w:szCs w:val="18"/>
                <w:lang w:val="en-US" w:eastAsia="zh-CN"/>
                <w14:textFill>
                  <w14:solidFill>
                    <w14:schemeClr w14:val="tx1"/>
                  </w14:solidFill>
                </w14:textFill>
              </w:rPr>
              <w:t>媒介昆虫，如防治荔枝蝽、龙眼角颊木虱和龙眼瘿螨等。</w:t>
            </w:r>
          </w:p>
        </w:tc>
      </w:tr>
      <w:tr w14:paraId="038F4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tcBorders>
              <w:top w:val="single" w:color="auto" w:sz="12" w:space="0"/>
              <w:bottom w:val="single" w:color="auto" w:sz="12" w:space="0"/>
              <w:tl2br w:val="nil"/>
              <w:tr2bl w:val="nil"/>
            </w:tcBorders>
            <w:noWrap w:val="0"/>
            <w:vAlign w:val="center"/>
          </w:tcPr>
          <w:p w14:paraId="73530CD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龙眼</w:t>
            </w:r>
            <w:r>
              <w:rPr>
                <w:rFonts w:hint="eastAsia" w:ascii="宋体" w:hAnsi="宋体" w:eastAsia="宋体" w:cs="宋体"/>
                <w:color w:val="000000" w:themeColor="text1"/>
                <w:kern w:val="0"/>
                <w:sz w:val="18"/>
                <w:szCs w:val="18"/>
                <w:lang w:val="en-US" w:eastAsia="zh-CN"/>
                <w14:textFill>
                  <w14:solidFill>
                    <w14:schemeClr w14:val="tx1"/>
                  </w14:solidFill>
                </w14:textFill>
              </w:rPr>
              <w:t>白霉病</w:t>
            </w:r>
          </w:p>
        </w:tc>
        <w:tc>
          <w:tcPr>
            <w:tcW w:w="2497" w:type="dxa"/>
            <w:tcBorders>
              <w:top w:val="single" w:color="auto" w:sz="12" w:space="0"/>
              <w:bottom w:val="single" w:color="auto" w:sz="12" w:space="0"/>
              <w:tl2br w:val="nil"/>
              <w:tr2bl w:val="nil"/>
            </w:tcBorders>
            <w:noWrap w:val="0"/>
            <w:vAlign w:val="center"/>
          </w:tcPr>
          <w:p w14:paraId="6C1E3FD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果实成熟期</w:t>
            </w:r>
          </w:p>
        </w:tc>
        <w:tc>
          <w:tcPr>
            <w:tcW w:w="0" w:type="auto"/>
            <w:tcBorders>
              <w:top w:val="single" w:color="auto" w:sz="12" w:space="0"/>
              <w:bottom w:val="single" w:color="auto" w:sz="12" w:space="0"/>
              <w:tl2br w:val="nil"/>
              <w:tr2bl w:val="nil"/>
            </w:tcBorders>
            <w:noWrap w:val="0"/>
            <w:vAlign w:val="center"/>
          </w:tcPr>
          <w:p w14:paraId="668B0567">
            <w:pPr>
              <w:keepNext w:val="0"/>
              <w:keepLines w:val="0"/>
              <w:suppressLineNumbers w:val="0"/>
              <w:spacing w:before="0" w:beforeAutospacing="0" w:after="0" w:afterAutospacing="0"/>
              <w:ind w:left="0" w:right="0"/>
              <w:jc w:val="both"/>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60</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lang w:val="en-US" w:eastAsia="zh-CN"/>
                <w14:textFill>
                  <w14:solidFill>
                    <w14:schemeClr w14:val="tx1"/>
                  </w14:solidFill>
                </w14:textFill>
              </w:rPr>
              <w:t>%唑醚·代森联水分散粒剂1 000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2 000倍液</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叶面喷雾。若距采摘不足10 d，仅限喷洒25</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lang w:val="en-US" w:eastAsia="zh-CN"/>
                <w14:textFill>
                  <w14:solidFill>
                    <w14:schemeClr w14:val="tx1"/>
                  </w14:solidFill>
                </w14:textFill>
              </w:rPr>
              <w:t>%咪鲜胺乳油1 000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1 200倍液，叶面喷雾1次。</w:t>
            </w:r>
          </w:p>
        </w:tc>
      </w:tr>
      <w:tr w14:paraId="4DF605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tcBorders>
              <w:top w:val="single" w:color="auto" w:sz="12" w:space="0"/>
              <w:bottom w:val="single" w:color="auto" w:sz="12" w:space="0"/>
              <w:tl2br w:val="nil"/>
              <w:tr2bl w:val="nil"/>
            </w:tcBorders>
            <w:noWrap w:val="0"/>
            <w:vAlign w:val="center"/>
          </w:tcPr>
          <w:p w14:paraId="0159554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荔枝蒂蛀虫</w:t>
            </w:r>
          </w:p>
        </w:tc>
        <w:tc>
          <w:tcPr>
            <w:tcW w:w="2497" w:type="dxa"/>
            <w:tcBorders>
              <w:top w:val="single" w:color="auto" w:sz="12" w:space="0"/>
              <w:bottom w:val="single" w:color="auto" w:sz="12" w:space="0"/>
              <w:tl2br w:val="nil"/>
              <w:tr2bl w:val="nil"/>
            </w:tcBorders>
            <w:noWrap w:val="0"/>
            <w:vAlign w:val="center"/>
          </w:tcPr>
          <w:p w14:paraId="17FBA33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果实膨大</w:t>
            </w:r>
            <w:r>
              <w:rPr>
                <w:rFonts w:hint="eastAsia" w:ascii="宋体" w:hAnsi="宋体" w:eastAsia="宋体" w:cs="宋体"/>
                <w:color w:val="000000" w:themeColor="text1"/>
                <w:kern w:val="0"/>
                <w:sz w:val="18"/>
                <w:szCs w:val="18"/>
                <w:lang w:val="en-US" w:eastAsia="zh-CN"/>
                <w14:textFill>
                  <w14:solidFill>
                    <w14:schemeClr w14:val="tx1"/>
                  </w14:solidFill>
                </w14:textFill>
              </w:rPr>
              <w:t>期</w:t>
            </w:r>
          </w:p>
        </w:tc>
        <w:tc>
          <w:tcPr>
            <w:tcW w:w="0" w:type="auto"/>
            <w:tcBorders>
              <w:top w:val="single" w:color="auto" w:sz="12" w:space="0"/>
              <w:bottom w:val="single" w:color="auto" w:sz="12" w:space="0"/>
              <w:tl2br w:val="nil"/>
              <w:tr2bl w:val="nil"/>
            </w:tcBorders>
            <w:noWrap w:val="0"/>
            <w:vAlign w:val="center"/>
          </w:tcPr>
          <w:p w14:paraId="6FE309F5">
            <w:pPr>
              <w:keepNext w:val="0"/>
              <w:keepLines w:val="0"/>
              <w:suppressLineNumbers w:val="0"/>
              <w:spacing w:before="0" w:beforeAutospacing="0" w:after="0" w:afterAutospacing="0"/>
              <w:ind w:left="0" w:right="0"/>
              <w:jc w:val="both"/>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2.5</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%高效氯氟氰菊酯乳油</w:t>
            </w:r>
            <w:r>
              <w:rPr>
                <w:rFonts w:hint="eastAsia" w:ascii="宋体" w:hAnsi="宋体" w:eastAsia="宋体" w:cs="宋体"/>
                <w:color w:val="000000" w:themeColor="text1"/>
                <w:kern w:val="0"/>
                <w:sz w:val="18"/>
                <w:szCs w:val="18"/>
                <w:lang w:val="en-US" w:eastAsia="zh-CN"/>
                <w14:textFill>
                  <w14:solidFill>
                    <w14:schemeClr w14:val="tx1"/>
                  </w14:solidFill>
                </w14:textFill>
              </w:rPr>
              <w:t>1 000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2 000倍液，或5</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lang w:val="en-US" w:eastAsia="zh-CN"/>
                <w14:textFill>
                  <w14:solidFill>
                    <w14:schemeClr w14:val="tx1"/>
                  </w14:solidFill>
                </w14:textFill>
              </w:rPr>
              <w:t>%氯虫苯甲酰胺悬浮剂750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1 500倍液，叶面喷雾</w:t>
            </w:r>
            <w:r>
              <w:rPr>
                <w:rFonts w:hint="eastAsia" w:ascii="宋体" w:hAnsi="宋体" w:eastAsia="宋体" w:cs="宋体"/>
                <w:color w:val="000000" w:themeColor="text1"/>
                <w:kern w:val="0"/>
                <w:sz w:val="18"/>
                <w:szCs w:val="18"/>
                <w14:textFill>
                  <w14:solidFill>
                    <w14:schemeClr w14:val="tx1"/>
                  </w14:solidFill>
                </w14:textFill>
              </w:rPr>
              <w:t>。</w:t>
            </w:r>
          </w:p>
        </w:tc>
      </w:tr>
      <w:tr w14:paraId="121143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tcBorders>
              <w:top w:val="single" w:color="auto" w:sz="12" w:space="0"/>
              <w:bottom w:val="single" w:color="auto" w:sz="12" w:space="0"/>
              <w:tl2br w:val="nil"/>
              <w:tr2bl w:val="nil"/>
            </w:tcBorders>
            <w:noWrap w:val="0"/>
            <w:vAlign w:val="center"/>
          </w:tcPr>
          <w:p w14:paraId="2973BA2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荔枝蝽</w:t>
            </w:r>
          </w:p>
        </w:tc>
        <w:tc>
          <w:tcPr>
            <w:tcW w:w="2497" w:type="dxa"/>
            <w:tcBorders>
              <w:top w:val="single" w:color="auto" w:sz="12" w:space="0"/>
              <w:bottom w:val="single" w:color="auto" w:sz="12" w:space="0"/>
              <w:tl2br w:val="nil"/>
              <w:tr2bl w:val="nil"/>
            </w:tcBorders>
            <w:noWrap w:val="0"/>
            <w:vAlign w:val="center"/>
          </w:tcPr>
          <w:p w14:paraId="04F37BB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花蕾期和幼果期</w:t>
            </w:r>
          </w:p>
        </w:tc>
        <w:tc>
          <w:tcPr>
            <w:tcW w:w="0" w:type="auto"/>
            <w:tcBorders>
              <w:top w:val="single" w:color="auto" w:sz="12" w:space="0"/>
              <w:bottom w:val="single" w:color="auto" w:sz="12" w:space="0"/>
              <w:tl2br w:val="nil"/>
              <w:tr2bl w:val="nil"/>
            </w:tcBorders>
            <w:noWrap w:val="0"/>
            <w:vAlign w:val="center"/>
          </w:tcPr>
          <w:p w14:paraId="0CF27312">
            <w:pPr>
              <w:keepNext w:val="0"/>
              <w:keepLines w:val="0"/>
              <w:suppressLineNumbers w:val="0"/>
              <w:spacing w:before="0" w:beforeAutospacing="0" w:after="0" w:afterAutospacing="0"/>
              <w:ind w:left="0" w:right="0"/>
              <w:jc w:val="both"/>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2.5</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%高效氯氟氰菊酯乳油</w:t>
            </w:r>
            <w:r>
              <w:rPr>
                <w:rFonts w:hint="eastAsia" w:ascii="宋体" w:hAnsi="宋体" w:eastAsia="宋体" w:cs="宋体"/>
                <w:color w:val="000000" w:themeColor="text1"/>
                <w:kern w:val="0"/>
                <w:sz w:val="18"/>
                <w:szCs w:val="18"/>
                <w:lang w:val="en-US" w:eastAsia="zh-CN"/>
                <w14:textFill>
                  <w14:solidFill>
                    <w14:schemeClr w14:val="tx1"/>
                  </w14:solidFill>
                </w14:textFill>
              </w:rPr>
              <w:t>1 000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2 000倍液，叶面喷雾。</w:t>
            </w:r>
          </w:p>
        </w:tc>
      </w:tr>
      <w:tr w14:paraId="27058E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tcBorders>
              <w:top w:val="single" w:color="auto" w:sz="12" w:space="0"/>
              <w:bottom w:val="single" w:color="auto" w:sz="12" w:space="0"/>
              <w:tl2br w:val="nil"/>
              <w:tr2bl w:val="nil"/>
            </w:tcBorders>
            <w:noWrap w:val="0"/>
            <w:vAlign w:val="center"/>
          </w:tcPr>
          <w:p w14:paraId="3904D57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龙眼瘿螨</w:t>
            </w:r>
          </w:p>
        </w:tc>
        <w:tc>
          <w:tcPr>
            <w:tcW w:w="2497" w:type="dxa"/>
            <w:tcBorders>
              <w:top w:val="single" w:color="auto" w:sz="12" w:space="0"/>
              <w:bottom w:val="single" w:color="auto" w:sz="12" w:space="0"/>
              <w:tl2br w:val="nil"/>
              <w:tr2bl w:val="nil"/>
            </w:tcBorders>
            <w:noWrap w:val="0"/>
            <w:vAlign w:val="center"/>
          </w:tcPr>
          <w:p w14:paraId="47F94749">
            <w:pPr>
              <w:keepNext w:val="0"/>
              <w:keepLines w:val="0"/>
              <w:suppressLineNumbers w:val="0"/>
              <w:spacing w:before="0" w:beforeAutospacing="0" w:after="0" w:afterAutospacing="0"/>
              <w:ind w:left="0" w:right="0"/>
              <w:jc w:val="both"/>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每次嫩梢抽发时，是瘿螨危害高发期。</w:t>
            </w:r>
          </w:p>
        </w:tc>
        <w:tc>
          <w:tcPr>
            <w:tcW w:w="0" w:type="auto"/>
            <w:tcBorders>
              <w:top w:val="single" w:color="auto" w:sz="12" w:space="0"/>
              <w:bottom w:val="single" w:color="auto" w:sz="12" w:space="0"/>
              <w:tl2br w:val="nil"/>
              <w:tr2bl w:val="nil"/>
            </w:tcBorders>
            <w:noWrap w:val="0"/>
            <w:vAlign w:val="center"/>
          </w:tcPr>
          <w:p w14:paraId="2494FDA7">
            <w:pPr>
              <w:keepNext w:val="0"/>
              <w:keepLines w:val="0"/>
              <w:suppressLineNumbers w:val="0"/>
              <w:spacing w:before="0" w:beforeAutospacing="0" w:after="0" w:afterAutospacing="0"/>
              <w:ind w:left="0" w:right="0"/>
              <w:jc w:val="both"/>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阿维菌素乳油1 500倍液</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或24</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lang w:val="en-US" w:eastAsia="zh-CN"/>
                <w14:textFill>
                  <w14:solidFill>
                    <w14:schemeClr w14:val="tx1"/>
                  </w14:solidFill>
                </w14:textFill>
              </w:rPr>
              <w:t>螺螨酯悬浮剂4 000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5 000倍液</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叶面</w:t>
            </w:r>
            <w:r>
              <w:rPr>
                <w:rFonts w:hint="eastAsia" w:ascii="宋体" w:hAnsi="宋体" w:eastAsia="宋体" w:cs="宋体"/>
                <w:color w:val="000000" w:themeColor="text1"/>
                <w:kern w:val="0"/>
                <w:sz w:val="18"/>
                <w:szCs w:val="18"/>
                <w14:textFill>
                  <w14:solidFill>
                    <w14:schemeClr w14:val="tx1"/>
                  </w14:solidFill>
                </w14:textFill>
              </w:rPr>
              <w:t>喷雾</w:t>
            </w:r>
            <w:r>
              <w:rPr>
                <w:rFonts w:hint="eastAsia" w:ascii="宋体" w:hAnsi="宋体" w:eastAsia="宋体" w:cs="宋体"/>
                <w:color w:val="000000" w:themeColor="text1"/>
                <w:kern w:val="0"/>
                <w:sz w:val="18"/>
                <w:szCs w:val="18"/>
                <w:lang w:eastAsia="zh-CN"/>
                <w14:textFill>
                  <w14:solidFill>
                    <w14:schemeClr w14:val="tx1"/>
                  </w14:solidFill>
                </w14:textFill>
              </w:rPr>
              <w:t>。</w:t>
            </w:r>
          </w:p>
        </w:tc>
      </w:tr>
      <w:tr w14:paraId="7A0F1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tcBorders>
              <w:top w:val="single" w:color="auto" w:sz="12" w:space="0"/>
              <w:bottom w:val="single" w:color="auto" w:sz="12" w:space="0"/>
              <w:tl2br w:val="nil"/>
              <w:tr2bl w:val="nil"/>
            </w:tcBorders>
            <w:noWrap w:val="0"/>
            <w:vAlign w:val="center"/>
          </w:tcPr>
          <w:p w14:paraId="4BA2C9B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龙眼角颊木虱</w:t>
            </w:r>
          </w:p>
        </w:tc>
        <w:tc>
          <w:tcPr>
            <w:tcW w:w="2497" w:type="dxa"/>
            <w:tcBorders>
              <w:top w:val="single" w:color="auto" w:sz="12" w:space="0"/>
              <w:bottom w:val="single" w:color="auto" w:sz="12" w:space="0"/>
              <w:tl2br w:val="nil"/>
              <w:tr2bl w:val="nil"/>
            </w:tcBorders>
            <w:noWrap w:val="0"/>
            <w:vAlign w:val="center"/>
          </w:tcPr>
          <w:p w14:paraId="670E0B26">
            <w:pPr>
              <w:keepNext w:val="0"/>
              <w:keepLines w:val="0"/>
              <w:suppressLineNumbers w:val="0"/>
              <w:spacing w:before="0" w:beforeAutospacing="0" w:after="0" w:afterAutospacing="0"/>
              <w:ind w:left="0" w:right="0"/>
              <w:jc w:val="both"/>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每次嫩梢抽发时，应在新梢抽出3</w:t>
            </w:r>
            <w:r>
              <w:rPr>
                <w:rFonts w:hint="eastAsia" w:ascii="宋体" w:hAnsi="宋体" w:eastAsia="宋体" w:cs="宋体"/>
                <w:color w:val="000000" w:themeColor="text1"/>
                <w:kern w:val="0"/>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5</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lang w:val="en-US" w:eastAsia="zh-CN"/>
                <w14:textFill>
                  <w14:solidFill>
                    <w14:schemeClr w14:val="tx1"/>
                  </w14:solidFill>
                </w14:textFill>
              </w:rPr>
              <w:t>cm</w:t>
            </w:r>
            <w:r>
              <w:rPr>
                <w:rFonts w:hint="eastAsia" w:ascii="宋体" w:hAnsi="宋体" w:eastAsia="宋体" w:cs="宋体"/>
                <w:color w:val="000000" w:themeColor="text1"/>
                <w:kern w:val="0"/>
                <w:sz w:val="18"/>
                <w:szCs w:val="18"/>
                <w14:textFill>
                  <w14:solidFill>
                    <w14:schemeClr w14:val="tx1"/>
                  </w14:solidFill>
                </w14:textFill>
              </w:rPr>
              <w:t>时及时喷药保梢</w:t>
            </w:r>
          </w:p>
        </w:tc>
        <w:tc>
          <w:tcPr>
            <w:tcW w:w="0" w:type="auto"/>
            <w:tcBorders>
              <w:top w:val="single" w:color="auto" w:sz="12" w:space="0"/>
              <w:bottom w:val="single" w:color="auto" w:sz="12" w:space="0"/>
              <w:tl2br w:val="nil"/>
              <w:tr2bl w:val="nil"/>
            </w:tcBorders>
            <w:noWrap w:val="0"/>
            <w:vAlign w:val="center"/>
          </w:tcPr>
          <w:p w14:paraId="43FDF1DE">
            <w:pPr>
              <w:keepNext w:val="0"/>
              <w:keepLines w:val="0"/>
              <w:suppressLineNumbers w:val="0"/>
              <w:spacing w:before="0" w:beforeAutospacing="0" w:after="0" w:afterAutospacing="0"/>
              <w:ind w:left="0" w:right="0"/>
              <w:jc w:val="both"/>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2.5</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kern w:val="0"/>
                <w:sz w:val="18"/>
                <w:szCs w:val="18"/>
                <w:lang w:eastAsia="zh-CN"/>
                <w14:textFill>
                  <w14:solidFill>
                    <w14:schemeClr w14:val="tx1"/>
                  </w14:solidFill>
                </w14:textFill>
              </w:rPr>
              <w:t>高效氯氟氰菊酯</w:t>
            </w:r>
            <w:r>
              <w:rPr>
                <w:rFonts w:hint="eastAsia" w:ascii="宋体" w:hAnsi="宋体" w:eastAsia="宋体" w:cs="宋体"/>
                <w:color w:val="000000" w:themeColor="text1"/>
                <w:kern w:val="0"/>
                <w:sz w:val="18"/>
                <w:szCs w:val="18"/>
                <w14:textFill>
                  <w14:solidFill>
                    <w14:schemeClr w14:val="tx1"/>
                  </w14:solidFill>
                </w14:textFill>
              </w:rPr>
              <w:t>水乳剂1</w:t>
            </w:r>
            <w:r>
              <w:rPr>
                <w:rFonts w:hint="eastAsia" w:ascii="宋体" w:hAnsi="宋体" w:eastAsia="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000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2 000</w:t>
            </w:r>
            <w:r>
              <w:rPr>
                <w:rFonts w:hint="eastAsia" w:ascii="宋体" w:hAnsi="宋体" w:eastAsia="宋体" w:cs="宋体"/>
                <w:color w:val="000000" w:themeColor="text1"/>
                <w:kern w:val="0"/>
                <w:sz w:val="18"/>
                <w:szCs w:val="18"/>
                <w14:textFill>
                  <w14:solidFill>
                    <w14:schemeClr w14:val="tx1"/>
                  </w14:solidFill>
                </w14:textFill>
              </w:rPr>
              <w:t>倍液</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叶面喷雾。</w:t>
            </w:r>
          </w:p>
        </w:tc>
      </w:tr>
      <w:tr w14:paraId="02FDD4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tcBorders>
              <w:top w:val="single" w:color="auto" w:sz="12" w:space="0"/>
              <w:bottom w:val="single" w:color="auto" w:sz="12" w:space="0"/>
              <w:tl2br w:val="nil"/>
              <w:tr2bl w:val="nil"/>
            </w:tcBorders>
            <w:noWrap w:val="0"/>
            <w:vAlign w:val="center"/>
          </w:tcPr>
          <w:p w14:paraId="7E8347A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蓟马</w:t>
            </w:r>
          </w:p>
        </w:tc>
        <w:tc>
          <w:tcPr>
            <w:tcW w:w="2497" w:type="dxa"/>
            <w:tcBorders>
              <w:top w:val="single" w:color="auto" w:sz="12" w:space="0"/>
              <w:bottom w:val="single" w:color="auto" w:sz="12" w:space="0"/>
              <w:tl2br w:val="nil"/>
              <w:tr2bl w:val="nil"/>
            </w:tcBorders>
            <w:noWrap w:val="0"/>
            <w:vAlign w:val="center"/>
          </w:tcPr>
          <w:p w14:paraId="6B9ADA9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花蕾期和新梢期</w:t>
            </w:r>
          </w:p>
        </w:tc>
        <w:tc>
          <w:tcPr>
            <w:tcW w:w="0" w:type="auto"/>
            <w:tcBorders>
              <w:top w:val="single" w:color="auto" w:sz="12" w:space="0"/>
              <w:bottom w:val="single" w:color="auto" w:sz="12" w:space="0"/>
              <w:tl2br w:val="nil"/>
              <w:tr2bl w:val="nil"/>
            </w:tcBorders>
            <w:noWrap w:val="0"/>
            <w:vAlign w:val="center"/>
          </w:tcPr>
          <w:p w14:paraId="546FA647">
            <w:pPr>
              <w:keepNext w:val="0"/>
              <w:keepLines w:val="0"/>
              <w:suppressLineNumbers w:val="0"/>
              <w:spacing w:before="0" w:beforeAutospacing="0" w:after="0" w:afterAutospacing="0"/>
              <w:ind w:left="0" w:right="0"/>
              <w:jc w:val="both"/>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w:t>
            </w:r>
            <w:r>
              <w:rPr>
                <w:rFonts w:hint="eastAsia" w:ascii="宋体" w:hAnsi="宋体" w:eastAsia="宋体" w:cs="宋体"/>
                <w:color w:val="000000" w:themeColor="text1"/>
                <w:kern w:val="0"/>
                <w:sz w:val="18"/>
                <w:szCs w:val="18"/>
                <w:lang w:eastAsia="zh-CN"/>
                <w14:textFill>
                  <w14:solidFill>
                    <w14:schemeClr w14:val="tx1"/>
                  </w14:solidFill>
                </w14:textFill>
              </w:rPr>
              <w:t>蓝光板诱杀成虫，悬挂高度应与植株等高或略高于植株；</w:t>
            </w:r>
          </w:p>
          <w:p w14:paraId="02BAABE1">
            <w:pPr>
              <w:keepNext w:val="0"/>
              <w:keepLines w:val="0"/>
              <w:suppressLineNumbers w:val="0"/>
              <w:spacing w:before="0" w:beforeAutospacing="0" w:after="0" w:afterAutospacing="0"/>
              <w:ind w:left="0" w:right="0"/>
              <w:jc w:val="both"/>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2、60 g/L</w:t>
            </w:r>
            <w:r>
              <w:rPr>
                <w:rFonts w:hint="eastAsia" w:ascii="宋体" w:hAnsi="宋体" w:eastAsia="宋体" w:cs="宋体"/>
                <w:color w:val="000000" w:themeColor="text1"/>
                <w:kern w:val="0"/>
                <w:sz w:val="18"/>
                <w:szCs w:val="18"/>
                <w:lang w:eastAsia="zh-CN"/>
                <w14:textFill>
                  <w14:solidFill>
                    <w14:schemeClr w14:val="tx1"/>
                  </w14:solidFill>
                </w14:textFill>
              </w:rPr>
              <w:t>乙基多杀霉素悬浮剂</w:t>
            </w:r>
            <w:r>
              <w:rPr>
                <w:rFonts w:hint="eastAsia" w:ascii="宋体" w:hAnsi="宋体" w:eastAsia="宋体" w:cs="宋体"/>
                <w:color w:val="000000" w:themeColor="text1"/>
                <w:kern w:val="0"/>
                <w:sz w:val="18"/>
                <w:szCs w:val="18"/>
                <w:lang w:val="en-US" w:eastAsia="zh-CN"/>
                <w14:textFill>
                  <w14:solidFill>
                    <w14:schemeClr w14:val="tx1"/>
                  </w14:solidFill>
                </w14:textFill>
              </w:rPr>
              <w:t>1 0</w:t>
            </w:r>
            <w:r>
              <w:rPr>
                <w:rFonts w:hint="eastAsia" w:ascii="宋体" w:hAnsi="宋体" w:eastAsia="宋体" w:cs="宋体"/>
                <w:color w:val="000000" w:themeColor="text1"/>
                <w:kern w:val="0"/>
                <w:sz w:val="18"/>
                <w:szCs w:val="18"/>
                <w:lang w:eastAsia="zh-CN"/>
                <w14:textFill>
                  <w14:solidFill>
                    <w14:schemeClr w14:val="tx1"/>
                  </w14:solidFill>
                </w14:textFill>
              </w:rPr>
              <w:t>00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 xml:space="preserve">2 </w:t>
            </w:r>
            <w:r>
              <w:rPr>
                <w:rFonts w:hint="eastAsia" w:ascii="宋体" w:hAnsi="宋体" w:eastAsia="宋体" w:cs="宋体"/>
                <w:color w:val="000000" w:themeColor="text1"/>
                <w:kern w:val="0"/>
                <w:sz w:val="18"/>
                <w:szCs w:val="18"/>
                <w:lang w:eastAsia="zh-CN"/>
                <w14:textFill>
                  <w14:solidFill>
                    <w14:schemeClr w14:val="tx1"/>
                  </w14:solidFill>
                </w14:textFill>
              </w:rPr>
              <w:t>000倍</w:t>
            </w:r>
            <w:r>
              <w:rPr>
                <w:rFonts w:hint="eastAsia" w:ascii="宋体" w:hAnsi="宋体" w:eastAsia="宋体" w:cs="宋体"/>
                <w:color w:val="000000" w:themeColor="text1"/>
                <w:kern w:val="0"/>
                <w:sz w:val="18"/>
                <w:szCs w:val="18"/>
                <w:lang w:val="en-US" w:eastAsia="zh-CN"/>
                <w14:textFill>
                  <w14:solidFill>
                    <w14:schemeClr w14:val="tx1"/>
                  </w14:solidFill>
                </w14:textFill>
              </w:rPr>
              <w:t>液</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叶面喷雾。</w:t>
            </w:r>
          </w:p>
        </w:tc>
      </w:tr>
      <w:tr w14:paraId="5ED92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tcBorders>
              <w:top w:val="single" w:color="auto" w:sz="12" w:space="0"/>
              <w:tl2br w:val="nil"/>
              <w:tr2bl w:val="nil"/>
            </w:tcBorders>
            <w:noWrap w:val="0"/>
            <w:vAlign w:val="center"/>
          </w:tcPr>
          <w:p w14:paraId="2850C18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红蜘蛛</w:t>
            </w:r>
          </w:p>
        </w:tc>
        <w:tc>
          <w:tcPr>
            <w:tcW w:w="2497" w:type="dxa"/>
            <w:tcBorders>
              <w:top w:val="single" w:color="auto" w:sz="12" w:space="0"/>
              <w:tl2br w:val="nil"/>
              <w:tr2bl w:val="nil"/>
            </w:tcBorders>
            <w:noWrap w:val="0"/>
            <w:vAlign w:val="center"/>
          </w:tcPr>
          <w:p w14:paraId="25F8F52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全年需防治</w:t>
            </w:r>
          </w:p>
        </w:tc>
        <w:tc>
          <w:tcPr>
            <w:tcW w:w="0" w:type="auto"/>
            <w:tcBorders>
              <w:top w:val="single" w:color="auto" w:sz="12" w:space="0"/>
              <w:tl2br w:val="nil"/>
              <w:tr2bl w:val="nil"/>
            </w:tcBorders>
            <w:noWrap w:val="0"/>
            <w:vAlign w:val="center"/>
          </w:tcPr>
          <w:p w14:paraId="056DC8C8">
            <w:pPr>
              <w:keepNext w:val="0"/>
              <w:keepLines w:val="0"/>
              <w:suppressLineNumbers w:val="0"/>
              <w:spacing w:before="0" w:beforeAutospacing="0" w:after="0" w:afterAutospacing="0"/>
              <w:ind w:left="0" w:right="0"/>
              <w:jc w:val="both"/>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240</w:t>
            </w:r>
            <w:r>
              <w:rPr>
                <w:rFonts w:hint="eastAsia" w:ascii="宋体" w:hAnsi="宋体" w:cs="宋体"/>
                <w:color w:val="000000" w:themeColor="text1"/>
                <w:kern w:val="0"/>
                <w:sz w:val="18"/>
                <w:szCs w:val="18"/>
                <w:lang w:val="en-US" w:eastAsia="zh-CN"/>
                <w14:textFill>
                  <w14:solidFill>
                    <w14:schemeClr w14:val="tx1"/>
                  </w14:solidFill>
                </w14:textFill>
              </w:rPr>
              <w:t xml:space="preserve"> g</w:t>
            </w:r>
            <w:r>
              <w:rPr>
                <w:rFonts w:hint="eastAsia" w:ascii="宋体" w:hAnsi="宋体" w:eastAsia="宋体" w:cs="宋体"/>
                <w:color w:val="000000" w:themeColor="text1"/>
                <w:kern w:val="0"/>
                <w:sz w:val="18"/>
                <w:szCs w:val="18"/>
                <w:lang w:val="en-US" w:eastAsia="zh-CN"/>
                <w14:textFill>
                  <w14:solidFill>
                    <w14:schemeClr w14:val="tx1"/>
                  </w14:solidFill>
                </w14:textFill>
              </w:rPr>
              <w:t>/</w:t>
            </w:r>
            <w:r>
              <w:rPr>
                <w:rFonts w:hint="eastAsia" w:ascii="宋体" w:hAnsi="宋体" w:cs="宋体"/>
                <w:color w:val="000000" w:themeColor="text1"/>
                <w:kern w:val="0"/>
                <w:sz w:val="18"/>
                <w:szCs w:val="18"/>
                <w:lang w:val="en-US" w:eastAsia="zh-CN"/>
                <w14:textFill>
                  <w14:solidFill>
                    <w14:schemeClr w14:val="tx1"/>
                  </w14:solidFill>
                </w14:textFill>
              </w:rPr>
              <w:t>L</w:t>
            </w:r>
            <w:r>
              <w:rPr>
                <w:rFonts w:hint="eastAsia" w:ascii="宋体" w:hAnsi="宋体" w:eastAsia="宋体" w:cs="宋体"/>
                <w:color w:val="000000" w:themeColor="text1"/>
                <w:kern w:val="0"/>
                <w:sz w:val="18"/>
                <w:szCs w:val="18"/>
                <w:lang w:val="en-US" w:eastAsia="zh-CN"/>
                <w14:textFill>
                  <w14:solidFill>
                    <w14:schemeClr w14:val="tx1"/>
                  </w14:solidFill>
                </w14:textFill>
              </w:rPr>
              <w:t>螺螨酯悬浮剂4 000～6 000倍液、110</w:t>
            </w:r>
            <w:r>
              <w:rPr>
                <w:rFonts w:hint="eastAsia" w:ascii="宋体" w:hAnsi="宋体" w:cs="宋体"/>
                <w:color w:val="000000" w:themeColor="text1"/>
                <w:kern w:val="0"/>
                <w:sz w:val="18"/>
                <w:szCs w:val="18"/>
                <w:lang w:val="en-US" w:eastAsia="zh-CN"/>
                <w14:textFill>
                  <w14:solidFill>
                    <w14:schemeClr w14:val="tx1"/>
                  </w14:solidFill>
                </w14:textFill>
              </w:rPr>
              <w:t xml:space="preserve"> g</w:t>
            </w:r>
            <w:r>
              <w:rPr>
                <w:rFonts w:hint="eastAsia" w:ascii="宋体" w:hAnsi="宋体" w:eastAsia="宋体" w:cs="宋体"/>
                <w:color w:val="000000" w:themeColor="text1"/>
                <w:kern w:val="0"/>
                <w:sz w:val="18"/>
                <w:szCs w:val="18"/>
                <w:lang w:val="en-US" w:eastAsia="zh-CN"/>
                <w14:textFill>
                  <w14:solidFill>
                    <w14:schemeClr w14:val="tx1"/>
                  </w14:solidFill>
                </w14:textFill>
              </w:rPr>
              <w:t>/</w:t>
            </w:r>
            <w:r>
              <w:rPr>
                <w:rFonts w:hint="eastAsia" w:ascii="宋体" w:hAnsi="宋体" w:cs="宋体"/>
                <w:color w:val="000000" w:themeColor="text1"/>
                <w:kern w:val="0"/>
                <w:sz w:val="18"/>
                <w:szCs w:val="18"/>
                <w:lang w:val="en-US" w:eastAsia="zh-CN"/>
                <w14:textFill>
                  <w14:solidFill>
                    <w14:schemeClr w14:val="tx1"/>
                  </w14:solidFill>
                </w14:textFill>
              </w:rPr>
              <w:t>L</w:t>
            </w:r>
            <w:r>
              <w:rPr>
                <w:rFonts w:hint="eastAsia" w:ascii="宋体" w:hAnsi="宋体" w:eastAsia="宋体" w:cs="宋体"/>
                <w:color w:val="000000" w:themeColor="text1"/>
                <w:kern w:val="0"/>
                <w:sz w:val="18"/>
                <w:szCs w:val="18"/>
                <w:lang w:val="en-US" w:eastAsia="zh-CN"/>
                <w14:textFill>
                  <w14:solidFill>
                    <w14:schemeClr w14:val="tx1"/>
                  </w14:solidFill>
                </w14:textFill>
              </w:rPr>
              <w:t>乙螨唑悬浮剂4 000～4 500倍液，叶面喷雾。</w:t>
            </w:r>
          </w:p>
        </w:tc>
      </w:tr>
    </w:tbl>
    <w:p w14:paraId="7D0F5322">
      <w:pPr>
        <w:bidi w:val="0"/>
        <w:jc w:val="left"/>
        <w:rPr>
          <w:rFonts w:hint="default"/>
          <w:color w:val="000000" w:themeColor="text1"/>
          <w:lang w:val="en-US" w:eastAsia="zh-CN"/>
          <w14:textFill>
            <w14:solidFill>
              <w14:schemeClr w14:val="tx1"/>
            </w14:solidFill>
          </w14:textFill>
        </w:rPr>
      </w:pPr>
    </w:p>
    <w:p w14:paraId="57932CCD">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000000" w:themeColor="text1"/>
          <w:szCs w:val="21"/>
          <w:lang w:val="en-US" w:eastAsia="zh-CN"/>
          <w14:textFill>
            <w14:solidFill>
              <w14:schemeClr w14:val="tx1"/>
            </w14:solidFill>
          </w14:textFill>
        </w:rPr>
      </w:pPr>
      <w:r>
        <w:rPr>
          <w:color w:val="000000" w:themeColor="text1"/>
          <w:sz w:val="44"/>
          <w:szCs w:val="4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2012950</wp:posOffset>
                </wp:positionH>
                <wp:positionV relativeFrom="paragraph">
                  <wp:posOffset>995045</wp:posOffset>
                </wp:positionV>
                <wp:extent cx="1752600" cy="635"/>
                <wp:effectExtent l="0" t="9525" r="0" b="15240"/>
                <wp:wrapNone/>
                <wp:docPr id="5" name="直线 9"/>
                <wp:cNvGraphicFramePr/>
                <a:graphic xmlns:a="http://schemas.openxmlformats.org/drawingml/2006/main">
                  <a:graphicData uri="http://schemas.microsoft.com/office/word/2010/wordprocessingShape">
                    <wps:wsp>
                      <wps:cNvCnPr/>
                      <wps:spPr>
                        <a:xfrm>
                          <a:off x="0" y="0"/>
                          <a:ext cx="17526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58.5pt;margin-top:78.35pt;height:0.05pt;width:138pt;z-index:251663360;mso-width-relative:page;mso-height-relative:page;" filled="f" stroked="t" coordsize="21600,21600" o:gfxdata="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q1AijX&#10;AAAACwEAAA8AAAAAAAAAAQAgAAAAIgAAAGRycy9kb3ducmV2LnhtbFBLAQIUABQAAAAIAIdO4kDw&#10;hDh+6AEAAN4DAAAOAAAAAAAAAAEAIAAAACYBAABkcnMvZTJvRG9jLnhtbFBLBQYAAAAABgAGAFkB&#10;AACABQAAAAA=&#10;">
                <v:fill on="f" focussize="0,0"/>
                <v:stroke weight="1.5pt" color="#000000" joinstyle="round"/>
                <v:imagedata o:title=""/>
                <o:lock v:ext="edit" aspectratio="f"/>
              </v:line>
            </w:pict>
          </mc:Fallback>
        </mc:AlternateContent>
      </w:r>
    </w:p>
    <w:sectPr>
      <w:pgSz w:w="11906" w:h="16838"/>
      <w:pgMar w:top="1417" w:right="1134" w:bottom="113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94928">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949150">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4E949150">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D1B78">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E040D6">
                          <w:pPr>
                            <w:pStyle w:val="5"/>
                            <w:rPr>
                              <w:color w:val="auto"/>
                            </w:rPr>
                          </w:pPr>
                          <w:r>
                            <w:rPr>
                              <w:color w:val="auto"/>
                            </w:rPr>
                            <w:fldChar w:fldCharType="begin"/>
                          </w:r>
                          <w:r>
                            <w:rPr>
                              <w:color w:val="auto"/>
                            </w:rPr>
                            <w:instrText xml:space="preserve"> PAGE  \* MERGEFORMAT </w:instrText>
                          </w:r>
                          <w:r>
                            <w:rPr>
                              <w:color w:val="auto"/>
                            </w:rPr>
                            <w:fldChar w:fldCharType="separate"/>
                          </w:r>
                          <w:r>
                            <w:rPr>
                              <w:color w:val="auto"/>
                            </w:rPr>
                            <w:t>- 1 -</w:t>
                          </w:r>
                          <w:r>
                            <w:rPr>
                              <w:color w:val="auto"/>
                            </w:rP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utQki98BAAC/AwAADgAAAAAA&#10;AAABACAAAAAeAQAAZHJzL2Uyb0RvYy54bWxQSwUGAAAAAAYABgBZAQAAbwUAAAAA&#10;">
              <v:fill on="f" focussize="0,0"/>
              <v:stroke on="f"/>
              <v:imagedata o:title=""/>
              <o:lock v:ext="edit" aspectratio="f"/>
              <v:textbox inset="0mm,0mm,0mm,0mm" style="mso-fit-shape-to-text:t;">
                <w:txbxContent>
                  <w:p w14:paraId="29E040D6">
                    <w:pPr>
                      <w:pStyle w:val="5"/>
                      <w:rPr>
                        <w:color w:val="auto"/>
                      </w:rPr>
                    </w:pPr>
                    <w:r>
                      <w:rPr>
                        <w:color w:val="auto"/>
                      </w:rPr>
                      <w:fldChar w:fldCharType="begin"/>
                    </w:r>
                    <w:r>
                      <w:rPr>
                        <w:color w:val="auto"/>
                      </w:rPr>
                      <w:instrText xml:space="preserve"> PAGE  \* MERGEFORMAT </w:instrText>
                    </w:r>
                    <w:r>
                      <w:rPr>
                        <w:color w:val="auto"/>
                      </w:rPr>
                      <w:fldChar w:fldCharType="separate"/>
                    </w:r>
                    <w:r>
                      <w:rPr>
                        <w:color w:val="auto"/>
                      </w:rPr>
                      <w:t>- 1 -</w:t>
                    </w:r>
                    <w:r>
                      <w:rPr>
                        <w:color w:val="auto"/>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5FAC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3F44CB">
                          <w:pPr>
                            <w:pStyle w:val="5"/>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fill on="f" focussize="0,0"/>
              <v:stroke on="f" weight="0.5pt"/>
              <v:imagedata o:title=""/>
              <o:lock v:ext="edit" aspectratio="f"/>
              <v:textbox inset="0mm,0mm,0mm,0mm" style="mso-fit-shape-to-text:t;">
                <w:txbxContent>
                  <w:p w14:paraId="513F44CB">
                    <w:pPr>
                      <w:pStyle w:val="5"/>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AA4F8">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5284A7">
                          <w:pPr>
                            <w:pStyle w:val="5"/>
                            <w:rPr>
                              <w:rFonts w:hint="eastAsia" w:ascii="宋体" w:hAnsi="宋体" w:eastAsia="宋体" w:cs="宋体"/>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- 23 -</w:t>
                          </w:r>
                          <w:r>
                            <w:rPr>
                              <w:rFonts w:hint="eastAsia" w:ascii="宋体" w:hAnsi="宋体" w:eastAsia="宋体" w:cs="宋体"/>
                              <w:sz w:val="18"/>
                              <w:szCs w:val="18"/>
                            </w:rPr>
                            <w:fldChar w:fldCharType="end"/>
                          </w:r>
                        </w:p>
                      </w:txbxContent>
                    </wps:txbx>
                    <wps:bodyPr vert="horz" wrap="none" lIns="0" tIns="0" rIns="0" bIns="0" anchor="t" anchorCtr="0" upright="1">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qJ4d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W1wlfTofVpR25ykx9m+gp62Z/IGciXbfoE1/IsQoTuqeLuqqPjKZLi0Xy2VJIUmx6UD4xcN1jyG+&#10;U2BZMiqONL6sqjh+CHFInVJSNQe32pg8QuP+cRBm8hSp96HHZMV+14+EdlCfiA+9A6rTAn7lrKMt&#10;qLijpefMvHckclqYycDJ2E2GcJIuVjxyNphv47BYB4963xLuPDcf/M0hUqeZQGpjqD12R3PNEow7&#10;mBbn73POenh3m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YqJ4d8BAAC/AwAADgAAAAAA&#10;AAABACAAAAAeAQAAZHJzL2Uyb0RvYy54bWxQSwUGAAAAAAYABgBZAQAAbwUAAAAA&#10;">
              <v:fill on="f" focussize="0,0"/>
              <v:stroke on="f"/>
              <v:imagedata o:title=""/>
              <o:lock v:ext="edit" aspectratio="f"/>
              <v:textbox inset="0mm,0mm,0mm,0mm" style="mso-fit-shape-to-text:t;">
                <w:txbxContent>
                  <w:p w14:paraId="395284A7">
                    <w:pPr>
                      <w:pStyle w:val="5"/>
                      <w:rPr>
                        <w:rFonts w:hint="eastAsia" w:ascii="宋体" w:hAnsi="宋体" w:eastAsia="宋体" w:cs="宋体"/>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- 23 -</w:t>
                    </w:r>
                    <w:r>
                      <w:rPr>
                        <w:rFonts w:hint="eastAsia" w:ascii="宋体" w:hAnsi="宋体" w:eastAsia="宋体" w:cs="宋体"/>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94B83">
    <w:pPr>
      <w:pStyle w:val="18"/>
      <w:rPr>
        <w:rFonts w:hAnsi="黑体"/>
      </w:rPr>
    </w:pPr>
    <w:r>
      <w:rPr>
        <w:rFonts w:hAnsi="黑体"/>
      </w:rPr>
      <w:t>DB4403/T 60—2020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97C1B">
    <w:pPr>
      <w:pStyle w:val="6"/>
      <w:tabs>
        <w:tab w:val="left" w:pos="7879"/>
      </w:tabs>
      <w:spacing w:after="283"/>
      <w:jc w:val="right"/>
      <w:rPr>
        <w:rFonts w:hint="default" w:ascii="黑体" w:hAnsi="黑体" w:eastAsia="黑体" w:cs="黑体"/>
        <w:sz w:val="21"/>
        <w:szCs w:val="21"/>
        <w:lang w:val="en-US"/>
      </w:rPr>
    </w:pPr>
    <w:r>
      <w:rPr>
        <w:rFonts w:hint="eastAsia" w:ascii="黑体" w:hAnsi="黑体" w:eastAsia="黑体" w:cs="黑体"/>
        <w:b w:val="0"/>
        <w:bCs w:val="0"/>
        <w:color w:val="000000"/>
        <w:sz w:val="20"/>
        <w:szCs w:val="20"/>
        <w:u w:val="none"/>
        <w:lang w:val="en-US" w:eastAsia="zh-CN"/>
      </w:rPr>
      <w:t xml:space="preserve">T/SZNB </w:t>
    </w:r>
    <w:r>
      <w:rPr>
        <w:rFonts w:hint="default" w:ascii="黑体" w:hAnsi="黑体" w:eastAsia="黑体" w:cs="黑体"/>
        <w:b w:val="0"/>
        <w:bCs w:val="0"/>
        <w:color w:val="000000"/>
        <w:sz w:val="20"/>
        <w:szCs w:val="20"/>
        <w:u w:val="none"/>
        <w:lang w:val="en" w:eastAsia="zh-CN"/>
      </w:rPr>
      <w:t>xxx</w:t>
    </w:r>
    <w:r>
      <w:rPr>
        <w:rFonts w:hint="eastAsia" w:ascii="黑体" w:hAnsi="黑体" w:eastAsia="黑体" w:cs="黑体"/>
        <w:b w:val="0"/>
        <w:bCs w:val="0"/>
        <w:color w:val="000000"/>
        <w:sz w:val="20"/>
        <w:szCs w:val="20"/>
        <w:u w:val="none"/>
        <w:lang w:val="en-US" w:eastAsia="zh-CN"/>
      </w:rPr>
      <w:t>-2025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E7A9">
    <w:pPr>
      <w:pStyle w:val="6"/>
      <w:rPr>
        <w:rFonts w:hint="default" w:hAnsi="黑体"/>
        <w:lang w:val="en-US" w:eastAsia="zh-CN"/>
      </w:rPr>
    </w:pPr>
    <w:r>
      <w:rPr>
        <w:rFonts w:hint="eastAsia" w:ascii="黑体" w:hAnsi="黑体" w:eastAsia="黑体" w:cs="黑体"/>
        <w:b w:val="0"/>
        <w:bCs w:val="0"/>
        <w:sz w:val="20"/>
        <w:szCs w:val="20"/>
        <w:u w:val="none"/>
        <w:lang w:val="en-US" w:eastAsia="zh-CN"/>
      </w:rPr>
      <w:t>T/SZNB XXXXX-XXXX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F6C04">
    <w:pPr>
      <w:pStyle w:val="6"/>
      <w:tabs>
        <w:tab w:val="left" w:pos="7879"/>
      </w:tabs>
      <w:spacing w:after="283"/>
      <w:jc w:val="right"/>
      <w:rPr>
        <w:rFonts w:hint="default" w:ascii="黑体" w:hAnsi="黑体" w:eastAsia="黑体" w:cs="黑体"/>
        <w:sz w:val="21"/>
        <w:szCs w:val="21"/>
        <w:lang w:val="en-US"/>
      </w:rPr>
    </w:pPr>
    <w:r>
      <w:rPr>
        <w:rFonts w:hint="eastAsia" w:ascii="黑体" w:hAnsi="黑体" w:eastAsia="黑体" w:cs="黑体"/>
        <w:b w:val="0"/>
        <w:bCs w:val="0"/>
        <w:color w:val="000000"/>
        <w:sz w:val="20"/>
        <w:szCs w:val="20"/>
        <w:u w:val="none"/>
        <w:lang w:val="en-US" w:eastAsia="zh-CN"/>
      </w:rPr>
      <w:t xml:space="preserve">T/SZNB </w:t>
    </w:r>
    <w:r>
      <w:rPr>
        <w:rFonts w:hint="default" w:ascii="黑体" w:hAnsi="黑体" w:eastAsia="黑体" w:cs="黑体"/>
        <w:b w:val="0"/>
        <w:bCs w:val="0"/>
        <w:color w:val="000000"/>
        <w:sz w:val="20"/>
        <w:szCs w:val="20"/>
        <w:u w:val="none"/>
        <w:lang w:val="en" w:eastAsia="zh-CN"/>
      </w:rPr>
      <w:t>xxx</w:t>
    </w:r>
    <w:r>
      <w:rPr>
        <w:rFonts w:hint="eastAsia" w:ascii="黑体" w:hAnsi="黑体" w:eastAsia="黑体" w:cs="黑体"/>
        <w:b w:val="0"/>
        <w:bCs w:val="0"/>
        <w:color w:val="000000"/>
        <w:sz w:val="20"/>
        <w:szCs w:val="20"/>
        <w:u w:val="none"/>
        <w:lang w:val="en-US" w:eastAsia="zh-CN"/>
      </w:rPr>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F3DAA"/>
    <w:rsid w:val="006D544F"/>
    <w:rsid w:val="01AE15BA"/>
    <w:rsid w:val="030D429B"/>
    <w:rsid w:val="075D8B5A"/>
    <w:rsid w:val="07DD39C6"/>
    <w:rsid w:val="095D535B"/>
    <w:rsid w:val="0FDF0782"/>
    <w:rsid w:val="11625F1D"/>
    <w:rsid w:val="123E24E6"/>
    <w:rsid w:val="19567888"/>
    <w:rsid w:val="1B2FF769"/>
    <w:rsid w:val="1FAD5C6C"/>
    <w:rsid w:val="1FC6C480"/>
    <w:rsid w:val="2388445E"/>
    <w:rsid w:val="24E231A5"/>
    <w:rsid w:val="25021151"/>
    <w:rsid w:val="276F493B"/>
    <w:rsid w:val="277642BF"/>
    <w:rsid w:val="27EBF46A"/>
    <w:rsid w:val="27FF55CF"/>
    <w:rsid w:val="2A162A83"/>
    <w:rsid w:val="2CBF201D"/>
    <w:rsid w:val="2DFEEF38"/>
    <w:rsid w:val="2E9DBD83"/>
    <w:rsid w:val="2EF36B61"/>
    <w:rsid w:val="2EFDD3DE"/>
    <w:rsid w:val="2F110F46"/>
    <w:rsid w:val="2FEF4B88"/>
    <w:rsid w:val="2FF04EE7"/>
    <w:rsid w:val="33FBE312"/>
    <w:rsid w:val="33FD61FD"/>
    <w:rsid w:val="33FF3DAA"/>
    <w:rsid w:val="34F734DE"/>
    <w:rsid w:val="357D2E3C"/>
    <w:rsid w:val="35FC47A0"/>
    <w:rsid w:val="364FC89A"/>
    <w:rsid w:val="36F62AE0"/>
    <w:rsid w:val="372A72BC"/>
    <w:rsid w:val="37E516AA"/>
    <w:rsid w:val="37FEACAF"/>
    <w:rsid w:val="3AD7BB80"/>
    <w:rsid w:val="3BFDCCEE"/>
    <w:rsid w:val="3C1BFD55"/>
    <w:rsid w:val="3C3A346E"/>
    <w:rsid w:val="3CD5B096"/>
    <w:rsid w:val="3CF5D085"/>
    <w:rsid w:val="3CFFE7DB"/>
    <w:rsid w:val="3D292E28"/>
    <w:rsid w:val="3D78EE81"/>
    <w:rsid w:val="3E5D8D64"/>
    <w:rsid w:val="3ED7A3DE"/>
    <w:rsid w:val="3EEB8F36"/>
    <w:rsid w:val="3EFDDFA7"/>
    <w:rsid w:val="3F4E6745"/>
    <w:rsid w:val="3F7F3B22"/>
    <w:rsid w:val="3F8FF383"/>
    <w:rsid w:val="3FB7EA80"/>
    <w:rsid w:val="3FDDDC89"/>
    <w:rsid w:val="3FDFA10E"/>
    <w:rsid w:val="3FDFE13A"/>
    <w:rsid w:val="3FEFE3BC"/>
    <w:rsid w:val="3FFDF64A"/>
    <w:rsid w:val="46D815BE"/>
    <w:rsid w:val="47D56D2A"/>
    <w:rsid w:val="47F8E87F"/>
    <w:rsid w:val="47FF82A8"/>
    <w:rsid w:val="49431BB4"/>
    <w:rsid w:val="4BFD22AB"/>
    <w:rsid w:val="4F907E75"/>
    <w:rsid w:val="4FCF44A5"/>
    <w:rsid w:val="50D64243"/>
    <w:rsid w:val="527B5E0C"/>
    <w:rsid w:val="567E247E"/>
    <w:rsid w:val="56B76F72"/>
    <w:rsid w:val="56E94546"/>
    <w:rsid w:val="56FB3633"/>
    <w:rsid w:val="57EDA202"/>
    <w:rsid w:val="59F039C3"/>
    <w:rsid w:val="5B581B4C"/>
    <w:rsid w:val="5BB3C9AA"/>
    <w:rsid w:val="5BBFEDBD"/>
    <w:rsid w:val="5BF152C2"/>
    <w:rsid w:val="5DCF2BE3"/>
    <w:rsid w:val="5DFBD8F0"/>
    <w:rsid w:val="5E770F30"/>
    <w:rsid w:val="5EAFA30A"/>
    <w:rsid w:val="5EBF6A26"/>
    <w:rsid w:val="5F3FC183"/>
    <w:rsid w:val="5FBF5359"/>
    <w:rsid w:val="5FBFF621"/>
    <w:rsid w:val="5FFD19F0"/>
    <w:rsid w:val="5FFD7124"/>
    <w:rsid w:val="5FFF4CB6"/>
    <w:rsid w:val="600A27E6"/>
    <w:rsid w:val="607E5275"/>
    <w:rsid w:val="61E810F3"/>
    <w:rsid w:val="637FEE75"/>
    <w:rsid w:val="64AAFADF"/>
    <w:rsid w:val="65F92FFA"/>
    <w:rsid w:val="69ED79FC"/>
    <w:rsid w:val="69F6E719"/>
    <w:rsid w:val="6B5702A5"/>
    <w:rsid w:val="6BEFE31A"/>
    <w:rsid w:val="6C793B38"/>
    <w:rsid w:val="6DE71BBA"/>
    <w:rsid w:val="6DF791CB"/>
    <w:rsid w:val="6E769B7B"/>
    <w:rsid w:val="6EF7DC32"/>
    <w:rsid w:val="6FBF52B6"/>
    <w:rsid w:val="6FBF97C9"/>
    <w:rsid w:val="6FD776BF"/>
    <w:rsid w:val="6FE2B518"/>
    <w:rsid w:val="722F6177"/>
    <w:rsid w:val="73D17C39"/>
    <w:rsid w:val="74EB398F"/>
    <w:rsid w:val="757D3F52"/>
    <w:rsid w:val="758807CB"/>
    <w:rsid w:val="75ADC709"/>
    <w:rsid w:val="76F7D575"/>
    <w:rsid w:val="776B2153"/>
    <w:rsid w:val="776F59AD"/>
    <w:rsid w:val="77DD356E"/>
    <w:rsid w:val="77EE695A"/>
    <w:rsid w:val="77F56A6B"/>
    <w:rsid w:val="77FF51F1"/>
    <w:rsid w:val="77FFFFD0"/>
    <w:rsid w:val="797E25B3"/>
    <w:rsid w:val="79CD357A"/>
    <w:rsid w:val="79E202CB"/>
    <w:rsid w:val="79FAD8D6"/>
    <w:rsid w:val="7B1FEC25"/>
    <w:rsid w:val="7B5F57F1"/>
    <w:rsid w:val="7B76DC3F"/>
    <w:rsid w:val="7BDF0797"/>
    <w:rsid w:val="7CF7ABA4"/>
    <w:rsid w:val="7CFAAAC6"/>
    <w:rsid w:val="7DBBDCFA"/>
    <w:rsid w:val="7DF6BD14"/>
    <w:rsid w:val="7DF6C10F"/>
    <w:rsid w:val="7DFB678D"/>
    <w:rsid w:val="7E7E9E68"/>
    <w:rsid w:val="7EDC0AFB"/>
    <w:rsid w:val="7EDE3D22"/>
    <w:rsid w:val="7EF740AA"/>
    <w:rsid w:val="7EFD87B4"/>
    <w:rsid w:val="7EFEF447"/>
    <w:rsid w:val="7F3F65DA"/>
    <w:rsid w:val="7F3FAF45"/>
    <w:rsid w:val="7F77921B"/>
    <w:rsid w:val="7F7F8F4D"/>
    <w:rsid w:val="7F87E7E2"/>
    <w:rsid w:val="7FAE700D"/>
    <w:rsid w:val="7FB5A8E8"/>
    <w:rsid w:val="7FBFB5C7"/>
    <w:rsid w:val="7FDF5662"/>
    <w:rsid w:val="7FE37A39"/>
    <w:rsid w:val="7FEEE181"/>
    <w:rsid w:val="7FF3E83C"/>
    <w:rsid w:val="7FF69C11"/>
    <w:rsid w:val="7FF7E1E1"/>
    <w:rsid w:val="7FFB4550"/>
    <w:rsid w:val="7FFCB03B"/>
    <w:rsid w:val="7FFD4EF7"/>
    <w:rsid w:val="7FFE9DD2"/>
    <w:rsid w:val="7FFFA51B"/>
    <w:rsid w:val="7FFFAAE5"/>
    <w:rsid w:val="7FFFF4B9"/>
    <w:rsid w:val="8BF7C410"/>
    <w:rsid w:val="8D7DB24C"/>
    <w:rsid w:val="8FAA94BA"/>
    <w:rsid w:val="97C40112"/>
    <w:rsid w:val="99EF111D"/>
    <w:rsid w:val="99FF48CB"/>
    <w:rsid w:val="9EFF2772"/>
    <w:rsid w:val="B5DF66FE"/>
    <w:rsid w:val="B63A9ACA"/>
    <w:rsid w:val="B73D474D"/>
    <w:rsid w:val="B77FBEE0"/>
    <w:rsid w:val="B7F78103"/>
    <w:rsid w:val="B98E0297"/>
    <w:rsid w:val="B9EFDC80"/>
    <w:rsid w:val="BBFFD145"/>
    <w:rsid w:val="BCFF1271"/>
    <w:rsid w:val="BDEFA22C"/>
    <w:rsid w:val="BEDCE04E"/>
    <w:rsid w:val="BF5BD0C3"/>
    <w:rsid w:val="BFAF5E5F"/>
    <w:rsid w:val="BFB7C1B7"/>
    <w:rsid w:val="BFCF4F81"/>
    <w:rsid w:val="BFE7F57A"/>
    <w:rsid w:val="BFEEB8D5"/>
    <w:rsid w:val="BFF5BF31"/>
    <w:rsid w:val="C67A541D"/>
    <w:rsid w:val="CEEDCDB5"/>
    <w:rsid w:val="CF9FEDE9"/>
    <w:rsid w:val="CFD69F2E"/>
    <w:rsid w:val="CFFFF039"/>
    <w:rsid w:val="D2EDA206"/>
    <w:rsid w:val="D75B84FB"/>
    <w:rsid w:val="D9F6EC32"/>
    <w:rsid w:val="DABA73DD"/>
    <w:rsid w:val="DB8FC7FC"/>
    <w:rsid w:val="DCC7C953"/>
    <w:rsid w:val="DDB5DD65"/>
    <w:rsid w:val="DDBACA3B"/>
    <w:rsid w:val="DE7BE4D9"/>
    <w:rsid w:val="DEDB0A86"/>
    <w:rsid w:val="DEDF08DD"/>
    <w:rsid w:val="DF1A894E"/>
    <w:rsid w:val="DF25F4CC"/>
    <w:rsid w:val="DF5FF7EB"/>
    <w:rsid w:val="DFBD3B9F"/>
    <w:rsid w:val="DFDFD236"/>
    <w:rsid w:val="DFEC29CC"/>
    <w:rsid w:val="DFF64940"/>
    <w:rsid w:val="E3FF46AB"/>
    <w:rsid w:val="E55623C2"/>
    <w:rsid w:val="E5C42CB5"/>
    <w:rsid w:val="E77F5D06"/>
    <w:rsid w:val="E7F6828E"/>
    <w:rsid w:val="E7FFB333"/>
    <w:rsid w:val="E8BF864C"/>
    <w:rsid w:val="E97E5097"/>
    <w:rsid w:val="EBBF6F14"/>
    <w:rsid w:val="EBF78327"/>
    <w:rsid w:val="EC759B5C"/>
    <w:rsid w:val="EF4998CE"/>
    <w:rsid w:val="EFDF162A"/>
    <w:rsid w:val="EFED4BD7"/>
    <w:rsid w:val="EFFF2923"/>
    <w:rsid w:val="F38766E9"/>
    <w:rsid w:val="F3BFC309"/>
    <w:rsid w:val="F52F3489"/>
    <w:rsid w:val="F67D47AD"/>
    <w:rsid w:val="F77FF51F"/>
    <w:rsid w:val="F79FBEFB"/>
    <w:rsid w:val="F7B6045D"/>
    <w:rsid w:val="F7BA6FA5"/>
    <w:rsid w:val="F7DF6C78"/>
    <w:rsid w:val="F7FB1D17"/>
    <w:rsid w:val="F7FBB9BA"/>
    <w:rsid w:val="F9F0A0D3"/>
    <w:rsid w:val="F9F69315"/>
    <w:rsid w:val="FADA28D8"/>
    <w:rsid w:val="FBF7089C"/>
    <w:rsid w:val="FBF7E990"/>
    <w:rsid w:val="FC6D031B"/>
    <w:rsid w:val="FC9FF9B2"/>
    <w:rsid w:val="FD273FBB"/>
    <w:rsid w:val="FD5FB505"/>
    <w:rsid w:val="FD9B57FF"/>
    <w:rsid w:val="FDDF1CEF"/>
    <w:rsid w:val="FDE15508"/>
    <w:rsid w:val="FDFB63FA"/>
    <w:rsid w:val="FDFD3259"/>
    <w:rsid w:val="FDFFF92B"/>
    <w:rsid w:val="FE7B4EF1"/>
    <w:rsid w:val="FEB72C06"/>
    <w:rsid w:val="FECF50B9"/>
    <w:rsid w:val="FEDB79AF"/>
    <w:rsid w:val="FEDE0668"/>
    <w:rsid w:val="FEFE9E46"/>
    <w:rsid w:val="FEFFC433"/>
    <w:rsid w:val="FF6F16F7"/>
    <w:rsid w:val="FF7614B4"/>
    <w:rsid w:val="FF7BEE41"/>
    <w:rsid w:val="FF7FD47C"/>
    <w:rsid w:val="FF8FCC3E"/>
    <w:rsid w:val="FFAFEC87"/>
    <w:rsid w:val="FFBF84B4"/>
    <w:rsid w:val="FFCE846E"/>
    <w:rsid w:val="FFCFBE43"/>
    <w:rsid w:val="FFD51A7C"/>
    <w:rsid w:val="FFEE032F"/>
    <w:rsid w:val="FFEF0222"/>
    <w:rsid w:val="FFEFD51D"/>
    <w:rsid w:val="FFF70976"/>
    <w:rsid w:val="FFFA79EB"/>
    <w:rsid w:val="FFFB32D8"/>
    <w:rsid w:val="FFFC6927"/>
    <w:rsid w:val="FFFD631C"/>
    <w:rsid w:val="FFFDA9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spacing w:after="120"/>
    </w:pPr>
  </w:style>
  <w:style w:type="paragraph" w:styleId="4">
    <w:name w:val="Body Text Indent"/>
    <w:basedOn w:val="1"/>
    <w:qFormat/>
    <w:uiPriority w:val="0"/>
    <w:pPr>
      <w:ind w:firstLine="560" w:firstLineChars="200"/>
    </w:pPr>
    <w:rPr>
      <w:rFonts w:ascii="宋体"/>
      <w:sz w:val="28"/>
      <w:szCs w:val="20"/>
    </w:rPr>
  </w:style>
  <w:style w:type="paragraph" w:styleId="5">
    <w:name w:val="footer"/>
    <w:basedOn w:val="1"/>
    <w:qFormat/>
    <w:uiPriority w:val="99"/>
    <w:pPr>
      <w:snapToGrid w:val="0"/>
      <w:ind w:right="210" w:rightChars="100"/>
      <w:jc w:val="right"/>
    </w:pPr>
    <w:rPr>
      <w:sz w:val="18"/>
      <w:szCs w:val="18"/>
    </w:rPr>
  </w:style>
  <w:style w:type="paragraph" w:styleId="6">
    <w:name w:val="header"/>
    <w:basedOn w:val="1"/>
    <w:qFormat/>
    <w:uiPriority w:val="99"/>
    <w:pPr>
      <w:snapToGrid w:val="0"/>
      <w:jc w:val="left"/>
    </w:pPr>
    <w:rPr>
      <w:sz w:val="18"/>
      <w:szCs w:val="18"/>
    </w:rPr>
  </w:style>
  <w:style w:type="paragraph" w:styleId="7">
    <w:name w:val="toc 1"/>
    <w:basedOn w:val="1"/>
    <w:next w:val="1"/>
    <w:qFormat/>
    <w:uiPriority w:val="39"/>
    <w:pPr>
      <w:tabs>
        <w:tab w:val="right" w:leader="dot" w:pos="9241"/>
      </w:tabs>
      <w:spacing w:beforeLines="25" w:afterLines="25"/>
      <w:ind w:left="-283" w:leftChars="-135" w:firstLine="424" w:firstLineChars="202"/>
      <w:jc w:val="left"/>
    </w:pPr>
    <w:rPr>
      <w:rFonts w:ascii="宋体"/>
      <w:szCs w:val="21"/>
    </w:rPr>
  </w:style>
  <w:style w:type="paragraph" w:styleId="8">
    <w:name w:val="Normal (Web)"/>
    <w:basedOn w:val="1"/>
    <w:qFormat/>
    <w:uiPriority w:val="0"/>
    <w:rPr>
      <w:sz w:val="24"/>
    </w:rPr>
  </w:style>
  <w:style w:type="paragraph" w:styleId="9">
    <w:name w:val="Body Text First Indent"/>
    <w:basedOn w:val="3"/>
    <w:qFormat/>
    <w:uiPriority w:val="0"/>
    <w:pPr>
      <w:ind w:firstLine="420" w:firstLineChars="100"/>
    </w:pPr>
  </w:style>
  <w:style w:type="table" w:styleId="11">
    <w:name w:val="Table Grid"/>
    <w:basedOn w:val="10"/>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
    <w:name w:val="列出段落1"/>
    <w:basedOn w:val="1"/>
    <w:qFormat/>
    <w:uiPriority w:val="0"/>
    <w:pPr>
      <w:ind w:firstLine="420" w:firstLineChars="200"/>
    </w:pPr>
    <w:rPr>
      <w:szCs w:val="21"/>
    </w:rPr>
  </w:style>
  <w:style w:type="character" w:customStyle="1" w:styleId="16">
    <w:name w:val="正文文本缩进 Char1"/>
    <w:qFormat/>
    <w:uiPriority w:val="0"/>
    <w:rPr>
      <w:kern w:val="2"/>
      <w:sz w:val="21"/>
      <w:szCs w:val="24"/>
    </w:rPr>
  </w:style>
  <w:style w:type="paragraph" w:customStyle="1" w:styleId="17">
    <w:name w:val="终结线"/>
    <w:basedOn w:val="1"/>
    <w:qFormat/>
    <w:uiPriority w:val="0"/>
    <w:pPr>
      <w:framePr w:hSpace="181" w:vSpace="181" w:wrap="around" w:vAnchor="text" w:hAnchor="margin" w:xAlign="center" w:y="285"/>
    </w:pPr>
  </w:style>
  <w:style w:type="paragraph" w:customStyle="1" w:styleId="18">
    <w:name w:val="标准书眉_偶数页"/>
    <w:basedOn w:val="19"/>
    <w:next w:val="1"/>
    <w:qFormat/>
    <w:uiPriority w:val="0"/>
    <w:pPr>
      <w:tabs>
        <w:tab w:val="center" w:pos="4154"/>
        <w:tab w:val="right" w:pos="8306"/>
      </w:tabs>
      <w:jc w:val="left"/>
    </w:pPr>
  </w:style>
  <w:style w:type="paragraph" w:customStyle="1" w:styleId="1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6279</Words>
  <Characters>7138</Characters>
  <Lines>1</Lines>
  <Paragraphs>1</Paragraphs>
  <TotalTime>1</TotalTime>
  <ScaleCrop>false</ScaleCrop>
  <LinksUpToDate>false</LinksUpToDate>
  <CharactersWithSpaces>7736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2024-12-08T09:19:00Z</dcterms:created>
  <dc:creator>祁百福</dc:creator>
  <cp:lastModifiedBy>Fafa</cp:lastModifiedBy>
  <cp:lastPrinted>2025-03-28T08:58:00Z</cp:lastPrinted>
  <dcterms:modified xsi:type="dcterms:W3CDTF">2025-04-03T01:16:09Z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4571B8009FE340378749F7534A0E2EA7_13</vt:lpwstr>
  </property>
  <property fmtid="{D5CDD505-2E9C-101B-9397-08002B2CF9AE}" pid="4" name="KSOTemplateDocerSaveRecord">
    <vt:lpwstr>eyJoZGlkIjoiM2VkMWEwOGJiZTdjMTFiZWQxN2ViYjM3MGM1ZjY5YjMiLCJ1c2VySWQiOiIxNDE1NjM3NDEwIn0=</vt:lpwstr>
  </property>
</Properties>
</file>