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7F321">
      <w:pPr>
        <w:adjustRightInd w:val="0"/>
        <w:snapToGrid w:val="0"/>
        <w:spacing w:line="360" w:lineRule="auto"/>
        <w:jc w:val="center"/>
        <w:rPr>
          <w:rFonts w:hint="default" w:ascii="Times New Roman" w:hAnsi="Times New Roman" w:eastAsia="黑体" w:cs="Times New Roman"/>
          <w:b/>
          <w:sz w:val="48"/>
          <w:szCs w:val="48"/>
          <w:highlight w:val="none"/>
        </w:rPr>
      </w:pPr>
    </w:p>
    <w:p w14:paraId="79EBEC41">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42C0B5D8">
      <w:pPr>
        <w:adjustRightInd w:val="0"/>
        <w:snapToGrid w:val="0"/>
        <w:spacing w:line="360" w:lineRule="auto"/>
        <w:jc w:val="center"/>
        <w:rPr>
          <w:rFonts w:hint="default" w:ascii="Times New Roman" w:hAnsi="Times New Roman" w:eastAsia="黑体" w:cs="Times New Roman"/>
          <w:b/>
          <w:sz w:val="48"/>
          <w:szCs w:val="48"/>
          <w:highlight w:val="none"/>
        </w:rPr>
      </w:pPr>
    </w:p>
    <w:p w14:paraId="7C769135">
      <w:pPr>
        <w:adjustRightInd w:val="0"/>
        <w:snapToGrid w:val="0"/>
        <w:spacing w:line="360" w:lineRule="auto"/>
        <w:jc w:val="center"/>
        <w:rPr>
          <w:rFonts w:hint="default" w:ascii="Times New Roman" w:hAnsi="Times New Roman" w:eastAsia="黑体" w:cs="Times New Roman"/>
          <w:b/>
          <w:sz w:val="48"/>
          <w:szCs w:val="48"/>
          <w:highlight w:val="none"/>
          <w:lang w:val="en-US" w:eastAsia="zh-CN"/>
        </w:rPr>
      </w:pPr>
      <w:r>
        <w:rPr>
          <w:rFonts w:hint="default" w:ascii="Times New Roman" w:hAnsi="Times New Roman" w:eastAsia="黑体" w:cs="Times New Roman"/>
          <w:b/>
          <w:sz w:val="48"/>
          <w:szCs w:val="48"/>
          <w:highlight w:val="none"/>
          <w:lang w:val="en-US" w:eastAsia="zh-CN"/>
        </w:rPr>
        <w:t>绿色建筑工程造价数据维护与应用规范</w:t>
      </w:r>
    </w:p>
    <w:p w14:paraId="4F2C0C86">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14:paraId="0E3DDCE8">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4D8E4317">
      <w:pPr>
        <w:adjustRightInd w:val="0"/>
        <w:snapToGrid w:val="0"/>
        <w:spacing w:line="360" w:lineRule="auto"/>
        <w:rPr>
          <w:rFonts w:hint="default" w:ascii="Times New Roman" w:hAnsi="Times New Roman" w:eastAsia="仿宋" w:cs="Times New Roman"/>
          <w:b/>
          <w:sz w:val="24"/>
          <w:szCs w:val="24"/>
          <w:highlight w:val="none"/>
        </w:rPr>
      </w:pPr>
    </w:p>
    <w:p w14:paraId="7BA44CF7">
      <w:pPr>
        <w:adjustRightInd w:val="0"/>
        <w:snapToGrid w:val="0"/>
        <w:spacing w:line="360" w:lineRule="auto"/>
        <w:rPr>
          <w:rFonts w:hint="default" w:ascii="Times New Roman" w:hAnsi="Times New Roman" w:eastAsia="仿宋" w:cs="Times New Roman"/>
          <w:b/>
          <w:sz w:val="24"/>
          <w:szCs w:val="24"/>
          <w:highlight w:val="none"/>
        </w:rPr>
      </w:pPr>
    </w:p>
    <w:p w14:paraId="2C79E419">
      <w:pPr>
        <w:adjustRightInd w:val="0"/>
        <w:snapToGrid w:val="0"/>
        <w:spacing w:line="360" w:lineRule="auto"/>
        <w:rPr>
          <w:rFonts w:hint="default" w:ascii="Times New Roman" w:hAnsi="Times New Roman" w:eastAsia="仿宋" w:cs="Times New Roman"/>
          <w:b/>
          <w:sz w:val="24"/>
          <w:szCs w:val="24"/>
          <w:highlight w:val="none"/>
        </w:rPr>
      </w:pPr>
    </w:p>
    <w:p w14:paraId="303C045A">
      <w:pPr>
        <w:adjustRightInd w:val="0"/>
        <w:snapToGrid w:val="0"/>
        <w:spacing w:line="360" w:lineRule="auto"/>
        <w:rPr>
          <w:rFonts w:hint="default" w:ascii="Times New Roman" w:hAnsi="Times New Roman" w:eastAsia="仿宋" w:cs="Times New Roman"/>
          <w:b/>
          <w:sz w:val="24"/>
          <w:szCs w:val="24"/>
          <w:highlight w:val="none"/>
        </w:rPr>
      </w:pPr>
    </w:p>
    <w:p w14:paraId="55EC9037">
      <w:pPr>
        <w:adjustRightInd w:val="0"/>
        <w:snapToGrid w:val="0"/>
        <w:spacing w:line="360" w:lineRule="auto"/>
        <w:rPr>
          <w:rFonts w:hint="default" w:ascii="Times New Roman" w:hAnsi="Times New Roman" w:eastAsia="仿宋" w:cs="Times New Roman"/>
          <w:b/>
          <w:sz w:val="24"/>
          <w:szCs w:val="24"/>
          <w:highlight w:val="none"/>
        </w:rPr>
      </w:pPr>
    </w:p>
    <w:p w14:paraId="14AA5CF9">
      <w:pPr>
        <w:adjustRightInd w:val="0"/>
        <w:snapToGrid w:val="0"/>
        <w:spacing w:line="360" w:lineRule="auto"/>
        <w:rPr>
          <w:rFonts w:hint="default" w:ascii="Times New Roman" w:hAnsi="Times New Roman" w:eastAsia="仿宋" w:cs="Times New Roman"/>
          <w:b/>
          <w:sz w:val="24"/>
          <w:szCs w:val="24"/>
          <w:highlight w:val="none"/>
        </w:rPr>
      </w:pPr>
    </w:p>
    <w:p w14:paraId="50B2BD86">
      <w:pPr>
        <w:adjustRightInd w:val="0"/>
        <w:snapToGrid w:val="0"/>
        <w:spacing w:line="360" w:lineRule="auto"/>
        <w:rPr>
          <w:rFonts w:hint="default" w:ascii="Times New Roman" w:hAnsi="Times New Roman" w:eastAsia="仿宋" w:cs="Times New Roman"/>
          <w:b/>
          <w:sz w:val="24"/>
          <w:szCs w:val="24"/>
          <w:highlight w:val="none"/>
        </w:rPr>
      </w:pPr>
    </w:p>
    <w:p w14:paraId="6CA6CF32">
      <w:pPr>
        <w:adjustRightInd w:val="0"/>
        <w:snapToGrid w:val="0"/>
        <w:spacing w:line="360" w:lineRule="auto"/>
        <w:rPr>
          <w:rFonts w:hint="default" w:ascii="Times New Roman" w:hAnsi="Times New Roman" w:eastAsia="仿宋" w:cs="Times New Roman"/>
          <w:b/>
          <w:sz w:val="24"/>
          <w:szCs w:val="24"/>
          <w:highlight w:val="none"/>
        </w:rPr>
      </w:pPr>
    </w:p>
    <w:p w14:paraId="06FE5E09">
      <w:pPr>
        <w:adjustRightInd w:val="0"/>
        <w:snapToGrid w:val="0"/>
        <w:spacing w:line="360" w:lineRule="auto"/>
        <w:rPr>
          <w:rFonts w:hint="default" w:ascii="Times New Roman" w:hAnsi="Times New Roman" w:eastAsia="仿宋" w:cs="Times New Roman"/>
          <w:b/>
          <w:sz w:val="24"/>
          <w:szCs w:val="24"/>
          <w:highlight w:val="none"/>
        </w:rPr>
      </w:pPr>
    </w:p>
    <w:p w14:paraId="4F36805F">
      <w:pPr>
        <w:adjustRightInd w:val="0"/>
        <w:snapToGrid w:val="0"/>
        <w:spacing w:line="360" w:lineRule="auto"/>
        <w:rPr>
          <w:rFonts w:hint="default" w:ascii="Times New Roman" w:hAnsi="Times New Roman" w:eastAsia="仿宋" w:cs="Times New Roman"/>
          <w:b/>
          <w:sz w:val="24"/>
          <w:szCs w:val="24"/>
          <w:highlight w:val="none"/>
        </w:rPr>
      </w:pPr>
    </w:p>
    <w:p w14:paraId="7076EB3E">
      <w:pPr>
        <w:adjustRightInd w:val="0"/>
        <w:snapToGrid w:val="0"/>
        <w:spacing w:line="360" w:lineRule="auto"/>
        <w:rPr>
          <w:rFonts w:hint="default" w:ascii="Times New Roman" w:hAnsi="Times New Roman" w:eastAsia="仿宋" w:cs="Times New Roman"/>
          <w:b/>
          <w:sz w:val="24"/>
          <w:szCs w:val="24"/>
          <w:highlight w:val="none"/>
        </w:rPr>
      </w:pPr>
    </w:p>
    <w:p w14:paraId="2141B276">
      <w:pPr>
        <w:adjustRightInd w:val="0"/>
        <w:snapToGrid w:val="0"/>
        <w:spacing w:line="360" w:lineRule="auto"/>
        <w:rPr>
          <w:rFonts w:hint="default" w:ascii="Times New Roman" w:hAnsi="Times New Roman" w:eastAsia="仿宋" w:cs="Times New Roman"/>
          <w:b/>
          <w:sz w:val="24"/>
          <w:szCs w:val="24"/>
          <w:highlight w:val="none"/>
        </w:rPr>
      </w:pPr>
    </w:p>
    <w:p w14:paraId="0E864088">
      <w:pPr>
        <w:spacing w:line="48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lang w:val="en-US" w:eastAsia="zh-CN"/>
        </w:rPr>
        <w:t>绿色建筑工程造价数据维护与应用规范</w:t>
      </w: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rPr>
        <w:t>小组</w:t>
      </w:r>
    </w:p>
    <w:p w14:paraId="4C09E430">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五</w:t>
      </w:r>
      <w:r>
        <w:rPr>
          <w:rFonts w:hint="default" w:ascii="Times New Roman" w:hAnsi="Times New Roman" w:eastAsia="楷体_GB2312" w:cs="Times New Roman"/>
          <w:b/>
          <w:sz w:val="36"/>
          <w:szCs w:val="36"/>
          <w:highlight w:val="none"/>
        </w:rPr>
        <w:t>年</w:t>
      </w:r>
      <w:r>
        <w:rPr>
          <w:rFonts w:hint="default" w:ascii="Times New Roman" w:hAnsi="Times New Roman" w:eastAsia="楷体_GB2312" w:cs="Times New Roman"/>
          <w:b/>
          <w:sz w:val="36"/>
          <w:szCs w:val="36"/>
          <w:highlight w:val="none"/>
          <w:lang w:val="en-US" w:eastAsia="zh-CN"/>
        </w:rPr>
        <w:t>二</w:t>
      </w:r>
      <w:r>
        <w:rPr>
          <w:rFonts w:hint="default" w:ascii="Times New Roman" w:hAnsi="Times New Roman" w:eastAsia="楷体_GB2312" w:cs="Times New Roman"/>
          <w:b/>
          <w:sz w:val="36"/>
          <w:szCs w:val="36"/>
          <w:highlight w:val="none"/>
        </w:rPr>
        <w:t>月</w:t>
      </w:r>
    </w:p>
    <w:p w14:paraId="6AF7A759">
      <w:pPr>
        <w:spacing w:line="360" w:lineRule="auto"/>
        <w:jc w:val="center"/>
        <w:rPr>
          <w:rFonts w:hint="default" w:ascii="Times New Roman" w:hAnsi="Times New Roman" w:eastAsia="楷体_GB2312" w:cs="Times New Roman"/>
          <w:b/>
          <w:sz w:val="36"/>
          <w:szCs w:val="36"/>
          <w:highlight w:val="none"/>
        </w:rPr>
      </w:pPr>
    </w:p>
    <w:p w14:paraId="21C44583">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4E658B3B">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2378553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A433D9B">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8900774">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w:t>
          </w:r>
          <w:bookmarkStart w:id="44" w:name="_GoBack"/>
          <w:bookmarkEnd w:id="44"/>
          <w:r>
            <w:rPr>
              <w:rFonts w:hint="default" w:ascii="Times New Roman" w:hAnsi="Times New Roman" w:eastAsia="黑体" w:cs="Times New Roman"/>
              <w:kern w:val="0"/>
              <w:sz w:val="28"/>
              <w:szCs w:val="40"/>
              <w:highlight w:val="none"/>
              <w:lang w:val="en-US" w:eastAsia="zh-CN"/>
            </w:rPr>
            <w:t>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22</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B13124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F79DEA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D15F06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CDAD3F3">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DAFF3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F4DDAC">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3A366C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AD6DE72">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7FFE914C">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default" w:ascii="Times New Roman" w:hAnsi="Times New Roman" w:eastAsia="黑体" w:cs="Times New Roman"/>
          <w:b/>
          <w:sz w:val="36"/>
          <w:szCs w:val="36"/>
          <w:highlight w:val="none"/>
          <w:lang w:val="en-US" w:eastAsia="zh-CN"/>
        </w:rPr>
        <w:t>绿色建筑工程造价数据维护与应用规范</w:t>
      </w:r>
      <w:r>
        <w:rPr>
          <w:rFonts w:hint="default" w:ascii="Times New Roman" w:hAnsi="Times New Roman" w:eastAsia="黑体" w:cs="Times New Roman"/>
          <w:b/>
          <w:sz w:val="36"/>
          <w:szCs w:val="36"/>
          <w:highlight w:val="none"/>
        </w:rPr>
        <w:t>》团体标准</w:t>
      </w:r>
    </w:p>
    <w:p w14:paraId="238FC466">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编制说明</w:t>
      </w:r>
    </w:p>
    <w:p w14:paraId="32BB7899">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4153ABEE">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6CC963DA">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近年来，随着环保意识的提升和可持续发展理念的深入人心，绿色建筑逐渐成为建筑行业的重要发展方向。绿色建筑要求在建筑设计、施工、运营等全生命周期内，最大限度地节约资源、保护环境和减少污染，为人们提供健康、适用和高效的使用空间。然而，绿色建筑在实施过程中面临着诸多挑战，其中造价数据的维护与应用问题尤为突出。一方面，造价数据的来源广泛且复杂，包括人工费、材料费、机械使用费、管理费等多项费用，数据的准确性和完整性难以保证。另一方面，造价数据的维护与应用缺乏统一的标准和规范，导致不同项目之间的数据难以比较和分析，影响了造价管理的效率和准确性。此外，随着绿色建筑技术的不断更新和发展，造价数据也需要不断更新和完善，以适应新的技术和管理要求。</w:t>
      </w:r>
    </w:p>
    <w:p w14:paraId="44349C4E">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因此，开展绿色建筑工程造价数据维护与应用规范标准的研制。绿色建筑工程造价数据维护与应用规范项目的实施，对于推动绿色建筑的发展具有重要意义。首先，该项目有助于建立科学、系统、全面的造价数据维护与应用规范，提高造价管理的准确性和效率，为绿色建筑项目的决策提供有力支持。其次，通过规范造价数据的收集、整理、分析和应用，该项目有助于促进绿色建筑技术的研发和应用，推动绿色建筑行业的创新和发展。最后，该项目的实施还有助于提高社会对绿色建筑的认识和接受度，推动绿色建筑理念的普及和推广，为实现可持续发展目标做出贡献。</w:t>
      </w:r>
    </w:p>
    <w:p w14:paraId="35E0E561">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52851B2D">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建筑工程造价数据</w:t>
      </w:r>
      <w:r>
        <w:rPr>
          <w:rFonts w:hint="default" w:ascii="Times New Roman" w:hAnsi="Times New Roman" w:cs="Times New Roman"/>
          <w:kern w:val="0"/>
          <w:sz w:val="28"/>
          <w:szCs w:val="28"/>
          <w:highlight w:val="none"/>
        </w:rPr>
        <w:t>市</w:t>
      </w:r>
      <w:r>
        <w:rPr>
          <w:rFonts w:hint="default" w:ascii="Times New Roman" w:hAnsi="Times New Roman" w:cs="Times New Roman"/>
          <w:kern w:val="0"/>
          <w:sz w:val="28"/>
          <w:szCs w:val="28"/>
          <w:highlight w:val="none"/>
        </w:rPr>
        <w:t>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建筑工程造价数据</w:t>
      </w:r>
      <w:r>
        <w:rPr>
          <w:rFonts w:hint="default" w:ascii="Times New Roman" w:hAnsi="Times New Roman" w:cs="Times New Roman"/>
          <w:kern w:val="0"/>
          <w:sz w:val="28"/>
          <w:szCs w:val="28"/>
          <w:highlight w:val="none"/>
        </w:rPr>
        <w:t>市</w:t>
      </w:r>
      <w:r>
        <w:rPr>
          <w:rFonts w:hint="default" w:ascii="Times New Roman" w:hAnsi="Times New Roman" w:cs="Times New Roman"/>
          <w:kern w:val="0"/>
          <w:sz w:val="28"/>
          <w:szCs w:val="28"/>
          <w:highlight w:val="none"/>
        </w:rPr>
        <w:t>场相关管理服务体系文件、模式基础上，经过综合分析、充分验证资料、反复讨论研究和修改，最终确定了本标准的主要内容。</w:t>
      </w:r>
    </w:p>
    <w:p w14:paraId="66ADFB06">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48C5CE5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7812F042">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w:t>
      </w:r>
      <w:r>
        <w:rPr>
          <w:rFonts w:hint="default" w:ascii="Times New Roman" w:hAnsi="Times New Roman" w:cs="Times New Roman"/>
          <w:kern w:val="0"/>
          <w:sz w:val="28"/>
          <w:szCs w:val="28"/>
          <w:highlight w:val="none"/>
          <w:lang w:val="en-US" w:eastAsia="zh-CN"/>
        </w:rPr>
        <w:t>建筑工程造价数据</w:t>
      </w:r>
      <w:r>
        <w:rPr>
          <w:rFonts w:hint="default" w:ascii="Times New Roman" w:hAnsi="Times New Roman" w:cs="Times New Roman"/>
          <w:kern w:val="0"/>
          <w:sz w:val="28"/>
          <w:szCs w:val="28"/>
          <w:highlight w:val="none"/>
          <w:lang w:val="en-US" w:eastAsia="zh-CN"/>
        </w:rPr>
        <w:t>相</w:t>
      </w:r>
      <w:r>
        <w:rPr>
          <w:rFonts w:hint="default" w:ascii="Times New Roman" w:hAnsi="Times New Roman" w:cs="Times New Roman"/>
          <w:kern w:val="0"/>
          <w:sz w:val="28"/>
          <w:szCs w:val="28"/>
          <w:highlight w:val="none"/>
          <w:lang w:val="en-US" w:eastAsia="zh-CN"/>
        </w:rPr>
        <w:t>关情况进行了深入的调查研究，同时广泛搜集相关标准和国外技术资料，进行了大量的研究分析、资料查证工作，确定了</w:t>
      </w:r>
      <w:r>
        <w:rPr>
          <w:rFonts w:hint="default" w:ascii="Times New Roman" w:hAnsi="Times New Roman" w:cs="Times New Roman"/>
          <w:kern w:val="0"/>
          <w:sz w:val="28"/>
          <w:szCs w:val="28"/>
          <w:highlight w:val="none"/>
          <w:lang w:val="en-US" w:eastAsia="zh-CN"/>
        </w:rPr>
        <w:t>建筑工程造价数据</w:t>
      </w:r>
      <w:r>
        <w:rPr>
          <w:rFonts w:hint="default" w:ascii="Times New Roman" w:hAnsi="Times New Roman" w:cs="Times New Roman"/>
          <w:kern w:val="0"/>
          <w:sz w:val="28"/>
          <w:szCs w:val="28"/>
          <w:highlight w:val="none"/>
          <w:lang w:val="en-US" w:eastAsia="zh-CN"/>
        </w:rPr>
        <w:t>市</w:t>
      </w:r>
      <w:r>
        <w:rPr>
          <w:rFonts w:hint="default" w:ascii="Times New Roman" w:hAnsi="Times New Roman" w:cs="Times New Roman"/>
          <w:kern w:val="0"/>
          <w:sz w:val="28"/>
          <w:szCs w:val="28"/>
          <w:highlight w:val="none"/>
          <w:lang w:val="en-US" w:eastAsia="zh-CN"/>
        </w:rPr>
        <w:t>场标准化管理中现存问题，结合现有产品实际应用经验，为标准起草奠定了基础。</w:t>
      </w:r>
    </w:p>
    <w:p w14:paraId="0B62E727">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w:t>
      </w:r>
      <w:r>
        <w:rPr>
          <w:rFonts w:hint="default" w:ascii="Times New Roman" w:hAnsi="Times New Roman" w:cs="Times New Roman"/>
          <w:kern w:val="0"/>
          <w:sz w:val="28"/>
          <w:szCs w:val="28"/>
          <w:highlight w:val="none"/>
          <w:lang w:val="en-US" w:eastAsia="zh-CN"/>
        </w:rPr>
        <w:t>建筑工程造价数据</w:t>
      </w:r>
      <w:r>
        <w:rPr>
          <w:rFonts w:hint="default" w:ascii="Times New Roman" w:hAnsi="Times New Roman" w:cs="Times New Roman"/>
          <w:kern w:val="0"/>
          <w:sz w:val="28"/>
          <w:szCs w:val="28"/>
          <w:highlight w:val="none"/>
          <w:lang w:val="en-US" w:eastAsia="zh-CN"/>
        </w:rPr>
        <w:t>需</w:t>
      </w:r>
      <w:r>
        <w:rPr>
          <w:rFonts w:hint="default" w:ascii="Times New Roman" w:hAnsi="Times New Roman" w:cs="Times New Roman"/>
          <w:kern w:val="0"/>
          <w:sz w:val="28"/>
          <w:szCs w:val="28"/>
          <w:highlight w:val="none"/>
          <w:lang w:val="en-US" w:eastAsia="zh-CN"/>
        </w:rPr>
        <w:t>要具备的特殊条件，明确了技术要求和指标，为标准的具体起草指明了方向。</w:t>
      </w:r>
    </w:p>
    <w:p w14:paraId="1A0BE9F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0D9D36EF">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w:t>
      </w:r>
      <w:r>
        <w:rPr>
          <w:rFonts w:hint="default" w:ascii="Times New Roman" w:hAnsi="Times New Roman" w:cs="Times New Roman"/>
          <w:kern w:val="0"/>
          <w:sz w:val="28"/>
          <w:szCs w:val="28"/>
          <w:highlight w:val="none"/>
          <w:lang w:val="en-US" w:eastAsia="zh-CN"/>
        </w:rPr>
        <w:t>《</w:t>
      </w:r>
      <w:r>
        <w:rPr>
          <w:rFonts w:hint="default" w:ascii="Times New Roman" w:hAnsi="Times New Roman" w:cs="Times New Roman"/>
          <w:kern w:val="0"/>
          <w:sz w:val="28"/>
          <w:szCs w:val="28"/>
          <w:highlight w:val="none"/>
          <w:lang w:val="en-US" w:eastAsia="zh-CN"/>
        </w:rPr>
        <w:t>绿色建筑工程造价数据维护与应用规范</w:t>
      </w:r>
      <w:r>
        <w:rPr>
          <w:rFonts w:hint="default" w:ascii="Times New Roman" w:hAnsi="Times New Roman" w:cs="Times New Roman"/>
          <w:kern w:val="0"/>
          <w:sz w:val="28"/>
          <w:szCs w:val="28"/>
          <w:highlight w:val="none"/>
          <w:lang w:val="en-US" w:eastAsia="zh-CN"/>
        </w:rPr>
        <w:t>》</w:t>
      </w:r>
      <w:r>
        <w:rPr>
          <w:rFonts w:hint="default" w:ascii="Times New Roman" w:hAnsi="Times New Roman" w:cs="Times New Roman"/>
          <w:kern w:val="0"/>
          <w:sz w:val="28"/>
          <w:szCs w:val="28"/>
          <w:highlight w:val="none"/>
          <w:lang w:val="en-US" w:eastAsia="zh-CN"/>
        </w:rPr>
        <w:t>标准草案。</w:t>
      </w:r>
    </w:p>
    <w:p w14:paraId="33361A6C">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52A25DE5">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w:t>
      </w:r>
      <w:r>
        <w:rPr>
          <w:rFonts w:hint="default" w:ascii="Times New Roman" w:hAnsi="Times New Roman" w:cs="Times New Roman"/>
          <w:kern w:val="0"/>
          <w:sz w:val="28"/>
          <w:szCs w:val="28"/>
          <w:highlight w:val="none"/>
          <w:lang w:val="en-US" w:eastAsia="zh-CN"/>
        </w:rPr>
        <w:t>绿色建筑工程造价数据维护与应用规范</w:t>
      </w:r>
      <w:r>
        <w:rPr>
          <w:rFonts w:hint="default" w:ascii="Times New Roman" w:hAnsi="Times New Roman" w:cs="Times New Roman"/>
          <w:kern w:val="0"/>
          <w:sz w:val="28"/>
          <w:szCs w:val="28"/>
          <w:highlight w:val="none"/>
          <w:lang w:val="en-US" w:eastAsia="zh-CN"/>
        </w:rPr>
        <w:t>》（征求意见稿）。</w:t>
      </w:r>
    </w:p>
    <w:p w14:paraId="441EAAF5">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11CF23C7">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27ED38D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协会</w:t>
      </w:r>
      <w:r>
        <w:rPr>
          <w:rFonts w:hint="default" w:ascii="Times New Roman" w:hAnsi="Times New Roman" w:cs="Times New Roman"/>
          <w:kern w:val="0"/>
          <w:sz w:val="28"/>
          <w:szCs w:val="28"/>
          <w:highlight w:val="none"/>
          <w:lang w:eastAsia="zh-CN"/>
        </w:rPr>
        <w:t>、</w:t>
      </w:r>
      <w:r>
        <w:rPr>
          <w:rFonts w:hint="default" w:ascii="Times New Roman" w:hAnsi="Times New Roman" w:cs="Times New Roman"/>
          <w:kern w:val="0"/>
          <w:sz w:val="28"/>
          <w:szCs w:val="28"/>
          <w:highlight w:val="none"/>
          <w:lang w:val="en-US" w:eastAsia="zh-CN"/>
        </w:rPr>
        <w:t>企业</w:t>
      </w:r>
      <w:r>
        <w:rPr>
          <w:rFonts w:hint="default" w:ascii="Times New Roman" w:hAnsi="Times New Roman" w:cs="Times New Roman"/>
          <w:kern w:val="0"/>
          <w:sz w:val="28"/>
          <w:szCs w:val="28"/>
          <w:highlight w:val="none"/>
        </w:rPr>
        <w:t>等</w:t>
      </w:r>
      <w:r>
        <w:rPr>
          <w:rFonts w:hint="default" w:ascii="Times New Roman" w:hAnsi="Times New Roman" w:cs="Times New Roman"/>
          <w:kern w:val="0"/>
          <w:sz w:val="28"/>
          <w:szCs w:val="28"/>
          <w:highlight w:val="none"/>
        </w:rPr>
        <w:t>多家单位的专家成立了规范起草小组，开展标准的编制工作。</w:t>
      </w:r>
    </w:p>
    <w:p w14:paraId="4B45B32C">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w:t>
      </w:r>
      <w:r>
        <w:rPr>
          <w:rFonts w:hint="default" w:ascii="Times New Roman" w:hAnsi="Times New Roman" w:cs="Times New Roman"/>
          <w:kern w:val="0"/>
          <w:sz w:val="28"/>
          <w:szCs w:val="28"/>
          <w:highlight w:val="none"/>
        </w:rPr>
        <w:t>2</w:t>
      </w:r>
      <w:r>
        <w:rPr>
          <w:rFonts w:hint="default" w:ascii="Times New Roman" w:hAnsi="Times New Roman" w:cs="Times New Roman"/>
          <w:kern w:val="0"/>
          <w:sz w:val="28"/>
          <w:szCs w:val="28"/>
          <w:highlight w:val="none"/>
          <w:lang w:val="en-US" w:eastAsia="zh-CN"/>
        </w:rPr>
        <w:t>5</w:t>
      </w:r>
      <w:r>
        <w:rPr>
          <w:rFonts w:hint="default" w:ascii="Times New Roman" w:hAnsi="Times New Roman" w:cs="Times New Roman"/>
          <w:kern w:val="0"/>
          <w:sz w:val="28"/>
          <w:szCs w:val="28"/>
          <w:highlight w:val="none"/>
        </w:rPr>
        <w:t>年</w:t>
      </w:r>
      <w:r>
        <w:rPr>
          <w:rFonts w:hint="default" w:ascii="Times New Roman" w:hAnsi="Times New Roman" w:cs="Times New Roman"/>
          <w:kern w:val="0"/>
          <w:sz w:val="28"/>
          <w:szCs w:val="28"/>
          <w:highlight w:val="none"/>
          <w:lang w:val="en-US" w:eastAsia="zh-CN"/>
        </w:rPr>
        <w:t>3</w:t>
      </w:r>
      <w:r>
        <w:rPr>
          <w:rFonts w:hint="default" w:ascii="Times New Roman" w:hAnsi="Times New Roman" w:cs="Times New Roman"/>
          <w:kern w:val="0"/>
          <w:sz w:val="28"/>
          <w:szCs w:val="28"/>
          <w:highlight w:val="none"/>
        </w:rPr>
        <w:t>月，完成了标准征求意见稿的编写工作。</w:t>
      </w:r>
    </w:p>
    <w:p w14:paraId="095E3E1A">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6A307C5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222E5BC3">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78E72378">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56D121DA">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7FDD6A61">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0DB2C603">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w:t>
      </w:r>
      <w:r>
        <w:rPr>
          <w:rFonts w:hint="default" w:ascii="Times New Roman" w:hAnsi="Times New Roman" w:cs="Times New Roman"/>
          <w:sz w:val="28"/>
          <w:szCs w:val="28"/>
          <w:highlight w:val="none"/>
          <w:lang w:val="en-US" w:eastAsia="zh-CN"/>
        </w:rPr>
        <w:t>12</w:t>
      </w:r>
      <w:r>
        <w:rPr>
          <w:rFonts w:hint="default" w:ascii="Times New Roman" w:hAnsi="Times New Roman" w:cs="Times New Roman"/>
          <w:sz w:val="28"/>
          <w:szCs w:val="28"/>
          <w:highlight w:val="none"/>
        </w:rPr>
        <w:t>个</w:t>
      </w:r>
      <w:r>
        <w:rPr>
          <w:rFonts w:hint="default" w:ascii="Times New Roman" w:hAnsi="Times New Roman" w:cs="Times New Roman"/>
          <w:sz w:val="28"/>
          <w:szCs w:val="28"/>
          <w:highlight w:val="none"/>
        </w:rPr>
        <w:t>部分，主要内容如下：</w:t>
      </w:r>
    </w:p>
    <w:p w14:paraId="01C834A4">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24884218"/>
      <w:bookmarkStart w:id="3" w:name="_Toc26648465"/>
      <w:bookmarkStart w:id="4" w:name="_Toc26986530"/>
      <w:bookmarkStart w:id="5" w:name="_Toc24884211"/>
      <w:bookmarkStart w:id="6" w:name="_Toc26718930"/>
      <w:bookmarkStart w:id="7" w:name="_Toc192769818"/>
      <w:bookmarkStart w:id="8" w:name="_Toc17233325"/>
      <w:bookmarkStart w:id="9" w:name="_Toc26986771"/>
      <w:bookmarkStart w:id="10" w:name="_Toc17233333"/>
      <w:bookmarkStart w:id="11" w:name="_Toc97192964"/>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p>
    <w:p w14:paraId="09000BAD">
      <w:pPr>
        <w:pStyle w:val="36"/>
        <w:widowControl/>
        <w:spacing w:line="360" w:lineRule="auto"/>
        <w:ind w:left="0" w:firstLine="420"/>
        <w:rPr>
          <w:rFonts w:hint="default" w:ascii="Times New Roman" w:hAnsi="Times New Roman" w:cs="Times New Roman"/>
          <w:sz w:val="28"/>
          <w:szCs w:val="28"/>
          <w:highlight w:val="none"/>
          <w:lang w:val="en-US"/>
        </w:rPr>
      </w:pPr>
      <w:bookmarkStart w:id="12" w:name="_Toc24884212"/>
      <w:bookmarkStart w:id="13" w:name="_Toc26648466"/>
      <w:bookmarkStart w:id="14" w:name="_Toc17233334"/>
      <w:bookmarkStart w:id="15" w:name="_Toc17233326"/>
      <w:bookmarkStart w:id="16" w:name="_Toc24884219"/>
      <w:r>
        <w:rPr>
          <w:rFonts w:hint="default" w:ascii="Times New Roman" w:hAnsi="Times New Roman" w:cs="Times New Roman"/>
          <w:sz w:val="28"/>
          <w:szCs w:val="28"/>
          <w:highlight w:val="none"/>
          <w:lang w:eastAsia="zh-CN"/>
        </w:rPr>
        <w:t>本文件规定了绿色建筑工程造价数据维护与应用的术语和定义、基本要求、数据采集、数据整理、数据存储、数据维护、数据应用、数据控制、培训与人员、实施监督相关内容。</w:t>
      </w:r>
    </w:p>
    <w:p w14:paraId="078004E6">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本文件适用于绿色建筑工程造价数据维护、应用。</w:t>
      </w:r>
    </w:p>
    <w:p w14:paraId="5DD1CCAB">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17" w:name="_Toc26986531"/>
      <w:bookmarkStart w:id="18" w:name="_Toc26986772"/>
      <w:bookmarkStart w:id="19" w:name="_Toc97192965"/>
      <w:bookmarkStart w:id="20" w:name="_Toc26718931"/>
      <w:bookmarkStart w:id="21" w:name="_Toc192769819"/>
      <w:r>
        <w:rPr>
          <w:rFonts w:hint="default" w:ascii="Times New Roman" w:hAnsi="Times New Roman" w:cs="Times New Roman"/>
          <w:sz w:val="28"/>
          <w:szCs w:val="28"/>
          <w:highlight w:val="none"/>
          <w:lang w:eastAsia="zh-CN"/>
        </w:rPr>
        <w:t>规范性引用文件</w:t>
      </w:r>
      <w:bookmarkEnd w:id="12"/>
      <w:bookmarkEnd w:id="13"/>
      <w:bookmarkEnd w:id="14"/>
      <w:bookmarkEnd w:id="15"/>
      <w:bookmarkEnd w:id="16"/>
      <w:bookmarkEnd w:id="17"/>
      <w:bookmarkEnd w:id="18"/>
      <w:bookmarkEnd w:id="19"/>
      <w:bookmarkEnd w:id="20"/>
      <w:bookmarkEnd w:id="21"/>
    </w:p>
    <w:p w14:paraId="6B9B82FE">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CA9C868">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50500 </w:t>
      </w:r>
      <w:r>
        <w:rPr>
          <w:rFonts w:hint="default" w:ascii="Times New Roman" w:hAnsi="Times New Roman" w:cs="Times New Roman"/>
          <w:sz w:val="28"/>
          <w:szCs w:val="28"/>
          <w:highlight w:val="none"/>
          <w:lang w:eastAsia="zh-CN"/>
        </w:rPr>
        <w:t>建设工程工程量清单计价规范</w:t>
      </w:r>
    </w:p>
    <w:p w14:paraId="55B82A07">
      <w:pPr>
        <w:pStyle w:val="36"/>
        <w:widowControl/>
        <w:spacing w:line="360" w:lineRule="auto"/>
        <w:ind w:left="0" w:firstLine="420"/>
        <w:rPr>
          <w:rFonts w:hint="default" w:ascii="Times New Roman" w:hAnsi="Times New Roman" w:cs="Times New Roman"/>
          <w:sz w:val="28"/>
          <w:szCs w:val="28"/>
          <w:highlight w:val="none"/>
          <w:lang w:val="en-US"/>
        </w:rPr>
      </w:pPr>
      <w:bookmarkStart w:id="22" w:name="_Hlk192768678"/>
      <w:r>
        <w:rPr>
          <w:rFonts w:hint="default" w:ascii="Times New Roman" w:hAnsi="Times New Roman" w:cs="Times New Roman"/>
          <w:sz w:val="28"/>
          <w:szCs w:val="28"/>
          <w:highlight w:val="none"/>
          <w:lang w:val="en-US"/>
        </w:rPr>
        <w:t xml:space="preserve">GB/T 51095 </w:t>
      </w:r>
      <w:r>
        <w:rPr>
          <w:rFonts w:hint="default" w:ascii="Times New Roman" w:hAnsi="Times New Roman" w:cs="Times New Roman"/>
          <w:sz w:val="28"/>
          <w:szCs w:val="28"/>
          <w:highlight w:val="none"/>
          <w:lang w:eastAsia="zh-CN"/>
        </w:rPr>
        <w:t>建设工程造价咨询规范</w:t>
      </w:r>
    </w:p>
    <w:p w14:paraId="4BA4F9A1">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GB/T 51262</w:t>
      </w:r>
      <w:bookmarkEnd w:id="22"/>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建设工程造价鉴定规范</w:t>
      </w:r>
    </w:p>
    <w:p w14:paraId="355536C3">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3" w:name="_Toc97192966"/>
      <w:bookmarkStart w:id="24" w:name="_Toc192769820"/>
      <w:r>
        <w:rPr>
          <w:rFonts w:hint="default" w:ascii="Times New Roman" w:hAnsi="Times New Roman" w:cs="Times New Roman"/>
          <w:sz w:val="28"/>
          <w:szCs w:val="28"/>
          <w:highlight w:val="none"/>
          <w:lang w:eastAsia="zh-CN"/>
        </w:rPr>
        <w:t>术语和定义</w:t>
      </w:r>
      <w:bookmarkEnd w:id="23"/>
      <w:bookmarkEnd w:id="24"/>
    </w:p>
    <w:p w14:paraId="748A5A9A">
      <w:pPr>
        <w:pStyle w:val="36"/>
        <w:widowControl/>
        <w:spacing w:line="360" w:lineRule="auto"/>
        <w:ind w:left="0" w:firstLine="420"/>
        <w:rPr>
          <w:rFonts w:hint="default" w:ascii="Times New Roman" w:hAnsi="Times New Roman" w:cs="Times New Roman"/>
          <w:sz w:val="28"/>
          <w:szCs w:val="28"/>
          <w:highlight w:val="none"/>
          <w:lang w:val="en-US"/>
        </w:rPr>
      </w:pPr>
      <w:bookmarkStart w:id="25" w:name="_Toc26986532"/>
      <w:bookmarkEnd w:id="25"/>
      <w:r>
        <w:rPr>
          <w:rFonts w:hint="default" w:ascii="Times New Roman" w:hAnsi="Times New Roman" w:cs="Times New Roman"/>
          <w:sz w:val="28"/>
          <w:szCs w:val="28"/>
          <w:highlight w:val="none"/>
          <w:lang w:eastAsia="zh-CN"/>
        </w:rPr>
        <w:t>下列术语和定义适用于本文件。</w:t>
      </w:r>
    </w:p>
    <w:p w14:paraId="445173ED">
      <w:pPr>
        <w:pStyle w:val="37"/>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绿色建筑</w:t>
      </w:r>
      <w:r>
        <w:rPr>
          <w:rFonts w:hint="default" w:ascii="Times New Roman" w:hAnsi="Times New Roman" w:eastAsia="黑体" w:cs="Times New Roman"/>
          <w:sz w:val="28"/>
          <w:szCs w:val="28"/>
          <w:highlight w:val="none"/>
          <w:lang w:val="en-US"/>
        </w:rPr>
        <w:t xml:space="preserve"> green building</w:t>
      </w:r>
    </w:p>
    <w:p w14:paraId="17E5E211">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在建筑全寿命期内，通过节约资源、保护环境、减少污染，为人们提供健康、适用、高效的使用空间，实现人与自然和谐共生的高质量建筑工程。</w:t>
      </w:r>
    </w:p>
    <w:p w14:paraId="4F2AC1A3">
      <w:pPr>
        <w:pStyle w:val="37"/>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p>
    <w:p w14:paraId="75A2200F">
      <w:pPr>
        <w:pStyle w:val="37"/>
        <w:widowControl/>
        <w:numPr>
          <w:numId w:val="0"/>
        </w:numPr>
        <w:tabs>
          <w:tab w:val="left" w:pos="851"/>
        </w:tabs>
        <w:spacing w:line="360" w:lineRule="auto"/>
        <w:ind w:left="420" w:firstLine="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eastAsia="zh-CN"/>
        </w:rPr>
        <w:t>工程造价</w:t>
      </w:r>
      <w:r>
        <w:rPr>
          <w:rFonts w:hint="default" w:ascii="Times New Roman" w:hAnsi="Times New Roman" w:eastAsia="黑体" w:cs="Times New Roman"/>
          <w:sz w:val="28"/>
          <w:szCs w:val="28"/>
          <w:highlight w:val="none"/>
          <w:lang w:val="en-US"/>
        </w:rPr>
        <w:t xml:space="preserve"> project costs</w:t>
      </w:r>
    </w:p>
    <w:p w14:paraId="671DE459">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指建设项目的预计或实际发生的全部工程建设费用。</w:t>
      </w:r>
    </w:p>
    <w:p w14:paraId="21F0F959">
      <w:pPr>
        <w:pStyle w:val="37"/>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p>
    <w:p w14:paraId="5FF9E968">
      <w:pPr>
        <w:pStyle w:val="37"/>
        <w:widowControl/>
        <w:numPr>
          <w:numId w:val="0"/>
        </w:numPr>
        <w:tabs>
          <w:tab w:val="left" w:pos="851"/>
        </w:tabs>
        <w:spacing w:line="360" w:lineRule="auto"/>
        <w:ind w:left="420" w:firstLine="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eastAsia="zh-CN"/>
        </w:rPr>
        <w:t>工程量清单</w:t>
      </w:r>
      <w:r>
        <w:rPr>
          <w:rFonts w:hint="default" w:ascii="Times New Roman" w:hAnsi="Times New Roman" w:eastAsia="黑体" w:cs="Times New Roman"/>
          <w:sz w:val="28"/>
          <w:szCs w:val="28"/>
          <w:highlight w:val="none"/>
          <w:lang w:val="en-US"/>
        </w:rPr>
        <w:t xml:space="preserve"> bills of quantities</w:t>
      </w:r>
    </w:p>
    <w:p w14:paraId="432FF5D9">
      <w:pPr>
        <w:pStyle w:val="36"/>
        <w:widowControl/>
        <w:spacing w:line="360" w:lineRule="auto"/>
        <w:ind w:left="0" w:firstLine="420"/>
        <w:rPr>
          <w:rFonts w:hint="default" w:ascii="Times New Roman" w:hAnsi="Times New Roman" w:eastAsia="黑体" w:cs="Times New Roman"/>
          <w:sz w:val="28"/>
          <w:szCs w:val="28"/>
          <w:highlight w:val="none"/>
          <w:lang w:val="en-US"/>
        </w:rPr>
      </w:pPr>
      <w:r>
        <w:rPr>
          <w:rFonts w:hint="default" w:ascii="Times New Roman" w:hAnsi="Times New Roman" w:cs="Times New Roman"/>
          <w:sz w:val="28"/>
          <w:szCs w:val="28"/>
          <w:highlight w:val="none"/>
          <w:lang w:eastAsia="zh-CN"/>
        </w:rPr>
        <w:t>建设工程文件中载明各分部、分项工程名称、单位、特征和工程数量等。</w:t>
      </w:r>
    </w:p>
    <w:p w14:paraId="20BB2AA5">
      <w:pPr>
        <w:pStyle w:val="37"/>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数据维护</w:t>
      </w:r>
      <w:r>
        <w:rPr>
          <w:rFonts w:hint="default" w:ascii="Times New Roman" w:hAnsi="Times New Roman" w:eastAsia="黑体" w:cs="Times New Roman"/>
          <w:sz w:val="28"/>
          <w:szCs w:val="28"/>
          <w:highlight w:val="none"/>
          <w:lang w:val="en-US"/>
        </w:rPr>
        <w:t xml:space="preserve"> data maintenance</w:t>
      </w:r>
    </w:p>
    <w:p w14:paraId="5B2C38EF">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通过一系列操作保持数据库或信息系统的正常运行，确保数据的完整性、一致性和可维护性的过程。</w:t>
      </w:r>
    </w:p>
    <w:p w14:paraId="5FB0FD2E">
      <w:pPr>
        <w:pStyle w:val="37"/>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数据应用</w:t>
      </w:r>
      <w:r>
        <w:rPr>
          <w:rFonts w:hint="default" w:ascii="Times New Roman" w:hAnsi="Times New Roman" w:eastAsia="黑体" w:cs="Times New Roman"/>
          <w:sz w:val="28"/>
          <w:szCs w:val="28"/>
          <w:highlight w:val="none"/>
          <w:lang w:val="en-US"/>
        </w:rPr>
        <w:t xml:space="preserve"> data application</w:t>
      </w:r>
    </w:p>
    <w:p w14:paraId="41CFF2EE">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将收集、处理和分析后的数据转化为有价值的信息和知识，以支持决策制定、业务优化和创新实践的过程。</w:t>
      </w:r>
    </w:p>
    <w:p w14:paraId="0766CB7E">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6" w:name="_Toc192769821"/>
      <w:r>
        <w:rPr>
          <w:rFonts w:hint="default" w:ascii="Times New Roman" w:hAnsi="Times New Roman" w:cs="Times New Roman"/>
          <w:sz w:val="28"/>
          <w:szCs w:val="28"/>
          <w:highlight w:val="none"/>
          <w:lang w:eastAsia="zh-CN"/>
        </w:rPr>
        <w:t>基本原则</w:t>
      </w:r>
      <w:bookmarkEnd w:id="26"/>
    </w:p>
    <w:p w14:paraId="09C495B6">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准确性</w:t>
      </w:r>
    </w:p>
    <w:p w14:paraId="25C7B577">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采集、记录和处理的工程造价数据应真实反映实际状况。</w:t>
      </w:r>
    </w:p>
    <w:p w14:paraId="621303BC">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应全面收集并妥善保存所有必要的工程造价信息，包括基础资料、工程量清单、成本估算、结算审计报告等。</w:t>
      </w:r>
    </w:p>
    <w:p w14:paraId="650064F0">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保密性</w:t>
      </w:r>
    </w:p>
    <w:p w14:paraId="306E2F16">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应采取加密存储、权限控制、备份恢复机制等技术和管理措施保护工程造价数据。</w:t>
      </w:r>
    </w:p>
    <w:p w14:paraId="075A3826">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应明确商业秘密等涉密数据的保护措施，限制未经授权的人员获取和使用敏感数据，严格把控数据传输、交换操作。</w:t>
      </w:r>
    </w:p>
    <w:p w14:paraId="5A1FA5CC">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标准化</w:t>
      </w:r>
    </w:p>
    <w:p w14:paraId="6D2E0DCC">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工程造价数据应采用统一的数据格式和编码体系，对工程造价资料进行标识；</w:t>
      </w:r>
    </w:p>
    <w:p w14:paraId="2865A7A0">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工程造价数据应制定标准化的数据采集、录入、校验、存储、查询和应用流程；</w:t>
      </w:r>
    </w:p>
    <w:p w14:paraId="310A11A0">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工程造价数据交换应采用标准接口、协议、格式以及授权方式。</w:t>
      </w:r>
    </w:p>
    <w:p w14:paraId="600FA89F">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7" w:name="_Toc192769822"/>
      <w:r>
        <w:rPr>
          <w:rFonts w:hint="default" w:ascii="Times New Roman" w:hAnsi="Times New Roman" w:cs="Times New Roman"/>
          <w:sz w:val="28"/>
          <w:szCs w:val="28"/>
          <w:highlight w:val="none"/>
          <w:lang w:eastAsia="zh-CN"/>
        </w:rPr>
        <w:t>数据采集</w:t>
      </w:r>
      <w:bookmarkEnd w:id="27"/>
    </w:p>
    <w:p w14:paraId="1A75AF25">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数据采集要求</w:t>
      </w:r>
    </w:p>
    <w:p w14:paraId="56509F3B">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应明确数据来源，包括以下内容：</w:t>
      </w:r>
    </w:p>
    <w:p w14:paraId="6904DAFD">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设计图纸；</w:t>
      </w:r>
    </w:p>
    <w:p w14:paraId="759F1C66">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合同文件；</w:t>
      </w:r>
    </w:p>
    <w:p w14:paraId="3D1C1185">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施工现场记录等。</w:t>
      </w:r>
    </w:p>
    <w:p w14:paraId="6B57EB4D">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数据采集方式</w:t>
      </w:r>
    </w:p>
    <w:p w14:paraId="62A67E3F">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应从设计、施工、监理等各个环节收集工程造价数据。</w:t>
      </w:r>
    </w:p>
    <w:p w14:paraId="0D90CC5A">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可通过工程项目管理系统实时录入并自动汇总各类工程数据，包括以下内容：</w:t>
      </w:r>
    </w:p>
    <w:p w14:paraId="5BB4A4C9">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项目名称；</w:t>
      </w:r>
    </w:p>
    <w:p w14:paraId="64648B69">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项目地点；</w:t>
      </w:r>
    </w:p>
    <w:p w14:paraId="6E6A3DB2">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建设规模；</w:t>
      </w:r>
    </w:p>
    <w:p w14:paraId="450A0741">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设计单位；</w:t>
      </w:r>
    </w:p>
    <w:p w14:paraId="00CF4FEB">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建设单位；</w:t>
      </w:r>
    </w:p>
    <w:p w14:paraId="0673DAEC">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采购单据；</w:t>
      </w:r>
    </w:p>
    <w:p w14:paraId="43AF968D">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工程量清单；</w:t>
      </w:r>
    </w:p>
    <w:p w14:paraId="129AAB6B">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计价信息；</w:t>
      </w:r>
    </w:p>
    <w:p w14:paraId="29B9016E">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材料设备价格；</w:t>
      </w:r>
    </w:p>
    <w:p w14:paraId="3C9588A2">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结算单；</w:t>
      </w:r>
    </w:p>
    <w:p w14:paraId="2EB11B28">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工程变更单；</w:t>
      </w:r>
    </w:p>
    <w:p w14:paraId="5CB34D00">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结算审计报告等。</w:t>
      </w:r>
    </w:p>
    <w:p w14:paraId="7703646B">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可采取电子扫描方式对设计图纸、合同文件、施工现场记录等纸质文件进行录入采集。</w:t>
      </w:r>
    </w:p>
    <w:p w14:paraId="46603730">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数据采集频率</w:t>
      </w:r>
    </w:p>
    <w:p w14:paraId="098A5158">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明确数据收集的频率，根据工程进度需求合理安排数据收集的时间节点和频率；可根据工程项目的规模、复杂程度及项目阶段的不同，明确各类型数据的最低采集频率。建设工程各阶段的数据采集时间节点应为：</w:t>
      </w:r>
    </w:p>
    <w:p w14:paraId="200097C4">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设计阶段：设计图纸更新或做出调整时，应及时计算新的工程量清单，并记录相应变更信息。</w:t>
      </w:r>
    </w:p>
    <w:p w14:paraId="7B3768E6">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招标与合同签订阶段：中标通知书或合同签订后的关键数据，如合同金额、付款条款、工期等应在签订后立即录入系统；招标期间获取的市场询价、供应商报价等相关价格数据应及时收集并整理。</w:t>
      </w:r>
    </w:p>
    <w:p w14:paraId="2FCB4B49">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施工阶段：施工日志、材料进场单、设备租赁单据等实时成本数据宜每周或每月进行一次汇总采集；工程变更、签证、索赔事件发生后，需在</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个工作日内完成相关数据的采集与更新；每月或每季度对施工现场的物资消耗、人力投入、机械使用等情况应进行全面盘点和统计，并对数据进行录入采集。</w:t>
      </w:r>
    </w:p>
    <w:p w14:paraId="0CFAD7C9">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结算审计阶段：竣工验收完成后，应尽快开展工程决算工作，及时编制竣工结算书，并将相关数据录入数据库；审计报告出具后，应立即将最终审定的工程造价数据录入系统。</w:t>
      </w:r>
    </w:p>
    <w:p w14:paraId="760E6BF2">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数据种类</w:t>
      </w:r>
    </w:p>
    <w:p w14:paraId="3DF49787">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建设工程工程量清单计价应用软件用于数据交换的的数据表应遵循以下要求：</w:t>
      </w:r>
    </w:p>
    <w:p w14:paraId="409754E3">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工程项目包括：</w:t>
      </w:r>
    </w:p>
    <w:p w14:paraId="1CB14FB9">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工程项目基本信息表；</w:t>
      </w:r>
    </w:p>
    <w:p w14:paraId="3462D751">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工程项目招标信息表；</w:t>
      </w:r>
    </w:p>
    <w:p w14:paraId="576A34CB">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工程项目投标信息表；</w:t>
      </w:r>
    </w:p>
    <w:p w14:paraId="1DD0829A">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工程项目最高投标限价信息表；</w:t>
      </w:r>
    </w:p>
    <w:p w14:paraId="0288188E">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工程项目竣工结算价信息表；</w:t>
      </w:r>
    </w:p>
    <w:p w14:paraId="37D3A4C7">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工程项目附加信息表；</w:t>
      </w:r>
    </w:p>
    <w:p w14:paraId="12FB5955">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单项工程包括：</w:t>
      </w:r>
    </w:p>
    <w:p w14:paraId="73AC1A83">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单项工程基本信息表；</w:t>
      </w:r>
    </w:p>
    <w:p w14:paraId="03DEB880">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单项工程概况信息表；</w:t>
      </w:r>
    </w:p>
    <w:p w14:paraId="1CC7A77A">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单项工程附加信息表；</w:t>
      </w:r>
    </w:p>
    <w:p w14:paraId="6443247A">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单位工程包括：</w:t>
      </w:r>
    </w:p>
    <w:p w14:paraId="47461137">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单位工程基本信息表；</w:t>
      </w:r>
    </w:p>
    <w:p w14:paraId="54E1399C">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单位工程附加信息表；</w:t>
      </w:r>
    </w:p>
    <w:p w14:paraId="13E0E2D3">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分部分项包括：</w:t>
      </w:r>
    </w:p>
    <w:p w14:paraId="1D40FC3C">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单位工程附加信息表；</w:t>
      </w:r>
    </w:p>
    <w:p w14:paraId="5643C1BD">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分部分项信息表；</w:t>
      </w:r>
    </w:p>
    <w:p w14:paraId="50849607">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分部分项工程量清单与计价表；</w:t>
      </w:r>
    </w:p>
    <w:p w14:paraId="23822125">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分部分项工程量清单项目子目组价表；</w:t>
      </w:r>
    </w:p>
    <w:p w14:paraId="512EEA9B">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工料机含量表；</w:t>
      </w:r>
    </w:p>
    <w:p w14:paraId="20553825">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综合单价分析主要材料明细表；</w:t>
      </w:r>
    </w:p>
    <w:p w14:paraId="46B9F8B8">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措施项目信息表；</w:t>
      </w:r>
    </w:p>
    <w:p w14:paraId="3B5FACA4">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总价措施项目计价表；</w:t>
      </w:r>
    </w:p>
    <w:p w14:paraId="14C7638E">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单价措施项目计价表；</w:t>
      </w:r>
    </w:p>
    <w:p w14:paraId="4BFB7773">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单价措施项目子目组价表；</w:t>
      </w:r>
    </w:p>
    <w:p w14:paraId="59A3B308">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其它项目清单包括：</w:t>
      </w:r>
    </w:p>
    <w:p w14:paraId="2399E5AF">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其他项目清单与计价汇总表；</w:t>
      </w:r>
    </w:p>
    <w:p w14:paraId="07DE422D">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计日工信息表；</w:t>
      </w:r>
    </w:p>
    <w:p w14:paraId="1E36A5D8">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计日工明细表；</w:t>
      </w:r>
    </w:p>
    <w:p w14:paraId="0EFA2AFF">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暂列金额明细表；</w:t>
      </w:r>
    </w:p>
    <w:p w14:paraId="5EF84D94">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专业工程暂估价表；</w:t>
      </w:r>
    </w:p>
    <w:p w14:paraId="00DBF265">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材料暂估价表；</w:t>
      </w:r>
    </w:p>
    <w:p w14:paraId="49B5406C">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总承包服务标题；</w:t>
      </w:r>
    </w:p>
    <w:p w14:paraId="78308F2E">
      <w:pPr>
        <w:pStyle w:val="41"/>
        <w:widowControl/>
        <w:numPr>
          <w:ilvl w:val="1"/>
          <w:numId w:val="3"/>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总承包服务费计价表；</w:t>
      </w:r>
    </w:p>
    <w:p w14:paraId="7A606CD4">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工料机汇总表；</w:t>
      </w:r>
    </w:p>
    <w:p w14:paraId="2ED1C1D3">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费用项目计价表；</w:t>
      </w:r>
    </w:p>
    <w:p w14:paraId="6D3D17FC">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配合比材料明细表；</w:t>
      </w:r>
    </w:p>
    <w:p w14:paraId="7B669546">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索赔与现场签证明细表；</w:t>
      </w:r>
    </w:p>
    <w:p w14:paraId="4DE8141A">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承包人主要材料造价信息差额调整法；</w:t>
      </w:r>
    </w:p>
    <w:p w14:paraId="3B985D9E">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承包人主要材料指数信息差额调整法；</w:t>
      </w:r>
    </w:p>
    <w:p w14:paraId="2FFE48DA">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发包人提供材料和工程设备；</w:t>
      </w:r>
    </w:p>
    <w:p w14:paraId="21C72211">
      <w:pPr>
        <w:pStyle w:val="38"/>
        <w:widowControl/>
        <w:numPr>
          <w:ilvl w:val="0"/>
          <w:numId w:val="3"/>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取费文件。</w:t>
      </w:r>
    </w:p>
    <w:p w14:paraId="3E412374">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应以工程量清单计价为主，其数据对象为采用</w:t>
      </w:r>
      <w:r>
        <w:rPr>
          <w:rFonts w:hint="default" w:ascii="Times New Roman" w:hAnsi="Times New Roman" w:cs="Times New Roman"/>
          <w:sz w:val="28"/>
          <w:szCs w:val="28"/>
          <w:highlight w:val="none"/>
          <w:lang w:val="en-US"/>
        </w:rPr>
        <w:t>GB 50500</w:t>
      </w:r>
      <w:r>
        <w:rPr>
          <w:rFonts w:hint="default" w:ascii="Times New Roman" w:hAnsi="Times New Roman" w:cs="Times New Roman"/>
          <w:sz w:val="28"/>
          <w:szCs w:val="28"/>
          <w:highlight w:val="none"/>
          <w:lang w:eastAsia="zh-CN"/>
        </w:rPr>
        <w:t>的各类建设工程计价软件生成的工程造价成果文件。</w:t>
      </w:r>
    </w:p>
    <w:p w14:paraId="0275BD68">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8" w:name="_Toc192769823"/>
      <w:r>
        <w:rPr>
          <w:rFonts w:hint="default" w:ascii="Times New Roman" w:hAnsi="Times New Roman" w:cs="Times New Roman"/>
          <w:sz w:val="28"/>
          <w:szCs w:val="28"/>
          <w:highlight w:val="none"/>
          <w:lang w:eastAsia="zh-CN"/>
        </w:rPr>
        <w:t>数据整理</w:t>
      </w:r>
      <w:bookmarkEnd w:id="28"/>
    </w:p>
    <w:p w14:paraId="46399185">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数据清洗与验证</w:t>
      </w:r>
    </w:p>
    <w:p w14:paraId="36783148">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应对采集到的数据进行有效性、完整性和一致性检查，剔除重复、错误或不完整的数据，可通过逻辑校验、格式化处理等方式确保数据质量，如对数字、日期等字段进行标准化处理。</w:t>
      </w:r>
    </w:p>
    <w:p w14:paraId="7A2A5724">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数据整合与关联</w:t>
      </w:r>
    </w:p>
    <w:p w14:paraId="17B85349">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应建立并维护不同数据表之间的逻辑关联关系，如将分部分项工程量与对应的人工、材料、机械费用明细数据关联起来，形成完整的造价明细表。</w:t>
      </w:r>
    </w:p>
    <w:p w14:paraId="3DC81980">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对于时间序列数据，应明确记录每条数据对应的工程进度节点或时间段，按照项目实施的时间顺序对数据进行排序和标记，实现工程造价数据的时间维度关联。</w:t>
      </w:r>
    </w:p>
    <w:p w14:paraId="5274867E">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对于周期性的数据，如月度成本报表、季度结算资料等，应明确记录并维护其对应的时间段。</w:t>
      </w:r>
    </w:p>
    <w:p w14:paraId="2C8FCE39">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数据提取</w:t>
      </w:r>
    </w:p>
    <w:p w14:paraId="73445639">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可对整理后的数据进行初步统计分析，生成汇总表、趋势图等直观展示数据特征。</w:t>
      </w:r>
    </w:p>
    <w:p w14:paraId="3093318A">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可从录入数据中提取关键指标，计算比率、指数等生成数据集。</w:t>
      </w:r>
    </w:p>
    <w:p w14:paraId="00DAAF0E">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数据检索查询</w:t>
      </w:r>
    </w:p>
    <w:p w14:paraId="68FAE4BD">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应规定用于数据检索时的数据匹配策略和算法，可通过唯一标识符（如项目编号、合同号）进行精确匹配，或可运用模糊匹配技术对名称相似但表述不完全一致的数据进行关联。</w:t>
      </w:r>
    </w:p>
    <w:p w14:paraId="7AADE2F5">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数据质量控制</w:t>
      </w:r>
    </w:p>
    <w:p w14:paraId="268585F4">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在数据整合过程中，应实施严格的质量控制措施，可采用数据一致性检查、缺失值填充、重复数据消除等方式进行数据处理。</w:t>
      </w:r>
    </w:p>
    <w:p w14:paraId="2F14BA13">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数据更新</w:t>
      </w:r>
    </w:p>
    <w:p w14:paraId="176D4159">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对于变动频繁的实时成本信息（如材料市场价格、人工费用、机械设备租赁费等），应设置实时或每日更新机制，通过自动化工具抓取市场报价、内部结算系统导入等方式及时更新。</w:t>
      </w:r>
    </w:p>
    <w:p w14:paraId="3372D09B">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在项目关键阶段，如设计变更审批、合同修订、施工过程中的签证变更、阶段性付款结算等时间节点，应及时对相关造价数据进行更新和整理。</w:t>
      </w:r>
    </w:p>
    <w:p w14:paraId="2B76C82E">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应设定不同角色用户对数据的修改权限，所有更新操作应经过审核确认。</w:t>
      </w:r>
    </w:p>
    <w:p w14:paraId="7A5025EE">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应设置数据异常预警机制，当某项指标超过预设阈值时，系统自动提示并启动调查核实，从而驱动数据的更新和修正。</w:t>
      </w:r>
    </w:p>
    <w:p w14:paraId="0A8A0E4F">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文档归档与组织</w:t>
      </w:r>
    </w:p>
    <w:p w14:paraId="0ACCA1AB">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所有纸质或电子形式的原始数据文件（如设计图纸、合同文件、签证变更单等）应按照一定的目录结构进行归档，同时应规定可反映文档内容和属性的文档命名规则。</w:t>
      </w:r>
    </w:p>
    <w:p w14:paraId="2055717F">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9" w:name="_Toc192769824"/>
      <w:r>
        <w:rPr>
          <w:rFonts w:hint="default" w:ascii="Times New Roman" w:hAnsi="Times New Roman" w:cs="Times New Roman"/>
          <w:sz w:val="28"/>
          <w:szCs w:val="28"/>
          <w:highlight w:val="none"/>
          <w:lang w:eastAsia="zh-CN"/>
        </w:rPr>
        <w:t>数据存储</w:t>
      </w:r>
      <w:bookmarkEnd w:id="29"/>
    </w:p>
    <w:p w14:paraId="0F1AF3F4">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数据存储格式</w:t>
      </w:r>
    </w:p>
    <w:p w14:paraId="6652A7B1">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所有存储的工程造价数据应遵循统一的数据格式和编码规则，可采用行业或国家标准规定的</w:t>
      </w:r>
      <w:r>
        <w:rPr>
          <w:rFonts w:hint="default" w:ascii="Times New Roman" w:hAnsi="Times New Roman" w:cs="Times New Roman"/>
          <w:sz w:val="28"/>
          <w:szCs w:val="28"/>
          <w:highlight w:val="none"/>
          <w:lang w:val="en-US"/>
        </w:rPr>
        <w:t>XML</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JSON</w:t>
      </w:r>
      <w:r>
        <w:rPr>
          <w:rFonts w:hint="default" w:ascii="Times New Roman" w:hAnsi="Times New Roman" w:cs="Times New Roman"/>
          <w:sz w:val="28"/>
          <w:szCs w:val="28"/>
          <w:highlight w:val="none"/>
          <w:lang w:eastAsia="zh-CN"/>
        </w:rPr>
        <w:t>等结构化格式。</w:t>
      </w:r>
    </w:p>
    <w:p w14:paraId="56CD982E">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数据字段应按照业务需求定义清晰，应与国家或地方发布的工程造价信息标准相一致。</w:t>
      </w:r>
    </w:p>
    <w:p w14:paraId="5BE20546">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数据存储位置</w:t>
      </w:r>
    </w:p>
    <w:p w14:paraId="0EA41022">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可根据实际情况考虑将部分数据存储在云端。</w:t>
      </w:r>
    </w:p>
    <w:p w14:paraId="30B06F9C">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数据安全与保密</w:t>
      </w:r>
    </w:p>
    <w:p w14:paraId="3E3FF830">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应建立完善的数据加密机制，对敏感数据进行加密存储，在传输过程中可采用</w:t>
      </w:r>
      <w:r>
        <w:rPr>
          <w:rFonts w:hint="default" w:ascii="Times New Roman" w:hAnsi="Times New Roman" w:cs="Times New Roman"/>
          <w:sz w:val="28"/>
          <w:szCs w:val="28"/>
          <w:highlight w:val="none"/>
          <w:lang w:val="en-US"/>
        </w:rPr>
        <w:t>SSL/TLS</w:t>
      </w:r>
      <w:r>
        <w:rPr>
          <w:rFonts w:hint="default" w:ascii="Times New Roman" w:hAnsi="Times New Roman" w:cs="Times New Roman"/>
          <w:sz w:val="28"/>
          <w:szCs w:val="28"/>
          <w:highlight w:val="none"/>
          <w:lang w:eastAsia="zh-CN"/>
        </w:rPr>
        <w:t>加密协议。</w:t>
      </w:r>
    </w:p>
    <w:p w14:paraId="317C7D74">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应实施严格的权限管理制度，明确不同角色用户对数据的访问、编辑、删除权限，可采取多层身份验证技术，如用户名密码结合动态口令或生物识别等方法进行登录验证。</w:t>
      </w:r>
    </w:p>
    <w:p w14:paraId="1DFA0283">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应建立日志管理系统，记录所有用户对工程造价数据的操作行为，便于追溯和审计。</w:t>
      </w:r>
    </w:p>
    <w:p w14:paraId="132336B6">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应定期进行内部审计和外部第三方审计，检查并改进安全策略执行情况。</w:t>
      </w:r>
    </w:p>
    <w:p w14:paraId="7C186661">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应对全体员工定期组织信息安全保密培训。</w:t>
      </w:r>
    </w:p>
    <w:p w14:paraId="2430CB49">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备份与恢复策略</w:t>
      </w:r>
    </w:p>
    <w:p w14:paraId="7569A272">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应定期执行数据备份操作，备份数据应可恢复到特定时间点，备份频率应满足业务连续性和灾难恢复的需求。</w:t>
      </w:r>
    </w:p>
    <w:p w14:paraId="60612619">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存储系统应具备灾备能力，可采取异地备份、多副本冗余存储等措施。</w:t>
      </w:r>
    </w:p>
    <w:p w14:paraId="5C5BE48D">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各类数据的保存期限，应根据法律法规和项目特性设定合理的档案保管期限，如竣工决算资料至少保留一定年限。</w:t>
      </w:r>
    </w:p>
    <w:p w14:paraId="089908FA">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数据库设计与优化</w:t>
      </w:r>
    </w:p>
    <w:p w14:paraId="3FB3B3A0">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应根据数据特点和使用场景选择合适的数据库类型，如关系型数据库。</w:t>
      </w:r>
    </w:p>
    <w:p w14:paraId="275AA24F">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应对数据库进行定期维护与性能优化，包括索引构建、碎片整理、数据清理等工作。</w:t>
      </w:r>
    </w:p>
    <w:p w14:paraId="0D72965B">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数据合规</w:t>
      </w:r>
    </w:p>
    <w:p w14:paraId="10DA0CC0">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数据规范性应符合</w:t>
      </w:r>
      <w:r>
        <w:rPr>
          <w:rFonts w:hint="default" w:ascii="Times New Roman" w:hAnsi="Times New Roman" w:cs="Times New Roman"/>
          <w:sz w:val="28"/>
          <w:szCs w:val="28"/>
          <w:highlight w:val="none"/>
          <w:lang w:val="en-US"/>
        </w:rPr>
        <w:t>GB/T 51095</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GB/T 51262</w:t>
      </w:r>
      <w:r>
        <w:rPr>
          <w:rFonts w:hint="default" w:ascii="Times New Roman" w:hAnsi="Times New Roman" w:cs="Times New Roman"/>
          <w:sz w:val="28"/>
          <w:szCs w:val="28"/>
          <w:highlight w:val="none"/>
          <w:lang w:eastAsia="zh-CN"/>
        </w:rPr>
        <w:t>的规定。</w:t>
      </w:r>
    </w:p>
    <w:p w14:paraId="3DC35710">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数据存储应配合审计需求必要时提供完整的数据修改记录和日志。</w:t>
      </w:r>
    </w:p>
    <w:p w14:paraId="726F2A61">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0" w:name="_Toc192769825"/>
      <w:r>
        <w:rPr>
          <w:rFonts w:hint="default" w:ascii="Times New Roman" w:hAnsi="Times New Roman" w:cs="Times New Roman"/>
          <w:sz w:val="28"/>
          <w:szCs w:val="28"/>
          <w:highlight w:val="none"/>
          <w:lang w:eastAsia="zh-CN"/>
        </w:rPr>
        <w:t>数据维护</w:t>
      </w:r>
      <w:bookmarkEnd w:id="30"/>
    </w:p>
    <w:p w14:paraId="45A7CE85">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数据更新机制</w:t>
      </w:r>
    </w:p>
    <w:p w14:paraId="41B5D5A4">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应建立定期的数据审查机制，对存储在系统中的数据进行全面检查，识别并处理过时或无效的信息。审查周期应根据项目进展和数据变化频率进行合理设定。</w:t>
      </w:r>
    </w:p>
    <w:p w14:paraId="6C80CD53">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当项目发生变更（如设计变更、材料替换、工程量调整等）时，宜立即更新相关数据，确保数据的实时性。这要求建立有效的数据变更通知流程，确保所有相关人员都能及时了解到数据的变化。</w:t>
      </w:r>
    </w:p>
    <w:p w14:paraId="3893490A">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在更新数据时，应保留历史版本，以便在需要时进行追溯或对比分析。历史数据的存储和管理应遵循一定的规则，确保数据的可访问性和完整性。</w:t>
      </w:r>
    </w:p>
    <w:p w14:paraId="42B4DB20">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数据备份与恢复</w:t>
      </w:r>
    </w:p>
    <w:p w14:paraId="320DE0B8">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应制定数据备份计划，定期对数据库进行备份，以防止数据丢失或损坏。备份的频率和存储位置应根据数据的重要性和恢复需求进行合理规划。</w:t>
      </w:r>
    </w:p>
    <w:p w14:paraId="6F1362F8">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备份完成后，宜进行备份验证，确保备份数据的可读性和完整性。这可以通过恢复测试来验证，以确保在需要时能够顺利恢复数据。</w:t>
      </w:r>
    </w:p>
    <w:p w14:paraId="6DCE1156">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应制定灾难恢复计划，以应对可能的数据丢失或损坏情况。该计划应包括数据恢复流程、恢复时间目标和恢复点目标等关键要素，确保在发生意外时能够迅速恢复数据。</w:t>
      </w:r>
    </w:p>
    <w:p w14:paraId="70B1C51D">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数据安全与访问控制</w:t>
      </w:r>
    </w:p>
    <w:p w14:paraId="037BFF84">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应建立严格的访问权限管理制度，对不同用户设定不同的访问权限，确保只有授权人员能够访问敏感数据。权限管理应遵循最小权限原则，即用户只能访问其完成工作所需的最小数据集。</w:t>
      </w:r>
    </w:p>
    <w:p w14:paraId="715541DF">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对于敏感数据（如个人隐私、商业秘密等），宜采用加密技术进行保护。加密应涵盖数据传输和存储两个环节，确保数据在传输过程中不被窃听或篡改，在存储时不被非法访问。</w:t>
      </w:r>
    </w:p>
    <w:p w14:paraId="33DBA6FE">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应建立安全审计机制，记录所有对数据的访问和操作行为。这有助于及时发现异常行为，追踪数据泄露或损坏的源头，并为后续的安全改进提供依据。</w:t>
      </w:r>
    </w:p>
    <w:p w14:paraId="38F6836A">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数据质量监控</w:t>
      </w:r>
    </w:p>
    <w:p w14:paraId="63FCA3B2">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应定期进行数据质量检查，包括数据的完整性、准确性、一致性和时效性等方面。检查结果应形成报告，供相关人员参考和改进。</w:t>
      </w:r>
    </w:p>
    <w:p w14:paraId="4FFB08D2">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在发现数据质量问题时，宜及时进行数据清洗和修正。清洗过程应遵循一定的规则和标准，确保数据的一致性和准确性。修正后的数据应重新进行质量检查，确保问题得到妥善解决。</w:t>
      </w:r>
    </w:p>
    <w:p w14:paraId="1530AE5F">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1" w:name="_Toc192769826"/>
      <w:r>
        <w:rPr>
          <w:rFonts w:hint="default" w:ascii="Times New Roman" w:hAnsi="Times New Roman" w:cs="Times New Roman"/>
          <w:sz w:val="28"/>
          <w:szCs w:val="28"/>
          <w:highlight w:val="none"/>
          <w:lang w:eastAsia="zh-CN"/>
        </w:rPr>
        <w:t>数据应用</w:t>
      </w:r>
      <w:bookmarkEnd w:id="31"/>
    </w:p>
    <w:p w14:paraId="3E99351C">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成本分析与控制</w:t>
      </w:r>
    </w:p>
    <w:p w14:paraId="2371F48B">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应利用历史项目数据和当前市场情况，对绿色建筑工程进行初步的成本估算。这包括材料成本、人工成本、设备成本等各项费用的预测，为项目预算的制定提供依据。</w:t>
      </w:r>
    </w:p>
    <w:p w14:paraId="2337768D">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在项目实施过程中，宜定期对比实际成本与预算成本，分析成本偏差的原因，并采取相应的控制措施。可通过建立成本监控报表、设置成本预警阈值等方式实现。</w:t>
      </w:r>
    </w:p>
    <w:p w14:paraId="477D783A">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应利用数据分析工具，识别成本节约的潜力，提出成本优化的建议。例如，通过对比不同材料的价格和质量，选择性价比更高的材料；通过优化施工计划，减少资源浪费和停工待料的情况。</w:t>
      </w:r>
    </w:p>
    <w:p w14:paraId="3D3BB188">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预算编制与审核</w:t>
      </w:r>
    </w:p>
    <w:p w14:paraId="6AECA1AF">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应基于详细的设计文件和成本估算结果，编制绿色建筑工程的预算。预算编制过程中，宜充分考虑项目的特点和市场环境的变化，确保预算的合理性和准确性。</w:t>
      </w:r>
    </w:p>
    <w:p w14:paraId="09974700">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预算编制完成后，宜进行预算审核，确保预算的合规性和可行性。审核过程中，应重点关注预算的完整性、合理性和风险控制等方面。</w:t>
      </w:r>
    </w:p>
    <w:p w14:paraId="05BAE6C9">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投标报价与合同管理</w:t>
      </w:r>
    </w:p>
    <w:p w14:paraId="4F0772B2">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在投标过程中，应充分利用造价数据，制定合理的投标报价。这包括分析竞争对手的报价策略、评估项目的风险和利润等因素，确保报价的竞争力。</w:t>
      </w:r>
    </w:p>
    <w:p w14:paraId="4AE59257">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合同签订后，宜利用数据对合同执行情况进行跟踪和管理。这包括监控合同变更、处理合同索赔、评估合同风险等方面，确保合同的顺利履行。</w:t>
      </w:r>
    </w:p>
    <w:p w14:paraId="7B21F60E">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绩效评价与决策支持</w:t>
      </w:r>
    </w:p>
    <w:p w14:paraId="1F191363">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项目完成后，应利用造价数据对项目的成本绩效进行评价。这包括对比实际成本与预算成本、分析成本节约或超支的原因、评估项目的经济效益和社会效益等方面。</w:t>
      </w:r>
    </w:p>
    <w:p w14:paraId="580C202D">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项目的各个阶段，宜利用数据分析工具为决策提供支持。例如，在设计阶段，可以通过分析不同设计方案的成本效益，选择最优的设计方案；在施工阶段，可以通过分析施工进度和成本数据，调整施工计划以降低成本和提高效率。</w:t>
      </w:r>
    </w:p>
    <w:p w14:paraId="655E9FD9">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数据可视化与报告</w:t>
      </w:r>
    </w:p>
    <w:p w14:paraId="3D37C4DC">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为了更直观地展示数据和分析结果，应利用数据可视化工具将数据转化为图表、图像等形式。这有助于相关人员更快地理解数据和分析结果，提高决策效率。</w:t>
      </w:r>
    </w:p>
    <w:p w14:paraId="1FE99B37">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应定期编制数据应用报告，总结数据的分析结果和应用效果。报告应包含详细的数据分析过程、结论和建议，以及数据应用过程中遇到的问题和解决方案。</w:t>
      </w:r>
    </w:p>
    <w:p w14:paraId="1662CB29">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风险识别</w:t>
      </w:r>
    </w:p>
    <w:p w14:paraId="5CFB9F37">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可制定针对工程造价数据的风险识别策略，通过对历史工程造价数据的深入分析，发现潜在的成本超支点或节约空间；应建立风险应对措施及预案，及时调整成本控制方案。</w:t>
      </w:r>
    </w:p>
    <w:p w14:paraId="005F0850">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2" w:name="_Toc192769827"/>
      <w:r>
        <w:rPr>
          <w:rFonts w:hint="default" w:ascii="Times New Roman" w:hAnsi="Times New Roman" w:cs="Times New Roman"/>
          <w:sz w:val="28"/>
          <w:szCs w:val="28"/>
          <w:highlight w:val="none"/>
          <w:lang w:eastAsia="zh-CN"/>
        </w:rPr>
        <w:t>数据控制</w:t>
      </w:r>
      <w:bookmarkEnd w:id="32"/>
    </w:p>
    <w:p w14:paraId="650DFC7F">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数据格式</w:t>
      </w:r>
    </w:p>
    <w:p w14:paraId="1540DE27">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应制定统一的数据格式标准，包括日期格式、数字格式、文本编码等，以确保不同来源的数据能够无缝集成和比较。</w:t>
      </w:r>
    </w:p>
    <w:p w14:paraId="126139AC">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宜采用国际或行业通用的数据格式标准，如</w:t>
      </w:r>
      <w:r>
        <w:rPr>
          <w:rFonts w:hint="default" w:ascii="Times New Roman" w:hAnsi="Times New Roman" w:cs="Times New Roman"/>
          <w:sz w:val="28"/>
          <w:szCs w:val="28"/>
          <w:highlight w:val="none"/>
          <w:lang w:val="en-US"/>
        </w:rPr>
        <w:t>CSV</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Excel</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JSON</w:t>
      </w:r>
      <w:r>
        <w:rPr>
          <w:rFonts w:hint="default" w:ascii="Times New Roman" w:hAnsi="Times New Roman" w:cs="Times New Roman"/>
          <w:sz w:val="28"/>
          <w:szCs w:val="28"/>
          <w:highlight w:val="none"/>
          <w:lang w:eastAsia="zh-CN"/>
        </w:rPr>
        <w:t>等，以提高数据的可读性和通用性。</w:t>
      </w:r>
    </w:p>
    <w:p w14:paraId="1A9BD05C">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应建立数据编码体系，对每一项数据进行唯一标识，确保数据的可追溯性和准确性。</w:t>
      </w:r>
    </w:p>
    <w:p w14:paraId="3C90F62D">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数据编码应遵循简洁、明了、易于理解的原则，避免使用模糊或容易引起歧义的编码方式。</w:t>
      </w:r>
    </w:p>
    <w:p w14:paraId="42D47611">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数据质量</w:t>
      </w:r>
    </w:p>
    <w:p w14:paraId="0E0D446C">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数据应具有完整性，即数据应包含所有必要的信息，不应有遗漏或缺失。</w:t>
      </w:r>
    </w:p>
    <w:p w14:paraId="7F160F8B">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可通过数据校验和完整性检查等手段来检查数据的完整性、一致性。</w:t>
      </w:r>
    </w:p>
    <w:p w14:paraId="7454DC02">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数据应具有准确性，即数据应真实反映实际情况，不应有错误或误导性信息。</w:t>
      </w:r>
    </w:p>
    <w:p w14:paraId="3D138375">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宜采用数据清洗、数据验证等方法，提高数据的准确性和可靠性。</w:t>
      </w:r>
    </w:p>
    <w:p w14:paraId="7E3401F8">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数据应具有一致性，即不同来源或不同时间点的数据应保持一致性和可比性。</w:t>
      </w:r>
    </w:p>
    <w:p w14:paraId="7A7A7474">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宜建立数据一致性校验机制，对数据进行比较和验证，检查数据的一致性和准确性。</w:t>
      </w:r>
    </w:p>
    <w:p w14:paraId="4E2CDBFB">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数据应用规范</w:t>
      </w:r>
    </w:p>
    <w:p w14:paraId="1EC31B45">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明确数据的应用场景和目的，应选择合适的数据和方法进行分析和应用。</w:t>
      </w:r>
    </w:p>
    <w:p w14:paraId="5E43871E">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根据项目的不同阶段和需求，应制定详细的数据应用计划。</w:t>
      </w:r>
    </w:p>
    <w:p w14:paraId="47694535">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应采用科学、合理的分析方法对数据进行处理和分析，如统计分析、数据挖掘等。</w:t>
      </w:r>
    </w:p>
    <w:p w14:paraId="1560F03C">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遵循数据分析的规范和标准，分析结果应具有准确性和可靠性。</w:t>
      </w:r>
    </w:p>
    <w:p w14:paraId="351F81B1">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分析结果应以清晰、直观的方式呈现出来，如图表、报告等。</w:t>
      </w:r>
    </w:p>
    <w:p w14:paraId="05F81B04">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注重结果的解释和说明，相关人员可准确理解分析结果和结论。</w:t>
      </w:r>
    </w:p>
    <w:p w14:paraId="4D5DCDEC">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数据安全与隐私保护</w:t>
      </w:r>
    </w:p>
    <w:p w14:paraId="19327944">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应建立严格的数据访问控制机制，授权人员可访问敏感数据。</w:t>
      </w:r>
    </w:p>
    <w:p w14:paraId="5DF1A9EC">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宜采用身份验证、权限管理等手段，加强数据访问的安全性和可控性。</w:t>
      </w:r>
    </w:p>
    <w:p w14:paraId="45F66F0E">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应对敏感数据进行加密处理，数据在传输和存储过程中应具有安全性。</w:t>
      </w:r>
    </w:p>
    <w:p w14:paraId="136852A9">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采用安全的存储设备和存储方式，数据不应丢失或损坏。</w:t>
      </w:r>
    </w:p>
    <w:p w14:paraId="72655415">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严格遵守相关法律法规和隐私保护政策，个人隐私不应被泄露或滥用。</w:t>
      </w:r>
    </w:p>
    <w:p w14:paraId="6F9EC819">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应采用数据脱敏、匿名化等技术手段，保护个人隐私和数据安全。</w:t>
      </w:r>
    </w:p>
    <w:p w14:paraId="596969DD">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数据维护与更新</w:t>
      </w:r>
    </w:p>
    <w:p w14:paraId="4514B4CB">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应定期对数据进行维护，包括数据备份、数据清理、数据更新等。</w:t>
      </w:r>
    </w:p>
    <w:p w14:paraId="0F5D3262">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建立数据维护计划和维护记录，数据的持续应具有可用性和准确性。</w:t>
      </w:r>
    </w:p>
    <w:p w14:paraId="4C383B8E">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建立数据更新机制，数据应具有时效性和准确性。</w:t>
      </w:r>
    </w:p>
    <w:p w14:paraId="08D1DBBA">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宜采用自动化或半自动化的数据更新方式，提高数据更新的效率和准确性。</w:t>
      </w:r>
    </w:p>
    <w:p w14:paraId="15FAF41A">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3" w:name="_Toc192769828"/>
      <w:r>
        <w:rPr>
          <w:rFonts w:hint="default" w:ascii="Times New Roman" w:hAnsi="Times New Roman" w:cs="Times New Roman"/>
          <w:sz w:val="28"/>
          <w:szCs w:val="28"/>
          <w:highlight w:val="none"/>
          <w:lang w:eastAsia="zh-CN"/>
        </w:rPr>
        <w:t>培训与人员</w:t>
      </w:r>
      <w:bookmarkEnd w:id="33"/>
    </w:p>
    <w:p w14:paraId="3552CE35">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培训要求</w:t>
      </w:r>
    </w:p>
    <w:p w14:paraId="3C41A0C3">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培训应涵盖绿色建筑工程的基础知识，可包括绿色建筑理念、工程造价原理、数据管理理论等。</w:t>
      </w:r>
    </w:p>
    <w:p w14:paraId="474792AA">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结合实际案例，宜培训内容更加生动、具体，易于理解和吸收。</w:t>
      </w:r>
    </w:p>
    <w:p w14:paraId="5BADA43D">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针对数据收集、处理、分析、应用等关键环节，应提供专业技能培训。</w:t>
      </w:r>
    </w:p>
    <w:p w14:paraId="5E0852CB">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应引入先进的数据处理和分析工具，如数据分析软件、数据库管理系统等，提升人员的技术操作能力。</w:t>
      </w:r>
    </w:p>
    <w:p w14:paraId="0FCD9505">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详细介绍与绿色建筑工程造价数据相关的法规、标准和规范，人员应合规操作。</w:t>
      </w:r>
    </w:p>
    <w:p w14:paraId="2EA02CA2">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应定期更新培训内容，紧跟行业动态和法规变化，保持人员的知识更新。</w:t>
      </w:r>
    </w:p>
    <w:p w14:paraId="442CABB2">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应加强沟通、协作、问题解决等软技能的培训，提升团队的整体效能。</w:t>
      </w:r>
    </w:p>
    <w:p w14:paraId="4EB5629C">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通过团队建设活动、角色扮演等方式，宜增强人员的团队合作意识和沟通协调能力。</w:t>
      </w:r>
    </w:p>
    <w:p w14:paraId="25EA977C">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人员要求</w:t>
      </w:r>
    </w:p>
    <w:p w14:paraId="46C8B541">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人员应具备扎实的绿色建筑和工程造价专业知识，能够准确理解和应用相关数据。</w:t>
      </w:r>
    </w:p>
    <w:p w14:paraId="75DC6FB1">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宜具备持续学习的意识，不断跟进行业动态和技术发展，提升个人专业素养。</w:t>
      </w:r>
    </w:p>
    <w:p w14:paraId="041F774D">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人员应熟练掌握数据处理和分析工具，能够高效地进行数据操作和分析。</w:t>
      </w:r>
    </w:p>
    <w:p w14:paraId="2F69AE58">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人员应具备解决复杂问题的能力，能够独立思考和应对数据应用过程中的挑战。</w:t>
      </w:r>
      <w:r>
        <w:rPr>
          <w:rFonts w:hint="default" w:ascii="Times New Roman" w:hAnsi="Times New Roman" w:cs="Times New Roman"/>
          <w:sz w:val="28"/>
          <w:szCs w:val="28"/>
          <w:highlight w:val="none"/>
          <w:lang w:eastAsia="zh-CN"/>
        </w:rPr>
        <w:t xml:space="preserve"> </w:t>
      </w:r>
    </w:p>
    <w:p w14:paraId="18619292">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严格遵守相关法律法规和行业标准，数据处理应具有合规性和安全性。</w:t>
      </w:r>
    </w:p>
    <w:p w14:paraId="7FF5125A">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具备高度的责任心和职业道德，保护数据的隐私和安全，不应泄露敏感信息。</w:t>
      </w:r>
    </w:p>
    <w:p w14:paraId="05E7DF33">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具备良好的沟通能力和团队协作精神，应与团队成员、其他部门或外部合作伙伴有效沟通。</w:t>
      </w:r>
    </w:p>
    <w:p w14:paraId="4D13EEEB">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积极参与团队活动和项目讨论，宜提出建设性意见和建议，共同推动项目的进展。</w:t>
      </w:r>
    </w:p>
    <w:p w14:paraId="5FDF3D79">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宜鼓励人员参加专业培训、研讨会等活动，不断拓宽知识面和提升技能水平。</w:t>
      </w:r>
    </w:p>
    <w:p w14:paraId="3C5EEB5F">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建立个人学习计划，宜设定学习目标，定期评估学习成果，实现个人成长和职业发展。</w:t>
      </w:r>
    </w:p>
    <w:p w14:paraId="406572B0">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培训实施与评估</w:t>
      </w:r>
    </w:p>
    <w:p w14:paraId="320DADAA">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根据人员需求和项目要求，应制定详细的培训计划，包括培训内容、时间、方式等。</w:t>
      </w:r>
    </w:p>
    <w:p w14:paraId="56A23FBD">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邀请行业专家或内部资深人士进行授课，培训内容应具有权威性和实用性。</w:t>
      </w:r>
    </w:p>
    <w:p w14:paraId="5C881D85">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通过考试、测试、项目实践等方式，应对培训效果进行评估。</w:t>
      </w:r>
    </w:p>
    <w:p w14:paraId="0C5086A8">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根据评估结果，应及时调整培训计划，优化培训内容和方法，提升培训效果。</w:t>
      </w:r>
    </w:p>
    <w:p w14:paraId="2353B195">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建立持续培训机制，应定期更新培训内容，保持人员的知识更新和技能提升。</w:t>
      </w:r>
    </w:p>
    <w:p w14:paraId="3BC76A70">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宜鼓励人员自主学习和分享经验，形成良好的学习氛围和团队文化。</w:t>
      </w:r>
    </w:p>
    <w:p w14:paraId="35E4BABF">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4" w:name="_Toc192769829"/>
      <w:r>
        <w:rPr>
          <w:rFonts w:hint="default" w:ascii="Times New Roman" w:hAnsi="Times New Roman" w:cs="Times New Roman"/>
          <w:sz w:val="28"/>
          <w:szCs w:val="28"/>
          <w:highlight w:val="none"/>
          <w:lang w:eastAsia="zh-CN"/>
        </w:rPr>
        <w:t>实施监督</w:t>
      </w:r>
      <w:bookmarkEnd w:id="34"/>
    </w:p>
    <w:p w14:paraId="2696F10F">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实施策略</w:t>
      </w:r>
    </w:p>
    <w:p w14:paraId="4A64D7DC">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明确项目的目标、范围、时间表和资源需求，应制定详细的项目计划。</w:t>
      </w:r>
    </w:p>
    <w:p w14:paraId="3F3069B5">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组织项目启动会议，所有相关方应对项目目标、职责分工和预期成果有清晰的认识。</w:t>
      </w:r>
    </w:p>
    <w:p w14:paraId="350CF4DB">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建立统一的数据收集渠道和格式，数据应具有完整性和准确性。</w:t>
      </w:r>
    </w:p>
    <w:p w14:paraId="002BC017">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应采用自动化或半自动化的数据收集工具，提高数据收集的效率和质量。</w:t>
      </w:r>
    </w:p>
    <w:p w14:paraId="75B97F37">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遵循既定的数据处理流程和分析方法，应对数据进行清洗、转换和分析。</w:t>
      </w:r>
    </w:p>
    <w:p w14:paraId="019A4ABC">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应采用先进的数据分析工具和技术，如机器学习、人工智能等，提升数据分析的深度和广度。</w:t>
      </w:r>
    </w:p>
    <w:p w14:paraId="6BB6C155">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将数据应用于项目决策、成本控制、绩效评价等关键环节，提升项目的经济效益和社会效益。</w:t>
      </w:r>
    </w:p>
    <w:p w14:paraId="2AE9CBF3">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建立数据应用反馈机制，宜收集用户对数据的满意度和改进建议，持续优化数据应用效果。</w:t>
      </w:r>
    </w:p>
    <w:p w14:paraId="68C987D6">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应为相关人员提供必要的培训和支持，人员应具备处理和分析数据所需的知识和技能。</w:t>
      </w:r>
    </w:p>
    <w:p w14:paraId="0141F9E7">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应建立知识分享和协作机制，促进团队内部的知识传递和经验积累。</w:t>
      </w:r>
    </w:p>
    <w:p w14:paraId="615327ED">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监督措施</w:t>
      </w:r>
    </w:p>
    <w:p w14:paraId="2727DF2B">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定期监控项目的进度，各项任务应按计划执行。</w:t>
      </w:r>
    </w:p>
    <w:p w14:paraId="6852FD1F">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根据进度监控结果，及时调整项目计划，应对潜在的风险和挑战。</w:t>
      </w:r>
    </w:p>
    <w:p w14:paraId="5F246371">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建立严格的数据质量控制体系，数据应具有准确性和可靠性。</w:t>
      </w:r>
    </w:p>
    <w:p w14:paraId="4770C247">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应定期进行数据质量审核，发现问题及时整改，提升数据质量。</w:t>
      </w:r>
    </w:p>
    <w:p w14:paraId="6F2C6CCA">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严格遵守相关法律法规和行业标准，数据处理和应用应具有合规性。</w:t>
      </w:r>
    </w:p>
    <w:p w14:paraId="02AB92FC">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加强数据安全管理，数据不应出现泄露和滥用，保护个人隐私和商业秘密。</w:t>
      </w:r>
    </w:p>
    <w:p w14:paraId="5BAABF37">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建立绩效评估机制，应定期评估项目的实施效果和用户满意度。</w:t>
      </w:r>
    </w:p>
    <w:p w14:paraId="0D101ADE">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根据绩效评估结果，宜给予相关人员相应的奖励和激励，提升团队的积极性和创造力。</w:t>
      </w:r>
    </w:p>
    <w:p w14:paraId="29855415">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建立持续改进机制，应定期回顾和总结项目的实施经验，发现不足并提出改进措施。</w:t>
      </w:r>
    </w:p>
    <w:p w14:paraId="07593406">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宜鼓励创新和实践，不断探索新的数据处理和分析方法，提升项目的整体效能。</w:t>
      </w:r>
    </w:p>
    <w:p w14:paraId="35F237DA">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协同</w:t>
      </w:r>
    </w:p>
    <w:p w14:paraId="7A4A9816">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加强跨部门协作，数据收集、处理、应用等各个环节应顺畅衔接。</w:t>
      </w:r>
    </w:p>
    <w:p w14:paraId="13445FF5">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建立跨部门沟通机制，应定期召开协调会议，解决实施过程中遇到的问题和挑战。</w:t>
      </w:r>
    </w:p>
    <w:p w14:paraId="2F03B159">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邀请利益相关者参与项目的实施与监督过程，人员需求和利益应得到充分考虑。</w:t>
      </w:r>
    </w:p>
    <w:p w14:paraId="380B6674">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建立利益相关者反馈机制，宜收集他们的意见和建议，不断优化项目的实施策略和监督措施。</w:t>
      </w:r>
    </w:p>
    <w:p w14:paraId="6014C926">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增加项目的透明度和公开度，应定期发布项目进展和实施效果，接受社会各界的监督。</w:t>
      </w:r>
    </w:p>
    <w:p w14:paraId="2A93D0B3">
      <w:pPr>
        <w:pStyle w:val="40"/>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应建立信息公开渠道，如官方网站、社交媒体等，利益相关者可获取项目相关信息。</w:t>
      </w:r>
    </w:p>
    <w:p w14:paraId="615E11A1">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35"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35"/>
    </w:p>
    <w:p w14:paraId="2A59B8C2">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0DD8E88F">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36"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36"/>
    </w:p>
    <w:p w14:paraId="61864BB7">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65DEF14E">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37"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37"/>
    </w:p>
    <w:p w14:paraId="5E2D07E0">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建筑工程造价数据</w:t>
      </w:r>
      <w:r>
        <w:rPr>
          <w:rFonts w:hint="default" w:ascii="Times New Roman" w:hAnsi="Times New Roman" w:cs="Times New Roman" w:eastAsiaTheme="minorEastAsia"/>
          <w:kern w:val="0"/>
          <w:sz w:val="28"/>
          <w:szCs w:val="28"/>
          <w:highlight w:val="none"/>
          <w:lang w:val="en-US" w:eastAsia="zh-CN" w:bidi="ar-SA"/>
        </w:rPr>
        <w:t>企业</w:t>
      </w:r>
      <w:r>
        <w:rPr>
          <w:rFonts w:hint="default" w:ascii="Times New Roman" w:hAnsi="Times New Roman" w:cs="Times New Roman" w:eastAsiaTheme="minorEastAsia"/>
          <w:kern w:val="0"/>
          <w:sz w:val="28"/>
          <w:szCs w:val="28"/>
          <w:highlight w:val="none"/>
          <w:lang w:val="en-US" w:eastAsia="zh-CN" w:bidi="ar-SA"/>
        </w:rPr>
        <w:t>规范运营，在国际市场上有机会与其他各国（相关）企业竞争。</w:t>
      </w:r>
    </w:p>
    <w:p w14:paraId="1CD600A7">
      <w:pPr>
        <w:spacing w:line="360" w:lineRule="auto"/>
        <w:outlineLvl w:val="0"/>
        <w:rPr>
          <w:rFonts w:hint="default" w:ascii="Times New Roman" w:hAnsi="Times New Roman" w:eastAsia="黑体" w:cs="Times New Roman"/>
          <w:b/>
          <w:kern w:val="0"/>
          <w:sz w:val="30"/>
          <w:szCs w:val="30"/>
          <w:highlight w:val="none"/>
        </w:rPr>
      </w:pPr>
      <w:bookmarkStart w:id="38"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38"/>
    </w:p>
    <w:p w14:paraId="54ED1537">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5AA24E0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39"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39"/>
    </w:p>
    <w:p w14:paraId="6E233F21">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2006BAC7">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0"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40"/>
    </w:p>
    <w:p w14:paraId="693333F0">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7B875CE3">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1"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41"/>
    </w:p>
    <w:p w14:paraId="5221FEA9">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3FEE95F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2"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42"/>
    </w:p>
    <w:p w14:paraId="66114198">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35A8C35D">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3"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43"/>
    </w:p>
    <w:p w14:paraId="6210C1F2">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p w14:paraId="72CE7202">
      <w:pPr>
        <w:spacing w:line="540" w:lineRule="exact"/>
        <w:ind w:firstLine="560" w:firstLineChars="200"/>
        <w:rPr>
          <w:rFonts w:hint="default" w:ascii="Times New Roman" w:hAnsi="Times New Roman" w:eastAsia="宋体" w:cs="Times New Roman"/>
          <w:kern w:val="0"/>
          <w:sz w:val="28"/>
          <w:szCs w:val="28"/>
          <w:highlight w:val="none"/>
        </w:rPr>
      </w:pPr>
    </w:p>
    <w:sectPr>
      <w:footerReference r:id="rId4" w:type="default"/>
      <w:pgSz w:w="11906" w:h="16838"/>
      <w:pgMar w:top="1418" w:right="1418" w:bottom="1985" w:left="1797"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81D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3A67">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31FCE302">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4F13F"/>
    <w:multiLevelType w:val="multilevel"/>
    <w:tmpl w:val="DE34F13F"/>
    <w:lvl w:ilvl="0" w:tentative="0">
      <w:start w:val="1"/>
      <w:numFmt w:val="none"/>
      <w:pStyle w:val="38"/>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pStyle w:val="41"/>
      <w:lvlText w:val=""/>
      <w:lvlJc w:val="left"/>
      <w:pPr>
        <w:ind w:left="851" w:hanging="431"/>
      </w:pPr>
      <w:rPr>
        <w:rFonts w:ascii="Symbol" w:hAnsi="Symbol" w:cs="Symbol"/>
        <w:sz w:val="21"/>
      </w:rPr>
    </w:lvl>
    <w:lvl w:ilvl="2" w:tentative="0">
      <w:start w:val="1"/>
      <w:numFmt w:val="bullet"/>
      <w:pStyle w:val="37"/>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2D172FAB"/>
    <w:multiLevelType w:val="multilevel"/>
    <w:tmpl w:val="2D172FAB"/>
    <w:lvl w:ilvl="0" w:tentative="0">
      <w:start w:val="1"/>
      <w:numFmt w:val="none"/>
      <w:suff w:val="nothing"/>
      <w:lvlText w:val="%1"/>
      <w:lvlJc w:val="left"/>
      <w:pPr>
        <w:ind w:left="0" w:firstLine="0"/>
      </w:pPr>
    </w:lvl>
    <w:lvl w:ilvl="1" w:tentative="0">
      <w:start w:val="1"/>
      <w:numFmt w:val="decimal"/>
      <w:pStyle w:val="35"/>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34"/>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40"/>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10F4177"/>
    <w:rsid w:val="169901DF"/>
    <w:rsid w:val="170D2EB2"/>
    <w:rsid w:val="18E71105"/>
    <w:rsid w:val="19312DFE"/>
    <w:rsid w:val="1F15287C"/>
    <w:rsid w:val="255B6B18"/>
    <w:rsid w:val="2C2D1EE2"/>
    <w:rsid w:val="2D467F37"/>
    <w:rsid w:val="2DAD6C8F"/>
    <w:rsid w:val="3AFC0F1D"/>
    <w:rsid w:val="40E14CE3"/>
    <w:rsid w:val="542D0422"/>
    <w:rsid w:val="57BF1D4F"/>
    <w:rsid w:val="663F4E49"/>
    <w:rsid w:val="67A80C44"/>
    <w:rsid w:val="6A437AD9"/>
    <w:rsid w:val="6B9E6287"/>
    <w:rsid w:val="6E433E9B"/>
    <w:rsid w:val="6FF12124"/>
    <w:rsid w:val="706C61B1"/>
    <w:rsid w:val="70764670"/>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一级条标题"/>
    <w:basedOn w:val="35"/>
    <w:next w:val="36"/>
    <w:uiPriority w:val="0"/>
    <w:pPr>
      <w:keepNext w:val="0"/>
      <w:keepLines w:val="0"/>
      <w:widowControl/>
      <w:numPr>
        <w:ilvl w:val="2"/>
        <w:numId w:val="2"/>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35">
    <w:name w:val="标准文件_章标题"/>
    <w:basedOn w:val="1"/>
    <w:next w:val="36"/>
    <w:uiPriority w:val="0"/>
    <w:pPr>
      <w:keepNext w:val="0"/>
      <w:keepLines w:val="0"/>
      <w:widowControl/>
      <w:numPr>
        <w:ilvl w:val="1"/>
        <w:numId w:val="2"/>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36">
    <w:name w:val="标准文件_段"/>
    <w:basedOn w:val="1"/>
    <w:link w:val="39"/>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37">
    <w:name w:val="标准文件_术语条一"/>
    <w:basedOn w:val="1"/>
    <w:next w:val="36"/>
    <w:uiPriority w:val="0"/>
    <w:pPr>
      <w:keepNext w:val="0"/>
      <w:keepLines w:val="0"/>
      <w:widowControl/>
      <w:numPr>
        <w:ilvl w:val="2"/>
        <w:numId w:val="3"/>
      </w:numPr>
      <w:suppressLineNumbers w:val="0"/>
      <w:adjustRightInd/>
      <w:spacing w:before="0" w:beforeAutospacing="0" w:after="0" w:afterAutospacing="0" w:line="240" w:lineRule="auto"/>
      <w:ind w:left="851" w:right="0" w:hanging="426"/>
      <w:jc w:val="both"/>
    </w:pPr>
    <w:rPr>
      <w:rFonts w:hint="eastAsia" w:ascii="宋体" w:hAnsi="Times New Roman" w:eastAsia="宋体" w:cs="Times New Roman"/>
      <w:kern w:val="0"/>
      <w:sz w:val="21"/>
      <w:szCs w:val="20"/>
      <w:lang w:val="en-US" w:eastAsia="zh-CN" w:bidi="ar"/>
    </w:rPr>
  </w:style>
  <w:style w:type="paragraph" w:customStyle="1" w:styleId="38">
    <w:name w:val="标准文件_一级项"/>
    <w:basedOn w:val="1"/>
    <w:uiPriority w:val="0"/>
    <w:pPr>
      <w:keepNext w:val="0"/>
      <w:keepLines w:val="0"/>
      <w:widowControl/>
      <w:numPr>
        <w:ilvl w:val="0"/>
        <w:numId w:val="3"/>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character" w:customStyle="1" w:styleId="39">
    <w:name w:val="标准文件_段 Char"/>
    <w:basedOn w:val="14"/>
    <w:link w:val="36"/>
    <w:uiPriority w:val="0"/>
    <w:rPr>
      <w:rFonts w:hint="eastAsia" w:ascii="宋体" w:hAnsi="Times New Roman" w:eastAsia="宋体" w:cs="宋体"/>
      <w:sz w:val="21"/>
    </w:rPr>
  </w:style>
  <w:style w:type="paragraph" w:customStyle="1" w:styleId="40">
    <w:name w:val="标准文件_二级无标题"/>
    <w:uiPriority w:val="0"/>
    <w:pPr>
      <w:keepNext w:val="0"/>
      <w:keepLines w:val="0"/>
      <w:widowControl w:val="0"/>
      <w:numPr>
        <w:ilvl w:val="3"/>
        <w:numId w:val="2"/>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41">
    <w:name w:val="标准文件_二级项2"/>
    <w:basedOn w:val="36"/>
    <w:uiPriority w:val="0"/>
    <w:pPr>
      <w:keepNext w:val="0"/>
      <w:keepLines w:val="0"/>
      <w:widowControl/>
      <w:numPr>
        <w:ilvl w:val="1"/>
        <w:numId w:val="3"/>
      </w:numPr>
      <w:suppressLineNumbers w:val="0"/>
      <w:tabs>
        <w:tab w:val="left" w:pos="360"/>
      </w:tabs>
      <w:autoSpaceDE w:val="0"/>
      <w:autoSpaceDN w:val="0"/>
      <w:spacing w:before="0" w:beforeAutospacing="0" w:after="0" w:afterAutospacing="0"/>
      <w:ind w:left="0" w:right="0" w:firstLine="0" w:firstLineChars="0"/>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Pages>
  <Words>1375</Words>
  <Characters>1394</Characters>
  <Lines>62</Lines>
  <Paragraphs>17</Paragraphs>
  <TotalTime>5</TotalTime>
  <ScaleCrop>false</ScaleCrop>
  <LinksUpToDate>false</LinksUpToDate>
  <CharactersWithSpaces>1438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JuneRain</cp:lastModifiedBy>
  <dcterms:modified xsi:type="dcterms:W3CDTF">2025-03-13T07:20:18Z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286513CB856B4AD4B4C264CC0310DEB1</vt:lpwstr>
  </property>
  <property fmtid="{D5CDD505-2E9C-101B-9397-08002B2CF9AE}" pid="4" name="KSOTemplateDocerSaveRecord">
    <vt:lpwstr>eyJoZGlkIjoiYjBjNmNlZTRkMmZjYmYyZTM5OTBkZjEzNTRhZTU4MGUiLCJ1c2VySWQiOiI3MzQxNTE1NjYifQ==</vt:lpwstr>
  </property>
</Properties>
</file>