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可持续产品评价要求 研磨丝杆</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可持续产品评价要求 研磨丝杆</w:t>
      </w: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可持续产品评价要求 研磨丝杆</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101A2688">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研磨丝杆项目的立项背景主要源于现代制造业对高精度、高效率传动部件的迫切需求。随着科技的进步和工业化进程的加速，机械设备对传动部件的精度和性能要求日益提高。丝杆作为机械设备中的核心传动部件，其精度直接影响到整个设备的性能。目前，研磨丝杆项目在实施过程中面临一些问题。首先，研磨技术本身需要高精度的设备和专业的技术人员，这增加了项目的实施难度和成本。其次，国内在丝杠高效旋风铣削技术与欧美发达国家相比仍有较大差距，对旋风铣削过程切削机理的研究尚不充分，导致研磨丝杆的效率和质量受到一定影响。此外，市场上缺乏自动化的丝杠研磨设备，多数情况下仍然依靠经验丰富的技术人员手工完成，这不仅耗时长，而且效率低下。因此，如何解决这些问题，提高研磨丝杆的效率和质量，成为项目实施过程中需要重点关注的问题。</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研磨丝杆可持续性产品评价要求标准的研制。研磨丝杆项目的实施具有重要意义。首先，通过研磨技术提升丝杆的精度和表面质量，可以显著提高机械设备的传动效率和稳定性，减少振动和噪音，延长设备的使用寿命。这对于提高制造业的生产效率和产品质量具有重要意义。其次，研磨丝杆项目符合可持续发展的理念，通过优化生产工艺和减少资源浪费，可以降低生产成本，提高企业的经济效益。同时，研磨丝杆项目也有助于推动制造业的技术创新和产业升级，提升我国制造业在全球市场的竞争力。此外，研磨丝杆项目的成功实施还可以为其他传动部件的研磨加工提供借鉴和参考，推动整个制造业的技术进步和发展。</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研磨丝杆</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研磨丝杆</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研磨丝杆</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研磨丝杆</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研磨丝杆</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可持续产品评价要求 研磨丝杆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可持续产品评价要求 研磨丝杆</w:t>
      </w:r>
      <w:r>
        <w:rPr>
          <w:rFonts w:hint="default" w:ascii="Times New Roman" w:hAnsi="Times New Roman" w:cs="Times New Roman"/>
          <w:kern w:val="0"/>
          <w:sz w:val="28"/>
          <w:szCs w:val="28"/>
          <w:highlight w:val="none"/>
          <w:lang w:val="en-US" w:eastAsia="zh-CN"/>
        </w:rPr>
        <w:t>》（征求意见稿）。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w:t>
      </w:r>
      <w:r>
        <w:rPr>
          <w:rFonts w:hint="default" w:ascii="Times New Roman" w:hAnsi="Times New Roman" w:cs="Times New Roman"/>
          <w:kern w:val="0"/>
          <w:sz w:val="28"/>
          <w:szCs w:val="28"/>
          <w:highlight w:val="none"/>
        </w:rPr>
        <w:t>多家单位的专家</w:t>
      </w:r>
      <w:bookmarkStart w:id="68" w:name="_GoBack"/>
      <w:bookmarkEnd w:id="68"/>
      <w:r>
        <w:rPr>
          <w:rFonts w:hint="default" w:ascii="Times New Roman" w:hAnsi="Times New Roman" w:cs="Times New Roman"/>
          <w:kern w:val="0"/>
          <w:sz w:val="28"/>
          <w:szCs w:val="28"/>
          <w:highlight w:val="none"/>
        </w:rPr>
        <w:t>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rPr>
        <w:t>部分，主要内容如下：</w:t>
      </w:r>
    </w:p>
    <w:p w14:paraId="2FDA4810">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79966952"/>
      <w:bookmarkStart w:id="3" w:name="_Toc97192964"/>
      <w:bookmarkStart w:id="4" w:name="_Toc26986771"/>
      <w:bookmarkStart w:id="5" w:name="_Toc26648465"/>
      <w:bookmarkStart w:id="6" w:name="_Toc17233325"/>
      <w:bookmarkStart w:id="7" w:name="_Toc26718930"/>
      <w:bookmarkStart w:id="8" w:name="_Toc26986530"/>
      <w:bookmarkStart w:id="9" w:name="_Toc179816565"/>
      <w:bookmarkStart w:id="10" w:name="_Toc24884211"/>
      <w:bookmarkStart w:id="11" w:name="_Toc24884218"/>
      <w:bookmarkStart w:id="12" w:name="_Toc17233333"/>
      <w:bookmarkStart w:id="13" w:name="_Toc179906345"/>
      <w:bookmarkStart w:id="14" w:name="_Toc192153879"/>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bookmarkEnd w:id="14"/>
    </w:p>
    <w:p w14:paraId="24806222">
      <w:pPr>
        <w:pStyle w:val="35"/>
        <w:widowControl/>
        <w:spacing w:line="360" w:lineRule="auto"/>
        <w:ind w:left="0" w:firstLine="420"/>
        <w:rPr>
          <w:rFonts w:hint="default" w:ascii="Times New Roman" w:hAnsi="Times New Roman" w:cs="Times New Roman"/>
          <w:sz w:val="28"/>
          <w:szCs w:val="28"/>
          <w:highlight w:val="none"/>
          <w:lang w:val="en-US"/>
        </w:rPr>
      </w:pPr>
      <w:bookmarkStart w:id="15" w:name="_Toc17233334"/>
      <w:bookmarkStart w:id="16" w:name="_Toc24884219"/>
      <w:bookmarkStart w:id="17" w:name="_Toc26648466"/>
      <w:bookmarkStart w:id="18" w:name="_Toc17233326"/>
      <w:bookmarkStart w:id="19" w:name="_Toc24884212"/>
      <w:r>
        <w:rPr>
          <w:rFonts w:hint="default" w:ascii="Times New Roman" w:hAnsi="Times New Roman" w:cs="Times New Roman"/>
          <w:sz w:val="28"/>
          <w:szCs w:val="28"/>
          <w:highlight w:val="none"/>
          <w:lang w:eastAsia="zh-CN"/>
        </w:rPr>
        <w:t>本文件规定了研磨丝杆可持续产品评价的术语和定义、评价原则、评价体系、评价要求和评价方法相关内容。</w:t>
      </w:r>
    </w:p>
    <w:p w14:paraId="4867E9D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本文件适用于研磨丝杆可持续产品评价。</w:t>
      </w:r>
    </w:p>
    <w:p w14:paraId="5D9BD433">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0" w:name="_Toc26718931"/>
      <w:bookmarkStart w:id="21" w:name="_Toc26986531"/>
      <w:bookmarkStart w:id="22" w:name="_Toc26986772"/>
      <w:bookmarkStart w:id="23" w:name="_Toc179966953"/>
      <w:bookmarkStart w:id="24" w:name="_Toc192153880"/>
      <w:bookmarkStart w:id="25" w:name="_Toc179906346"/>
      <w:bookmarkStart w:id="26" w:name="_Toc97192965"/>
      <w:bookmarkStart w:id="27" w:name="_Toc179816566"/>
      <w:r>
        <w:rPr>
          <w:rFonts w:hint="default" w:ascii="Times New Roman" w:hAnsi="Times New Roman" w:cs="Times New Roman"/>
          <w:sz w:val="28"/>
          <w:szCs w:val="28"/>
          <w:highlight w:val="none"/>
          <w:lang w:eastAsia="zh-CN"/>
        </w:rPr>
        <w:t>规范性引用文件</w:t>
      </w:r>
      <w:bookmarkEnd w:id="15"/>
      <w:bookmarkEnd w:id="16"/>
      <w:bookmarkEnd w:id="17"/>
      <w:bookmarkEnd w:id="18"/>
      <w:bookmarkEnd w:id="19"/>
      <w:bookmarkEnd w:id="20"/>
      <w:bookmarkEnd w:id="21"/>
      <w:bookmarkEnd w:id="22"/>
      <w:bookmarkEnd w:id="23"/>
      <w:bookmarkEnd w:id="24"/>
      <w:bookmarkEnd w:id="25"/>
      <w:bookmarkEnd w:id="26"/>
      <w:bookmarkEnd w:id="27"/>
    </w:p>
    <w:p w14:paraId="1A0102B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589FD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16716.1 </w:t>
      </w:r>
      <w:r>
        <w:rPr>
          <w:rFonts w:hint="default" w:ascii="Times New Roman" w:hAnsi="Times New Roman" w:cs="Times New Roman"/>
          <w:sz w:val="28"/>
          <w:szCs w:val="28"/>
          <w:highlight w:val="none"/>
          <w:lang w:eastAsia="zh-CN"/>
        </w:rPr>
        <w:t>包装与环境</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部分：通则</w:t>
      </w:r>
    </w:p>
    <w:p w14:paraId="07BE4C0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18455 </w:t>
      </w:r>
      <w:r>
        <w:rPr>
          <w:rFonts w:hint="default" w:ascii="Times New Roman" w:hAnsi="Times New Roman" w:cs="Times New Roman"/>
          <w:sz w:val="28"/>
          <w:szCs w:val="28"/>
          <w:highlight w:val="none"/>
          <w:lang w:eastAsia="zh-CN"/>
        </w:rPr>
        <w:t>包装回收标志</w:t>
      </w:r>
    </w:p>
    <w:p w14:paraId="56DC365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19001 </w:t>
      </w:r>
      <w:r>
        <w:rPr>
          <w:rFonts w:hint="default" w:ascii="Times New Roman" w:hAnsi="Times New Roman" w:cs="Times New Roman"/>
          <w:sz w:val="28"/>
          <w:szCs w:val="28"/>
          <w:highlight w:val="none"/>
          <w:lang w:eastAsia="zh-CN"/>
        </w:rPr>
        <w:t>质量管理体系</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要求</w:t>
      </w:r>
    </w:p>
    <w:p w14:paraId="6B78AF8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20862 </w:t>
      </w:r>
      <w:r>
        <w:rPr>
          <w:rFonts w:hint="default" w:ascii="Times New Roman" w:hAnsi="Times New Roman" w:cs="Times New Roman"/>
          <w:sz w:val="28"/>
          <w:szCs w:val="28"/>
          <w:highlight w:val="none"/>
          <w:lang w:eastAsia="zh-CN"/>
        </w:rPr>
        <w:t>产品可回收利用率计算方法导则</w:t>
      </w:r>
    </w:p>
    <w:p w14:paraId="01C93DB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24001 </w:t>
      </w:r>
      <w:r>
        <w:rPr>
          <w:rFonts w:hint="default" w:ascii="Times New Roman" w:hAnsi="Times New Roman" w:cs="Times New Roman"/>
          <w:sz w:val="28"/>
          <w:szCs w:val="28"/>
          <w:highlight w:val="none"/>
          <w:lang w:eastAsia="zh-CN"/>
        </w:rPr>
        <w:t>环境管理体系</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要求及使用指南</w:t>
      </w:r>
    </w:p>
    <w:p w14:paraId="610A0B7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31268 </w:t>
      </w:r>
      <w:r>
        <w:rPr>
          <w:rFonts w:hint="default" w:ascii="Times New Roman" w:hAnsi="Times New Roman" w:cs="Times New Roman"/>
          <w:sz w:val="28"/>
          <w:szCs w:val="28"/>
          <w:highlight w:val="none"/>
          <w:lang w:eastAsia="zh-CN"/>
        </w:rPr>
        <w:t>限制商品过度包装</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通则</w:t>
      </w:r>
    </w:p>
    <w:p w14:paraId="0B68B7C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45001 </w:t>
      </w:r>
      <w:r>
        <w:rPr>
          <w:rFonts w:hint="default" w:ascii="Times New Roman" w:hAnsi="Times New Roman" w:cs="Times New Roman"/>
          <w:sz w:val="28"/>
          <w:szCs w:val="28"/>
          <w:highlight w:val="none"/>
          <w:lang w:eastAsia="zh-CN"/>
        </w:rPr>
        <w:t>职业健康安全管理体系</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要求及使用指南</w:t>
      </w:r>
      <w:r>
        <w:rPr>
          <w:rFonts w:hint="default" w:ascii="Times New Roman" w:hAnsi="Times New Roman" w:cs="Times New Roman"/>
          <w:sz w:val="28"/>
          <w:szCs w:val="28"/>
          <w:highlight w:val="none"/>
          <w:lang w:eastAsia="zh-CN"/>
        </w:rPr>
        <w:t xml:space="preserve"> </w:t>
      </w:r>
    </w:p>
    <w:p w14:paraId="5AB240D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ISO 14067 </w:t>
      </w:r>
      <w:r>
        <w:rPr>
          <w:rFonts w:hint="default" w:ascii="Times New Roman" w:hAnsi="Times New Roman" w:cs="Times New Roman"/>
          <w:sz w:val="28"/>
          <w:szCs w:val="28"/>
          <w:highlight w:val="none"/>
          <w:lang w:eastAsia="zh-CN"/>
        </w:rPr>
        <w:t>温室气体</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产品碳足迹</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量化要求和指南（</w:t>
      </w:r>
      <w:r>
        <w:rPr>
          <w:rFonts w:hint="default" w:ascii="Times New Roman" w:hAnsi="Times New Roman" w:cs="Times New Roman"/>
          <w:sz w:val="28"/>
          <w:szCs w:val="28"/>
          <w:highlight w:val="none"/>
          <w:lang w:val="en-US"/>
        </w:rPr>
        <w:t>Greenhouse gases—Carbon footprint of products—Requirements and guidelines for quantification</w:t>
      </w:r>
      <w:r>
        <w:rPr>
          <w:rFonts w:hint="default" w:ascii="Times New Roman" w:hAnsi="Times New Roman" w:cs="Times New Roman"/>
          <w:sz w:val="28"/>
          <w:szCs w:val="28"/>
          <w:highlight w:val="none"/>
          <w:lang w:eastAsia="zh-CN"/>
        </w:rPr>
        <w:t>）</w:t>
      </w:r>
    </w:p>
    <w:p w14:paraId="09DA3AD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ISO 14068-1 </w:t>
      </w:r>
      <w:r>
        <w:rPr>
          <w:rFonts w:hint="default" w:ascii="Times New Roman" w:hAnsi="Times New Roman" w:cs="Times New Roman"/>
          <w:sz w:val="28"/>
          <w:szCs w:val="28"/>
          <w:highlight w:val="none"/>
          <w:lang w:eastAsia="zh-CN"/>
        </w:rPr>
        <w:t>气候变化管理向净零的过渡</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部分：碳中和（</w:t>
      </w:r>
      <w:r>
        <w:rPr>
          <w:rFonts w:hint="default" w:ascii="Times New Roman" w:hAnsi="Times New Roman" w:cs="Times New Roman"/>
          <w:sz w:val="28"/>
          <w:szCs w:val="28"/>
          <w:highlight w:val="none"/>
          <w:lang w:val="en-US"/>
        </w:rPr>
        <w:t>Climate change management—Transition to net zero—Part 1: Carbon neutrality</w:t>
      </w:r>
      <w:r>
        <w:rPr>
          <w:rFonts w:hint="default" w:ascii="Times New Roman" w:hAnsi="Times New Roman" w:cs="Times New Roman"/>
          <w:sz w:val="28"/>
          <w:szCs w:val="28"/>
          <w:highlight w:val="none"/>
          <w:lang w:eastAsia="zh-CN"/>
        </w:rPr>
        <w:t>）</w:t>
      </w:r>
    </w:p>
    <w:p w14:paraId="70BB4B6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ASTMD 6866 </w:t>
      </w:r>
      <w:r>
        <w:rPr>
          <w:rFonts w:hint="default" w:ascii="Times New Roman" w:hAnsi="Times New Roman" w:cs="Times New Roman"/>
          <w:sz w:val="28"/>
          <w:szCs w:val="28"/>
          <w:highlight w:val="none"/>
          <w:lang w:eastAsia="zh-CN"/>
        </w:rPr>
        <w:t>使用放射性碳分析法测定固体、液体和气体样品中生物基含量的标准试验方法（</w:t>
      </w:r>
      <w:r>
        <w:rPr>
          <w:rFonts w:hint="default" w:ascii="Times New Roman" w:hAnsi="Times New Roman" w:cs="Times New Roman"/>
          <w:sz w:val="28"/>
          <w:szCs w:val="28"/>
          <w:highlight w:val="none"/>
          <w:lang w:val="en-US"/>
        </w:rPr>
        <w:t>Standard test methods for determining the biobased content of solid, liquid, and gaseous samples using radiocarbon analysis</w:t>
      </w:r>
      <w:r>
        <w:rPr>
          <w:rFonts w:hint="default" w:ascii="Times New Roman" w:hAnsi="Times New Roman" w:cs="Times New Roman"/>
          <w:sz w:val="28"/>
          <w:szCs w:val="28"/>
          <w:highlight w:val="none"/>
          <w:lang w:eastAsia="zh-CN"/>
        </w:rPr>
        <w:t>）</w:t>
      </w:r>
    </w:p>
    <w:p w14:paraId="7BFE688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PAS 2050 </w:t>
      </w:r>
      <w:r>
        <w:rPr>
          <w:rFonts w:hint="default" w:ascii="Times New Roman" w:hAnsi="Times New Roman" w:cs="Times New Roman"/>
          <w:sz w:val="28"/>
          <w:szCs w:val="28"/>
          <w:highlight w:val="none"/>
          <w:lang w:eastAsia="zh-CN"/>
        </w:rPr>
        <w:t>商品和服务在生命周期内的温室气体排放评价规范（</w:t>
      </w:r>
      <w:r>
        <w:rPr>
          <w:rFonts w:hint="default" w:ascii="Times New Roman" w:hAnsi="Times New Roman" w:cs="Times New Roman"/>
          <w:sz w:val="28"/>
          <w:szCs w:val="28"/>
          <w:highlight w:val="none"/>
          <w:lang w:val="en-US"/>
        </w:rPr>
        <w:t>Specification for the assessment of the life cycle greenhouse gas emissions of goods and services</w:t>
      </w:r>
      <w:r>
        <w:rPr>
          <w:rFonts w:hint="default" w:ascii="Times New Roman" w:hAnsi="Times New Roman" w:cs="Times New Roman"/>
          <w:sz w:val="28"/>
          <w:szCs w:val="28"/>
          <w:highlight w:val="none"/>
          <w:lang w:eastAsia="zh-CN"/>
        </w:rPr>
        <w:t>）</w:t>
      </w:r>
    </w:p>
    <w:p w14:paraId="60C9CD4E">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97192966"/>
      <w:bookmarkStart w:id="29" w:name="_Toc179816567"/>
      <w:bookmarkStart w:id="30" w:name="_Toc179906347"/>
      <w:bookmarkStart w:id="31" w:name="_Toc179966954"/>
      <w:bookmarkStart w:id="32" w:name="_Toc192153881"/>
      <w:r>
        <w:rPr>
          <w:rFonts w:hint="default" w:ascii="Times New Roman" w:hAnsi="Times New Roman" w:cs="Times New Roman"/>
          <w:sz w:val="28"/>
          <w:szCs w:val="28"/>
          <w:highlight w:val="none"/>
          <w:lang w:eastAsia="zh-CN"/>
        </w:rPr>
        <w:t>术语和定义</w:t>
      </w:r>
      <w:bookmarkEnd w:id="28"/>
      <w:bookmarkEnd w:id="29"/>
      <w:bookmarkEnd w:id="30"/>
      <w:bookmarkEnd w:id="31"/>
      <w:bookmarkEnd w:id="32"/>
    </w:p>
    <w:p w14:paraId="46A71889">
      <w:pPr>
        <w:pStyle w:val="35"/>
        <w:widowControl/>
        <w:spacing w:line="360" w:lineRule="auto"/>
        <w:ind w:left="0" w:firstLine="420"/>
        <w:rPr>
          <w:rFonts w:hint="default" w:ascii="Times New Roman" w:hAnsi="Times New Roman" w:cs="Times New Roman"/>
          <w:sz w:val="28"/>
          <w:szCs w:val="28"/>
          <w:highlight w:val="none"/>
          <w:lang w:val="en-US"/>
        </w:rPr>
      </w:pPr>
      <w:bookmarkStart w:id="33" w:name="_Toc26986532"/>
      <w:bookmarkEnd w:id="33"/>
      <w:r>
        <w:rPr>
          <w:rFonts w:hint="default" w:ascii="Times New Roman" w:hAnsi="Times New Roman" w:cs="Times New Roman"/>
          <w:sz w:val="28"/>
          <w:szCs w:val="28"/>
          <w:highlight w:val="none"/>
          <w:lang w:eastAsia="zh-CN"/>
        </w:rPr>
        <w:t>下列术语和定义适用于本文件。</w:t>
      </w:r>
    </w:p>
    <w:p w14:paraId="21C4DFF8">
      <w:pPr>
        <w:pStyle w:val="54"/>
        <w:widowControl/>
        <w:numPr>
          <w:ilvl w:val="2"/>
          <w:numId w:val="3"/>
        </w:numPr>
        <w:spacing w:line="360" w:lineRule="auto"/>
        <w:ind w:left="0" w:firstLine="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val="en-US"/>
        </w:rPr>
        <w:t xml:space="preserve">    </w:t>
      </w:r>
      <w:r>
        <w:rPr>
          <w:rFonts w:hint="default" w:ascii="Times New Roman" w:hAnsi="Times New Roman" w:eastAsia="黑体" w:cs="Times New Roman"/>
          <w:sz w:val="28"/>
          <w:szCs w:val="28"/>
          <w:highlight w:val="none"/>
          <w:lang w:eastAsia="zh-CN"/>
        </w:rPr>
        <w:t>研磨丝杆</w:t>
      </w:r>
      <w:r>
        <w:rPr>
          <w:rFonts w:hint="default" w:ascii="Times New Roman" w:hAnsi="Times New Roman" w:eastAsia="黑体" w:cs="Times New Roman"/>
          <w:sz w:val="28"/>
          <w:szCs w:val="28"/>
          <w:highlight w:val="none"/>
          <w:lang w:val="en-US"/>
        </w:rPr>
        <w:t xml:space="preserve"> grinding screw</w:t>
      </w:r>
    </w:p>
    <w:p w14:paraId="68F0FAA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由螺杆、螺母、钢球、预压片、反向器、防尘器组成。是将回转运动转化为直线运动，或将直线运动转化为回转运动的理想产品。是工具机械和精密机械上最常使用的传动元件，将旋转运动转换成线性运动，或将扭矩转换成轴向反复作用力，同时兼具高精度、可逆性和高效率的特点。</w:t>
      </w:r>
    </w:p>
    <w:p w14:paraId="3DF93B9E">
      <w:pPr>
        <w:pStyle w:val="5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可持续性</w:t>
      </w:r>
      <w:r>
        <w:rPr>
          <w:rFonts w:hint="default" w:ascii="Times New Roman" w:hAnsi="Times New Roman" w:eastAsia="黑体" w:cs="Times New Roman"/>
          <w:sz w:val="28"/>
          <w:szCs w:val="28"/>
          <w:highlight w:val="none"/>
          <w:lang w:val="en-US"/>
        </w:rPr>
        <w:t xml:space="preserve"> sustainability</w:t>
      </w:r>
    </w:p>
    <w:p w14:paraId="71280AD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在既满足当代人环境、社会和经济方面的需要，又不危及后代人满足其需要的能力的情况下的系统状态。</w:t>
      </w:r>
    </w:p>
    <w:p w14:paraId="6B50FC67">
      <w:pPr>
        <w:pStyle w:val="5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可再生利用率</w:t>
      </w:r>
      <w:r>
        <w:rPr>
          <w:rFonts w:hint="default" w:ascii="Times New Roman" w:hAnsi="Times New Roman" w:eastAsia="黑体" w:cs="Times New Roman"/>
          <w:sz w:val="28"/>
          <w:szCs w:val="28"/>
          <w:highlight w:val="none"/>
          <w:lang w:val="en-US"/>
        </w:rPr>
        <w:t xml:space="preserve"> recyclability rate</w:t>
      </w:r>
    </w:p>
    <w:p w14:paraId="1500687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新产品中能够被再使用部分与再生利用部分的质量之和（不包括能量回收部分）占新产品质量的百分比。</w:t>
      </w:r>
    </w:p>
    <w:p w14:paraId="2EEC11B2">
      <w:pPr>
        <w:pStyle w:val="5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可回收利用率</w:t>
      </w:r>
      <w:r>
        <w:rPr>
          <w:rFonts w:hint="default" w:ascii="Times New Roman" w:hAnsi="Times New Roman" w:eastAsia="黑体" w:cs="Times New Roman"/>
          <w:sz w:val="28"/>
          <w:szCs w:val="28"/>
          <w:highlight w:val="none"/>
          <w:lang w:val="en-US"/>
        </w:rPr>
        <w:t xml:space="preserve"> recoverability rate</w:t>
      </w:r>
    </w:p>
    <w:p w14:paraId="3D8C878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新产品中能够被回收利用部分（包括再使用部分、再生利用部分和能量回收部分）的质量之和占新产品质量的百分比。</w:t>
      </w:r>
    </w:p>
    <w:p w14:paraId="3EF40E91">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79966955"/>
      <w:bookmarkStart w:id="35" w:name="_Toc179906348"/>
      <w:bookmarkStart w:id="36" w:name="_Toc179816568"/>
      <w:bookmarkStart w:id="37" w:name="_Toc192153882"/>
      <w:r>
        <w:rPr>
          <w:rFonts w:hint="default" w:ascii="Times New Roman" w:hAnsi="Times New Roman" w:cs="Times New Roman"/>
          <w:sz w:val="28"/>
          <w:szCs w:val="28"/>
          <w:highlight w:val="none"/>
          <w:lang w:eastAsia="zh-CN"/>
        </w:rPr>
        <w:t>评价原则</w:t>
      </w:r>
      <w:bookmarkEnd w:id="34"/>
      <w:bookmarkEnd w:id="35"/>
      <w:bookmarkEnd w:id="36"/>
      <w:bookmarkEnd w:id="37"/>
    </w:p>
    <w:p w14:paraId="5FE7EE60">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客观性</w:t>
      </w:r>
    </w:p>
    <w:p w14:paraId="70399AC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评价过程应客观真实，被评价方和评价方应提供真实的数据和信息，如实反映被评价产品可持续性情况。</w:t>
      </w:r>
    </w:p>
    <w:p w14:paraId="5F1E6379">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公正性</w:t>
      </w:r>
    </w:p>
    <w:p w14:paraId="7C2EC71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评价主体应承担相应的责任和义务，以无偏见的方式实施评价活动，评价过程和结果不受与评价结果有利益关系的任何组织或个人的影响。</w:t>
      </w:r>
    </w:p>
    <w:p w14:paraId="2283E2A6">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科学性</w:t>
      </w:r>
    </w:p>
    <w:p w14:paraId="78B98EF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评价指标应包括能表征研磨丝杆产品可持续性的主要因素，评价结果建立在科学的数据分析基础上。</w:t>
      </w:r>
    </w:p>
    <w:p w14:paraId="21E996F6">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可操作性</w:t>
      </w:r>
    </w:p>
    <w:p w14:paraId="40D1C39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相关评价指标和信息应便于采集或获得，评价方法切实可行。</w:t>
      </w:r>
    </w:p>
    <w:p w14:paraId="5406D283">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8" w:name="_Toc179816569"/>
      <w:bookmarkStart w:id="39" w:name="_Toc179906349"/>
      <w:bookmarkStart w:id="40" w:name="_Toc179966956"/>
      <w:bookmarkStart w:id="41" w:name="_Toc192153883"/>
      <w:r>
        <w:rPr>
          <w:rFonts w:hint="default" w:ascii="Times New Roman" w:hAnsi="Times New Roman" w:cs="Times New Roman"/>
          <w:sz w:val="28"/>
          <w:szCs w:val="28"/>
          <w:highlight w:val="none"/>
          <w:lang w:eastAsia="zh-CN"/>
        </w:rPr>
        <w:t>评价体系</w:t>
      </w:r>
      <w:bookmarkEnd w:id="38"/>
      <w:bookmarkEnd w:id="39"/>
      <w:bookmarkEnd w:id="40"/>
      <w:bookmarkEnd w:id="41"/>
    </w:p>
    <w:p w14:paraId="282B5EE8">
      <w:pPr>
        <w:pStyle w:val="45"/>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评价体系包括基本要求与评价指标要求两部分。基本要求为产品参与评价的基本条件，不参与评级。评价指标要求包括原材料、生产工艺、包装、产品可回收利用及其他五个方面的可持续性评价。</w:t>
      </w:r>
    </w:p>
    <w:p w14:paraId="4429F9F9">
      <w:pPr>
        <w:pStyle w:val="45"/>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评价指标要求分为必选要求和可选要求，必选要求为产品或企业应达到的基础性要求，必选要求不达标不应评价为可持续性产品，可选要求为希望产品或企业努力达到的提高性要求，具有先进性。</w:t>
      </w:r>
    </w:p>
    <w:p w14:paraId="09A5F586">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2" w:name="_Toc179906350"/>
      <w:bookmarkStart w:id="43" w:name="_Toc192153884"/>
      <w:bookmarkStart w:id="44" w:name="_Toc179966957"/>
      <w:bookmarkStart w:id="45" w:name="_Toc179816570"/>
      <w:r>
        <w:rPr>
          <w:rFonts w:hint="default" w:ascii="Times New Roman" w:hAnsi="Times New Roman" w:cs="Times New Roman"/>
          <w:sz w:val="28"/>
          <w:szCs w:val="28"/>
          <w:highlight w:val="none"/>
          <w:lang w:eastAsia="zh-CN"/>
        </w:rPr>
        <w:t>评价要求</w:t>
      </w:r>
      <w:bookmarkEnd w:id="42"/>
      <w:bookmarkEnd w:id="43"/>
      <w:bookmarkEnd w:id="44"/>
      <w:bookmarkEnd w:id="45"/>
    </w:p>
    <w:p w14:paraId="19C91DF9">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w:t>
      </w:r>
    </w:p>
    <w:p w14:paraId="7D58D325">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近三年，企业及原材料供应商应无环境、安全重大及以上事故。</w:t>
      </w:r>
    </w:p>
    <w:p w14:paraId="7AC33AFD">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企业应无不良信誉记录。</w:t>
      </w:r>
    </w:p>
    <w:p w14:paraId="33BF3803">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企业应将可持续发展理念纳入发展战略规划，明确管理目标、计划和措施。</w:t>
      </w:r>
    </w:p>
    <w:p w14:paraId="77266272">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产品质量应符合标注的执行标准及对应的强制性国家标准要求。</w:t>
      </w:r>
    </w:p>
    <w:p w14:paraId="65DD15DB">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评价指标要求</w:t>
      </w:r>
    </w:p>
    <w:p w14:paraId="2FE855EA">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w:t>
      </w:r>
    </w:p>
    <w:p w14:paraId="63A4E6B0">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必选要求</w:t>
      </w:r>
    </w:p>
    <w:p w14:paraId="017F092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研磨丝杆可持续性产品的原材料应满足以下要求。</w:t>
      </w:r>
    </w:p>
    <w:p w14:paraId="5AC15F6F">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研磨丝杆产品使用的原材料应符合标注的执行标准及相应的强制性国家标准要求。</w:t>
      </w:r>
    </w:p>
    <w:p w14:paraId="6CD860B9">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研磨丝杆产品应至少使用表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中所列</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种原材料中的</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种，使用量占比统计方式按以下任一方式进行：</w:t>
      </w:r>
    </w:p>
    <w:p w14:paraId="0B3D7AA2">
      <w:pPr>
        <w:pStyle w:val="52"/>
        <w:widowControl/>
        <w:numPr>
          <w:ilvl w:val="1"/>
          <w:numId w:val="8"/>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满足表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要求的天然含量</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w:t>
      </w:r>
    </w:p>
    <w:p w14:paraId="00F7695B">
      <w:pPr>
        <w:pStyle w:val="52"/>
        <w:widowControl/>
        <w:numPr>
          <w:ilvl w:val="1"/>
          <w:numId w:val="8"/>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满足表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要求的有机成分</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37809BF7">
      <w:pPr>
        <w:keepNext w:val="0"/>
        <w:keepLines w:val="0"/>
        <w:widowControl w:val="0"/>
        <w:suppressLineNumbers w:val="0"/>
        <w:adjustRightInd w:val="0"/>
        <w:spacing w:before="0" w:beforeAutospacing="0" w:after="0" w:afterAutospacing="0" w:line="360" w:lineRule="auto"/>
        <w:ind w:left="0" w:right="0"/>
        <w:jc w:val="both"/>
        <w:rPr>
          <w:rFonts w:hint="default" w:ascii="Times New Roman" w:hAnsi="Times New Roman" w:cs="Times New Roman"/>
          <w:sz w:val="28"/>
          <w:szCs w:val="28"/>
          <w:highlight w:val="none"/>
          <w:lang w:val="en-US"/>
        </w:rPr>
      </w:pPr>
      <w:r>
        <w:rPr>
          <w:rFonts w:hint="default" w:ascii="Times New Roman" w:hAnsi="Times New Roman" w:eastAsia="宋体" w:cs="Times New Roman"/>
          <w:kern w:val="2"/>
          <w:sz w:val="28"/>
          <w:szCs w:val="28"/>
          <w:highlight w:val="none"/>
          <w:lang w:val="en-US" w:eastAsia="zh-CN" w:bidi="ar"/>
        </w:rPr>
        <w:br w:type="page"/>
      </w:r>
    </w:p>
    <w:p w14:paraId="7DD66970">
      <w:pPr>
        <w:pStyle w:val="37"/>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原材料要求</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557"/>
        <w:gridCol w:w="851"/>
        <w:gridCol w:w="1135"/>
        <w:gridCol w:w="992"/>
        <w:gridCol w:w="2980"/>
        <w:gridCol w:w="2823"/>
      </w:tblGrid>
      <w:tr w14:paraId="249A0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left w:val="single" w:color="auto" w:sz="8" w:space="0"/>
              <w:bottom w:val="single" w:color="auto" w:sz="8" w:space="0"/>
              <w:right w:val="single" w:color="auto" w:sz="4" w:space="0"/>
            </w:tcBorders>
            <w:shd w:val="clear"/>
            <w:vAlign w:val="center"/>
          </w:tcPr>
          <w:p w14:paraId="058BEE2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序号</w:t>
            </w:r>
          </w:p>
        </w:tc>
        <w:tc>
          <w:tcPr>
            <w:tcW w:w="1985" w:type="dxa"/>
            <w:gridSpan w:val="2"/>
            <w:tcBorders>
              <w:top w:val="single" w:color="auto" w:sz="8" w:space="0"/>
              <w:left w:val="single" w:color="auto" w:sz="4" w:space="0"/>
              <w:bottom w:val="single" w:color="auto" w:sz="8" w:space="0"/>
              <w:right w:val="single" w:color="auto" w:sz="4" w:space="0"/>
            </w:tcBorders>
            <w:shd w:val="clear"/>
            <w:vAlign w:val="center"/>
          </w:tcPr>
          <w:p w14:paraId="0A7E5A96">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材料类别</w:t>
            </w:r>
          </w:p>
        </w:tc>
        <w:tc>
          <w:tcPr>
            <w:tcW w:w="3972" w:type="dxa"/>
            <w:gridSpan w:val="2"/>
            <w:tcBorders>
              <w:top w:val="single" w:color="auto" w:sz="8" w:space="0"/>
              <w:left w:val="single" w:color="auto" w:sz="4" w:space="0"/>
              <w:bottom w:val="single" w:color="auto" w:sz="8" w:space="0"/>
              <w:right w:val="single" w:color="auto" w:sz="4" w:space="0"/>
            </w:tcBorders>
            <w:shd w:val="clear"/>
            <w:vAlign w:val="center"/>
          </w:tcPr>
          <w:p w14:paraId="09A55FCD">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指标要求</w:t>
            </w:r>
          </w:p>
        </w:tc>
        <w:tc>
          <w:tcPr>
            <w:tcW w:w="2823" w:type="dxa"/>
            <w:tcBorders>
              <w:top w:val="single" w:color="auto" w:sz="8" w:space="0"/>
              <w:left w:val="single" w:color="auto" w:sz="4" w:space="0"/>
              <w:bottom w:val="single" w:color="auto" w:sz="8" w:space="0"/>
              <w:right w:val="single" w:color="auto" w:sz="8" w:space="0"/>
            </w:tcBorders>
            <w:shd w:val="clear"/>
            <w:vAlign w:val="center"/>
          </w:tcPr>
          <w:p w14:paraId="723D4F23">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验证方法</w:t>
            </w:r>
          </w:p>
        </w:tc>
      </w:tr>
      <w:tr w14:paraId="77627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restart"/>
            <w:tcBorders>
              <w:top w:val="single" w:color="auto" w:sz="8" w:space="0"/>
              <w:left w:val="single" w:color="auto" w:sz="8" w:space="0"/>
              <w:bottom w:val="single" w:color="auto" w:sz="4" w:space="0"/>
              <w:right w:val="single" w:color="auto" w:sz="4" w:space="0"/>
            </w:tcBorders>
            <w:shd w:val="clear"/>
            <w:vAlign w:val="center"/>
          </w:tcPr>
          <w:p w14:paraId="755250EE">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1</w:t>
            </w:r>
          </w:p>
        </w:tc>
        <w:tc>
          <w:tcPr>
            <w:tcW w:w="851" w:type="dxa"/>
            <w:vMerge w:val="restart"/>
            <w:tcBorders>
              <w:top w:val="single" w:color="auto" w:sz="8" w:space="0"/>
              <w:left w:val="single" w:color="auto" w:sz="4" w:space="0"/>
              <w:bottom w:val="single" w:color="auto" w:sz="4" w:space="0"/>
              <w:right w:val="single" w:color="auto" w:sz="4" w:space="0"/>
            </w:tcBorders>
            <w:shd w:val="clear"/>
            <w:vAlign w:val="center"/>
          </w:tcPr>
          <w:p w14:paraId="4BDD9A4A">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天然材料</w:t>
            </w:r>
          </w:p>
        </w:tc>
        <w:tc>
          <w:tcPr>
            <w:tcW w:w="1135" w:type="dxa"/>
            <w:vMerge w:val="restart"/>
            <w:tcBorders>
              <w:top w:val="single" w:color="auto" w:sz="8" w:space="0"/>
              <w:left w:val="single" w:color="auto" w:sz="4" w:space="0"/>
              <w:bottom w:val="single" w:color="auto" w:sz="4" w:space="0"/>
              <w:right w:val="single" w:color="auto" w:sz="4" w:space="0"/>
            </w:tcBorders>
            <w:shd w:val="clear"/>
            <w:vAlign w:val="center"/>
          </w:tcPr>
          <w:p w14:paraId="70DA1C81">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天然辅材</w:t>
            </w:r>
          </w:p>
        </w:tc>
        <w:tc>
          <w:tcPr>
            <w:tcW w:w="3972" w:type="dxa"/>
            <w:gridSpan w:val="2"/>
            <w:tcBorders>
              <w:top w:val="single" w:color="auto" w:sz="8" w:space="0"/>
              <w:left w:val="single" w:color="auto" w:sz="4" w:space="0"/>
              <w:bottom w:val="single" w:color="auto" w:sz="4" w:space="0"/>
              <w:right w:val="single" w:color="auto" w:sz="4" w:space="0"/>
            </w:tcBorders>
            <w:shd w:val="clear"/>
            <w:vAlign w:val="center"/>
          </w:tcPr>
          <w:p w14:paraId="1913018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天然含量</w:t>
            </w:r>
            <w:r>
              <w:rPr>
                <w:rFonts w:hint="default" w:ascii="Times New Roman" w:hAnsi="Times New Roman" w:cs="Times New Roman"/>
                <w:sz w:val="28"/>
                <w:szCs w:val="28"/>
                <w:highlight w:val="none"/>
                <w:bdr w:val="none" w:color="auto" w:sz="0" w:space="0"/>
                <w:lang w:val="en-US"/>
              </w:rPr>
              <w:t>≥10%</w:t>
            </w:r>
          </w:p>
        </w:tc>
        <w:tc>
          <w:tcPr>
            <w:tcW w:w="2823" w:type="dxa"/>
            <w:tcBorders>
              <w:top w:val="single" w:color="auto" w:sz="8" w:space="0"/>
              <w:left w:val="single" w:color="auto" w:sz="4" w:space="0"/>
              <w:bottom w:val="single" w:color="auto" w:sz="4" w:space="0"/>
              <w:right w:val="single" w:color="auto" w:sz="8" w:space="0"/>
            </w:tcBorders>
            <w:shd w:val="clear"/>
            <w:vAlign w:val="center"/>
          </w:tcPr>
          <w:p w14:paraId="53E05CD1">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55592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continue"/>
            <w:tcBorders>
              <w:top w:val="single" w:color="auto" w:sz="8" w:space="0"/>
              <w:left w:val="single" w:color="auto" w:sz="8" w:space="0"/>
              <w:bottom w:val="single" w:color="auto" w:sz="4" w:space="0"/>
              <w:right w:val="single" w:color="auto" w:sz="4" w:space="0"/>
            </w:tcBorders>
            <w:shd w:val="clear"/>
            <w:vAlign w:val="center"/>
          </w:tcPr>
          <w:p w14:paraId="1DC3DE3F">
            <w:pPr>
              <w:spacing w:line="360" w:lineRule="auto"/>
              <w:rPr>
                <w:rFonts w:hint="default" w:ascii="Times New Roman" w:hAnsi="Times New Roman" w:cs="Times New Roman"/>
                <w:sz w:val="28"/>
                <w:szCs w:val="28"/>
                <w:highlight w:val="none"/>
              </w:rPr>
            </w:pPr>
          </w:p>
        </w:tc>
        <w:tc>
          <w:tcPr>
            <w:tcW w:w="851" w:type="dxa"/>
            <w:vMerge w:val="continue"/>
            <w:tcBorders>
              <w:top w:val="single" w:color="auto" w:sz="8" w:space="0"/>
              <w:left w:val="single" w:color="auto" w:sz="4" w:space="0"/>
              <w:bottom w:val="single" w:color="auto" w:sz="4" w:space="0"/>
              <w:right w:val="single" w:color="auto" w:sz="4" w:space="0"/>
            </w:tcBorders>
            <w:shd w:val="clear"/>
            <w:vAlign w:val="center"/>
          </w:tcPr>
          <w:p w14:paraId="752B89B5">
            <w:pPr>
              <w:spacing w:line="360" w:lineRule="auto"/>
              <w:rPr>
                <w:rFonts w:hint="default" w:ascii="Times New Roman" w:hAnsi="Times New Roman" w:cs="Times New Roman"/>
                <w:sz w:val="28"/>
                <w:szCs w:val="28"/>
                <w:highlight w:val="none"/>
              </w:rPr>
            </w:pPr>
          </w:p>
        </w:tc>
        <w:tc>
          <w:tcPr>
            <w:tcW w:w="1135" w:type="dxa"/>
            <w:vMerge w:val="continue"/>
            <w:tcBorders>
              <w:top w:val="single" w:color="auto" w:sz="8" w:space="0"/>
              <w:left w:val="single" w:color="auto" w:sz="4" w:space="0"/>
              <w:bottom w:val="single" w:color="auto" w:sz="4" w:space="0"/>
              <w:right w:val="single" w:color="auto" w:sz="4" w:space="0"/>
            </w:tcBorders>
            <w:shd w:val="clear"/>
            <w:vAlign w:val="center"/>
          </w:tcPr>
          <w:p w14:paraId="18DE6015">
            <w:pPr>
              <w:spacing w:line="360" w:lineRule="auto"/>
              <w:rPr>
                <w:rFonts w:hint="default" w:ascii="Times New Roman" w:hAnsi="Times New Roman" w:cs="Times New Roman"/>
                <w:sz w:val="28"/>
                <w:szCs w:val="28"/>
                <w:highlight w:val="none"/>
              </w:rPr>
            </w:pP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14:paraId="62BCF6DE">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至少满足</w:t>
            </w:r>
          </w:p>
          <w:p w14:paraId="41A792C3">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一种</w:t>
            </w:r>
          </w:p>
        </w:tc>
        <w:tc>
          <w:tcPr>
            <w:tcW w:w="2977" w:type="dxa"/>
            <w:tcBorders>
              <w:top w:val="single" w:color="auto" w:sz="4" w:space="0"/>
              <w:left w:val="single" w:color="auto" w:sz="4" w:space="0"/>
              <w:bottom w:val="single" w:color="auto" w:sz="4" w:space="0"/>
              <w:right w:val="single" w:color="auto" w:sz="4" w:space="0"/>
            </w:tcBorders>
            <w:shd w:val="clear"/>
            <w:vAlign w:val="center"/>
          </w:tcPr>
          <w:p w14:paraId="041C05E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有机成分</w:t>
            </w:r>
            <w:r>
              <w:rPr>
                <w:rFonts w:hint="default" w:ascii="Times New Roman" w:hAnsi="Times New Roman" w:cs="Times New Roman"/>
                <w:sz w:val="28"/>
                <w:szCs w:val="28"/>
                <w:highlight w:val="none"/>
                <w:bdr w:val="none" w:color="auto" w:sz="0" w:space="0"/>
                <w:lang w:val="en-US"/>
              </w:rPr>
              <w:t>≥2%</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79E27B56">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22DCB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continue"/>
            <w:tcBorders>
              <w:top w:val="single" w:color="auto" w:sz="8" w:space="0"/>
              <w:left w:val="single" w:color="auto" w:sz="8" w:space="0"/>
              <w:bottom w:val="single" w:color="auto" w:sz="4" w:space="0"/>
              <w:right w:val="single" w:color="auto" w:sz="4" w:space="0"/>
            </w:tcBorders>
            <w:shd w:val="clear"/>
            <w:vAlign w:val="center"/>
          </w:tcPr>
          <w:p w14:paraId="0E6C63E5">
            <w:pPr>
              <w:spacing w:line="360" w:lineRule="auto"/>
              <w:rPr>
                <w:rFonts w:hint="default" w:ascii="Times New Roman" w:hAnsi="Times New Roman" w:cs="Times New Roman"/>
                <w:sz w:val="28"/>
                <w:szCs w:val="28"/>
                <w:highlight w:val="none"/>
              </w:rPr>
            </w:pPr>
          </w:p>
        </w:tc>
        <w:tc>
          <w:tcPr>
            <w:tcW w:w="851" w:type="dxa"/>
            <w:vMerge w:val="continue"/>
            <w:tcBorders>
              <w:top w:val="single" w:color="auto" w:sz="8" w:space="0"/>
              <w:left w:val="single" w:color="auto" w:sz="4" w:space="0"/>
              <w:bottom w:val="single" w:color="auto" w:sz="4" w:space="0"/>
              <w:right w:val="single" w:color="auto" w:sz="4" w:space="0"/>
            </w:tcBorders>
            <w:shd w:val="clear"/>
            <w:vAlign w:val="center"/>
          </w:tcPr>
          <w:p w14:paraId="2A24A45E">
            <w:pPr>
              <w:spacing w:line="360" w:lineRule="auto"/>
              <w:rPr>
                <w:rFonts w:hint="default" w:ascii="Times New Roman" w:hAnsi="Times New Roman" w:cs="Times New Roman"/>
                <w:sz w:val="28"/>
                <w:szCs w:val="28"/>
                <w:highlight w:val="none"/>
              </w:rPr>
            </w:pPr>
          </w:p>
        </w:tc>
        <w:tc>
          <w:tcPr>
            <w:tcW w:w="1135" w:type="dxa"/>
            <w:vMerge w:val="continue"/>
            <w:tcBorders>
              <w:top w:val="single" w:color="auto" w:sz="8" w:space="0"/>
              <w:left w:val="single" w:color="auto" w:sz="4" w:space="0"/>
              <w:bottom w:val="single" w:color="auto" w:sz="4" w:space="0"/>
              <w:right w:val="single" w:color="auto" w:sz="4" w:space="0"/>
            </w:tcBorders>
            <w:shd w:val="clear"/>
            <w:vAlign w:val="center"/>
          </w:tcPr>
          <w:p w14:paraId="0AB4C103">
            <w:pPr>
              <w:spacing w:line="360" w:lineRule="auto"/>
              <w:rPr>
                <w:rFonts w:hint="default" w:ascii="Times New Roman" w:hAnsi="Times New Roman" w:cs="Times New Roman"/>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14:paraId="4E168B04">
            <w:pPr>
              <w:spacing w:line="360" w:lineRule="auto"/>
              <w:rPr>
                <w:rFonts w:hint="default" w:ascii="Times New Roman" w:hAnsi="Times New Roman" w:cs="Times New Roman"/>
                <w:sz w:val="28"/>
                <w:szCs w:val="28"/>
                <w:highlight w:val="none"/>
              </w:rPr>
            </w:pPr>
          </w:p>
        </w:tc>
        <w:tc>
          <w:tcPr>
            <w:tcW w:w="2977" w:type="dxa"/>
            <w:tcBorders>
              <w:top w:val="single" w:color="auto" w:sz="4" w:space="0"/>
              <w:left w:val="single" w:color="auto" w:sz="4" w:space="0"/>
              <w:bottom w:val="single" w:color="auto" w:sz="4" w:space="0"/>
              <w:right w:val="single" w:color="auto" w:sz="4" w:space="0"/>
            </w:tcBorders>
            <w:shd w:val="clear"/>
            <w:vAlign w:val="center"/>
          </w:tcPr>
          <w:p w14:paraId="780DC75E">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获得国际国内权威的生态品认证</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32E4217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7CA5C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continue"/>
            <w:tcBorders>
              <w:top w:val="single" w:color="auto" w:sz="8" w:space="0"/>
              <w:left w:val="single" w:color="auto" w:sz="8" w:space="0"/>
              <w:bottom w:val="single" w:color="auto" w:sz="4" w:space="0"/>
              <w:right w:val="single" w:color="auto" w:sz="4" w:space="0"/>
            </w:tcBorders>
            <w:shd w:val="clear"/>
            <w:vAlign w:val="center"/>
          </w:tcPr>
          <w:p w14:paraId="633C5476">
            <w:pPr>
              <w:spacing w:line="360" w:lineRule="auto"/>
              <w:rPr>
                <w:rFonts w:hint="default" w:ascii="Times New Roman" w:hAnsi="Times New Roman" w:cs="Times New Roman"/>
                <w:sz w:val="28"/>
                <w:szCs w:val="28"/>
                <w:highlight w:val="none"/>
              </w:rPr>
            </w:pPr>
          </w:p>
        </w:tc>
        <w:tc>
          <w:tcPr>
            <w:tcW w:w="851" w:type="dxa"/>
            <w:vMerge w:val="continue"/>
            <w:tcBorders>
              <w:top w:val="single" w:color="auto" w:sz="8" w:space="0"/>
              <w:left w:val="single" w:color="auto" w:sz="4" w:space="0"/>
              <w:bottom w:val="single" w:color="auto" w:sz="4" w:space="0"/>
              <w:right w:val="single" w:color="auto" w:sz="4" w:space="0"/>
            </w:tcBorders>
            <w:shd w:val="clear"/>
            <w:vAlign w:val="center"/>
          </w:tcPr>
          <w:p w14:paraId="4559345B">
            <w:pPr>
              <w:spacing w:line="360" w:lineRule="auto"/>
              <w:rPr>
                <w:rFonts w:hint="default" w:ascii="Times New Roman" w:hAnsi="Times New Roman" w:cs="Times New Roman"/>
                <w:sz w:val="28"/>
                <w:szCs w:val="28"/>
                <w:highlight w:val="none"/>
              </w:rPr>
            </w:pPr>
          </w:p>
        </w:tc>
        <w:tc>
          <w:tcPr>
            <w:tcW w:w="1135" w:type="dxa"/>
            <w:vMerge w:val="continue"/>
            <w:tcBorders>
              <w:top w:val="single" w:color="auto" w:sz="8" w:space="0"/>
              <w:left w:val="single" w:color="auto" w:sz="4" w:space="0"/>
              <w:bottom w:val="single" w:color="auto" w:sz="4" w:space="0"/>
              <w:right w:val="single" w:color="auto" w:sz="4" w:space="0"/>
            </w:tcBorders>
            <w:shd w:val="clear"/>
            <w:vAlign w:val="center"/>
          </w:tcPr>
          <w:p w14:paraId="4746C5F9">
            <w:pPr>
              <w:spacing w:line="360" w:lineRule="auto"/>
              <w:rPr>
                <w:rFonts w:hint="default" w:ascii="Times New Roman" w:hAnsi="Times New Roman" w:cs="Times New Roman"/>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14:paraId="0EE47817">
            <w:pPr>
              <w:spacing w:line="360" w:lineRule="auto"/>
              <w:rPr>
                <w:rFonts w:hint="default" w:ascii="Times New Roman" w:hAnsi="Times New Roman" w:cs="Times New Roman"/>
                <w:sz w:val="28"/>
                <w:szCs w:val="28"/>
                <w:highlight w:val="none"/>
              </w:rPr>
            </w:pPr>
          </w:p>
        </w:tc>
        <w:tc>
          <w:tcPr>
            <w:tcW w:w="2977" w:type="dxa"/>
            <w:tcBorders>
              <w:top w:val="single" w:color="auto" w:sz="4" w:space="0"/>
              <w:left w:val="single" w:color="auto" w:sz="4" w:space="0"/>
              <w:bottom w:val="single" w:color="auto" w:sz="4" w:space="0"/>
              <w:right w:val="single" w:color="auto" w:sz="4" w:space="0"/>
            </w:tcBorders>
            <w:shd w:val="clear"/>
            <w:vAlign w:val="center"/>
          </w:tcPr>
          <w:p w14:paraId="6B31AC6B">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采购自中国可持续发展项目或国家产业联盟品牌</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68B230B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6208F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continue"/>
            <w:tcBorders>
              <w:top w:val="single" w:color="auto" w:sz="8" w:space="0"/>
              <w:left w:val="single" w:color="auto" w:sz="8" w:space="0"/>
              <w:bottom w:val="single" w:color="auto" w:sz="4" w:space="0"/>
              <w:right w:val="single" w:color="auto" w:sz="4" w:space="0"/>
            </w:tcBorders>
            <w:shd w:val="clear"/>
            <w:vAlign w:val="center"/>
          </w:tcPr>
          <w:p w14:paraId="4ED46EED">
            <w:pPr>
              <w:spacing w:line="360" w:lineRule="auto"/>
              <w:rPr>
                <w:rFonts w:hint="default" w:ascii="Times New Roman" w:hAnsi="Times New Roman" w:cs="Times New Roman"/>
                <w:sz w:val="28"/>
                <w:szCs w:val="28"/>
                <w:highlight w:val="none"/>
              </w:rPr>
            </w:pPr>
          </w:p>
        </w:tc>
        <w:tc>
          <w:tcPr>
            <w:tcW w:w="851" w:type="dxa"/>
            <w:vMerge w:val="continue"/>
            <w:tcBorders>
              <w:top w:val="single" w:color="auto" w:sz="8" w:space="0"/>
              <w:left w:val="single" w:color="auto" w:sz="4" w:space="0"/>
              <w:bottom w:val="single" w:color="auto" w:sz="4" w:space="0"/>
              <w:right w:val="single" w:color="auto" w:sz="4" w:space="0"/>
            </w:tcBorders>
            <w:shd w:val="clear"/>
            <w:vAlign w:val="center"/>
          </w:tcPr>
          <w:p w14:paraId="6D4478D4">
            <w:pPr>
              <w:spacing w:line="360" w:lineRule="auto"/>
              <w:rPr>
                <w:rFonts w:hint="default" w:ascii="Times New Roman" w:hAnsi="Times New Roman" w:cs="Times New Roman"/>
                <w:sz w:val="28"/>
                <w:szCs w:val="28"/>
                <w:highlight w:val="none"/>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32841C93">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矿石</w:t>
            </w:r>
          </w:p>
        </w:tc>
        <w:tc>
          <w:tcPr>
            <w:tcW w:w="992" w:type="dxa"/>
            <w:tcBorders>
              <w:top w:val="single" w:color="auto" w:sz="4" w:space="0"/>
              <w:left w:val="single" w:color="auto" w:sz="4" w:space="0"/>
              <w:bottom w:val="single" w:color="auto" w:sz="4" w:space="0"/>
              <w:right w:val="single" w:color="auto" w:sz="4" w:space="0"/>
            </w:tcBorders>
            <w:shd w:val="clear"/>
            <w:vAlign w:val="center"/>
          </w:tcPr>
          <w:p w14:paraId="4FF8403B">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至少满足</w:t>
            </w:r>
          </w:p>
          <w:p w14:paraId="67AD10D3">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一种</w:t>
            </w:r>
          </w:p>
        </w:tc>
        <w:tc>
          <w:tcPr>
            <w:tcW w:w="2977" w:type="dxa"/>
            <w:tcBorders>
              <w:top w:val="single" w:color="auto" w:sz="4" w:space="0"/>
              <w:left w:val="single" w:color="auto" w:sz="4" w:space="0"/>
              <w:bottom w:val="single" w:color="auto" w:sz="4" w:space="0"/>
              <w:right w:val="single" w:color="auto" w:sz="4" w:space="0"/>
            </w:tcBorders>
            <w:shd w:val="clear"/>
            <w:vAlign w:val="center"/>
          </w:tcPr>
          <w:p w14:paraId="1A79DCA6">
            <w:pPr>
              <w:pStyle w:val="50"/>
              <w:widowControl/>
              <w:spacing w:line="360" w:lineRule="auto"/>
              <w:rPr>
                <w:rFonts w:hint="default" w:ascii="Times New Roman" w:hAnsi="Times New Roman" w:cs="Times New Roman"/>
                <w:sz w:val="28"/>
                <w:szCs w:val="28"/>
                <w:highlight w:val="none"/>
                <w:bdr w:val="none" w:color="auto" w:sz="0" w:space="0"/>
                <w:lang w:val="en-US"/>
              </w:rPr>
            </w:pPr>
            <w:bookmarkStart w:id="46" w:name="_Hlk179883367"/>
            <w:r>
              <w:rPr>
                <w:rFonts w:hint="default" w:ascii="Times New Roman" w:hAnsi="Times New Roman" w:cs="Times New Roman"/>
                <w:sz w:val="28"/>
                <w:szCs w:val="28"/>
                <w:highlight w:val="none"/>
                <w:bdr w:val="none" w:color="auto" w:sz="0" w:space="0"/>
              </w:rPr>
              <w:t>含量</w:t>
            </w:r>
            <w:r>
              <w:rPr>
                <w:rFonts w:hint="default" w:ascii="Times New Roman" w:hAnsi="Times New Roman" w:cs="Times New Roman"/>
                <w:sz w:val="28"/>
                <w:szCs w:val="28"/>
                <w:highlight w:val="none"/>
                <w:bdr w:val="none" w:color="auto" w:sz="0" w:space="0"/>
                <w:lang w:val="en-US"/>
              </w:rPr>
              <w:t>≥10%</w:t>
            </w:r>
            <w:r>
              <w:rPr>
                <w:rFonts w:hint="default" w:ascii="Times New Roman" w:hAnsi="Times New Roman" w:cs="Times New Roman"/>
                <w:sz w:val="28"/>
                <w:szCs w:val="28"/>
                <w:highlight w:val="none"/>
                <w:bdr w:val="none" w:color="auto" w:sz="0" w:space="0"/>
              </w:rPr>
              <w:t>或有机成分</w:t>
            </w:r>
            <w:r>
              <w:rPr>
                <w:rFonts w:hint="default" w:ascii="Times New Roman" w:hAnsi="Times New Roman" w:cs="Times New Roman"/>
                <w:sz w:val="28"/>
                <w:szCs w:val="28"/>
                <w:highlight w:val="none"/>
                <w:bdr w:val="none" w:color="auto" w:sz="0" w:space="0"/>
                <w:lang w:val="en-US"/>
              </w:rPr>
              <w:t>≥2%</w:t>
            </w:r>
            <w:bookmarkEnd w:id="46"/>
          </w:p>
        </w:tc>
        <w:tc>
          <w:tcPr>
            <w:tcW w:w="2823" w:type="dxa"/>
            <w:tcBorders>
              <w:top w:val="single" w:color="auto" w:sz="4" w:space="0"/>
              <w:left w:val="single" w:color="auto" w:sz="4" w:space="0"/>
              <w:bottom w:val="single" w:color="auto" w:sz="4" w:space="0"/>
              <w:right w:val="single" w:color="auto" w:sz="8" w:space="0"/>
            </w:tcBorders>
            <w:shd w:val="clear"/>
            <w:vAlign w:val="center"/>
          </w:tcPr>
          <w:p w14:paraId="54AC7AE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343A6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tcBorders>
              <w:top w:val="single" w:color="auto" w:sz="4" w:space="0"/>
              <w:left w:val="single" w:color="auto" w:sz="8" w:space="0"/>
              <w:bottom w:val="single" w:color="auto" w:sz="4" w:space="0"/>
              <w:right w:val="single" w:color="auto" w:sz="4" w:space="0"/>
            </w:tcBorders>
            <w:shd w:val="clear"/>
            <w:vAlign w:val="center"/>
          </w:tcPr>
          <w:p w14:paraId="5EEA09F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w:t>
            </w:r>
          </w:p>
        </w:tc>
        <w:tc>
          <w:tcPr>
            <w:tcW w:w="1985" w:type="dxa"/>
            <w:gridSpan w:val="2"/>
            <w:tcBorders>
              <w:top w:val="single" w:color="auto" w:sz="4" w:space="0"/>
              <w:left w:val="single" w:color="auto" w:sz="4" w:space="0"/>
              <w:bottom w:val="single" w:color="auto" w:sz="4" w:space="0"/>
              <w:right w:val="single" w:color="auto" w:sz="4" w:space="0"/>
            </w:tcBorders>
            <w:shd w:val="clear"/>
            <w:vAlign w:val="center"/>
          </w:tcPr>
          <w:p w14:paraId="6807A8A2">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回收</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再生材料</w:t>
            </w:r>
          </w:p>
        </w:tc>
        <w:tc>
          <w:tcPr>
            <w:tcW w:w="3972" w:type="dxa"/>
            <w:gridSpan w:val="2"/>
            <w:tcBorders>
              <w:top w:val="single" w:color="auto" w:sz="4" w:space="0"/>
              <w:left w:val="single" w:color="auto" w:sz="4" w:space="0"/>
              <w:bottom w:val="single" w:color="auto" w:sz="4" w:space="0"/>
              <w:right w:val="single" w:color="auto" w:sz="4" w:space="0"/>
            </w:tcBorders>
            <w:shd w:val="clear"/>
            <w:vAlign w:val="center"/>
          </w:tcPr>
          <w:p w14:paraId="55282F1A">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含量</w:t>
            </w:r>
            <w:r>
              <w:rPr>
                <w:rFonts w:hint="default" w:ascii="Times New Roman" w:hAnsi="Times New Roman" w:cs="Times New Roman"/>
                <w:sz w:val="28"/>
                <w:szCs w:val="28"/>
                <w:highlight w:val="none"/>
                <w:bdr w:val="none" w:color="auto" w:sz="0" w:space="0"/>
                <w:lang w:val="en-US"/>
              </w:rPr>
              <w:t>≥8%</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55A35B2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2527C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restart"/>
            <w:tcBorders>
              <w:top w:val="single" w:color="auto" w:sz="4" w:space="0"/>
              <w:left w:val="single" w:color="auto" w:sz="8" w:space="0"/>
              <w:bottom w:val="single" w:color="auto" w:sz="4" w:space="0"/>
              <w:right w:val="single" w:color="auto" w:sz="4" w:space="0"/>
            </w:tcBorders>
            <w:shd w:val="clear"/>
            <w:vAlign w:val="center"/>
          </w:tcPr>
          <w:p w14:paraId="0776D711">
            <w:pPr>
              <w:pStyle w:val="50"/>
              <w:widowControl/>
              <w:spacing w:line="360" w:lineRule="auto"/>
              <w:rPr>
                <w:rFonts w:hint="default" w:ascii="Times New Roman" w:hAnsi="Times New Roman" w:cs="Times New Roman"/>
                <w:sz w:val="28"/>
                <w:szCs w:val="28"/>
                <w:highlight w:val="none"/>
                <w:bdr w:val="none" w:color="auto" w:sz="0" w:space="0"/>
                <w:lang w:val="en-US"/>
              </w:rPr>
            </w:pPr>
            <w:bookmarkStart w:id="47" w:name="_Hlk179905836"/>
            <w:r>
              <w:rPr>
                <w:rFonts w:hint="default" w:ascii="Times New Roman" w:hAnsi="Times New Roman" w:cs="Times New Roman"/>
                <w:sz w:val="28"/>
                <w:szCs w:val="28"/>
                <w:highlight w:val="none"/>
                <w:bdr w:val="none" w:color="auto" w:sz="0" w:space="0"/>
                <w:lang w:val="en-US"/>
              </w:rPr>
              <w:t>3</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5AF84C57">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生物基材料</w:t>
            </w: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14:paraId="1C50C0B7">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至少满足</w:t>
            </w:r>
          </w:p>
          <w:p w14:paraId="3ABEB3A2">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一种</w:t>
            </w:r>
          </w:p>
        </w:tc>
        <w:tc>
          <w:tcPr>
            <w:tcW w:w="2977" w:type="dxa"/>
            <w:tcBorders>
              <w:top w:val="single" w:color="auto" w:sz="4" w:space="0"/>
              <w:left w:val="single" w:color="auto" w:sz="4" w:space="0"/>
              <w:bottom w:val="single" w:color="auto" w:sz="4" w:space="0"/>
              <w:right w:val="single" w:color="auto" w:sz="4" w:space="0"/>
            </w:tcBorders>
            <w:shd w:val="clear"/>
            <w:vAlign w:val="center"/>
          </w:tcPr>
          <w:p w14:paraId="31B43D21">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生物碳含量</w:t>
            </w:r>
            <w:r>
              <w:rPr>
                <w:rFonts w:hint="default" w:ascii="Times New Roman" w:hAnsi="Times New Roman" w:cs="Times New Roman"/>
                <w:sz w:val="28"/>
                <w:szCs w:val="28"/>
                <w:highlight w:val="none"/>
                <w:bdr w:val="none" w:color="auto" w:sz="0" w:space="0"/>
                <w:lang w:val="en-US"/>
              </w:rPr>
              <w:t>≥5%</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1F8703F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ASTMD 6866</w:t>
            </w:r>
          </w:p>
        </w:tc>
      </w:tr>
      <w:tr w14:paraId="0D726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vMerge w:val="continue"/>
            <w:tcBorders>
              <w:top w:val="single" w:color="auto" w:sz="4" w:space="0"/>
              <w:left w:val="single" w:color="auto" w:sz="8" w:space="0"/>
              <w:bottom w:val="single" w:color="auto" w:sz="4" w:space="0"/>
              <w:right w:val="single" w:color="auto" w:sz="4" w:space="0"/>
            </w:tcBorders>
            <w:shd w:val="clear"/>
            <w:vAlign w:val="center"/>
          </w:tcPr>
          <w:p w14:paraId="43A12A7C">
            <w:pPr>
              <w:spacing w:line="360" w:lineRule="auto"/>
              <w:rPr>
                <w:rFonts w:hint="default" w:ascii="Times New Roman" w:hAnsi="Times New Roman" w:cs="Times New Roman"/>
                <w:sz w:val="28"/>
                <w:szCs w:val="28"/>
                <w:highlight w:val="none"/>
              </w:rPr>
            </w:pPr>
          </w:p>
        </w:tc>
        <w:tc>
          <w:tcPr>
            <w:tcW w:w="1985"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79F91C41">
            <w:pPr>
              <w:spacing w:line="360" w:lineRule="auto"/>
              <w:rPr>
                <w:rFonts w:hint="default" w:ascii="Times New Roman" w:hAnsi="Times New Roman" w:cs="Times New Roman"/>
                <w:sz w:val="28"/>
                <w:szCs w:val="28"/>
                <w:highlight w:val="none"/>
              </w:rPr>
            </w:pP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14:paraId="746212D7">
            <w:pPr>
              <w:spacing w:line="360" w:lineRule="auto"/>
              <w:rPr>
                <w:rFonts w:hint="default" w:ascii="Times New Roman" w:hAnsi="Times New Roman" w:cs="Times New Roman"/>
                <w:sz w:val="28"/>
                <w:szCs w:val="28"/>
                <w:highlight w:val="none"/>
              </w:rPr>
            </w:pPr>
          </w:p>
        </w:tc>
        <w:tc>
          <w:tcPr>
            <w:tcW w:w="2977" w:type="dxa"/>
            <w:tcBorders>
              <w:top w:val="single" w:color="auto" w:sz="4" w:space="0"/>
              <w:left w:val="single" w:color="auto" w:sz="4" w:space="0"/>
              <w:bottom w:val="single" w:color="auto" w:sz="4" w:space="0"/>
              <w:right w:val="single" w:color="auto" w:sz="4" w:space="0"/>
            </w:tcBorders>
            <w:shd w:val="clear"/>
            <w:vAlign w:val="center"/>
          </w:tcPr>
          <w:p w14:paraId="2CBF3F48">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生物质平衡材料含量</w:t>
            </w:r>
            <w:r>
              <w:rPr>
                <w:rFonts w:hint="default" w:ascii="Times New Roman" w:hAnsi="Times New Roman" w:cs="Times New Roman"/>
                <w:sz w:val="28"/>
                <w:szCs w:val="28"/>
                <w:highlight w:val="none"/>
                <w:bdr w:val="none" w:color="auto" w:sz="0" w:space="0"/>
                <w:lang w:val="en-US"/>
              </w:rPr>
              <w:t>≥5%</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624FE04F">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提供检测报告或相关认证证书</w:t>
            </w:r>
          </w:p>
        </w:tc>
      </w:tr>
      <w:tr w14:paraId="32DD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tcBorders>
              <w:top w:val="single" w:color="auto" w:sz="4" w:space="0"/>
              <w:left w:val="single" w:color="auto" w:sz="8" w:space="0"/>
              <w:bottom w:val="single" w:color="auto" w:sz="4" w:space="0"/>
              <w:right w:val="single" w:color="auto" w:sz="4" w:space="0"/>
            </w:tcBorders>
            <w:shd w:val="clear"/>
            <w:vAlign w:val="center"/>
          </w:tcPr>
          <w:p w14:paraId="315EC9FE">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4</w:t>
            </w:r>
          </w:p>
        </w:tc>
        <w:tc>
          <w:tcPr>
            <w:tcW w:w="1985" w:type="dxa"/>
            <w:gridSpan w:val="2"/>
            <w:tcBorders>
              <w:top w:val="single" w:color="auto" w:sz="4" w:space="0"/>
              <w:left w:val="single" w:color="auto" w:sz="4" w:space="0"/>
              <w:bottom w:val="single" w:color="auto" w:sz="4" w:space="0"/>
              <w:right w:val="single" w:color="auto" w:sz="4" w:space="0"/>
            </w:tcBorders>
            <w:shd w:val="clear"/>
            <w:vAlign w:val="center"/>
          </w:tcPr>
          <w:p w14:paraId="03E0016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可生物降解材料</w:t>
            </w:r>
          </w:p>
        </w:tc>
        <w:tc>
          <w:tcPr>
            <w:tcW w:w="3972" w:type="dxa"/>
            <w:gridSpan w:val="2"/>
            <w:tcBorders>
              <w:top w:val="single" w:color="auto" w:sz="4" w:space="0"/>
              <w:left w:val="single" w:color="auto" w:sz="4" w:space="0"/>
              <w:bottom w:val="single" w:color="auto" w:sz="4" w:space="0"/>
              <w:right w:val="single" w:color="auto" w:sz="4" w:space="0"/>
            </w:tcBorders>
            <w:shd w:val="clear"/>
            <w:vAlign w:val="center"/>
          </w:tcPr>
          <w:p w14:paraId="2ED6908F">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绝对生物降解率</w:t>
            </w:r>
            <w:r>
              <w:rPr>
                <w:rFonts w:hint="default" w:ascii="Times New Roman" w:hAnsi="Times New Roman" w:cs="Times New Roman"/>
                <w:sz w:val="28"/>
                <w:szCs w:val="28"/>
                <w:highlight w:val="none"/>
                <w:bdr w:val="none" w:color="auto" w:sz="0" w:space="0"/>
                <w:lang w:val="en-US"/>
              </w:rPr>
              <w:t>≥10%</w:t>
            </w:r>
          </w:p>
        </w:tc>
        <w:tc>
          <w:tcPr>
            <w:tcW w:w="2823" w:type="dxa"/>
            <w:tcBorders>
              <w:top w:val="single" w:color="auto" w:sz="4" w:space="0"/>
              <w:left w:val="single" w:color="auto" w:sz="4" w:space="0"/>
              <w:bottom w:val="single" w:color="auto" w:sz="4" w:space="0"/>
              <w:right w:val="single" w:color="auto" w:sz="8" w:space="0"/>
            </w:tcBorders>
            <w:shd w:val="clear"/>
            <w:vAlign w:val="center"/>
          </w:tcPr>
          <w:p w14:paraId="6C24C10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提供检测报告</w:t>
            </w:r>
          </w:p>
        </w:tc>
      </w:tr>
      <w:tr w14:paraId="297B9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57" w:type="dxa"/>
            <w:tcBorders>
              <w:top w:val="single" w:color="auto" w:sz="4" w:space="0"/>
              <w:left w:val="single" w:color="auto" w:sz="8" w:space="0"/>
              <w:bottom w:val="single" w:color="auto" w:sz="8" w:space="0"/>
              <w:right w:val="single" w:color="auto" w:sz="4" w:space="0"/>
            </w:tcBorders>
            <w:shd w:val="clear"/>
            <w:vAlign w:val="center"/>
          </w:tcPr>
          <w:p w14:paraId="50250F48">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5</w:t>
            </w:r>
          </w:p>
        </w:tc>
        <w:tc>
          <w:tcPr>
            <w:tcW w:w="1985" w:type="dxa"/>
            <w:gridSpan w:val="2"/>
            <w:tcBorders>
              <w:top w:val="single" w:color="auto" w:sz="4" w:space="0"/>
              <w:left w:val="single" w:color="auto" w:sz="4" w:space="0"/>
              <w:bottom w:val="single" w:color="auto" w:sz="8" w:space="0"/>
              <w:right w:val="single" w:color="auto" w:sz="4" w:space="0"/>
            </w:tcBorders>
            <w:shd w:val="clear"/>
            <w:vAlign w:val="center"/>
          </w:tcPr>
          <w:p w14:paraId="67D86747">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碳中和材料</w:t>
            </w:r>
          </w:p>
        </w:tc>
        <w:tc>
          <w:tcPr>
            <w:tcW w:w="3972" w:type="dxa"/>
            <w:gridSpan w:val="2"/>
            <w:tcBorders>
              <w:top w:val="single" w:color="auto" w:sz="4" w:space="0"/>
              <w:left w:val="single" w:color="auto" w:sz="4" w:space="0"/>
              <w:bottom w:val="single" w:color="auto" w:sz="8" w:space="0"/>
              <w:right w:val="single" w:color="auto" w:sz="4" w:space="0"/>
            </w:tcBorders>
            <w:shd w:val="clear"/>
            <w:vAlign w:val="center"/>
          </w:tcPr>
          <w:p w14:paraId="6353535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对材料开展碳中和评价，碳足迹量</w:t>
            </w:r>
            <w:r>
              <w:rPr>
                <w:rFonts w:hint="default" w:ascii="Times New Roman" w:hAnsi="Times New Roman" w:cs="Times New Roman"/>
                <w:sz w:val="28"/>
                <w:szCs w:val="28"/>
                <w:highlight w:val="none"/>
                <w:bdr w:val="none" w:color="auto" w:sz="0" w:space="0"/>
                <w:lang w:val="en-US"/>
              </w:rPr>
              <w:t>≤0.1 kgCO</w:t>
            </w:r>
            <w:r>
              <w:rPr>
                <w:rFonts w:hint="default" w:ascii="Times New Roman" w:hAnsi="Times New Roman" w:cs="Times New Roman"/>
                <w:sz w:val="28"/>
                <w:szCs w:val="28"/>
                <w:highlight w:val="none"/>
                <w:bdr w:val="none" w:color="auto" w:sz="0" w:space="0"/>
                <w:vertAlign w:val="subscript"/>
                <w:lang w:val="en-US"/>
              </w:rPr>
              <w:t>2</w:t>
            </w:r>
            <w:r>
              <w:rPr>
                <w:rFonts w:hint="default" w:ascii="Times New Roman" w:hAnsi="Times New Roman" w:cs="Times New Roman"/>
                <w:sz w:val="28"/>
                <w:szCs w:val="28"/>
                <w:highlight w:val="none"/>
                <w:bdr w:val="none" w:color="auto" w:sz="0" w:space="0"/>
                <w:lang w:val="en-US"/>
              </w:rPr>
              <w:t>eq.</w:t>
            </w:r>
            <w:r>
              <w:rPr>
                <w:rFonts w:hint="default" w:ascii="Times New Roman" w:hAnsi="Times New Roman" w:cs="Times New Roman"/>
                <w:sz w:val="28"/>
                <w:szCs w:val="28"/>
                <w:highlight w:val="none"/>
                <w:bdr w:val="none" w:color="auto" w:sz="0" w:space="0"/>
              </w:rPr>
              <w:t>，材料本身的碳足迹应持续改进</w:t>
            </w:r>
          </w:p>
        </w:tc>
        <w:tc>
          <w:tcPr>
            <w:tcW w:w="2823" w:type="dxa"/>
            <w:tcBorders>
              <w:top w:val="single" w:color="auto" w:sz="4" w:space="0"/>
              <w:left w:val="single" w:color="auto" w:sz="4" w:space="0"/>
              <w:bottom w:val="single" w:color="auto" w:sz="8" w:space="0"/>
              <w:right w:val="single" w:color="auto" w:sz="8" w:space="0"/>
            </w:tcBorders>
            <w:shd w:val="clear"/>
            <w:vAlign w:val="center"/>
          </w:tcPr>
          <w:p w14:paraId="57027F3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ISO 14067</w:t>
            </w:r>
            <w:r>
              <w:rPr>
                <w:rFonts w:hint="default" w:ascii="Times New Roman" w:hAnsi="Times New Roman" w:cs="Times New Roman"/>
                <w:sz w:val="28"/>
                <w:szCs w:val="28"/>
                <w:highlight w:val="none"/>
                <w:bdr w:val="none" w:color="auto" w:sz="0" w:space="0"/>
              </w:rPr>
              <w:t>、</w:t>
            </w:r>
            <w:r>
              <w:rPr>
                <w:rFonts w:hint="default" w:ascii="Times New Roman" w:hAnsi="Times New Roman" w:cs="Times New Roman"/>
                <w:sz w:val="28"/>
                <w:szCs w:val="28"/>
                <w:highlight w:val="none"/>
                <w:bdr w:val="none" w:color="auto" w:sz="0" w:space="0"/>
                <w:lang w:val="en-US"/>
              </w:rPr>
              <w:t xml:space="preserve"> ISO 14068-1</w:t>
            </w:r>
            <w:r>
              <w:rPr>
                <w:rFonts w:hint="default" w:ascii="Times New Roman" w:hAnsi="Times New Roman" w:cs="Times New Roman"/>
                <w:sz w:val="28"/>
                <w:szCs w:val="28"/>
                <w:highlight w:val="none"/>
                <w:bdr w:val="none" w:color="auto" w:sz="0" w:space="0"/>
              </w:rPr>
              <w:t>、</w:t>
            </w:r>
            <w:r>
              <w:rPr>
                <w:rFonts w:hint="default" w:ascii="Times New Roman" w:hAnsi="Times New Roman" w:cs="Times New Roman"/>
                <w:sz w:val="28"/>
                <w:szCs w:val="28"/>
                <w:highlight w:val="none"/>
                <w:bdr w:val="none" w:color="auto" w:sz="0" w:space="0"/>
                <w:lang w:val="en-US"/>
              </w:rPr>
              <w:t>PAS 2050</w:t>
            </w:r>
            <w:r>
              <w:rPr>
                <w:rFonts w:hint="default" w:ascii="Times New Roman" w:hAnsi="Times New Roman" w:cs="Times New Roman"/>
                <w:sz w:val="28"/>
                <w:szCs w:val="28"/>
                <w:highlight w:val="none"/>
                <w:bdr w:val="none" w:color="auto" w:sz="0" w:space="0"/>
              </w:rPr>
              <w:t>或相关标准</w:t>
            </w:r>
          </w:p>
        </w:tc>
      </w:tr>
      <w:bookmarkEnd w:id="47"/>
    </w:tbl>
    <w:p w14:paraId="5D977E1C">
      <w:pPr>
        <w:pStyle w:val="47"/>
        <w:widowControl/>
        <w:numPr>
          <w:ilvl w:val="4"/>
          <w:numId w:val="3"/>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可选要求</w:t>
      </w:r>
    </w:p>
    <w:p w14:paraId="41939D2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研磨丝杆可持续性产品的原材料宜满足以下要求：</w:t>
      </w:r>
    </w:p>
    <w:p w14:paraId="5CF72B5B">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不使用列入《关于持久性有机污染物的斯德哥尔摩公约》的所有持久性有机污染物；</w:t>
      </w:r>
    </w:p>
    <w:p w14:paraId="5AC40187">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研磨丝杆产品使用的原材料购自获评省级或国家级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绿色工厂</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的企业。</w:t>
      </w:r>
    </w:p>
    <w:p w14:paraId="755F4F7C">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生产工艺</w:t>
      </w:r>
    </w:p>
    <w:p w14:paraId="5CA616A7">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必选要求</w:t>
      </w:r>
    </w:p>
    <w:p w14:paraId="1789336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研磨丝杆可持续性产品的生产工艺应满足以下要求：</w:t>
      </w:r>
    </w:p>
    <w:p w14:paraId="55DCC68A">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不使用《高耗能落后机电设备（产品）淘汰目录》《部分工业行业淘汰落后生产工艺装备和产品指导目录》等文件中已明令禁止使用的设备设施；</w:t>
      </w:r>
    </w:p>
    <w:p w14:paraId="454FF800">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采用效率高、能耗低、碳排放低、水耗低、物耗低的生产设备及生产工艺。</w:t>
      </w:r>
    </w:p>
    <w:p w14:paraId="511E82D7">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可选要求</w:t>
      </w:r>
    </w:p>
    <w:p w14:paraId="794F178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研磨丝杆可持续性产品的生产工艺宜满足以下要求：</w:t>
      </w:r>
    </w:p>
    <w:p w14:paraId="34688A8B">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生产工艺采用数字化、智能化、绿色化技术，如绿色前处理、数码喷墨等；</w:t>
      </w:r>
    </w:p>
    <w:p w14:paraId="0C8A6319">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整合采用无氟防水、水性涂层等清洁化工艺；</w:t>
      </w:r>
    </w:p>
    <w:p w14:paraId="50FBF7C4">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建立能耗、物耗以及废弃物排放的统计监测体系，根据监测结果持续改进提升。</w:t>
      </w:r>
    </w:p>
    <w:p w14:paraId="52C805BC">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w:t>
      </w:r>
    </w:p>
    <w:p w14:paraId="325FE078">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必选要求</w:t>
      </w:r>
    </w:p>
    <w:p w14:paraId="1AC0AE8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研磨丝杆可持续性产品的包装应满足以下要求：</w:t>
      </w:r>
    </w:p>
    <w:p w14:paraId="3ACA3483">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包装材料的选取，应注意包装废弃物对环境的影响，包装材料中铅、镉、汞和六价铬的总含量应满足</w:t>
      </w:r>
      <w:r>
        <w:rPr>
          <w:rFonts w:hint="default" w:ascii="Times New Roman" w:hAnsi="Times New Roman" w:cs="Times New Roman"/>
          <w:sz w:val="28"/>
          <w:szCs w:val="28"/>
          <w:highlight w:val="none"/>
          <w:lang w:val="en-US"/>
        </w:rPr>
        <w:t>GB/T 16716.1</w:t>
      </w:r>
      <w:r>
        <w:rPr>
          <w:rFonts w:hint="default" w:ascii="Times New Roman" w:hAnsi="Times New Roman" w:cs="Times New Roman"/>
          <w:sz w:val="28"/>
          <w:szCs w:val="28"/>
          <w:highlight w:val="none"/>
          <w:lang w:eastAsia="zh-CN"/>
        </w:rPr>
        <w:t>的相关要求；</w:t>
      </w:r>
    </w:p>
    <w:p w14:paraId="633B8F08">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包装材料的选取，应本着节约、节俭的原则，使用常用的、经济的包装材料，部分常用包装材料见</w:t>
      </w:r>
      <w:r>
        <w:rPr>
          <w:rFonts w:hint="default" w:ascii="Times New Roman" w:hAnsi="Times New Roman" w:cs="Times New Roman"/>
          <w:sz w:val="28"/>
          <w:szCs w:val="28"/>
          <w:highlight w:val="none"/>
          <w:lang w:val="en-US"/>
        </w:rPr>
        <w:t>GB/T 31268</w:t>
      </w:r>
      <w:r>
        <w:rPr>
          <w:rFonts w:hint="default" w:ascii="Times New Roman" w:hAnsi="Times New Roman" w:cs="Times New Roman"/>
          <w:sz w:val="28"/>
          <w:szCs w:val="28"/>
          <w:highlight w:val="none"/>
          <w:lang w:eastAsia="zh-CN"/>
        </w:rPr>
        <w:t>的相关要求；</w:t>
      </w:r>
    </w:p>
    <w:p w14:paraId="6A9FFE1F">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在满足正常的包装功能需求前提下，包装尺寸应与内装研磨丝杆产品的质量和规格相适应，应简化结构，减少包装层数（最多</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层）、包装空隙率和包装体积，减少包装材料的用量。</w:t>
      </w:r>
    </w:p>
    <w:p w14:paraId="014E3203">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可选要求</w:t>
      </w:r>
    </w:p>
    <w:p w14:paraId="2A02795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研磨丝杆可持续性产品的包装宜满足以下要求：</w:t>
      </w:r>
    </w:p>
    <w:p w14:paraId="6D2CACF6">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用于研磨丝杆产品最终包装的塑料材料和纸质材料使用的回收材料占比不低于</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，或用于研磨丝杆产品最终包装的塑料材料和纸质材料的可再生利用率不低于</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w:t>
      </w:r>
    </w:p>
    <w:p w14:paraId="619987E8">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包装材料选用单一材质，或易于拆解或分离的两种及两种以上材料，按</w:t>
      </w:r>
      <w:bookmarkStart w:id="48" w:name="_Hlk179905897"/>
      <w:r>
        <w:rPr>
          <w:rFonts w:hint="default" w:ascii="Times New Roman" w:hAnsi="Times New Roman" w:cs="Times New Roman"/>
          <w:sz w:val="28"/>
          <w:szCs w:val="28"/>
          <w:highlight w:val="none"/>
          <w:lang w:val="en-US"/>
        </w:rPr>
        <w:t>GB/T 18455</w:t>
      </w:r>
      <w:bookmarkEnd w:id="48"/>
      <w:r>
        <w:rPr>
          <w:rFonts w:hint="default" w:ascii="Times New Roman" w:hAnsi="Times New Roman" w:cs="Times New Roman"/>
          <w:sz w:val="28"/>
          <w:szCs w:val="28"/>
          <w:highlight w:val="none"/>
          <w:lang w:eastAsia="zh-CN"/>
        </w:rPr>
        <w:t>标注回收标志；</w:t>
      </w:r>
    </w:p>
    <w:p w14:paraId="083F9808">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包装材料采用环保印刷材料，减少印刷过程中油墨、溶剂等有害物质的排放；</w:t>
      </w:r>
    </w:p>
    <w:p w14:paraId="54CE5088">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纸质包装材料获得国际国内权威的森林认证。</w:t>
      </w:r>
    </w:p>
    <w:p w14:paraId="63C55AF4">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产品可回收利用</w:t>
      </w:r>
    </w:p>
    <w:p w14:paraId="0F896A42">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必选要求</w:t>
      </w:r>
    </w:p>
    <w:p w14:paraId="1160EE4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企业应关注研磨丝杆产品全生命周期内废弃物的资源再利用情况，建立产品可回收管理体系。</w:t>
      </w:r>
    </w:p>
    <w:p w14:paraId="2CB4DC5B">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可选要求</w:t>
      </w:r>
    </w:p>
    <w:p w14:paraId="6FFA21D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产品可回收利用宜满足以下要求：</w:t>
      </w:r>
    </w:p>
    <w:p w14:paraId="1E28C1BD">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企业按照</w:t>
      </w:r>
      <w:bookmarkStart w:id="49" w:name="_Hlk179905916"/>
      <w:r>
        <w:rPr>
          <w:rFonts w:hint="default" w:ascii="Times New Roman" w:hAnsi="Times New Roman" w:cs="Times New Roman"/>
          <w:sz w:val="28"/>
          <w:szCs w:val="28"/>
          <w:highlight w:val="none"/>
          <w:lang w:val="en-US"/>
        </w:rPr>
        <w:t>GB/T 20862</w:t>
      </w:r>
      <w:bookmarkEnd w:id="49"/>
      <w:r>
        <w:rPr>
          <w:rFonts w:hint="default" w:ascii="Times New Roman" w:hAnsi="Times New Roman" w:cs="Times New Roman"/>
          <w:sz w:val="28"/>
          <w:szCs w:val="28"/>
          <w:highlight w:val="none"/>
          <w:lang w:eastAsia="zh-CN"/>
        </w:rPr>
        <w:t>的要求计算产品的可回收利用率，并利用计算结果对产品的可回收利用率进行改善；</w:t>
      </w:r>
    </w:p>
    <w:p w14:paraId="1A4FD4AB">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企业建立回收渠道，选择合适的回收处理方式，将产品进行再利用或材料回收；</w:t>
      </w:r>
    </w:p>
    <w:p w14:paraId="1A9BD956">
      <w:pPr>
        <w:pStyle w:val="48"/>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产品可再生利用率不小于</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）计算。</w:t>
      </w:r>
    </w:p>
    <w:p w14:paraId="22952A3D">
      <w:pPr>
        <w:pStyle w:val="46"/>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1390650"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065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val="en-US"/>
        </w:rPr>
        <w:t>)</w:t>
      </w:r>
    </w:p>
    <w:p w14:paraId="4C6F5D0C">
      <w:pPr>
        <w:pStyle w:val="41"/>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6DE518E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R</w:t>
      </w:r>
      <w:r>
        <w:rPr>
          <w:rFonts w:hint="default" w:ascii="Times New Roman" w:hAnsi="Times New Roman" w:cs="Times New Roman"/>
          <w:sz w:val="28"/>
          <w:szCs w:val="28"/>
          <w:highlight w:val="none"/>
          <w:vertAlign w:val="subscript"/>
          <w:lang w:val="en-US"/>
        </w:rPr>
        <w:t xml:space="preserve">cyc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产品或材料可再生利用率；</w:t>
      </w:r>
    </w:p>
    <w:p w14:paraId="00C7DD7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w:t>
      </w:r>
      <w:r>
        <w:rPr>
          <w:rFonts w:hint="default" w:ascii="Times New Roman" w:hAnsi="Times New Roman" w:cs="Times New Roman"/>
          <w:sz w:val="28"/>
          <w:szCs w:val="28"/>
          <w:highlight w:val="none"/>
          <w:vertAlign w:val="subscript"/>
          <w:lang w:val="en-US"/>
        </w:rPr>
        <w:t xml:space="preserve">cyci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种预期能够被再使用部分与再生利用部分的质量，单位为千克（</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w:t>
      </w:r>
    </w:p>
    <w:p w14:paraId="688CC46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w:t>
      </w:r>
      <w:r>
        <w:rPr>
          <w:rFonts w:hint="default" w:ascii="Times New Roman" w:hAnsi="Times New Roman" w:cs="Times New Roman"/>
          <w:sz w:val="28"/>
          <w:szCs w:val="28"/>
          <w:highlight w:val="none"/>
          <w:vertAlign w:val="subscript"/>
          <w:lang w:val="en-US"/>
        </w:rPr>
        <w:t xml:space="preserve">v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产品或材料总质量，单位为千克（</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0F6517A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    ——</w:t>
      </w:r>
      <w:r>
        <w:rPr>
          <w:rFonts w:hint="default" w:ascii="Times New Roman" w:hAnsi="Times New Roman" w:cs="Times New Roman"/>
          <w:sz w:val="28"/>
          <w:szCs w:val="28"/>
          <w:highlight w:val="none"/>
          <w:lang w:eastAsia="zh-CN"/>
        </w:rPr>
        <w:t>预期能够被再使用部分与再生利用部分的类别总数。</w:t>
      </w:r>
    </w:p>
    <w:p w14:paraId="21AA1D63">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w:t>
      </w:r>
    </w:p>
    <w:p w14:paraId="63C0AE7A">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必选要求</w:t>
      </w:r>
    </w:p>
    <w:p w14:paraId="2941DBD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研磨丝杆可持续性产品应满足的其他要求：</w:t>
      </w:r>
    </w:p>
    <w:p w14:paraId="41B1F024">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企业应从物料环保、污染预防、清洁生产、节能减排等方面对供应商进行选择和管理，构建绿色供应链；</w:t>
      </w:r>
    </w:p>
    <w:p w14:paraId="7CC03B87">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企业定期为员工提供可持续发展相关教育和培训。</w:t>
      </w:r>
    </w:p>
    <w:p w14:paraId="75A3E0C8">
      <w:pPr>
        <w:pStyle w:val="47"/>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可选要求</w:t>
      </w:r>
    </w:p>
    <w:p w14:paraId="22B04AC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研磨丝杆可持续性产品宜满足的其他要求：</w:t>
      </w:r>
    </w:p>
    <w:p w14:paraId="12FDE810">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企业及原材料生产供应商建立并运行质量管理体系、环境管理体系和职业健康安全管理体系，分别应满足</w:t>
      </w:r>
      <w:r>
        <w:rPr>
          <w:rFonts w:hint="default" w:ascii="Times New Roman" w:hAnsi="Times New Roman" w:cs="Times New Roman"/>
          <w:sz w:val="28"/>
          <w:szCs w:val="28"/>
          <w:highlight w:val="none"/>
          <w:lang w:val="en-US"/>
        </w:rPr>
        <w:t>GB/T 19001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24001</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GB/T 45001</w:t>
      </w:r>
      <w:r>
        <w:rPr>
          <w:rFonts w:hint="default" w:ascii="Times New Roman" w:hAnsi="Times New Roman" w:cs="Times New Roman"/>
          <w:sz w:val="28"/>
          <w:szCs w:val="28"/>
          <w:highlight w:val="none"/>
          <w:lang w:eastAsia="zh-CN"/>
        </w:rPr>
        <w:t>的要求；</w:t>
      </w:r>
    </w:p>
    <w:p w14:paraId="02DF61B8">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按照相关国家标准、行业标准或政府采信的团体标准，对研磨丝杆产品开展绿色产品评价；</w:t>
      </w:r>
    </w:p>
    <w:p w14:paraId="76A31A4F">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按照相关国际标准、国家标准、行业标准或政府采信的团体标准，对产品的碳足迹进行核算或核查，利用核算或核查结果对产品的碳足迹进行改善；</w:t>
      </w:r>
    </w:p>
    <w:p w14:paraId="27B038C5">
      <w:pPr>
        <w:pStyle w:val="48"/>
        <w:widowControl/>
        <w:numPr>
          <w:ilvl w:val="0"/>
          <w:numId w:val="8"/>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企业提供环境、社会和治理（</w:t>
      </w:r>
      <w:r>
        <w:rPr>
          <w:rFonts w:hint="default" w:ascii="Times New Roman" w:hAnsi="Times New Roman" w:cs="Times New Roman"/>
          <w:sz w:val="28"/>
          <w:szCs w:val="28"/>
          <w:highlight w:val="none"/>
          <w:lang w:val="en-US"/>
        </w:rPr>
        <w:t>ESG</w:t>
      </w:r>
      <w:r>
        <w:rPr>
          <w:rFonts w:hint="default" w:ascii="Times New Roman" w:hAnsi="Times New Roman" w:cs="Times New Roman"/>
          <w:sz w:val="28"/>
          <w:szCs w:val="28"/>
          <w:highlight w:val="none"/>
          <w:lang w:eastAsia="zh-CN"/>
        </w:rPr>
        <w:t>）方面的报告。</w:t>
      </w:r>
    </w:p>
    <w:p w14:paraId="59050513">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0" w:name="_Toc179816571"/>
      <w:bookmarkStart w:id="51" w:name="_Toc179906351"/>
      <w:bookmarkStart w:id="52" w:name="_Toc192153885"/>
      <w:bookmarkStart w:id="53" w:name="_Toc179966958"/>
      <w:r>
        <w:rPr>
          <w:rFonts w:hint="default" w:ascii="Times New Roman" w:hAnsi="Times New Roman" w:cs="Times New Roman"/>
          <w:sz w:val="28"/>
          <w:szCs w:val="28"/>
          <w:highlight w:val="none"/>
          <w:lang w:eastAsia="zh-CN"/>
        </w:rPr>
        <w:t>评价方法</w:t>
      </w:r>
      <w:bookmarkEnd w:id="50"/>
      <w:bookmarkEnd w:id="51"/>
      <w:bookmarkEnd w:id="52"/>
      <w:bookmarkEnd w:id="53"/>
    </w:p>
    <w:p w14:paraId="460E9237">
      <w:pPr>
        <w:pStyle w:val="45"/>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实施评价方可通过查验报告文件、实地调查等形式收集评价证明材料。研磨丝杆可持续性产品评价指标证明材料见附录</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lang w:eastAsia="zh-CN"/>
        </w:rPr>
        <w:t>。</w:t>
      </w:r>
    </w:p>
    <w:p w14:paraId="6DDAF567">
      <w:pPr>
        <w:pStyle w:val="45"/>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研磨丝杆可持续性产品评价等级按表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的规定划分。产品符合对应等级的要求可评价为符合本文件的</w:t>
      </w:r>
      <w:r>
        <w:rPr>
          <w:rFonts w:hint="default" w:ascii="Times New Roman" w:hAnsi="Times New Roman" w:cs="Times New Roman"/>
          <w:sz w:val="28"/>
          <w:szCs w:val="28"/>
          <w:highlight w:val="none"/>
          <w:lang w:val="en-US"/>
        </w:rPr>
        <w:t>X</w:t>
      </w:r>
      <w:r>
        <w:rPr>
          <w:rFonts w:hint="default" w:ascii="Times New Roman" w:hAnsi="Times New Roman" w:cs="Times New Roman"/>
          <w:sz w:val="28"/>
          <w:szCs w:val="28"/>
          <w:highlight w:val="none"/>
          <w:lang w:eastAsia="zh-CN"/>
        </w:rPr>
        <w:t>星级可持续性产品。</w:t>
      </w:r>
    </w:p>
    <w:p w14:paraId="1835F6BE">
      <w:pPr>
        <w:pStyle w:val="37"/>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研磨丝杆可持续性产品评价等级划分表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841"/>
        <w:gridCol w:w="5812"/>
        <w:gridCol w:w="2681"/>
      </w:tblGrid>
      <w:tr w14:paraId="3A671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left w:val="single" w:color="auto" w:sz="8" w:space="0"/>
              <w:bottom w:val="single" w:color="auto" w:sz="8" w:space="0"/>
              <w:right w:val="single" w:color="auto" w:sz="4" w:space="0"/>
            </w:tcBorders>
            <w:shd w:val="clear"/>
            <w:vAlign w:val="center"/>
          </w:tcPr>
          <w:p w14:paraId="2F54BAA8">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序号</w:t>
            </w:r>
          </w:p>
        </w:tc>
        <w:tc>
          <w:tcPr>
            <w:tcW w:w="5812" w:type="dxa"/>
            <w:tcBorders>
              <w:top w:val="single" w:color="auto" w:sz="8" w:space="0"/>
              <w:left w:val="single" w:color="auto" w:sz="4" w:space="0"/>
              <w:bottom w:val="single" w:color="auto" w:sz="8" w:space="0"/>
              <w:right w:val="single" w:color="auto" w:sz="4" w:space="0"/>
            </w:tcBorders>
            <w:shd w:val="clear"/>
            <w:vAlign w:val="center"/>
          </w:tcPr>
          <w:p w14:paraId="3DA3CF27">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项目符合情况</w:t>
            </w:r>
          </w:p>
        </w:tc>
        <w:tc>
          <w:tcPr>
            <w:tcW w:w="2681" w:type="dxa"/>
            <w:tcBorders>
              <w:top w:val="single" w:color="auto" w:sz="8" w:space="0"/>
              <w:left w:val="single" w:color="auto" w:sz="4" w:space="0"/>
              <w:bottom w:val="single" w:color="auto" w:sz="8" w:space="0"/>
              <w:right w:val="single" w:color="auto" w:sz="8" w:space="0"/>
            </w:tcBorders>
            <w:shd w:val="clear"/>
            <w:vAlign w:val="center"/>
          </w:tcPr>
          <w:p w14:paraId="41AEED2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等级</w:t>
            </w:r>
          </w:p>
        </w:tc>
      </w:tr>
      <w:tr w14:paraId="4467D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left w:val="single" w:color="auto" w:sz="8" w:space="0"/>
              <w:bottom w:val="single" w:color="auto" w:sz="4" w:space="0"/>
              <w:right w:val="single" w:color="auto" w:sz="4" w:space="0"/>
            </w:tcBorders>
            <w:shd w:val="clear"/>
            <w:vAlign w:val="center"/>
          </w:tcPr>
          <w:p w14:paraId="14DDD051">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1</w:t>
            </w:r>
          </w:p>
        </w:tc>
        <w:tc>
          <w:tcPr>
            <w:tcW w:w="5812" w:type="dxa"/>
            <w:tcBorders>
              <w:top w:val="single" w:color="auto" w:sz="8" w:space="0"/>
              <w:left w:val="single" w:color="auto" w:sz="4" w:space="0"/>
              <w:bottom w:val="single" w:color="auto" w:sz="4" w:space="0"/>
              <w:right w:val="single" w:color="auto" w:sz="4" w:space="0"/>
            </w:tcBorders>
            <w:shd w:val="clear"/>
            <w:vAlign w:val="center"/>
          </w:tcPr>
          <w:p w14:paraId="1BD2D95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必选要求全部满足</w:t>
            </w:r>
          </w:p>
        </w:tc>
        <w:tc>
          <w:tcPr>
            <w:tcW w:w="2681" w:type="dxa"/>
            <w:tcBorders>
              <w:top w:val="single" w:color="auto" w:sz="8" w:space="0"/>
              <w:left w:val="single" w:color="auto" w:sz="4" w:space="0"/>
              <w:bottom w:val="single" w:color="auto" w:sz="4" w:space="0"/>
              <w:right w:val="single" w:color="auto" w:sz="8" w:space="0"/>
            </w:tcBorders>
            <w:shd w:val="clear"/>
            <w:vAlign w:val="center"/>
          </w:tcPr>
          <w:p w14:paraId="08B9E3E6">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eastAsia="Segoe UI Symbol"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（一星级）</w:t>
            </w:r>
          </w:p>
        </w:tc>
      </w:tr>
      <w:tr w14:paraId="1E212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shd w:val="clear"/>
            <w:vAlign w:val="center"/>
          </w:tcPr>
          <w:p w14:paraId="1CAC4D7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w:t>
            </w:r>
          </w:p>
        </w:tc>
        <w:tc>
          <w:tcPr>
            <w:tcW w:w="5812" w:type="dxa"/>
            <w:tcBorders>
              <w:top w:val="single" w:color="auto" w:sz="4" w:space="0"/>
              <w:left w:val="single" w:color="auto" w:sz="4" w:space="0"/>
              <w:bottom w:val="single" w:color="auto" w:sz="4" w:space="0"/>
              <w:right w:val="single" w:color="auto" w:sz="4" w:space="0"/>
            </w:tcBorders>
            <w:shd w:val="clear"/>
            <w:vAlign w:val="center"/>
          </w:tcPr>
          <w:p w14:paraId="0B9055E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必选要求全部满足，且所有可选要求三分之一或以上满足</w:t>
            </w:r>
          </w:p>
        </w:tc>
        <w:tc>
          <w:tcPr>
            <w:tcW w:w="2681" w:type="dxa"/>
            <w:tcBorders>
              <w:top w:val="single" w:color="auto" w:sz="4" w:space="0"/>
              <w:left w:val="single" w:color="auto" w:sz="4" w:space="0"/>
              <w:bottom w:val="single" w:color="auto" w:sz="4" w:space="0"/>
              <w:right w:val="single" w:color="auto" w:sz="8" w:space="0"/>
            </w:tcBorders>
            <w:shd w:val="clear"/>
            <w:vAlign w:val="center"/>
          </w:tcPr>
          <w:p w14:paraId="728F6C3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eastAsia="Segoe UI Symbol"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（二星级）</w:t>
            </w:r>
          </w:p>
        </w:tc>
      </w:tr>
      <w:tr w14:paraId="103BA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shd w:val="clear"/>
            <w:vAlign w:val="center"/>
          </w:tcPr>
          <w:p w14:paraId="755A0FC6">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w:t>
            </w:r>
          </w:p>
        </w:tc>
        <w:tc>
          <w:tcPr>
            <w:tcW w:w="5812" w:type="dxa"/>
            <w:tcBorders>
              <w:top w:val="single" w:color="auto" w:sz="4" w:space="0"/>
              <w:left w:val="single" w:color="auto" w:sz="4" w:space="0"/>
              <w:bottom w:val="single" w:color="auto" w:sz="4" w:space="0"/>
              <w:right w:val="single" w:color="auto" w:sz="4" w:space="0"/>
            </w:tcBorders>
            <w:shd w:val="clear"/>
            <w:vAlign w:val="center"/>
          </w:tcPr>
          <w:p w14:paraId="2AF7551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必选要求全部满足，且所有可选要求三分之二或以上满足</w:t>
            </w:r>
          </w:p>
        </w:tc>
        <w:tc>
          <w:tcPr>
            <w:tcW w:w="2681" w:type="dxa"/>
            <w:tcBorders>
              <w:top w:val="single" w:color="auto" w:sz="4" w:space="0"/>
              <w:left w:val="single" w:color="auto" w:sz="4" w:space="0"/>
              <w:bottom w:val="single" w:color="auto" w:sz="4" w:space="0"/>
              <w:right w:val="single" w:color="auto" w:sz="8" w:space="0"/>
            </w:tcBorders>
            <w:shd w:val="clear"/>
            <w:vAlign w:val="center"/>
          </w:tcPr>
          <w:p w14:paraId="3A7AD73B">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eastAsia="Segoe UI Symbol"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（三星级）</w:t>
            </w:r>
          </w:p>
        </w:tc>
      </w:tr>
      <w:tr w14:paraId="29807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4" w:space="0"/>
              <w:left w:val="single" w:color="auto" w:sz="8" w:space="0"/>
              <w:bottom w:val="single" w:color="auto" w:sz="8" w:space="0"/>
              <w:right w:val="single" w:color="auto" w:sz="8" w:space="0"/>
            </w:tcBorders>
            <w:shd w:val="clear"/>
            <w:vAlign w:val="center"/>
          </w:tcPr>
          <w:p w14:paraId="075BB855">
            <w:pPr>
              <w:pStyle w:val="40"/>
              <w:widowControl/>
              <w:numPr>
                <w:ilvl w:val="0"/>
                <w:numId w:val="5"/>
              </w:numPr>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统计可选要求满足情况时，对于被评价产品不涉及的可选要求项目，统计可选要求数量时应扣除。</w:t>
            </w:r>
          </w:p>
        </w:tc>
      </w:tr>
    </w:tbl>
    <w:p w14:paraId="4A133B8E">
      <w:pPr>
        <w:pStyle w:val="35"/>
        <w:widowControl/>
        <w:spacing w:line="360" w:lineRule="auto"/>
        <w:ind w:left="0" w:firstLine="0" w:firstLineChars="0"/>
        <w:rPr>
          <w:rFonts w:hint="default" w:ascii="Times New Roman" w:hAnsi="Times New Roman" w:cs="Times New Roman"/>
          <w:sz w:val="28"/>
          <w:szCs w:val="28"/>
          <w:highlight w:val="none"/>
          <w:lang w:val="en-US"/>
        </w:rPr>
      </w:pPr>
    </w:p>
    <w:p w14:paraId="30A58211">
      <w:pPr>
        <w:pStyle w:val="35"/>
        <w:widowControl/>
        <w:spacing w:line="360" w:lineRule="auto"/>
        <w:ind w:left="0" w:firstLine="0" w:firstLineChars="0"/>
        <w:rPr>
          <w:rFonts w:hint="default" w:ascii="Times New Roman" w:hAnsi="Times New Roman" w:cs="Times New Roman"/>
          <w:sz w:val="28"/>
          <w:szCs w:val="28"/>
          <w:highlight w:val="none"/>
          <w:lang w:val="en-US"/>
        </w:rPr>
      </w:pPr>
    </w:p>
    <w:p w14:paraId="279335E9">
      <w:pPr>
        <w:pStyle w:val="35"/>
        <w:widowControl/>
        <w:spacing w:line="360" w:lineRule="auto"/>
        <w:ind w:left="0" w:firstLine="420"/>
        <w:rPr>
          <w:rFonts w:hint="default" w:ascii="Times New Roman" w:hAnsi="Times New Roman" w:cs="Times New Roman"/>
          <w:sz w:val="28"/>
          <w:szCs w:val="28"/>
          <w:highlight w:val="none"/>
          <w:lang w:val="en-US"/>
        </w:rPr>
      </w:pPr>
    </w:p>
    <w:p w14:paraId="2C574200">
      <w:pPr>
        <w:pStyle w:val="35"/>
        <w:widowControl/>
        <w:spacing w:line="360" w:lineRule="auto"/>
        <w:ind w:left="0" w:firstLine="420"/>
        <w:rPr>
          <w:rFonts w:hint="default" w:ascii="Times New Roman" w:hAnsi="Times New Roman" w:cs="Times New Roman"/>
          <w:sz w:val="28"/>
          <w:szCs w:val="28"/>
          <w:highlight w:val="none"/>
          <w:lang w:val="en-US"/>
        </w:rPr>
      </w:pPr>
    </w:p>
    <w:p w14:paraId="4436ED95">
      <w:pPr>
        <w:spacing w:line="360" w:lineRule="auto"/>
        <w:rPr>
          <w:rFonts w:hint="default" w:ascii="Times New Roman" w:hAnsi="Times New Roman" w:eastAsia="宋体" w:cs="Times New Roman"/>
          <w:sz w:val="28"/>
          <w:szCs w:val="28"/>
          <w:highlight w:val="none"/>
          <w:lang w:val="en-US" w:eastAsia="zh-CN" w:bidi="ar"/>
        </w:rPr>
        <w:sectPr>
          <w:footerReference r:id="rId4" w:type="default"/>
          <w:pgSz w:w="11906" w:h="16838"/>
          <w:pgMar w:top="1928" w:right="1135" w:bottom="1135" w:left="1135" w:header="1418" w:footer="1135" w:gutter="284"/>
          <w:paperSrc/>
          <w:pgNumType w:fmt="decimal" w:start="1"/>
          <w:cols w:space="425" w:num="1"/>
          <w:formProt w:val="0"/>
          <w:docGrid w:linePitch="312" w:charSpace="0"/>
        </w:sectPr>
      </w:pPr>
    </w:p>
    <w:p w14:paraId="29AA0057">
      <w:pPr>
        <w:pStyle w:val="42"/>
        <w:widowControl/>
        <w:numPr>
          <w:ilvl w:val="0"/>
          <w:numId w:val="2"/>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4" w:name="BookMark5"/>
      <w:r>
        <w:rPr>
          <w:rFonts w:hint="default" w:ascii="Times New Roman" w:hAnsi="Times New Roman" w:cs="Times New Roman"/>
          <w:color w:val="auto"/>
          <w:sz w:val="28"/>
          <w:szCs w:val="28"/>
          <w:highlight w:val="none"/>
          <w:lang w:val="en-US"/>
        </w:rPr>
        <w:br w:type="textWrapping"/>
      </w:r>
      <w:bookmarkStart w:id="55" w:name="_Toc192153886"/>
      <w:bookmarkStart w:id="56" w:name="_Toc179966959"/>
      <w:bookmarkStart w:id="57" w:name="_Toc179906352"/>
      <w:bookmarkStart w:id="58" w:name="_Toc179816572"/>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可持续性产品评价指标证明材料</w:t>
      </w:r>
      <w:bookmarkEnd w:id="55"/>
      <w:bookmarkEnd w:id="56"/>
      <w:bookmarkEnd w:id="57"/>
      <w:bookmarkEnd w:id="58"/>
    </w:p>
    <w:p w14:paraId="3C33A7E0">
      <w:pPr>
        <w:pStyle w:val="34"/>
        <w:widowControl/>
        <w:numPr>
          <w:ilvl w:val="1"/>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基本要求证明材料</w:t>
      </w:r>
    </w:p>
    <w:p w14:paraId="2C85D16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基本要求证明材料见表</w:t>
      </w:r>
      <w:r>
        <w:rPr>
          <w:rFonts w:hint="default" w:ascii="Times New Roman" w:hAnsi="Times New Roman" w:cs="Times New Roman"/>
          <w:sz w:val="28"/>
          <w:szCs w:val="28"/>
          <w:highlight w:val="none"/>
          <w:lang w:val="en-US"/>
        </w:rPr>
        <w:t>A.1</w:t>
      </w:r>
      <w:r>
        <w:rPr>
          <w:rFonts w:hint="default" w:ascii="Times New Roman" w:hAnsi="Times New Roman" w:cs="Times New Roman"/>
          <w:sz w:val="28"/>
          <w:szCs w:val="28"/>
          <w:highlight w:val="none"/>
          <w:lang w:eastAsia="zh-CN"/>
        </w:rPr>
        <w:t>。</w:t>
      </w:r>
    </w:p>
    <w:p w14:paraId="2F040D22">
      <w:pPr>
        <w:pStyle w:val="44"/>
        <w:widowControl/>
        <w:numPr>
          <w:ilvl w:val="1"/>
          <w:numId w:val="7"/>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基本要求证明材料</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4605"/>
        <w:gridCol w:w="804"/>
        <w:gridCol w:w="3302"/>
      </w:tblGrid>
      <w:tr w14:paraId="47C61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trPr>
        <w:tc>
          <w:tcPr>
            <w:tcW w:w="4952" w:type="dxa"/>
            <w:tcBorders>
              <w:top w:val="single" w:color="auto" w:sz="8" w:space="0"/>
              <w:left w:val="single" w:color="auto" w:sz="8" w:space="0"/>
              <w:bottom w:val="single" w:color="auto" w:sz="8" w:space="0"/>
              <w:right w:val="single" w:color="auto" w:sz="4" w:space="0"/>
            </w:tcBorders>
            <w:shd w:val="clear"/>
            <w:vAlign w:val="center"/>
          </w:tcPr>
          <w:p w14:paraId="06117F3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基本要求</w:t>
            </w:r>
          </w:p>
        </w:tc>
        <w:tc>
          <w:tcPr>
            <w:tcW w:w="850" w:type="dxa"/>
            <w:tcBorders>
              <w:top w:val="single" w:color="auto" w:sz="8" w:space="0"/>
              <w:left w:val="single" w:color="auto" w:sz="4" w:space="0"/>
              <w:bottom w:val="single" w:color="auto" w:sz="8" w:space="0"/>
              <w:right w:val="single" w:color="auto" w:sz="4" w:space="0"/>
            </w:tcBorders>
            <w:shd w:val="clear"/>
            <w:vAlign w:val="center"/>
          </w:tcPr>
          <w:p w14:paraId="457EF38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是否符合</w:t>
            </w:r>
          </w:p>
        </w:tc>
        <w:tc>
          <w:tcPr>
            <w:tcW w:w="3532" w:type="dxa"/>
            <w:tcBorders>
              <w:top w:val="single" w:color="auto" w:sz="8" w:space="0"/>
              <w:left w:val="single" w:color="auto" w:sz="4" w:space="0"/>
              <w:bottom w:val="single" w:color="auto" w:sz="8" w:space="0"/>
              <w:right w:val="single" w:color="auto" w:sz="8" w:space="0"/>
            </w:tcBorders>
            <w:shd w:val="clear"/>
            <w:vAlign w:val="center"/>
          </w:tcPr>
          <w:p w14:paraId="61EC85B6">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证明材料索引</w:t>
            </w:r>
          </w:p>
        </w:tc>
      </w:tr>
      <w:tr w14:paraId="6E414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tcBorders>
              <w:top w:val="single" w:color="auto" w:sz="8" w:space="0"/>
              <w:left w:val="single" w:color="auto" w:sz="8" w:space="0"/>
              <w:bottom w:val="single" w:color="auto" w:sz="4" w:space="0"/>
              <w:right w:val="single" w:color="auto" w:sz="4" w:space="0"/>
            </w:tcBorders>
            <w:shd w:val="clear"/>
            <w:vAlign w:val="center"/>
          </w:tcPr>
          <w:p w14:paraId="0F89FF8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近三年，企业及原材料供应商应无环境、安全重大及以上事故</w:t>
            </w:r>
          </w:p>
        </w:tc>
        <w:tc>
          <w:tcPr>
            <w:tcW w:w="850" w:type="dxa"/>
            <w:tcBorders>
              <w:top w:val="single" w:color="auto" w:sz="8" w:space="0"/>
              <w:left w:val="single" w:color="auto" w:sz="4" w:space="0"/>
              <w:bottom w:val="single" w:color="auto" w:sz="4" w:space="0"/>
              <w:right w:val="single" w:color="auto" w:sz="4" w:space="0"/>
            </w:tcBorders>
            <w:shd w:val="clear"/>
            <w:vAlign w:val="center"/>
          </w:tcPr>
          <w:p w14:paraId="3B78C7C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532" w:type="dxa"/>
            <w:tcBorders>
              <w:top w:val="single" w:color="auto" w:sz="8" w:space="0"/>
              <w:left w:val="single" w:color="auto" w:sz="4" w:space="0"/>
              <w:bottom w:val="single" w:color="auto" w:sz="4" w:space="0"/>
              <w:right w:val="single" w:color="auto" w:sz="8" w:space="0"/>
            </w:tcBorders>
            <w:shd w:val="clear"/>
            <w:vAlign w:val="center"/>
          </w:tcPr>
          <w:p w14:paraId="37A5B26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无环境、安全重大及以上事故的声明；</w:t>
            </w:r>
          </w:p>
          <w:p w14:paraId="6482D9E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通过环境管理部门及应急管理部门官方渠道查询核实</w:t>
            </w:r>
          </w:p>
        </w:tc>
      </w:tr>
      <w:tr w14:paraId="6C269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tcBorders>
              <w:top w:val="single" w:color="auto" w:sz="4" w:space="0"/>
              <w:left w:val="single" w:color="auto" w:sz="8" w:space="0"/>
              <w:bottom w:val="single" w:color="auto" w:sz="4" w:space="0"/>
              <w:right w:val="single" w:color="auto" w:sz="4" w:space="0"/>
            </w:tcBorders>
            <w:shd w:val="clear"/>
            <w:vAlign w:val="center"/>
          </w:tcPr>
          <w:p w14:paraId="6CC5715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企业应无不良信誉记录</w:t>
            </w:r>
          </w:p>
        </w:tc>
        <w:tc>
          <w:tcPr>
            <w:tcW w:w="850" w:type="dxa"/>
            <w:tcBorders>
              <w:top w:val="single" w:color="auto" w:sz="4" w:space="0"/>
              <w:left w:val="single" w:color="auto" w:sz="4" w:space="0"/>
              <w:bottom w:val="single" w:color="auto" w:sz="4" w:space="0"/>
              <w:right w:val="single" w:color="auto" w:sz="4" w:space="0"/>
            </w:tcBorders>
            <w:shd w:val="clear"/>
            <w:vAlign w:val="center"/>
          </w:tcPr>
          <w:p w14:paraId="79163FA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532" w:type="dxa"/>
            <w:tcBorders>
              <w:top w:val="single" w:color="auto" w:sz="4" w:space="0"/>
              <w:left w:val="single" w:color="auto" w:sz="4" w:space="0"/>
              <w:bottom w:val="single" w:color="auto" w:sz="4" w:space="0"/>
              <w:right w:val="single" w:color="auto" w:sz="8" w:space="0"/>
            </w:tcBorders>
            <w:shd w:val="clear"/>
            <w:vAlign w:val="center"/>
          </w:tcPr>
          <w:p w14:paraId="7C70F9C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国家公共信用信息中心等查询结果</w:t>
            </w:r>
          </w:p>
        </w:tc>
      </w:tr>
      <w:tr w14:paraId="599B2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tcBorders>
              <w:top w:val="single" w:color="auto" w:sz="4" w:space="0"/>
              <w:left w:val="single" w:color="auto" w:sz="8" w:space="0"/>
              <w:bottom w:val="single" w:color="auto" w:sz="4" w:space="0"/>
              <w:right w:val="single" w:color="auto" w:sz="4" w:space="0"/>
            </w:tcBorders>
            <w:shd w:val="clear"/>
            <w:vAlign w:val="center"/>
          </w:tcPr>
          <w:p w14:paraId="6F40304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企业应将可持续发展理念纳入发展战略规划，明确管理目标、计划和措施</w:t>
            </w:r>
          </w:p>
        </w:tc>
        <w:tc>
          <w:tcPr>
            <w:tcW w:w="850" w:type="dxa"/>
            <w:tcBorders>
              <w:top w:val="single" w:color="auto" w:sz="4" w:space="0"/>
              <w:left w:val="single" w:color="auto" w:sz="4" w:space="0"/>
              <w:bottom w:val="single" w:color="auto" w:sz="4" w:space="0"/>
              <w:right w:val="single" w:color="auto" w:sz="4" w:space="0"/>
            </w:tcBorders>
            <w:shd w:val="clear"/>
            <w:vAlign w:val="center"/>
          </w:tcPr>
          <w:p w14:paraId="2394EA0C">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532" w:type="dxa"/>
            <w:tcBorders>
              <w:top w:val="single" w:color="auto" w:sz="4" w:space="0"/>
              <w:left w:val="single" w:color="auto" w:sz="4" w:space="0"/>
              <w:bottom w:val="single" w:color="auto" w:sz="4" w:space="0"/>
              <w:right w:val="single" w:color="auto" w:sz="8" w:space="0"/>
            </w:tcBorders>
            <w:shd w:val="clear"/>
            <w:vAlign w:val="center"/>
          </w:tcPr>
          <w:p w14:paraId="13BCE85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可持续发展建设规划方案</w:t>
            </w:r>
          </w:p>
        </w:tc>
      </w:tr>
      <w:tr w14:paraId="5928B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4952" w:type="dxa"/>
            <w:tcBorders>
              <w:top w:val="single" w:color="auto" w:sz="4" w:space="0"/>
              <w:left w:val="single" w:color="auto" w:sz="8" w:space="0"/>
              <w:bottom w:val="single" w:color="auto" w:sz="8" w:space="0"/>
              <w:right w:val="single" w:color="auto" w:sz="4" w:space="0"/>
            </w:tcBorders>
            <w:shd w:val="clear"/>
            <w:vAlign w:val="center"/>
          </w:tcPr>
          <w:p w14:paraId="02B41A7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产品质量应符合标注的执行标准及对应的强制性国家标准要求</w:t>
            </w:r>
          </w:p>
        </w:tc>
        <w:tc>
          <w:tcPr>
            <w:tcW w:w="850" w:type="dxa"/>
            <w:tcBorders>
              <w:top w:val="single" w:color="auto" w:sz="4" w:space="0"/>
              <w:left w:val="single" w:color="auto" w:sz="4" w:space="0"/>
              <w:bottom w:val="single" w:color="auto" w:sz="8" w:space="0"/>
              <w:right w:val="single" w:color="auto" w:sz="4" w:space="0"/>
            </w:tcBorders>
            <w:shd w:val="clear"/>
            <w:vAlign w:val="center"/>
          </w:tcPr>
          <w:p w14:paraId="0DE9A77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532" w:type="dxa"/>
            <w:tcBorders>
              <w:top w:val="single" w:color="auto" w:sz="4" w:space="0"/>
              <w:left w:val="single" w:color="auto" w:sz="4" w:space="0"/>
              <w:bottom w:val="single" w:color="auto" w:sz="8" w:space="0"/>
              <w:right w:val="single" w:color="auto" w:sz="8" w:space="0"/>
            </w:tcBorders>
            <w:shd w:val="clear"/>
            <w:vAlign w:val="center"/>
          </w:tcPr>
          <w:p w14:paraId="05991F9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产品质量信息及标准符合情况</w:t>
            </w:r>
          </w:p>
        </w:tc>
      </w:tr>
    </w:tbl>
    <w:p w14:paraId="40A75490">
      <w:pPr>
        <w:pStyle w:val="34"/>
        <w:widowControl/>
        <w:numPr>
          <w:ilvl w:val="1"/>
          <w:numId w:val="2"/>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评价指标要求证明材料</w:t>
      </w:r>
    </w:p>
    <w:p w14:paraId="78A3D19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评价指标要求证明材料见表</w:t>
      </w:r>
      <w:r>
        <w:rPr>
          <w:rFonts w:hint="default" w:ascii="Times New Roman" w:hAnsi="Times New Roman" w:cs="Times New Roman"/>
          <w:sz w:val="28"/>
          <w:szCs w:val="28"/>
          <w:highlight w:val="none"/>
          <w:lang w:val="en-US"/>
        </w:rPr>
        <w:t>A.2</w:t>
      </w:r>
      <w:r>
        <w:rPr>
          <w:rFonts w:hint="default" w:ascii="Times New Roman" w:hAnsi="Times New Roman" w:cs="Times New Roman"/>
          <w:sz w:val="28"/>
          <w:szCs w:val="28"/>
          <w:highlight w:val="none"/>
          <w:lang w:eastAsia="zh-CN"/>
        </w:rPr>
        <w:t>。</w:t>
      </w:r>
    </w:p>
    <w:p w14:paraId="31B0DD58">
      <w:pPr>
        <w:pStyle w:val="44"/>
        <w:widowControl/>
        <w:numPr>
          <w:ilvl w:val="1"/>
          <w:numId w:val="7"/>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评价指标要求证明材料</w:t>
      </w:r>
    </w:p>
    <w:tbl>
      <w:tblPr>
        <w:tblStyle w:val="13"/>
        <w:tblW w:w="87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766"/>
        <w:gridCol w:w="405"/>
        <w:gridCol w:w="3661"/>
        <w:gridCol w:w="756"/>
        <w:gridCol w:w="3123"/>
      </w:tblGrid>
      <w:tr w14:paraId="56DF6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hidden/>
        </w:trPr>
        <w:tc>
          <w:tcPr>
            <w:tcW w:w="766" w:type="dxa"/>
            <w:tcBorders>
              <w:top w:val="single" w:color="auto" w:sz="8" w:space="0"/>
              <w:left w:val="single" w:color="auto" w:sz="8" w:space="0"/>
              <w:bottom w:val="single" w:color="auto" w:sz="8" w:space="0"/>
              <w:right w:val="single" w:color="auto" w:sz="4" w:space="0"/>
            </w:tcBorders>
            <w:shd w:val="clear"/>
            <w:vAlign w:val="center"/>
          </w:tcPr>
          <w:p w14:paraId="09A3E7B0">
            <w:pPr>
              <w:pStyle w:val="53"/>
              <w:widowControl/>
              <w:numPr>
                <w:ilvl w:val="0"/>
                <w:numId w:val="7"/>
              </w:numPr>
              <w:tabs>
                <w:tab w:val="left" w:pos="420"/>
                <w:tab w:val="clear" w:pos="360"/>
              </w:tabs>
              <w:spacing w:line="360" w:lineRule="auto"/>
              <w:ind w:left="425" w:firstLine="0"/>
              <w:rPr>
                <w:rFonts w:hint="default" w:ascii="Times New Roman" w:hAnsi="Times New Roman" w:cs="Times New Roman"/>
                <w:vanish/>
                <w:sz w:val="28"/>
                <w:szCs w:val="28"/>
                <w:highlight w:val="none"/>
                <w:bdr w:val="none" w:color="auto" w:sz="0" w:space="0"/>
                <w:lang w:val="en-US"/>
              </w:rPr>
            </w:pPr>
            <w:r>
              <w:rPr>
                <w:rFonts w:hint="default" w:ascii="Times New Roman" w:hAnsi="Times New Roman" w:eastAsia="黑体" w:cs="Times New Roman"/>
                <w:vanish/>
                <w:sz w:val="28"/>
                <w:szCs w:val="28"/>
                <w:highlight w:val="none"/>
                <w:bdr w:val="none" w:color="auto" w:sz="0" w:space="0"/>
              </w:rPr>
              <w:t>要求</w:t>
            </w:r>
          </w:p>
          <w:p w14:paraId="399E765E">
            <w:pPr>
              <w:pStyle w:val="53"/>
              <w:widowControl/>
              <w:numPr>
                <w:ilvl w:val="0"/>
                <w:numId w:val="7"/>
              </w:numPr>
              <w:tabs>
                <w:tab w:val="left" w:pos="420"/>
                <w:tab w:val="clear" w:pos="360"/>
              </w:tabs>
              <w:spacing w:line="360" w:lineRule="auto"/>
              <w:ind w:left="425" w:firstLine="0"/>
              <w:rPr>
                <w:rFonts w:hint="default" w:ascii="Times New Roman" w:hAnsi="Times New Roman" w:cs="Times New Roman"/>
                <w:vanish/>
                <w:sz w:val="28"/>
                <w:szCs w:val="28"/>
                <w:highlight w:val="none"/>
                <w:bdr w:val="none" w:color="auto" w:sz="0" w:space="0"/>
                <w:lang w:val="en-US"/>
              </w:rPr>
            </w:pPr>
            <w:r>
              <w:rPr>
                <w:rFonts w:hint="default" w:ascii="Times New Roman" w:hAnsi="Times New Roman" w:eastAsia="黑体" w:cs="Times New Roman"/>
                <w:vanish/>
                <w:sz w:val="28"/>
                <w:szCs w:val="28"/>
                <w:highlight w:val="none"/>
                <w:bdr w:val="none" w:color="auto" w:sz="0" w:space="0"/>
              </w:rPr>
              <w:t>类型</w:t>
            </w:r>
          </w:p>
          <w:p w14:paraId="6ED2E621">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指标要求</w:t>
            </w:r>
          </w:p>
          <w:p w14:paraId="5D4B06B1">
            <w:pPr>
              <w:pStyle w:val="53"/>
              <w:widowControl/>
              <w:numPr>
                <w:ilvl w:val="0"/>
                <w:numId w:val="7"/>
              </w:numPr>
              <w:tabs>
                <w:tab w:val="left" w:pos="420"/>
                <w:tab w:val="clear" w:pos="360"/>
              </w:tabs>
              <w:spacing w:line="360" w:lineRule="auto"/>
              <w:ind w:left="425" w:firstLine="0"/>
              <w:rPr>
                <w:rFonts w:hint="default" w:ascii="Times New Roman" w:hAnsi="Times New Roman" w:cs="Times New Roman"/>
                <w:vanish/>
                <w:sz w:val="28"/>
                <w:szCs w:val="28"/>
                <w:highlight w:val="none"/>
                <w:bdr w:val="none" w:color="auto" w:sz="0" w:space="0"/>
                <w:lang w:val="en-US"/>
              </w:rPr>
            </w:pPr>
          </w:p>
        </w:tc>
        <w:tc>
          <w:tcPr>
            <w:tcW w:w="405" w:type="dxa"/>
            <w:tcBorders>
              <w:top w:val="single" w:color="auto" w:sz="8" w:space="0"/>
              <w:left w:val="single" w:color="auto" w:sz="4" w:space="0"/>
              <w:bottom w:val="single" w:color="auto" w:sz="8" w:space="0"/>
              <w:right w:val="single" w:color="auto" w:sz="4" w:space="0"/>
            </w:tcBorders>
            <w:shd w:val="clear"/>
            <w:vAlign w:val="center"/>
          </w:tcPr>
          <w:p w14:paraId="7819D27B">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要求类型</w:t>
            </w:r>
          </w:p>
        </w:tc>
        <w:tc>
          <w:tcPr>
            <w:tcW w:w="3661" w:type="dxa"/>
            <w:tcBorders>
              <w:top w:val="single" w:color="auto" w:sz="8" w:space="0"/>
              <w:left w:val="single" w:color="auto" w:sz="4" w:space="0"/>
              <w:bottom w:val="single" w:color="auto" w:sz="8" w:space="0"/>
              <w:right w:val="single" w:color="auto" w:sz="4" w:space="0"/>
            </w:tcBorders>
            <w:shd w:val="clear"/>
            <w:vAlign w:val="center"/>
          </w:tcPr>
          <w:p w14:paraId="37188A61">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评价要求</w:t>
            </w:r>
          </w:p>
        </w:tc>
        <w:tc>
          <w:tcPr>
            <w:tcW w:w="756" w:type="dxa"/>
            <w:tcBorders>
              <w:top w:val="single" w:color="auto" w:sz="8" w:space="0"/>
              <w:left w:val="single" w:color="auto" w:sz="4" w:space="0"/>
              <w:bottom w:val="single" w:color="auto" w:sz="8" w:space="0"/>
              <w:right w:val="single" w:color="auto" w:sz="4" w:space="0"/>
            </w:tcBorders>
            <w:shd w:val="clear"/>
            <w:vAlign w:val="center"/>
          </w:tcPr>
          <w:p w14:paraId="3D41CF5A">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是否符合</w:t>
            </w:r>
          </w:p>
        </w:tc>
        <w:tc>
          <w:tcPr>
            <w:tcW w:w="3123" w:type="dxa"/>
            <w:tcBorders>
              <w:top w:val="single" w:color="auto" w:sz="8" w:space="0"/>
              <w:left w:val="single" w:color="auto" w:sz="4" w:space="0"/>
              <w:bottom w:val="single" w:color="auto" w:sz="8" w:space="0"/>
              <w:right w:val="single" w:color="auto" w:sz="8" w:space="0"/>
            </w:tcBorders>
            <w:shd w:val="clear"/>
            <w:vAlign w:val="center"/>
          </w:tcPr>
          <w:p w14:paraId="6B6F03DF">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证明材料索引</w:t>
            </w:r>
          </w:p>
        </w:tc>
      </w:tr>
      <w:tr w14:paraId="6678A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restart"/>
            <w:tcBorders>
              <w:top w:val="single" w:color="auto" w:sz="8" w:space="0"/>
              <w:left w:val="single" w:color="auto" w:sz="8" w:space="0"/>
              <w:bottom w:val="single" w:color="auto" w:sz="4" w:space="0"/>
              <w:right w:val="single" w:color="auto" w:sz="4" w:space="0"/>
            </w:tcBorders>
            <w:shd w:val="clear"/>
            <w:vAlign w:val="center"/>
          </w:tcPr>
          <w:p w14:paraId="0CE70F32">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w:t>
            </w:r>
          </w:p>
        </w:tc>
        <w:tc>
          <w:tcPr>
            <w:tcW w:w="405" w:type="dxa"/>
            <w:vMerge w:val="restart"/>
            <w:tcBorders>
              <w:top w:val="single" w:color="auto" w:sz="8" w:space="0"/>
              <w:left w:val="single" w:color="auto" w:sz="4" w:space="0"/>
              <w:bottom w:val="single" w:color="auto" w:sz="4" w:space="0"/>
              <w:right w:val="single" w:color="auto" w:sz="4" w:space="0"/>
            </w:tcBorders>
            <w:shd w:val="clear"/>
            <w:vAlign w:val="center"/>
          </w:tcPr>
          <w:p w14:paraId="6C41F77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w:t>
            </w:r>
          </w:p>
        </w:tc>
        <w:tc>
          <w:tcPr>
            <w:tcW w:w="3661" w:type="dxa"/>
            <w:tcBorders>
              <w:top w:val="single" w:color="auto" w:sz="8" w:space="0"/>
              <w:left w:val="single" w:color="auto" w:sz="4" w:space="0"/>
              <w:bottom w:val="single" w:color="auto" w:sz="4" w:space="0"/>
              <w:right w:val="single" w:color="auto" w:sz="4" w:space="0"/>
            </w:tcBorders>
            <w:shd w:val="clear"/>
            <w:vAlign w:val="center"/>
          </w:tcPr>
          <w:p w14:paraId="26BAAEB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研磨丝杆产品使用的原材料应符合标注的执行标准及相应的强制性国家标准要求</w:t>
            </w:r>
          </w:p>
        </w:tc>
        <w:tc>
          <w:tcPr>
            <w:tcW w:w="756" w:type="dxa"/>
            <w:tcBorders>
              <w:top w:val="single" w:color="auto" w:sz="8" w:space="0"/>
              <w:left w:val="single" w:color="auto" w:sz="4" w:space="0"/>
              <w:bottom w:val="single" w:color="auto" w:sz="4" w:space="0"/>
              <w:right w:val="single" w:color="auto" w:sz="4" w:space="0"/>
            </w:tcBorders>
            <w:shd w:val="clear"/>
            <w:vAlign w:val="center"/>
          </w:tcPr>
          <w:p w14:paraId="7FA66BB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8" w:space="0"/>
              <w:left w:val="single" w:color="auto" w:sz="4" w:space="0"/>
              <w:bottom w:val="single" w:color="auto" w:sz="4" w:space="0"/>
              <w:right w:val="single" w:color="auto" w:sz="8" w:space="0"/>
            </w:tcBorders>
            <w:shd w:val="clear"/>
            <w:vAlign w:val="center"/>
          </w:tcPr>
          <w:p w14:paraId="16B9B25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产品质量信息及标准符合情况，提供该款产品的型式检验报告</w:t>
            </w:r>
          </w:p>
        </w:tc>
      </w:tr>
      <w:tr w14:paraId="1B2F3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8" w:space="0"/>
              <w:left w:val="single" w:color="auto" w:sz="8" w:space="0"/>
              <w:bottom w:val="single" w:color="auto" w:sz="4" w:space="0"/>
              <w:right w:val="single" w:color="auto" w:sz="4" w:space="0"/>
            </w:tcBorders>
            <w:shd w:val="clear"/>
            <w:vAlign w:val="center"/>
          </w:tcPr>
          <w:p w14:paraId="57B14050">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8" w:space="0"/>
              <w:left w:val="single" w:color="auto" w:sz="4" w:space="0"/>
              <w:bottom w:val="single" w:color="auto" w:sz="4" w:space="0"/>
              <w:right w:val="single" w:color="auto" w:sz="4" w:space="0"/>
            </w:tcBorders>
            <w:shd w:val="clear"/>
            <w:vAlign w:val="center"/>
          </w:tcPr>
          <w:p w14:paraId="52A9F04F">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5DA8612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研磨丝杆产品应至少使用表</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中所列</w:t>
            </w: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种原材料中的</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种</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349D9EA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EB4E1B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原材料的使用清单；</w:t>
            </w:r>
          </w:p>
          <w:p w14:paraId="2ADFE4C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原材料采购清单；</w:t>
            </w:r>
          </w:p>
          <w:p w14:paraId="09440945">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相关材料的检验报告；</w:t>
            </w:r>
          </w:p>
          <w:p w14:paraId="2EEA552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相关材料认证证明材料</w:t>
            </w:r>
          </w:p>
        </w:tc>
      </w:tr>
      <w:tr w14:paraId="4360C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8" w:space="0"/>
              <w:left w:val="single" w:color="auto" w:sz="8" w:space="0"/>
              <w:bottom w:val="single" w:color="auto" w:sz="4" w:space="0"/>
              <w:right w:val="single" w:color="auto" w:sz="4" w:space="0"/>
            </w:tcBorders>
            <w:shd w:val="clear"/>
            <w:vAlign w:val="center"/>
          </w:tcPr>
          <w:p w14:paraId="21673709">
            <w:pPr>
              <w:spacing w:line="360" w:lineRule="auto"/>
              <w:rPr>
                <w:rFonts w:hint="default" w:ascii="Times New Roman" w:hAnsi="Times New Roman" w:cs="Times New Roman"/>
                <w:sz w:val="28"/>
                <w:szCs w:val="28"/>
                <w:highlight w:val="none"/>
              </w:rPr>
            </w:pP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0697C2FE">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B7655E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不使用列入《关于持久性有机污染物的斯德哥尔摩公约》的所有持久性有机污染物</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0E5CB83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4A1FC8B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原材料符合性的自我声明或检测报告</w:t>
            </w:r>
          </w:p>
        </w:tc>
      </w:tr>
      <w:tr w14:paraId="44D75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8" w:space="0"/>
              <w:left w:val="single" w:color="auto" w:sz="8" w:space="0"/>
              <w:bottom w:val="single" w:color="auto" w:sz="4" w:space="0"/>
              <w:right w:val="single" w:color="auto" w:sz="4" w:space="0"/>
            </w:tcBorders>
            <w:shd w:val="clear"/>
            <w:vAlign w:val="center"/>
          </w:tcPr>
          <w:p w14:paraId="3BF4755D">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7A02FD2C">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2C283C5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研磨丝杆产品使用的原材料购自获评省级或国家级</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绿色工厂</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的企业</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117BDDA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49D5B60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原材料的使用清单；</w:t>
            </w:r>
          </w:p>
          <w:p w14:paraId="34B4AFC9">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原材料采购清单；</w:t>
            </w:r>
          </w:p>
          <w:p w14:paraId="5FD657F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供应商标准符合性证明材料</w:t>
            </w:r>
          </w:p>
        </w:tc>
      </w:tr>
      <w:tr w14:paraId="3B9D2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restart"/>
            <w:tcBorders>
              <w:top w:val="single" w:color="auto" w:sz="4" w:space="0"/>
              <w:left w:val="single" w:color="auto" w:sz="8" w:space="0"/>
              <w:bottom w:val="single" w:color="auto" w:sz="4" w:space="0"/>
              <w:right w:val="single" w:color="auto" w:sz="4" w:space="0"/>
            </w:tcBorders>
            <w:shd w:val="clear"/>
            <w:vAlign w:val="center"/>
          </w:tcPr>
          <w:p w14:paraId="307B6DC8">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生产工艺</w:t>
            </w: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2E3B0E28">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E98A23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不使用《高耗能落后机电设备（产品）淘汰目录》《部分工业行业淘汰落后生产工艺装备和产品指导目录》等文件中已明令禁止使用的设备设施</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71DAAC8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6803E71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设施设备采购清单</w:t>
            </w:r>
          </w:p>
        </w:tc>
      </w:tr>
      <w:tr w14:paraId="3B2EF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166E5E76">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0D4924E9">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18169829">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采用效率高、能耗低、碳排放低、水耗低、物耗低的生产设备及生产工艺</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0CF7DE66">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660266E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采用的先进工艺技术说明及相关证明材料</w:t>
            </w:r>
          </w:p>
        </w:tc>
      </w:tr>
      <w:tr w14:paraId="2B211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43E61E67">
            <w:pPr>
              <w:spacing w:line="360" w:lineRule="auto"/>
              <w:rPr>
                <w:rFonts w:hint="default" w:ascii="Times New Roman" w:hAnsi="Times New Roman" w:cs="Times New Roman"/>
                <w:sz w:val="28"/>
                <w:szCs w:val="28"/>
                <w:highlight w:val="none"/>
              </w:rPr>
            </w:pP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4468632D">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631373E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生产工艺采用数字化、智能化、绿色化技术</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64F8370C">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5AC6D66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工艺技术信息说明</w:t>
            </w:r>
          </w:p>
        </w:tc>
      </w:tr>
      <w:tr w14:paraId="09417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68A52A4B">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25794850">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491072A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整合采用无氟防水、水性涂层等清洁化工艺</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72A4B70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60F76D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工艺技术信息说明及相关证明材料，如无氟测试报告、水性涂层</w:t>
            </w:r>
            <w:r>
              <w:rPr>
                <w:rFonts w:hint="default" w:ascii="Times New Roman" w:hAnsi="Times New Roman" w:cs="Times New Roman"/>
                <w:sz w:val="28"/>
                <w:szCs w:val="28"/>
                <w:highlight w:val="none"/>
                <w:bdr w:val="none" w:color="auto" w:sz="0" w:space="0"/>
                <w:lang w:val="en-US"/>
              </w:rPr>
              <w:t>VOC</w:t>
            </w:r>
            <w:r>
              <w:rPr>
                <w:rFonts w:hint="default" w:ascii="Times New Roman" w:hAnsi="Times New Roman" w:cs="Times New Roman"/>
                <w:sz w:val="28"/>
                <w:szCs w:val="28"/>
                <w:highlight w:val="none"/>
                <w:bdr w:val="none" w:color="auto" w:sz="0" w:space="0"/>
              </w:rPr>
              <w:t>测试报告等</w:t>
            </w:r>
          </w:p>
        </w:tc>
      </w:tr>
      <w:tr w14:paraId="09F91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4A4E93A7">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0CFF4FB6">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D18DB7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建立能耗、物耗以及废弃物排放统计监测体系，根据监测结果进行改善</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2FADFDF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6B31B40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能源的使用情况说明；</w:t>
            </w:r>
          </w:p>
          <w:p w14:paraId="025CCC1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原材料的使用情况说明；</w:t>
            </w:r>
          </w:p>
          <w:p w14:paraId="75573F6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废弃物的监测数据；</w:t>
            </w:r>
          </w:p>
          <w:p w14:paraId="45595B8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改善情况的证明材料等</w:t>
            </w:r>
          </w:p>
        </w:tc>
      </w:tr>
      <w:tr w14:paraId="1072C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tcBorders>
              <w:top w:val="single" w:color="auto" w:sz="4" w:space="0"/>
              <w:left w:val="single" w:color="auto" w:sz="8" w:space="0"/>
              <w:bottom w:val="single" w:color="auto" w:sz="8" w:space="0"/>
              <w:right w:val="single" w:color="auto" w:sz="4" w:space="0"/>
            </w:tcBorders>
            <w:shd w:val="clear"/>
            <w:vAlign w:val="center"/>
          </w:tcPr>
          <w:p w14:paraId="534194EE">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w:t>
            </w:r>
          </w:p>
        </w:tc>
        <w:tc>
          <w:tcPr>
            <w:tcW w:w="405" w:type="dxa"/>
            <w:tcBorders>
              <w:top w:val="single" w:color="auto" w:sz="4" w:space="0"/>
              <w:left w:val="single" w:color="auto" w:sz="4" w:space="0"/>
              <w:bottom w:val="single" w:color="auto" w:sz="8" w:space="0"/>
              <w:right w:val="single" w:color="auto" w:sz="4" w:space="0"/>
            </w:tcBorders>
            <w:shd w:val="clear"/>
            <w:vAlign w:val="center"/>
          </w:tcPr>
          <w:p w14:paraId="5CA020C3">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w:t>
            </w:r>
          </w:p>
        </w:tc>
        <w:tc>
          <w:tcPr>
            <w:tcW w:w="3661" w:type="dxa"/>
            <w:tcBorders>
              <w:top w:val="single" w:color="auto" w:sz="4" w:space="0"/>
              <w:left w:val="single" w:color="auto" w:sz="4" w:space="0"/>
              <w:bottom w:val="single" w:color="auto" w:sz="8" w:space="0"/>
              <w:right w:val="single" w:color="auto" w:sz="4" w:space="0"/>
            </w:tcBorders>
            <w:shd w:val="clear"/>
            <w:vAlign w:val="center"/>
          </w:tcPr>
          <w:p w14:paraId="3231FA3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包装材料的选取，应注意包装废弃物对环境的影响，包装材料中铅、镉、汞和六价铬的总含量应满足</w:t>
            </w:r>
            <w:r>
              <w:rPr>
                <w:rFonts w:hint="default" w:ascii="Times New Roman" w:hAnsi="Times New Roman" w:cs="Times New Roman"/>
                <w:sz w:val="28"/>
                <w:szCs w:val="28"/>
                <w:highlight w:val="none"/>
                <w:bdr w:val="none" w:color="auto" w:sz="0" w:space="0"/>
                <w:lang w:val="en-US"/>
              </w:rPr>
              <w:t>GB/T 16716.1</w:t>
            </w:r>
            <w:r>
              <w:rPr>
                <w:rFonts w:hint="default" w:ascii="Times New Roman" w:hAnsi="Times New Roman" w:cs="Times New Roman"/>
                <w:sz w:val="28"/>
                <w:szCs w:val="28"/>
                <w:highlight w:val="none"/>
                <w:bdr w:val="none" w:color="auto" w:sz="0" w:space="0"/>
              </w:rPr>
              <w:t>的相关要求</w:t>
            </w:r>
          </w:p>
        </w:tc>
        <w:tc>
          <w:tcPr>
            <w:tcW w:w="756" w:type="dxa"/>
            <w:tcBorders>
              <w:top w:val="single" w:color="auto" w:sz="4" w:space="0"/>
              <w:left w:val="single" w:color="auto" w:sz="4" w:space="0"/>
              <w:bottom w:val="single" w:color="auto" w:sz="8" w:space="0"/>
              <w:right w:val="single" w:color="auto" w:sz="4" w:space="0"/>
            </w:tcBorders>
            <w:shd w:val="clear"/>
            <w:vAlign w:val="center"/>
          </w:tcPr>
          <w:p w14:paraId="3A53382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8" w:space="0"/>
              <w:right w:val="single" w:color="auto" w:sz="8" w:space="0"/>
            </w:tcBorders>
            <w:shd w:val="clear"/>
            <w:vAlign w:val="center"/>
          </w:tcPr>
          <w:p w14:paraId="2889206C">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p w14:paraId="54DF222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包装材料化学限量物质检测报告等证明材料</w:t>
            </w:r>
          </w:p>
        </w:tc>
      </w:tr>
      <w:bookmarkEnd w:id="54"/>
      <w:tr w14:paraId="7EE6D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hidden/>
        </w:trPr>
        <w:tc>
          <w:tcPr>
            <w:tcW w:w="766" w:type="dxa"/>
            <w:tcBorders>
              <w:top w:val="single" w:color="auto" w:sz="8" w:space="0"/>
              <w:left w:val="single" w:color="auto" w:sz="8" w:space="0"/>
              <w:bottom w:val="single" w:color="auto" w:sz="8" w:space="0"/>
              <w:right w:val="single" w:color="auto" w:sz="4" w:space="0"/>
            </w:tcBorders>
            <w:shd w:val="clear"/>
            <w:vAlign w:val="center"/>
          </w:tcPr>
          <w:p w14:paraId="33A5D422">
            <w:pPr>
              <w:pStyle w:val="53"/>
              <w:widowControl/>
              <w:numPr>
                <w:ilvl w:val="0"/>
                <w:numId w:val="7"/>
              </w:numPr>
              <w:tabs>
                <w:tab w:val="left" w:pos="420"/>
                <w:tab w:val="clear" w:pos="360"/>
              </w:tabs>
              <w:spacing w:line="360" w:lineRule="auto"/>
              <w:ind w:left="425" w:firstLine="0"/>
              <w:rPr>
                <w:rFonts w:hint="default" w:ascii="Times New Roman" w:hAnsi="Times New Roman" w:cs="Times New Roman"/>
                <w:vanish/>
                <w:sz w:val="28"/>
                <w:szCs w:val="28"/>
                <w:highlight w:val="none"/>
                <w:bdr w:val="none" w:color="auto" w:sz="0" w:space="0"/>
                <w:lang w:val="en-US"/>
              </w:rPr>
            </w:pPr>
            <w:r>
              <w:rPr>
                <w:rFonts w:hint="default" w:ascii="Times New Roman" w:hAnsi="Times New Roman" w:eastAsia="黑体" w:cs="Times New Roman"/>
                <w:vanish/>
                <w:sz w:val="28"/>
                <w:szCs w:val="28"/>
                <w:highlight w:val="none"/>
                <w:bdr w:val="none" w:color="auto" w:sz="0" w:space="0"/>
              </w:rPr>
              <w:t>要求</w:t>
            </w:r>
          </w:p>
          <w:p w14:paraId="4702C4F6">
            <w:pPr>
              <w:pStyle w:val="53"/>
              <w:widowControl/>
              <w:numPr>
                <w:ilvl w:val="0"/>
                <w:numId w:val="7"/>
              </w:numPr>
              <w:tabs>
                <w:tab w:val="left" w:pos="420"/>
                <w:tab w:val="clear" w:pos="360"/>
              </w:tabs>
              <w:spacing w:line="360" w:lineRule="auto"/>
              <w:ind w:left="425" w:firstLine="0"/>
              <w:rPr>
                <w:rFonts w:hint="default" w:ascii="Times New Roman" w:hAnsi="Times New Roman" w:cs="Times New Roman"/>
                <w:vanish/>
                <w:sz w:val="28"/>
                <w:szCs w:val="28"/>
                <w:highlight w:val="none"/>
                <w:bdr w:val="none" w:color="auto" w:sz="0" w:space="0"/>
                <w:lang w:val="en-US"/>
              </w:rPr>
            </w:pPr>
            <w:r>
              <w:rPr>
                <w:rFonts w:hint="default" w:ascii="Times New Roman" w:hAnsi="Times New Roman" w:eastAsia="黑体" w:cs="Times New Roman"/>
                <w:vanish/>
                <w:sz w:val="28"/>
                <w:szCs w:val="28"/>
                <w:highlight w:val="none"/>
                <w:bdr w:val="none" w:color="auto" w:sz="0" w:space="0"/>
              </w:rPr>
              <w:t>类型</w:t>
            </w:r>
          </w:p>
          <w:p w14:paraId="131FD009">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指标要求</w:t>
            </w:r>
          </w:p>
          <w:p w14:paraId="355B0480">
            <w:pPr>
              <w:pStyle w:val="53"/>
              <w:widowControl/>
              <w:numPr>
                <w:ilvl w:val="0"/>
                <w:numId w:val="7"/>
              </w:numPr>
              <w:tabs>
                <w:tab w:val="left" w:pos="420"/>
                <w:tab w:val="clear" w:pos="360"/>
              </w:tabs>
              <w:spacing w:line="360" w:lineRule="auto"/>
              <w:ind w:left="425" w:firstLine="0"/>
              <w:rPr>
                <w:rFonts w:hint="default" w:ascii="Times New Roman" w:hAnsi="Times New Roman" w:cs="Times New Roman"/>
                <w:vanish/>
                <w:sz w:val="28"/>
                <w:szCs w:val="28"/>
                <w:highlight w:val="none"/>
                <w:bdr w:val="none" w:color="auto" w:sz="0" w:space="0"/>
                <w:lang w:val="en-US"/>
              </w:rPr>
            </w:pPr>
          </w:p>
        </w:tc>
        <w:tc>
          <w:tcPr>
            <w:tcW w:w="405" w:type="dxa"/>
            <w:tcBorders>
              <w:top w:val="single" w:color="auto" w:sz="8" w:space="0"/>
              <w:left w:val="single" w:color="auto" w:sz="4" w:space="0"/>
              <w:bottom w:val="single" w:color="auto" w:sz="8" w:space="0"/>
              <w:right w:val="single" w:color="auto" w:sz="4" w:space="0"/>
            </w:tcBorders>
            <w:shd w:val="clear"/>
            <w:vAlign w:val="center"/>
          </w:tcPr>
          <w:p w14:paraId="674FE9BD">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要求类型</w:t>
            </w:r>
          </w:p>
        </w:tc>
        <w:tc>
          <w:tcPr>
            <w:tcW w:w="3661" w:type="dxa"/>
            <w:tcBorders>
              <w:top w:val="single" w:color="auto" w:sz="8" w:space="0"/>
              <w:left w:val="single" w:color="auto" w:sz="4" w:space="0"/>
              <w:bottom w:val="single" w:color="auto" w:sz="8" w:space="0"/>
              <w:right w:val="single" w:color="auto" w:sz="4" w:space="0"/>
            </w:tcBorders>
            <w:shd w:val="clear"/>
            <w:vAlign w:val="center"/>
          </w:tcPr>
          <w:p w14:paraId="5B2D563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评价要求</w:t>
            </w:r>
          </w:p>
        </w:tc>
        <w:tc>
          <w:tcPr>
            <w:tcW w:w="756" w:type="dxa"/>
            <w:tcBorders>
              <w:top w:val="single" w:color="auto" w:sz="8" w:space="0"/>
              <w:left w:val="single" w:color="auto" w:sz="4" w:space="0"/>
              <w:bottom w:val="single" w:color="auto" w:sz="8" w:space="0"/>
              <w:right w:val="single" w:color="auto" w:sz="4" w:space="0"/>
            </w:tcBorders>
            <w:shd w:val="clear"/>
            <w:vAlign w:val="center"/>
          </w:tcPr>
          <w:p w14:paraId="381CF2D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是否符合</w:t>
            </w:r>
          </w:p>
        </w:tc>
        <w:tc>
          <w:tcPr>
            <w:tcW w:w="3123" w:type="dxa"/>
            <w:tcBorders>
              <w:top w:val="single" w:color="auto" w:sz="8" w:space="0"/>
              <w:left w:val="single" w:color="auto" w:sz="4" w:space="0"/>
              <w:bottom w:val="single" w:color="auto" w:sz="8" w:space="0"/>
              <w:right w:val="single" w:color="auto" w:sz="8" w:space="0"/>
            </w:tcBorders>
            <w:shd w:val="clear"/>
            <w:vAlign w:val="center"/>
          </w:tcPr>
          <w:p w14:paraId="5A66DBCB">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证明材料索引</w:t>
            </w:r>
          </w:p>
        </w:tc>
      </w:tr>
      <w:tr w14:paraId="0703C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restart"/>
            <w:tcBorders>
              <w:top w:val="single" w:color="auto" w:sz="4" w:space="0"/>
              <w:left w:val="single" w:color="auto" w:sz="8" w:space="0"/>
              <w:bottom w:val="single" w:color="auto" w:sz="4" w:space="0"/>
              <w:right w:val="single" w:color="auto" w:sz="4" w:space="0"/>
            </w:tcBorders>
            <w:shd w:val="clear"/>
            <w:vAlign w:val="center"/>
          </w:tcPr>
          <w:p w14:paraId="1663AF51">
            <w:pPr>
              <w:pStyle w:val="50"/>
              <w:widowControl/>
              <w:spacing w:line="360" w:lineRule="auto"/>
              <w:rPr>
                <w:rFonts w:hint="default" w:ascii="Times New Roman" w:hAnsi="Times New Roman" w:cs="Times New Roman"/>
                <w:sz w:val="28"/>
                <w:szCs w:val="28"/>
                <w:highlight w:val="none"/>
                <w:bdr w:val="none" w:color="auto" w:sz="0" w:space="0"/>
                <w:lang w:val="en-US"/>
              </w:rPr>
            </w:pP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0B1C55B4">
            <w:pPr>
              <w:pStyle w:val="50"/>
              <w:widowControl/>
              <w:spacing w:line="360" w:lineRule="auto"/>
              <w:rPr>
                <w:rFonts w:hint="default" w:ascii="Times New Roman" w:hAnsi="Times New Roman" w:cs="Times New Roman"/>
                <w:sz w:val="28"/>
                <w:szCs w:val="28"/>
                <w:highlight w:val="none"/>
                <w:bdr w:val="none" w:color="auto" w:sz="0" w:space="0"/>
                <w:lang w:val="en-US"/>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171B596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包装材料的选取，应本着节约、节俭的原则，使用常用的、经济的包装材料</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5520ACE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3D2742A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tc>
      </w:tr>
      <w:tr w14:paraId="131B2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321C2071">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06B0A8D8">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2E9ECD4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在满足正常的包装功能需求前提下，包装尺寸应与内装研磨丝杆产品的质量和规格相适应，应简化结构，减少包装层数（最多</w:t>
            </w:r>
            <w:r>
              <w:rPr>
                <w:rFonts w:hint="default" w:ascii="Times New Roman" w:hAnsi="Times New Roman" w:cs="Times New Roman"/>
                <w:sz w:val="28"/>
                <w:szCs w:val="28"/>
                <w:highlight w:val="none"/>
                <w:bdr w:val="none" w:color="auto" w:sz="0" w:space="0"/>
                <w:lang w:val="en-US"/>
              </w:rPr>
              <w:t>2</w:t>
            </w:r>
            <w:r>
              <w:rPr>
                <w:rFonts w:hint="default" w:ascii="Times New Roman" w:hAnsi="Times New Roman" w:cs="Times New Roman"/>
                <w:sz w:val="28"/>
                <w:szCs w:val="28"/>
                <w:highlight w:val="none"/>
                <w:bdr w:val="none" w:color="auto" w:sz="0" w:space="0"/>
              </w:rPr>
              <w:t>层）、包装空隙率和包装体积，减少包装材料的用量</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17B6DA3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00CE956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p w14:paraId="5FB9BF7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包装尺寸设计的说明</w:t>
            </w:r>
          </w:p>
        </w:tc>
      </w:tr>
      <w:tr w14:paraId="1945E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397207E6">
            <w:pPr>
              <w:spacing w:line="360" w:lineRule="auto"/>
              <w:rPr>
                <w:rFonts w:hint="default" w:ascii="Times New Roman" w:hAnsi="Times New Roman" w:cs="Times New Roman"/>
                <w:sz w:val="28"/>
                <w:szCs w:val="28"/>
                <w:highlight w:val="none"/>
              </w:rPr>
            </w:pP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40B8218D">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003DA9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用于研磨丝杆产品最终包装的塑料材料和纸质材料使用的回收材料占比不低于</w:t>
            </w:r>
            <w:r>
              <w:rPr>
                <w:rFonts w:hint="default" w:ascii="Times New Roman" w:hAnsi="Times New Roman" w:cs="Times New Roman"/>
                <w:sz w:val="28"/>
                <w:szCs w:val="28"/>
                <w:highlight w:val="none"/>
                <w:bdr w:val="none" w:color="auto" w:sz="0" w:space="0"/>
                <w:lang w:val="en-US"/>
              </w:rPr>
              <w:t>50%</w:t>
            </w:r>
            <w:r>
              <w:rPr>
                <w:rFonts w:hint="default" w:ascii="Times New Roman" w:hAnsi="Times New Roman" w:cs="Times New Roman"/>
                <w:sz w:val="28"/>
                <w:szCs w:val="28"/>
                <w:highlight w:val="none"/>
                <w:bdr w:val="none" w:color="auto" w:sz="0" w:space="0"/>
              </w:rPr>
              <w:t>，或用于研磨丝杆产品最终包装的塑料材料和纸质材料的可再生利用率不低于</w:t>
            </w:r>
            <w:r>
              <w:rPr>
                <w:rFonts w:hint="default" w:ascii="Times New Roman" w:hAnsi="Times New Roman" w:cs="Times New Roman"/>
                <w:sz w:val="28"/>
                <w:szCs w:val="28"/>
                <w:highlight w:val="none"/>
                <w:bdr w:val="none" w:color="auto" w:sz="0" w:space="0"/>
                <w:lang w:val="en-US"/>
              </w:rPr>
              <w:t>50%</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78F927F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704983C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p w14:paraId="53779D66">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包装材料（塑料、纸质）回收材料占比证明材料；</w:t>
            </w:r>
          </w:p>
          <w:p w14:paraId="7CE80B06">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包装材料（塑料、纸质）可再生利用率的数据</w:t>
            </w:r>
          </w:p>
        </w:tc>
      </w:tr>
      <w:tr w14:paraId="748FA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68F3484E">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6DCD6A49">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0487F945">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包装材料选用单一材质，或易于拆解或分离的两种及两种以上材料，按</w:t>
            </w:r>
            <w:r>
              <w:rPr>
                <w:rFonts w:hint="default" w:ascii="Times New Roman" w:hAnsi="Times New Roman" w:cs="Times New Roman"/>
                <w:sz w:val="28"/>
                <w:szCs w:val="28"/>
                <w:highlight w:val="none"/>
                <w:bdr w:val="none" w:color="auto" w:sz="0" w:space="0"/>
                <w:lang w:val="en-US"/>
              </w:rPr>
              <w:t>GB/T 18455</w:t>
            </w:r>
            <w:r>
              <w:rPr>
                <w:rFonts w:hint="default" w:ascii="Times New Roman" w:hAnsi="Times New Roman" w:cs="Times New Roman"/>
                <w:sz w:val="28"/>
                <w:szCs w:val="28"/>
                <w:highlight w:val="none"/>
                <w:bdr w:val="none" w:color="auto" w:sz="0" w:space="0"/>
              </w:rPr>
              <w:t>标注回收标志</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27B2569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4C175A5">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p w14:paraId="27B0DF6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标准符合性证明材料</w:t>
            </w:r>
          </w:p>
        </w:tc>
      </w:tr>
      <w:tr w14:paraId="79CDE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14A9E3EF">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1FF93BF3">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3BB0CF5">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包装材料采用环保印刷材料，减少印刷过程中油墨、溶剂等有害物质的排放</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58D2CB99">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64749F7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p w14:paraId="35D0748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包装材料环保印刷材料使用清单及印刷过程有害物质排放监测数据等证明材料</w:t>
            </w:r>
          </w:p>
        </w:tc>
      </w:tr>
      <w:tr w14:paraId="259A0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4066BBD3">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145590E3">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74E836C">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纸质包装材料获得国际国内权威的森林认证</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26B045C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348757F3">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产品包装信息；</w:t>
            </w:r>
          </w:p>
          <w:p w14:paraId="34EEA9A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认证证书等证明材料</w:t>
            </w:r>
          </w:p>
        </w:tc>
      </w:tr>
      <w:tr w14:paraId="296DA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restart"/>
            <w:tcBorders>
              <w:top w:val="single" w:color="auto" w:sz="4" w:space="0"/>
              <w:left w:val="single" w:color="auto" w:sz="8" w:space="0"/>
              <w:bottom w:val="single" w:color="auto" w:sz="4" w:space="0"/>
              <w:right w:val="single" w:color="auto" w:sz="4" w:space="0"/>
            </w:tcBorders>
            <w:shd w:val="clear"/>
            <w:vAlign w:val="center"/>
          </w:tcPr>
          <w:p w14:paraId="235367AC">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w:t>
            </w:r>
          </w:p>
          <w:p w14:paraId="151ADD86">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可回</w:t>
            </w:r>
          </w:p>
          <w:p w14:paraId="46352DA5">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收利</w:t>
            </w:r>
          </w:p>
          <w:p w14:paraId="484A1E30">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用</w:t>
            </w:r>
          </w:p>
        </w:tc>
        <w:tc>
          <w:tcPr>
            <w:tcW w:w="405" w:type="dxa"/>
            <w:tcBorders>
              <w:top w:val="single" w:color="auto" w:sz="4" w:space="0"/>
              <w:left w:val="single" w:color="auto" w:sz="4" w:space="0"/>
              <w:bottom w:val="single" w:color="auto" w:sz="4" w:space="0"/>
              <w:right w:val="single" w:color="auto" w:sz="4" w:space="0"/>
            </w:tcBorders>
            <w:shd w:val="clear"/>
            <w:vAlign w:val="center"/>
          </w:tcPr>
          <w:p w14:paraId="129F15FC">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8150FF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企业关注研磨丝杆产品全生命周期内废弃物的资源再利用情况，建立产品可回收管理体系</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1F7780C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57AB8A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可回收管理体系文件等证明材料</w:t>
            </w:r>
          </w:p>
        </w:tc>
      </w:tr>
      <w:tr w14:paraId="0B596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33334C51">
            <w:pPr>
              <w:spacing w:line="360" w:lineRule="auto"/>
              <w:rPr>
                <w:rFonts w:hint="default" w:ascii="Times New Roman" w:hAnsi="Times New Roman" w:cs="Times New Roman"/>
                <w:sz w:val="28"/>
                <w:szCs w:val="28"/>
                <w:highlight w:val="none"/>
              </w:rPr>
            </w:pP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52D83074">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0F6D39A5">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企业按照</w:t>
            </w:r>
            <w:r>
              <w:rPr>
                <w:rFonts w:hint="default" w:ascii="Times New Roman" w:hAnsi="Times New Roman" w:cs="Times New Roman"/>
                <w:sz w:val="28"/>
                <w:szCs w:val="28"/>
                <w:highlight w:val="none"/>
                <w:bdr w:val="none" w:color="auto" w:sz="0" w:space="0"/>
                <w:lang w:val="en-US"/>
              </w:rPr>
              <w:t>GB/T 20862</w:t>
            </w:r>
            <w:r>
              <w:rPr>
                <w:rFonts w:hint="default" w:ascii="Times New Roman" w:hAnsi="Times New Roman" w:cs="Times New Roman"/>
                <w:sz w:val="28"/>
                <w:szCs w:val="28"/>
                <w:highlight w:val="none"/>
                <w:bdr w:val="none" w:color="auto" w:sz="0" w:space="0"/>
              </w:rPr>
              <w:t>的要求计算产品的可回收利用率，并利用计算结果对产品的可回收利用率进行改善</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7BA37F5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48A9D2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可回收利用率计算；</w:t>
            </w:r>
          </w:p>
          <w:p w14:paraId="0678653F">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基于可回收利用率计算结果的产品改进方案</w:t>
            </w:r>
          </w:p>
        </w:tc>
      </w:tr>
      <w:tr w14:paraId="029B6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647D8A25">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3FA88548">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4390C95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产品可再生利用率不小于</w:t>
            </w:r>
            <w:r>
              <w:rPr>
                <w:rFonts w:hint="default" w:ascii="Times New Roman" w:hAnsi="Times New Roman" w:cs="Times New Roman"/>
                <w:sz w:val="28"/>
                <w:szCs w:val="28"/>
                <w:highlight w:val="none"/>
                <w:bdr w:val="none" w:color="auto" w:sz="0" w:space="0"/>
                <w:lang w:val="en-US"/>
              </w:rPr>
              <w:t>50%</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3612CA2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36157D4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可再生利用率的计算</w:t>
            </w:r>
          </w:p>
        </w:tc>
      </w:tr>
      <w:tr w14:paraId="4185E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4" w:space="0"/>
              <w:right w:val="single" w:color="auto" w:sz="4" w:space="0"/>
            </w:tcBorders>
            <w:shd w:val="clear"/>
            <w:vAlign w:val="center"/>
          </w:tcPr>
          <w:p w14:paraId="2552800C">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01928088">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33F2081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企业建立回收渠道，选择合适的回收处理方式，将产品进行再利用或材料回收</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61BDECE3">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6E3D226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回收处理的管理文件及相关证明材料</w:t>
            </w:r>
          </w:p>
        </w:tc>
      </w:tr>
      <w:tr w14:paraId="30525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restart"/>
            <w:tcBorders>
              <w:top w:val="single" w:color="auto" w:sz="4" w:space="0"/>
              <w:left w:val="single" w:color="auto" w:sz="8" w:space="0"/>
              <w:bottom w:val="single" w:color="auto" w:sz="8" w:space="0"/>
              <w:right w:val="single" w:color="auto" w:sz="4" w:space="0"/>
            </w:tcBorders>
            <w:shd w:val="clear"/>
            <w:vAlign w:val="center"/>
          </w:tcPr>
          <w:p w14:paraId="7FD682A8">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其他</w:t>
            </w:r>
          </w:p>
        </w:tc>
        <w:tc>
          <w:tcPr>
            <w:tcW w:w="405" w:type="dxa"/>
            <w:vMerge w:val="restart"/>
            <w:tcBorders>
              <w:top w:val="single" w:color="auto" w:sz="4" w:space="0"/>
              <w:left w:val="single" w:color="auto" w:sz="4" w:space="0"/>
              <w:bottom w:val="single" w:color="auto" w:sz="4" w:space="0"/>
              <w:right w:val="single" w:color="auto" w:sz="4" w:space="0"/>
            </w:tcBorders>
            <w:shd w:val="clear"/>
            <w:vAlign w:val="center"/>
          </w:tcPr>
          <w:p w14:paraId="24A1BD37">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必选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4252AC4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企业应从物料环保、污染预防、清洁生产、节能减排等方面对供应商进行选择和管理，构建绿色供应链</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1807D2F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51E3B109">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供应商管理文件、过程文件及记录；</w:t>
            </w:r>
          </w:p>
          <w:p w14:paraId="523C629A">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供应商名录</w:t>
            </w:r>
          </w:p>
        </w:tc>
      </w:tr>
      <w:tr w14:paraId="008A1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8" w:space="0"/>
              <w:right w:val="single" w:color="auto" w:sz="4" w:space="0"/>
            </w:tcBorders>
            <w:shd w:val="clear"/>
            <w:vAlign w:val="center"/>
          </w:tcPr>
          <w:p w14:paraId="0ADCEF6C">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vAlign w:val="center"/>
          </w:tcPr>
          <w:p w14:paraId="75516219">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7C21686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企业定期为员工提供可持续发展相关教育和培训</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26041C5B">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3EE340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相关教育和培训资料</w:t>
            </w:r>
          </w:p>
        </w:tc>
      </w:tr>
      <w:tr w14:paraId="5046F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8" w:space="0"/>
              <w:right w:val="single" w:color="auto" w:sz="4" w:space="0"/>
            </w:tcBorders>
            <w:shd w:val="clear"/>
            <w:vAlign w:val="center"/>
          </w:tcPr>
          <w:p w14:paraId="5DA8E40B">
            <w:pPr>
              <w:spacing w:line="360" w:lineRule="auto"/>
              <w:rPr>
                <w:rFonts w:hint="default" w:ascii="Times New Roman" w:hAnsi="Times New Roman" w:cs="Times New Roman"/>
                <w:sz w:val="28"/>
                <w:szCs w:val="28"/>
                <w:highlight w:val="none"/>
              </w:rPr>
            </w:pPr>
          </w:p>
        </w:tc>
        <w:tc>
          <w:tcPr>
            <w:tcW w:w="405" w:type="dxa"/>
            <w:vMerge w:val="restart"/>
            <w:tcBorders>
              <w:top w:val="single" w:color="auto" w:sz="4" w:space="0"/>
              <w:left w:val="single" w:color="auto" w:sz="4" w:space="0"/>
              <w:bottom w:val="single" w:color="auto" w:sz="8" w:space="0"/>
              <w:right w:val="single" w:color="auto" w:sz="4" w:space="0"/>
            </w:tcBorders>
            <w:shd w:val="clear"/>
            <w:vAlign w:val="center"/>
          </w:tcPr>
          <w:p w14:paraId="7454B133">
            <w:pPr>
              <w:pStyle w:val="50"/>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可选</w:t>
            </w: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45AAA096">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企业及原材料生产供应商建立并运行质量管理体系、环境管理体系和职业健康安全管理体系，分别应满足</w:t>
            </w:r>
            <w:r>
              <w:rPr>
                <w:rFonts w:hint="default" w:ascii="Times New Roman" w:hAnsi="Times New Roman" w:cs="Times New Roman"/>
                <w:sz w:val="28"/>
                <w:szCs w:val="28"/>
                <w:highlight w:val="none"/>
                <w:bdr w:val="none" w:color="auto" w:sz="0" w:space="0"/>
                <w:lang w:val="en-US"/>
              </w:rPr>
              <w:t>GB/T 19001</w:t>
            </w:r>
            <w:r>
              <w:rPr>
                <w:rFonts w:hint="default" w:ascii="Times New Roman" w:hAnsi="Times New Roman" w:cs="Times New Roman"/>
                <w:sz w:val="28"/>
                <w:szCs w:val="28"/>
                <w:highlight w:val="none"/>
                <w:bdr w:val="none" w:color="auto" w:sz="0" w:space="0"/>
              </w:rPr>
              <w:t>、</w:t>
            </w:r>
            <w:r>
              <w:rPr>
                <w:rFonts w:hint="default" w:ascii="Times New Roman" w:hAnsi="Times New Roman" w:cs="Times New Roman"/>
                <w:sz w:val="28"/>
                <w:szCs w:val="28"/>
                <w:highlight w:val="none"/>
                <w:bdr w:val="none" w:color="auto" w:sz="0" w:space="0"/>
                <w:lang w:val="en-US"/>
              </w:rPr>
              <w:t>GB/T 24001</w:t>
            </w:r>
            <w:r>
              <w:rPr>
                <w:rFonts w:hint="default" w:ascii="Times New Roman" w:hAnsi="Times New Roman" w:cs="Times New Roman"/>
                <w:sz w:val="28"/>
                <w:szCs w:val="28"/>
                <w:highlight w:val="none"/>
                <w:bdr w:val="none" w:color="auto" w:sz="0" w:space="0"/>
              </w:rPr>
              <w:t>和</w:t>
            </w:r>
            <w:r>
              <w:rPr>
                <w:rFonts w:hint="default" w:ascii="Times New Roman" w:hAnsi="Times New Roman" w:cs="Times New Roman"/>
                <w:sz w:val="28"/>
                <w:szCs w:val="28"/>
                <w:highlight w:val="none"/>
                <w:bdr w:val="none" w:color="auto" w:sz="0" w:space="0"/>
                <w:lang w:val="en-US"/>
              </w:rPr>
              <w:t>GB/T 45001</w:t>
            </w:r>
            <w:r>
              <w:rPr>
                <w:rFonts w:hint="default" w:ascii="Times New Roman" w:hAnsi="Times New Roman" w:cs="Times New Roman"/>
                <w:sz w:val="28"/>
                <w:szCs w:val="28"/>
                <w:highlight w:val="none"/>
                <w:bdr w:val="none" w:color="auto" w:sz="0" w:space="0"/>
              </w:rPr>
              <w:t>的要求</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24ED4488">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65B0D530">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管理体系相关文件</w:t>
            </w:r>
          </w:p>
        </w:tc>
      </w:tr>
      <w:tr w14:paraId="6467C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8" w:space="0"/>
              <w:right w:val="single" w:color="auto" w:sz="4" w:space="0"/>
            </w:tcBorders>
            <w:shd w:val="clear"/>
            <w:vAlign w:val="center"/>
          </w:tcPr>
          <w:p w14:paraId="0714DD5B">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8" w:space="0"/>
              <w:right w:val="single" w:color="auto" w:sz="4" w:space="0"/>
            </w:tcBorders>
            <w:shd w:val="clear"/>
            <w:vAlign w:val="center"/>
          </w:tcPr>
          <w:p w14:paraId="6050C034">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135DB153">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按照相关国家标准、行业标准或政府采信的团体标准，对研磨丝杆产品开展绿色产品评价</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3002F8F7">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61431E1">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绿色产品证书</w:t>
            </w:r>
          </w:p>
        </w:tc>
      </w:tr>
      <w:tr w14:paraId="1132A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rHeight w:val="60" w:hRule="atLeast"/>
          <w:jc w:val="center"/>
        </w:trPr>
        <w:tc>
          <w:tcPr>
            <w:tcW w:w="766" w:type="dxa"/>
            <w:vMerge w:val="continue"/>
            <w:tcBorders>
              <w:top w:val="single" w:color="auto" w:sz="4" w:space="0"/>
              <w:left w:val="single" w:color="auto" w:sz="8" w:space="0"/>
              <w:bottom w:val="single" w:color="auto" w:sz="8" w:space="0"/>
              <w:right w:val="single" w:color="auto" w:sz="4" w:space="0"/>
            </w:tcBorders>
            <w:shd w:val="clear"/>
            <w:vAlign w:val="center"/>
          </w:tcPr>
          <w:p w14:paraId="3B53C9E7">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8" w:space="0"/>
              <w:right w:val="single" w:color="auto" w:sz="4" w:space="0"/>
            </w:tcBorders>
            <w:shd w:val="clear"/>
            <w:vAlign w:val="center"/>
          </w:tcPr>
          <w:p w14:paraId="17ACDB7F">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4" w:space="0"/>
              <w:right w:val="single" w:color="auto" w:sz="4" w:space="0"/>
            </w:tcBorders>
            <w:shd w:val="clear"/>
            <w:vAlign w:val="center"/>
          </w:tcPr>
          <w:p w14:paraId="76FD55D5">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按照相关国际标准、国家标准、行业标准或政府采信的团体标准，对产品的碳足迹进行核算或核查，利用核算或核查结果对产品的碳足迹进行改善</w:t>
            </w:r>
          </w:p>
        </w:tc>
        <w:tc>
          <w:tcPr>
            <w:tcW w:w="756" w:type="dxa"/>
            <w:tcBorders>
              <w:top w:val="single" w:color="auto" w:sz="4" w:space="0"/>
              <w:left w:val="single" w:color="auto" w:sz="4" w:space="0"/>
              <w:bottom w:val="single" w:color="auto" w:sz="4" w:space="0"/>
              <w:right w:val="single" w:color="auto" w:sz="4" w:space="0"/>
            </w:tcBorders>
            <w:shd w:val="clear"/>
            <w:vAlign w:val="center"/>
          </w:tcPr>
          <w:p w14:paraId="0367622E">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4" w:space="0"/>
              <w:right w:val="single" w:color="auto" w:sz="8" w:space="0"/>
            </w:tcBorders>
            <w:shd w:val="clear"/>
            <w:vAlign w:val="center"/>
          </w:tcPr>
          <w:p w14:paraId="1BF26CD2">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碳足迹核算或核查报告；</w:t>
            </w:r>
          </w:p>
          <w:p w14:paraId="5ED83A5D">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碳足迹改善情况说明</w:t>
            </w:r>
          </w:p>
        </w:tc>
      </w:tr>
      <w:tr w14:paraId="6DAD6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6" w:type="dxa"/>
            <w:vMerge w:val="continue"/>
            <w:tcBorders>
              <w:top w:val="single" w:color="auto" w:sz="4" w:space="0"/>
              <w:left w:val="single" w:color="auto" w:sz="8" w:space="0"/>
              <w:bottom w:val="single" w:color="auto" w:sz="8" w:space="0"/>
              <w:right w:val="single" w:color="auto" w:sz="4" w:space="0"/>
            </w:tcBorders>
            <w:shd w:val="clear"/>
            <w:vAlign w:val="center"/>
          </w:tcPr>
          <w:p w14:paraId="6934ED24">
            <w:pPr>
              <w:spacing w:line="360" w:lineRule="auto"/>
              <w:rPr>
                <w:rFonts w:hint="default" w:ascii="Times New Roman" w:hAnsi="Times New Roman" w:cs="Times New Roman"/>
                <w:sz w:val="28"/>
                <w:szCs w:val="28"/>
                <w:highlight w:val="none"/>
              </w:rPr>
            </w:pPr>
          </w:p>
        </w:tc>
        <w:tc>
          <w:tcPr>
            <w:tcW w:w="405" w:type="dxa"/>
            <w:vMerge w:val="continue"/>
            <w:tcBorders>
              <w:top w:val="single" w:color="auto" w:sz="4" w:space="0"/>
              <w:left w:val="single" w:color="auto" w:sz="4" w:space="0"/>
              <w:bottom w:val="single" w:color="auto" w:sz="8" w:space="0"/>
              <w:right w:val="single" w:color="auto" w:sz="4" w:space="0"/>
            </w:tcBorders>
            <w:shd w:val="clear"/>
            <w:vAlign w:val="center"/>
          </w:tcPr>
          <w:p w14:paraId="7CFD67C1">
            <w:pPr>
              <w:spacing w:line="360" w:lineRule="auto"/>
              <w:rPr>
                <w:rFonts w:hint="default" w:ascii="Times New Roman" w:hAnsi="Times New Roman" w:cs="Times New Roman"/>
                <w:sz w:val="28"/>
                <w:szCs w:val="28"/>
                <w:highlight w:val="none"/>
              </w:rPr>
            </w:pPr>
          </w:p>
        </w:tc>
        <w:tc>
          <w:tcPr>
            <w:tcW w:w="3661" w:type="dxa"/>
            <w:tcBorders>
              <w:top w:val="single" w:color="auto" w:sz="4" w:space="0"/>
              <w:left w:val="single" w:color="auto" w:sz="4" w:space="0"/>
              <w:bottom w:val="single" w:color="auto" w:sz="8" w:space="0"/>
              <w:right w:val="single" w:color="auto" w:sz="4" w:space="0"/>
            </w:tcBorders>
            <w:shd w:val="clear"/>
            <w:vAlign w:val="center"/>
          </w:tcPr>
          <w:p w14:paraId="1D89D4C9">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企业提供环境、社会和治理（</w:t>
            </w:r>
            <w:r>
              <w:rPr>
                <w:rFonts w:hint="default" w:ascii="Times New Roman" w:hAnsi="Times New Roman" w:cs="Times New Roman"/>
                <w:sz w:val="28"/>
                <w:szCs w:val="28"/>
                <w:highlight w:val="none"/>
                <w:bdr w:val="none" w:color="auto" w:sz="0" w:space="0"/>
                <w:lang w:val="en-US"/>
              </w:rPr>
              <w:t>ESG</w:t>
            </w:r>
            <w:r>
              <w:rPr>
                <w:rFonts w:hint="default" w:ascii="Times New Roman" w:hAnsi="Times New Roman" w:cs="Times New Roman"/>
                <w:sz w:val="28"/>
                <w:szCs w:val="28"/>
                <w:highlight w:val="none"/>
                <w:bdr w:val="none" w:color="auto" w:sz="0" w:space="0"/>
              </w:rPr>
              <w:t>）方面的报告</w:t>
            </w:r>
          </w:p>
        </w:tc>
        <w:tc>
          <w:tcPr>
            <w:tcW w:w="756" w:type="dxa"/>
            <w:tcBorders>
              <w:top w:val="single" w:color="auto" w:sz="4" w:space="0"/>
              <w:left w:val="single" w:color="auto" w:sz="4" w:space="0"/>
              <w:bottom w:val="single" w:color="auto" w:sz="8" w:space="0"/>
              <w:right w:val="single" w:color="auto" w:sz="4" w:space="0"/>
            </w:tcBorders>
            <w:shd w:val="clear"/>
            <w:vAlign w:val="center"/>
          </w:tcPr>
          <w:p w14:paraId="1610D0D4">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p>
        </w:tc>
        <w:tc>
          <w:tcPr>
            <w:tcW w:w="3123" w:type="dxa"/>
            <w:tcBorders>
              <w:top w:val="single" w:color="auto" w:sz="4" w:space="0"/>
              <w:left w:val="single" w:color="auto" w:sz="4" w:space="0"/>
              <w:bottom w:val="single" w:color="auto" w:sz="8" w:space="0"/>
              <w:right w:val="single" w:color="auto" w:sz="8" w:space="0"/>
            </w:tcBorders>
            <w:shd w:val="clear"/>
            <w:vAlign w:val="center"/>
          </w:tcPr>
          <w:p w14:paraId="7C554643">
            <w:pPr>
              <w:pStyle w:val="50"/>
              <w:widowControl/>
              <w:spacing w:line="360" w:lineRule="auto"/>
              <w:ind w:left="0" w:firstLine="560" w:firstLineChars="200"/>
              <w:jc w:val="both"/>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ESG</w:t>
            </w:r>
            <w:r>
              <w:rPr>
                <w:rFonts w:hint="default" w:ascii="Times New Roman" w:hAnsi="Times New Roman" w:cs="Times New Roman"/>
                <w:sz w:val="28"/>
                <w:szCs w:val="28"/>
                <w:highlight w:val="none"/>
                <w:bdr w:val="none" w:color="auto" w:sz="0" w:space="0"/>
              </w:rPr>
              <w:t>报告</w:t>
            </w:r>
          </w:p>
        </w:tc>
      </w:tr>
    </w:tbl>
    <w:p w14:paraId="5A939F69">
      <w:pPr>
        <w:bidi w:val="0"/>
        <w:spacing w:line="360" w:lineRule="auto"/>
        <w:rPr>
          <w:rFonts w:hint="default" w:ascii="Times New Roman" w:hAnsi="Times New Roman" w:cs="Times New Roman"/>
          <w:sz w:val="28"/>
          <w:szCs w:val="28"/>
          <w:highlight w:val="none"/>
        </w:rPr>
      </w:pP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9"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59"/>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0"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60"/>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1"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61"/>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研磨丝杆</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62"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62"/>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3"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63"/>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4"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64"/>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5"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65"/>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6"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66"/>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7"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67"/>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Segoe UI Symbol">
    <w:panose1 w:val="020B0502040204020203"/>
    <w:charset w:val="00"/>
    <w:family w:val="auto"/>
    <w:pitch w:val="variable"/>
    <w:sig w:usb0="800001E3" w:usb1="1200FFEF" w:usb2="00040000" w:usb3="04000000" w:csb0="00000001" w:csb1="4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FA084"/>
    <w:multiLevelType w:val="multilevel"/>
    <w:tmpl w:val="902FA084"/>
    <w:lvl w:ilvl="0" w:tentative="0">
      <w:start w:val="1"/>
      <w:numFmt w:val="upperLetter"/>
      <w:pStyle w:val="42"/>
      <w:suff w:val="nothing"/>
      <w:lvlText w:val="附录%1"/>
      <w:lvlJc w:val="left"/>
      <w:pPr>
        <w:ind w:left="0" w:firstLine="0"/>
      </w:pPr>
      <w:rPr>
        <w:spacing w:val="100"/>
      </w:rPr>
    </w:lvl>
    <w:lvl w:ilvl="1" w:tentative="0">
      <w:start w:val="1"/>
      <w:numFmt w:val="decimal"/>
      <w:pStyle w:val="34"/>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FE9912A"/>
    <w:multiLevelType w:val="multilevel"/>
    <w:tmpl w:val="AFE9912A"/>
    <w:lvl w:ilvl="0" w:tentative="0">
      <w:start w:val="1"/>
      <w:numFmt w:val="upperLetter"/>
      <w:pStyle w:val="43"/>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F51FD21"/>
    <w:multiLevelType w:val="multilevel"/>
    <w:tmpl w:val="CF51FD21"/>
    <w:lvl w:ilvl="0" w:tentative="0">
      <w:start w:val="1"/>
      <w:numFmt w:val="decimal"/>
      <w:pStyle w:val="3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DFB0F00"/>
    <w:multiLevelType w:val="multilevel"/>
    <w:tmpl w:val="0DFB0F00"/>
    <w:lvl w:ilvl="0" w:tentative="0">
      <w:start w:val="1"/>
      <w:numFmt w:val="none"/>
      <w:pStyle w:val="48"/>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52"/>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5">
    <w:nsid w:val="339B51C5"/>
    <w:multiLevelType w:val="multilevel"/>
    <w:tmpl w:val="339B51C5"/>
    <w:lvl w:ilvl="0" w:tentative="0">
      <w:start w:val="1"/>
      <w:numFmt w:val="upperLetter"/>
      <w:pStyle w:val="53"/>
      <w:suff w:val="space"/>
      <w:lvlText w:val="%1"/>
      <w:lvlJc w:val="left"/>
      <w:pPr>
        <w:ind w:left="425" w:hanging="425"/>
      </w:pPr>
    </w:lvl>
    <w:lvl w:ilvl="1" w:tentative="0">
      <w:start w:val="1"/>
      <w:numFmt w:val="decimal"/>
      <w:pStyle w:val="44"/>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4E073F22"/>
    <w:multiLevelType w:val="multilevel"/>
    <w:tmpl w:val="4E073F22"/>
    <w:lvl w:ilvl="0" w:tentative="0">
      <w:start w:val="1"/>
      <w:numFmt w:val="none"/>
      <w:suff w:val="nothing"/>
      <w:lvlText w:val="%1"/>
      <w:lvlJc w:val="left"/>
      <w:pPr>
        <w:ind w:left="0" w:firstLine="0"/>
      </w:pPr>
    </w:lvl>
    <w:lvl w:ilvl="1" w:tentative="0">
      <w:start w:val="1"/>
      <w:numFmt w:val="decimal"/>
      <w:pStyle w:val="39"/>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54"/>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9"/>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7">
    <w:nsid w:val="4F0ACA0D"/>
    <w:multiLevelType w:val="multilevel"/>
    <w:tmpl w:val="4F0ACA0D"/>
    <w:lvl w:ilvl="0" w:tentative="0">
      <w:start w:val="1"/>
      <w:numFmt w:val="none"/>
      <w:pStyle w:val="40"/>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AFC0F1D"/>
    <w:rsid w:val="40E14CE3"/>
    <w:rsid w:val="542D0422"/>
    <w:rsid w:val="57BF1D4F"/>
    <w:rsid w:val="663F4E49"/>
    <w:rsid w:val="66BD2743"/>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附录一级条标题"/>
    <w:basedOn w:val="1"/>
    <w:next w:val="35"/>
    <w:uiPriority w:val="0"/>
    <w:pPr>
      <w:keepNext w:val="0"/>
      <w:keepLines w:val="0"/>
      <w:widowControl w:val="0"/>
      <w:numPr>
        <w:ilvl w:val="1"/>
        <w:numId w:val="2"/>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21"/>
      <w:sz w:val="21"/>
      <w:szCs w:val="20"/>
      <w:lang w:val="en-US" w:eastAsia="zh-CN" w:bidi="ar"/>
    </w:rPr>
  </w:style>
  <w:style w:type="paragraph" w:customStyle="1" w:styleId="35">
    <w:name w:val="标准文件_段"/>
    <w:basedOn w:val="1"/>
    <w:link w:val="51"/>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二级条标题"/>
    <w:basedOn w:val="1"/>
    <w:next w:val="35"/>
    <w:uiPriority w:val="0"/>
    <w:pPr>
      <w:keepNext w:val="0"/>
      <w:keepLines w:val="0"/>
      <w:widowControl w:val="0"/>
      <w:numPr>
        <w:ilvl w:val="3"/>
        <w:numId w:val="3"/>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37">
    <w:name w:val="标准文件_正文表标题"/>
    <w:basedOn w:val="1"/>
    <w:next w:val="35"/>
    <w:uiPriority w:val="0"/>
    <w:pPr>
      <w:keepNext w:val="0"/>
      <w:keepLines w:val="0"/>
      <w:widowControl/>
      <w:numPr>
        <w:ilvl w:val="0"/>
        <w:numId w:val="4"/>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38">
    <w:name w:val="标准文件_一级条标题"/>
    <w:basedOn w:val="39"/>
    <w:next w:val="35"/>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9">
    <w:name w:val="标准文件_章标题"/>
    <w:basedOn w:val="1"/>
    <w:next w:val="35"/>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0">
    <w:name w:val="标准文件_注："/>
    <w:basedOn w:val="1"/>
    <w:next w:val="35"/>
    <w:uiPriority w:val="0"/>
    <w:pPr>
      <w:keepNext w:val="0"/>
      <w:keepLines w:val="0"/>
      <w:widowControl w:val="0"/>
      <w:numPr>
        <w:ilvl w:val="0"/>
        <w:numId w:val="5"/>
      </w:numPr>
      <w:suppressLineNumbers w:val="0"/>
      <w:autoSpaceDE w:val="0"/>
      <w:autoSpaceDN w:val="0"/>
      <w:adjustRightInd/>
      <w:spacing w:before="0" w:beforeAutospacing="0" w:after="0" w:afterAutospacing="0" w:line="240" w:lineRule="auto"/>
      <w:ind w:left="737" w:right="0" w:hanging="374"/>
      <w:jc w:val="both"/>
    </w:pPr>
    <w:rPr>
      <w:rFonts w:hint="eastAsia" w:ascii="宋体" w:hAnsi="Times New Roman" w:eastAsia="宋体" w:cs="Times New Roman"/>
      <w:kern w:val="0"/>
      <w:sz w:val="18"/>
      <w:szCs w:val="18"/>
      <w:lang w:val="en-US" w:eastAsia="zh-CN" w:bidi="ar"/>
    </w:rPr>
  </w:style>
  <w:style w:type="paragraph" w:customStyle="1" w:styleId="41">
    <w:name w:val="标准文件_标准正文"/>
    <w:basedOn w:val="1"/>
    <w:next w:val="35"/>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42">
    <w:name w:val="标准文件_附录标识"/>
    <w:basedOn w:val="1"/>
    <w:next w:val="35"/>
    <w:uiPriority w:val="0"/>
    <w:pPr>
      <w:keepNext w:val="0"/>
      <w:keepLines w:val="0"/>
      <w:widowControl/>
      <w:numPr>
        <w:ilvl w:val="0"/>
        <w:numId w:val="2"/>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paragraph" w:customStyle="1" w:styleId="43">
    <w:name w:val="标准文件_附录图标号"/>
    <w:basedOn w:val="35"/>
    <w:next w:val="35"/>
    <w:uiPriority w:val="0"/>
    <w:pPr>
      <w:keepNext w:val="0"/>
      <w:keepLines w:val="0"/>
      <w:widowControl/>
      <w:numPr>
        <w:ilvl w:val="0"/>
        <w:numId w:val="6"/>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黑体" w:hAnsi="宋体" w:eastAsia="黑体" w:cs="Times New Roman"/>
      <w:vanish/>
      <w:kern w:val="0"/>
      <w:sz w:val="2"/>
      <w:szCs w:val="21"/>
      <w:lang w:val="en-US" w:eastAsia="zh-CN" w:bidi="ar"/>
    </w:rPr>
  </w:style>
  <w:style w:type="paragraph" w:customStyle="1" w:styleId="44">
    <w:name w:val="标准文件_附录表标题"/>
    <w:basedOn w:val="1"/>
    <w:next w:val="35"/>
    <w:uiPriority w:val="0"/>
    <w:pPr>
      <w:keepNext w:val="0"/>
      <w:keepLines w:val="0"/>
      <w:widowControl/>
      <w:numPr>
        <w:ilvl w:val="1"/>
        <w:numId w:val="7"/>
      </w:numPr>
      <w:suppressLineNumbers w:val="0"/>
      <w:adjustRightInd w:val="0"/>
      <w:snapToGrid w:val="0"/>
      <w:spacing w:before="50" w:beforeLines="50" w:beforeAutospacing="0" w:after="50" w:afterLines="50" w:afterAutospacing="0" w:line="240" w:lineRule="auto"/>
      <w:ind w:left="0" w:right="0" w:firstLine="0"/>
      <w:jc w:val="center"/>
    </w:pPr>
    <w:rPr>
      <w:rFonts w:hint="eastAsia" w:ascii="黑体" w:hAnsi="Times New Roman" w:eastAsia="黑体" w:cs="Times New Roman"/>
      <w:kern w:val="21"/>
      <w:sz w:val="21"/>
      <w:szCs w:val="20"/>
      <w:lang w:val="en-US" w:eastAsia="zh-CN" w:bidi="ar"/>
    </w:rPr>
  </w:style>
  <w:style w:type="paragraph" w:customStyle="1" w:styleId="45">
    <w:name w:val="标准文件_一级无标题"/>
    <w:basedOn w:val="38"/>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6">
    <w:name w:val="标准文件_正文公式"/>
    <w:basedOn w:val="1"/>
    <w:next w:val="41"/>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47">
    <w:name w:val="标准文件_三级条标题"/>
    <w:basedOn w:val="36"/>
    <w:next w:val="35"/>
    <w:uiPriority w:val="0"/>
    <w:pPr>
      <w:keepNext w:val="0"/>
      <w:keepLines w:val="0"/>
      <w:widowControl/>
      <w:numPr>
        <w:ilvl w:val="4"/>
        <w:numId w:val="3"/>
      </w:numPr>
      <w:suppressLineNumbers w:val="0"/>
      <w:spacing w:before="50" w:beforeLines="50" w:beforeAutospacing="0" w:after="50" w:afterLines="50" w:afterAutospacing="0"/>
      <w:ind w:left="0" w:right="0" w:firstLine="0"/>
      <w:jc w:val="both"/>
      <w:outlineLvl w:val="3"/>
    </w:pPr>
    <w:rPr>
      <w:rFonts w:hint="eastAsia" w:ascii="黑体" w:hAnsi="Times New Roman" w:eastAsia="黑体" w:cs="Times New Roman"/>
      <w:kern w:val="0"/>
      <w:sz w:val="21"/>
      <w:szCs w:val="20"/>
      <w:lang w:val="en-US" w:eastAsia="zh-CN" w:bidi="ar"/>
    </w:rPr>
  </w:style>
  <w:style w:type="paragraph" w:customStyle="1" w:styleId="48">
    <w:name w:val="标准文件_一级项"/>
    <w:basedOn w:val="1"/>
    <w:uiPriority w:val="0"/>
    <w:pPr>
      <w:keepNext w:val="0"/>
      <w:keepLines w:val="0"/>
      <w:widowControl/>
      <w:numPr>
        <w:ilvl w:val="0"/>
        <w:numId w:val="8"/>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9">
    <w:name w:val="标准文件_二级无标题"/>
    <w:basedOn w:val="36"/>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50">
    <w:name w:val="标准文件_表格"/>
    <w:basedOn w:val="35"/>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character" w:customStyle="1" w:styleId="51">
    <w:name w:val="标准文件_段 Char"/>
    <w:basedOn w:val="14"/>
    <w:link w:val="35"/>
    <w:uiPriority w:val="0"/>
    <w:rPr>
      <w:rFonts w:hint="eastAsia" w:ascii="宋体" w:hAnsi="Times New Roman" w:eastAsia="宋体" w:cs="宋体"/>
      <w:sz w:val="21"/>
    </w:rPr>
  </w:style>
  <w:style w:type="paragraph" w:customStyle="1" w:styleId="52">
    <w:name w:val="标准文件_二级项2"/>
    <w:basedOn w:val="35"/>
    <w:uiPriority w:val="0"/>
    <w:pPr>
      <w:keepNext w:val="0"/>
      <w:keepLines w:val="0"/>
      <w:widowControl/>
      <w:numPr>
        <w:ilvl w:val="1"/>
        <w:numId w:val="8"/>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 w:type="paragraph" w:customStyle="1" w:styleId="53">
    <w:name w:val="标准文件_附录表标号"/>
    <w:basedOn w:val="35"/>
    <w:next w:val="35"/>
    <w:uiPriority w:val="0"/>
    <w:pPr>
      <w:keepNext w:val="0"/>
      <w:keepLines w:val="0"/>
      <w:widowControl/>
      <w:numPr>
        <w:ilvl w:val="0"/>
        <w:numId w:val="7"/>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宋体" w:hAnsi="Times New Roman" w:eastAsia="黑体" w:cs="Times New Roman"/>
      <w:vanish/>
      <w:kern w:val="0"/>
      <w:sz w:val="2"/>
      <w:szCs w:val="20"/>
      <w:lang w:val="en-US" w:eastAsia="zh-CN" w:bidi="ar"/>
    </w:rPr>
  </w:style>
  <w:style w:type="paragraph" w:customStyle="1" w:styleId="54">
    <w:name w:val="标准文件_术语条一"/>
    <w:basedOn w:val="45"/>
    <w:next w:val="35"/>
    <w:uiPriority w:val="0"/>
    <w:pPr>
      <w:keepNext w:val="0"/>
      <w:keepLines w:val="0"/>
      <w:widowControl/>
      <w:numPr>
        <w:ilvl w:val="2"/>
        <w:numId w:val="3"/>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1375</Words>
  <Characters>1394</Characters>
  <Lines>62</Lines>
  <Paragraphs>17</Paragraphs>
  <TotalTime>2</TotalTime>
  <ScaleCrop>false</ScaleCrop>
  <LinksUpToDate>false</LinksUpToDate>
  <CharactersWithSpaces>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2025-03-06T04:04:46Z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