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BA59">
      <w:pPr>
        <w:pStyle w:val="8"/>
        <w:spacing w:before="156"/>
      </w:pPr>
      <w:r>
        <w:rPr>
          <w:rFonts w:hint="eastAsia"/>
        </w:rPr>
        <w:t>团体标准《混合脂肪酸》编制说明</w:t>
      </w:r>
    </w:p>
    <w:p w14:paraId="6B9E33BC">
      <w:pPr>
        <w:pStyle w:val="16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征求意见稿</w:t>
      </w:r>
      <w:r>
        <w:rPr>
          <w:rFonts w:hint="eastAsia"/>
        </w:rPr>
        <w:t>）</w:t>
      </w:r>
    </w:p>
    <w:p w14:paraId="1B8B3E9F">
      <w:pPr>
        <w:spacing w:before="156"/>
      </w:pPr>
      <w:r>
        <w:rPr>
          <w:rFonts w:hint="eastAsia"/>
        </w:rPr>
        <w:t>1 工作概况</w:t>
      </w:r>
    </w:p>
    <w:p w14:paraId="4D062C8D">
      <w:pPr>
        <w:pStyle w:val="15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1.1任务来源 </w:t>
      </w:r>
    </w:p>
    <w:p w14:paraId="27E98F7B">
      <w:pPr>
        <w:pStyle w:val="15"/>
        <w:ind w:firstLine="420" w:firstLineChars="200"/>
        <w:jc w:val="left"/>
        <w:rPr>
          <w:color w:val="auto"/>
          <w:szCs w:val="21"/>
        </w:rPr>
      </w:pPr>
      <w:bookmarkStart w:id="0" w:name="_Hlk191373058"/>
      <w:r>
        <w:rPr>
          <w:rFonts w:hint="eastAsia"/>
          <w:color w:val="auto"/>
          <w:szCs w:val="21"/>
        </w:rPr>
        <w:t>德源（中国）高科有限公司</w:t>
      </w:r>
      <w:bookmarkEnd w:id="0"/>
      <w:r>
        <w:rPr>
          <w:rFonts w:hint="eastAsia"/>
          <w:color w:val="auto"/>
          <w:szCs w:val="21"/>
        </w:rPr>
        <w:t>功能性表面活性剂项目需要，结合行业相关企业实际情况，起草制定《混合脂肪酸》团体标准。</w:t>
      </w:r>
    </w:p>
    <w:p w14:paraId="245B9283">
      <w:pPr>
        <w:pStyle w:val="15"/>
        <w:jc w:val="left"/>
        <w:rPr>
          <w:color w:val="auto"/>
          <w:szCs w:val="21"/>
        </w:rPr>
      </w:pPr>
      <w:r>
        <w:rPr>
          <w:color w:val="auto"/>
          <w:szCs w:val="21"/>
        </w:rPr>
        <w:t>1.</w:t>
      </w:r>
      <w:r>
        <w:rPr>
          <w:rFonts w:hint="eastAsia"/>
          <w:color w:val="auto"/>
          <w:szCs w:val="21"/>
        </w:rPr>
        <w:t>2主要起草过程</w:t>
      </w:r>
    </w:p>
    <w:p w14:paraId="00DCB97E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在收到协会的立项批复后，德源（中国）高科有限公司会同有关生产企业开展标准制定工作，</w:t>
      </w:r>
      <w:r>
        <w:rPr>
          <w:rFonts w:hint="eastAsia"/>
          <w:color w:val="auto"/>
          <w:szCs w:val="21"/>
        </w:rPr>
        <w:t>并于2</w:t>
      </w:r>
      <w:r>
        <w:rPr>
          <w:color w:val="auto"/>
          <w:szCs w:val="21"/>
        </w:rPr>
        <w:t>02</w:t>
      </w:r>
      <w:r>
        <w:rPr>
          <w:rFonts w:hint="eastAsia"/>
          <w:color w:val="auto"/>
          <w:szCs w:val="21"/>
        </w:rPr>
        <w:t>4年12月提出标准征求意见稿，实施征求意见工作。</w:t>
      </w:r>
    </w:p>
    <w:p w14:paraId="7039E7D4">
      <w:pPr>
        <w:spacing w:before="156"/>
        <w:rPr>
          <w:color w:val="auto"/>
        </w:rPr>
      </w:pPr>
      <w:r>
        <w:rPr>
          <w:rFonts w:hint="eastAsia"/>
          <w:color w:val="auto"/>
        </w:rPr>
        <w:t>2  标准制定理由和编制原则</w:t>
      </w:r>
    </w:p>
    <w:p w14:paraId="672F1FD0">
      <w:pPr>
        <w:pStyle w:val="15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2.1  标准制定理由</w:t>
      </w:r>
    </w:p>
    <w:p w14:paraId="3973C1BB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首先，截止目前日化洗涤剂行业中，“混合脂肪酸”还未形成相关行业、团体标准，也无对应的国家、国际标准。我们需要产品标准为企业提供生产、检验依据，以保证产品质量、提高企业信用和市场竞争力。因此，制定产品标准不仅是企业产品面向经济市场的主观需求，更是我们企业守法经营的客观需要。</w:t>
      </w:r>
    </w:p>
    <w:p w14:paraId="466FC78D">
      <w:pPr>
        <w:pStyle w:val="15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2.2  标准编制原则</w:t>
      </w:r>
    </w:p>
    <w:p w14:paraId="4ADF3F5B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标准以GB/T1.1-2020 《标准化工作导则  第1部分：标准化文件的结构和起草规则》为编制依据，以所设项目科学，控制指标适用、合理为原则进行起草。</w:t>
      </w:r>
    </w:p>
    <w:p w14:paraId="163CCE62">
      <w:pPr>
        <w:spacing w:before="156"/>
      </w:pPr>
      <w:r>
        <w:rPr>
          <w:rFonts w:hint="eastAsia"/>
        </w:rPr>
        <w:t>3  主要内容说明</w:t>
      </w:r>
    </w:p>
    <w:p w14:paraId="33BB68EE">
      <w:pPr>
        <w:pStyle w:val="15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3.1范围</w:t>
      </w:r>
    </w:p>
    <w:p w14:paraId="072B97BA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本文件规定了混合脂肪酸的分类、要求、试验方法、检验规则、标志、包装、运输、贮存及安全。</w:t>
      </w:r>
    </w:p>
    <w:p w14:paraId="5958CBD6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本文件适用于以</w:t>
      </w:r>
      <w:bookmarkStart w:id="1" w:name="OLE_LINK2"/>
      <w:bookmarkStart w:id="2" w:name="OLE_LINK1"/>
      <w:r>
        <w:rPr>
          <w:rFonts w:hint="eastAsia"/>
          <w:color w:val="auto"/>
          <w:szCs w:val="21"/>
        </w:rPr>
        <w:t>天然植（动）物油脂及其衍生物为原料，</w:t>
      </w:r>
      <w:bookmarkEnd w:id="1"/>
      <w:bookmarkEnd w:id="2"/>
      <w:r>
        <w:rPr>
          <w:rFonts w:hint="eastAsia"/>
          <w:color w:val="auto"/>
          <w:szCs w:val="21"/>
        </w:rPr>
        <w:t>经醇解或水解、蒸馏生产脂肪酸过程中得到的副产混合脂肪酸。</w:t>
      </w:r>
    </w:p>
    <w:p w14:paraId="7DDB8D72">
      <w:pPr>
        <w:pStyle w:val="15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3.2 产品分类</w:t>
      </w:r>
    </w:p>
    <w:p w14:paraId="1CA5AA6B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根据行业相关企业混合脂肪酸生产工艺及指标的不同，将本文件所属产品分为“高碳链混合脂肪酸”和“中低碳链混合脂肪酸”两类。</w:t>
      </w:r>
    </w:p>
    <w:p w14:paraId="257E6B7B">
      <w:pPr>
        <w:pStyle w:val="15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3</w:t>
      </w:r>
      <w:r>
        <w:rPr>
          <w:color w:val="auto"/>
          <w:szCs w:val="21"/>
        </w:rPr>
        <w:t xml:space="preserve">.3 </w:t>
      </w:r>
      <w:r>
        <w:rPr>
          <w:rFonts w:hint="eastAsia"/>
          <w:color w:val="auto"/>
          <w:szCs w:val="21"/>
        </w:rPr>
        <w:t>指标要求</w:t>
      </w:r>
    </w:p>
    <w:p w14:paraId="35426487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根据行业相关企业实际生产情况以及市场需求，本文件设置“外观”、“酸值”、“皂化值”、以及“水分”等指标，并以“适用、合理”为原则为其取值。</w:t>
      </w:r>
    </w:p>
    <w:p w14:paraId="0CD61C33">
      <w:pPr>
        <w:spacing w:before="156"/>
      </w:pPr>
      <w:r>
        <w:rPr>
          <w:rFonts w:hint="eastAsia"/>
        </w:rPr>
        <w:t>4标准中涉及专利的情况</w:t>
      </w:r>
    </w:p>
    <w:p w14:paraId="79015ED6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本标准中不涉及专利问题。</w:t>
      </w:r>
    </w:p>
    <w:p w14:paraId="6B4DB95B">
      <w:pPr>
        <w:spacing w:before="156"/>
      </w:pPr>
      <w:r>
        <w:rPr>
          <w:rFonts w:hint="eastAsia"/>
        </w:rPr>
        <w:t>5预期达到的社会效益等情况、对产业发展的作用等情况</w:t>
      </w:r>
    </w:p>
    <w:p w14:paraId="5DBD1CFC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由于目前在日化洗涤剂行业中，没有对应的国家标准、行业标准、团体标准，本文件的实施可为混合脂肪酸用作市场产品提供技术依据，降低交易风险，同时促进规范行业发展。</w:t>
      </w:r>
    </w:p>
    <w:p w14:paraId="2816C04E">
      <w:pPr>
        <w:spacing w:before="156"/>
      </w:pPr>
      <w:r>
        <w:rPr>
          <w:rFonts w:hint="eastAsia"/>
        </w:rPr>
        <w:t>6采用国际标准和国外先进标准情况</w:t>
      </w:r>
    </w:p>
    <w:p w14:paraId="370C14B2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无</w:t>
      </w:r>
    </w:p>
    <w:p w14:paraId="1922E5BA">
      <w:pPr>
        <w:spacing w:before="156"/>
      </w:pPr>
      <w:r>
        <w:rPr>
          <w:rFonts w:hint="eastAsia"/>
        </w:rPr>
        <w:t>7与现行相关法律、法规、规章及相关标准，特别是强制性标准的协调性</w:t>
      </w:r>
    </w:p>
    <w:p w14:paraId="169B624E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与现行行业相关法律法规、规章未发生冲突。混合脂肪酸组分主要为不同碳链的脂肪酸、酯类和少许杂质，这些组分均收录于《中国现有化学物质名录》 ，符合相关法律法规规定。</w:t>
      </w:r>
    </w:p>
    <w:p w14:paraId="746BC909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目前暂无对应的国家标准、行业标准、团体标准，不存在与现行标准冲突。</w:t>
      </w:r>
    </w:p>
    <w:p w14:paraId="10BCDDCF">
      <w:pPr>
        <w:spacing w:before="156"/>
      </w:pPr>
      <w:r>
        <w:rPr>
          <w:rFonts w:hint="eastAsia"/>
        </w:rPr>
        <w:t>8重大分歧意见的处理经过和依据</w:t>
      </w:r>
    </w:p>
    <w:p w14:paraId="5CA12DE8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无。</w:t>
      </w:r>
    </w:p>
    <w:p w14:paraId="1728700D">
      <w:pPr>
        <w:spacing w:before="156"/>
      </w:pPr>
      <w:r>
        <w:rPr>
          <w:rFonts w:hint="eastAsia"/>
        </w:rPr>
        <w:t>9标准性质的建议说明</w:t>
      </w:r>
    </w:p>
    <w:p w14:paraId="0EC3925A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推荐性团体标准。</w:t>
      </w:r>
    </w:p>
    <w:p w14:paraId="2C908813">
      <w:pPr>
        <w:spacing w:before="156"/>
      </w:pPr>
      <w:r>
        <w:rPr>
          <w:rFonts w:hint="eastAsia"/>
        </w:rPr>
        <w:t>1</w:t>
      </w:r>
      <w:r>
        <w:t xml:space="preserve">0  </w:t>
      </w:r>
      <w:r>
        <w:rPr>
          <w:rFonts w:hint="eastAsia"/>
        </w:rPr>
        <w:t>贯彻标准的要求和措施建议</w:t>
      </w:r>
    </w:p>
    <w:p w14:paraId="03CA4164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建议本标准批准发布</w:t>
      </w:r>
      <w:r>
        <w:rPr>
          <w:color w:val="auto"/>
          <w:szCs w:val="21"/>
        </w:rPr>
        <w:t>3</w:t>
      </w:r>
      <w:r>
        <w:rPr>
          <w:rFonts w:hint="eastAsia"/>
          <w:color w:val="auto"/>
          <w:szCs w:val="21"/>
        </w:rPr>
        <w:t>个月后实施。</w:t>
      </w:r>
    </w:p>
    <w:p w14:paraId="1E33578D">
      <w:pPr>
        <w:spacing w:before="156"/>
      </w:pPr>
      <w:r>
        <w:rPr>
          <w:rFonts w:hint="eastAsia"/>
        </w:rPr>
        <w:t>1</w:t>
      </w:r>
      <w:r>
        <w:t xml:space="preserve">1  </w:t>
      </w:r>
      <w:r>
        <w:rPr>
          <w:rFonts w:hint="eastAsia"/>
        </w:rPr>
        <w:t>其它应予说明的事项</w:t>
      </w:r>
    </w:p>
    <w:p w14:paraId="63AFC399">
      <w:pPr>
        <w:pStyle w:val="15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无。</w:t>
      </w:r>
    </w:p>
    <w:p w14:paraId="5E8AC37D">
      <w:pPr>
        <w:pStyle w:val="15"/>
        <w:ind w:firstLine="420" w:firstLineChars="200"/>
        <w:rPr>
          <w:szCs w:val="21"/>
        </w:rPr>
      </w:pPr>
    </w:p>
    <w:p w14:paraId="3D7E5F3D">
      <w:pPr>
        <w:pStyle w:val="15"/>
        <w:ind w:firstLine="420" w:firstLineChars="200"/>
        <w:rPr>
          <w:szCs w:val="21"/>
        </w:rPr>
      </w:pPr>
    </w:p>
    <w:p w14:paraId="19467B80">
      <w:pPr>
        <w:pStyle w:val="15"/>
        <w:rPr>
          <w:szCs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418" w:bottom="1418" w:left="1418" w:header="851" w:footer="851" w:gutter="0"/>
          <w:pgNumType w:start="0"/>
          <w:cols w:space="720" w:num="1"/>
          <w:titlePg/>
          <w:docGrid w:type="lines" w:linePitch="312" w:charSpace="0"/>
        </w:sectPr>
      </w:pPr>
    </w:p>
    <w:p w14:paraId="6B39BC5E">
      <w:pPr>
        <w:pStyle w:val="15"/>
        <w:rPr>
          <w:szCs w:val="21"/>
        </w:rPr>
      </w:pPr>
    </w:p>
    <w:p w14:paraId="0E00EBA6">
      <w:pPr>
        <w:spacing w:before="156"/>
        <w:rPr>
          <w:color w:val="auto"/>
          <w:highlight w:val="none"/>
        </w:rPr>
      </w:pPr>
      <w:bookmarkStart w:id="3" w:name="_GoBack"/>
      <w:r>
        <w:rPr>
          <w:rFonts w:hint="eastAsia"/>
          <w:color w:val="auto"/>
          <w:highlight w:val="none"/>
        </w:rPr>
        <w:t>12 意见处理情况</w:t>
      </w:r>
    </w:p>
    <w:p w14:paraId="324CB9A7">
      <w:pPr>
        <w:pStyle w:val="15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12.1  2025年2月征求意见</w:t>
      </w:r>
    </w:p>
    <w:tbl>
      <w:tblPr>
        <w:tblStyle w:val="10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02"/>
        <w:gridCol w:w="3061"/>
        <w:gridCol w:w="3634"/>
        <w:gridCol w:w="2273"/>
        <w:gridCol w:w="3072"/>
      </w:tblGrid>
      <w:tr w14:paraId="50C4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633" w:type="dxa"/>
            <w:vAlign w:val="center"/>
          </w:tcPr>
          <w:p w14:paraId="38CFB1D5">
            <w:pPr>
              <w:spacing w:before="156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1002" w:type="dxa"/>
            <w:vAlign w:val="center"/>
          </w:tcPr>
          <w:p w14:paraId="31C434FE">
            <w:pPr>
              <w:pStyle w:val="18"/>
              <w:spacing w:before="156"/>
              <w:ind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标准章条编号</w:t>
            </w:r>
          </w:p>
        </w:tc>
        <w:tc>
          <w:tcPr>
            <w:tcW w:w="3061" w:type="dxa"/>
            <w:vAlign w:val="center"/>
          </w:tcPr>
          <w:p w14:paraId="5E7C1FBB">
            <w:pPr>
              <w:pStyle w:val="18"/>
              <w:spacing w:before="156"/>
              <w:ind w:firstLine="42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意见内容</w:t>
            </w:r>
          </w:p>
        </w:tc>
        <w:tc>
          <w:tcPr>
            <w:tcW w:w="3634" w:type="dxa"/>
            <w:vAlign w:val="center"/>
          </w:tcPr>
          <w:p w14:paraId="2C706D17">
            <w:pPr>
              <w:pStyle w:val="18"/>
              <w:spacing w:before="156"/>
              <w:ind w:firstLine="42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修改技术依据或理由</w:t>
            </w:r>
          </w:p>
        </w:tc>
        <w:tc>
          <w:tcPr>
            <w:tcW w:w="2273" w:type="dxa"/>
            <w:vAlign w:val="center"/>
          </w:tcPr>
          <w:p w14:paraId="15D9281F">
            <w:pPr>
              <w:pStyle w:val="18"/>
              <w:spacing w:before="156"/>
              <w:ind w:firstLine="42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提出单位</w:t>
            </w:r>
          </w:p>
        </w:tc>
        <w:tc>
          <w:tcPr>
            <w:tcW w:w="3072" w:type="dxa"/>
            <w:vAlign w:val="center"/>
          </w:tcPr>
          <w:p w14:paraId="6866110C">
            <w:pPr>
              <w:pStyle w:val="18"/>
              <w:spacing w:before="156"/>
              <w:ind w:firstLine="422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处理意见及理由</w:t>
            </w:r>
          </w:p>
        </w:tc>
      </w:tr>
      <w:tr w14:paraId="0006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633" w:type="dxa"/>
            <w:vAlign w:val="center"/>
          </w:tcPr>
          <w:p w14:paraId="2704C931">
            <w:pPr>
              <w:spacing w:before="156"/>
              <w:jc w:val="center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1</w:t>
            </w:r>
          </w:p>
        </w:tc>
        <w:tc>
          <w:tcPr>
            <w:tcW w:w="1002" w:type="dxa"/>
            <w:vAlign w:val="center"/>
          </w:tcPr>
          <w:p w14:paraId="480292E9">
            <w:pPr>
              <w:spacing w:before="156"/>
              <w:jc w:val="center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5</w:t>
            </w:r>
          </w:p>
        </w:tc>
        <w:tc>
          <w:tcPr>
            <w:tcW w:w="3061" w:type="dxa"/>
            <w:vAlign w:val="center"/>
          </w:tcPr>
          <w:p w14:paraId="4528A847">
            <w:pPr>
              <w:spacing w:before="156"/>
              <w:rPr>
                <w:b w:val="0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/>
                <w:b w:val="0"/>
                <w:color w:val="auto"/>
                <w:highlight w:val="none"/>
                <w:shd w:val="clear" w:color="auto" w:fill="FFFFFF"/>
              </w:rPr>
              <w:t>建议删除碳链组成指标</w:t>
            </w:r>
          </w:p>
        </w:tc>
        <w:tc>
          <w:tcPr>
            <w:tcW w:w="3634" w:type="dxa"/>
            <w:vAlign w:val="center"/>
          </w:tcPr>
          <w:p w14:paraId="4D9224FD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由于混合脂肪酸的组分比较复杂，检测碳链容易对色谱柱造成不良影响；</w:t>
            </w:r>
          </w:p>
        </w:tc>
        <w:tc>
          <w:tcPr>
            <w:tcW w:w="2273" w:type="dxa"/>
            <w:vAlign w:val="center"/>
          </w:tcPr>
          <w:p w14:paraId="0CDDBB94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青岛金牛油脂科技有限公司</w:t>
            </w:r>
          </w:p>
          <w:p w14:paraId="6971F505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江苏金桥油脂科技有限公司</w:t>
            </w:r>
          </w:p>
          <w:p w14:paraId="0178D79A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泰柯棕化（张家港）有限公司</w:t>
            </w:r>
          </w:p>
        </w:tc>
        <w:tc>
          <w:tcPr>
            <w:tcW w:w="3072" w:type="dxa"/>
            <w:vAlign w:val="center"/>
          </w:tcPr>
          <w:p w14:paraId="4AA8ADE0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采纳</w:t>
            </w:r>
          </w:p>
        </w:tc>
      </w:tr>
      <w:tr w14:paraId="659A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633" w:type="dxa"/>
            <w:vAlign w:val="center"/>
          </w:tcPr>
          <w:p w14:paraId="34AF5747">
            <w:pPr>
              <w:spacing w:before="156"/>
              <w:jc w:val="center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2</w:t>
            </w:r>
          </w:p>
        </w:tc>
        <w:tc>
          <w:tcPr>
            <w:tcW w:w="1002" w:type="dxa"/>
            <w:vAlign w:val="center"/>
          </w:tcPr>
          <w:p w14:paraId="0FCCC04F">
            <w:pPr>
              <w:spacing w:before="156"/>
              <w:jc w:val="center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1</w:t>
            </w:r>
          </w:p>
        </w:tc>
        <w:tc>
          <w:tcPr>
            <w:tcW w:w="3061" w:type="dxa"/>
            <w:vAlign w:val="center"/>
          </w:tcPr>
          <w:p w14:paraId="6D8B9A8A">
            <w:pPr>
              <w:spacing w:before="156"/>
              <w:rPr>
                <w:b w:val="0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/>
                <w:b w:val="0"/>
                <w:color w:val="auto"/>
                <w:highlight w:val="none"/>
                <w:shd w:val="clear" w:color="auto" w:fill="FFFFFF"/>
              </w:rPr>
              <w:t>建议全面完善生产原料及不同生产工艺过程</w:t>
            </w:r>
          </w:p>
        </w:tc>
        <w:tc>
          <w:tcPr>
            <w:tcW w:w="3634" w:type="dxa"/>
            <w:vAlign w:val="center"/>
          </w:tcPr>
          <w:p w14:paraId="7349DDF3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行业还有很多公司涉及其他天然原料及其他生产工艺</w:t>
            </w:r>
          </w:p>
        </w:tc>
        <w:tc>
          <w:tcPr>
            <w:tcW w:w="2273" w:type="dxa"/>
            <w:vAlign w:val="center"/>
          </w:tcPr>
          <w:p w14:paraId="1329584B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泰柯棕化（张家港）有限公司</w:t>
            </w:r>
          </w:p>
        </w:tc>
        <w:tc>
          <w:tcPr>
            <w:tcW w:w="3072" w:type="dxa"/>
            <w:vAlign w:val="center"/>
          </w:tcPr>
          <w:p w14:paraId="3A5F5A84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采纳</w:t>
            </w:r>
          </w:p>
        </w:tc>
      </w:tr>
      <w:tr w14:paraId="6675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633" w:type="dxa"/>
            <w:vAlign w:val="center"/>
          </w:tcPr>
          <w:p w14:paraId="162F1A0B">
            <w:pPr>
              <w:spacing w:before="156"/>
              <w:jc w:val="center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3</w:t>
            </w:r>
          </w:p>
        </w:tc>
        <w:tc>
          <w:tcPr>
            <w:tcW w:w="1002" w:type="dxa"/>
            <w:vAlign w:val="center"/>
          </w:tcPr>
          <w:p w14:paraId="477DF511">
            <w:pPr>
              <w:spacing w:before="156"/>
              <w:jc w:val="center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5</w:t>
            </w:r>
          </w:p>
        </w:tc>
        <w:tc>
          <w:tcPr>
            <w:tcW w:w="3061" w:type="dxa"/>
            <w:vAlign w:val="center"/>
          </w:tcPr>
          <w:p w14:paraId="4D1D2372">
            <w:pPr>
              <w:spacing w:before="156"/>
              <w:rPr>
                <w:b w:val="0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/>
                <w:b w:val="0"/>
                <w:color w:val="auto"/>
                <w:highlight w:val="none"/>
                <w:shd w:val="clear" w:color="auto" w:fill="FFFFFF"/>
              </w:rPr>
              <w:t>建议酸值</w:t>
            </w:r>
            <w:r>
              <w:rPr>
                <w:rFonts w:hint="eastAsia"/>
                <w:b w:val="0"/>
                <w:color w:val="auto"/>
                <w:highlight w:val="none"/>
              </w:rPr>
              <w:t>设定下限，不规定范围</w:t>
            </w:r>
          </w:p>
        </w:tc>
        <w:tc>
          <w:tcPr>
            <w:tcW w:w="3634" w:type="dxa"/>
            <w:vAlign w:val="center"/>
          </w:tcPr>
          <w:p w14:paraId="70EDE36E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不同原料生产的混合脂肪酸的酸值不一样</w:t>
            </w:r>
          </w:p>
        </w:tc>
        <w:tc>
          <w:tcPr>
            <w:tcW w:w="2273" w:type="dxa"/>
            <w:vAlign w:val="center"/>
          </w:tcPr>
          <w:p w14:paraId="50DF1C7E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泰柯棕化（张家港）有限公司</w:t>
            </w:r>
          </w:p>
        </w:tc>
        <w:tc>
          <w:tcPr>
            <w:tcW w:w="3072" w:type="dxa"/>
            <w:vAlign w:val="center"/>
          </w:tcPr>
          <w:p w14:paraId="4327CCC6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采纳</w:t>
            </w:r>
          </w:p>
        </w:tc>
      </w:tr>
      <w:tr w14:paraId="3A61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633" w:type="dxa"/>
            <w:vAlign w:val="center"/>
          </w:tcPr>
          <w:p w14:paraId="4C9EF8C0">
            <w:pPr>
              <w:spacing w:before="156"/>
              <w:jc w:val="center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4</w:t>
            </w:r>
          </w:p>
        </w:tc>
        <w:tc>
          <w:tcPr>
            <w:tcW w:w="1002" w:type="dxa"/>
            <w:vAlign w:val="center"/>
          </w:tcPr>
          <w:p w14:paraId="1CB002BD">
            <w:pPr>
              <w:spacing w:before="156"/>
              <w:jc w:val="center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5</w:t>
            </w:r>
          </w:p>
        </w:tc>
        <w:tc>
          <w:tcPr>
            <w:tcW w:w="3061" w:type="dxa"/>
            <w:vAlign w:val="center"/>
          </w:tcPr>
          <w:p w14:paraId="735385FB">
            <w:pPr>
              <w:spacing w:before="156"/>
              <w:rPr>
                <w:b w:val="0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/>
                <w:b w:val="0"/>
                <w:color w:val="auto"/>
                <w:highlight w:val="none"/>
                <w:shd w:val="clear" w:color="auto" w:fill="FFFFFF"/>
              </w:rPr>
              <w:t>建议产品分为高碳链混合脂肪酸和低碳链混合脂肪酸两种</w:t>
            </w:r>
          </w:p>
        </w:tc>
        <w:tc>
          <w:tcPr>
            <w:tcW w:w="3634" w:type="dxa"/>
            <w:vAlign w:val="center"/>
          </w:tcPr>
          <w:p w14:paraId="2E6B97E3">
            <w:pPr>
              <w:spacing w:before="156"/>
              <w:rPr>
                <w:b w:val="0"/>
                <w:color w:val="auto"/>
                <w:highlight w:val="none"/>
              </w:rPr>
            </w:pPr>
          </w:p>
        </w:tc>
        <w:tc>
          <w:tcPr>
            <w:tcW w:w="2273" w:type="dxa"/>
            <w:vAlign w:val="center"/>
          </w:tcPr>
          <w:p w14:paraId="740772A4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泰柯棕化（张家港）有限公司</w:t>
            </w:r>
          </w:p>
        </w:tc>
        <w:tc>
          <w:tcPr>
            <w:tcW w:w="3072" w:type="dxa"/>
            <w:vAlign w:val="center"/>
          </w:tcPr>
          <w:p w14:paraId="1B29DB84">
            <w:pPr>
              <w:spacing w:before="156"/>
              <w:rPr>
                <w:b w:val="0"/>
                <w:color w:val="auto"/>
                <w:highlight w:val="none"/>
              </w:rPr>
            </w:pPr>
            <w:r>
              <w:rPr>
                <w:rFonts w:hint="eastAsia"/>
                <w:b w:val="0"/>
                <w:color w:val="auto"/>
                <w:highlight w:val="none"/>
              </w:rPr>
              <w:t>针对不同碳链分别制定指标</w:t>
            </w:r>
          </w:p>
        </w:tc>
      </w:tr>
    </w:tbl>
    <w:p w14:paraId="2B066ADE">
      <w:pPr>
        <w:spacing w:before="156"/>
        <w:rPr>
          <w:color w:val="auto"/>
          <w:highlight w:val="none"/>
        </w:rPr>
      </w:pPr>
    </w:p>
    <w:bookmarkEnd w:id="3"/>
    <w:sectPr>
      <w:pgSz w:w="16838" w:h="11906" w:orient="landscape"/>
      <w:pgMar w:top="1418" w:right="1418" w:bottom="1418" w:left="1418" w:header="851" w:footer="851" w:gutter="0"/>
      <w:pgNumType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470F1">
    <w:pPr>
      <w:pStyle w:val="6"/>
      <w:spacing w:before="12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78BA4764">
    <w:pPr>
      <w:pStyle w:val="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AE414">
    <w:pPr>
      <w:pStyle w:val="6"/>
      <w:spacing w:before="12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 w14:paraId="08277B22">
    <w:pPr>
      <w:pStyle w:val="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C1AA">
    <w:pPr>
      <w:pStyle w:val="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C5856">
    <w:pPr>
      <w:pStyle w:val="7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ABA1">
    <w:pPr>
      <w:pStyle w:val="7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D46B9">
    <w:pPr>
      <w:pStyle w:val="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zMWM0YjgwMDM1OTlmMjBiYTI0NTBiMGFhODI0ODIifQ=="/>
  </w:docVars>
  <w:rsids>
    <w:rsidRoot w:val="00294783"/>
    <w:rsid w:val="00003215"/>
    <w:rsid w:val="000122A9"/>
    <w:rsid w:val="00013326"/>
    <w:rsid w:val="00014546"/>
    <w:rsid w:val="00016359"/>
    <w:rsid w:val="000226A1"/>
    <w:rsid w:val="00026176"/>
    <w:rsid w:val="000276BE"/>
    <w:rsid w:val="00042FD1"/>
    <w:rsid w:val="00054FDB"/>
    <w:rsid w:val="0005564A"/>
    <w:rsid w:val="00055C91"/>
    <w:rsid w:val="00064989"/>
    <w:rsid w:val="00064C1B"/>
    <w:rsid w:val="000655C0"/>
    <w:rsid w:val="00073091"/>
    <w:rsid w:val="00075ED2"/>
    <w:rsid w:val="00077265"/>
    <w:rsid w:val="00097B45"/>
    <w:rsid w:val="000A1B05"/>
    <w:rsid w:val="000A377E"/>
    <w:rsid w:val="000C3E26"/>
    <w:rsid w:val="000C6A85"/>
    <w:rsid w:val="000D5DFB"/>
    <w:rsid w:val="000E1FC9"/>
    <w:rsid w:val="001002B5"/>
    <w:rsid w:val="00100FA7"/>
    <w:rsid w:val="001024A2"/>
    <w:rsid w:val="00120750"/>
    <w:rsid w:val="001209F9"/>
    <w:rsid w:val="00121251"/>
    <w:rsid w:val="0012354E"/>
    <w:rsid w:val="00124CFA"/>
    <w:rsid w:val="001317D7"/>
    <w:rsid w:val="001318BA"/>
    <w:rsid w:val="001341B4"/>
    <w:rsid w:val="00134B27"/>
    <w:rsid w:val="00136F38"/>
    <w:rsid w:val="00142841"/>
    <w:rsid w:val="00153BF8"/>
    <w:rsid w:val="0016324F"/>
    <w:rsid w:val="00166DB8"/>
    <w:rsid w:val="00174CB9"/>
    <w:rsid w:val="0017759E"/>
    <w:rsid w:val="001822EC"/>
    <w:rsid w:val="00192FC4"/>
    <w:rsid w:val="00193688"/>
    <w:rsid w:val="001942BC"/>
    <w:rsid w:val="001A0F92"/>
    <w:rsid w:val="001A62FC"/>
    <w:rsid w:val="001B01B6"/>
    <w:rsid w:val="001B3966"/>
    <w:rsid w:val="001B7A1D"/>
    <w:rsid w:val="001C604C"/>
    <w:rsid w:val="001D2747"/>
    <w:rsid w:val="001D4DB6"/>
    <w:rsid w:val="001E2B91"/>
    <w:rsid w:val="001E3777"/>
    <w:rsid w:val="001F2F33"/>
    <w:rsid w:val="001F7845"/>
    <w:rsid w:val="002222B8"/>
    <w:rsid w:val="002331C1"/>
    <w:rsid w:val="00237497"/>
    <w:rsid w:val="00241242"/>
    <w:rsid w:val="002470B1"/>
    <w:rsid w:val="002719B8"/>
    <w:rsid w:val="002802EF"/>
    <w:rsid w:val="0028104E"/>
    <w:rsid w:val="002812D9"/>
    <w:rsid w:val="002909A4"/>
    <w:rsid w:val="00294783"/>
    <w:rsid w:val="0029751C"/>
    <w:rsid w:val="002A10A7"/>
    <w:rsid w:val="002A18E8"/>
    <w:rsid w:val="002A7140"/>
    <w:rsid w:val="002A786E"/>
    <w:rsid w:val="002B2244"/>
    <w:rsid w:val="002B788D"/>
    <w:rsid w:val="002C0E20"/>
    <w:rsid w:val="002C2279"/>
    <w:rsid w:val="002C28BF"/>
    <w:rsid w:val="002C5553"/>
    <w:rsid w:val="00306B10"/>
    <w:rsid w:val="0030795D"/>
    <w:rsid w:val="00310552"/>
    <w:rsid w:val="003117A9"/>
    <w:rsid w:val="00315EA5"/>
    <w:rsid w:val="00315EDB"/>
    <w:rsid w:val="0037311C"/>
    <w:rsid w:val="003861AA"/>
    <w:rsid w:val="0039252C"/>
    <w:rsid w:val="003A15FC"/>
    <w:rsid w:val="003B06C7"/>
    <w:rsid w:val="003B3418"/>
    <w:rsid w:val="003C0C04"/>
    <w:rsid w:val="003C7FF2"/>
    <w:rsid w:val="003D3189"/>
    <w:rsid w:val="003D3BB0"/>
    <w:rsid w:val="003D6B0F"/>
    <w:rsid w:val="003D6DF1"/>
    <w:rsid w:val="003E0E67"/>
    <w:rsid w:val="003E765A"/>
    <w:rsid w:val="003F27DB"/>
    <w:rsid w:val="003F429B"/>
    <w:rsid w:val="003F4A25"/>
    <w:rsid w:val="003F64C5"/>
    <w:rsid w:val="00403E2F"/>
    <w:rsid w:val="00424411"/>
    <w:rsid w:val="00431B18"/>
    <w:rsid w:val="00436BBB"/>
    <w:rsid w:val="00446125"/>
    <w:rsid w:val="004507A1"/>
    <w:rsid w:val="004661C2"/>
    <w:rsid w:val="00466441"/>
    <w:rsid w:val="00466E88"/>
    <w:rsid w:val="00467278"/>
    <w:rsid w:val="004738A6"/>
    <w:rsid w:val="00493701"/>
    <w:rsid w:val="0049505D"/>
    <w:rsid w:val="004A324D"/>
    <w:rsid w:val="004A63E2"/>
    <w:rsid w:val="004A7463"/>
    <w:rsid w:val="004B022D"/>
    <w:rsid w:val="004B5C46"/>
    <w:rsid w:val="004C4F94"/>
    <w:rsid w:val="004E4839"/>
    <w:rsid w:val="004E703E"/>
    <w:rsid w:val="004E7C87"/>
    <w:rsid w:val="004F6F8C"/>
    <w:rsid w:val="00500AD8"/>
    <w:rsid w:val="005017C9"/>
    <w:rsid w:val="005040C8"/>
    <w:rsid w:val="00506092"/>
    <w:rsid w:val="00507833"/>
    <w:rsid w:val="005126CE"/>
    <w:rsid w:val="0052026A"/>
    <w:rsid w:val="00522DDD"/>
    <w:rsid w:val="00524793"/>
    <w:rsid w:val="00526582"/>
    <w:rsid w:val="005306F9"/>
    <w:rsid w:val="005335B6"/>
    <w:rsid w:val="00536EB8"/>
    <w:rsid w:val="005454E8"/>
    <w:rsid w:val="005473F9"/>
    <w:rsid w:val="00557CA6"/>
    <w:rsid w:val="00561901"/>
    <w:rsid w:val="00562512"/>
    <w:rsid w:val="005940F9"/>
    <w:rsid w:val="00594E06"/>
    <w:rsid w:val="005968C4"/>
    <w:rsid w:val="005977D8"/>
    <w:rsid w:val="005A10FC"/>
    <w:rsid w:val="005A1948"/>
    <w:rsid w:val="005A7A95"/>
    <w:rsid w:val="005B32FB"/>
    <w:rsid w:val="005B45BF"/>
    <w:rsid w:val="005B7273"/>
    <w:rsid w:val="005C7CAF"/>
    <w:rsid w:val="005D170E"/>
    <w:rsid w:val="005D3C80"/>
    <w:rsid w:val="005E530A"/>
    <w:rsid w:val="005E7558"/>
    <w:rsid w:val="005E7E30"/>
    <w:rsid w:val="005F000F"/>
    <w:rsid w:val="005F6E5B"/>
    <w:rsid w:val="006016CD"/>
    <w:rsid w:val="0060360F"/>
    <w:rsid w:val="00624173"/>
    <w:rsid w:val="00627FBD"/>
    <w:rsid w:val="00632149"/>
    <w:rsid w:val="0063594E"/>
    <w:rsid w:val="00640DD8"/>
    <w:rsid w:val="00641EA3"/>
    <w:rsid w:val="006446EE"/>
    <w:rsid w:val="0064643B"/>
    <w:rsid w:val="00662515"/>
    <w:rsid w:val="006639B3"/>
    <w:rsid w:val="00667A13"/>
    <w:rsid w:val="00674DAC"/>
    <w:rsid w:val="0067617B"/>
    <w:rsid w:val="006761C5"/>
    <w:rsid w:val="00687ED0"/>
    <w:rsid w:val="006937DA"/>
    <w:rsid w:val="0069637B"/>
    <w:rsid w:val="006A7C50"/>
    <w:rsid w:val="006B0FCB"/>
    <w:rsid w:val="006B2C04"/>
    <w:rsid w:val="006C47AA"/>
    <w:rsid w:val="006C758A"/>
    <w:rsid w:val="006C7DD1"/>
    <w:rsid w:val="006D00D4"/>
    <w:rsid w:val="006E16AF"/>
    <w:rsid w:val="006E2E54"/>
    <w:rsid w:val="006E3C5F"/>
    <w:rsid w:val="006F17CE"/>
    <w:rsid w:val="007139B4"/>
    <w:rsid w:val="00713DCB"/>
    <w:rsid w:val="00714283"/>
    <w:rsid w:val="007143B7"/>
    <w:rsid w:val="007207CF"/>
    <w:rsid w:val="007217AF"/>
    <w:rsid w:val="007319EF"/>
    <w:rsid w:val="00733F76"/>
    <w:rsid w:val="0074703D"/>
    <w:rsid w:val="00760690"/>
    <w:rsid w:val="007609EB"/>
    <w:rsid w:val="007641E7"/>
    <w:rsid w:val="0076739D"/>
    <w:rsid w:val="007707CC"/>
    <w:rsid w:val="00781606"/>
    <w:rsid w:val="00783556"/>
    <w:rsid w:val="00787446"/>
    <w:rsid w:val="00794D46"/>
    <w:rsid w:val="007978E3"/>
    <w:rsid w:val="007A34D9"/>
    <w:rsid w:val="007A390F"/>
    <w:rsid w:val="007A3F52"/>
    <w:rsid w:val="007C201B"/>
    <w:rsid w:val="007D1401"/>
    <w:rsid w:val="007D2368"/>
    <w:rsid w:val="007D24CB"/>
    <w:rsid w:val="007E1843"/>
    <w:rsid w:val="007E6999"/>
    <w:rsid w:val="007E6DF9"/>
    <w:rsid w:val="007E7A7D"/>
    <w:rsid w:val="007F08CC"/>
    <w:rsid w:val="007F1263"/>
    <w:rsid w:val="007F2D9C"/>
    <w:rsid w:val="007F5F58"/>
    <w:rsid w:val="007F6CDA"/>
    <w:rsid w:val="00800C32"/>
    <w:rsid w:val="008019DD"/>
    <w:rsid w:val="00802B7B"/>
    <w:rsid w:val="00804895"/>
    <w:rsid w:val="008173FA"/>
    <w:rsid w:val="008235FD"/>
    <w:rsid w:val="00831416"/>
    <w:rsid w:val="00831623"/>
    <w:rsid w:val="0083293F"/>
    <w:rsid w:val="00835CF4"/>
    <w:rsid w:val="00835DCB"/>
    <w:rsid w:val="00847C2C"/>
    <w:rsid w:val="008657B6"/>
    <w:rsid w:val="00876C8D"/>
    <w:rsid w:val="0088020F"/>
    <w:rsid w:val="00883E8B"/>
    <w:rsid w:val="00885C1D"/>
    <w:rsid w:val="0088691E"/>
    <w:rsid w:val="00895CAE"/>
    <w:rsid w:val="008A5E21"/>
    <w:rsid w:val="008A68AA"/>
    <w:rsid w:val="008B677E"/>
    <w:rsid w:val="008C352F"/>
    <w:rsid w:val="008C4A3C"/>
    <w:rsid w:val="008C4E81"/>
    <w:rsid w:val="008D5587"/>
    <w:rsid w:val="008F00A6"/>
    <w:rsid w:val="008F42E3"/>
    <w:rsid w:val="008F7D68"/>
    <w:rsid w:val="009035A7"/>
    <w:rsid w:val="00906909"/>
    <w:rsid w:val="00907483"/>
    <w:rsid w:val="00915F1F"/>
    <w:rsid w:val="00926CDB"/>
    <w:rsid w:val="00934926"/>
    <w:rsid w:val="00944339"/>
    <w:rsid w:val="00950855"/>
    <w:rsid w:val="00952034"/>
    <w:rsid w:val="009527FF"/>
    <w:rsid w:val="009561B3"/>
    <w:rsid w:val="00957317"/>
    <w:rsid w:val="00960063"/>
    <w:rsid w:val="00962BC9"/>
    <w:rsid w:val="0097788A"/>
    <w:rsid w:val="00981C92"/>
    <w:rsid w:val="00982427"/>
    <w:rsid w:val="009948E0"/>
    <w:rsid w:val="00995D39"/>
    <w:rsid w:val="00997739"/>
    <w:rsid w:val="009A0271"/>
    <w:rsid w:val="009A7B3B"/>
    <w:rsid w:val="009A7BAC"/>
    <w:rsid w:val="009B2C4B"/>
    <w:rsid w:val="009D0F7D"/>
    <w:rsid w:val="009D2B32"/>
    <w:rsid w:val="009F14A4"/>
    <w:rsid w:val="009F5D91"/>
    <w:rsid w:val="009F7429"/>
    <w:rsid w:val="00A24595"/>
    <w:rsid w:val="00A24F46"/>
    <w:rsid w:val="00A32224"/>
    <w:rsid w:val="00A349E6"/>
    <w:rsid w:val="00A454DE"/>
    <w:rsid w:val="00A508C4"/>
    <w:rsid w:val="00A538D0"/>
    <w:rsid w:val="00A55CBC"/>
    <w:rsid w:val="00A55E36"/>
    <w:rsid w:val="00A60485"/>
    <w:rsid w:val="00A73BFC"/>
    <w:rsid w:val="00A9130B"/>
    <w:rsid w:val="00AA36CA"/>
    <w:rsid w:val="00AA5973"/>
    <w:rsid w:val="00AB15DF"/>
    <w:rsid w:val="00AD017F"/>
    <w:rsid w:val="00AD610E"/>
    <w:rsid w:val="00AE020A"/>
    <w:rsid w:val="00AE36F0"/>
    <w:rsid w:val="00AF33FA"/>
    <w:rsid w:val="00AF600A"/>
    <w:rsid w:val="00B104F9"/>
    <w:rsid w:val="00B17584"/>
    <w:rsid w:val="00B2310C"/>
    <w:rsid w:val="00B24269"/>
    <w:rsid w:val="00B32179"/>
    <w:rsid w:val="00B32318"/>
    <w:rsid w:val="00B327F0"/>
    <w:rsid w:val="00B63DBC"/>
    <w:rsid w:val="00B64DBE"/>
    <w:rsid w:val="00B6748A"/>
    <w:rsid w:val="00B72AC2"/>
    <w:rsid w:val="00B812BB"/>
    <w:rsid w:val="00B8438A"/>
    <w:rsid w:val="00B91BB3"/>
    <w:rsid w:val="00BA7868"/>
    <w:rsid w:val="00BC1D4F"/>
    <w:rsid w:val="00BC2AEC"/>
    <w:rsid w:val="00BC6AD9"/>
    <w:rsid w:val="00BD12FE"/>
    <w:rsid w:val="00BD7382"/>
    <w:rsid w:val="00BF12FD"/>
    <w:rsid w:val="00BF2076"/>
    <w:rsid w:val="00BF5A53"/>
    <w:rsid w:val="00C010FF"/>
    <w:rsid w:val="00C01D96"/>
    <w:rsid w:val="00C0577A"/>
    <w:rsid w:val="00C13708"/>
    <w:rsid w:val="00C2243E"/>
    <w:rsid w:val="00C35352"/>
    <w:rsid w:val="00C45C98"/>
    <w:rsid w:val="00C52419"/>
    <w:rsid w:val="00C5396B"/>
    <w:rsid w:val="00C81823"/>
    <w:rsid w:val="00CB28EB"/>
    <w:rsid w:val="00CC6241"/>
    <w:rsid w:val="00CD34E7"/>
    <w:rsid w:val="00CE2EC7"/>
    <w:rsid w:val="00D038DF"/>
    <w:rsid w:val="00D13ABB"/>
    <w:rsid w:val="00D13B93"/>
    <w:rsid w:val="00D16A64"/>
    <w:rsid w:val="00D16C72"/>
    <w:rsid w:val="00D17148"/>
    <w:rsid w:val="00D27D2A"/>
    <w:rsid w:val="00D27DA3"/>
    <w:rsid w:val="00D304E9"/>
    <w:rsid w:val="00D362C9"/>
    <w:rsid w:val="00D368E7"/>
    <w:rsid w:val="00D41159"/>
    <w:rsid w:val="00D4443B"/>
    <w:rsid w:val="00D50316"/>
    <w:rsid w:val="00D61054"/>
    <w:rsid w:val="00D621AB"/>
    <w:rsid w:val="00D674B1"/>
    <w:rsid w:val="00D72C40"/>
    <w:rsid w:val="00D731A7"/>
    <w:rsid w:val="00D86917"/>
    <w:rsid w:val="00D90E59"/>
    <w:rsid w:val="00D96F9D"/>
    <w:rsid w:val="00DA0403"/>
    <w:rsid w:val="00DA47BF"/>
    <w:rsid w:val="00DC3588"/>
    <w:rsid w:val="00DC5986"/>
    <w:rsid w:val="00DC7CB5"/>
    <w:rsid w:val="00DD4C2E"/>
    <w:rsid w:val="00DD6B0F"/>
    <w:rsid w:val="00DF191A"/>
    <w:rsid w:val="00DF30FB"/>
    <w:rsid w:val="00DF505D"/>
    <w:rsid w:val="00E011CA"/>
    <w:rsid w:val="00E02E57"/>
    <w:rsid w:val="00E04F7C"/>
    <w:rsid w:val="00E0530C"/>
    <w:rsid w:val="00E10E2F"/>
    <w:rsid w:val="00E16DB5"/>
    <w:rsid w:val="00E171F5"/>
    <w:rsid w:val="00E30863"/>
    <w:rsid w:val="00E3122A"/>
    <w:rsid w:val="00E3151E"/>
    <w:rsid w:val="00E37BED"/>
    <w:rsid w:val="00E4275B"/>
    <w:rsid w:val="00E47875"/>
    <w:rsid w:val="00E513F1"/>
    <w:rsid w:val="00E61752"/>
    <w:rsid w:val="00E6473A"/>
    <w:rsid w:val="00E6767E"/>
    <w:rsid w:val="00E74DAE"/>
    <w:rsid w:val="00E807B4"/>
    <w:rsid w:val="00E93589"/>
    <w:rsid w:val="00E93CFA"/>
    <w:rsid w:val="00EB0C57"/>
    <w:rsid w:val="00EB37D0"/>
    <w:rsid w:val="00EC0431"/>
    <w:rsid w:val="00ED0D13"/>
    <w:rsid w:val="00ED26B5"/>
    <w:rsid w:val="00ED4CAE"/>
    <w:rsid w:val="00ED7512"/>
    <w:rsid w:val="00EE620A"/>
    <w:rsid w:val="00EF0325"/>
    <w:rsid w:val="00EF3238"/>
    <w:rsid w:val="00EF6476"/>
    <w:rsid w:val="00F14236"/>
    <w:rsid w:val="00F143DD"/>
    <w:rsid w:val="00F14B65"/>
    <w:rsid w:val="00F23CED"/>
    <w:rsid w:val="00F337C0"/>
    <w:rsid w:val="00F3643E"/>
    <w:rsid w:val="00F43987"/>
    <w:rsid w:val="00F455D1"/>
    <w:rsid w:val="00F46616"/>
    <w:rsid w:val="00F568E7"/>
    <w:rsid w:val="00F62310"/>
    <w:rsid w:val="00F62F91"/>
    <w:rsid w:val="00F66BDC"/>
    <w:rsid w:val="00F73FD5"/>
    <w:rsid w:val="00F75662"/>
    <w:rsid w:val="00F81129"/>
    <w:rsid w:val="00F85AFE"/>
    <w:rsid w:val="00F87669"/>
    <w:rsid w:val="00F950F5"/>
    <w:rsid w:val="00F955BA"/>
    <w:rsid w:val="00F96973"/>
    <w:rsid w:val="00FA2087"/>
    <w:rsid w:val="00FA3918"/>
    <w:rsid w:val="00FB3038"/>
    <w:rsid w:val="00FC4B5E"/>
    <w:rsid w:val="00FC7C80"/>
    <w:rsid w:val="01260E98"/>
    <w:rsid w:val="0332221F"/>
    <w:rsid w:val="044A592D"/>
    <w:rsid w:val="05597E8A"/>
    <w:rsid w:val="05B14C1B"/>
    <w:rsid w:val="0646307D"/>
    <w:rsid w:val="07451BB9"/>
    <w:rsid w:val="08974B86"/>
    <w:rsid w:val="13DC719D"/>
    <w:rsid w:val="13E43CCA"/>
    <w:rsid w:val="14EF1875"/>
    <w:rsid w:val="16217EA6"/>
    <w:rsid w:val="16401C90"/>
    <w:rsid w:val="191343BF"/>
    <w:rsid w:val="193C6A55"/>
    <w:rsid w:val="1A2559D7"/>
    <w:rsid w:val="1A4E36B1"/>
    <w:rsid w:val="1BFB0274"/>
    <w:rsid w:val="1E7A3F2A"/>
    <w:rsid w:val="22B12839"/>
    <w:rsid w:val="250B4415"/>
    <w:rsid w:val="25D63524"/>
    <w:rsid w:val="25E8526D"/>
    <w:rsid w:val="27127645"/>
    <w:rsid w:val="29A0263E"/>
    <w:rsid w:val="2CB371D5"/>
    <w:rsid w:val="2CB76E09"/>
    <w:rsid w:val="2D241352"/>
    <w:rsid w:val="2EA80FBB"/>
    <w:rsid w:val="30635127"/>
    <w:rsid w:val="32BF577B"/>
    <w:rsid w:val="364B4C35"/>
    <w:rsid w:val="36583775"/>
    <w:rsid w:val="37582F22"/>
    <w:rsid w:val="38461C5B"/>
    <w:rsid w:val="39D06DD7"/>
    <w:rsid w:val="3A3E27D3"/>
    <w:rsid w:val="3CC94A4B"/>
    <w:rsid w:val="3D2A3443"/>
    <w:rsid w:val="3D6660FE"/>
    <w:rsid w:val="43924C4E"/>
    <w:rsid w:val="4618477E"/>
    <w:rsid w:val="46562C57"/>
    <w:rsid w:val="4818558D"/>
    <w:rsid w:val="48F472F7"/>
    <w:rsid w:val="49121CE9"/>
    <w:rsid w:val="4C4E2DA6"/>
    <w:rsid w:val="4C5C36F2"/>
    <w:rsid w:val="4EF933B7"/>
    <w:rsid w:val="4FFE6B96"/>
    <w:rsid w:val="51684D16"/>
    <w:rsid w:val="51DF6C60"/>
    <w:rsid w:val="55ED3181"/>
    <w:rsid w:val="56E05A16"/>
    <w:rsid w:val="57977576"/>
    <w:rsid w:val="58432A06"/>
    <w:rsid w:val="58B53B02"/>
    <w:rsid w:val="58FF5A4F"/>
    <w:rsid w:val="59673469"/>
    <w:rsid w:val="5D47739A"/>
    <w:rsid w:val="5D4E4346"/>
    <w:rsid w:val="5F677A15"/>
    <w:rsid w:val="61E35CDA"/>
    <w:rsid w:val="62347417"/>
    <w:rsid w:val="640F539F"/>
    <w:rsid w:val="664F7D92"/>
    <w:rsid w:val="68663E90"/>
    <w:rsid w:val="6866680D"/>
    <w:rsid w:val="69101BB7"/>
    <w:rsid w:val="6BC618CA"/>
    <w:rsid w:val="6C35191F"/>
    <w:rsid w:val="6CE03BFC"/>
    <w:rsid w:val="725C2B6E"/>
    <w:rsid w:val="73FF4C50"/>
    <w:rsid w:val="745071FF"/>
    <w:rsid w:val="764864EC"/>
    <w:rsid w:val="77DE46D3"/>
    <w:rsid w:val="78F9069F"/>
    <w:rsid w:val="7A080096"/>
    <w:rsid w:val="7AAA5CC5"/>
    <w:rsid w:val="7F716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Lines="50" w:line="360" w:lineRule="auto"/>
      <w:jc w:val="both"/>
      <w:outlineLvl w:val="0"/>
    </w:pPr>
    <w:rPr>
      <w:rFonts w:ascii="宋体" w:hAnsi="宋体" w:eastAsia="宋体" w:cs="宋体"/>
      <w:b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1"/>
    <w:rPr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line="480" w:lineRule="atLeast"/>
      <w:ind w:firstLine="570"/>
    </w:pPr>
  </w:style>
  <w:style w:type="paragraph" w:styleId="5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wordWrap w:val="0"/>
      <w:ind w:right="-5"/>
    </w:pPr>
    <w:rPr>
      <w:spacing w:val="16"/>
      <w:lang w:val="fr-FR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</w:pPr>
    <w:rPr>
      <w:rFonts w:asciiTheme="majorHAnsi" w:hAnsiTheme="majorHAnsi" w:cstheme="majorBidi"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日期 Char"/>
    <w:link w:val="5"/>
    <w:autoRedefine/>
    <w:qFormat/>
    <w:uiPriority w:val="0"/>
    <w:rPr>
      <w:kern w:val="2"/>
      <w:sz w:val="21"/>
      <w:szCs w:val="24"/>
    </w:rPr>
  </w:style>
  <w:style w:type="character" w:customStyle="1" w:styleId="14">
    <w:name w:val="段 Char"/>
    <w:link w:val="15"/>
    <w:autoRedefine/>
    <w:qFormat/>
    <w:uiPriority w:val="0"/>
    <w:rPr>
      <w:rFonts w:ascii="宋体" w:hAnsi="宋体" w:cs="宋体"/>
      <w:color w:val="FF0000"/>
      <w:sz w:val="21"/>
      <w:szCs w:val="22"/>
    </w:rPr>
  </w:style>
  <w:style w:type="paragraph" w:customStyle="1" w:styleId="15">
    <w:name w:val="段"/>
    <w:link w:val="14"/>
    <w:autoRedefine/>
    <w:qFormat/>
    <w:uiPriority w:val="0"/>
    <w:pPr>
      <w:autoSpaceDE w:val="0"/>
      <w:autoSpaceDN w:val="0"/>
      <w:spacing w:line="300" w:lineRule="auto"/>
      <w:jc w:val="both"/>
    </w:pPr>
    <w:rPr>
      <w:rFonts w:ascii="宋体" w:hAnsi="宋体" w:eastAsia="宋体" w:cs="宋体"/>
      <w:color w:val="FF0000"/>
      <w:sz w:val="21"/>
      <w:szCs w:val="22"/>
      <w:shd w:val="clear" w:color="auto" w:fill="FFFFFF"/>
      <w:lang w:val="en-US" w:eastAsia="zh-CN" w:bidi="ar-SA"/>
    </w:rPr>
  </w:style>
  <w:style w:type="paragraph" w:customStyle="1" w:styleId="16">
    <w:name w:val="封面标准英文名称"/>
    <w:autoRedefine/>
    <w:qFormat/>
    <w:uiPriority w:val="0"/>
    <w:pPr>
      <w:widowControl w:val="0"/>
      <w:jc w:val="center"/>
      <w:outlineLvl w:val="0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customStyle="1" w:styleId="17">
    <w:name w:val="段 Char Char"/>
    <w:autoRedefine/>
    <w:qFormat/>
    <w:uiPriority w:val="0"/>
    <w:rPr>
      <w:rFonts w:ascii="宋体"/>
      <w:sz w:val="21"/>
      <w:lang w:val="en-US" w:eastAsia="zh-CN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Char"/>
    <w:basedOn w:val="11"/>
    <w:link w:val="8"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ridci</Company>
  <Pages>3</Pages>
  <Words>1279</Words>
  <Characters>1317</Characters>
  <Lines>10</Lines>
  <Paragraphs>2</Paragraphs>
  <TotalTime>249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2025-02-25T02:45:00Z</dcterms:created>
  <dc:creator>jiang</dc:creator>
  <cp:lastModifiedBy>夏末末</cp:lastModifiedBy>
  <cp:lastPrinted>2025-02-26T07:24:00Z</cp:lastPrinted>
  <dcterms:modified xsi:type="dcterms:W3CDTF">2025-03-25T06:41:47Z</dcterms:modified>
  <dc:title>中华人民共和国行业标准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FE7A1560D3294A84A718AA29F74CADCA_13</vt:lpwstr>
  </property>
  <property fmtid="{D5CDD505-2E9C-101B-9397-08002B2CF9AE}" pid="4" name="KSOTemplateDocerSaveRecord">
    <vt:lpwstr>eyJoZGlkIjoiNmIzMWM0YjgwMDM1OTlmMjBiYTI0NTBiMGFhODI0ODIiLCJ1c2VySWQiOiI0NDE3MjE1ODEifQ==</vt:lpwstr>
  </property>
</Properties>
</file>