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0928F">
      <w:pPr>
        <w:spacing w:afterLines="0" w:line="210" w:lineRule="exact"/>
        <w:ind w:firstLine="424"/>
        <w:rPr>
          <w:rFonts w:ascii="黑体" w:hAnsi="黑体" w:eastAsia="黑体" w:cs="黑体"/>
          <w:sz w:val="21"/>
          <w:szCs w:val="21"/>
        </w:rPr>
      </w:pPr>
      <w:r>
        <w:rPr>
          <w:rFonts w:ascii="黑体" w:hAnsi="黑体" w:eastAsia="黑体" w:cs="黑体"/>
          <w:sz w:val="21"/>
          <w:szCs w:val="21"/>
        </w:rPr>
        <w:drawing>
          <wp:anchor distT="0" distB="0" distL="114300" distR="114300" simplePos="0" relativeHeight="251663360" behindDoc="1" locked="0" layoutInCell="1" allowOverlap="1">
            <wp:simplePos x="0" y="0"/>
            <wp:positionH relativeFrom="column">
              <wp:posOffset>5034280</wp:posOffset>
            </wp:positionH>
            <wp:positionV relativeFrom="page">
              <wp:posOffset>552450</wp:posOffset>
            </wp:positionV>
            <wp:extent cx="638175" cy="797560"/>
            <wp:effectExtent l="19050" t="0" r="9525" b="0"/>
            <wp:wrapThrough wrapText="bothSides">
              <wp:wrapPolygon>
                <wp:start x="-645" y="0"/>
                <wp:lineTo x="-645" y="4127"/>
                <wp:lineTo x="3224" y="8255"/>
                <wp:lineTo x="6448" y="8255"/>
                <wp:lineTo x="6448" y="21153"/>
                <wp:lineTo x="15475" y="21153"/>
                <wp:lineTo x="16119" y="16510"/>
                <wp:lineTo x="15475" y="8255"/>
                <wp:lineTo x="18699" y="8255"/>
                <wp:lineTo x="21922" y="4127"/>
                <wp:lineTo x="21922" y="0"/>
                <wp:lineTo x="-645" y="0"/>
              </wp:wrapPolygon>
            </wp:wrapThrough>
            <wp:docPr id="1" name="图片 1" descr="团标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标标志"/>
                    <pic:cNvPicPr>
                      <a:picLocks noChangeAspect="1"/>
                    </pic:cNvPicPr>
                  </pic:nvPicPr>
                  <pic:blipFill>
                    <a:blip r:embed="rId19" cstate="print"/>
                    <a:stretch>
                      <a:fillRect/>
                    </a:stretch>
                  </pic:blipFill>
                  <pic:spPr>
                    <a:xfrm>
                      <a:off x="0" y="0"/>
                      <a:ext cx="638175" cy="797560"/>
                    </a:xfrm>
                    <a:prstGeom prst="rect">
                      <a:avLst/>
                    </a:prstGeom>
                  </pic:spPr>
                </pic:pic>
              </a:graphicData>
            </a:graphic>
          </wp:anchor>
        </w:drawing>
      </w:r>
    </w:p>
    <w:p w14:paraId="3C37581A">
      <w:pPr>
        <w:spacing w:afterLines="0" w:line="240" w:lineRule="auto"/>
      </w:pPr>
      <w:r>
        <w:rPr>
          <w:rFonts w:hint="eastAsia"/>
        </w:rPr>
        <w:t>ICS 71.100.40</w:t>
      </w:r>
    </w:p>
    <w:p w14:paraId="14FAF94D">
      <w:pPr>
        <w:spacing w:afterLines="0" w:line="240" w:lineRule="auto"/>
      </w:pPr>
      <w:r>
        <w:rPr>
          <w:rFonts w:hint="eastAsia"/>
        </w:rPr>
        <w:t xml:space="preserve">CCS G73 </w:t>
      </w:r>
    </w:p>
    <w:p w14:paraId="32D004FE">
      <w:pPr>
        <w:spacing w:afterLines="0" w:line="1134" w:lineRule="exact"/>
        <w:ind w:right="624" w:firstLine="485"/>
        <w:jc w:val="right"/>
        <w:rPr>
          <w:rFonts w:ascii="黑体" w:hAnsi="黑体" w:eastAsia="黑体" w:cs="黑体"/>
        </w:rPr>
      </w:pPr>
    </w:p>
    <w:p w14:paraId="4249A9B8">
      <w:pPr>
        <w:spacing w:afterLines="0" w:line="510" w:lineRule="exact"/>
        <w:ind w:firstLine="485"/>
        <w:jc w:val="distribute"/>
        <w:rPr>
          <w:rFonts w:ascii="黑体" w:hAnsi="黑体" w:eastAsia="黑体" w:cs="黑体"/>
          <w:color w:val="0000FF"/>
          <w:highlight w:val="yellow"/>
        </w:rPr>
      </w:pPr>
    </w:p>
    <w:p w14:paraId="2B7D044B">
      <w:pPr>
        <w:spacing w:afterLines="0" w:line="240" w:lineRule="auto"/>
        <w:jc w:val="center"/>
        <w:outlineLvl w:val="0"/>
        <w:rPr>
          <w:rFonts w:ascii="黑体" w:hAnsi="黑体" w:eastAsia="黑体" w:cs="黑体"/>
          <w:sz w:val="84"/>
          <w:szCs w:val="84"/>
        </w:rPr>
      </w:pPr>
      <w:r>
        <w:rPr>
          <w:rFonts w:hint="eastAsia" w:ascii="黑体" w:hAnsi="黑体" w:eastAsia="黑体" w:cs="黑体"/>
          <w:sz w:val="48"/>
          <w:szCs w:val="48"/>
        </w:rPr>
        <w:t>团           体           标          准</w:t>
      </w:r>
    </w:p>
    <w:p w14:paraId="258F4E14">
      <w:pPr>
        <w:spacing w:afterLines="0" w:line="510" w:lineRule="exact"/>
        <w:ind w:firstLine="929"/>
        <w:jc w:val="center"/>
        <w:rPr>
          <w:rFonts w:ascii="黑体" w:hAnsi="黑体" w:eastAsia="黑体" w:cs="黑体"/>
          <w:sz w:val="46"/>
          <w:szCs w:val="46"/>
        </w:rPr>
      </w:pPr>
    </w:p>
    <w:p w14:paraId="22D8EC66">
      <w:pPr>
        <w:pStyle w:val="2"/>
        <w:ind w:firstLine="566"/>
        <w:rPr>
          <w:rFonts w:hint="eastAsia" w:ascii="黑体" w:hAnsi="黑体" w:eastAsia="宋体" w:cs="黑体"/>
          <w:highlight w:val="green"/>
          <w:lang w:val="en-US" w:eastAsia="zh-CN"/>
        </w:rPr>
      </w:pPr>
      <w:r>
        <w:pict>
          <v:line id="_x0000_s2050" o:spid="_x0000_s2050" o:spt="20" style="position:absolute;left:0pt;flip:x;margin-left:1.4pt;margin-top:30.85pt;height:0pt;width:482.15pt;z-index:251661312;mso-width-relative:page;mso-height-relative:page;" coordsize="21600,21600" o:gfxdata="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3ltO9QAAAAHAQAADwAAAAAAAAABACAAAAAiAAAAZHJzL2Rvd25yZXYu&#10;eG1sUEsBAhQAFAAAAAgAh07iQKmP4uP/AQAA1QMAAA4AAAAAAAAAAQAgAAAAIwEAAGRycy9lMm9E&#10;b2MueG1sUEsFBgAAAAAGAAYAWQEAAJQFAAAAAA==&#10;">
            <v:path arrowok="t"/>
            <v:fill focussize="0,0"/>
            <v:stroke weight="1pt" joinstyle="miter"/>
            <v:imagedata o:title=""/>
            <o:lock v:ext="edit"/>
          </v:line>
        </w:pict>
      </w:r>
      <w:r>
        <w:rPr>
          <w:lang w:val="en-US"/>
        </w:rPr>
        <w:t xml:space="preserve">T/ZGXX </w:t>
      </w:r>
      <w:r>
        <w:rPr>
          <w:rFonts w:hint="eastAsia"/>
          <w:lang w:val="en-US" w:eastAsia="zh-CN"/>
        </w:rPr>
        <w:t>xxxx</w:t>
      </w:r>
      <w:r>
        <w:rPr>
          <w:lang w:val="en-US"/>
        </w:rPr>
        <w:t>—</w:t>
      </w:r>
      <w:r>
        <w:rPr>
          <w:rFonts w:hint="eastAsia"/>
          <w:lang w:val="en-US" w:eastAsia="zh-CN"/>
        </w:rPr>
        <w:t>xxxx</w:t>
      </w:r>
    </w:p>
    <w:p w14:paraId="0E326B0E">
      <w:pPr>
        <w:wordWrap w:val="0"/>
        <w:spacing w:afterLines="0" w:line="249" w:lineRule="exact"/>
        <w:ind w:right="283" w:firstLine="566"/>
        <w:jc w:val="right"/>
        <w:rPr>
          <w:sz w:val="28"/>
        </w:rPr>
      </w:pPr>
    </w:p>
    <w:p w14:paraId="0AC6EEEC">
      <w:pPr>
        <w:spacing w:afterLines="0" w:line="249" w:lineRule="exact"/>
        <w:ind w:right="283" w:firstLine="566"/>
        <w:jc w:val="right"/>
        <w:rPr>
          <w:sz w:val="28"/>
        </w:rPr>
      </w:pPr>
    </w:p>
    <w:p w14:paraId="444612A0">
      <w:pPr>
        <w:spacing w:afterLines="0" w:line="249" w:lineRule="exact"/>
        <w:ind w:right="283" w:firstLine="566"/>
        <w:jc w:val="right"/>
        <w:rPr>
          <w:sz w:val="28"/>
        </w:rPr>
      </w:pPr>
    </w:p>
    <w:p w14:paraId="76F60EDB">
      <w:pPr>
        <w:spacing w:afterLines="0" w:line="249" w:lineRule="exact"/>
        <w:ind w:right="283" w:firstLine="566"/>
        <w:jc w:val="right"/>
        <w:rPr>
          <w:sz w:val="28"/>
        </w:rPr>
      </w:pPr>
    </w:p>
    <w:p w14:paraId="05866D7C">
      <w:pPr>
        <w:spacing w:afterLines="0" w:line="249" w:lineRule="exact"/>
        <w:ind w:right="283" w:firstLine="566"/>
        <w:jc w:val="both"/>
        <w:rPr>
          <w:sz w:val="28"/>
        </w:rPr>
      </w:pPr>
    </w:p>
    <w:p w14:paraId="3B5A674F">
      <w:pPr>
        <w:spacing w:afterLines="0" w:line="249" w:lineRule="exact"/>
        <w:ind w:right="283" w:firstLine="566"/>
        <w:jc w:val="right"/>
        <w:rPr>
          <w:sz w:val="28"/>
        </w:rPr>
      </w:pPr>
    </w:p>
    <w:p w14:paraId="5A6CA322">
      <w:pPr>
        <w:spacing w:afterLines="0" w:line="249" w:lineRule="exact"/>
        <w:ind w:right="283" w:firstLine="566"/>
        <w:jc w:val="right"/>
        <w:rPr>
          <w:sz w:val="28"/>
        </w:rPr>
      </w:pPr>
    </w:p>
    <w:p w14:paraId="23EEA123">
      <w:pPr>
        <w:spacing w:afterLines="0" w:line="249" w:lineRule="exact"/>
        <w:ind w:right="283" w:firstLine="566"/>
        <w:jc w:val="right"/>
        <w:rPr>
          <w:sz w:val="28"/>
        </w:rPr>
      </w:pPr>
    </w:p>
    <w:p w14:paraId="3D28C221">
      <w:pPr>
        <w:spacing w:afterLines="0" w:line="249" w:lineRule="exact"/>
        <w:ind w:right="283" w:firstLine="566"/>
        <w:jc w:val="right"/>
        <w:rPr>
          <w:sz w:val="28"/>
        </w:rPr>
      </w:pPr>
    </w:p>
    <w:p w14:paraId="38740942">
      <w:pPr>
        <w:spacing w:afterLines="0" w:line="249" w:lineRule="exact"/>
        <w:ind w:right="283" w:firstLine="566"/>
        <w:jc w:val="center"/>
        <w:rPr>
          <w:color w:val="FF0000"/>
          <w:sz w:val="28"/>
        </w:rPr>
      </w:pPr>
    </w:p>
    <w:p w14:paraId="462C006D">
      <w:pPr>
        <w:tabs>
          <w:tab w:val="left" w:pos="2836"/>
        </w:tabs>
        <w:spacing w:afterLines="0" w:line="567" w:lineRule="exact"/>
        <w:jc w:val="center"/>
        <w:outlineLvl w:val="0"/>
        <w:rPr>
          <w:rFonts w:ascii="黑体" w:hAnsi="黑体" w:eastAsia="黑体" w:cs="黑体"/>
          <w:sz w:val="52"/>
          <w:szCs w:val="52"/>
        </w:rPr>
      </w:pPr>
      <w:r>
        <w:rPr>
          <w:rFonts w:hint="eastAsia" w:ascii="黑体" w:hAnsi="黑体" w:eastAsia="黑体" w:cs="黑体"/>
          <w:sz w:val="52"/>
          <w:szCs w:val="52"/>
        </w:rPr>
        <w:t>混合脂肪酸</w:t>
      </w:r>
    </w:p>
    <w:p w14:paraId="3E2043CF">
      <w:pPr>
        <w:tabs>
          <w:tab w:val="left" w:pos="2836"/>
        </w:tabs>
        <w:spacing w:afterLines="0" w:line="567" w:lineRule="exact"/>
        <w:jc w:val="center"/>
        <w:rPr>
          <w:rFonts w:hint="eastAsia" w:ascii="宋体" w:hAnsi="宋体" w:eastAsia="宋体" w:cs="宋体"/>
        </w:rPr>
      </w:pPr>
      <w:r>
        <w:rPr>
          <w:rFonts w:hint="eastAsia" w:ascii="宋体" w:hAnsi="宋体" w:eastAsia="宋体" w:cs="宋体"/>
        </w:rPr>
        <w:t>Mixed fatty acids</w:t>
      </w:r>
    </w:p>
    <w:p w14:paraId="34BC48A7">
      <w:pPr>
        <w:tabs>
          <w:tab w:val="left" w:pos="2836"/>
        </w:tabs>
        <w:spacing w:afterLines="0" w:line="567" w:lineRule="exact"/>
        <w:ind w:left="1" w:hanging="1"/>
        <w:jc w:val="center"/>
        <w:rPr>
          <w:rFonts w:hint="eastAsia" w:ascii="宋体" w:hAnsi="宋体" w:eastAsia="宋体" w:cs="宋体"/>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征求意见稿</w:t>
      </w:r>
      <w:r>
        <w:rPr>
          <w:rFonts w:hint="eastAsia" w:ascii="黑体" w:hAnsi="黑体" w:eastAsia="黑体" w:cs="黑体"/>
          <w:sz w:val="28"/>
          <w:szCs w:val="28"/>
          <w:lang w:eastAsia="zh-CN"/>
        </w:rPr>
        <w:t>）</w:t>
      </w:r>
    </w:p>
    <w:p w14:paraId="110B5E8D">
      <w:pPr>
        <w:tabs>
          <w:tab w:val="left" w:pos="2836"/>
        </w:tabs>
        <w:spacing w:afterLines="0" w:line="567" w:lineRule="exact"/>
        <w:ind w:firstLine="1050"/>
        <w:jc w:val="both"/>
        <w:rPr>
          <w:rFonts w:ascii="黑体" w:hAnsi="黑体" w:eastAsia="黑体" w:cs="黑体"/>
          <w:sz w:val="52"/>
          <w:szCs w:val="52"/>
        </w:rPr>
      </w:pPr>
    </w:p>
    <w:p w14:paraId="289B0CC2">
      <w:pPr>
        <w:tabs>
          <w:tab w:val="left" w:pos="2836"/>
        </w:tabs>
        <w:spacing w:afterLines="0" w:line="567" w:lineRule="exact"/>
        <w:ind w:firstLine="1050"/>
        <w:jc w:val="center"/>
        <w:rPr>
          <w:rFonts w:ascii="黑体" w:hAnsi="黑体" w:eastAsia="黑体" w:cs="黑体"/>
          <w:sz w:val="52"/>
          <w:szCs w:val="52"/>
        </w:rPr>
      </w:pPr>
    </w:p>
    <w:p w14:paraId="227C8B38">
      <w:pPr>
        <w:tabs>
          <w:tab w:val="left" w:pos="2836"/>
        </w:tabs>
        <w:spacing w:afterLines="0" w:line="567" w:lineRule="exact"/>
        <w:jc w:val="both"/>
        <w:rPr>
          <w:rFonts w:ascii="黑体" w:hAnsi="黑体" w:eastAsia="黑体" w:cs="黑体"/>
          <w:sz w:val="52"/>
          <w:szCs w:val="52"/>
        </w:rPr>
      </w:pPr>
    </w:p>
    <w:p w14:paraId="3096F363">
      <w:pPr>
        <w:tabs>
          <w:tab w:val="left" w:pos="2836"/>
        </w:tabs>
        <w:spacing w:afterLines="0" w:line="567" w:lineRule="exact"/>
        <w:ind w:firstLine="1050"/>
        <w:jc w:val="center"/>
        <w:rPr>
          <w:rFonts w:ascii="黑体" w:hAnsi="黑体" w:eastAsia="黑体" w:cs="黑体"/>
          <w:sz w:val="52"/>
          <w:szCs w:val="52"/>
        </w:rPr>
      </w:pPr>
    </w:p>
    <w:p w14:paraId="4EA266B6">
      <w:pPr>
        <w:tabs>
          <w:tab w:val="left" w:pos="2836"/>
        </w:tabs>
        <w:spacing w:afterLines="0" w:line="567" w:lineRule="exact"/>
        <w:ind w:firstLine="1050"/>
        <w:jc w:val="center"/>
        <w:rPr>
          <w:rFonts w:ascii="黑体" w:hAnsi="黑体" w:eastAsia="黑体" w:cs="黑体"/>
          <w:sz w:val="52"/>
          <w:szCs w:val="52"/>
        </w:rPr>
      </w:pPr>
    </w:p>
    <w:p w14:paraId="16A5F431">
      <w:pPr>
        <w:tabs>
          <w:tab w:val="left" w:pos="2836"/>
        </w:tabs>
        <w:spacing w:afterLines="0" w:line="567" w:lineRule="exact"/>
        <w:ind w:firstLine="1050"/>
        <w:jc w:val="center"/>
        <w:rPr>
          <w:rFonts w:ascii="黑体" w:hAnsi="黑体" w:eastAsia="黑体" w:cs="黑体"/>
          <w:sz w:val="52"/>
          <w:szCs w:val="52"/>
        </w:rPr>
      </w:pPr>
    </w:p>
    <w:p w14:paraId="77824823">
      <w:pPr>
        <w:tabs>
          <w:tab w:val="left" w:pos="2836"/>
        </w:tabs>
        <w:spacing w:afterLines="0" w:line="880" w:lineRule="exact"/>
        <w:ind w:firstLine="1050"/>
        <w:jc w:val="center"/>
        <w:rPr>
          <w:rFonts w:ascii="黑体" w:hAnsi="黑体" w:eastAsia="黑体" w:cs="黑体"/>
          <w:sz w:val="52"/>
          <w:szCs w:val="52"/>
        </w:rPr>
      </w:pPr>
    </w:p>
    <w:p w14:paraId="0591BD50">
      <w:pPr>
        <w:tabs>
          <w:tab w:val="left" w:pos="2836"/>
        </w:tabs>
        <w:adjustRightInd w:val="0"/>
        <w:spacing w:afterLines="0" w:line="360" w:lineRule="auto"/>
        <w:rPr>
          <w:rFonts w:ascii="黑体" w:hAnsi="黑体" w:eastAsia="黑体" w:cs="黑体"/>
          <w:sz w:val="28"/>
          <w:szCs w:val="28"/>
          <w:u w:val="single"/>
        </w:rPr>
      </w:pPr>
      <w:r>
        <w:rPr>
          <w:rFonts w:hint="eastAsia" w:ascii="黑体" w:hAnsi="黑体" w:eastAsia="黑体" w:cs="黑体"/>
          <w:color w:val="auto"/>
          <w:sz w:val="28"/>
          <w:szCs w:val="28"/>
          <w:u w:val="single" w:color="000000" w:themeColor="text1"/>
          <w:lang w:val="en-US" w:eastAsia="zh-CN"/>
        </w:rPr>
        <w:t>Xxxx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sz w:val="28"/>
          <w:szCs w:val="28"/>
          <w:u w:val="single" w:color="000000" w:themeColor="text1"/>
        </w:rPr>
        <w:t xml:space="preserve">发布                                       </w:t>
      </w:r>
      <w:r>
        <w:rPr>
          <w:rFonts w:hint="eastAsia" w:ascii="黑体" w:hAnsi="黑体" w:eastAsia="黑体" w:cs="黑体"/>
          <w:color w:val="auto"/>
          <w:sz w:val="28"/>
          <w:szCs w:val="28"/>
          <w:u w:val="single" w:color="000000" w:themeColor="text1"/>
          <w:lang w:val="en-US" w:eastAsia="zh-CN"/>
        </w:rPr>
        <w:t>Xxxx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sz w:val="28"/>
          <w:szCs w:val="28"/>
          <w:u w:val="single" w:color="000000" w:themeColor="text1"/>
        </w:rPr>
        <w:t>实施</w:t>
      </w:r>
    </w:p>
    <w:p w14:paraId="7FA6CCDB">
      <w:pPr>
        <w:tabs>
          <w:tab w:val="left" w:pos="2836"/>
        </w:tabs>
        <w:adjustRightInd w:val="0"/>
        <w:spacing w:afterLines="0" w:line="360" w:lineRule="auto"/>
        <w:ind w:firstLine="566"/>
        <w:jc w:val="center"/>
        <w:rPr>
          <w:rFonts w:ascii="黑体" w:hAnsi="黑体" w:eastAsia="黑体" w:cs="黑体"/>
          <w:sz w:val="28"/>
          <w:szCs w:val="28"/>
        </w:rPr>
      </w:pPr>
      <w:r>
        <w:rPr>
          <w:rFonts w:hint="eastAsia" w:ascii="黑体" w:hAnsi="黑体" w:eastAsia="黑体" w:cs="黑体"/>
          <w:sz w:val="28"/>
          <w:szCs w:val="28"/>
        </w:rPr>
        <w:t>中国洗涤用品工业协会    发  布</w:t>
      </w:r>
    </w:p>
    <w:p w14:paraId="4A425B6C">
      <w:pPr>
        <w:tabs>
          <w:tab w:val="left" w:pos="2836"/>
        </w:tabs>
        <w:adjustRightInd w:val="0"/>
        <w:spacing w:afterLines="0" w:line="360" w:lineRule="auto"/>
        <w:ind w:firstLine="566"/>
        <w:jc w:val="center"/>
        <w:rPr>
          <w:rFonts w:ascii="黑体" w:hAnsi="黑体" w:eastAsia="黑体" w:cs="黑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7" w:header="851" w:footer="992" w:gutter="0"/>
          <w:cols w:space="425" w:num="1"/>
          <w:docGrid w:type="lines" w:linePitch="312" w:charSpace="0"/>
        </w:sectPr>
      </w:pPr>
    </w:p>
    <w:p w14:paraId="2A1FFF8C">
      <w:pPr>
        <w:tabs>
          <w:tab w:val="left" w:pos="2836"/>
        </w:tabs>
        <w:spacing w:afterLines="0" w:line="850" w:lineRule="exact"/>
        <w:ind w:firstLine="566"/>
        <w:jc w:val="center"/>
        <w:rPr>
          <w:rFonts w:ascii="黑体" w:hAnsi="黑体" w:eastAsia="黑体" w:cs="黑体"/>
          <w:sz w:val="28"/>
          <w:szCs w:val="28"/>
        </w:rPr>
      </w:pPr>
    </w:p>
    <w:p w14:paraId="208A35C6">
      <w:pPr>
        <w:tabs>
          <w:tab w:val="left" w:pos="2836"/>
        </w:tabs>
        <w:spacing w:afterLines="0" w:line="320" w:lineRule="exact"/>
        <w:jc w:val="center"/>
        <w:outlineLvl w:val="0"/>
        <w:rPr>
          <w:rFonts w:ascii="黑体" w:hAnsi="黑体" w:eastAsia="黑体" w:cs="黑体"/>
          <w:sz w:val="32"/>
          <w:szCs w:val="32"/>
        </w:rPr>
      </w:pPr>
      <w:r>
        <w:rPr>
          <w:rFonts w:hint="eastAsia" w:ascii="黑体" w:hAnsi="黑体" w:eastAsia="黑体" w:cs="黑体"/>
          <w:sz w:val="32"/>
          <w:szCs w:val="32"/>
        </w:rPr>
        <w:t>前   言</w:t>
      </w:r>
    </w:p>
    <w:p w14:paraId="748ABAFC">
      <w:pPr>
        <w:tabs>
          <w:tab w:val="left" w:pos="2836"/>
        </w:tabs>
        <w:spacing w:afterLines="0" w:line="680" w:lineRule="exact"/>
        <w:ind w:firstLine="566"/>
        <w:jc w:val="center"/>
        <w:rPr>
          <w:rFonts w:ascii="黑体" w:hAnsi="黑体" w:eastAsia="黑体" w:cs="黑体"/>
          <w:sz w:val="28"/>
          <w:szCs w:val="28"/>
        </w:rPr>
      </w:pPr>
    </w:p>
    <w:p w14:paraId="15A3E41E">
      <w:pPr>
        <w:tabs>
          <w:tab w:val="left" w:pos="2836"/>
        </w:tabs>
        <w:spacing w:afterLines="0" w:line="320" w:lineRule="exact"/>
        <w:ind w:firstLine="420" w:firstLineChars="200"/>
        <w:rPr>
          <w:rFonts w:ascii="宋体" w:hAnsi="宋体" w:eastAsia="宋体" w:cs="宋体"/>
          <w:sz w:val="21"/>
          <w:szCs w:val="21"/>
        </w:rPr>
      </w:pPr>
      <w:r>
        <w:rPr>
          <w:rFonts w:hint="eastAsia" w:ascii="宋体" w:hAnsi="宋体" w:eastAsia="宋体" w:cs="宋体"/>
          <w:sz w:val="21"/>
          <w:szCs w:val="21"/>
        </w:rPr>
        <w:t>本文件按照GB/T 1.1-2020《标准化工作导则  第1部分：标准化文件的结构和起草规则》的规定起草。</w:t>
      </w:r>
    </w:p>
    <w:p w14:paraId="700F82CC">
      <w:pPr>
        <w:tabs>
          <w:tab w:val="left" w:pos="2836"/>
        </w:tabs>
        <w:spacing w:afterLines="0" w:line="320" w:lineRule="exact"/>
        <w:ind w:firstLine="420" w:firstLineChars="200"/>
        <w:rPr>
          <w:rFonts w:ascii="宋体" w:hAnsi="宋体" w:eastAsia="宋体" w:cs="宋体"/>
          <w:sz w:val="21"/>
          <w:szCs w:val="21"/>
        </w:rPr>
      </w:pPr>
      <w:r>
        <w:rPr>
          <w:rFonts w:hint="eastAsia" w:hAnsi="宋体"/>
          <w:sz w:val="21"/>
          <w:szCs w:val="21"/>
        </w:rPr>
        <w:t>请注意本文件的某些内容可能涉及专利。本文件的发布机构不承担识别专利的责任。</w:t>
      </w:r>
    </w:p>
    <w:p w14:paraId="336C878A">
      <w:pPr>
        <w:tabs>
          <w:tab w:val="left" w:pos="2836"/>
        </w:tabs>
        <w:spacing w:afterLines="0" w:line="320" w:lineRule="exact"/>
        <w:ind w:firstLine="420" w:firstLineChars="200"/>
        <w:rPr>
          <w:rFonts w:ascii="宋体" w:hAnsi="宋体" w:eastAsia="宋体" w:cs="宋体"/>
          <w:sz w:val="21"/>
          <w:szCs w:val="21"/>
        </w:rPr>
      </w:pPr>
      <w:r>
        <w:rPr>
          <w:rFonts w:hint="eastAsia" w:ascii="宋体" w:hAnsi="宋体" w:eastAsia="宋体" w:cs="宋体"/>
          <w:sz w:val="21"/>
          <w:szCs w:val="21"/>
        </w:rPr>
        <w:t>本文件由中国洗涤用品工业协会提出并归口。</w:t>
      </w:r>
    </w:p>
    <w:p w14:paraId="3434F4CE">
      <w:pPr>
        <w:tabs>
          <w:tab w:val="left" w:pos="2836"/>
        </w:tabs>
        <w:spacing w:afterLines="0" w:line="32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本文件起草单位：德源（中国）高科有限公司 。。。。。 </w:t>
      </w:r>
    </w:p>
    <w:p w14:paraId="096230A1">
      <w:pPr>
        <w:tabs>
          <w:tab w:val="left" w:pos="2836"/>
        </w:tabs>
        <w:spacing w:afterLines="0" w:line="320" w:lineRule="exact"/>
        <w:ind w:firstLine="420" w:firstLineChars="200"/>
        <w:rPr>
          <w:rFonts w:ascii="宋体" w:hAnsi="宋体" w:eastAsia="宋体" w:cs="宋体"/>
          <w:sz w:val="21"/>
          <w:szCs w:val="21"/>
        </w:rPr>
        <w:sectPr>
          <w:headerReference r:id="rId11" w:type="default"/>
          <w:footerReference r:id="rId13" w:type="default"/>
          <w:headerReference r:id="rId12" w:type="even"/>
          <w:footerReference r:id="rId14" w:type="even"/>
          <w:pgSz w:w="11906" w:h="16838"/>
          <w:pgMar w:top="1911" w:right="1134" w:bottom="1134" w:left="1417" w:header="1417" w:footer="1134" w:gutter="0"/>
          <w:pgNumType w:fmt="upperRoman" w:start="1"/>
          <w:cols w:space="425" w:num="1"/>
          <w:docGrid w:type="lines" w:linePitch="312" w:charSpace="0"/>
        </w:sectPr>
      </w:pPr>
      <w:r>
        <w:rPr>
          <w:rFonts w:hint="eastAsia" w:ascii="宋体" w:hAnsi="宋体" w:eastAsia="宋体" w:cs="宋体"/>
          <w:sz w:val="21"/>
          <w:szCs w:val="21"/>
        </w:rPr>
        <w:t>本文件主要起草人：</w:t>
      </w:r>
    </w:p>
    <w:p w14:paraId="7A3DFBBD">
      <w:pPr>
        <w:tabs>
          <w:tab w:val="left" w:pos="2836"/>
        </w:tabs>
        <w:spacing w:afterLines="0" w:line="240" w:lineRule="auto"/>
        <w:jc w:val="center"/>
        <w:rPr>
          <w:rFonts w:ascii="黑体" w:hAnsi="黑体" w:eastAsia="黑体" w:cs="黑体"/>
          <w:color w:val="FF0000"/>
          <w:sz w:val="32"/>
          <w:szCs w:val="32"/>
        </w:rPr>
      </w:pPr>
      <w:r>
        <w:rPr>
          <w:rFonts w:hint="eastAsia" w:ascii="黑体" w:hAnsi="黑体" w:eastAsia="黑体" w:cs="黑体"/>
          <w:sz w:val="32"/>
          <w:szCs w:val="32"/>
        </w:rPr>
        <w:t>混合脂肪酸</w:t>
      </w:r>
    </w:p>
    <w:p w14:paraId="17AA48FF">
      <w:pPr>
        <w:tabs>
          <w:tab w:val="left" w:pos="2836"/>
        </w:tabs>
        <w:spacing w:afterLines="0" w:line="240" w:lineRule="auto"/>
        <w:jc w:val="center"/>
        <w:rPr>
          <w:rFonts w:ascii="黑体" w:hAnsi="黑体" w:eastAsia="黑体" w:cs="黑体"/>
          <w:color w:val="FF0000"/>
          <w:sz w:val="21"/>
          <w:szCs w:val="21"/>
        </w:rPr>
      </w:pPr>
    </w:p>
    <w:p w14:paraId="3A303D80">
      <w:pPr>
        <w:tabs>
          <w:tab w:val="left" w:pos="2836"/>
        </w:tabs>
        <w:spacing w:afterLines="0" w:line="240" w:lineRule="auto"/>
        <w:outlineLvl w:val="0"/>
        <w:rPr>
          <w:rFonts w:ascii="黑体" w:hAnsi="黑体" w:eastAsia="黑体" w:cs="黑体"/>
          <w:sz w:val="21"/>
          <w:szCs w:val="21"/>
        </w:rPr>
      </w:pPr>
      <w:r>
        <w:rPr>
          <w:rFonts w:hint="eastAsia" w:ascii="黑体" w:hAnsi="黑体" w:eastAsia="黑体" w:cs="黑体"/>
          <w:sz w:val="21"/>
          <w:szCs w:val="21"/>
        </w:rPr>
        <w:t>1  范围</w:t>
      </w:r>
    </w:p>
    <w:p w14:paraId="3ED0CC12">
      <w:pPr>
        <w:tabs>
          <w:tab w:val="left" w:pos="2836"/>
        </w:tabs>
        <w:spacing w:afterLines="0" w:line="240" w:lineRule="auto"/>
        <w:rPr>
          <w:rFonts w:ascii="黑体" w:hAnsi="黑体" w:eastAsia="黑体" w:cs="黑体"/>
          <w:color w:val="1D41D5"/>
          <w:sz w:val="21"/>
          <w:szCs w:val="21"/>
        </w:rPr>
      </w:pPr>
    </w:p>
    <w:p w14:paraId="0E237B21">
      <w:pPr>
        <w:autoSpaceDE w:val="0"/>
        <w:autoSpaceDN w:val="0"/>
        <w:spacing w:afterLines="0" w:line="240" w:lineRule="auto"/>
        <w:ind w:firstLine="424" w:firstLineChars="202"/>
        <w:textAlignment w:val="bottom"/>
        <w:rPr>
          <w:rFonts w:ascii="宋体" w:hAnsi="宋体" w:eastAsia="宋体" w:cs="宋体"/>
          <w:sz w:val="21"/>
          <w:szCs w:val="21"/>
        </w:rPr>
      </w:pPr>
      <w:r>
        <w:rPr>
          <w:rFonts w:hint="eastAsia" w:ascii="宋体" w:hAnsi="宋体" w:eastAsia="宋体" w:cs="宋体"/>
          <w:sz w:val="21"/>
          <w:szCs w:val="21"/>
        </w:rPr>
        <w:t>本文件规定了混合脂肪酸的分类、要求、试验方法、检验规则、标志、包装、运输、贮存及安全。</w:t>
      </w:r>
    </w:p>
    <w:p w14:paraId="2CA413A4">
      <w:pPr>
        <w:autoSpaceDE w:val="0"/>
        <w:autoSpaceDN w:val="0"/>
        <w:spacing w:afterLines="0" w:line="240" w:lineRule="auto"/>
        <w:ind w:firstLine="424" w:firstLineChars="202"/>
        <w:textAlignment w:val="bottom"/>
        <w:rPr>
          <w:rFonts w:ascii="宋体" w:hAnsi="宋体" w:eastAsia="宋体" w:cs="宋体"/>
          <w:sz w:val="21"/>
          <w:szCs w:val="21"/>
        </w:rPr>
      </w:pPr>
      <w:r>
        <w:rPr>
          <w:rFonts w:hint="eastAsia" w:ascii="宋体" w:hAnsi="宋体" w:eastAsia="宋体" w:cs="宋体"/>
          <w:sz w:val="21"/>
          <w:szCs w:val="21"/>
        </w:rPr>
        <w:t>本文件适用于以</w:t>
      </w:r>
      <w:bookmarkStart w:id="0" w:name="OLE_LINK3"/>
      <w:bookmarkStart w:id="1" w:name="OLE_LINK4"/>
      <w:r>
        <w:rPr>
          <w:rFonts w:hint="eastAsia" w:ascii="宋体" w:hAnsi="宋体" w:eastAsia="宋体" w:cs="宋体"/>
          <w:sz w:val="21"/>
          <w:szCs w:val="21"/>
        </w:rPr>
        <w:t>天然植（动）物油脂及其衍生物为原料，经醇解或水解、蒸馏生产脂肪酸过程中得到的副产混合脂肪酸</w:t>
      </w:r>
      <w:bookmarkEnd w:id="0"/>
      <w:bookmarkEnd w:id="1"/>
      <w:r>
        <w:rPr>
          <w:rFonts w:hint="eastAsia" w:ascii="宋体" w:hAnsi="宋体" w:eastAsia="宋体" w:cs="宋体"/>
          <w:sz w:val="21"/>
          <w:szCs w:val="21"/>
        </w:rPr>
        <w:t>。</w:t>
      </w:r>
    </w:p>
    <w:p w14:paraId="7BAB1C16">
      <w:pPr>
        <w:tabs>
          <w:tab w:val="left" w:pos="2836"/>
        </w:tabs>
        <w:spacing w:afterLines="0" w:line="240" w:lineRule="auto"/>
        <w:rPr>
          <w:rFonts w:ascii="宋体" w:hAnsi="宋体" w:eastAsia="宋体" w:cs="宋体"/>
          <w:color w:val="1D41D5"/>
          <w:sz w:val="21"/>
          <w:szCs w:val="21"/>
        </w:rPr>
      </w:pPr>
    </w:p>
    <w:p w14:paraId="54622EE4">
      <w:pPr>
        <w:tabs>
          <w:tab w:val="left" w:pos="2836"/>
        </w:tabs>
        <w:spacing w:afterLines="0" w:line="240" w:lineRule="auto"/>
        <w:outlineLvl w:val="0"/>
        <w:rPr>
          <w:rFonts w:ascii="黑体" w:hAnsi="黑体" w:eastAsia="黑体" w:cs="黑体"/>
          <w:sz w:val="21"/>
          <w:szCs w:val="21"/>
        </w:rPr>
      </w:pPr>
      <w:r>
        <w:rPr>
          <w:rFonts w:hint="eastAsia" w:ascii="黑体" w:hAnsi="黑体" w:eastAsia="黑体" w:cs="黑体"/>
          <w:sz w:val="21"/>
          <w:szCs w:val="21"/>
        </w:rPr>
        <w:t>2  规范性引用文件</w:t>
      </w:r>
    </w:p>
    <w:p w14:paraId="1B98620C">
      <w:pPr>
        <w:autoSpaceDE w:val="0"/>
        <w:autoSpaceDN w:val="0"/>
        <w:spacing w:afterLines="0" w:line="240" w:lineRule="auto"/>
        <w:textAlignment w:val="bottom"/>
        <w:rPr>
          <w:rFonts w:ascii="宋体" w:hAnsi="宋体" w:eastAsia="宋体" w:cs="宋体"/>
          <w:sz w:val="21"/>
          <w:szCs w:val="21"/>
        </w:rPr>
      </w:pPr>
    </w:p>
    <w:p w14:paraId="634FEB76">
      <w:pPr>
        <w:autoSpaceDE w:val="0"/>
        <w:autoSpaceDN w:val="0"/>
        <w:spacing w:afterLines="0" w:line="240" w:lineRule="auto"/>
        <w:ind w:firstLine="424" w:firstLineChars="202"/>
        <w:textAlignment w:val="bottom"/>
        <w:rPr>
          <w:rFonts w:ascii="宋体" w:hAnsi="宋体" w:eastAsia="宋体" w:cs="宋体"/>
          <w:sz w:val="21"/>
          <w:szCs w:val="21"/>
        </w:rPr>
      </w:pPr>
      <w:r>
        <w:rPr>
          <w:rFonts w:hint="eastAsia" w:ascii="宋体" w:hAnsi="宋体" w:eastAsia="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D7DD918">
      <w:pPr>
        <w:tabs>
          <w:tab w:val="left" w:pos="2836"/>
        </w:tabs>
        <w:spacing w:afterLines="0" w:line="240" w:lineRule="auto"/>
        <w:ind w:firstLine="424" w:firstLineChars="202"/>
        <w:rPr>
          <w:rFonts w:ascii="宋体" w:hAnsi="宋体" w:eastAsia="宋体" w:cs="宋体"/>
          <w:sz w:val="21"/>
          <w:szCs w:val="21"/>
          <w:lang w:bidi="zh-CN"/>
        </w:rPr>
      </w:pPr>
      <w:r>
        <w:rPr>
          <w:rFonts w:hint="eastAsia" w:ascii="宋体" w:hAnsi="宋体" w:eastAsia="宋体" w:cs="宋体"/>
          <w:sz w:val="21"/>
          <w:szCs w:val="21"/>
          <w:lang w:val="zh-CN" w:bidi="zh-CN"/>
        </w:rPr>
        <w:t>GB</w:t>
      </w:r>
      <w:r>
        <w:rPr>
          <w:rFonts w:hint="eastAsia" w:ascii="宋体" w:hAnsi="宋体" w:eastAsia="宋体" w:cs="宋体"/>
          <w:sz w:val="21"/>
          <w:szCs w:val="21"/>
          <w:lang w:bidi="zh-CN"/>
        </w:rPr>
        <w:t>/</w:t>
      </w:r>
      <w:r>
        <w:rPr>
          <w:rFonts w:hint="eastAsia" w:ascii="宋体" w:hAnsi="宋体" w:eastAsia="宋体" w:cs="宋体"/>
          <w:sz w:val="21"/>
          <w:szCs w:val="21"/>
          <w:lang w:val="zh-CN" w:bidi="zh-CN"/>
        </w:rPr>
        <w:t>T 6682</w:t>
      </w:r>
      <w:r>
        <w:rPr>
          <w:rFonts w:hint="eastAsia" w:ascii="宋体" w:hAnsi="宋体" w:eastAsia="宋体" w:cs="宋体"/>
          <w:sz w:val="21"/>
          <w:szCs w:val="21"/>
          <w:lang w:bidi="zh-CN"/>
        </w:rPr>
        <w:t xml:space="preserve"> 分析实验室用水规格和试验方法</w:t>
      </w:r>
    </w:p>
    <w:p w14:paraId="6FADD585">
      <w:pPr>
        <w:tabs>
          <w:tab w:val="left" w:pos="2836"/>
        </w:tabs>
        <w:spacing w:afterLines="0" w:line="240" w:lineRule="auto"/>
        <w:ind w:firstLine="424" w:firstLineChars="202"/>
        <w:rPr>
          <w:rFonts w:ascii="宋体" w:hAnsi="宋体" w:eastAsia="宋体" w:cs="宋体"/>
          <w:color w:val="000000" w:themeColor="text1"/>
          <w:sz w:val="21"/>
          <w:szCs w:val="21"/>
          <w:lang w:bidi="zh-CN"/>
        </w:rPr>
      </w:pPr>
      <w:r>
        <w:rPr>
          <w:rFonts w:hint="eastAsia" w:ascii="宋体" w:hAnsi="宋体" w:eastAsia="宋体" w:cs="宋体"/>
          <w:color w:val="000000" w:themeColor="text1"/>
          <w:sz w:val="21"/>
          <w:szCs w:val="21"/>
          <w:lang w:val="zh-CN" w:bidi="zh-CN"/>
        </w:rPr>
        <w:t>GB</w:t>
      </w:r>
      <w:r>
        <w:rPr>
          <w:rFonts w:hint="eastAsia" w:ascii="宋体" w:hAnsi="宋体" w:eastAsia="宋体" w:cs="宋体"/>
          <w:color w:val="000000" w:themeColor="text1"/>
          <w:sz w:val="21"/>
          <w:szCs w:val="21"/>
          <w:lang w:bidi="zh-CN"/>
        </w:rPr>
        <w:t>/</w:t>
      </w:r>
      <w:r>
        <w:rPr>
          <w:rFonts w:hint="eastAsia" w:ascii="宋体" w:hAnsi="宋体" w:eastAsia="宋体" w:cs="宋体"/>
          <w:color w:val="000000" w:themeColor="text1"/>
          <w:sz w:val="21"/>
          <w:szCs w:val="21"/>
          <w:lang w:val="zh-CN" w:bidi="zh-CN"/>
        </w:rPr>
        <w:t>T 9104</w:t>
      </w:r>
      <w:r>
        <w:rPr>
          <w:rFonts w:hint="eastAsia" w:ascii="宋体" w:hAnsi="宋体" w:eastAsia="宋体" w:cs="宋体"/>
          <w:color w:val="000000" w:themeColor="text1"/>
          <w:sz w:val="21"/>
          <w:szCs w:val="21"/>
          <w:lang w:bidi="zh-CN"/>
        </w:rPr>
        <w:t xml:space="preserve"> 工业硬脂酸试验方法</w:t>
      </w:r>
    </w:p>
    <w:p w14:paraId="5E44C505">
      <w:pPr>
        <w:tabs>
          <w:tab w:val="left" w:pos="2836"/>
        </w:tabs>
        <w:spacing w:afterLines="0" w:line="240" w:lineRule="auto"/>
        <w:ind w:firstLine="424" w:firstLineChars="202"/>
        <w:rPr>
          <w:rFonts w:ascii="宋体" w:hAnsi="宋体" w:eastAsia="宋体" w:cs="宋体"/>
          <w:color w:val="000000" w:themeColor="text1"/>
          <w:sz w:val="21"/>
          <w:szCs w:val="21"/>
          <w:lang w:bidi="zh-CN"/>
        </w:rPr>
      </w:pPr>
      <w:r>
        <w:rPr>
          <w:rFonts w:ascii="宋体" w:hAnsi="宋体" w:eastAsia="宋体" w:cs="宋体"/>
          <w:color w:val="000000" w:themeColor="text1"/>
          <w:sz w:val="21"/>
          <w:szCs w:val="21"/>
          <w:lang w:bidi="zh-CN"/>
        </w:rPr>
        <w:t xml:space="preserve">GB/T </w:t>
      </w:r>
      <w:r>
        <w:rPr>
          <w:rFonts w:hint="eastAsia" w:ascii="宋体" w:hAnsi="宋体" w:eastAsia="宋体" w:cs="宋体"/>
          <w:color w:val="000000" w:themeColor="text1"/>
          <w:sz w:val="21"/>
          <w:szCs w:val="21"/>
          <w:lang w:bidi="zh-CN"/>
        </w:rPr>
        <w:t>6283 化工产品中水分含量的测定 卡尔·费休法（通用方法）</w:t>
      </w:r>
    </w:p>
    <w:p w14:paraId="4DF50946">
      <w:pPr>
        <w:tabs>
          <w:tab w:val="left" w:pos="2836"/>
        </w:tabs>
        <w:spacing w:afterLines="0" w:line="240" w:lineRule="auto"/>
        <w:ind w:firstLine="424" w:firstLineChars="202"/>
        <w:rPr>
          <w:rFonts w:ascii="宋体" w:hAnsi="宋体" w:eastAsia="宋体" w:cs="宋体"/>
          <w:color w:val="000000" w:themeColor="text1"/>
          <w:sz w:val="21"/>
          <w:szCs w:val="21"/>
          <w:lang w:bidi="zh-CN"/>
        </w:rPr>
      </w:pPr>
      <w:bookmarkStart w:id="2" w:name="_Hlk191390809"/>
      <w:r>
        <w:rPr>
          <w:rFonts w:hint="eastAsia" w:ascii="宋体" w:hAnsi="宋体" w:eastAsia="宋体" w:cs="宋体"/>
          <w:color w:val="000000" w:themeColor="text1"/>
          <w:sz w:val="21"/>
          <w:szCs w:val="21"/>
          <w:lang w:bidi="zh-CN"/>
        </w:rPr>
        <w:t>QB/T2739-2005</w:t>
      </w:r>
      <w:r>
        <w:rPr>
          <w:rFonts w:ascii="宋体" w:hAnsi="宋体" w:eastAsia="宋体" w:cs="宋体"/>
          <w:color w:val="000000" w:themeColor="text1"/>
          <w:sz w:val="21"/>
          <w:szCs w:val="21"/>
          <w:lang w:bidi="zh-CN"/>
        </w:rPr>
        <w:t>洗涤用品常用试验方法滴定分析 (容量分析)用试验溶液的制备</w:t>
      </w:r>
    </w:p>
    <w:bookmarkEnd w:id="2"/>
    <w:p w14:paraId="3A70D221">
      <w:pPr>
        <w:pStyle w:val="2"/>
        <w:spacing w:before="0" w:afterLines="0" w:line="240" w:lineRule="auto"/>
        <w:ind w:firstLine="424"/>
        <w:rPr>
          <w:sz w:val="21"/>
          <w:szCs w:val="21"/>
        </w:rPr>
      </w:pPr>
    </w:p>
    <w:p w14:paraId="1BB97E62">
      <w:pPr>
        <w:tabs>
          <w:tab w:val="left" w:pos="2836"/>
        </w:tabs>
        <w:spacing w:afterLines="0" w:line="240" w:lineRule="auto"/>
        <w:outlineLvl w:val="0"/>
        <w:rPr>
          <w:rFonts w:ascii="黑体" w:hAnsi="黑体" w:eastAsia="黑体" w:cs="黑体"/>
          <w:sz w:val="21"/>
          <w:szCs w:val="21"/>
        </w:rPr>
      </w:pPr>
      <w:r>
        <w:rPr>
          <w:rFonts w:hint="eastAsia" w:ascii="黑体" w:hAnsi="黑体" w:eastAsia="黑体" w:cs="黑体"/>
          <w:sz w:val="21"/>
          <w:szCs w:val="21"/>
        </w:rPr>
        <w:t>3  术语和定义</w:t>
      </w:r>
    </w:p>
    <w:p w14:paraId="4051BC67">
      <w:pPr>
        <w:pStyle w:val="2"/>
        <w:spacing w:before="0" w:afterLines="0" w:line="240" w:lineRule="auto"/>
        <w:ind w:firstLine="424"/>
        <w:rPr>
          <w:sz w:val="21"/>
          <w:szCs w:val="21"/>
        </w:rPr>
      </w:pPr>
    </w:p>
    <w:p w14:paraId="5824CFD5">
      <w:pPr>
        <w:autoSpaceDE w:val="0"/>
        <w:autoSpaceDN w:val="0"/>
        <w:spacing w:afterLines="0" w:line="240" w:lineRule="auto"/>
        <w:ind w:firstLine="424" w:firstLineChars="202"/>
        <w:textAlignment w:val="bottom"/>
        <w:rPr>
          <w:rFonts w:ascii="宋体" w:hAnsi="宋体" w:eastAsia="宋体" w:cs="宋体"/>
          <w:sz w:val="21"/>
          <w:szCs w:val="21"/>
        </w:rPr>
      </w:pPr>
      <w:r>
        <w:rPr>
          <w:rFonts w:hint="eastAsia" w:ascii="宋体" w:hAnsi="宋体" w:eastAsia="宋体" w:cs="宋体"/>
          <w:sz w:val="21"/>
          <w:szCs w:val="21"/>
        </w:rPr>
        <w:t>下列术语和定义适用于本文件。</w:t>
      </w:r>
    </w:p>
    <w:p w14:paraId="6E5F6EF1">
      <w:pPr>
        <w:tabs>
          <w:tab w:val="left" w:pos="2836"/>
        </w:tabs>
        <w:spacing w:afterLines="0" w:line="240" w:lineRule="auto"/>
        <w:outlineLvl w:val="1"/>
        <w:rPr>
          <w:rFonts w:ascii="黑体" w:hAnsi="黑体" w:eastAsia="黑体" w:cs="黑体"/>
          <w:sz w:val="21"/>
          <w:szCs w:val="21"/>
        </w:rPr>
      </w:pPr>
      <w:r>
        <w:rPr>
          <w:rFonts w:hint="eastAsia" w:ascii="黑体" w:hAnsi="黑体" w:eastAsia="黑体" w:cs="黑体"/>
          <w:sz w:val="21"/>
          <w:szCs w:val="21"/>
        </w:rPr>
        <w:t>3.1</w:t>
      </w:r>
    </w:p>
    <w:p w14:paraId="3B0C1381">
      <w:pPr>
        <w:tabs>
          <w:tab w:val="left" w:pos="2836"/>
        </w:tabs>
        <w:spacing w:afterLines="0" w:line="240" w:lineRule="auto"/>
        <w:ind w:firstLine="424" w:firstLineChars="202"/>
        <w:outlineLvl w:val="1"/>
        <w:rPr>
          <w:rFonts w:ascii="黑体" w:hAnsi="黑体" w:eastAsia="黑体" w:cs="黑体"/>
          <w:sz w:val="21"/>
          <w:szCs w:val="21"/>
        </w:rPr>
      </w:pPr>
    </w:p>
    <w:p w14:paraId="79554917">
      <w:pPr>
        <w:tabs>
          <w:tab w:val="left" w:pos="2836"/>
        </w:tabs>
        <w:spacing w:afterLines="0" w:line="240" w:lineRule="auto"/>
        <w:ind w:firstLine="424" w:firstLineChars="202"/>
        <w:outlineLvl w:val="1"/>
        <w:rPr>
          <w:rFonts w:ascii="黑体" w:hAnsi="黑体" w:eastAsia="宋体" w:cs="黑体"/>
          <w:color w:val="auto"/>
          <w:sz w:val="21"/>
          <w:szCs w:val="21"/>
        </w:rPr>
      </w:pPr>
      <w:bookmarkStart w:id="3" w:name="_GoBack"/>
      <w:r>
        <w:rPr>
          <w:rFonts w:hint="eastAsia" w:ascii="黑体" w:hAnsi="黑体" w:eastAsia="黑体" w:cs="黑体"/>
          <w:color w:val="auto"/>
          <w:sz w:val="21"/>
          <w:szCs w:val="21"/>
        </w:rPr>
        <w:t>混合脂肪酸</w:t>
      </w:r>
      <w:r>
        <w:rPr>
          <w:rFonts w:hint="eastAsia" w:ascii="宋体" w:hAnsi="宋体" w:eastAsia="宋体" w:cs="宋体"/>
          <w:color w:val="auto"/>
          <w:sz w:val="21"/>
          <w:szCs w:val="21"/>
        </w:rPr>
        <w:t>mixed fatty acids</w:t>
      </w:r>
    </w:p>
    <w:p w14:paraId="1CB88E72">
      <w:pPr>
        <w:tabs>
          <w:tab w:val="left" w:pos="2836"/>
        </w:tabs>
        <w:spacing w:afterLines="0" w:line="240" w:lineRule="auto"/>
        <w:ind w:firstLine="420" w:firstLineChars="200"/>
        <w:rPr>
          <w:rFonts w:ascii="宋体" w:hAnsi="宋体" w:eastAsia="宋体" w:cs="宋体"/>
          <w:color w:val="auto"/>
          <w:sz w:val="21"/>
          <w:szCs w:val="21"/>
        </w:rPr>
      </w:pPr>
      <w:r>
        <w:rPr>
          <w:rFonts w:hint="eastAsia" w:ascii="宋体" w:hAnsi="宋体" w:eastAsia="宋体"/>
          <w:color w:val="auto"/>
          <w:sz w:val="21"/>
          <w:szCs w:val="21"/>
        </w:rPr>
        <w:t>天然植（动）物油脂</w:t>
      </w:r>
      <w:r>
        <w:rPr>
          <w:rFonts w:hint="eastAsia" w:ascii="宋体" w:hAnsi="宋体" w:eastAsia="宋体" w:cs="宋体"/>
          <w:color w:val="auto"/>
          <w:sz w:val="21"/>
          <w:szCs w:val="21"/>
        </w:rPr>
        <w:t>及其衍生物</w:t>
      </w:r>
      <w:r>
        <w:rPr>
          <w:rFonts w:hint="eastAsia" w:ascii="宋体" w:hAnsi="宋体" w:eastAsia="宋体"/>
          <w:color w:val="auto"/>
          <w:sz w:val="21"/>
          <w:szCs w:val="21"/>
        </w:rPr>
        <w:t>为原料，经醇解或水解、蒸馏生产脂肪酸过程中得到的副产混合脂肪酸</w:t>
      </w:r>
      <w:r>
        <w:rPr>
          <w:rFonts w:hint="eastAsia" w:ascii="宋体" w:hAnsi="宋体" w:eastAsia="宋体" w:cs="宋体"/>
          <w:color w:val="auto"/>
          <w:sz w:val="21"/>
          <w:szCs w:val="21"/>
        </w:rPr>
        <w:t>。</w:t>
      </w:r>
    </w:p>
    <w:p w14:paraId="659D834C">
      <w:pPr>
        <w:tabs>
          <w:tab w:val="left" w:pos="2836"/>
        </w:tabs>
        <w:spacing w:afterLines="0" w:line="240" w:lineRule="auto"/>
        <w:outlineLvl w:val="1"/>
        <w:rPr>
          <w:rFonts w:ascii="黑体" w:hAnsi="黑体" w:eastAsia="黑体" w:cs="黑体"/>
          <w:color w:val="auto"/>
          <w:sz w:val="21"/>
          <w:szCs w:val="21"/>
        </w:rPr>
      </w:pPr>
    </w:p>
    <w:p w14:paraId="177DF060">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4  分类</w:t>
      </w:r>
    </w:p>
    <w:p w14:paraId="5CEA3A28">
      <w:pPr>
        <w:tabs>
          <w:tab w:val="left" w:pos="2836"/>
        </w:tabs>
        <w:spacing w:afterLines="0" w:line="240" w:lineRule="auto"/>
        <w:outlineLvl w:val="0"/>
        <w:rPr>
          <w:rFonts w:ascii="黑体" w:hAnsi="黑体" w:eastAsia="黑体" w:cs="黑体"/>
          <w:color w:val="auto"/>
          <w:sz w:val="21"/>
          <w:szCs w:val="21"/>
        </w:rPr>
      </w:pPr>
    </w:p>
    <w:p w14:paraId="2753A541">
      <w:pPr>
        <w:autoSpaceDE w:val="0"/>
        <w:autoSpaceDN w:val="0"/>
        <w:spacing w:afterLines="0" w:line="240" w:lineRule="auto"/>
        <w:ind w:firstLine="424" w:firstLineChars="202"/>
        <w:textAlignment w:val="bottom"/>
        <w:rPr>
          <w:rFonts w:ascii="黑体" w:eastAsia="黑体"/>
          <w:color w:val="auto"/>
          <w:sz w:val="21"/>
          <w:szCs w:val="21"/>
        </w:rPr>
      </w:pPr>
      <w:r>
        <w:rPr>
          <w:rFonts w:hint="eastAsia" w:ascii="宋体" w:hAnsi="宋体" w:eastAsia="宋体" w:cs="宋体"/>
          <w:color w:val="auto"/>
          <w:sz w:val="21"/>
          <w:szCs w:val="21"/>
        </w:rPr>
        <w:t>产品依据生产工艺及所含成分，分为高碳链混合脂肪酸、中低碳链混合脂肪酸。</w:t>
      </w:r>
    </w:p>
    <w:p w14:paraId="37E77523">
      <w:pPr>
        <w:tabs>
          <w:tab w:val="left" w:pos="2836"/>
        </w:tabs>
        <w:spacing w:afterLines="0" w:line="240" w:lineRule="auto"/>
        <w:rPr>
          <w:rFonts w:ascii="黑体" w:hAnsi="黑体" w:eastAsia="黑体" w:cs="黑体"/>
          <w:color w:val="auto"/>
          <w:sz w:val="21"/>
          <w:szCs w:val="21"/>
        </w:rPr>
      </w:pPr>
    </w:p>
    <w:p w14:paraId="6B34D1BF">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5  要求</w:t>
      </w:r>
    </w:p>
    <w:p w14:paraId="0A41FF1F">
      <w:pPr>
        <w:tabs>
          <w:tab w:val="left" w:pos="2836"/>
        </w:tabs>
        <w:spacing w:afterLines="0" w:line="240" w:lineRule="auto"/>
        <w:rPr>
          <w:rFonts w:ascii="宋体" w:hAnsi="宋体" w:eastAsia="宋体" w:cs="宋体"/>
          <w:color w:val="auto"/>
          <w:sz w:val="21"/>
          <w:szCs w:val="21"/>
        </w:rPr>
      </w:pPr>
    </w:p>
    <w:p w14:paraId="06F1D7A0">
      <w:pPr>
        <w:tabs>
          <w:tab w:val="left" w:pos="2836"/>
        </w:tabs>
        <w:spacing w:afterLines="0" w:line="24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混合脂肪酸理化指标应符合表1规定。</w:t>
      </w:r>
    </w:p>
    <w:p w14:paraId="6DCBDC6C">
      <w:pPr>
        <w:tabs>
          <w:tab w:val="left" w:pos="2836"/>
        </w:tabs>
        <w:spacing w:afterLines="0" w:line="240" w:lineRule="auto"/>
        <w:rPr>
          <w:rFonts w:ascii="黑体" w:hAnsi="黑体" w:eastAsia="黑体" w:cs="黑体"/>
          <w:color w:val="auto"/>
          <w:sz w:val="21"/>
          <w:szCs w:val="21"/>
        </w:rPr>
        <w:sectPr>
          <w:headerReference r:id="rId15" w:type="default"/>
          <w:footerReference r:id="rId16" w:type="default"/>
          <w:footerReference r:id="rId17" w:type="even"/>
          <w:type w:val="oddPage"/>
          <w:pgSz w:w="11906" w:h="16838"/>
          <w:pgMar w:top="1911" w:right="1134" w:bottom="1134" w:left="1417" w:header="1417" w:footer="1134" w:gutter="0"/>
          <w:pgNumType w:start="1"/>
          <w:cols w:space="425" w:num="1"/>
          <w:docGrid w:type="lines" w:linePitch="312" w:charSpace="0"/>
        </w:sectPr>
      </w:pPr>
    </w:p>
    <w:p w14:paraId="59F4B773">
      <w:pPr>
        <w:tabs>
          <w:tab w:val="left" w:pos="2836"/>
        </w:tabs>
        <w:spacing w:afterLines="0" w:line="240" w:lineRule="auto"/>
        <w:rPr>
          <w:rFonts w:ascii="黑体" w:hAnsi="黑体" w:eastAsia="黑体" w:cs="黑体"/>
          <w:color w:val="auto"/>
          <w:sz w:val="21"/>
          <w:szCs w:val="21"/>
        </w:rPr>
      </w:pPr>
    </w:p>
    <w:p w14:paraId="65A73E22">
      <w:pPr>
        <w:autoSpaceDE w:val="0"/>
        <w:autoSpaceDN w:val="0"/>
        <w:spacing w:afterLines="0" w:line="240" w:lineRule="auto"/>
        <w:ind w:right="-149" w:rightChars="-62"/>
        <w:jc w:val="center"/>
        <w:textAlignment w:val="bottom"/>
        <w:rPr>
          <w:rFonts w:ascii="黑体" w:eastAsia="黑体"/>
          <w:color w:val="auto"/>
          <w:sz w:val="21"/>
          <w:szCs w:val="21"/>
        </w:rPr>
      </w:pPr>
      <w:r>
        <w:rPr>
          <w:rFonts w:hint="eastAsia" w:ascii="黑体" w:eastAsia="黑体"/>
          <w:color w:val="auto"/>
          <w:sz w:val="21"/>
          <w:szCs w:val="21"/>
        </w:rPr>
        <w:t>表 1  混合脂肪酸理化指标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2ADA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262F9AE">
            <w:pPr>
              <w:tabs>
                <w:tab w:val="left" w:pos="2836"/>
              </w:tabs>
              <w:spacing w:afterLines="0" w:line="240" w:lineRule="auto"/>
              <w:outlineLvl w:val="0"/>
              <w:rPr>
                <w:rFonts w:ascii="宋体" w:hAnsi="宋体" w:eastAsia="宋体" w:cs="黑体"/>
                <w:color w:val="auto"/>
                <w:sz w:val="21"/>
                <w:szCs w:val="21"/>
              </w:rPr>
            </w:pPr>
            <w:r>
              <w:rPr>
                <w:rFonts w:hint="eastAsia" w:ascii="宋体" w:hAnsi="宋体" w:eastAsia="宋体" w:cs="黑体"/>
                <w:color w:val="auto"/>
                <w:sz w:val="21"/>
                <w:szCs w:val="21"/>
              </w:rPr>
              <w:t>项目</w:t>
            </w:r>
          </w:p>
        </w:tc>
        <w:tc>
          <w:tcPr>
            <w:tcW w:w="3190" w:type="dxa"/>
          </w:tcPr>
          <w:p w14:paraId="757FC191">
            <w:pPr>
              <w:tabs>
                <w:tab w:val="left" w:pos="2836"/>
              </w:tabs>
              <w:spacing w:afterLines="0" w:line="240" w:lineRule="auto"/>
              <w:outlineLvl w:val="0"/>
              <w:rPr>
                <w:rFonts w:ascii="宋体" w:hAnsi="宋体" w:eastAsia="宋体" w:cs="黑体"/>
                <w:color w:val="auto"/>
                <w:sz w:val="21"/>
                <w:szCs w:val="21"/>
              </w:rPr>
            </w:pPr>
            <w:r>
              <w:rPr>
                <w:rFonts w:hint="eastAsia" w:ascii="宋体" w:hAnsi="宋体" w:eastAsia="宋体" w:cs="黑体"/>
                <w:color w:val="auto"/>
                <w:sz w:val="21"/>
                <w:szCs w:val="21"/>
              </w:rPr>
              <w:t>高碳链混合脂肪酸</w:t>
            </w:r>
          </w:p>
        </w:tc>
        <w:tc>
          <w:tcPr>
            <w:tcW w:w="3191" w:type="dxa"/>
          </w:tcPr>
          <w:p w14:paraId="4D535DB4">
            <w:pPr>
              <w:tabs>
                <w:tab w:val="left" w:pos="2836"/>
              </w:tabs>
              <w:spacing w:afterLines="0" w:line="240" w:lineRule="auto"/>
              <w:outlineLvl w:val="0"/>
              <w:rPr>
                <w:rFonts w:ascii="宋体" w:hAnsi="宋体" w:eastAsia="宋体" w:cs="黑体"/>
                <w:color w:val="auto"/>
                <w:sz w:val="21"/>
                <w:szCs w:val="21"/>
              </w:rPr>
            </w:pPr>
            <w:r>
              <w:rPr>
                <w:rFonts w:hint="eastAsia" w:ascii="宋体" w:hAnsi="宋体" w:eastAsia="宋体" w:cs="黑体"/>
                <w:color w:val="auto"/>
                <w:sz w:val="21"/>
                <w:szCs w:val="21"/>
              </w:rPr>
              <w:t>中低碳链混合脂肪酸</w:t>
            </w:r>
          </w:p>
        </w:tc>
      </w:tr>
      <w:tr w14:paraId="11B8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08E4F03">
            <w:pPr>
              <w:tabs>
                <w:tab w:val="left" w:pos="2836"/>
              </w:tabs>
              <w:spacing w:afterLines="0" w:line="240" w:lineRule="auto"/>
              <w:outlineLvl w:val="0"/>
              <w:rPr>
                <w:rFonts w:ascii="宋体" w:hAnsi="宋体" w:eastAsia="宋体" w:cs="黑体"/>
                <w:color w:val="auto"/>
                <w:sz w:val="21"/>
                <w:szCs w:val="21"/>
              </w:rPr>
            </w:pPr>
            <w:r>
              <w:rPr>
                <w:rFonts w:hint="eastAsia" w:ascii="宋体" w:hAnsi="宋体" w:eastAsia="宋体"/>
                <w:color w:val="auto"/>
                <w:sz w:val="21"/>
                <w:szCs w:val="21"/>
              </w:rPr>
              <w:t>外观（于</w:t>
            </w:r>
            <w:r>
              <w:rPr>
                <w:rFonts w:ascii="宋体" w:hAnsi="宋体" w:eastAsia="宋体"/>
                <w:color w:val="auto"/>
                <w:sz w:val="21"/>
                <w:szCs w:val="21"/>
              </w:rPr>
              <w:t>25℃）</w:t>
            </w:r>
          </w:p>
        </w:tc>
        <w:tc>
          <w:tcPr>
            <w:tcW w:w="3190" w:type="dxa"/>
          </w:tcPr>
          <w:p w14:paraId="2EDAAF86">
            <w:pPr>
              <w:tabs>
                <w:tab w:val="left" w:pos="2836"/>
              </w:tabs>
              <w:spacing w:afterLines="0" w:line="240" w:lineRule="auto"/>
              <w:outlineLvl w:val="0"/>
              <w:rPr>
                <w:rFonts w:ascii="宋体" w:hAnsi="宋体" w:eastAsia="宋体" w:cs="黑体"/>
                <w:color w:val="auto"/>
                <w:sz w:val="21"/>
                <w:szCs w:val="21"/>
              </w:rPr>
            </w:pPr>
            <w:r>
              <w:rPr>
                <w:rFonts w:hint="eastAsia" w:ascii="宋体" w:hAnsi="宋体" w:eastAsia="宋体" w:cs="黑体"/>
                <w:color w:val="auto"/>
                <w:sz w:val="21"/>
                <w:szCs w:val="21"/>
              </w:rPr>
              <w:t>黑褐色、茶褐色或黄色固体</w:t>
            </w:r>
          </w:p>
        </w:tc>
        <w:tc>
          <w:tcPr>
            <w:tcW w:w="3191" w:type="dxa"/>
          </w:tcPr>
          <w:p w14:paraId="6382C232">
            <w:pPr>
              <w:tabs>
                <w:tab w:val="left" w:pos="2836"/>
              </w:tabs>
              <w:spacing w:afterLines="0" w:line="240" w:lineRule="auto"/>
              <w:outlineLvl w:val="0"/>
              <w:rPr>
                <w:rFonts w:ascii="宋体" w:hAnsi="宋体" w:eastAsia="宋体" w:cs="黑体"/>
                <w:color w:val="auto"/>
                <w:sz w:val="21"/>
                <w:szCs w:val="21"/>
              </w:rPr>
            </w:pPr>
            <w:r>
              <w:rPr>
                <w:rFonts w:hint="eastAsia" w:ascii="宋体" w:hAnsi="宋体" w:eastAsia="宋体" w:cs="黑体"/>
                <w:color w:val="auto"/>
                <w:sz w:val="21"/>
                <w:szCs w:val="21"/>
              </w:rPr>
              <w:t>黑褐色、茶褐色或黄色液体</w:t>
            </w:r>
          </w:p>
        </w:tc>
      </w:tr>
      <w:tr w14:paraId="0893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D742772">
            <w:pPr>
              <w:tabs>
                <w:tab w:val="left" w:pos="2836"/>
              </w:tabs>
              <w:spacing w:afterLines="0" w:line="240" w:lineRule="auto"/>
              <w:outlineLvl w:val="0"/>
              <w:rPr>
                <w:rFonts w:ascii="宋体" w:hAnsi="宋体" w:eastAsia="宋体" w:cs="黑体"/>
                <w:color w:val="auto"/>
                <w:sz w:val="21"/>
                <w:szCs w:val="21"/>
              </w:rPr>
            </w:pPr>
            <w:r>
              <w:rPr>
                <w:rFonts w:hint="eastAsia" w:ascii="宋体" w:hAnsi="宋体" w:eastAsia="宋体" w:cs="黑体"/>
                <w:color w:val="auto"/>
                <w:sz w:val="21"/>
                <w:szCs w:val="21"/>
              </w:rPr>
              <w:t>酸值（</w:t>
            </w:r>
            <w:r>
              <w:rPr>
                <w:rFonts w:ascii="宋体" w:hAnsi="宋体" w:eastAsia="宋体" w:cs="黑体"/>
                <w:color w:val="auto"/>
                <w:sz w:val="21"/>
                <w:szCs w:val="21"/>
              </w:rPr>
              <w:t>mg KOH/g）</w:t>
            </w:r>
          </w:p>
        </w:tc>
        <w:tc>
          <w:tcPr>
            <w:tcW w:w="3190" w:type="dxa"/>
          </w:tcPr>
          <w:p w14:paraId="6B3D4BF6">
            <w:pPr>
              <w:tabs>
                <w:tab w:val="left" w:pos="2836"/>
              </w:tabs>
              <w:spacing w:afterLines="0" w:line="240" w:lineRule="auto"/>
              <w:outlineLvl w:val="0"/>
              <w:rPr>
                <w:rFonts w:ascii="宋体" w:hAnsi="宋体" w:eastAsia="宋体" w:cs="黑体"/>
                <w:color w:val="auto"/>
                <w:sz w:val="21"/>
                <w:szCs w:val="21"/>
              </w:rPr>
            </w:pPr>
            <w:r>
              <w:rPr>
                <w:rFonts w:ascii="宋体" w:hAnsi="宋体" w:eastAsia="宋体" w:cs="黑体"/>
                <w:color w:val="auto"/>
                <w:sz w:val="21"/>
                <w:szCs w:val="21"/>
              </w:rPr>
              <w:t>≤80</w:t>
            </w:r>
          </w:p>
        </w:tc>
        <w:tc>
          <w:tcPr>
            <w:tcW w:w="3191" w:type="dxa"/>
          </w:tcPr>
          <w:p w14:paraId="2229497D">
            <w:pPr>
              <w:tabs>
                <w:tab w:val="left" w:pos="2836"/>
              </w:tabs>
              <w:spacing w:afterLines="0" w:line="240" w:lineRule="auto"/>
              <w:outlineLvl w:val="0"/>
              <w:rPr>
                <w:rFonts w:ascii="宋体" w:hAnsi="宋体" w:eastAsia="宋体" w:cs="黑体"/>
                <w:color w:val="auto"/>
                <w:sz w:val="21"/>
                <w:szCs w:val="21"/>
              </w:rPr>
            </w:pPr>
            <w:r>
              <w:rPr>
                <w:rFonts w:ascii="宋体" w:hAnsi="宋体" w:eastAsia="宋体" w:cs="黑体"/>
                <w:color w:val="auto"/>
                <w:sz w:val="21"/>
                <w:szCs w:val="21"/>
              </w:rPr>
              <w:t>≤100</w:t>
            </w:r>
          </w:p>
        </w:tc>
      </w:tr>
      <w:tr w14:paraId="4C2F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FE7EF06">
            <w:pPr>
              <w:tabs>
                <w:tab w:val="left" w:pos="2836"/>
              </w:tabs>
              <w:spacing w:afterLines="0" w:line="240" w:lineRule="auto"/>
              <w:outlineLvl w:val="0"/>
              <w:rPr>
                <w:rFonts w:ascii="宋体" w:hAnsi="宋体" w:eastAsia="宋体" w:cs="黑体"/>
                <w:color w:val="auto"/>
                <w:sz w:val="21"/>
                <w:szCs w:val="21"/>
              </w:rPr>
            </w:pPr>
            <w:r>
              <w:rPr>
                <w:rFonts w:hint="eastAsia" w:ascii="宋体" w:hAnsi="宋体" w:eastAsia="宋体" w:cs="黑体"/>
                <w:color w:val="auto"/>
                <w:sz w:val="21"/>
                <w:szCs w:val="21"/>
              </w:rPr>
              <w:t>皂化值（</w:t>
            </w:r>
            <w:r>
              <w:rPr>
                <w:rFonts w:ascii="宋体" w:hAnsi="宋体" w:eastAsia="宋体" w:cs="黑体"/>
                <w:color w:val="auto"/>
                <w:sz w:val="21"/>
                <w:szCs w:val="21"/>
              </w:rPr>
              <w:t>mg KOH/g）</w:t>
            </w:r>
          </w:p>
        </w:tc>
        <w:tc>
          <w:tcPr>
            <w:tcW w:w="3190" w:type="dxa"/>
          </w:tcPr>
          <w:p w14:paraId="3361CA6F">
            <w:pPr>
              <w:tabs>
                <w:tab w:val="left" w:pos="2836"/>
              </w:tabs>
              <w:spacing w:afterLines="0" w:line="240" w:lineRule="auto"/>
              <w:outlineLvl w:val="0"/>
              <w:rPr>
                <w:rFonts w:ascii="宋体" w:hAnsi="宋体" w:eastAsia="宋体" w:cs="黑体"/>
                <w:color w:val="auto"/>
                <w:sz w:val="21"/>
                <w:szCs w:val="21"/>
              </w:rPr>
            </w:pPr>
            <w:r>
              <w:rPr>
                <w:rFonts w:ascii="宋体" w:hAnsi="宋体" w:eastAsia="宋体" w:cs="黑体"/>
                <w:color w:val="auto"/>
                <w:sz w:val="21"/>
                <w:szCs w:val="21"/>
              </w:rPr>
              <w:t>≤180</w:t>
            </w:r>
          </w:p>
        </w:tc>
        <w:tc>
          <w:tcPr>
            <w:tcW w:w="3191" w:type="dxa"/>
          </w:tcPr>
          <w:p w14:paraId="61F1957D">
            <w:pPr>
              <w:tabs>
                <w:tab w:val="left" w:pos="2836"/>
              </w:tabs>
              <w:spacing w:afterLines="0" w:line="240" w:lineRule="auto"/>
              <w:outlineLvl w:val="0"/>
              <w:rPr>
                <w:rFonts w:ascii="宋体" w:hAnsi="宋体" w:eastAsia="宋体" w:cs="黑体"/>
                <w:color w:val="auto"/>
                <w:sz w:val="21"/>
                <w:szCs w:val="21"/>
              </w:rPr>
            </w:pPr>
            <w:r>
              <w:rPr>
                <w:rFonts w:ascii="宋体" w:hAnsi="宋体" w:eastAsia="宋体" w:cs="黑体"/>
                <w:color w:val="auto"/>
                <w:sz w:val="21"/>
                <w:szCs w:val="21"/>
              </w:rPr>
              <w:t>≤230</w:t>
            </w:r>
          </w:p>
        </w:tc>
      </w:tr>
      <w:tr w14:paraId="2A8F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F573EAD">
            <w:pPr>
              <w:tabs>
                <w:tab w:val="left" w:pos="2836"/>
              </w:tabs>
              <w:spacing w:afterLines="0" w:line="240" w:lineRule="auto"/>
              <w:outlineLvl w:val="0"/>
              <w:rPr>
                <w:rFonts w:ascii="宋体" w:hAnsi="宋体" w:eastAsia="宋体" w:cs="黑体"/>
                <w:color w:val="auto"/>
                <w:sz w:val="21"/>
                <w:szCs w:val="21"/>
              </w:rPr>
            </w:pPr>
            <w:r>
              <w:rPr>
                <w:rFonts w:hint="eastAsia" w:ascii="宋体" w:hAnsi="宋体" w:eastAsia="宋体" w:cs="黑体"/>
                <w:color w:val="auto"/>
                <w:sz w:val="21"/>
                <w:szCs w:val="21"/>
              </w:rPr>
              <w:t>水分（</w:t>
            </w:r>
            <w:r>
              <w:rPr>
                <w:rFonts w:ascii="宋体" w:hAnsi="宋体" w:eastAsia="宋体" w:cs="黑体"/>
                <w:color w:val="auto"/>
                <w:sz w:val="21"/>
                <w:szCs w:val="21"/>
              </w:rPr>
              <w:t>%）</w:t>
            </w:r>
          </w:p>
        </w:tc>
        <w:tc>
          <w:tcPr>
            <w:tcW w:w="3190" w:type="dxa"/>
          </w:tcPr>
          <w:p w14:paraId="1A521E8B">
            <w:pPr>
              <w:tabs>
                <w:tab w:val="left" w:pos="2836"/>
              </w:tabs>
              <w:spacing w:afterLines="0" w:line="240" w:lineRule="auto"/>
              <w:outlineLvl w:val="0"/>
              <w:rPr>
                <w:rFonts w:ascii="宋体" w:hAnsi="宋体" w:eastAsia="宋体" w:cs="黑体"/>
                <w:color w:val="auto"/>
                <w:sz w:val="21"/>
                <w:szCs w:val="21"/>
              </w:rPr>
            </w:pPr>
            <w:r>
              <w:rPr>
                <w:rFonts w:ascii="宋体" w:hAnsi="宋体" w:eastAsia="宋体" w:cs="黑体"/>
                <w:color w:val="auto"/>
                <w:sz w:val="21"/>
                <w:szCs w:val="21"/>
              </w:rPr>
              <w:t>≤2</w:t>
            </w:r>
          </w:p>
        </w:tc>
        <w:tc>
          <w:tcPr>
            <w:tcW w:w="3191" w:type="dxa"/>
          </w:tcPr>
          <w:p w14:paraId="4DD0A35E">
            <w:pPr>
              <w:tabs>
                <w:tab w:val="left" w:pos="2836"/>
              </w:tabs>
              <w:spacing w:afterLines="0" w:line="240" w:lineRule="auto"/>
              <w:outlineLvl w:val="0"/>
              <w:rPr>
                <w:rFonts w:ascii="宋体" w:hAnsi="宋体" w:eastAsia="宋体" w:cs="黑体"/>
                <w:color w:val="auto"/>
                <w:sz w:val="21"/>
                <w:szCs w:val="21"/>
              </w:rPr>
            </w:pPr>
            <w:r>
              <w:rPr>
                <w:rFonts w:ascii="宋体" w:hAnsi="宋体" w:eastAsia="宋体" w:cs="黑体"/>
                <w:color w:val="auto"/>
                <w:sz w:val="21"/>
                <w:szCs w:val="21"/>
              </w:rPr>
              <w:t>≤2</w:t>
            </w:r>
          </w:p>
        </w:tc>
      </w:tr>
    </w:tbl>
    <w:p w14:paraId="263E1A07">
      <w:pPr>
        <w:tabs>
          <w:tab w:val="left" w:pos="2836"/>
        </w:tabs>
        <w:spacing w:afterLines="0" w:line="240" w:lineRule="auto"/>
        <w:outlineLvl w:val="0"/>
        <w:rPr>
          <w:rFonts w:ascii="黑体" w:hAnsi="黑体" w:eastAsia="黑体" w:cs="黑体"/>
          <w:color w:val="auto"/>
          <w:sz w:val="21"/>
          <w:szCs w:val="21"/>
        </w:rPr>
      </w:pPr>
    </w:p>
    <w:p w14:paraId="24B58C46">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6  试验方法</w:t>
      </w:r>
    </w:p>
    <w:p w14:paraId="163FC0B6">
      <w:pPr>
        <w:tabs>
          <w:tab w:val="left" w:pos="2836"/>
        </w:tabs>
        <w:spacing w:afterLines="0" w:line="240" w:lineRule="auto"/>
        <w:outlineLvl w:val="0"/>
        <w:rPr>
          <w:rFonts w:ascii="黑体" w:hAnsi="黑体" w:eastAsia="黑体" w:cs="黑体"/>
          <w:color w:val="auto"/>
          <w:sz w:val="21"/>
          <w:szCs w:val="21"/>
        </w:rPr>
      </w:pPr>
    </w:p>
    <w:p w14:paraId="6325FEE7">
      <w:pPr>
        <w:tabs>
          <w:tab w:val="left" w:pos="2836"/>
        </w:tabs>
        <w:spacing w:afterLines="0" w:line="240" w:lineRule="auto"/>
        <w:ind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rPr>
        <w:t>除非另有说明，在分析中仅使用确认为分析纯的试剂和符合GB/T 6682的三级水。</w:t>
      </w:r>
      <w:r>
        <w:rPr>
          <w:rFonts w:hint="eastAsia" w:ascii="宋体" w:hAnsi="宋体" w:eastAsia="宋体" w:cs="宋体"/>
          <w:color w:val="auto"/>
          <w:sz w:val="21"/>
          <w:szCs w:val="21"/>
          <w:lang w:bidi="zh-CN"/>
        </w:rPr>
        <w:t>分析过程中使用的标准溶液按照QB/T2739-2005的规定配制。</w:t>
      </w:r>
    </w:p>
    <w:p w14:paraId="095D68BF">
      <w:pPr>
        <w:tabs>
          <w:tab w:val="left" w:pos="2836"/>
        </w:tabs>
        <w:spacing w:afterLines="0" w:line="240" w:lineRule="auto"/>
        <w:rPr>
          <w:rFonts w:ascii="宋体" w:hAnsi="宋体" w:eastAsia="宋体" w:cs="宋体"/>
          <w:color w:val="auto"/>
          <w:sz w:val="21"/>
          <w:szCs w:val="21"/>
        </w:rPr>
      </w:pPr>
    </w:p>
    <w:p w14:paraId="05324F57">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6.1  样品制备</w:t>
      </w:r>
    </w:p>
    <w:p w14:paraId="29D79EB9">
      <w:pPr>
        <w:tabs>
          <w:tab w:val="left" w:pos="2836"/>
        </w:tabs>
        <w:spacing w:afterLines="0" w:line="24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将样品混合均匀后方可取样试验。</w:t>
      </w:r>
    </w:p>
    <w:p w14:paraId="13CF51BF">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6.2  酸值</w:t>
      </w:r>
    </w:p>
    <w:p w14:paraId="67C73ECA">
      <w:pPr>
        <w:tabs>
          <w:tab w:val="left" w:pos="2836"/>
        </w:tabs>
        <w:spacing w:afterLines="0" w:line="24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按GB/T 9104-2022第6章的规定进行测定。</w:t>
      </w:r>
    </w:p>
    <w:p w14:paraId="07763806">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6.3  皂化值</w:t>
      </w:r>
    </w:p>
    <w:p w14:paraId="006FCD55">
      <w:pPr>
        <w:tabs>
          <w:tab w:val="left" w:pos="2836"/>
        </w:tabs>
        <w:spacing w:afterLines="0" w:line="24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按GB/T 9104-2022第5章的规定进行测定。</w:t>
      </w:r>
    </w:p>
    <w:p w14:paraId="1FD2EBB6">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6.4  水分的测定</w:t>
      </w:r>
    </w:p>
    <w:p w14:paraId="595D2CE2">
      <w:pPr>
        <w:tabs>
          <w:tab w:val="left" w:pos="2836"/>
        </w:tabs>
        <w:spacing w:afterLines="0" w:line="24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按GB/T 9104-2022第9章的规定进行测定。</w:t>
      </w:r>
    </w:p>
    <w:p w14:paraId="00BFE92E">
      <w:pPr>
        <w:tabs>
          <w:tab w:val="left" w:pos="2836"/>
        </w:tabs>
        <w:spacing w:afterLines="0" w:line="240" w:lineRule="auto"/>
        <w:outlineLvl w:val="0"/>
        <w:rPr>
          <w:rFonts w:ascii="宋体" w:hAnsi="宋体" w:eastAsia="宋体" w:cs="宋体"/>
          <w:color w:val="auto"/>
          <w:sz w:val="21"/>
          <w:szCs w:val="21"/>
          <w:lang w:bidi="zh-CN"/>
        </w:rPr>
      </w:pPr>
    </w:p>
    <w:p w14:paraId="33DEFF7B">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7  检验规则</w:t>
      </w:r>
    </w:p>
    <w:p w14:paraId="4AC4CB8C">
      <w:pPr>
        <w:tabs>
          <w:tab w:val="left" w:pos="2836"/>
        </w:tabs>
        <w:spacing w:afterLines="0" w:line="240" w:lineRule="auto"/>
        <w:outlineLvl w:val="0"/>
        <w:rPr>
          <w:rFonts w:ascii="黑体" w:hAnsi="黑体" w:eastAsia="黑体" w:cs="黑体"/>
          <w:color w:val="auto"/>
          <w:sz w:val="21"/>
          <w:szCs w:val="21"/>
        </w:rPr>
      </w:pPr>
    </w:p>
    <w:p w14:paraId="6F35BA78">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7.1  检验分类</w:t>
      </w:r>
    </w:p>
    <w:p w14:paraId="681F1541">
      <w:pPr>
        <w:tabs>
          <w:tab w:val="left" w:pos="2836"/>
        </w:tabs>
        <w:spacing w:afterLines="0" w:line="240" w:lineRule="auto"/>
        <w:outlineLvl w:val="1"/>
        <w:rPr>
          <w:rFonts w:ascii="宋体" w:hAnsi="宋体" w:eastAsia="宋体" w:cs="宋体"/>
          <w:color w:val="auto"/>
          <w:sz w:val="21"/>
          <w:szCs w:val="21"/>
        </w:rPr>
      </w:pPr>
    </w:p>
    <w:p w14:paraId="4B5EA1ED">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7.1.1  型式检验</w:t>
      </w:r>
    </w:p>
    <w:p w14:paraId="62162381">
      <w:pPr>
        <w:tabs>
          <w:tab w:val="left" w:pos="2836"/>
        </w:tabs>
        <w:spacing w:afterLines="0" w:line="240" w:lineRule="auto"/>
        <w:ind w:firstLine="424" w:firstLineChars="202"/>
        <w:outlineLvl w:val="1"/>
        <w:rPr>
          <w:rFonts w:ascii="宋体" w:hAnsi="宋体" w:eastAsia="宋体" w:cs="宋体"/>
          <w:color w:val="auto"/>
          <w:sz w:val="21"/>
          <w:szCs w:val="21"/>
        </w:rPr>
      </w:pPr>
    </w:p>
    <w:p w14:paraId="36A61B1D">
      <w:pPr>
        <w:tabs>
          <w:tab w:val="left" w:pos="2836"/>
        </w:tabs>
        <w:spacing w:afterLines="0" w:line="240" w:lineRule="auto"/>
        <w:ind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型式检验项目包括第5章的全部项目,在下列情况下应进行型式检验：</w:t>
      </w:r>
    </w:p>
    <w:p w14:paraId="746BAFC4">
      <w:pPr>
        <w:numPr>
          <w:ilvl w:val="0"/>
          <w:numId w:val="1"/>
        </w:numPr>
        <w:tabs>
          <w:tab w:val="left" w:pos="2836"/>
        </w:tabs>
        <w:spacing w:afterLines="0" w:line="240" w:lineRule="auto"/>
        <w:ind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当生产原料、工艺、设备、管理等方面(包括人员素质）有较大改变，可能影响产品质量时；</w:t>
      </w:r>
    </w:p>
    <w:p w14:paraId="2E89B7D5">
      <w:pPr>
        <w:numPr>
          <w:ilvl w:val="0"/>
          <w:numId w:val="1"/>
        </w:numPr>
        <w:tabs>
          <w:tab w:val="left" w:pos="2836"/>
        </w:tabs>
        <w:spacing w:afterLines="0" w:line="240" w:lineRule="auto"/>
        <w:ind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第一次开车生产时，应进行一次型式检验；</w:t>
      </w:r>
    </w:p>
    <w:p w14:paraId="7CE278F0">
      <w:pPr>
        <w:numPr>
          <w:ilvl w:val="0"/>
          <w:numId w:val="1"/>
        </w:numPr>
        <w:tabs>
          <w:tab w:val="left" w:pos="2836"/>
        </w:tabs>
        <w:spacing w:afterLines="0" w:line="240" w:lineRule="auto"/>
        <w:ind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长期停产后，恢复生产时；</w:t>
      </w:r>
    </w:p>
    <w:p w14:paraId="1B56A70F">
      <w:pPr>
        <w:numPr>
          <w:ilvl w:val="0"/>
          <w:numId w:val="1"/>
        </w:numPr>
        <w:tabs>
          <w:tab w:val="left" w:pos="2836"/>
        </w:tabs>
        <w:spacing w:afterLines="0" w:line="240" w:lineRule="auto"/>
        <w:ind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出厂检验结果与上次型式检验有较大差异时；</w:t>
      </w:r>
    </w:p>
    <w:p w14:paraId="6601AC49">
      <w:pPr>
        <w:numPr>
          <w:ilvl w:val="0"/>
          <w:numId w:val="1"/>
        </w:numPr>
        <w:tabs>
          <w:tab w:val="left" w:pos="2836"/>
        </w:tabs>
        <w:spacing w:afterLines="0" w:line="240" w:lineRule="auto"/>
        <w:ind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国家质量监督检验检疫机构提出进行型式检验时；</w:t>
      </w:r>
    </w:p>
    <w:p w14:paraId="21BC614F">
      <w:pPr>
        <w:numPr>
          <w:ilvl w:val="0"/>
          <w:numId w:val="1"/>
        </w:numPr>
        <w:tabs>
          <w:tab w:val="left" w:pos="2836"/>
        </w:tabs>
        <w:spacing w:afterLines="0" w:line="240" w:lineRule="auto"/>
        <w:ind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有客户提出要求进行型式检验时。</w:t>
      </w:r>
    </w:p>
    <w:p w14:paraId="5A1F5D28">
      <w:pPr>
        <w:tabs>
          <w:tab w:val="left" w:pos="2836"/>
        </w:tabs>
        <w:spacing w:afterLines="0" w:line="240" w:lineRule="auto"/>
        <w:outlineLvl w:val="1"/>
        <w:rPr>
          <w:rFonts w:ascii="黑体" w:hAnsi="黑体" w:eastAsia="黑体" w:cs="黑体"/>
          <w:color w:val="auto"/>
          <w:sz w:val="21"/>
          <w:szCs w:val="21"/>
        </w:rPr>
      </w:pPr>
    </w:p>
    <w:p w14:paraId="3A49A99C">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7.1.2  出厂检验</w:t>
      </w:r>
    </w:p>
    <w:p w14:paraId="764348F0">
      <w:pPr>
        <w:tabs>
          <w:tab w:val="left" w:pos="2836"/>
        </w:tabs>
        <w:spacing w:afterLines="0" w:line="240" w:lineRule="auto"/>
        <w:ind w:firstLine="424" w:firstLineChars="202"/>
        <w:outlineLvl w:val="1"/>
        <w:rPr>
          <w:rFonts w:ascii="宋体" w:hAnsi="宋体" w:eastAsia="宋体" w:cs="宋体"/>
          <w:color w:val="auto"/>
          <w:sz w:val="21"/>
          <w:szCs w:val="21"/>
        </w:rPr>
      </w:pPr>
    </w:p>
    <w:p w14:paraId="514E3482">
      <w:pPr>
        <w:tabs>
          <w:tab w:val="left" w:pos="2836"/>
        </w:tabs>
        <w:spacing w:afterLines="0" w:line="240" w:lineRule="auto"/>
        <w:ind w:firstLine="424" w:firstLineChars="202"/>
        <w:outlineLvl w:val="1"/>
        <w:rPr>
          <w:rFonts w:ascii="黑体" w:hAnsi="黑体" w:eastAsia="黑体" w:cs="黑体"/>
          <w:color w:val="auto"/>
          <w:sz w:val="21"/>
          <w:szCs w:val="21"/>
        </w:rPr>
      </w:pPr>
      <w:r>
        <w:rPr>
          <w:rFonts w:hint="eastAsia" w:ascii="宋体" w:hAnsi="宋体" w:eastAsia="宋体" w:cs="宋体"/>
          <w:color w:val="auto"/>
          <w:sz w:val="21"/>
          <w:szCs w:val="21"/>
        </w:rPr>
        <w:t>第5章表1要求的外观、酸值、皂化值、水分为出厂检验项目。</w:t>
      </w:r>
    </w:p>
    <w:p w14:paraId="13B7C9A4">
      <w:pPr>
        <w:tabs>
          <w:tab w:val="left" w:pos="2836"/>
        </w:tabs>
        <w:spacing w:afterLines="0" w:line="240" w:lineRule="auto"/>
        <w:outlineLvl w:val="1"/>
        <w:rPr>
          <w:rFonts w:ascii="黑体" w:hAnsi="黑体" w:eastAsia="黑体" w:cs="黑体"/>
          <w:color w:val="auto"/>
          <w:sz w:val="21"/>
          <w:szCs w:val="21"/>
        </w:rPr>
      </w:pPr>
    </w:p>
    <w:p w14:paraId="41CCB7A9">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7.2  组批与抽样规则</w:t>
      </w:r>
    </w:p>
    <w:p w14:paraId="22CAE0C9">
      <w:pPr>
        <w:tabs>
          <w:tab w:val="left" w:pos="2836"/>
        </w:tabs>
        <w:spacing w:afterLines="0" w:line="240" w:lineRule="auto"/>
        <w:outlineLvl w:val="1"/>
        <w:rPr>
          <w:rFonts w:ascii="黑体" w:hAnsi="黑体" w:eastAsia="黑体" w:cs="黑体"/>
          <w:color w:val="auto"/>
          <w:sz w:val="21"/>
          <w:szCs w:val="21"/>
        </w:rPr>
      </w:pPr>
    </w:p>
    <w:p w14:paraId="0564A8A6">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7.2.1  组批</w:t>
      </w:r>
    </w:p>
    <w:p w14:paraId="5791E247">
      <w:pPr>
        <w:tabs>
          <w:tab w:val="left" w:pos="2836"/>
        </w:tabs>
        <w:spacing w:afterLines="0" w:line="240" w:lineRule="auto"/>
        <w:ind w:firstLine="424" w:firstLineChars="202"/>
        <w:rPr>
          <w:rFonts w:ascii="宋体" w:hAnsi="宋体" w:eastAsia="宋体" w:cs="宋体"/>
          <w:color w:val="auto"/>
          <w:sz w:val="21"/>
          <w:szCs w:val="21"/>
        </w:rPr>
      </w:pPr>
    </w:p>
    <w:p w14:paraId="0A6B467C">
      <w:pPr>
        <w:tabs>
          <w:tab w:val="left" w:pos="2836"/>
        </w:tabs>
        <w:spacing w:afterLines="0" w:line="24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产品按批交付验收，一次交付的同一规格、同一批号的产品为一交付批。</w:t>
      </w:r>
    </w:p>
    <w:p w14:paraId="554F69D7">
      <w:pPr>
        <w:tabs>
          <w:tab w:val="left" w:pos="2836"/>
        </w:tabs>
        <w:spacing w:afterLines="0" w:line="24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每批产品应检验合格并出具质量检验合格证书方可出厂。</w:t>
      </w:r>
    </w:p>
    <w:p w14:paraId="51588BB0">
      <w:pPr>
        <w:tabs>
          <w:tab w:val="left" w:pos="2836"/>
        </w:tabs>
        <w:spacing w:afterLines="0" w:line="240" w:lineRule="auto"/>
        <w:outlineLvl w:val="1"/>
        <w:rPr>
          <w:rFonts w:ascii="黑体" w:hAnsi="黑体" w:eastAsia="黑体" w:cs="黑体"/>
          <w:color w:val="auto"/>
          <w:sz w:val="21"/>
          <w:szCs w:val="21"/>
        </w:rPr>
      </w:pPr>
    </w:p>
    <w:p w14:paraId="3F62FFB1">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7.2.2  抽样规则</w:t>
      </w:r>
    </w:p>
    <w:p w14:paraId="439D49C8">
      <w:pPr>
        <w:tabs>
          <w:tab w:val="left" w:pos="2836"/>
        </w:tabs>
        <w:spacing w:afterLines="0" w:line="24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收货单位验收、仲裁检验所需的样品应根据产品批量大小，按表2确定样本大小，交收双方会同在交货地点从交付批中随机抽取样本单位。</w:t>
      </w:r>
    </w:p>
    <w:p w14:paraId="0AA07BEF">
      <w:pPr>
        <w:autoSpaceDE w:val="0"/>
        <w:autoSpaceDN w:val="0"/>
        <w:spacing w:afterLines="0" w:line="240" w:lineRule="auto"/>
        <w:ind w:right="-149" w:rightChars="-62"/>
        <w:jc w:val="center"/>
        <w:textAlignment w:val="bottom"/>
        <w:rPr>
          <w:rFonts w:ascii="黑体" w:eastAsia="黑体"/>
          <w:color w:val="auto"/>
          <w:sz w:val="21"/>
          <w:szCs w:val="21"/>
        </w:rPr>
      </w:pPr>
      <w:r>
        <w:rPr>
          <w:rFonts w:hint="eastAsia" w:ascii="黑体" w:eastAsia="黑体"/>
          <w:color w:val="auto"/>
          <w:sz w:val="21"/>
          <w:szCs w:val="21"/>
        </w:rPr>
        <w:t>表 2批量和样本大小</w:t>
      </w:r>
    </w:p>
    <w:p w14:paraId="0434EC9F">
      <w:pPr>
        <w:tabs>
          <w:tab w:val="left" w:pos="2836"/>
        </w:tabs>
        <w:spacing w:afterLines="0" w:line="240" w:lineRule="auto"/>
        <w:ind w:right="210"/>
        <w:jc w:val="right"/>
        <w:rPr>
          <w:rFonts w:ascii="宋体" w:hAnsi="宋体" w:eastAsia="宋体" w:cs="宋体"/>
          <w:color w:val="auto"/>
          <w:sz w:val="21"/>
          <w:szCs w:val="21"/>
        </w:rPr>
      </w:pPr>
      <w:r>
        <w:rPr>
          <w:rFonts w:hint="eastAsia" w:ascii="宋体" w:hAnsi="宋体" w:eastAsia="宋体" w:cs="宋体"/>
          <w:color w:val="auto"/>
          <w:sz w:val="21"/>
          <w:szCs w:val="21"/>
        </w:rPr>
        <w:t xml:space="preserve">单位为桶 /件 </w:t>
      </w:r>
    </w:p>
    <w:tbl>
      <w:tblPr>
        <w:tblStyle w:val="6"/>
        <w:tblW w:w="89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8"/>
        <w:gridCol w:w="1118"/>
        <w:gridCol w:w="1117"/>
        <w:gridCol w:w="1117"/>
        <w:gridCol w:w="1117"/>
        <w:gridCol w:w="1117"/>
        <w:gridCol w:w="1118"/>
        <w:gridCol w:w="1118"/>
      </w:tblGrid>
      <w:tr w14:paraId="01C2D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tblHeader/>
          <w:jc w:val="center"/>
        </w:trPr>
        <w:tc>
          <w:tcPr>
            <w:tcW w:w="1118" w:type="dxa"/>
            <w:tcBorders>
              <w:top w:val="single" w:color="auto" w:sz="2" w:space="0"/>
              <w:left w:val="single" w:color="auto" w:sz="4" w:space="0"/>
              <w:bottom w:val="single" w:color="auto" w:sz="2" w:space="0"/>
              <w:right w:val="single" w:color="auto" w:sz="6" w:space="0"/>
            </w:tcBorders>
            <w:noWrap/>
            <w:vAlign w:val="center"/>
          </w:tcPr>
          <w:p w14:paraId="72A502E7">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批量</w:t>
            </w:r>
          </w:p>
        </w:tc>
        <w:tc>
          <w:tcPr>
            <w:tcW w:w="1118" w:type="dxa"/>
            <w:tcBorders>
              <w:top w:val="single" w:color="auto" w:sz="2" w:space="0"/>
              <w:left w:val="single" w:color="auto" w:sz="6" w:space="0"/>
              <w:bottom w:val="single" w:color="auto" w:sz="2" w:space="0"/>
              <w:right w:val="single" w:color="auto" w:sz="4" w:space="0"/>
            </w:tcBorders>
            <w:noWrap/>
            <w:vAlign w:val="center"/>
          </w:tcPr>
          <w:p w14:paraId="28BF5858">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≤15</w:t>
            </w:r>
          </w:p>
        </w:tc>
        <w:tc>
          <w:tcPr>
            <w:tcW w:w="1117" w:type="dxa"/>
            <w:tcBorders>
              <w:top w:val="single" w:color="auto" w:sz="2" w:space="0"/>
              <w:left w:val="single" w:color="auto" w:sz="6" w:space="0"/>
              <w:bottom w:val="single" w:color="auto" w:sz="2" w:space="0"/>
              <w:right w:val="single" w:color="auto" w:sz="4" w:space="0"/>
            </w:tcBorders>
            <w:noWrap/>
            <w:vAlign w:val="center"/>
          </w:tcPr>
          <w:p w14:paraId="6F69AEE9">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16～25</w:t>
            </w:r>
          </w:p>
        </w:tc>
        <w:tc>
          <w:tcPr>
            <w:tcW w:w="1117" w:type="dxa"/>
            <w:tcBorders>
              <w:top w:val="single" w:color="auto" w:sz="2" w:space="0"/>
              <w:left w:val="single" w:color="auto" w:sz="6" w:space="0"/>
              <w:bottom w:val="single" w:color="auto" w:sz="2" w:space="0"/>
              <w:right w:val="single" w:color="auto" w:sz="4" w:space="0"/>
            </w:tcBorders>
            <w:noWrap/>
            <w:vAlign w:val="center"/>
          </w:tcPr>
          <w:p w14:paraId="1AFE34FD">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26～90</w:t>
            </w:r>
          </w:p>
        </w:tc>
        <w:tc>
          <w:tcPr>
            <w:tcW w:w="1117" w:type="dxa"/>
            <w:tcBorders>
              <w:top w:val="single" w:color="auto" w:sz="2" w:space="0"/>
              <w:left w:val="single" w:color="auto" w:sz="6" w:space="0"/>
              <w:bottom w:val="single" w:color="auto" w:sz="2" w:space="0"/>
              <w:right w:val="single" w:color="auto" w:sz="4" w:space="0"/>
            </w:tcBorders>
            <w:noWrap/>
            <w:vAlign w:val="center"/>
          </w:tcPr>
          <w:p w14:paraId="507138E3">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91～150</w:t>
            </w:r>
          </w:p>
        </w:tc>
        <w:tc>
          <w:tcPr>
            <w:tcW w:w="1117" w:type="dxa"/>
            <w:tcBorders>
              <w:top w:val="single" w:color="auto" w:sz="2" w:space="0"/>
              <w:left w:val="single" w:color="auto" w:sz="6" w:space="0"/>
              <w:bottom w:val="single" w:color="auto" w:sz="2" w:space="0"/>
              <w:right w:val="single" w:color="auto" w:sz="4" w:space="0"/>
            </w:tcBorders>
            <w:noWrap/>
            <w:vAlign w:val="center"/>
          </w:tcPr>
          <w:p w14:paraId="2D715C51">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151～500</w:t>
            </w:r>
          </w:p>
        </w:tc>
        <w:tc>
          <w:tcPr>
            <w:tcW w:w="1118" w:type="dxa"/>
            <w:tcBorders>
              <w:top w:val="single" w:color="auto" w:sz="2" w:space="0"/>
              <w:left w:val="single" w:color="auto" w:sz="6" w:space="0"/>
              <w:bottom w:val="single" w:color="auto" w:sz="2" w:space="0"/>
              <w:right w:val="single" w:color="auto" w:sz="4" w:space="0"/>
            </w:tcBorders>
            <w:noWrap/>
            <w:vAlign w:val="center"/>
          </w:tcPr>
          <w:p w14:paraId="10D44C64">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501～1200</w:t>
            </w:r>
          </w:p>
        </w:tc>
        <w:tc>
          <w:tcPr>
            <w:tcW w:w="1118" w:type="dxa"/>
            <w:tcBorders>
              <w:top w:val="single" w:color="auto" w:sz="2" w:space="0"/>
              <w:left w:val="single" w:color="auto" w:sz="6" w:space="0"/>
              <w:bottom w:val="single" w:color="auto" w:sz="2" w:space="0"/>
              <w:right w:val="single" w:color="auto" w:sz="4" w:space="0"/>
            </w:tcBorders>
            <w:noWrap/>
            <w:vAlign w:val="center"/>
          </w:tcPr>
          <w:p w14:paraId="67511B94">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≥1201</w:t>
            </w:r>
          </w:p>
        </w:tc>
      </w:tr>
      <w:tr w14:paraId="4DA42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tblHeader/>
          <w:jc w:val="center"/>
        </w:trPr>
        <w:tc>
          <w:tcPr>
            <w:tcW w:w="1118" w:type="dxa"/>
            <w:tcBorders>
              <w:top w:val="single" w:color="auto" w:sz="2" w:space="0"/>
              <w:left w:val="single" w:color="auto" w:sz="4" w:space="0"/>
              <w:bottom w:val="single" w:color="auto" w:sz="2" w:space="0"/>
              <w:right w:val="single" w:color="auto" w:sz="6" w:space="0"/>
            </w:tcBorders>
            <w:noWrap/>
            <w:vAlign w:val="center"/>
          </w:tcPr>
          <w:p w14:paraId="0DDCE057">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样本</w:t>
            </w:r>
          </w:p>
        </w:tc>
        <w:tc>
          <w:tcPr>
            <w:tcW w:w="1118" w:type="dxa"/>
            <w:tcBorders>
              <w:top w:val="single" w:color="auto" w:sz="2" w:space="0"/>
              <w:left w:val="single" w:color="auto" w:sz="6" w:space="0"/>
              <w:bottom w:val="single" w:color="auto" w:sz="2" w:space="0"/>
              <w:right w:val="single" w:color="auto" w:sz="4" w:space="0"/>
            </w:tcBorders>
            <w:noWrap/>
            <w:vAlign w:val="center"/>
          </w:tcPr>
          <w:p w14:paraId="198709C8">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1117" w:type="dxa"/>
            <w:tcBorders>
              <w:top w:val="single" w:color="auto" w:sz="2" w:space="0"/>
              <w:left w:val="single" w:color="auto" w:sz="6" w:space="0"/>
              <w:bottom w:val="single" w:color="auto" w:sz="2" w:space="0"/>
              <w:right w:val="single" w:color="auto" w:sz="4" w:space="0"/>
            </w:tcBorders>
            <w:noWrap/>
            <w:vAlign w:val="center"/>
          </w:tcPr>
          <w:p w14:paraId="559CF631">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1117" w:type="dxa"/>
            <w:tcBorders>
              <w:top w:val="single" w:color="auto" w:sz="2" w:space="0"/>
              <w:left w:val="single" w:color="auto" w:sz="6" w:space="0"/>
              <w:bottom w:val="single" w:color="auto" w:sz="2" w:space="0"/>
              <w:right w:val="single" w:color="auto" w:sz="4" w:space="0"/>
            </w:tcBorders>
            <w:noWrap/>
            <w:vAlign w:val="center"/>
          </w:tcPr>
          <w:p w14:paraId="648A1C9C">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5</w:t>
            </w:r>
          </w:p>
        </w:tc>
        <w:tc>
          <w:tcPr>
            <w:tcW w:w="1117" w:type="dxa"/>
            <w:tcBorders>
              <w:top w:val="single" w:color="auto" w:sz="2" w:space="0"/>
              <w:left w:val="single" w:color="auto" w:sz="6" w:space="0"/>
              <w:bottom w:val="single" w:color="auto" w:sz="2" w:space="0"/>
              <w:right w:val="single" w:color="auto" w:sz="4" w:space="0"/>
            </w:tcBorders>
            <w:noWrap/>
            <w:vAlign w:val="center"/>
          </w:tcPr>
          <w:p w14:paraId="3DE58990">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8</w:t>
            </w:r>
          </w:p>
        </w:tc>
        <w:tc>
          <w:tcPr>
            <w:tcW w:w="1117" w:type="dxa"/>
            <w:tcBorders>
              <w:top w:val="single" w:color="auto" w:sz="2" w:space="0"/>
              <w:left w:val="single" w:color="auto" w:sz="6" w:space="0"/>
              <w:bottom w:val="single" w:color="auto" w:sz="2" w:space="0"/>
              <w:right w:val="single" w:color="auto" w:sz="4" w:space="0"/>
            </w:tcBorders>
            <w:noWrap/>
            <w:vAlign w:val="center"/>
          </w:tcPr>
          <w:p w14:paraId="602DCED9">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13</w:t>
            </w:r>
          </w:p>
        </w:tc>
        <w:tc>
          <w:tcPr>
            <w:tcW w:w="1118" w:type="dxa"/>
            <w:tcBorders>
              <w:top w:val="single" w:color="auto" w:sz="2" w:space="0"/>
              <w:left w:val="single" w:color="auto" w:sz="6" w:space="0"/>
              <w:bottom w:val="single" w:color="auto" w:sz="2" w:space="0"/>
              <w:right w:val="single" w:color="auto" w:sz="4" w:space="0"/>
            </w:tcBorders>
            <w:noWrap/>
            <w:vAlign w:val="center"/>
          </w:tcPr>
          <w:p w14:paraId="19DECEA5">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20</w:t>
            </w:r>
          </w:p>
        </w:tc>
        <w:tc>
          <w:tcPr>
            <w:tcW w:w="1118" w:type="dxa"/>
            <w:tcBorders>
              <w:top w:val="single" w:color="auto" w:sz="2" w:space="0"/>
              <w:left w:val="single" w:color="auto" w:sz="6" w:space="0"/>
              <w:bottom w:val="single" w:color="auto" w:sz="2" w:space="0"/>
              <w:right w:val="single" w:color="auto" w:sz="4" w:space="0"/>
            </w:tcBorders>
            <w:noWrap/>
            <w:vAlign w:val="center"/>
          </w:tcPr>
          <w:p w14:paraId="6DD1762B">
            <w:pPr>
              <w:autoSpaceDE w:val="0"/>
              <w:autoSpaceDN w:val="0"/>
              <w:spacing w:afterLines="0" w:line="240" w:lineRule="auto"/>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32</w:t>
            </w:r>
          </w:p>
        </w:tc>
      </w:tr>
    </w:tbl>
    <w:p w14:paraId="527AEEA9">
      <w:pPr>
        <w:tabs>
          <w:tab w:val="left" w:pos="2836"/>
        </w:tabs>
        <w:spacing w:afterLines="0" w:line="240" w:lineRule="auto"/>
        <w:ind w:firstLine="424" w:firstLineChars="202"/>
        <w:rPr>
          <w:rFonts w:ascii="宋体" w:hAnsi="宋体" w:eastAsia="宋体" w:cs="宋体"/>
          <w:color w:val="auto"/>
          <w:sz w:val="21"/>
          <w:szCs w:val="21"/>
        </w:rPr>
      </w:pPr>
    </w:p>
    <w:p w14:paraId="415FE3FC">
      <w:pPr>
        <w:tabs>
          <w:tab w:val="left" w:pos="2836"/>
        </w:tabs>
        <w:spacing w:afterLines="0" w:line="24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采集样品时用液体采样器自包装中心插入三分之二深处采集样品。从每个样本单位中抽取等量的样品，使总量不少于200mL，混匀后装入一只100mL洁净的样品瓶内，剩余样品用于本批次检验用；留存样品，加盖密封，贴上标签，并注明：样品名称、批号、取样日期、取样人。</w:t>
      </w:r>
    </w:p>
    <w:p w14:paraId="35E25D8A">
      <w:pPr>
        <w:tabs>
          <w:tab w:val="left" w:pos="2836"/>
        </w:tabs>
        <w:spacing w:afterLines="0" w:line="240" w:lineRule="auto"/>
        <w:outlineLvl w:val="1"/>
        <w:rPr>
          <w:rFonts w:ascii="黑体" w:hAnsi="黑体" w:eastAsia="黑体" w:cs="黑体"/>
          <w:color w:val="auto"/>
          <w:sz w:val="21"/>
          <w:szCs w:val="21"/>
        </w:rPr>
      </w:pPr>
    </w:p>
    <w:p w14:paraId="4BC02AE7">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7.3  判定规则</w:t>
      </w:r>
    </w:p>
    <w:p w14:paraId="2694F867">
      <w:pPr>
        <w:tabs>
          <w:tab w:val="left" w:pos="2836"/>
        </w:tabs>
        <w:spacing w:afterLines="0" w:line="240" w:lineRule="auto"/>
        <w:ind w:firstLine="424" w:firstLineChars="202"/>
        <w:rPr>
          <w:rFonts w:ascii="宋体" w:hAnsi="宋体" w:eastAsia="宋体" w:cs="宋体"/>
          <w:color w:val="auto"/>
          <w:sz w:val="21"/>
          <w:szCs w:val="21"/>
          <w:lang w:bidi="zh-CN"/>
        </w:rPr>
      </w:pPr>
    </w:p>
    <w:p w14:paraId="66DE5D17">
      <w:pPr>
        <w:tabs>
          <w:tab w:val="left" w:pos="2836"/>
        </w:tabs>
        <w:spacing w:afterLines="0" w:line="240" w:lineRule="auto"/>
        <w:ind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理化指标检验结果用修约值比较法判定产品合格或不合格。如一次抽检不合格，可再取双倍样品进行复检，复验结果仍有不合格项，则该批产品不合格。交收双方如对复验结果仍有争议，可按本文件商请仲裁检验，仲裁结果为最终依据。</w:t>
      </w:r>
    </w:p>
    <w:p w14:paraId="239EEC8B">
      <w:pPr>
        <w:tabs>
          <w:tab w:val="left" w:pos="2836"/>
        </w:tabs>
        <w:spacing w:afterLines="0" w:line="240" w:lineRule="auto"/>
        <w:ind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收货单位根据质量检验合格证书，在一个月内按本文件取样验收或仲裁。</w:t>
      </w:r>
    </w:p>
    <w:p w14:paraId="45AF14D1">
      <w:pPr>
        <w:tabs>
          <w:tab w:val="left" w:pos="2836"/>
        </w:tabs>
        <w:spacing w:afterLines="0" w:line="240" w:lineRule="auto"/>
        <w:outlineLvl w:val="0"/>
        <w:rPr>
          <w:rFonts w:ascii="黑体" w:hAnsi="黑体" w:eastAsia="黑体" w:cs="黑体"/>
          <w:color w:val="auto"/>
          <w:sz w:val="21"/>
          <w:szCs w:val="21"/>
        </w:rPr>
      </w:pPr>
    </w:p>
    <w:p w14:paraId="24AC6D2C">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8  标志、包装、运输、贮存</w:t>
      </w:r>
    </w:p>
    <w:p w14:paraId="291098A4">
      <w:pPr>
        <w:tabs>
          <w:tab w:val="left" w:pos="2836"/>
        </w:tabs>
        <w:spacing w:afterLines="0" w:line="240" w:lineRule="auto"/>
        <w:rPr>
          <w:rFonts w:ascii="宋体" w:hAnsi="宋体" w:eastAsia="宋体" w:cs="宋体"/>
          <w:color w:val="auto"/>
          <w:sz w:val="21"/>
          <w:szCs w:val="21"/>
        </w:rPr>
      </w:pPr>
    </w:p>
    <w:p w14:paraId="3AF24CA0">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8.1  标志</w:t>
      </w:r>
    </w:p>
    <w:p w14:paraId="6733E75A">
      <w:pPr>
        <w:tabs>
          <w:tab w:val="left" w:pos="2836"/>
        </w:tabs>
        <w:spacing w:afterLines="0" w:line="240" w:lineRule="auto"/>
        <w:ind w:firstLine="283" w:firstLineChars="135"/>
        <w:rPr>
          <w:rFonts w:ascii="宋体" w:hAnsi="宋体" w:eastAsia="宋体" w:cs="宋体"/>
          <w:color w:val="auto"/>
          <w:sz w:val="21"/>
          <w:szCs w:val="21"/>
          <w:lang w:bidi="zh-CN"/>
        </w:rPr>
      </w:pPr>
    </w:p>
    <w:p w14:paraId="07704B25">
      <w:pPr>
        <w:tabs>
          <w:tab w:val="left" w:pos="2836"/>
        </w:tabs>
        <w:spacing w:afterLines="0" w:line="240" w:lineRule="auto"/>
        <w:ind w:firstLine="283" w:firstLineChars="135"/>
        <w:rPr>
          <w:rFonts w:ascii="宋体" w:hAnsi="宋体" w:eastAsia="宋体" w:cs="宋体"/>
          <w:color w:val="auto"/>
          <w:sz w:val="21"/>
          <w:szCs w:val="21"/>
          <w:lang w:bidi="zh-CN"/>
        </w:rPr>
      </w:pPr>
      <w:r>
        <w:rPr>
          <w:rFonts w:hint="eastAsia" w:ascii="宋体" w:hAnsi="宋体" w:eastAsia="宋体" w:cs="宋体"/>
          <w:color w:val="auto"/>
          <w:sz w:val="21"/>
          <w:szCs w:val="21"/>
          <w:lang w:bidi="zh-CN"/>
        </w:rPr>
        <w:t>每件混合脂肪酸产品的包装应有下列标志：</w:t>
      </w:r>
    </w:p>
    <w:p w14:paraId="0EDD49CE">
      <w:pPr>
        <w:tabs>
          <w:tab w:val="left" w:pos="2836"/>
        </w:tabs>
        <w:spacing w:afterLines="0" w:line="240" w:lineRule="auto"/>
        <w:ind w:firstLine="283" w:firstLineChars="135"/>
        <w:rPr>
          <w:rFonts w:ascii="宋体" w:hAnsi="宋体" w:eastAsia="宋体" w:cs="宋体"/>
          <w:color w:val="auto"/>
          <w:sz w:val="21"/>
          <w:szCs w:val="21"/>
          <w:lang w:bidi="zh-CN"/>
        </w:rPr>
      </w:pPr>
      <w:r>
        <w:rPr>
          <w:rFonts w:hint="eastAsia" w:ascii="宋体" w:hAnsi="宋体" w:eastAsia="宋体" w:cs="宋体"/>
          <w:color w:val="auto"/>
          <w:sz w:val="21"/>
          <w:szCs w:val="21"/>
          <w:lang w:bidi="zh-CN"/>
        </w:rPr>
        <w:t>a）产品名称、类型和执行标准；</w:t>
      </w:r>
    </w:p>
    <w:p w14:paraId="2A0661A7">
      <w:pPr>
        <w:tabs>
          <w:tab w:val="left" w:pos="2836"/>
        </w:tabs>
        <w:spacing w:afterLines="0" w:line="240" w:lineRule="auto"/>
        <w:ind w:firstLine="283" w:firstLineChars="135"/>
        <w:rPr>
          <w:rFonts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b）产品数量、生产批号或生产日期； </w:t>
      </w:r>
    </w:p>
    <w:p w14:paraId="74B57022">
      <w:pPr>
        <w:tabs>
          <w:tab w:val="left" w:pos="2836"/>
        </w:tabs>
        <w:spacing w:afterLines="0" w:line="240" w:lineRule="auto"/>
        <w:ind w:firstLine="283" w:firstLineChars="135"/>
        <w:rPr>
          <w:rFonts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c）有防晒、防潮等文字或标识； </w:t>
      </w:r>
    </w:p>
    <w:p w14:paraId="797DC6B5">
      <w:pPr>
        <w:tabs>
          <w:tab w:val="left" w:pos="2836"/>
        </w:tabs>
        <w:spacing w:afterLines="0" w:line="240" w:lineRule="auto"/>
        <w:ind w:firstLine="283" w:firstLineChars="135"/>
        <w:rPr>
          <w:rFonts w:ascii="宋体" w:hAnsi="宋体" w:eastAsia="宋体" w:cs="宋体"/>
          <w:color w:val="auto"/>
          <w:sz w:val="21"/>
          <w:szCs w:val="21"/>
          <w:lang w:bidi="zh-CN"/>
        </w:rPr>
      </w:pPr>
      <w:r>
        <w:rPr>
          <w:rFonts w:hint="eastAsia" w:ascii="宋体" w:hAnsi="宋体" w:eastAsia="宋体" w:cs="宋体"/>
          <w:color w:val="auto"/>
          <w:sz w:val="21"/>
          <w:szCs w:val="21"/>
          <w:lang w:bidi="zh-CN"/>
        </w:rPr>
        <w:t>d）生产商名称、地址和联系电话。</w:t>
      </w:r>
    </w:p>
    <w:p w14:paraId="445DC8C3">
      <w:pPr>
        <w:tabs>
          <w:tab w:val="left" w:pos="2836"/>
        </w:tabs>
        <w:spacing w:afterLines="0" w:line="240" w:lineRule="auto"/>
        <w:outlineLvl w:val="1"/>
        <w:rPr>
          <w:rFonts w:ascii="黑体" w:hAnsi="黑体" w:eastAsia="黑体" w:cs="黑体"/>
          <w:color w:val="auto"/>
          <w:sz w:val="21"/>
          <w:szCs w:val="21"/>
        </w:rPr>
      </w:pPr>
    </w:p>
    <w:p w14:paraId="48217EFF">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8.2  包装</w:t>
      </w:r>
    </w:p>
    <w:p w14:paraId="548942AE">
      <w:pPr>
        <w:tabs>
          <w:tab w:val="left" w:pos="2836"/>
        </w:tabs>
        <w:spacing w:afterLines="0" w:line="240" w:lineRule="auto"/>
        <w:ind w:firstLine="424" w:firstLineChars="202"/>
        <w:rPr>
          <w:rFonts w:ascii="宋体" w:hAnsi="宋体" w:eastAsia="宋体" w:cs="宋体"/>
          <w:color w:val="auto"/>
          <w:sz w:val="21"/>
          <w:szCs w:val="21"/>
          <w:lang w:bidi="zh-CN"/>
        </w:rPr>
      </w:pPr>
    </w:p>
    <w:p w14:paraId="178EBC53">
      <w:pPr>
        <w:tabs>
          <w:tab w:val="left" w:pos="2836"/>
        </w:tabs>
        <w:spacing w:afterLines="0" w:line="240" w:lineRule="auto"/>
        <w:ind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散装混合脂肪酸产品一般采用槽车运输，包装混合脂肪酸产品一般用塑料桶。</w:t>
      </w:r>
    </w:p>
    <w:p w14:paraId="327B62CB">
      <w:pPr>
        <w:tabs>
          <w:tab w:val="left" w:pos="2836"/>
        </w:tabs>
        <w:spacing w:afterLines="0" w:line="240" w:lineRule="auto"/>
        <w:ind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收货单位有特殊要求时，由供需双方协商解决。</w:t>
      </w:r>
    </w:p>
    <w:p w14:paraId="6750ECF8">
      <w:pPr>
        <w:tabs>
          <w:tab w:val="left" w:pos="2836"/>
        </w:tabs>
        <w:spacing w:afterLines="0" w:line="240" w:lineRule="auto"/>
        <w:ind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各种包装物应无破损，清洁无污染，包装后应封口良好。</w:t>
      </w:r>
    </w:p>
    <w:p w14:paraId="21CBA1A9">
      <w:pPr>
        <w:tabs>
          <w:tab w:val="left" w:pos="2836"/>
        </w:tabs>
        <w:spacing w:afterLines="0" w:line="240" w:lineRule="auto"/>
        <w:outlineLvl w:val="1"/>
        <w:rPr>
          <w:rFonts w:ascii="黑体" w:hAnsi="黑体" w:eastAsia="黑体" w:cs="黑体"/>
          <w:color w:val="auto"/>
          <w:sz w:val="21"/>
          <w:szCs w:val="21"/>
        </w:rPr>
      </w:pPr>
    </w:p>
    <w:p w14:paraId="3FB7E239">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8.3  运输</w:t>
      </w:r>
    </w:p>
    <w:p w14:paraId="1CED5DF3">
      <w:pPr>
        <w:tabs>
          <w:tab w:val="left" w:pos="2836"/>
        </w:tabs>
        <w:spacing w:afterLines="0" w:line="240" w:lineRule="auto"/>
        <w:ind w:firstLine="424" w:firstLineChars="202"/>
        <w:rPr>
          <w:rFonts w:ascii="宋体" w:hAnsi="宋体" w:eastAsia="宋体" w:cs="宋体"/>
          <w:color w:val="auto"/>
          <w:sz w:val="21"/>
          <w:szCs w:val="21"/>
          <w:lang w:bidi="zh-CN"/>
        </w:rPr>
      </w:pPr>
    </w:p>
    <w:p w14:paraId="3F60DDA4">
      <w:pPr>
        <w:tabs>
          <w:tab w:val="left" w:pos="2836"/>
        </w:tabs>
        <w:spacing w:afterLines="0" w:line="240" w:lineRule="auto"/>
        <w:ind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运输时应避免阳光直射，防雨防潮，轻装</w:t>
      </w:r>
      <w:r>
        <w:rPr>
          <w:rFonts w:hint="eastAsia" w:ascii="宋体" w:hAnsi="宋体" w:eastAsia="宋体" w:cs="宋体"/>
          <w:color w:val="auto"/>
          <w:sz w:val="21"/>
          <w:szCs w:val="21"/>
        </w:rPr>
        <w:t>轻卸</w:t>
      </w:r>
      <w:r>
        <w:rPr>
          <w:rFonts w:hint="eastAsia" w:ascii="宋体" w:hAnsi="宋体" w:eastAsia="宋体" w:cs="宋体"/>
          <w:color w:val="auto"/>
          <w:sz w:val="21"/>
          <w:szCs w:val="21"/>
          <w:lang w:bidi="zh-CN"/>
        </w:rPr>
        <w:t>，</w:t>
      </w:r>
      <w:r>
        <w:rPr>
          <w:rFonts w:hint="eastAsia" w:ascii="宋体" w:hAnsi="宋体" w:eastAsia="宋体" w:cs="宋体"/>
          <w:color w:val="auto"/>
          <w:sz w:val="21"/>
          <w:szCs w:val="21"/>
        </w:rPr>
        <w:t>避免剧烈振动</w:t>
      </w:r>
      <w:r>
        <w:rPr>
          <w:rFonts w:hint="eastAsia" w:ascii="宋体" w:hAnsi="宋体" w:eastAsia="宋体" w:cs="宋体"/>
          <w:color w:val="auto"/>
          <w:sz w:val="21"/>
          <w:szCs w:val="21"/>
          <w:lang w:bidi="zh-CN"/>
        </w:rPr>
        <w:t>、损坏包装。</w:t>
      </w:r>
    </w:p>
    <w:p w14:paraId="094FF876">
      <w:pPr>
        <w:tabs>
          <w:tab w:val="left" w:pos="2836"/>
        </w:tabs>
        <w:spacing w:afterLines="0" w:line="240" w:lineRule="auto"/>
        <w:outlineLvl w:val="1"/>
        <w:rPr>
          <w:rFonts w:ascii="黑体" w:hAnsi="黑体" w:eastAsia="黑体" w:cs="黑体"/>
          <w:color w:val="auto"/>
          <w:sz w:val="21"/>
          <w:szCs w:val="21"/>
        </w:rPr>
      </w:pPr>
    </w:p>
    <w:p w14:paraId="6C86D822">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8.4  贮存</w:t>
      </w:r>
    </w:p>
    <w:p w14:paraId="3F1A845E">
      <w:pPr>
        <w:tabs>
          <w:tab w:val="left" w:pos="2836"/>
        </w:tabs>
        <w:spacing w:afterLines="0" w:line="240" w:lineRule="auto"/>
        <w:rPr>
          <w:rFonts w:ascii="宋体" w:hAnsi="宋体" w:eastAsia="宋体" w:cs="宋体"/>
          <w:color w:val="auto"/>
          <w:sz w:val="21"/>
          <w:szCs w:val="21"/>
          <w:lang w:bidi="zh-CN"/>
        </w:rPr>
      </w:pPr>
    </w:p>
    <w:p w14:paraId="2AF9D674">
      <w:pPr>
        <w:tabs>
          <w:tab w:val="left" w:pos="2836"/>
        </w:tabs>
        <w:spacing w:afterLines="0" w:line="240" w:lineRule="auto"/>
        <w:ind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产品应贮存于通风条件良好的仓库，注意防晒防潮，远离热源，垛高以不超过支撑物的最大载荷为限。</w:t>
      </w:r>
    </w:p>
    <w:p w14:paraId="38508DD6">
      <w:pPr>
        <w:tabs>
          <w:tab w:val="left" w:pos="2836"/>
        </w:tabs>
        <w:spacing w:afterLines="0" w:line="240" w:lineRule="auto"/>
        <w:outlineLvl w:val="0"/>
        <w:rPr>
          <w:rFonts w:ascii="黑体" w:hAnsi="黑体" w:eastAsia="黑体" w:cs="黑体"/>
          <w:color w:val="auto"/>
          <w:sz w:val="21"/>
          <w:szCs w:val="21"/>
        </w:rPr>
      </w:pPr>
    </w:p>
    <w:p w14:paraId="41D9D837">
      <w:pPr>
        <w:tabs>
          <w:tab w:val="left" w:pos="2836"/>
        </w:tabs>
        <w:spacing w:afterLines="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9  安全</w:t>
      </w:r>
    </w:p>
    <w:p w14:paraId="1F877CE2">
      <w:pPr>
        <w:tabs>
          <w:tab w:val="left" w:pos="2836"/>
        </w:tabs>
        <w:spacing w:afterLines="0" w:line="240" w:lineRule="auto"/>
        <w:outlineLvl w:val="1"/>
        <w:rPr>
          <w:rFonts w:ascii="黑体" w:hAnsi="黑体" w:eastAsia="黑体" w:cs="黑体"/>
          <w:color w:val="auto"/>
          <w:sz w:val="21"/>
          <w:szCs w:val="21"/>
        </w:rPr>
      </w:pPr>
    </w:p>
    <w:p w14:paraId="036B5682">
      <w:pPr>
        <w:tabs>
          <w:tab w:val="left" w:pos="2836"/>
        </w:tabs>
        <w:spacing w:afterLines="0" w:line="240" w:lineRule="auto"/>
        <w:ind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保持容器密闭。贮存在干燥通风阴凉处。存放在惰性气体环境中，远离不相容的材料比如氧化剂。使用中小心搬运/储存。</w:t>
      </w:r>
    </w:p>
    <w:p w14:paraId="5298E0B1">
      <w:pPr>
        <w:pBdr>
          <w:bottom w:val="single" w:color="auto" w:sz="6" w:space="1"/>
        </w:pBdr>
        <w:tabs>
          <w:tab w:val="left" w:pos="9000"/>
        </w:tabs>
        <w:autoSpaceDE w:val="0"/>
        <w:autoSpaceDN w:val="0"/>
        <w:spacing w:after="62" w:line="360" w:lineRule="atLeast"/>
        <w:ind w:left="3360" w:right="3467"/>
        <w:textAlignment w:val="bottom"/>
        <w:rPr>
          <w:rFonts w:ascii="宋体" w:hAnsi="宋体"/>
          <w:color w:val="auto"/>
          <w:sz w:val="21"/>
        </w:rPr>
      </w:pPr>
    </w:p>
    <w:p w14:paraId="36EC5039">
      <w:pPr>
        <w:tabs>
          <w:tab w:val="left" w:pos="2836"/>
        </w:tabs>
        <w:spacing w:afterLines="0" w:line="240" w:lineRule="auto"/>
        <w:rPr>
          <w:rFonts w:ascii="宋体" w:hAnsi="宋体" w:eastAsia="宋体" w:cs="宋体"/>
          <w:color w:val="auto"/>
          <w:sz w:val="21"/>
          <w:szCs w:val="21"/>
          <w:lang w:bidi="zh-CN"/>
        </w:rPr>
      </w:pPr>
    </w:p>
    <w:bookmarkEnd w:id="3"/>
    <w:sectPr>
      <w:type w:val="evenPage"/>
      <w:pgSz w:w="11906" w:h="16838"/>
      <w:pgMar w:top="1911" w:right="1134" w:bottom="1134" w:left="1417" w:header="1417" w:footer="113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9CF3">
    <w:pPr>
      <w:pStyle w:val="4"/>
      <w:spacing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62C6">
    <w:pPr>
      <w:pStyle w:val="4"/>
      <w:spacing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9B6A">
    <w:pPr>
      <w:pStyle w:val="4"/>
      <w:spacing w:after="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4B92">
    <w:pPr>
      <w:pStyle w:val="4"/>
      <w:spacing w:after="48"/>
      <w:jc w:val="right"/>
    </w:pPr>
    <w: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0D340DD5">
                <w:pPr>
                  <w:pStyle w:val="4"/>
                  <w:spacing w:after="48"/>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2379">
    <w:pPr>
      <w:pStyle w:val="4"/>
      <w:spacing w:after="48"/>
    </w:pPr>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57FE79BA">
                <w:pPr>
                  <w:pStyle w:val="4"/>
                  <w:spacing w:after="4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2900">
    <w:pPr>
      <w:pStyle w:val="4"/>
      <w:tabs>
        <w:tab w:val="center" w:pos="4819"/>
        <w:tab w:val="right" w:pos="9759"/>
      </w:tabs>
      <w:spacing w:after="48"/>
      <w:jc w:val="both"/>
    </w:pPr>
    <w:r>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path/>
          <v:fill on="f" focussize="0,0"/>
          <v:stroke on="f" weight="0.5pt" joinstyle="miter"/>
          <v:imagedata o:title=""/>
          <o:lock v:ext="edit"/>
          <v:textbox inset="0mm,0mm,0mm,0mm" style="mso-fit-shape-to-text:t;">
            <w:txbxContent>
              <w:p w14:paraId="350C68B6">
                <w:pPr>
                  <w:pStyle w:val="4"/>
                  <w:spacing w:after="48"/>
                </w:pPr>
                <w:r>
                  <w:fldChar w:fldCharType="begin"/>
                </w:r>
                <w:r>
                  <w:instrText xml:space="preserve"> PAGE  \* MERGEFORMAT </w:instrText>
                </w:r>
                <w:r>
                  <w:fldChar w:fldCharType="separate"/>
                </w:r>
                <w:r>
                  <w:t>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0474">
    <w:pPr>
      <w:pStyle w:val="4"/>
      <w:spacing w:after="48"/>
    </w:pPr>
    <w:r>
      <w:pict>
        <v:shape id="_x0000_s1025" o:spid="_x0000_s1025"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path/>
          <v:fill on="f" focussize="0,0"/>
          <v:stroke on="f" weight="0.5pt" joinstyle="miter"/>
          <v:imagedata o:title=""/>
          <o:lock v:ext="edit"/>
          <v:textbox inset="0mm,0mm,0mm,0mm" style="mso-fit-shape-to-text:t;">
            <w:txbxContent>
              <w:p w14:paraId="3A3CF523">
                <w:pPr>
                  <w:pStyle w:val="4"/>
                  <w:spacing w:after="4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BD89">
    <w:pPr>
      <w:pStyle w:val="5"/>
      <w:spacing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8A296">
    <w:pPr>
      <w:pStyle w:val="5"/>
      <w:spacing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7CAA">
    <w:pPr>
      <w:pStyle w:val="5"/>
      <w:spacing w:after="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600D5">
    <w:pPr>
      <w:pStyle w:val="5"/>
      <w:spacing w:afterLines="0" w:line="240" w:lineRule="exact"/>
      <w:jc w:val="right"/>
      <w:rPr>
        <w:rFonts w:ascii="黑体" w:hAnsi="黑体" w:eastAsia="黑体" w:cs="黑体"/>
        <w:color w:val="0000FF"/>
        <w:sz w:val="21"/>
        <w:szCs w:val="21"/>
      </w:rPr>
    </w:pPr>
  </w:p>
  <w:p w14:paraId="4C01F09B">
    <w:pPr>
      <w:pStyle w:val="5"/>
      <w:spacing w:afterLines="0" w:line="210" w:lineRule="exact"/>
      <w:jc w:val="right"/>
      <w:rPr>
        <w:rFonts w:hint="eastAsia" w:ascii="黑体" w:hAnsi="黑体" w:eastAsia="黑体" w:cs="黑体"/>
        <w:color w:val="auto"/>
        <w:sz w:val="21"/>
        <w:szCs w:val="21"/>
        <w:lang w:eastAsia="zh-CN"/>
      </w:rPr>
    </w:pPr>
    <w:r>
      <w:rPr>
        <w:rFonts w:hint="eastAsia" w:ascii="黑体" w:hAnsi="黑体" w:eastAsia="黑体" w:cs="黑体"/>
        <w:color w:val="auto"/>
        <w:sz w:val="21"/>
        <w:szCs w:val="21"/>
      </w:rPr>
      <w:t>T/ZGXX</w:t>
    </w:r>
    <w:r>
      <w:rPr>
        <w:rFonts w:hint="eastAsia" w:ascii="黑体" w:hAnsi="黑体" w:eastAsia="黑体" w:cs="黑体"/>
        <w:color w:val="auto"/>
        <w:sz w:val="21"/>
        <w:szCs w:val="21"/>
        <w:lang w:val="en-US" w:eastAsia="zh-CN"/>
      </w:rPr>
      <w:t>xxxx</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3713">
    <w:pPr>
      <w:pStyle w:val="5"/>
      <w:spacing w:afterLines="0" w:line="240" w:lineRule="exact"/>
      <w:rPr>
        <w:rFonts w:ascii="黑体" w:hAnsi="黑体" w:eastAsia="黑体" w:cs="黑体"/>
        <w:sz w:val="21"/>
        <w:szCs w:val="21"/>
      </w:rPr>
    </w:pPr>
  </w:p>
  <w:p w14:paraId="7827A8F9">
    <w:pPr>
      <w:pStyle w:val="5"/>
      <w:spacing w:afterLines="0" w:line="210" w:lineRule="exact"/>
      <w:jc w:val="left"/>
      <w:rPr>
        <w:rFonts w:ascii="黑体" w:hAnsi="黑体" w:eastAsia="黑体" w:cs="黑体"/>
        <w:sz w:val="21"/>
        <w:szCs w:val="21"/>
      </w:rPr>
    </w:pPr>
    <w:r>
      <w:rPr>
        <w:rFonts w:hint="eastAsia" w:ascii="黑体" w:hAnsi="黑体" w:eastAsia="黑体" w:cs="黑体"/>
        <w:sz w:val="21"/>
        <w:szCs w:val="21"/>
      </w:rPr>
      <w:t>T/ZGXX 0014-2024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0559">
    <w:pPr>
      <w:pStyle w:val="5"/>
      <w:spacing w:afterLines="0" w:line="240" w:lineRule="exact"/>
      <w:jc w:val="right"/>
      <w:rPr>
        <w:rFonts w:ascii="黑体" w:hAnsi="黑体" w:eastAsia="黑体" w:cs="黑体"/>
        <w:color w:val="0000FF"/>
        <w:sz w:val="21"/>
        <w:szCs w:val="21"/>
      </w:rPr>
    </w:pPr>
  </w:p>
  <w:p w14:paraId="252E4CEF">
    <w:pPr>
      <w:pStyle w:val="5"/>
      <w:spacing w:afterLines="0" w:line="210" w:lineRule="exact"/>
      <w:jc w:val="right"/>
      <w:rPr>
        <w:rFonts w:hint="eastAsia" w:ascii="黑体" w:hAnsi="黑体" w:eastAsia="黑体" w:cs="黑体"/>
        <w:sz w:val="21"/>
        <w:szCs w:val="21"/>
        <w:lang w:eastAsia="zh-CN"/>
      </w:rPr>
    </w:pPr>
    <w:r>
      <w:rPr>
        <w:rFonts w:hint="eastAsia" w:ascii="黑体" w:hAnsi="黑体" w:eastAsia="黑体" w:cs="黑体"/>
        <w:sz w:val="21"/>
        <w:szCs w:val="21"/>
      </w:rPr>
      <w:t xml:space="preserve">T/ZGXX </w:t>
    </w:r>
    <w:r>
      <w:rPr>
        <w:rFonts w:hint="eastAsia" w:ascii="黑体" w:hAnsi="黑体" w:eastAsia="黑体" w:cs="黑体"/>
        <w:sz w:val="21"/>
        <w:szCs w:val="21"/>
        <w:lang w:val="en-US" w:eastAsia="zh-CN"/>
      </w:rPr>
      <w:t>xxxx</w:t>
    </w:r>
    <w:r>
      <w:rPr>
        <w:rFonts w:hint="eastAsia" w:ascii="黑体" w:hAnsi="黑体" w:eastAsia="黑体" w:cs="黑体"/>
        <w:sz w:val="21"/>
        <w:szCs w:val="21"/>
      </w:rPr>
      <w:t>-</w:t>
    </w:r>
    <w:r>
      <w:rPr>
        <w:rFonts w:hint="eastAsia" w:ascii="黑体" w:hAnsi="黑体" w:eastAsia="黑体" w:cs="黑体"/>
        <w:sz w:val="21"/>
        <w:szCs w:val="21"/>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6976E"/>
    <w:multiLevelType w:val="singleLevel"/>
    <w:tmpl w:val="8616976E"/>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I5NDFmODdiMjYzYzYwNzliNjgzYzhjODQ0NzI5YmMifQ=="/>
  </w:docVars>
  <w:rsids>
    <w:rsidRoot w:val="40C71145"/>
    <w:rsid w:val="00024285"/>
    <w:rsid w:val="000379AD"/>
    <w:rsid w:val="00040492"/>
    <w:rsid w:val="0009514D"/>
    <w:rsid w:val="000B4304"/>
    <w:rsid w:val="000F05B0"/>
    <w:rsid w:val="00132E98"/>
    <w:rsid w:val="00134B17"/>
    <w:rsid w:val="001B177D"/>
    <w:rsid w:val="001D3F19"/>
    <w:rsid w:val="00213F79"/>
    <w:rsid w:val="002545FD"/>
    <w:rsid w:val="00270784"/>
    <w:rsid w:val="00273479"/>
    <w:rsid w:val="002958D0"/>
    <w:rsid w:val="002B2140"/>
    <w:rsid w:val="002E2E6B"/>
    <w:rsid w:val="003033F8"/>
    <w:rsid w:val="003142BA"/>
    <w:rsid w:val="00345700"/>
    <w:rsid w:val="0036208D"/>
    <w:rsid w:val="003744B0"/>
    <w:rsid w:val="0038753E"/>
    <w:rsid w:val="003B33B6"/>
    <w:rsid w:val="00425019"/>
    <w:rsid w:val="004311B9"/>
    <w:rsid w:val="004A0728"/>
    <w:rsid w:val="004E79FA"/>
    <w:rsid w:val="005000DC"/>
    <w:rsid w:val="0050740B"/>
    <w:rsid w:val="005166ED"/>
    <w:rsid w:val="00520429"/>
    <w:rsid w:val="005221D4"/>
    <w:rsid w:val="00535434"/>
    <w:rsid w:val="00565507"/>
    <w:rsid w:val="0058384B"/>
    <w:rsid w:val="005A26A4"/>
    <w:rsid w:val="005C1A3E"/>
    <w:rsid w:val="0062775D"/>
    <w:rsid w:val="006337D9"/>
    <w:rsid w:val="00642F18"/>
    <w:rsid w:val="0065521B"/>
    <w:rsid w:val="00660563"/>
    <w:rsid w:val="006A536C"/>
    <w:rsid w:val="006B0F38"/>
    <w:rsid w:val="006B6459"/>
    <w:rsid w:val="006B701B"/>
    <w:rsid w:val="006D6112"/>
    <w:rsid w:val="006F072B"/>
    <w:rsid w:val="00711992"/>
    <w:rsid w:val="00754AC7"/>
    <w:rsid w:val="00776B86"/>
    <w:rsid w:val="007C1E8F"/>
    <w:rsid w:val="007D2854"/>
    <w:rsid w:val="007D32BC"/>
    <w:rsid w:val="00821382"/>
    <w:rsid w:val="008222C3"/>
    <w:rsid w:val="00856C8B"/>
    <w:rsid w:val="00885888"/>
    <w:rsid w:val="008E3018"/>
    <w:rsid w:val="009028C5"/>
    <w:rsid w:val="00905E12"/>
    <w:rsid w:val="009300C3"/>
    <w:rsid w:val="009302E5"/>
    <w:rsid w:val="00952B86"/>
    <w:rsid w:val="00964C89"/>
    <w:rsid w:val="00982D3F"/>
    <w:rsid w:val="009B1BD7"/>
    <w:rsid w:val="009C2ACF"/>
    <w:rsid w:val="009C5E13"/>
    <w:rsid w:val="00A037AE"/>
    <w:rsid w:val="00A602E5"/>
    <w:rsid w:val="00A60485"/>
    <w:rsid w:val="00A80BC8"/>
    <w:rsid w:val="00A90ECA"/>
    <w:rsid w:val="00AD07BD"/>
    <w:rsid w:val="00B22347"/>
    <w:rsid w:val="00B41D3C"/>
    <w:rsid w:val="00B51D71"/>
    <w:rsid w:val="00B67538"/>
    <w:rsid w:val="00B813AC"/>
    <w:rsid w:val="00C503DB"/>
    <w:rsid w:val="00CA7153"/>
    <w:rsid w:val="00CB4DB3"/>
    <w:rsid w:val="00CC4530"/>
    <w:rsid w:val="00CF07DF"/>
    <w:rsid w:val="00CF0D47"/>
    <w:rsid w:val="00CF6FF3"/>
    <w:rsid w:val="00D003A5"/>
    <w:rsid w:val="00D30221"/>
    <w:rsid w:val="00D44C93"/>
    <w:rsid w:val="00D853C0"/>
    <w:rsid w:val="00DA6EB4"/>
    <w:rsid w:val="00DD0A30"/>
    <w:rsid w:val="00DE2728"/>
    <w:rsid w:val="00DE2D2B"/>
    <w:rsid w:val="00E056F3"/>
    <w:rsid w:val="00E05E07"/>
    <w:rsid w:val="00E35BAB"/>
    <w:rsid w:val="00E7041C"/>
    <w:rsid w:val="00EB57AE"/>
    <w:rsid w:val="00EB5B47"/>
    <w:rsid w:val="00ED339F"/>
    <w:rsid w:val="00ED74C2"/>
    <w:rsid w:val="00F42276"/>
    <w:rsid w:val="00F455D1"/>
    <w:rsid w:val="00FA0728"/>
    <w:rsid w:val="01260D04"/>
    <w:rsid w:val="02A447C8"/>
    <w:rsid w:val="03AA75B4"/>
    <w:rsid w:val="04611EA2"/>
    <w:rsid w:val="0488627D"/>
    <w:rsid w:val="055D1BD1"/>
    <w:rsid w:val="05BB6053"/>
    <w:rsid w:val="074779EA"/>
    <w:rsid w:val="08EB30F3"/>
    <w:rsid w:val="0A570314"/>
    <w:rsid w:val="0AA577EE"/>
    <w:rsid w:val="0B1A1A6E"/>
    <w:rsid w:val="0BC14D46"/>
    <w:rsid w:val="0C321039"/>
    <w:rsid w:val="0C6D53B9"/>
    <w:rsid w:val="0D266285"/>
    <w:rsid w:val="0D6A77AA"/>
    <w:rsid w:val="0E3A353A"/>
    <w:rsid w:val="0E600FB5"/>
    <w:rsid w:val="0E6963D9"/>
    <w:rsid w:val="0E8B67DF"/>
    <w:rsid w:val="0ED45D77"/>
    <w:rsid w:val="0FB04F43"/>
    <w:rsid w:val="0FF84BE0"/>
    <w:rsid w:val="1045133B"/>
    <w:rsid w:val="10A90013"/>
    <w:rsid w:val="114E5DA6"/>
    <w:rsid w:val="12BB39D9"/>
    <w:rsid w:val="130C4392"/>
    <w:rsid w:val="136F4C00"/>
    <w:rsid w:val="149A5869"/>
    <w:rsid w:val="15FB2D26"/>
    <w:rsid w:val="1602382A"/>
    <w:rsid w:val="16297009"/>
    <w:rsid w:val="164D05F6"/>
    <w:rsid w:val="16AF73CD"/>
    <w:rsid w:val="17B46632"/>
    <w:rsid w:val="18CC42D3"/>
    <w:rsid w:val="196071E6"/>
    <w:rsid w:val="1977233A"/>
    <w:rsid w:val="1B4A1D80"/>
    <w:rsid w:val="1BA840B6"/>
    <w:rsid w:val="1CD35FDC"/>
    <w:rsid w:val="1FB1508D"/>
    <w:rsid w:val="20146634"/>
    <w:rsid w:val="211034FB"/>
    <w:rsid w:val="21A61883"/>
    <w:rsid w:val="22B83BEE"/>
    <w:rsid w:val="236C7DA5"/>
    <w:rsid w:val="23EF3C98"/>
    <w:rsid w:val="240115C5"/>
    <w:rsid w:val="250E5D48"/>
    <w:rsid w:val="25353412"/>
    <w:rsid w:val="255D3FB8"/>
    <w:rsid w:val="25A91F14"/>
    <w:rsid w:val="25CE1127"/>
    <w:rsid w:val="290300B6"/>
    <w:rsid w:val="296932B3"/>
    <w:rsid w:val="299C6AD1"/>
    <w:rsid w:val="2A3D2C2B"/>
    <w:rsid w:val="2A604C5C"/>
    <w:rsid w:val="2AAD51F3"/>
    <w:rsid w:val="2B714A04"/>
    <w:rsid w:val="2BCA04EF"/>
    <w:rsid w:val="2E093BA2"/>
    <w:rsid w:val="2E167B48"/>
    <w:rsid w:val="2E4C78E1"/>
    <w:rsid w:val="2F1200EA"/>
    <w:rsid w:val="2FA90AB6"/>
    <w:rsid w:val="32B24E5A"/>
    <w:rsid w:val="334A0ACA"/>
    <w:rsid w:val="34EB38E9"/>
    <w:rsid w:val="35152E25"/>
    <w:rsid w:val="35DB18E9"/>
    <w:rsid w:val="35FC1BEC"/>
    <w:rsid w:val="361F1251"/>
    <w:rsid w:val="37BA3B0D"/>
    <w:rsid w:val="37E22DB7"/>
    <w:rsid w:val="3889360C"/>
    <w:rsid w:val="3A851046"/>
    <w:rsid w:val="3B295232"/>
    <w:rsid w:val="3B7523A9"/>
    <w:rsid w:val="3C431E7C"/>
    <w:rsid w:val="3D35037E"/>
    <w:rsid w:val="3DB1150E"/>
    <w:rsid w:val="3DE22EEA"/>
    <w:rsid w:val="3F2676AB"/>
    <w:rsid w:val="404401FF"/>
    <w:rsid w:val="40C71145"/>
    <w:rsid w:val="41367B0D"/>
    <w:rsid w:val="41534621"/>
    <w:rsid w:val="42221084"/>
    <w:rsid w:val="43395887"/>
    <w:rsid w:val="43657023"/>
    <w:rsid w:val="461B50D6"/>
    <w:rsid w:val="461C4D2D"/>
    <w:rsid w:val="46407E97"/>
    <w:rsid w:val="473F7B8B"/>
    <w:rsid w:val="474E1808"/>
    <w:rsid w:val="47F74D65"/>
    <w:rsid w:val="483E7E42"/>
    <w:rsid w:val="485061D5"/>
    <w:rsid w:val="48E823BC"/>
    <w:rsid w:val="4AF62C56"/>
    <w:rsid w:val="4B86222C"/>
    <w:rsid w:val="4BE52D9F"/>
    <w:rsid w:val="4C356AD1"/>
    <w:rsid w:val="4DAD3AA0"/>
    <w:rsid w:val="4DFB49EB"/>
    <w:rsid w:val="4F7737F6"/>
    <w:rsid w:val="4FA61ABB"/>
    <w:rsid w:val="4FCB2904"/>
    <w:rsid w:val="4FE35C7F"/>
    <w:rsid w:val="50566A28"/>
    <w:rsid w:val="50FB46E1"/>
    <w:rsid w:val="51F21D52"/>
    <w:rsid w:val="52CF2E74"/>
    <w:rsid w:val="52D23FA9"/>
    <w:rsid w:val="5367649F"/>
    <w:rsid w:val="5572737D"/>
    <w:rsid w:val="559649FC"/>
    <w:rsid w:val="55B9582F"/>
    <w:rsid w:val="55E07F63"/>
    <w:rsid w:val="57357943"/>
    <w:rsid w:val="573F0161"/>
    <w:rsid w:val="576F4F87"/>
    <w:rsid w:val="57C73FC1"/>
    <w:rsid w:val="58AE2DC2"/>
    <w:rsid w:val="5B853C1A"/>
    <w:rsid w:val="5BDE5F4A"/>
    <w:rsid w:val="5C9E5F0C"/>
    <w:rsid w:val="5D303AEF"/>
    <w:rsid w:val="5F0458F2"/>
    <w:rsid w:val="5F7B199C"/>
    <w:rsid w:val="5FBC5266"/>
    <w:rsid w:val="60161979"/>
    <w:rsid w:val="603A58E1"/>
    <w:rsid w:val="61BE5DFC"/>
    <w:rsid w:val="62284D0B"/>
    <w:rsid w:val="624B7922"/>
    <w:rsid w:val="646B11B9"/>
    <w:rsid w:val="64B25D57"/>
    <w:rsid w:val="64EB5989"/>
    <w:rsid w:val="689374BC"/>
    <w:rsid w:val="68E63EB3"/>
    <w:rsid w:val="69A441C8"/>
    <w:rsid w:val="6C5129C0"/>
    <w:rsid w:val="6D844F21"/>
    <w:rsid w:val="6F373EDF"/>
    <w:rsid w:val="6F8C7562"/>
    <w:rsid w:val="6FA10EE2"/>
    <w:rsid w:val="6FAD3FB9"/>
    <w:rsid w:val="704E7BA6"/>
    <w:rsid w:val="70F31F92"/>
    <w:rsid w:val="714F0C4E"/>
    <w:rsid w:val="720F447A"/>
    <w:rsid w:val="741A1ADB"/>
    <w:rsid w:val="749C4384"/>
    <w:rsid w:val="74DA2B1D"/>
    <w:rsid w:val="785F6C9D"/>
    <w:rsid w:val="786C7B9A"/>
    <w:rsid w:val="78E75809"/>
    <w:rsid w:val="79B72CFC"/>
    <w:rsid w:val="79EA2F35"/>
    <w:rsid w:val="7A21799A"/>
    <w:rsid w:val="7BE0107D"/>
    <w:rsid w:val="7CA141F2"/>
    <w:rsid w:val="7F3C730A"/>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Lines="20" w:line="288" w:lineRule="auto"/>
    </w:pPr>
    <w:rPr>
      <w:rFonts w:cs="Times New Roman" w:asciiTheme="minorHAnsi" w:hAnsiTheme="minorHAnsi"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81" w:after="62" w:line="190" w:lineRule="auto"/>
      <w:ind w:left="6237" w:hanging="7157"/>
      <w:jc w:val="right"/>
    </w:pPr>
    <w:rPr>
      <w:rFonts w:ascii="宋体" w:hAnsi="宋体" w:eastAsia="宋体" w:cs="宋体"/>
      <w:sz w:val="28"/>
      <w:szCs w:val="28"/>
      <w:lang w:val="zh-CN" w:bidi="zh-CN"/>
    </w:rPr>
  </w:style>
  <w:style w:type="paragraph" w:styleId="3">
    <w:name w:val="Balloon Text"/>
    <w:basedOn w:val="1"/>
    <w:link w:val="11"/>
    <w:qFormat/>
    <w:uiPriority w:val="0"/>
    <w:pPr>
      <w:spacing w:line="240" w:lineRule="auto"/>
    </w:pPr>
    <w:rPr>
      <w:sz w:val="18"/>
      <w:szCs w:val="18"/>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99"/>
    <w:pPr>
      <w:ind w:firstLine="420" w:firstLineChars="200"/>
    </w:pPr>
  </w:style>
  <w:style w:type="paragraph" w:customStyle="1" w:styleId="10">
    <w:name w:val="段"/>
    <w:autoRedefine/>
    <w:qFormat/>
    <w:uiPriority w:val="0"/>
    <w:pPr>
      <w:tabs>
        <w:tab w:val="center" w:pos="4201"/>
        <w:tab w:val="right" w:leader="dot" w:pos="9298"/>
      </w:tabs>
      <w:autoSpaceDE w:val="0"/>
      <w:autoSpaceDN w:val="0"/>
      <w:spacing w:after="160" w:line="259" w:lineRule="auto"/>
      <w:ind w:firstLine="420" w:firstLineChars="200"/>
      <w:jc w:val="both"/>
    </w:pPr>
    <w:rPr>
      <w:rFonts w:ascii="宋体" w:hAnsi="Times New Roman" w:eastAsia="宋体" w:cs="Times New Roman"/>
      <w:sz w:val="21"/>
      <w:lang w:val="en-US" w:eastAsia="zh-CN" w:bidi="ar-SA"/>
    </w:rPr>
  </w:style>
  <w:style w:type="character" w:customStyle="1" w:styleId="11">
    <w:name w:val="批注框文本 Char"/>
    <w:basedOn w:val="8"/>
    <w:link w:val="3"/>
    <w:qFormat/>
    <w:uiPriority w:val="0"/>
    <w:rPr>
      <w:rFonts w:asciiTheme="minorHAnsi" w:hAnsiTheme="minorHAnsi" w:eastAsiaTheme="minorEastAsia"/>
      <w:sz w:val="18"/>
      <w:szCs w:val="18"/>
    </w:rPr>
  </w:style>
  <w:style w:type="paragraph" w:customStyle="1" w:styleId="12">
    <w:name w:val="Revision"/>
    <w:hidden/>
    <w:unhideWhenUsed/>
    <w:qFormat/>
    <w:uiPriority w:val="99"/>
    <w:rPr>
      <w:rFonts w:cs="Times New Roman" w:asciiTheme="minorHAnsi" w:hAnsiTheme="minorHAnsi"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26"/>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4B0CA-9D2A-43EE-89FC-A34EE62D90A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1782</Words>
  <Characters>2029</Characters>
  <Lines>16</Lines>
  <Paragraphs>4</Paragraphs>
  <TotalTime>5</TotalTime>
  <ScaleCrop>false</ScaleCrop>
  <LinksUpToDate>false</LinksUpToDate>
  <CharactersWithSpaces>2193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2024-12-23T04:06:00Z</dcterms:created>
  <dc:creator>美美</dc:creator>
  <cp:lastModifiedBy>夏末末</cp:lastModifiedBy>
  <cp:lastPrinted>2025-02-26T05:46:00Z</cp:lastPrinted>
  <dcterms:modified xsi:type="dcterms:W3CDTF">2025-03-25T06:41:09Z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9C3D871F2CE8408197A2349BCCB9926E_13</vt:lpwstr>
  </property>
  <property fmtid="{D5CDD505-2E9C-101B-9397-08002B2CF9AE}" pid="4" name="KSOTemplateDocerSaveRecord">
    <vt:lpwstr>eyJoZGlkIjoiNmIzMWM0YjgwMDM1OTlmMjBiYTI0NTBiMGFhODI0ODIiLCJ1c2VySWQiOiI0NDE3MjE1ODEifQ==</vt:lpwstr>
  </property>
</Properties>
</file>