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4BF2F">
      <w:pPr>
        <w:spacing w:afterLines="0" w:line="210" w:lineRule="exact"/>
        <w:ind w:left="1" w:firstLine="424"/>
        <w:rPr>
          <w:rFonts w:ascii="黑体" w:hAnsi="黑体" w:eastAsia="黑体" w:cs="黑体"/>
          <w:color w:val="FF0000"/>
          <w:sz w:val="21"/>
          <w:szCs w:val="21"/>
        </w:rPr>
      </w:pPr>
    </w:p>
    <w:p w14:paraId="74F4CBB3">
      <w:pPr>
        <w:spacing w:afterLines="0" w:line="210" w:lineRule="exact"/>
        <w:ind w:left="1" w:hanging="1"/>
        <w:rPr>
          <w:color w:val="auto"/>
        </w:rPr>
      </w:pPr>
      <w:r>
        <w:rPr>
          <w:rFonts w:ascii="Times New Roman" w:hAnsi="Times New Roman" w:eastAsia="宋体"/>
          <w:color w:val="auto"/>
          <w:sz w:val="84"/>
          <w:szCs w:val="84"/>
        </w:rPr>
        <w:drawing>
          <wp:anchor distT="0" distB="0" distL="114300" distR="114300" simplePos="0" relativeHeight="251659264" behindDoc="1" locked="0" layoutInCell="1" allowOverlap="1">
            <wp:simplePos x="0" y="0"/>
            <wp:positionH relativeFrom="column">
              <wp:posOffset>5031740</wp:posOffset>
            </wp:positionH>
            <wp:positionV relativeFrom="page">
              <wp:posOffset>467995</wp:posOffset>
            </wp:positionV>
            <wp:extent cx="638175" cy="797560"/>
            <wp:effectExtent l="0" t="0" r="9525" b="2540"/>
            <wp:wrapThrough wrapText="bothSides">
              <wp:wrapPolygon>
                <wp:start x="0" y="0"/>
                <wp:lineTo x="0" y="4643"/>
                <wp:lineTo x="6448" y="8255"/>
                <wp:lineTo x="6448" y="21153"/>
                <wp:lineTo x="14830" y="21153"/>
                <wp:lineTo x="16119" y="16510"/>
                <wp:lineTo x="14830" y="8255"/>
                <wp:lineTo x="21278" y="4643"/>
                <wp:lineTo x="21278" y="0"/>
                <wp:lineTo x="0" y="0"/>
              </wp:wrapPolygon>
            </wp:wrapThrough>
            <wp:docPr id="1" name="图片 1" descr="团标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团标标志"/>
                    <pic:cNvPicPr>
                      <a:picLocks noChangeAspect="1"/>
                    </pic:cNvPicPr>
                  </pic:nvPicPr>
                  <pic:blipFill>
                    <a:blip r:embed="rId18" cstate="print"/>
                    <a:stretch>
                      <a:fillRect/>
                    </a:stretch>
                  </pic:blipFill>
                  <pic:spPr>
                    <a:xfrm>
                      <a:off x="0" y="0"/>
                      <a:ext cx="638175" cy="797560"/>
                    </a:xfrm>
                    <a:prstGeom prst="rect">
                      <a:avLst/>
                    </a:prstGeom>
                  </pic:spPr>
                </pic:pic>
              </a:graphicData>
            </a:graphic>
          </wp:anchor>
        </w:drawing>
      </w:r>
      <w:r>
        <w:rPr>
          <w:rFonts w:hint="eastAsia"/>
          <w:color w:val="auto"/>
        </w:rPr>
        <w:t>ICS 71.100.40</w:t>
      </w:r>
    </w:p>
    <w:p w14:paraId="36A95925">
      <w:pPr>
        <w:spacing w:afterLines="0" w:line="210" w:lineRule="exact"/>
        <w:ind w:left="1" w:hanging="1"/>
        <w:rPr>
          <w:color w:val="auto"/>
        </w:rPr>
      </w:pPr>
      <w:r>
        <w:rPr>
          <w:rFonts w:hint="eastAsia"/>
          <w:color w:val="auto"/>
        </w:rPr>
        <w:t>CCS G73</w:t>
      </w:r>
    </w:p>
    <w:p w14:paraId="3A9C5B63">
      <w:pPr>
        <w:spacing w:afterLines="0" w:line="1134" w:lineRule="exact"/>
        <w:ind w:left="1" w:right="-149" w:firstLine="485"/>
        <w:jc w:val="right"/>
        <w:rPr>
          <w:rFonts w:ascii="黑体" w:hAnsi="黑体" w:eastAsia="黑体" w:cs="黑体"/>
        </w:rPr>
      </w:pPr>
    </w:p>
    <w:p w14:paraId="539D413B">
      <w:pPr>
        <w:spacing w:afterLines="0" w:line="276" w:lineRule="auto"/>
        <w:ind w:left="1" w:firstLine="485"/>
        <w:jc w:val="distribute"/>
        <w:rPr>
          <w:rFonts w:ascii="黑体" w:hAnsi="黑体" w:eastAsia="黑体" w:cs="黑体"/>
          <w:color w:val="0000FF"/>
          <w:highlight w:val="yellow"/>
        </w:rPr>
      </w:pPr>
    </w:p>
    <w:p w14:paraId="352C7DE8">
      <w:pPr>
        <w:spacing w:afterLines="0" w:line="276" w:lineRule="auto"/>
        <w:ind w:left="1" w:hanging="1"/>
        <w:jc w:val="distribute"/>
        <w:outlineLvl w:val="0"/>
        <w:rPr>
          <w:rFonts w:ascii="黑体" w:hAnsi="黑体" w:eastAsia="黑体" w:cs="黑体"/>
          <w:sz w:val="84"/>
          <w:szCs w:val="84"/>
        </w:rPr>
      </w:pPr>
      <w:r>
        <w:rPr>
          <w:rFonts w:hint="eastAsia" w:ascii="黑体" w:hAnsi="黑体" w:eastAsia="黑体" w:cs="黑体"/>
          <w:sz w:val="48"/>
          <w:szCs w:val="48"/>
        </w:rPr>
        <w:t>团体标准</w:t>
      </w:r>
    </w:p>
    <w:p w14:paraId="42E1D809">
      <w:pPr>
        <w:spacing w:afterLines="0" w:line="510" w:lineRule="exact"/>
        <w:ind w:left="1" w:firstLine="929"/>
        <w:jc w:val="center"/>
        <w:rPr>
          <w:rFonts w:ascii="黑体" w:hAnsi="黑体" w:eastAsia="黑体" w:cs="黑体"/>
          <w:sz w:val="46"/>
          <w:szCs w:val="46"/>
        </w:rPr>
      </w:pPr>
    </w:p>
    <w:p w14:paraId="4943663C">
      <w:pPr>
        <w:pStyle w:val="2"/>
        <w:rPr>
          <w:rFonts w:hint="eastAsia" w:ascii="黑体" w:hAnsi="黑体" w:eastAsia="宋体" w:cs="黑体"/>
          <w:color w:val="auto"/>
          <w:highlight w:val="green"/>
          <w:lang w:val="en-US" w:eastAsia="zh-CN"/>
        </w:rPr>
      </w:pPr>
      <w:r>
        <w:rPr>
          <w:color w:val="auto"/>
          <w:lang w:val="zh-CN"/>
        </w:rPr>
        <w:pict>
          <v:line id="_x0000_s2050" o:spid="_x0000_s2050" o:spt="20" style="position:absolute;left:0pt;flip:x;margin-left:1.4pt;margin-top:30.85pt;height:0pt;width:482.15pt;z-index:251659264;mso-width-relative:page;mso-height-relative:page;" coordsize="21600,21600" o:gfxdata="UEsDBAoAAAAAAIdO4kAAAAAAAAAAAAAAAAAEAAAAZHJzL1BLAwQUAAAACACHTuJA43ltO9QAAAAH&#10;AQAADwAAAGRycy9kb3ducmV2LnhtbE3OwW7CMAwG4PukvUNkJG4jDUgFuqYcKu02acAQ57QxbUfj&#10;VEkK5e2XaYftaP/W7y/fTaZnN3S+syRBLBJgSLXVHTUSTp9vLxtgPijSqreEEh7oYVc8P+Uq0/ZO&#10;B7wdQ8NiCflMSWhDGDLOfd2iUX5hB6SYXawzKsTRNVw7dY/lpufLJEm5UR3FD60asGyxvh5HI6Hj&#10;pajOrrzsH7hZhdXH4et9nKScz0TyCizgFP6O4Ycf6VBEU2VH0p71EpYRHiSkYg0sxtt0LYBVvwte&#10;5Py/v/gGUEsDBBQAAAAIAIdO4kCpj+Lj/wEAANUDAAAOAAAAZHJzL2Uyb0RvYy54bWytU82O0zAQ&#10;viPxDpbvNGmWbXejpnvYauGAoBLwAK5jJ5b8J4+3aV+CF0DiBieO3PdtWB6DsRNWZbnsgRysmcz4&#10;m/m+Ga+uDkaTvQignG3ofFZSIix3rbJdQz9+uHlxQQlEZlumnRUNPQqgV+vnz1aDr0XleqdbEQiC&#10;WKgH39A+Rl8XBfBeGAYz54XFoHTBsIhu6Io2sAHRjS6qslwUgwutD44LAPy7GYN0QgxPAXRSKi42&#10;jt8aYeOIGoRmESlBrzzQde5WSsHjOylBRKIbikxjPrEI2rt0FusVq7vAfK/41AJ7SguPOBmmLBZ9&#10;gNqwyMhtUP9AGcWDAyfjjDtTjESyIshiXj7S5n3PvMhcUGrwD6LD/4Plb/fbQFTb0IoSywwO/P7z&#10;j5+fvv66+4Ln/fdvpEoiDR5qzL222zB54LchMT7IYIjUyr/GbcoaICtyaOjlvHp5eU7JEbEXy3K+&#10;PB/VFodIOMYX8+rsrMQEjhl5EsWIllB9gPhKOEOS0VCtbBKC1Wz/BiJ2gKl/UtJv626U1nmY2pIB&#10;O6mWJc6YM9xQiZuBpvHIEmxHCdMdrj6PIUOC06pN1xMQhG53rQPZs7Qw+UtdY7m/0lLtDYN+zMuh&#10;kZxREV+HVqahF6e3tU3oIm/kxCBJOoqYrJ1rj1nbInk47Vx02sy0Tqc+2qevc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3ltO9QAAAAHAQAADwAAAAAAAAABACAAAAAiAAAAZHJzL2Rvd25yZXYu&#10;eG1sUEsBAhQAFAAAAAgAh07iQKmP4uP/AQAA1QMAAA4AAAAAAAAAAQAgAAAAIwEAAGRycy9lMm9E&#10;b2MueG1sUEsFBgAAAAAGAAYAWQEAAJQFAAAAAA==&#10;">
            <v:path arrowok="t"/>
            <v:fill focussize="0,0"/>
            <v:stroke weight="1pt" joinstyle="miter"/>
            <v:imagedata o:title=""/>
            <o:lock v:ext="edit"/>
          </v:line>
        </w:pict>
      </w:r>
      <w:r>
        <w:rPr>
          <w:color w:val="auto"/>
        </w:rPr>
        <w:t>T/ZGXX</w:t>
      </w:r>
      <w:r>
        <w:rPr>
          <w:rFonts w:hint="eastAsia"/>
          <w:color w:val="auto"/>
          <w:lang w:val="en-US" w:eastAsia="zh-CN"/>
        </w:rPr>
        <w:t>XXXX</w:t>
      </w:r>
      <w:r>
        <w:rPr>
          <w:color w:val="auto"/>
        </w:rPr>
        <w:t>—</w:t>
      </w:r>
      <w:r>
        <w:rPr>
          <w:rFonts w:hint="eastAsia"/>
          <w:color w:val="auto"/>
          <w:lang w:val="en-US" w:eastAsia="zh-CN"/>
        </w:rPr>
        <w:t>XXXX</w:t>
      </w:r>
    </w:p>
    <w:p w14:paraId="5A38279A">
      <w:pPr>
        <w:wordWrap w:val="0"/>
        <w:spacing w:afterLines="0" w:line="249" w:lineRule="exact"/>
        <w:ind w:left="1" w:right="-149" w:firstLine="566"/>
        <w:jc w:val="right"/>
        <w:rPr>
          <w:sz w:val="28"/>
        </w:rPr>
      </w:pPr>
    </w:p>
    <w:p w14:paraId="30E44A58">
      <w:pPr>
        <w:spacing w:afterLines="0" w:line="249" w:lineRule="exact"/>
        <w:ind w:left="1" w:right="-149" w:firstLine="566"/>
        <w:jc w:val="right"/>
        <w:rPr>
          <w:sz w:val="28"/>
        </w:rPr>
      </w:pPr>
    </w:p>
    <w:p w14:paraId="19881469">
      <w:pPr>
        <w:spacing w:afterLines="0" w:line="249" w:lineRule="exact"/>
        <w:ind w:left="1" w:right="-149" w:firstLine="566"/>
        <w:jc w:val="right"/>
        <w:rPr>
          <w:sz w:val="28"/>
        </w:rPr>
      </w:pPr>
    </w:p>
    <w:p w14:paraId="42AD060E">
      <w:pPr>
        <w:spacing w:afterLines="0" w:line="249" w:lineRule="exact"/>
        <w:ind w:left="1" w:right="-149" w:firstLine="566"/>
        <w:jc w:val="right"/>
        <w:rPr>
          <w:sz w:val="28"/>
        </w:rPr>
      </w:pPr>
    </w:p>
    <w:p w14:paraId="755491EC">
      <w:pPr>
        <w:spacing w:afterLines="0" w:line="249" w:lineRule="exact"/>
        <w:ind w:left="1" w:right="-149" w:firstLine="566"/>
        <w:jc w:val="both"/>
        <w:rPr>
          <w:sz w:val="28"/>
        </w:rPr>
      </w:pPr>
    </w:p>
    <w:p w14:paraId="26027DE8">
      <w:pPr>
        <w:spacing w:afterLines="0" w:line="249" w:lineRule="exact"/>
        <w:ind w:left="1" w:right="-149" w:firstLine="566"/>
        <w:jc w:val="right"/>
        <w:rPr>
          <w:sz w:val="28"/>
        </w:rPr>
      </w:pPr>
    </w:p>
    <w:p w14:paraId="47F1B33E">
      <w:pPr>
        <w:spacing w:afterLines="0" w:line="249" w:lineRule="exact"/>
        <w:ind w:left="1" w:right="-149" w:firstLine="566"/>
        <w:jc w:val="right"/>
        <w:rPr>
          <w:sz w:val="28"/>
        </w:rPr>
      </w:pPr>
    </w:p>
    <w:p w14:paraId="06C8F75A">
      <w:pPr>
        <w:spacing w:afterLines="0" w:line="249" w:lineRule="exact"/>
        <w:ind w:left="1" w:right="-149" w:firstLine="566"/>
        <w:jc w:val="right"/>
        <w:rPr>
          <w:sz w:val="28"/>
        </w:rPr>
      </w:pPr>
    </w:p>
    <w:p w14:paraId="033DC1AF">
      <w:pPr>
        <w:spacing w:afterLines="0" w:line="249" w:lineRule="exact"/>
        <w:ind w:left="1" w:right="-149" w:firstLine="566"/>
        <w:jc w:val="right"/>
        <w:rPr>
          <w:sz w:val="28"/>
        </w:rPr>
      </w:pPr>
    </w:p>
    <w:p w14:paraId="3A7308A8">
      <w:pPr>
        <w:spacing w:afterLines="0" w:line="249" w:lineRule="exact"/>
        <w:ind w:left="1" w:right="-149" w:firstLine="566"/>
        <w:jc w:val="right"/>
        <w:rPr>
          <w:sz w:val="28"/>
        </w:rPr>
      </w:pPr>
    </w:p>
    <w:p w14:paraId="69A37B03">
      <w:pPr>
        <w:spacing w:afterLines="0" w:line="249" w:lineRule="exact"/>
        <w:ind w:left="1" w:right="-149" w:firstLine="566"/>
        <w:jc w:val="right"/>
        <w:rPr>
          <w:sz w:val="28"/>
        </w:rPr>
      </w:pPr>
    </w:p>
    <w:p w14:paraId="29FFF3A6">
      <w:pPr>
        <w:spacing w:afterLines="0" w:line="249" w:lineRule="exact"/>
        <w:ind w:left="1" w:right="-149" w:firstLine="566"/>
        <w:jc w:val="both"/>
        <w:rPr>
          <w:color w:val="FF0000"/>
          <w:sz w:val="28"/>
        </w:rPr>
      </w:pPr>
      <w:bookmarkStart w:id="0" w:name="_GoBack"/>
      <w:bookmarkEnd w:id="0"/>
    </w:p>
    <w:p w14:paraId="7772C24F">
      <w:pPr>
        <w:tabs>
          <w:tab w:val="left" w:pos="2836"/>
        </w:tabs>
        <w:spacing w:afterLines="0" w:line="567" w:lineRule="exact"/>
        <w:ind w:left="1" w:hanging="1"/>
        <w:jc w:val="center"/>
        <w:outlineLvl w:val="0"/>
        <w:rPr>
          <w:rFonts w:ascii="黑体" w:hAnsi="黑体" w:eastAsia="黑体" w:cs="黑体"/>
          <w:sz w:val="52"/>
          <w:szCs w:val="52"/>
        </w:rPr>
      </w:pPr>
      <w:r>
        <w:rPr>
          <w:rFonts w:hint="eastAsia" w:ascii="黑体" w:hAnsi="黑体" w:eastAsia="黑体" w:cs="黑体"/>
          <w:sz w:val="52"/>
          <w:szCs w:val="52"/>
        </w:rPr>
        <w:t>混合甘油</w:t>
      </w:r>
    </w:p>
    <w:p w14:paraId="2AD9CCD2">
      <w:pPr>
        <w:tabs>
          <w:tab w:val="left" w:pos="2836"/>
        </w:tabs>
        <w:spacing w:afterLines="0" w:line="567" w:lineRule="exact"/>
        <w:ind w:left="1" w:hanging="1"/>
        <w:jc w:val="center"/>
        <w:rPr>
          <w:rFonts w:hint="eastAsia" w:ascii="宋体" w:hAnsi="宋体" w:eastAsia="宋体" w:cs="宋体"/>
        </w:rPr>
      </w:pPr>
      <w:r>
        <w:rPr>
          <w:rFonts w:hint="eastAsia" w:ascii="宋体" w:hAnsi="宋体" w:eastAsia="宋体" w:cs="宋体"/>
        </w:rPr>
        <w:t>Mixed glycerin</w:t>
      </w:r>
    </w:p>
    <w:p w14:paraId="1671E6FB">
      <w:pPr>
        <w:tabs>
          <w:tab w:val="left" w:pos="2836"/>
        </w:tabs>
        <w:spacing w:afterLines="0" w:line="567" w:lineRule="exact"/>
        <w:ind w:left="1" w:hanging="1"/>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征求意见稿</w:t>
      </w:r>
      <w:r>
        <w:rPr>
          <w:rFonts w:hint="eastAsia" w:ascii="黑体" w:hAnsi="黑体" w:eastAsia="黑体" w:cs="黑体"/>
          <w:sz w:val="28"/>
          <w:szCs w:val="28"/>
          <w:lang w:eastAsia="zh-CN"/>
        </w:rPr>
        <w:t>）</w:t>
      </w:r>
    </w:p>
    <w:p w14:paraId="7916500A">
      <w:pPr>
        <w:tabs>
          <w:tab w:val="left" w:pos="2836"/>
        </w:tabs>
        <w:spacing w:afterLines="0" w:line="567" w:lineRule="exact"/>
        <w:ind w:left="1" w:firstLine="1050"/>
        <w:jc w:val="center"/>
        <w:rPr>
          <w:rFonts w:ascii="黑体" w:hAnsi="黑体" w:eastAsia="黑体" w:cs="黑体"/>
          <w:sz w:val="52"/>
          <w:szCs w:val="52"/>
        </w:rPr>
      </w:pPr>
    </w:p>
    <w:p w14:paraId="67EDD1F2">
      <w:pPr>
        <w:tabs>
          <w:tab w:val="left" w:pos="2836"/>
        </w:tabs>
        <w:spacing w:afterLines="0" w:line="567" w:lineRule="exact"/>
        <w:ind w:left="1" w:firstLine="1050"/>
        <w:jc w:val="center"/>
        <w:rPr>
          <w:rFonts w:ascii="黑体" w:hAnsi="黑体" w:eastAsia="黑体" w:cs="黑体"/>
          <w:sz w:val="52"/>
          <w:szCs w:val="52"/>
        </w:rPr>
      </w:pPr>
    </w:p>
    <w:p w14:paraId="40EC426B">
      <w:pPr>
        <w:tabs>
          <w:tab w:val="left" w:pos="2836"/>
        </w:tabs>
        <w:spacing w:afterLines="0" w:line="567" w:lineRule="exact"/>
        <w:ind w:left="1" w:firstLine="1050"/>
        <w:jc w:val="center"/>
        <w:rPr>
          <w:rFonts w:ascii="黑体" w:hAnsi="黑体" w:eastAsia="黑体" w:cs="黑体"/>
          <w:sz w:val="52"/>
          <w:szCs w:val="52"/>
        </w:rPr>
      </w:pPr>
    </w:p>
    <w:p w14:paraId="125DDF08">
      <w:pPr>
        <w:tabs>
          <w:tab w:val="left" w:pos="2836"/>
        </w:tabs>
        <w:spacing w:afterLines="0" w:line="567" w:lineRule="exact"/>
        <w:ind w:left="1" w:firstLine="1050"/>
        <w:jc w:val="center"/>
        <w:rPr>
          <w:rFonts w:ascii="黑体" w:hAnsi="黑体" w:eastAsia="黑体" w:cs="黑体"/>
          <w:sz w:val="52"/>
          <w:szCs w:val="52"/>
        </w:rPr>
      </w:pPr>
    </w:p>
    <w:p w14:paraId="665DEA84">
      <w:pPr>
        <w:tabs>
          <w:tab w:val="left" w:pos="2836"/>
        </w:tabs>
        <w:spacing w:afterLines="0" w:line="567" w:lineRule="exact"/>
        <w:ind w:left="1" w:firstLine="1050"/>
        <w:jc w:val="center"/>
        <w:rPr>
          <w:rFonts w:ascii="黑体" w:hAnsi="黑体" w:eastAsia="黑体" w:cs="黑体"/>
          <w:sz w:val="52"/>
          <w:szCs w:val="52"/>
        </w:rPr>
      </w:pPr>
    </w:p>
    <w:p w14:paraId="3B31FEC4">
      <w:pPr>
        <w:tabs>
          <w:tab w:val="left" w:pos="2836"/>
        </w:tabs>
        <w:spacing w:afterLines="0" w:line="880" w:lineRule="exact"/>
        <w:ind w:left="1" w:firstLine="1050"/>
        <w:jc w:val="center"/>
        <w:rPr>
          <w:rFonts w:ascii="黑体" w:hAnsi="黑体" w:eastAsia="黑体" w:cs="黑体"/>
          <w:sz w:val="52"/>
          <w:szCs w:val="52"/>
        </w:rPr>
      </w:pPr>
    </w:p>
    <w:p w14:paraId="7F786CFE">
      <w:pPr>
        <w:tabs>
          <w:tab w:val="left" w:pos="2836"/>
        </w:tabs>
        <w:adjustRightInd w:val="0"/>
        <w:spacing w:afterLines="0" w:line="360" w:lineRule="auto"/>
        <w:ind w:left="1" w:hanging="1"/>
        <w:rPr>
          <w:rFonts w:ascii="黑体" w:hAnsi="黑体" w:eastAsia="黑体" w:cs="黑体"/>
          <w:sz w:val="28"/>
          <w:szCs w:val="28"/>
          <w:u w:val="single"/>
        </w:rPr>
      </w:pPr>
      <w:r>
        <w:rPr>
          <w:rFonts w:hint="eastAsia" w:ascii="黑体" w:hAnsi="黑体" w:eastAsia="黑体" w:cs="黑体"/>
          <w:color w:val="auto"/>
          <w:sz w:val="28"/>
          <w:szCs w:val="28"/>
          <w:u w:val="single" w:color="000000" w:themeColor="text1"/>
          <w:lang w:val="en-US" w:eastAsia="zh-CN"/>
        </w:rPr>
        <w:t>Xxxx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color w:val="auto"/>
          <w:sz w:val="28"/>
          <w:szCs w:val="28"/>
          <w:u w:val="single" w:color="000000" w:themeColor="text1"/>
        </w:rPr>
        <w:t xml:space="preserve">发布                                        </w:t>
      </w:r>
      <w:r>
        <w:rPr>
          <w:rFonts w:hint="eastAsia" w:ascii="黑体" w:hAnsi="黑体" w:eastAsia="黑体" w:cs="黑体"/>
          <w:color w:val="auto"/>
          <w:sz w:val="28"/>
          <w:szCs w:val="28"/>
          <w:u w:val="single" w:color="000000" w:themeColor="text1"/>
          <w:lang w:val="en-US" w:eastAsia="zh-CN"/>
        </w:rPr>
        <w:t>Xxxx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color w:val="auto"/>
          <w:sz w:val="28"/>
          <w:szCs w:val="28"/>
          <w:u w:val="single" w:color="000000" w:themeColor="text1"/>
        </w:rPr>
        <w:t>实</w:t>
      </w:r>
      <w:r>
        <w:rPr>
          <w:rFonts w:hint="eastAsia" w:ascii="黑体" w:hAnsi="黑体" w:eastAsia="黑体" w:cs="黑体"/>
          <w:sz w:val="28"/>
          <w:szCs w:val="28"/>
          <w:u w:val="single" w:color="000000" w:themeColor="text1"/>
        </w:rPr>
        <w:t>施</w:t>
      </w:r>
    </w:p>
    <w:p w14:paraId="709A6CBF">
      <w:pPr>
        <w:tabs>
          <w:tab w:val="left" w:pos="2836"/>
        </w:tabs>
        <w:adjustRightInd w:val="0"/>
        <w:spacing w:afterLines="0" w:line="360" w:lineRule="auto"/>
        <w:ind w:left="1" w:firstLine="2520" w:firstLineChars="900"/>
        <w:rPr>
          <w:rFonts w:ascii="黑体" w:hAnsi="黑体" w:eastAsia="黑体" w:cs="黑体"/>
          <w:sz w:val="28"/>
          <w:szCs w:val="28"/>
        </w:rPr>
      </w:pPr>
      <w:r>
        <w:rPr>
          <w:rFonts w:hint="eastAsia" w:ascii="黑体" w:hAnsi="黑体" w:eastAsia="黑体" w:cs="黑体"/>
          <w:sz w:val="28"/>
          <w:szCs w:val="28"/>
        </w:rPr>
        <w:t>中国洗涤用品工业协会    发  布</w:t>
      </w:r>
    </w:p>
    <w:p w14:paraId="452F2F4A">
      <w:pPr>
        <w:tabs>
          <w:tab w:val="left" w:pos="2836"/>
        </w:tabs>
        <w:adjustRightInd w:val="0"/>
        <w:spacing w:afterLines="0" w:line="360" w:lineRule="auto"/>
        <w:ind w:left="1" w:firstLine="566"/>
        <w:jc w:val="center"/>
        <w:rPr>
          <w:rFonts w:ascii="黑体" w:hAnsi="黑体" w:eastAsia="黑体" w:cs="黑体"/>
          <w:sz w:val="28"/>
          <w:szCs w:val="28"/>
        </w:rPr>
        <w:sectPr>
          <w:headerReference r:id="rId6" w:type="first"/>
          <w:footerReference r:id="rId9" w:type="first"/>
          <w:footerReference r:id="rId7" w:type="default"/>
          <w:headerReference r:id="rId5" w:type="even"/>
          <w:footerReference r:id="rId8" w:type="even"/>
          <w:pgSz w:w="11906" w:h="16838"/>
          <w:pgMar w:top="567" w:right="850" w:bottom="1134" w:left="1417" w:header="851" w:footer="992" w:gutter="0"/>
          <w:cols w:space="425" w:num="1"/>
          <w:docGrid w:type="lines" w:linePitch="312" w:charSpace="0"/>
        </w:sectPr>
      </w:pPr>
    </w:p>
    <w:p w14:paraId="4745E0F9">
      <w:pPr>
        <w:tabs>
          <w:tab w:val="left" w:pos="2836"/>
        </w:tabs>
        <w:spacing w:afterLines="0" w:line="850" w:lineRule="exact"/>
        <w:ind w:left="1" w:firstLine="566"/>
        <w:jc w:val="center"/>
        <w:rPr>
          <w:rFonts w:ascii="黑体" w:hAnsi="黑体" w:eastAsia="黑体" w:cs="黑体"/>
          <w:sz w:val="28"/>
          <w:szCs w:val="28"/>
        </w:rPr>
      </w:pPr>
    </w:p>
    <w:p w14:paraId="4CBBD0DB">
      <w:pPr>
        <w:tabs>
          <w:tab w:val="left" w:pos="2836"/>
        </w:tabs>
        <w:spacing w:afterLines="0" w:line="320" w:lineRule="exact"/>
        <w:ind w:left="1" w:hanging="1"/>
        <w:jc w:val="center"/>
        <w:outlineLvl w:val="0"/>
        <w:rPr>
          <w:rFonts w:ascii="黑体" w:hAnsi="黑体" w:eastAsia="黑体" w:cs="黑体"/>
          <w:sz w:val="32"/>
          <w:szCs w:val="32"/>
        </w:rPr>
      </w:pPr>
      <w:r>
        <w:rPr>
          <w:rFonts w:hint="eastAsia" w:ascii="黑体" w:hAnsi="黑体" w:eastAsia="黑体" w:cs="黑体"/>
          <w:sz w:val="32"/>
          <w:szCs w:val="32"/>
        </w:rPr>
        <w:t>前   言</w:t>
      </w:r>
    </w:p>
    <w:p w14:paraId="3502425C">
      <w:pPr>
        <w:tabs>
          <w:tab w:val="left" w:pos="2836"/>
        </w:tabs>
        <w:spacing w:afterLines="0" w:line="680" w:lineRule="exact"/>
        <w:ind w:left="1" w:firstLine="566"/>
        <w:jc w:val="center"/>
        <w:rPr>
          <w:rFonts w:ascii="黑体" w:hAnsi="黑体" w:eastAsia="黑体" w:cs="黑体"/>
          <w:sz w:val="28"/>
          <w:szCs w:val="28"/>
        </w:rPr>
      </w:pPr>
    </w:p>
    <w:p w14:paraId="322ED4CD">
      <w:pPr>
        <w:tabs>
          <w:tab w:val="left" w:pos="2836"/>
        </w:tabs>
        <w:spacing w:afterLines="0" w:line="320" w:lineRule="exact"/>
        <w:ind w:left="1" w:firstLine="424" w:firstLineChars="202"/>
        <w:rPr>
          <w:rFonts w:ascii="宋体" w:hAnsi="宋体" w:eastAsia="宋体" w:cs="宋体"/>
          <w:sz w:val="21"/>
          <w:szCs w:val="21"/>
        </w:rPr>
      </w:pPr>
      <w:r>
        <w:rPr>
          <w:rFonts w:hint="eastAsia" w:ascii="宋体" w:hAnsi="宋体" w:eastAsia="宋体" w:cs="宋体"/>
          <w:sz w:val="21"/>
          <w:szCs w:val="21"/>
        </w:rPr>
        <w:t>本文件按照GB/T 1.1-2020《标准化工作导则  第1部分：标准化文件的结构和起草规则》的规定起草。</w:t>
      </w:r>
    </w:p>
    <w:p w14:paraId="59CC6073">
      <w:pPr>
        <w:tabs>
          <w:tab w:val="left" w:pos="2836"/>
        </w:tabs>
        <w:spacing w:afterLines="0" w:line="320" w:lineRule="exact"/>
        <w:ind w:left="1" w:firstLine="424" w:firstLineChars="202"/>
        <w:rPr>
          <w:rFonts w:ascii="宋体" w:hAnsi="宋体" w:eastAsia="宋体" w:cs="宋体"/>
          <w:sz w:val="21"/>
          <w:szCs w:val="21"/>
        </w:rPr>
      </w:pPr>
      <w:r>
        <w:rPr>
          <w:rFonts w:hint="eastAsia" w:hAnsi="宋体"/>
          <w:sz w:val="21"/>
          <w:szCs w:val="21"/>
        </w:rPr>
        <w:t>请注意本文件的某些内容可能涉及专利。本文件的发布机构不承担识别专利的责任。</w:t>
      </w:r>
    </w:p>
    <w:p w14:paraId="0D233994">
      <w:pPr>
        <w:tabs>
          <w:tab w:val="left" w:pos="2836"/>
        </w:tabs>
        <w:spacing w:afterLines="0" w:line="320" w:lineRule="exact"/>
        <w:ind w:left="1" w:firstLine="424" w:firstLineChars="202"/>
        <w:rPr>
          <w:rFonts w:ascii="宋体" w:hAnsi="宋体" w:eastAsia="宋体" w:cs="宋体"/>
          <w:sz w:val="21"/>
          <w:szCs w:val="21"/>
        </w:rPr>
      </w:pPr>
      <w:r>
        <w:rPr>
          <w:rFonts w:hint="eastAsia" w:ascii="宋体" w:hAnsi="宋体" w:eastAsia="宋体" w:cs="宋体"/>
          <w:sz w:val="21"/>
          <w:szCs w:val="21"/>
        </w:rPr>
        <w:t>本文件由中国洗涤用品工业协会提出并归口。</w:t>
      </w:r>
    </w:p>
    <w:p w14:paraId="2C260F48">
      <w:pPr>
        <w:tabs>
          <w:tab w:val="left" w:pos="2836"/>
        </w:tabs>
        <w:spacing w:afterLines="0" w:line="320" w:lineRule="exact"/>
        <w:ind w:left="1" w:firstLine="424" w:firstLineChars="202"/>
        <w:rPr>
          <w:rFonts w:ascii="宋体" w:hAnsi="宋体" w:eastAsia="宋体" w:cs="宋体"/>
          <w:sz w:val="21"/>
          <w:szCs w:val="21"/>
        </w:rPr>
      </w:pPr>
      <w:r>
        <w:rPr>
          <w:rFonts w:hint="eastAsia" w:ascii="宋体" w:hAnsi="宋体" w:eastAsia="宋体" w:cs="宋体"/>
          <w:sz w:val="21"/>
          <w:szCs w:val="21"/>
        </w:rPr>
        <w:t xml:space="preserve">本文件起草单位：德源（中国）高科有限公司 </w:t>
      </w:r>
      <w:r>
        <w:rPr>
          <w:rFonts w:hint="eastAsia" w:ascii="宋体" w:hAnsi="宋体" w:eastAsia="宋体" w:cs="宋体"/>
          <w:color w:val="auto"/>
          <w:sz w:val="21"/>
          <w:szCs w:val="21"/>
        </w:rPr>
        <w:t>（参会企业）。。。。</w:t>
      </w:r>
      <w:r>
        <w:rPr>
          <w:rFonts w:hint="eastAsia" w:ascii="宋体" w:hAnsi="宋体" w:eastAsia="宋体" w:cs="宋体"/>
          <w:sz w:val="21"/>
          <w:szCs w:val="21"/>
        </w:rPr>
        <w:t>。。。。。</w:t>
      </w:r>
    </w:p>
    <w:p w14:paraId="28B610D5">
      <w:pPr>
        <w:tabs>
          <w:tab w:val="left" w:pos="2836"/>
        </w:tabs>
        <w:spacing w:afterLines="0" w:line="320" w:lineRule="exact"/>
        <w:ind w:left="1" w:firstLine="424" w:firstLineChars="202"/>
        <w:rPr>
          <w:rFonts w:ascii="宋体" w:hAnsi="宋体" w:eastAsia="宋体" w:cs="宋体"/>
          <w:sz w:val="21"/>
          <w:szCs w:val="21"/>
        </w:rPr>
        <w:sectPr>
          <w:headerReference r:id="rId10" w:type="default"/>
          <w:footerReference r:id="rId12" w:type="default"/>
          <w:headerReference r:id="rId11" w:type="even"/>
          <w:footerReference r:id="rId13" w:type="even"/>
          <w:pgSz w:w="11906" w:h="16838"/>
          <w:pgMar w:top="1911" w:right="1134" w:bottom="1134" w:left="1417" w:header="1417" w:footer="1134" w:gutter="0"/>
          <w:pgNumType w:fmt="upperRoman" w:start="1"/>
          <w:cols w:space="425" w:num="1"/>
          <w:docGrid w:type="lines" w:linePitch="312" w:charSpace="0"/>
        </w:sectPr>
      </w:pPr>
      <w:r>
        <w:rPr>
          <w:rFonts w:hint="eastAsia" w:ascii="宋体" w:hAnsi="宋体" w:eastAsia="宋体" w:cs="宋体"/>
          <w:sz w:val="21"/>
          <w:szCs w:val="21"/>
        </w:rPr>
        <w:t>本文件主要起草人：</w:t>
      </w:r>
    </w:p>
    <w:p w14:paraId="732B10B3">
      <w:pPr>
        <w:tabs>
          <w:tab w:val="left" w:pos="2836"/>
        </w:tabs>
        <w:spacing w:afterLines="0" w:line="850" w:lineRule="exact"/>
        <w:ind w:left="1" w:firstLine="840" w:firstLineChars="400"/>
        <w:jc w:val="center"/>
        <w:rPr>
          <w:rFonts w:ascii="宋体" w:hAnsi="宋体" w:eastAsia="宋体" w:cs="宋体"/>
          <w:color w:val="FF0000"/>
          <w:sz w:val="21"/>
          <w:szCs w:val="21"/>
        </w:rPr>
      </w:pPr>
    </w:p>
    <w:p w14:paraId="4A78782E">
      <w:pPr>
        <w:tabs>
          <w:tab w:val="left" w:pos="2836"/>
        </w:tabs>
        <w:spacing w:afterLines="0" w:line="320" w:lineRule="exact"/>
        <w:ind w:left="1" w:firstLine="646"/>
        <w:jc w:val="center"/>
        <w:rPr>
          <w:rFonts w:ascii="黑体" w:hAnsi="黑体" w:eastAsia="黑体" w:cs="黑体"/>
          <w:color w:val="FF0000"/>
          <w:sz w:val="32"/>
          <w:szCs w:val="32"/>
        </w:rPr>
      </w:pPr>
      <w:r>
        <w:rPr>
          <w:rFonts w:hint="eastAsia" w:ascii="黑体" w:hAnsi="黑体" w:eastAsia="黑体" w:cs="黑体"/>
          <w:sz w:val="32"/>
          <w:szCs w:val="32"/>
        </w:rPr>
        <w:t>混合甘油</w:t>
      </w:r>
    </w:p>
    <w:p w14:paraId="62F518BE">
      <w:pPr>
        <w:tabs>
          <w:tab w:val="left" w:pos="2836"/>
        </w:tabs>
        <w:spacing w:afterLines="0" w:line="680" w:lineRule="exact"/>
        <w:ind w:left="1"/>
        <w:rPr>
          <w:rFonts w:ascii="黑体" w:hAnsi="黑体" w:eastAsia="黑体" w:cs="黑体"/>
          <w:color w:val="FF0000"/>
          <w:sz w:val="21"/>
          <w:szCs w:val="21"/>
        </w:rPr>
      </w:pPr>
    </w:p>
    <w:p w14:paraId="2FDBE5C6">
      <w:pPr>
        <w:tabs>
          <w:tab w:val="left" w:pos="2836"/>
        </w:tabs>
        <w:spacing w:afterLines="0" w:line="240" w:lineRule="auto"/>
        <w:ind w:left="1"/>
        <w:outlineLvl w:val="0"/>
        <w:rPr>
          <w:rFonts w:ascii="黑体" w:hAnsi="黑体" w:eastAsia="黑体" w:cs="黑体"/>
          <w:sz w:val="21"/>
          <w:szCs w:val="21"/>
        </w:rPr>
      </w:pPr>
      <w:r>
        <w:rPr>
          <w:rFonts w:hint="eastAsia" w:ascii="黑体" w:hAnsi="黑体" w:eastAsia="黑体" w:cs="黑体"/>
          <w:sz w:val="21"/>
          <w:szCs w:val="21"/>
        </w:rPr>
        <w:t>1  范围</w:t>
      </w:r>
    </w:p>
    <w:p w14:paraId="4E00FE34">
      <w:pPr>
        <w:tabs>
          <w:tab w:val="left" w:pos="2836"/>
        </w:tabs>
        <w:spacing w:afterLines="0" w:line="240" w:lineRule="auto"/>
        <w:ind w:left="1"/>
        <w:rPr>
          <w:rFonts w:ascii="黑体" w:hAnsi="黑体" w:eastAsia="黑体" w:cs="黑体"/>
          <w:color w:val="1D41D5"/>
          <w:sz w:val="21"/>
          <w:szCs w:val="21"/>
        </w:rPr>
      </w:pPr>
    </w:p>
    <w:p w14:paraId="21E6FEF4">
      <w:pPr>
        <w:autoSpaceDE w:val="0"/>
        <w:autoSpaceDN w:val="0"/>
        <w:spacing w:afterLines="0" w:line="240" w:lineRule="auto"/>
        <w:ind w:left="1" w:firstLine="567" w:firstLineChars="270"/>
        <w:textAlignment w:val="bottom"/>
        <w:rPr>
          <w:rFonts w:ascii="宋体" w:hAnsi="宋体" w:eastAsia="宋体" w:cs="宋体"/>
          <w:color w:val="auto"/>
          <w:sz w:val="21"/>
          <w:szCs w:val="21"/>
        </w:rPr>
      </w:pPr>
      <w:r>
        <w:rPr>
          <w:rFonts w:hint="eastAsia" w:ascii="宋体" w:hAnsi="宋体" w:eastAsia="宋体" w:cs="宋体"/>
          <w:color w:val="auto"/>
          <w:sz w:val="21"/>
          <w:szCs w:val="21"/>
        </w:rPr>
        <w:t>本文件规定了混合甘油的分类、要求、试验方法、检验规则、标志、包装、运输、贮存及安全。</w:t>
      </w:r>
    </w:p>
    <w:p w14:paraId="1E8745E6">
      <w:pPr>
        <w:autoSpaceDE w:val="0"/>
        <w:autoSpaceDN w:val="0"/>
        <w:spacing w:afterLines="0" w:line="240" w:lineRule="auto"/>
        <w:ind w:left="1" w:firstLine="567" w:firstLineChars="270"/>
        <w:textAlignment w:val="bottom"/>
        <w:rPr>
          <w:rFonts w:ascii="宋体" w:hAnsi="宋体" w:eastAsia="宋体" w:cs="宋体"/>
          <w:color w:val="auto"/>
          <w:sz w:val="21"/>
          <w:szCs w:val="21"/>
        </w:rPr>
      </w:pPr>
      <w:r>
        <w:rPr>
          <w:rFonts w:hint="eastAsia" w:ascii="宋体" w:hAnsi="宋体" w:eastAsia="宋体" w:cs="宋体"/>
          <w:color w:val="auto"/>
          <w:sz w:val="21"/>
          <w:szCs w:val="21"/>
        </w:rPr>
        <w:t>本文件适用于以天然植（动）物油脂及其衍生物为原料，经醇解或水解、净化、浓缩、蒸馏、脱色生产甘油过程中得到的副产混合甘油。</w:t>
      </w:r>
    </w:p>
    <w:p w14:paraId="743B7848">
      <w:pPr>
        <w:tabs>
          <w:tab w:val="left" w:pos="2836"/>
        </w:tabs>
        <w:spacing w:afterLines="0" w:line="240" w:lineRule="auto"/>
        <w:ind w:left="1"/>
        <w:rPr>
          <w:rFonts w:ascii="宋体" w:hAnsi="宋体" w:eastAsia="宋体" w:cs="宋体"/>
          <w:color w:val="auto"/>
          <w:sz w:val="21"/>
          <w:szCs w:val="21"/>
        </w:rPr>
      </w:pPr>
    </w:p>
    <w:p w14:paraId="50EB5A9C">
      <w:pPr>
        <w:tabs>
          <w:tab w:val="left" w:pos="2836"/>
        </w:tabs>
        <w:spacing w:afterLines="0" w:line="240" w:lineRule="auto"/>
        <w:ind w:left="1"/>
        <w:outlineLvl w:val="0"/>
        <w:rPr>
          <w:rFonts w:ascii="黑体" w:hAnsi="黑体" w:eastAsia="黑体" w:cs="黑体"/>
          <w:color w:val="auto"/>
          <w:sz w:val="21"/>
          <w:szCs w:val="21"/>
        </w:rPr>
      </w:pPr>
      <w:r>
        <w:rPr>
          <w:rFonts w:hint="eastAsia" w:ascii="黑体" w:hAnsi="黑体" w:eastAsia="黑体" w:cs="黑体"/>
          <w:color w:val="auto"/>
          <w:sz w:val="21"/>
          <w:szCs w:val="21"/>
        </w:rPr>
        <w:t>2  规范性引用文件</w:t>
      </w:r>
    </w:p>
    <w:p w14:paraId="03F69C66">
      <w:pPr>
        <w:autoSpaceDE w:val="0"/>
        <w:autoSpaceDN w:val="0"/>
        <w:spacing w:afterLines="0" w:line="240" w:lineRule="auto"/>
        <w:ind w:left="1"/>
        <w:textAlignment w:val="bottom"/>
        <w:rPr>
          <w:rFonts w:ascii="宋体" w:hAnsi="宋体" w:eastAsia="宋体" w:cs="宋体"/>
          <w:color w:val="auto"/>
          <w:sz w:val="21"/>
          <w:szCs w:val="21"/>
        </w:rPr>
      </w:pPr>
    </w:p>
    <w:p w14:paraId="0A055DFC">
      <w:pPr>
        <w:autoSpaceDE w:val="0"/>
        <w:autoSpaceDN w:val="0"/>
        <w:spacing w:afterLines="0" w:line="240" w:lineRule="auto"/>
        <w:ind w:left="1" w:firstLine="567" w:firstLineChars="270"/>
        <w:textAlignment w:val="bottom"/>
        <w:rPr>
          <w:rFonts w:ascii="宋体" w:hAnsi="宋体" w:eastAsia="宋体" w:cs="宋体"/>
          <w:color w:val="auto"/>
          <w:sz w:val="21"/>
          <w:szCs w:val="21"/>
        </w:rPr>
      </w:pPr>
      <w:r>
        <w:rPr>
          <w:rFonts w:hint="eastAsia" w:ascii="宋体" w:hAnsi="宋体" w:eastAsia="宋体" w:cs="宋体"/>
          <w:color w:val="auto"/>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992348A">
      <w:pPr>
        <w:tabs>
          <w:tab w:val="left" w:pos="2836"/>
        </w:tabs>
        <w:spacing w:afterLines="0" w:line="240" w:lineRule="auto"/>
        <w:ind w:left="1" w:firstLine="567" w:firstLineChars="270"/>
        <w:rPr>
          <w:rFonts w:ascii="宋体" w:hAnsi="宋体" w:eastAsia="宋体" w:cs="宋体"/>
          <w:color w:val="auto"/>
          <w:sz w:val="21"/>
          <w:szCs w:val="21"/>
          <w:lang w:bidi="zh-CN"/>
        </w:rPr>
      </w:pPr>
      <w:r>
        <w:rPr>
          <w:rFonts w:hint="eastAsia" w:ascii="宋体" w:hAnsi="宋体" w:eastAsia="宋体" w:cs="宋体"/>
          <w:color w:val="auto"/>
          <w:sz w:val="21"/>
          <w:szCs w:val="21"/>
          <w:lang w:val="zh-CN" w:bidi="zh-CN"/>
        </w:rPr>
        <w:t>GB</w:t>
      </w:r>
      <w:r>
        <w:rPr>
          <w:rFonts w:hint="eastAsia" w:ascii="宋体" w:hAnsi="宋体" w:eastAsia="宋体" w:cs="宋体"/>
          <w:color w:val="auto"/>
          <w:sz w:val="21"/>
          <w:szCs w:val="21"/>
          <w:lang w:bidi="zh-CN"/>
        </w:rPr>
        <w:t>/</w:t>
      </w:r>
      <w:r>
        <w:rPr>
          <w:rFonts w:hint="eastAsia" w:ascii="宋体" w:hAnsi="宋体" w:eastAsia="宋体" w:cs="宋体"/>
          <w:color w:val="auto"/>
          <w:sz w:val="21"/>
          <w:szCs w:val="21"/>
          <w:lang w:val="zh-CN" w:bidi="zh-CN"/>
        </w:rPr>
        <w:t>T 6682</w:t>
      </w:r>
      <w:r>
        <w:rPr>
          <w:rFonts w:hint="eastAsia" w:ascii="宋体" w:hAnsi="宋体" w:eastAsia="宋体" w:cs="宋体"/>
          <w:color w:val="auto"/>
          <w:sz w:val="21"/>
          <w:szCs w:val="21"/>
          <w:lang w:bidi="zh-CN"/>
        </w:rPr>
        <w:t xml:space="preserve"> 分析实验室用水规格和试验方法</w:t>
      </w:r>
    </w:p>
    <w:p w14:paraId="25CAE8AF">
      <w:pPr>
        <w:tabs>
          <w:tab w:val="left" w:pos="2836"/>
        </w:tabs>
        <w:spacing w:afterLines="0" w:line="240" w:lineRule="auto"/>
        <w:ind w:left="1" w:firstLine="567" w:firstLineChars="270"/>
        <w:rPr>
          <w:rFonts w:ascii="宋体" w:hAnsi="宋体" w:eastAsia="宋体" w:cs="宋体"/>
          <w:color w:val="auto"/>
          <w:sz w:val="21"/>
          <w:szCs w:val="21"/>
          <w:lang w:val="zh-CN" w:bidi="zh-CN"/>
        </w:rPr>
      </w:pPr>
      <w:r>
        <w:rPr>
          <w:rFonts w:hint="eastAsia" w:ascii="宋体" w:hAnsi="宋体" w:eastAsia="宋体" w:cs="宋体"/>
          <w:color w:val="auto"/>
          <w:sz w:val="21"/>
          <w:szCs w:val="21"/>
          <w:lang w:val="zh-CN" w:bidi="zh-CN"/>
        </w:rPr>
        <w:t>GB</w:t>
      </w:r>
      <w:r>
        <w:rPr>
          <w:rFonts w:hint="eastAsia" w:ascii="宋体" w:hAnsi="宋体" w:eastAsia="宋体" w:cs="宋体"/>
          <w:color w:val="auto"/>
          <w:sz w:val="21"/>
          <w:szCs w:val="21"/>
          <w:lang w:bidi="zh-CN"/>
        </w:rPr>
        <w:t>/</w:t>
      </w:r>
      <w:r>
        <w:rPr>
          <w:rFonts w:hint="eastAsia" w:ascii="宋体" w:hAnsi="宋体" w:eastAsia="宋体" w:cs="宋体"/>
          <w:color w:val="auto"/>
          <w:sz w:val="21"/>
          <w:szCs w:val="21"/>
          <w:lang w:val="zh-CN" w:bidi="zh-CN"/>
        </w:rPr>
        <w:t>T 13216 甘油试验方法</w:t>
      </w:r>
    </w:p>
    <w:p w14:paraId="5BDDFA22">
      <w:pPr>
        <w:tabs>
          <w:tab w:val="left" w:pos="2836"/>
        </w:tabs>
        <w:spacing w:afterLines="0" w:line="240" w:lineRule="auto"/>
        <w:ind w:left="1" w:firstLine="567" w:firstLineChars="270"/>
        <w:rPr>
          <w:rFonts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QB/T2739-2005 </w:t>
      </w:r>
      <w:r>
        <w:rPr>
          <w:rFonts w:ascii="宋体" w:hAnsi="宋体" w:eastAsia="宋体" w:cs="宋体"/>
          <w:color w:val="auto"/>
          <w:sz w:val="21"/>
          <w:szCs w:val="21"/>
          <w:lang w:bidi="zh-CN"/>
        </w:rPr>
        <w:t>洗涤用品常用试验方法滴定分析 (容量分析 )用试验溶液的制备</w:t>
      </w:r>
    </w:p>
    <w:p w14:paraId="255C5196">
      <w:pPr>
        <w:tabs>
          <w:tab w:val="left" w:pos="2836"/>
        </w:tabs>
        <w:spacing w:afterLines="0" w:line="240" w:lineRule="auto"/>
        <w:ind w:left="1"/>
        <w:rPr>
          <w:color w:val="auto"/>
          <w:sz w:val="21"/>
          <w:szCs w:val="21"/>
          <w:highlight w:val="yellow"/>
        </w:rPr>
      </w:pPr>
    </w:p>
    <w:p w14:paraId="32A9AAFE">
      <w:pPr>
        <w:pStyle w:val="2"/>
        <w:rPr>
          <w:color w:val="auto"/>
        </w:rPr>
      </w:pPr>
    </w:p>
    <w:p w14:paraId="23A0AB55">
      <w:pPr>
        <w:tabs>
          <w:tab w:val="left" w:pos="2836"/>
        </w:tabs>
        <w:spacing w:afterLines="0" w:line="240" w:lineRule="auto"/>
        <w:ind w:left="1"/>
        <w:outlineLvl w:val="0"/>
        <w:rPr>
          <w:rFonts w:ascii="黑体" w:hAnsi="黑体" w:eastAsia="黑体" w:cs="黑体"/>
          <w:color w:val="auto"/>
          <w:sz w:val="21"/>
          <w:szCs w:val="21"/>
        </w:rPr>
      </w:pPr>
      <w:r>
        <w:rPr>
          <w:rFonts w:hint="eastAsia" w:ascii="黑体" w:hAnsi="黑体" w:eastAsia="黑体" w:cs="黑体"/>
          <w:color w:val="auto"/>
          <w:sz w:val="21"/>
          <w:szCs w:val="21"/>
        </w:rPr>
        <w:t>3  术语和定义</w:t>
      </w:r>
    </w:p>
    <w:p w14:paraId="43779AA0">
      <w:pPr>
        <w:pStyle w:val="2"/>
        <w:rPr>
          <w:color w:val="auto"/>
        </w:rPr>
      </w:pPr>
    </w:p>
    <w:p w14:paraId="59CFE733">
      <w:pPr>
        <w:autoSpaceDE w:val="0"/>
        <w:autoSpaceDN w:val="0"/>
        <w:spacing w:afterLines="0" w:line="240" w:lineRule="auto"/>
        <w:ind w:left="1"/>
        <w:textAlignment w:val="bottom"/>
        <w:rPr>
          <w:rFonts w:ascii="宋体" w:hAnsi="宋体" w:eastAsia="宋体" w:cs="宋体"/>
          <w:color w:val="auto"/>
          <w:sz w:val="21"/>
          <w:szCs w:val="21"/>
        </w:rPr>
      </w:pPr>
      <w:r>
        <w:rPr>
          <w:rFonts w:hint="eastAsia" w:ascii="宋体" w:hAnsi="宋体" w:eastAsia="宋体" w:cs="宋体"/>
          <w:color w:val="auto"/>
          <w:sz w:val="21"/>
          <w:szCs w:val="21"/>
        </w:rPr>
        <w:t>下列术语和定义适用于本文件。</w:t>
      </w:r>
    </w:p>
    <w:p w14:paraId="1F4D3755">
      <w:pPr>
        <w:tabs>
          <w:tab w:val="left" w:pos="2836"/>
        </w:tabs>
        <w:spacing w:afterLines="0" w:line="360" w:lineRule="auto"/>
        <w:ind w:left="1"/>
        <w:outlineLvl w:val="1"/>
        <w:rPr>
          <w:rFonts w:ascii="黑体" w:hAnsi="黑体" w:eastAsia="黑体" w:cs="黑体"/>
          <w:color w:val="auto"/>
          <w:sz w:val="21"/>
          <w:szCs w:val="21"/>
        </w:rPr>
      </w:pPr>
    </w:p>
    <w:p w14:paraId="57BE9605">
      <w:pPr>
        <w:tabs>
          <w:tab w:val="left" w:pos="2836"/>
        </w:tabs>
        <w:spacing w:afterLines="0" w:line="360" w:lineRule="auto"/>
        <w:ind w:left="1" w:firstLine="424" w:firstLineChars="202"/>
        <w:outlineLvl w:val="1"/>
        <w:rPr>
          <w:rFonts w:ascii="黑体" w:hAnsi="黑体" w:eastAsia="宋体" w:cs="黑体"/>
          <w:color w:val="auto"/>
          <w:sz w:val="21"/>
          <w:szCs w:val="21"/>
        </w:rPr>
      </w:pPr>
      <w:r>
        <w:rPr>
          <w:rFonts w:hint="eastAsia" w:ascii="黑体" w:hAnsi="黑体" w:eastAsia="黑体" w:cs="黑体"/>
          <w:color w:val="auto"/>
          <w:sz w:val="21"/>
          <w:szCs w:val="21"/>
        </w:rPr>
        <w:t>混合甘油</w:t>
      </w:r>
      <w:r>
        <w:rPr>
          <w:rFonts w:hint="eastAsia" w:ascii="宋体" w:hAnsi="宋体" w:eastAsia="宋体" w:cs="宋体"/>
          <w:color w:val="auto"/>
          <w:sz w:val="21"/>
          <w:szCs w:val="21"/>
        </w:rPr>
        <w:t>Mixed Glycerin</w:t>
      </w:r>
    </w:p>
    <w:p w14:paraId="304EE713">
      <w:pPr>
        <w:tabs>
          <w:tab w:val="left" w:pos="2836"/>
        </w:tabs>
        <w:spacing w:afterLines="0" w:line="240" w:lineRule="auto"/>
        <w:ind w:left="1" w:firstLine="424" w:firstLineChars="202"/>
        <w:rPr>
          <w:rFonts w:ascii="宋体" w:hAnsi="宋体" w:eastAsia="宋体" w:cs="宋体"/>
          <w:color w:val="auto"/>
          <w:sz w:val="21"/>
          <w:szCs w:val="21"/>
        </w:rPr>
      </w:pPr>
      <w:r>
        <w:rPr>
          <w:rFonts w:hint="eastAsia"/>
          <w:color w:val="auto"/>
          <w:sz w:val="21"/>
          <w:szCs w:val="21"/>
        </w:rPr>
        <w:t>以天然植（动）物油脂及其衍生物为原料，经醇解或水解、净化、浓缩、蒸馏、脱色生产甘油过程中得到的副产混合甘油</w:t>
      </w:r>
      <w:r>
        <w:rPr>
          <w:rFonts w:hint="eastAsia" w:cs="宋体"/>
          <w:color w:val="auto"/>
          <w:sz w:val="21"/>
          <w:szCs w:val="21"/>
        </w:rPr>
        <w:t>。</w:t>
      </w:r>
    </w:p>
    <w:p w14:paraId="22E96F2B">
      <w:pPr>
        <w:tabs>
          <w:tab w:val="left" w:pos="2836"/>
        </w:tabs>
        <w:spacing w:afterLines="0" w:line="240" w:lineRule="auto"/>
        <w:rPr>
          <w:rFonts w:ascii="黑体" w:hAnsi="黑体" w:eastAsia="黑体" w:cs="黑体"/>
          <w:color w:val="auto"/>
          <w:sz w:val="21"/>
          <w:szCs w:val="21"/>
        </w:rPr>
      </w:pPr>
    </w:p>
    <w:p w14:paraId="56C02271">
      <w:pPr>
        <w:tabs>
          <w:tab w:val="left" w:pos="2836"/>
        </w:tabs>
        <w:spacing w:afterLines="0" w:line="240" w:lineRule="auto"/>
        <w:rPr>
          <w:rFonts w:ascii="黑体" w:hAnsi="黑体" w:eastAsia="黑体" w:cs="黑体"/>
          <w:color w:val="auto"/>
          <w:sz w:val="21"/>
          <w:szCs w:val="21"/>
        </w:rPr>
      </w:pPr>
    </w:p>
    <w:p w14:paraId="7C586576">
      <w:pPr>
        <w:tabs>
          <w:tab w:val="left" w:pos="2836"/>
        </w:tabs>
        <w:spacing w:afterLines="0" w:line="240" w:lineRule="auto"/>
        <w:ind w:left="1"/>
        <w:outlineLvl w:val="0"/>
        <w:rPr>
          <w:rFonts w:ascii="黑体" w:hAnsi="黑体" w:eastAsia="黑体" w:cs="黑体"/>
          <w:color w:val="auto"/>
          <w:sz w:val="21"/>
          <w:szCs w:val="21"/>
        </w:rPr>
      </w:pPr>
      <w:r>
        <w:rPr>
          <w:rFonts w:hint="eastAsia" w:ascii="黑体" w:hAnsi="黑体" w:eastAsia="黑体" w:cs="黑体"/>
          <w:color w:val="auto"/>
          <w:sz w:val="21"/>
          <w:szCs w:val="21"/>
        </w:rPr>
        <w:t>4  要求</w:t>
      </w:r>
    </w:p>
    <w:p w14:paraId="60793118">
      <w:pPr>
        <w:tabs>
          <w:tab w:val="left" w:pos="2836"/>
        </w:tabs>
        <w:spacing w:afterLines="0" w:line="240" w:lineRule="auto"/>
        <w:ind w:left="1"/>
        <w:rPr>
          <w:rFonts w:ascii="宋体" w:hAnsi="宋体" w:eastAsia="宋体" w:cs="宋体"/>
          <w:color w:val="auto"/>
          <w:sz w:val="21"/>
          <w:szCs w:val="21"/>
        </w:rPr>
      </w:pPr>
    </w:p>
    <w:p w14:paraId="23A9B36B">
      <w:pPr>
        <w:tabs>
          <w:tab w:val="left" w:pos="2836"/>
        </w:tabs>
        <w:spacing w:afterLines="0" w:line="240" w:lineRule="auto"/>
        <w:ind w:left="1" w:firstLine="424" w:firstLineChars="202"/>
        <w:rPr>
          <w:rFonts w:ascii="宋体" w:hAnsi="宋体" w:eastAsia="宋体" w:cs="宋体"/>
          <w:color w:val="auto"/>
          <w:sz w:val="21"/>
          <w:szCs w:val="21"/>
        </w:rPr>
      </w:pPr>
      <w:r>
        <w:rPr>
          <w:rFonts w:hint="eastAsia" w:ascii="宋体" w:hAnsi="宋体" w:eastAsia="宋体" w:cs="宋体"/>
          <w:color w:val="auto"/>
          <w:sz w:val="21"/>
          <w:szCs w:val="21"/>
        </w:rPr>
        <w:t>混合甘油理化指标应符合表1规定。</w:t>
      </w:r>
    </w:p>
    <w:p w14:paraId="3D5FBB07">
      <w:pPr>
        <w:tabs>
          <w:tab w:val="left" w:pos="2836"/>
        </w:tabs>
        <w:spacing w:afterLines="0" w:line="240" w:lineRule="auto"/>
        <w:ind w:left="1"/>
        <w:rPr>
          <w:rFonts w:ascii="黑体" w:hAnsi="黑体" w:eastAsia="黑体" w:cs="黑体"/>
          <w:color w:val="auto"/>
          <w:sz w:val="21"/>
          <w:szCs w:val="21"/>
        </w:rPr>
        <w:sectPr>
          <w:headerReference r:id="rId14" w:type="default"/>
          <w:footerReference r:id="rId15" w:type="default"/>
          <w:footerReference r:id="rId16" w:type="even"/>
          <w:type w:val="oddPage"/>
          <w:pgSz w:w="11906" w:h="16838"/>
          <w:pgMar w:top="1911" w:right="1134" w:bottom="1134" w:left="1417" w:header="1417" w:footer="1134" w:gutter="0"/>
          <w:pgNumType w:start="1"/>
          <w:cols w:space="425" w:num="1"/>
          <w:docGrid w:type="lines" w:linePitch="312" w:charSpace="0"/>
        </w:sectPr>
      </w:pPr>
    </w:p>
    <w:p w14:paraId="22AC33BC">
      <w:pPr>
        <w:tabs>
          <w:tab w:val="left" w:pos="2836"/>
        </w:tabs>
        <w:spacing w:afterLines="0" w:line="240" w:lineRule="auto"/>
        <w:ind w:left="1"/>
        <w:rPr>
          <w:rFonts w:ascii="黑体" w:hAnsi="黑体" w:eastAsia="黑体" w:cs="黑体"/>
          <w:color w:val="auto"/>
          <w:sz w:val="21"/>
          <w:szCs w:val="21"/>
        </w:rPr>
      </w:pPr>
    </w:p>
    <w:p w14:paraId="676C7B28">
      <w:pPr>
        <w:autoSpaceDE w:val="0"/>
        <w:autoSpaceDN w:val="0"/>
        <w:spacing w:beforeLines="50" w:afterLines="50" w:line="360" w:lineRule="atLeast"/>
        <w:ind w:left="1" w:right="-149" w:rightChars="-62"/>
        <w:jc w:val="center"/>
        <w:textAlignment w:val="bottom"/>
        <w:rPr>
          <w:rFonts w:ascii="黑体" w:eastAsia="黑体"/>
          <w:color w:val="auto"/>
          <w:sz w:val="21"/>
          <w:szCs w:val="21"/>
        </w:rPr>
      </w:pPr>
      <w:r>
        <w:rPr>
          <w:rFonts w:hint="eastAsia" w:ascii="黑体" w:eastAsia="黑体"/>
          <w:color w:val="auto"/>
          <w:sz w:val="21"/>
          <w:szCs w:val="21"/>
        </w:rPr>
        <w:t>表 1  混合甘油理化指标</w:t>
      </w:r>
    </w:p>
    <w:tbl>
      <w:tblPr>
        <w:tblStyle w:val="6"/>
        <w:tblW w:w="57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577"/>
        <w:gridCol w:w="3181"/>
      </w:tblGrid>
      <w:tr w14:paraId="09DB4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blHeader/>
          <w:jc w:val="center"/>
        </w:trPr>
        <w:tc>
          <w:tcPr>
            <w:tcW w:w="2577" w:type="dxa"/>
            <w:tcBorders>
              <w:top w:val="single" w:color="auto" w:sz="4" w:space="0"/>
              <w:left w:val="single" w:color="auto" w:sz="4" w:space="0"/>
            </w:tcBorders>
            <w:noWrap/>
            <w:vAlign w:val="center"/>
          </w:tcPr>
          <w:p w14:paraId="3FAC20FE">
            <w:pPr>
              <w:autoSpaceDE w:val="0"/>
              <w:autoSpaceDN w:val="0"/>
              <w:spacing w:afterLines="0" w:line="240" w:lineRule="auto"/>
              <w:ind w:left="1"/>
              <w:textAlignment w:val="bottom"/>
              <w:rPr>
                <w:rFonts w:ascii="宋体" w:hAnsi="宋体" w:eastAsia="宋体" w:cs="宋体"/>
                <w:color w:val="auto"/>
                <w:sz w:val="21"/>
                <w:szCs w:val="21"/>
              </w:rPr>
            </w:pPr>
            <w:r>
              <w:rPr>
                <w:rFonts w:hint="eastAsia" w:ascii="宋体" w:hAnsi="宋体" w:eastAsia="宋体" w:cs="宋体"/>
                <w:color w:val="auto"/>
                <w:sz w:val="21"/>
                <w:szCs w:val="21"/>
              </w:rPr>
              <w:t>控制项目</w:t>
            </w:r>
          </w:p>
        </w:tc>
        <w:tc>
          <w:tcPr>
            <w:tcW w:w="3181" w:type="dxa"/>
            <w:tcBorders>
              <w:top w:val="single" w:color="auto" w:sz="4" w:space="0"/>
              <w:bottom w:val="single" w:color="auto" w:sz="2" w:space="0"/>
              <w:right w:val="single" w:color="auto" w:sz="4" w:space="0"/>
            </w:tcBorders>
            <w:noWrap/>
            <w:vAlign w:val="center"/>
          </w:tcPr>
          <w:p w14:paraId="028825EB">
            <w:pPr>
              <w:autoSpaceDE w:val="0"/>
              <w:autoSpaceDN w:val="0"/>
              <w:spacing w:afterLines="0" w:line="240" w:lineRule="auto"/>
              <w:ind w:left="1"/>
              <w:textAlignment w:val="bottom"/>
              <w:rPr>
                <w:rFonts w:ascii="宋体" w:hAnsi="宋体" w:eastAsia="宋体" w:cs="宋体"/>
                <w:color w:val="auto"/>
                <w:sz w:val="21"/>
                <w:szCs w:val="21"/>
              </w:rPr>
            </w:pPr>
            <w:r>
              <w:rPr>
                <w:rFonts w:hint="eastAsia" w:ascii="宋体" w:hAnsi="宋体" w:eastAsia="宋体" w:cs="宋体"/>
                <w:color w:val="auto"/>
                <w:sz w:val="21"/>
                <w:szCs w:val="21"/>
              </w:rPr>
              <w:t>指标</w:t>
            </w:r>
          </w:p>
        </w:tc>
      </w:tr>
      <w:tr w14:paraId="1DA23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blHeader/>
          <w:jc w:val="center"/>
        </w:trPr>
        <w:tc>
          <w:tcPr>
            <w:tcW w:w="2577" w:type="dxa"/>
            <w:tcBorders>
              <w:left w:val="single" w:color="auto" w:sz="4" w:space="0"/>
              <w:bottom w:val="single" w:color="auto" w:sz="2" w:space="0"/>
            </w:tcBorders>
            <w:noWrap/>
            <w:vAlign w:val="center"/>
          </w:tcPr>
          <w:p w14:paraId="36990592">
            <w:pPr>
              <w:autoSpaceDE w:val="0"/>
              <w:autoSpaceDN w:val="0"/>
              <w:spacing w:afterLines="0" w:line="240" w:lineRule="auto"/>
              <w:ind w:left="1"/>
              <w:textAlignment w:val="bottom"/>
              <w:rPr>
                <w:rFonts w:ascii="宋体" w:hAnsi="宋体" w:eastAsia="宋体" w:cs="宋体"/>
                <w:color w:val="auto"/>
                <w:sz w:val="21"/>
                <w:szCs w:val="21"/>
              </w:rPr>
            </w:pPr>
            <w:r>
              <w:rPr>
                <w:rFonts w:hint="eastAsia" w:ascii="宋体" w:hAnsi="宋体" w:eastAsia="宋体" w:cs="宋体"/>
                <w:color w:val="auto"/>
                <w:sz w:val="21"/>
                <w:szCs w:val="21"/>
              </w:rPr>
              <w:t>全甘油含量，%</w:t>
            </w:r>
          </w:p>
        </w:tc>
        <w:tc>
          <w:tcPr>
            <w:tcW w:w="3181" w:type="dxa"/>
            <w:tcBorders>
              <w:top w:val="single" w:color="auto" w:sz="4" w:space="0"/>
              <w:bottom w:val="single" w:color="auto" w:sz="2" w:space="0"/>
              <w:right w:val="single" w:color="auto" w:sz="4" w:space="0"/>
            </w:tcBorders>
            <w:noWrap/>
            <w:vAlign w:val="center"/>
          </w:tcPr>
          <w:p w14:paraId="15A6D837">
            <w:pPr>
              <w:autoSpaceDE w:val="0"/>
              <w:autoSpaceDN w:val="0"/>
              <w:spacing w:afterLines="0" w:line="240" w:lineRule="auto"/>
              <w:ind w:left="1"/>
              <w:textAlignment w:val="bottom"/>
              <w:rPr>
                <w:rFonts w:ascii="宋体" w:hAnsi="宋体" w:eastAsia="宋体" w:cs="宋体"/>
                <w:color w:val="auto"/>
                <w:sz w:val="21"/>
                <w:szCs w:val="21"/>
              </w:rPr>
            </w:pPr>
            <w:r>
              <w:rPr>
                <w:rFonts w:hint="eastAsia" w:ascii="宋体" w:hAnsi="宋体" w:eastAsia="宋体" w:cs="宋体"/>
                <w:color w:val="auto"/>
                <w:sz w:val="21"/>
                <w:szCs w:val="21"/>
              </w:rPr>
              <w:t>≤60</w:t>
            </w:r>
          </w:p>
        </w:tc>
      </w:tr>
      <w:tr w14:paraId="2650A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blHeader/>
          <w:jc w:val="center"/>
        </w:trPr>
        <w:tc>
          <w:tcPr>
            <w:tcW w:w="2577" w:type="dxa"/>
            <w:tcBorders>
              <w:left w:val="single" w:color="auto" w:sz="4" w:space="0"/>
              <w:bottom w:val="single" w:color="auto" w:sz="2" w:space="0"/>
            </w:tcBorders>
            <w:noWrap/>
            <w:vAlign w:val="center"/>
          </w:tcPr>
          <w:p w14:paraId="23E7ACE5">
            <w:pPr>
              <w:autoSpaceDE w:val="0"/>
              <w:autoSpaceDN w:val="0"/>
              <w:spacing w:afterLines="0" w:line="240" w:lineRule="auto"/>
              <w:ind w:left="1"/>
              <w:textAlignment w:val="bottom"/>
              <w:rPr>
                <w:rFonts w:ascii="宋体" w:hAnsi="宋体" w:eastAsia="宋体" w:cs="宋体"/>
                <w:color w:val="auto"/>
                <w:sz w:val="21"/>
                <w:szCs w:val="21"/>
              </w:rPr>
            </w:pPr>
            <w:r>
              <w:rPr>
                <w:rFonts w:hint="eastAsia" w:ascii="宋体" w:hAnsi="宋体" w:eastAsia="宋体" w:cs="宋体"/>
                <w:color w:val="auto"/>
                <w:sz w:val="21"/>
                <w:szCs w:val="21"/>
              </w:rPr>
              <w:t>灼烧残渣，%</w:t>
            </w:r>
          </w:p>
        </w:tc>
        <w:tc>
          <w:tcPr>
            <w:tcW w:w="3181" w:type="dxa"/>
            <w:tcBorders>
              <w:top w:val="single" w:color="auto" w:sz="4" w:space="0"/>
              <w:bottom w:val="single" w:color="auto" w:sz="2" w:space="0"/>
              <w:right w:val="single" w:color="auto" w:sz="4" w:space="0"/>
            </w:tcBorders>
            <w:noWrap/>
            <w:vAlign w:val="center"/>
          </w:tcPr>
          <w:p w14:paraId="2ED0D9BC">
            <w:pPr>
              <w:autoSpaceDE w:val="0"/>
              <w:autoSpaceDN w:val="0"/>
              <w:spacing w:afterLines="0" w:line="240" w:lineRule="auto"/>
              <w:ind w:left="1"/>
              <w:textAlignment w:val="bottom"/>
              <w:rPr>
                <w:rFonts w:ascii="宋体" w:hAnsi="宋体" w:eastAsia="宋体" w:cs="宋体"/>
                <w:color w:val="auto"/>
                <w:sz w:val="21"/>
                <w:szCs w:val="21"/>
              </w:rPr>
            </w:pPr>
            <w:r>
              <w:rPr>
                <w:rFonts w:hint="eastAsia" w:ascii="宋体" w:hAnsi="宋体" w:eastAsia="宋体" w:cs="宋体"/>
                <w:color w:val="auto"/>
                <w:sz w:val="21"/>
                <w:szCs w:val="21"/>
              </w:rPr>
              <w:t>≤15</w:t>
            </w:r>
          </w:p>
        </w:tc>
      </w:tr>
      <w:tr w14:paraId="66BF4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blHeader/>
          <w:jc w:val="center"/>
        </w:trPr>
        <w:tc>
          <w:tcPr>
            <w:tcW w:w="5758" w:type="dxa"/>
            <w:gridSpan w:val="2"/>
            <w:tcBorders>
              <w:top w:val="single" w:color="auto" w:sz="2" w:space="0"/>
              <w:left w:val="single" w:color="auto" w:sz="4" w:space="0"/>
              <w:bottom w:val="single" w:color="auto" w:sz="2" w:space="0"/>
              <w:right w:val="single" w:color="auto" w:sz="4" w:space="0"/>
            </w:tcBorders>
            <w:noWrap/>
            <w:vAlign w:val="center"/>
          </w:tcPr>
          <w:p w14:paraId="10AD5D98">
            <w:pPr>
              <w:autoSpaceDE w:val="0"/>
              <w:autoSpaceDN w:val="0"/>
              <w:spacing w:afterLines="0" w:line="240" w:lineRule="auto"/>
              <w:ind w:left="1"/>
              <w:textAlignment w:val="bottom"/>
              <w:rPr>
                <w:rFonts w:ascii="宋体" w:hAnsi="宋体" w:eastAsia="宋体" w:cs="宋体"/>
                <w:color w:val="auto"/>
                <w:sz w:val="21"/>
                <w:szCs w:val="21"/>
              </w:rPr>
            </w:pPr>
            <w:r>
              <w:rPr>
                <w:rFonts w:hint="eastAsia" w:ascii="宋体" w:hAnsi="宋体" w:eastAsia="宋体" w:cs="宋体"/>
                <w:color w:val="auto"/>
                <w:sz w:val="21"/>
                <w:szCs w:val="21"/>
              </w:rPr>
              <w:t>注：客户另有要求时，可按合同进行。</w:t>
            </w:r>
          </w:p>
        </w:tc>
      </w:tr>
    </w:tbl>
    <w:p w14:paraId="7C051F55">
      <w:pPr>
        <w:tabs>
          <w:tab w:val="left" w:pos="2836"/>
        </w:tabs>
        <w:spacing w:afterLines="0" w:line="240" w:lineRule="auto"/>
        <w:ind w:left="1"/>
        <w:outlineLvl w:val="0"/>
        <w:rPr>
          <w:rFonts w:ascii="黑体" w:hAnsi="黑体" w:eastAsia="黑体" w:cs="黑体"/>
          <w:color w:val="auto"/>
          <w:sz w:val="21"/>
          <w:szCs w:val="21"/>
        </w:rPr>
      </w:pPr>
    </w:p>
    <w:p w14:paraId="32317B9C">
      <w:pPr>
        <w:tabs>
          <w:tab w:val="left" w:pos="2836"/>
        </w:tabs>
        <w:spacing w:afterLines="0" w:line="240" w:lineRule="auto"/>
        <w:ind w:left="1"/>
        <w:outlineLvl w:val="0"/>
        <w:rPr>
          <w:rFonts w:ascii="黑体" w:hAnsi="黑体" w:eastAsia="黑体" w:cs="黑体"/>
          <w:color w:val="auto"/>
          <w:sz w:val="21"/>
          <w:szCs w:val="21"/>
        </w:rPr>
      </w:pPr>
      <w:r>
        <w:rPr>
          <w:rFonts w:hint="eastAsia" w:ascii="黑体" w:hAnsi="黑体" w:eastAsia="黑体" w:cs="黑体"/>
          <w:color w:val="auto"/>
          <w:sz w:val="21"/>
          <w:szCs w:val="21"/>
        </w:rPr>
        <w:t>5  试验方法</w:t>
      </w:r>
    </w:p>
    <w:p w14:paraId="6DBCEAED">
      <w:pPr>
        <w:tabs>
          <w:tab w:val="left" w:pos="2836"/>
        </w:tabs>
        <w:spacing w:afterLines="0" w:line="240" w:lineRule="auto"/>
        <w:ind w:left="1" w:firstLine="567" w:firstLineChars="270"/>
        <w:rPr>
          <w:rFonts w:ascii="宋体" w:hAnsi="宋体" w:eastAsia="宋体" w:cs="宋体"/>
          <w:color w:val="auto"/>
          <w:sz w:val="21"/>
          <w:szCs w:val="21"/>
        </w:rPr>
      </w:pPr>
      <w:r>
        <w:rPr>
          <w:rFonts w:hint="eastAsia" w:ascii="宋体" w:hAnsi="宋体" w:eastAsia="宋体" w:cs="宋体"/>
          <w:color w:val="auto"/>
          <w:sz w:val="21"/>
          <w:szCs w:val="21"/>
        </w:rPr>
        <w:t>除非另有说明，在分析中仅使用确认为分析纯的试剂和符合GB/T 6682的三级水。</w:t>
      </w:r>
      <w:r>
        <w:rPr>
          <w:rFonts w:hint="eastAsia" w:ascii="宋体" w:hAnsi="宋体" w:eastAsia="宋体" w:cs="宋体"/>
          <w:color w:val="auto"/>
          <w:sz w:val="21"/>
          <w:szCs w:val="21"/>
          <w:lang w:bidi="zh-CN"/>
        </w:rPr>
        <w:t>分析过程中使用的标准溶液按照QB/T2739-2005的规定配制。</w:t>
      </w:r>
    </w:p>
    <w:p w14:paraId="15A3FCF5">
      <w:pPr>
        <w:tabs>
          <w:tab w:val="left" w:pos="2836"/>
        </w:tabs>
        <w:spacing w:afterLines="0" w:line="240" w:lineRule="auto"/>
        <w:ind w:left="1"/>
        <w:rPr>
          <w:rFonts w:ascii="宋体" w:hAnsi="宋体" w:eastAsia="宋体" w:cs="宋体"/>
          <w:color w:val="auto"/>
          <w:sz w:val="21"/>
          <w:szCs w:val="21"/>
        </w:rPr>
      </w:pPr>
    </w:p>
    <w:p w14:paraId="34D946F3">
      <w:pPr>
        <w:tabs>
          <w:tab w:val="left" w:pos="2836"/>
        </w:tabs>
        <w:spacing w:afterLines="0" w:line="240" w:lineRule="auto"/>
        <w:ind w:left="1"/>
        <w:rPr>
          <w:rFonts w:ascii="黑体" w:hAnsi="黑体" w:eastAsia="黑体" w:cs="黑体"/>
          <w:color w:val="auto"/>
          <w:sz w:val="21"/>
          <w:szCs w:val="21"/>
        </w:rPr>
      </w:pPr>
      <w:r>
        <w:rPr>
          <w:rFonts w:hint="eastAsia" w:ascii="黑体" w:hAnsi="黑体" w:eastAsia="黑体" w:cs="黑体"/>
          <w:color w:val="auto"/>
          <w:sz w:val="21"/>
          <w:szCs w:val="21"/>
        </w:rPr>
        <w:t>5.1  样品制备</w:t>
      </w:r>
    </w:p>
    <w:p w14:paraId="2CE7F780">
      <w:pPr>
        <w:tabs>
          <w:tab w:val="left" w:pos="2836"/>
        </w:tabs>
        <w:spacing w:afterLines="0" w:line="240" w:lineRule="auto"/>
        <w:ind w:left="1" w:firstLine="424" w:firstLineChars="202"/>
        <w:rPr>
          <w:rFonts w:ascii="宋体" w:hAnsi="宋体" w:eastAsia="宋体" w:cs="宋体"/>
          <w:color w:val="auto"/>
          <w:sz w:val="21"/>
          <w:szCs w:val="21"/>
        </w:rPr>
      </w:pPr>
      <w:r>
        <w:rPr>
          <w:rFonts w:hint="eastAsia" w:ascii="宋体" w:hAnsi="宋体" w:eastAsia="宋体" w:cs="宋体"/>
          <w:color w:val="auto"/>
          <w:sz w:val="21"/>
          <w:szCs w:val="21"/>
        </w:rPr>
        <w:t>将样品混合均匀后方可取样试验。</w:t>
      </w:r>
    </w:p>
    <w:p w14:paraId="1158749D">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5.2  全甘油含量</w:t>
      </w:r>
    </w:p>
    <w:p w14:paraId="21D79D91">
      <w:pPr>
        <w:tabs>
          <w:tab w:val="left" w:pos="2836"/>
        </w:tabs>
        <w:spacing w:afterLines="0" w:line="240" w:lineRule="auto"/>
        <w:ind w:left="1" w:firstLine="424" w:firstLineChars="202"/>
        <w:rPr>
          <w:rFonts w:ascii="宋体" w:hAnsi="宋体" w:eastAsia="宋体" w:cs="宋体"/>
          <w:color w:val="auto"/>
          <w:sz w:val="21"/>
          <w:szCs w:val="21"/>
        </w:rPr>
      </w:pPr>
      <w:r>
        <w:rPr>
          <w:rFonts w:hint="eastAsia" w:ascii="宋体" w:hAnsi="宋体" w:eastAsia="宋体" w:cs="宋体"/>
          <w:color w:val="auto"/>
          <w:sz w:val="21"/>
          <w:szCs w:val="21"/>
        </w:rPr>
        <w:t>按GB/T 13216中9.3的规定进行试验。</w:t>
      </w:r>
    </w:p>
    <w:p w14:paraId="1CA6E878">
      <w:pPr>
        <w:tabs>
          <w:tab w:val="left" w:pos="2836"/>
        </w:tabs>
        <w:spacing w:afterLines="0" w:line="240" w:lineRule="auto"/>
        <w:ind w:left="1"/>
        <w:outlineLvl w:val="0"/>
        <w:rPr>
          <w:rFonts w:ascii="黑体" w:hAnsi="黑体" w:eastAsia="黑体" w:cs="黑体"/>
          <w:color w:val="auto"/>
          <w:sz w:val="21"/>
          <w:szCs w:val="21"/>
        </w:rPr>
      </w:pPr>
      <w:r>
        <w:rPr>
          <w:rFonts w:hint="eastAsia" w:ascii="黑体" w:hAnsi="黑体" w:eastAsia="黑体" w:cs="黑体"/>
          <w:color w:val="auto"/>
          <w:sz w:val="21"/>
          <w:szCs w:val="21"/>
        </w:rPr>
        <w:t>6  检验规则</w:t>
      </w:r>
    </w:p>
    <w:p w14:paraId="7165B6BB">
      <w:pPr>
        <w:tabs>
          <w:tab w:val="left" w:pos="2836"/>
        </w:tabs>
        <w:spacing w:afterLines="0" w:line="240" w:lineRule="auto"/>
        <w:ind w:left="1"/>
        <w:outlineLvl w:val="0"/>
        <w:rPr>
          <w:rFonts w:ascii="黑体" w:hAnsi="黑体" w:eastAsia="黑体" w:cs="黑体"/>
          <w:color w:val="auto"/>
          <w:sz w:val="21"/>
          <w:szCs w:val="21"/>
        </w:rPr>
      </w:pPr>
    </w:p>
    <w:p w14:paraId="150652AB">
      <w:pPr>
        <w:tabs>
          <w:tab w:val="left" w:pos="2836"/>
        </w:tabs>
        <w:spacing w:afterLines="0" w:line="360" w:lineRule="auto"/>
        <w:ind w:left="1"/>
        <w:outlineLvl w:val="1"/>
        <w:rPr>
          <w:rFonts w:ascii="宋体" w:hAnsi="宋体" w:eastAsia="宋体" w:cs="宋体"/>
          <w:color w:val="auto"/>
          <w:sz w:val="21"/>
          <w:szCs w:val="21"/>
        </w:rPr>
      </w:pPr>
      <w:r>
        <w:rPr>
          <w:rFonts w:hint="eastAsia" w:ascii="黑体" w:hAnsi="黑体" w:eastAsia="黑体" w:cs="黑体"/>
          <w:color w:val="auto"/>
          <w:sz w:val="21"/>
          <w:szCs w:val="21"/>
        </w:rPr>
        <w:t>6.1  检验分类</w:t>
      </w:r>
    </w:p>
    <w:p w14:paraId="7C6EB5FC">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6.1.1  型式检验</w:t>
      </w:r>
    </w:p>
    <w:p w14:paraId="355DE00E">
      <w:pPr>
        <w:tabs>
          <w:tab w:val="left" w:pos="2836"/>
        </w:tabs>
        <w:spacing w:afterLines="0" w:line="240" w:lineRule="auto"/>
        <w:ind w:left="1"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型式检验项目包括第5章的全部项目,在下列情况下应进行型式检验：</w:t>
      </w:r>
    </w:p>
    <w:p w14:paraId="489B943A">
      <w:pPr>
        <w:numPr>
          <w:ilvl w:val="0"/>
          <w:numId w:val="1"/>
        </w:numPr>
        <w:tabs>
          <w:tab w:val="left" w:pos="2836"/>
        </w:tabs>
        <w:spacing w:afterLines="0" w:line="240" w:lineRule="auto"/>
        <w:ind w:left="1"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当生产原料、工艺、设备、管理等方面(包括人员素质）有较大改变，可能影响产品质量时；</w:t>
      </w:r>
    </w:p>
    <w:p w14:paraId="482202CF">
      <w:pPr>
        <w:numPr>
          <w:ilvl w:val="0"/>
          <w:numId w:val="1"/>
        </w:numPr>
        <w:tabs>
          <w:tab w:val="left" w:pos="2836"/>
        </w:tabs>
        <w:spacing w:afterLines="0" w:line="240" w:lineRule="auto"/>
        <w:ind w:left="1"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第一次开车生产时，应进行一次型式检验；</w:t>
      </w:r>
    </w:p>
    <w:p w14:paraId="6B48BE9E">
      <w:pPr>
        <w:numPr>
          <w:ilvl w:val="0"/>
          <w:numId w:val="1"/>
        </w:numPr>
        <w:tabs>
          <w:tab w:val="left" w:pos="2836"/>
        </w:tabs>
        <w:spacing w:afterLines="0" w:line="240" w:lineRule="auto"/>
        <w:ind w:left="1"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长期停产后，恢复生产时；</w:t>
      </w:r>
    </w:p>
    <w:p w14:paraId="0D96CD76">
      <w:pPr>
        <w:numPr>
          <w:ilvl w:val="0"/>
          <w:numId w:val="1"/>
        </w:numPr>
        <w:tabs>
          <w:tab w:val="left" w:pos="2836"/>
        </w:tabs>
        <w:spacing w:afterLines="0" w:line="240" w:lineRule="auto"/>
        <w:ind w:left="1"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出厂检验结果与上次型式检验有较大差异时；</w:t>
      </w:r>
    </w:p>
    <w:p w14:paraId="28DA3E24">
      <w:pPr>
        <w:numPr>
          <w:ilvl w:val="0"/>
          <w:numId w:val="1"/>
        </w:numPr>
        <w:tabs>
          <w:tab w:val="left" w:pos="2836"/>
        </w:tabs>
        <w:spacing w:afterLines="0" w:line="240" w:lineRule="auto"/>
        <w:ind w:left="1"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国家质量监督检验检疫机构提出进行型式检验时；</w:t>
      </w:r>
    </w:p>
    <w:p w14:paraId="7355E20F">
      <w:pPr>
        <w:numPr>
          <w:ilvl w:val="0"/>
          <w:numId w:val="1"/>
        </w:numPr>
        <w:tabs>
          <w:tab w:val="left" w:pos="2836"/>
        </w:tabs>
        <w:spacing w:afterLines="0" w:line="240" w:lineRule="auto"/>
        <w:ind w:left="1" w:firstLine="424" w:firstLineChars="202"/>
        <w:outlineLvl w:val="1"/>
        <w:rPr>
          <w:rFonts w:ascii="宋体" w:hAnsi="宋体" w:eastAsia="宋体" w:cs="宋体"/>
          <w:color w:val="auto"/>
          <w:sz w:val="21"/>
          <w:szCs w:val="21"/>
        </w:rPr>
      </w:pPr>
      <w:r>
        <w:rPr>
          <w:rFonts w:hint="eastAsia" w:ascii="宋体" w:hAnsi="宋体" w:eastAsia="宋体" w:cs="宋体"/>
          <w:color w:val="auto"/>
          <w:sz w:val="21"/>
          <w:szCs w:val="21"/>
        </w:rPr>
        <w:t>有客户提出要求进行型式检验时。</w:t>
      </w:r>
    </w:p>
    <w:p w14:paraId="2F912D46">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6.1.2  出厂检验</w:t>
      </w:r>
    </w:p>
    <w:p w14:paraId="763F3E97">
      <w:pPr>
        <w:tabs>
          <w:tab w:val="left" w:pos="2836"/>
        </w:tabs>
        <w:spacing w:afterLines="0" w:line="360" w:lineRule="auto"/>
        <w:ind w:left="1" w:firstLine="424" w:firstLineChars="202"/>
        <w:outlineLvl w:val="1"/>
        <w:rPr>
          <w:rFonts w:ascii="黑体" w:hAnsi="黑体" w:eastAsia="黑体" w:cs="黑体"/>
          <w:color w:val="auto"/>
          <w:sz w:val="21"/>
          <w:szCs w:val="21"/>
        </w:rPr>
      </w:pPr>
      <w:r>
        <w:rPr>
          <w:rFonts w:hint="eastAsia" w:ascii="宋体" w:hAnsi="宋体" w:eastAsia="宋体" w:cs="宋体"/>
          <w:color w:val="auto"/>
          <w:sz w:val="21"/>
          <w:szCs w:val="21"/>
        </w:rPr>
        <w:t>第5章表1要求的项目为出厂检验项目。</w:t>
      </w:r>
    </w:p>
    <w:p w14:paraId="58DB7801">
      <w:pPr>
        <w:tabs>
          <w:tab w:val="left" w:pos="2836"/>
        </w:tabs>
        <w:spacing w:afterLines="50" w:line="24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6.2  组批与抽样规则</w:t>
      </w:r>
    </w:p>
    <w:p w14:paraId="19A35F1F">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6.2.1  组批</w:t>
      </w:r>
    </w:p>
    <w:p w14:paraId="4C888EB1">
      <w:pPr>
        <w:tabs>
          <w:tab w:val="left" w:pos="2836"/>
        </w:tabs>
        <w:spacing w:afterLines="0" w:line="240" w:lineRule="auto"/>
        <w:ind w:left="1" w:firstLine="424" w:firstLineChars="202"/>
        <w:rPr>
          <w:rFonts w:ascii="宋体" w:hAnsi="宋体" w:eastAsia="宋体" w:cs="宋体"/>
          <w:color w:val="auto"/>
          <w:sz w:val="21"/>
          <w:szCs w:val="21"/>
        </w:rPr>
      </w:pPr>
      <w:r>
        <w:rPr>
          <w:rFonts w:hint="eastAsia" w:ascii="宋体" w:hAnsi="宋体" w:eastAsia="宋体" w:cs="宋体"/>
          <w:color w:val="auto"/>
          <w:sz w:val="21"/>
          <w:szCs w:val="21"/>
        </w:rPr>
        <w:t>产品按批交付验收，一次交付的同一规格、同一批号的产品为一交付批。</w:t>
      </w:r>
    </w:p>
    <w:p w14:paraId="6B4C10E8">
      <w:pPr>
        <w:tabs>
          <w:tab w:val="left" w:pos="2836"/>
        </w:tabs>
        <w:spacing w:afterLines="0" w:line="240" w:lineRule="auto"/>
        <w:ind w:left="1" w:firstLine="424" w:firstLineChars="202"/>
        <w:rPr>
          <w:rFonts w:ascii="宋体" w:hAnsi="宋体" w:eastAsia="宋体" w:cs="宋体"/>
          <w:color w:val="auto"/>
          <w:sz w:val="21"/>
          <w:szCs w:val="21"/>
        </w:rPr>
      </w:pPr>
      <w:r>
        <w:rPr>
          <w:rFonts w:hint="eastAsia" w:ascii="宋体" w:hAnsi="宋体" w:eastAsia="宋体" w:cs="宋体"/>
          <w:color w:val="auto"/>
          <w:sz w:val="21"/>
          <w:szCs w:val="21"/>
        </w:rPr>
        <w:t>每批产品应检验合格并出具质量检验报告后方可出厂。</w:t>
      </w:r>
    </w:p>
    <w:p w14:paraId="78879401">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6.2.2  抽样规则</w:t>
      </w:r>
    </w:p>
    <w:p w14:paraId="69BA2CB8">
      <w:pPr>
        <w:tabs>
          <w:tab w:val="left" w:pos="2836"/>
        </w:tabs>
        <w:spacing w:afterLines="0" w:line="240" w:lineRule="auto"/>
        <w:ind w:left="1" w:firstLine="424" w:firstLineChars="202"/>
        <w:rPr>
          <w:rFonts w:ascii="宋体" w:hAnsi="宋体" w:eastAsia="宋体" w:cs="宋体"/>
          <w:color w:val="auto"/>
          <w:sz w:val="21"/>
          <w:szCs w:val="21"/>
        </w:rPr>
      </w:pPr>
      <w:r>
        <w:rPr>
          <w:rFonts w:hint="eastAsia" w:ascii="宋体" w:hAnsi="宋体" w:eastAsia="宋体" w:cs="宋体"/>
          <w:color w:val="auto"/>
          <w:sz w:val="21"/>
          <w:szCs w:val="21"/>
        </w:rPr>
        <w:t>收货单位验收或仲裁检验所需的样品应根据产品批量大小，按表2确定样本大小，交收双方会同在交货地点从交付批中随机抽取样本单位。</w:t>
      </w:r>
    </w:p>
    <w:p w14:paraId="7F1D21C6">
      <w:pPr>
        <w:autoSpaceDE w:val="0"/>
        <w:autoSpaceDN w:val="0"/>
        <w:spacing w:beforeLines="50" w:afterLines="50" w:line="360" w:lineRule="atLeast"/>
        <w:ind w:left="1" w:right="-149" w:rightChars="-62"/>
        <w:textAlignment w:val="bottom"/>
        <w:rPr>
          <w:rFonts w:ascii="黑体" w:eastAsia="黑体"/>
          <w:color w:val="auto"/>
          <w:sz w:val="21"/>
          <w:szCs w:val="21"/>
        </w:rPr>
      </w:pPr>
      <w:r>
        <w:rPr>
          <w:rFonts w:hint="eastAsia" w:ascii="黑体" w:eastAsia="黑体"/>
          <w:color w:val="auto"/>
          <w:sz w:val="21"/>
          <w:szCs w:val="21"/>
        </w:rPr>
        <w:t>表 2批量和样本大小</w:t>
      </w:r>
    </w:p>
    <w:p w14:paraId="3C7405C7">
      <w:pPr>
        <w:tabs>
          <w:tab w:val="left" w:pos="2836"/>
        </w:tabs>
        <w:spacing w:afterLines="0" w:line="240" w:lineRule="auto"/>
        <w:ind w:left="1" w:right="105"/>
        <w:jc w:val="right"/>
        <w:rPr>
          <w:rFonts w:ascii="宋体" w:hAnsi="宋体" w:eastAsia="宋体" w:cs="宋体"/>
          <w:color w:val="auto"/>
          <w:sz w:val="21"/>
          <w:szCs w:val="21"/>
        </w:rPr>
      </w:pPr>
      <w:r>
        <w:rPr>
          <w:rFonts w:hint="eastAsia" w:ascii="宋体" w:hAnsi="宋体" w:eastAsia="宋体" w:cs="宋体"/>
          <w:color w:val="auto"/>
          <w:sz w:val="21"/>
          <w:szCs w:val="21"/>
        </w:rPr>
        <w:t>单位为桶/件</w:t>
      </w:r>
    </w:p>
    <w:tbl>
      <w:tblPr>
        <w:tblStyle w:val="6"/>
        <w:tblW w:w="91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4"/>
        <w:gridCol w:w="1062"/>
        <w:gridCol w:w="1117"/>
        <w:gridCol w:w="1117"/>
        <w:gridCol w:w="1117"/>
        <w:gridCol w:w="1117"/>
        <w:gridCol w:w="1118"/>
        <w:gridCol w:w="1327"/>
      </w:tblGrid>
      <w:tr w14:paraId="70F7B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tblHeader/>
          <w:jc w:val="center"/>
        </w:trPr>
        <w:tc>
          <w:tcPr>
            <w:tcW w:w="1174" w:type="dxa"/>
            <w:tcBorders>
              <w:top w:val="single" w:color="auto" w:sz="2" w:space="0"/>
              <w:left w:val="single" w:color="auto" w:sz="4" w:space="0"/>
              <w:bottom w:val="single" w:color="auto" w:sz="2" w:space="0"/>
            </w:tcBorders>
            <w:noWrap/>
            <w:vAlign w:val="center"/>
          </w:tcPr>
          <w:p w14:paraId="45E493B5">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批量</w:t>
            </w:r>
          </w:p>
        </w:tc>
        <w:tc>
          <w:tcPr>
            <w:tcW w:w="1062" w:type="dxa"/>
            <w:tcBorders>
              <w:top w:val="single" w:color="auto" w:sz="2" w:space="0"/>
              <w:bottom w:val="single" w:color="auto" w:sz="2" w:space="0"/>
              <w:right w:val="single" w:color="auto" w:sz="4" w:space="0"/>
            </w:tcBorders>
            <w:noWrap/>
            <w:vAlign w:val="center"/>
          </w:tcPr>
          <w:p w14:paraId="11ECD020">
            <w:pPr>
              <w:autoSpaceDE w:val="0"/>
              <w:autoSpaceDN w:val="0"/>
              <w:spacing w:afterLines="0" w:line="240" w:lineRule="auto"/>
              <w:ind w:left="1"/>
              <w:jc w:val="center"/>
              <w:textAlignment w:val="bottom"/>
              <w:rPr>
                <w:rFonts w:ascii="宋体" w:hAnsi="宋体" w:cs="宋体"/>
                <w:color w:val="auto"/>
                <w:sz w:val="21"/>
                <w:szCs w:val="21"/>
              </w:rPr>
            </w:pPr>
            <w:r>
              <w:rPr>
                <w:rFonts w:hint="eastAsia" w:ascii="宋体" w:hAnsi="宋体" w:cs="宋体"/>
                <w:color w:val="auto"/>
                <w:sz w:val="21"/>
                <w:szCs w:val="21"/>
              </w:rPr>
              <w:t>≤15</w:t>
            </w:r>
          </w:p>
        </w:tc>
        <w:tc>
          <w:tcPr>
            <w:tcW w:w="1117" w:type="dxa"/>
            <w:tcBorders>
              <w:top w:val="single" w:color="auto" w:sz="2" w:space="0"/>
              <w:bottom w:val="single" w:color="auto" w:sz="2" w:space="0"/>
              <w:right w:val="single" w:color="auto" w:sz="4" w:space="0"/>
            </w:tcBorders>
            <w:noWrap/>
            <w:vAlign w:val="center"/>
          </w:tcPr>
          <w:p w14:paraId="354A48BC">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16～25</w:t>
            </w:r>
          </w:p>
        </w:tc>
        <w:tc>
          <w:tcPr>
            <w:tcW w:w="1117" w:type="dxa"/>
            <w:tcBorders>
              <w:top w:val="single" w:color="auto" w:sz="2" w:space="0"/>
              <w:bottom w:val="single" w:color="auto" w:sz="2" w:space="0"/>
              <w:right w:val="single" w:color="auto" w:sz="4" w:space="0"/>
            </w:tcBorders>
            <w:noWrap/>
            <w:vAlign w:val="center"/>
          </w:tcPr>
          <w:p w14:paraId="3E435759">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26～90</w:t>
            </w:r>
          </w:p>
        </w:tc>
        <w:tc>
          <w:tcPr>
            <w:tcW w:w="1117" w:type="dxa"/>
            <w:tcBorders>
              <w:top w:val="single" w:color="auto" w:sz="2" w:space="0"/>
              <w:bottom w:val="single" w:color="auto" w:sz="2" w:space="0"/>
              <w:right w:val="single" w:color="auto" w:sz="4" w:space="0"/>
            </w:tcBorders>
            <w:noWrap/>
            <w:vAlign w:val="center"/>
          </w:tcPr>
          <w:p w14:paraId="2188BDDE">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91~150</w:t>
            </w:r>
          </w:p>
        </w:tc>
        <w:tc>
          <w:tcPr>
            <w:tcW w:w="1117" w:type="dxa"/>
            <w:tcBorders>
              <w:top w:val="single" w:color="auto" w:sz="2" w:space="0"/>
              <w:bottom w:val="single" w:color="auto" w:sz="2" w:space="0"/>
              <w:right w:val="single" w:color="auto" w:sz="4" w:space="0"/>
            </w:tcBorders>
            <w:noWrap/>
            <w:vAlign w:val="center"/>
          </w:tcPr>
          <w:p w14:paraId="41E0EEC6">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151~500</w:t>
            </w:r>
          </w:p>
        </w:tc>
        <w:tc>
          <w:tcPr>
            <w:tcW w:w="1118" w:type="dxa"/>
            <w:tcBorders>
              <w:top w:val="single" w:color="auto" w:sz="2" w:space="0"/>
              <w:bottom w:val="single" w:color="auto" w:sz="2" w:space="0"/>
              <w:right w:val="single" w:color="auto" w:sz="4" w:space="0"/>
            </w:tcBorders>
            <w:noWrap/>
            <w:vAlign w:val="center"/>
          </w:tcPr>
          <w:p w14:paraId="5F092572">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501~1200</w:t>
            </w:r>
          </w:p>
        </w:tc>
        <w:tc>
          <w:tcPr>
            <w:tcW w:w="1327" w:type="dxa"/>
            <w:tcBorders>
              <w:top w:val="single" w:color="auto" w:sz="2" w:space="0"/>
              <w:bottom w:val="single" w:color="auto" w:sz="2" w:space="0"/>
              <w:right w:val="single" w:color="auto" w:sz="4" w:space="0"/>
            </w:tcBorders>
            <w:noWrap/>
            <w:vAlign w:val="center"/>
          </w:tcPr>
          <w:p w14:paraId="23B46C5F">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≥1201</w:t>
            </w:r>
          </w:p>
        </w:tc>
      </w:tr>
      <w:tr w14:paraId="10762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tblHeader/>
          <w:jc w:val="center"/>
        </w:trPr>
        <w:tc>
          <w:tcPr>
            <w:tcW w:w="1174" w:type="dxa"/>
            <w:tcBorders>
              <w:top w:val="single" w:color="auto" w:sz="2" w:space="0"/>
              <w:left w:val="single" w:color="auto" w:sz="4" w:space="0"/>
              <w:bottom w:val="single" w:color="auto" w:sz="2" w:space="0"/>
            </w:tcBorders>
            <w:noWrap/>
            <w:vAlign w:val="center"/>
          </w:tcPr>
          <w:p w14:paraId="19485F49">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样本</w:t>
            </w:r>
          </w:p>
        </w:tc>
        <w:tc>
          <w:tcPr>
            <w:tcW w:w="1062" w:type="dxa"/>
            <w:tcBorders>
              <w:top w:val="single" w:color="auto" w:sz="2" w:space="0"/>
              <w:bottom w:val="single" w:color="auto" w:sz="2" w:space="0"/>
              <w:right w:val="single" w:color="auto" w:sz="4" w:space="0"/>
            </w:tcBorders>
            <w:noWrap/>
            <w:vAlign w:val="center"/>
          </w:tcPr>
          <w:p w14:paraId="2D6AC948">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1117" w:type="dxa"/>
            <w:tcBorders>
              <w:top w:val="single" w:color="auto" w:sz="2" w:space="0"/>
              <w:bottom w:val="single" w:color="auto" w:sz="2" w:space="0"/>
              <w:right w:val="single" w:color="auto" w:sz="4" w:space="0"/>
            </w:tcBorders>
            <w:noWrap/>
            <w:vAlign w:val="center"/>
          </w:tcPr>
          <w:p w14:paraId="376152D1">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1117" w:type="dxa"/>
            <w:tcBorders>
              <w:top w:val="single" w:color="auto" w:sz="2" w:space="0"/>
              <w:bottom w:val="single" w:color="auto" w:sz="2" w:space="0"/>
              <w:right w:val="single" w:color="auto" w:sz="4" w:space="0"/>
            </w:tcBorders>
            <w:noWrap/>
            <w:vAlign w:val="center"/>
          </w:tcPr>
          <w:p w14:paraId="2A537BE5">
            <w:pPr>
              <w:autoSpaceDE w:val="0"/>
              <w:autoSpaceDN w:val="0"/>
              <w:spacing w:afterLines="0" w:line="240" w:lineRule="auto"/>
              <w:ind w:left="1" w:firstLine="201" w:firstLineChars="96"/>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5</w:t>
            </w:r>
          </w:p>
        </w:tc>
        <w:tc>
          <w:tcPr>
            <w:tcW w:w="1117" w:type="dxa"/>
            <w:tcBorders>
              <w:top w:val="single" w:color="auto" w:sz="2" w:space="0"/>
              <w:bottom w:val="single" w:color="auto" w:sz="2" w:space="0"/>
              <w:right w:val="single" w:color="auto" w:sz="4" w:space="0"/>
            </w:tcBorders>
            <w:noWrap/>
            <w:vAlign w:val="center"/>
          </w:tcPr>
          <w:p w14:paraId="6AD6B5D9">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8</w:t>
            </w:r>
          </w:p>
        </w:tc>
        <w:tc>
          <w:tcPr>
            <w:tcW w:w="1117" w:type="dxa"/>
            <w:tcBorders>
              <w:top w:val="single" w:color="auto" w:sz="2" w:space="0"/>
              <w:bottom w:val="single" w:color="auto" w:sz="2" w:space="0"/>
              <w:right w:val="single" w:color="auto" w:sz="4" w:space="0"/>
            </w:tcBorders>
            <w:noWrap/>
            <w:vAlign w:val="center"/>
          </w:tcPr>
          <w:p w14:paraId="65526388">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13</w:t>
            </w:r>
          </w:p>
        </w:tc>
        <w:tc>
          <w:tcPr>
            <w:tcW w:w="1118" w:type="dxa"/>
            <w:tcBorders>
              <w:top w:val="single" w:color="auto" w:sz="2" w:space="0"/>
              <w:bottom w:val="single" w:color="auto" w:sz="2" w:space="0"/>
              <w:right w:val="single" w:color="auto" w:sz="4" w:space="0"/>
            </w:tcBorders>
            <w:noWrap/>
            <w:vAlign w:val="center"/>
          </w:tcPr>
          <w:p w14:paraId="524E1035">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20</w:t>
            </w:r>
          </w:p>
        </w:tc>
        <w:tc>
          <w:tcPr>
            <w:tcW w:w="1327" w:type="dxa"/>
            <w:tcBorders>
              <w:top w:val="single" w:color="auto" w:sz="2" w:space="0"/>
              <w:bottom w:val="single" w:color="auto" w:sz="2" w:space="0"/>
              <w:right w:val="single" w:color="auto" w:sz="4" w:space="0"/>
            </w:tcBorders>
            <w:noWrap/>
            <w:vAlign w:val="center"/>
          </w:tcPr>
          <w:p w14:paraId="0C545F14">
            <w:pPr>
              <w:autoSpaceDE w:val="0"/>
              <w:autoSpaceDN w:val="0"/>
              <w:spacing w:afterLines="0" w:line="240" w:lineRule="auto"/>
              <w:ind w:left="1"/>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32</w:t>
            </w:r>
          </w:p>
        </w:tc>
      </w:tr>
    </w:tbl>
    <w:p w14:paraId="7504BD60">
      <w:pPr>
        <w:tabs>
          <w:tab w:val="left" w:pos="2836"/>
        </w:tabs>
        <w:spacing w:beforeLines="50" w:afterLines="0" w:line="240" w:lineRule="auto"/>
        <w:ind w:left="1" w:firstLine="567" w:firstLineChars="270"/>
        <w:rPr>
          <w:rFonts w:ascii="宋体" w:hAnsi="宋体" w:eastAsia="宋体" w:cs="宋体"/>
          <w:color w:val="auto"/>
          <w:sz w:val="21"/>
          <w:szCs w:val="21"/>
        </w:rPr>
      </w:pPr>
      <w:r>
        <w:rPr>
          <w:rFonts w:hint="eastAsia" w:ascii="宋体" w:hAnsi="宋体" w:eastAsia="宋体" w:cs="宋体"/>
          <w:color w:val="auto"/>
          <w:sz w:val="21"/>
          <w:szCs w:val="21"/>
        </w:rPr>
        <w:t>采集样品时用液体采样器自包装中心插入三分之二深处采集样品。从每个样本单位中抽取等量的样品，使总量不少于200mL，混匀后装入一只100mL洁净的样品瓶内，剩余样品用于本批次检验用；留存样品，加盖密封，贴上标签，并注明：样品名称、批号、取样日期、取样人。</w:t>
      </w:r>
    </w:p>
    <w:p w14:paraId="466A5F7A">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6.3  判定规则</w:t>
      </w:r>
    </w:p>
    <w:p w14:paraId="6F6596F6">
      <w:pPr>
        <w:tabs>
          <w:tab w:val="left" w:pos="2836"/>
        </w:tabs>
        <w:spacing w:afterLines="0" w:line="240" w:lineRule="auto"/>
        <w:ind w:left="1"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理化指标检验结果用修约值比较法判定产品合格或不合格。如一次抽检不合格，可再取双倍样品进行复检，复验结果仍有不合格项，则该批产品不合格。交收双方如对复验结果仍有争议，可按本文件商请仲裁检验，仲裁结果为最终依据。</w:t>
      </w:r>
    </w:p>
    <w:p w14:paraId="2F84037B">
      <w:pPr>
        <w:tabs>
          <w:tab w:val="left" w:pos="2836"/>
        </w:tabs>
        <w:spacing w:afterLines="0" w:line="240" w:lineRule="auto"/>
        <w:ind w:left="1"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收货单位根据质量检验合格报告，在一个月内按本文件取样验收或仲裁。</w:t>
      </w:r>
    </w:p>
    <w:p w14:paraId="3347E9DE">
      <w:pPr>
        <w:tabs>
          <w:tab w:val="left" w:pos="2836"/>
        </w:tabs>
        <w:spacing w:afterLines="0" w:line="240" w:lineRule="auto"/>
        <w:ind w:left="1"/>
        <w:outlineLvl w:val="0"/>
        <w:rPr>
          <w:rFonts w:ascii="黑体" w:hAnsi="黑体" w:eastAsia="黑体" w:cs="黑体"/>
          <w:color w:val="auto"/>
          <w:sz w:val="21"/>
          <w:szCs w:val="21"/>
        </w:rPr>
      </w:pPr>
    </w:p>
    <w:p w14:paraId="7700DA1D">
      <w:pPr>
        <w:tabs>
          <w:tab w:val="left" w:pos="2836"/>
        </w:tabs>
        <w:spacing w:afterLines="0" w:line="240" w:lineRule="auto"/>
        <w:ind w:left="1"/>
        <w:outlineLvl w:val="0"/>
        <w:rPr>
          <w:rFonts w:ascii="黑体" w:hAnsi="黑体" w:eastAsia="黑体" w:cs="黑体"/>
          <w:color w:val="auto"/>
          <w:sz w:val="21"/>
          <w:szCs w:val="21"/>
        </w:rPr>
      </w:pPr>
      <w:r>
        <w:rPr>
          <w:rFonts w:hint="eastAsia" w:ascii="黑体" w:hAnsi="黑体" w:eastAsia="黑体" w:cs="黑体"/>
          <w:color w:val="auto"/>
          <w:sz w:val="21"/>
          <w:szCs w:val="21"/>
        </w:rPr>
        <w:t>7  标志、包装、运输、贮存</w:t>
      </w:r>
    </w:p>
    <w:p w14:paraId="32808052">
      <w:pPr>
        <w:tabs>
          <w:tab w:val="left" w:pos="2836"/>
        </w:tabs>
        <w:spacing w:afterLines="0" w:line="240" w:lineRule="auto"/>
        <w:ind w:left="1"/>
        <w:rPr>
          <w:rFonts w:ascii="宋体" w:hAnsi="宋体" w:eastAsia="宋体" w:cs="宋体"/>
          <w:color w:val="auto"/>
          <w:sz w:val="21"/>
          <w:szCs w:val="21"/>
        </w:rPr>
      </w:pPr>
    </w:p>
    <w:p w14:paraId="405A039E">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7.1  标志</w:t>
      </w:r>
    </w:p>
    <w:p w14:paraId="3305A000">
      <w:pPr>
        <w:tabs>
          <w:tab w:val="left" w:pos="2836"/>
        </w:tabs>
        <w:spacing w:afterLines="0" w:line="240" w:lineRule="auto"/>
        <w:ind w:left="1"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每件混合甘油产品的包装应有下列标志：</w:t>
      </w:r>
    </w:p>
    <w:p w14:paraId="48CAC6F8">
      <w:pPr>
        <w:tabs>
          <w:tab w:val="left" w:pos="2836"/>
        </w:tabs>
        <w:spacing w:afterLines="0" w:line="240" w:lineRule="auto"/>
        <w:ind w:left="1"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a）产品名称、类型和执行标准；</w:t>
      </w:r>
    </w:p>
    <w:p w14:paraId="10AB593D">
      <w:pPr>
        <w:tabs>
          <w:tab w:val="left" w:pos="2836"/>
        </w:tabs>
        <w:spacing w:afterLines="0" w:line="240" w:lineRule="auto"/>
        <w:ind w:left="1"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b）产品数量、生产批号或生产日期； </w:t>
      </w:r>
    </w:p>
    <w:p w14:paraId="7A542B00">
      <w:pPr>
        <w:tabs>
          <w:tab w:val="left" w:pos="2836"/>
        </w:tabs>
        <w:spacing w:afterLines="0" w:line="240" w:lineRule="auto"/>
        <w:ind w:left="1"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c）有防晒、防潮等文字或标识； </w:t>
      </w:r>
    </w:p>
    <w:p w14:paraId="225A2858">
      <w:pPr>
        <w:tabs>
          <w:tab w:val="left" w:pos="2836"/>
        </w:tabs>
        <w:spacing w:afterLines="0" w:line="240" w:lineRule="auto"/>
        <w:ind w:left="1" w:firstLine="424" w:firstLineChars="202"/>
        <w:rPr>
          <w:rFonts w:ascii="黑体" w:hAnsi="黑体" w:eastAsia="黑体" w:cs="黑体"/>
          <w:color w:val="auto"/>
          <w:sz w:val="21"/>
          <w:szCs w:val="21"/>
        </w:rPr>
      </w:pPr>
      <w:r>
        <w:rPr>
          <w:rFonts w:hint="eastAsia" w:ascii="宋体" w:hAnsi="宋体" w:eastAsia="宋体" w:cs="宋体"/>
          <w:color w:val="auto"/>
          <w:sz w:val="21"/>
          <w:szCs w:val="21"/>
          <w:lang w:bidi="zh-CN"/>
        </w:rPr>
        <w:t>d）生产商名称、地址和联系电话。</w:t>
      </w:r>
    </w:p>
    <w:p w14:paraId="61AA0571">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7.2  包装</w:t>
      </w:r>
    </w:p>
    <w:p w14:paraId="68752B06">
      <w:pPr>
        <w:tabs>
          <w:tab w:val="left" w:pos="2836"/>
        </w:tabs>
        <w:spacing w:afterLines="0" w:line="240" w:lineRule="auto"/>
        <w:ind w:left="-142" w:leftChars="-59" w:firstLine="567" w:firstLineChars="270"/>
        <w:rPr>
          <w:rFonts w:ascii="宋体" w:hAnsi="宋体" w:eastAsia="宋体" w:cs="宋体"/>
          <w:color w:val="auto"/>
          <w:sz w:val="21"/>
          <w:szCs w:val="21"/>
          <w:lang w:bidi="zh-CN"/>
        </w:rPr>
      </w:pPr>
      <w:r>
        <w:rPr>
          <w:rFonts w:hint="eastAsia" w:ascii="宋体" w:hAnsi="宋体" w:eastAsia="宋体" w:cs="宋体"/>
          <w:color w:val="auto"/>
          <w:sz w:val="21"/>
          <w:szCs w:val="21"/>
          <w:lang w:bidi="zh-CN"/>
        </w:rPr>
        <w:t>散装混合甘油产品一般采用槽车运输，包装混合甘油产品一般用塑料桶。</w:t>
      </w:r>
    </w:p>
    <w:p w14:paraId="128527CE">
      <w:pPr>
        <w:tabs>
          <w:tab w:val="left" w:pos="2836"/>
        </w:tabs>
        <w:spacing w:afterLines="0" w:line="240" w:lineRule="auto"/>
        <w:ind w:left="-142" w:leftChars="-59" w:firstLine="567" w:firstLineChars="270"/>
        <w:rPr>
          <w:rFonts w:ascii="宋体" w:hAnsi="宋体" w:eastAsia="宋体" w:cs="宋体"/>
          <w:color w:val="auto"/>
          <w:sz w:val="21"/>
          <w:szCs w:val="21"/>
          <w:lang w:bidi="zh-CN"/>
        </w:rPr>
      </w:pPr>
      <w:r>
        <w:rPr>
          <w:rFonts w:hint="eastAsia" w:ascii="宋体" w:hAnsi="宋体" w:eastAsia="宋体" w:cs="宋体"/>
          <w:color w:val="auto"/>
          <w:sz w:val="21"/>
          <w:szCs w:val="21"/>
          <w:lang w:bidi="zh-CN"/>
        </w:rPr>
        <w:t>收货单位有特殊要求时，由供需双方协商解决。</w:t>
      </w:r>
    </w:p>
    <w:p w14:paraId="41E8FBA7">
      <w:pPr>
        <w:tabs>
          <w:tab w:val="left" w:pos="2836"/>
        </w:tabs>
        <w:spacing w:afterLines="0" w:line="240" w:lineRule="auto"/>
        <w:ind w:left="-142" w:leftChars="-59" w:firstLine="567" w:firstLineChars="270"/>
        <w:rPr>
          <w:rFonts w:ascii="宋体" w:hAnsi="宋体" w:eastAsia="宋体" w:cs="宋体"/>
          <w:color w:val="auto"/>
          <w:sz w:val="21"/>
          <w:szCs w:val="21"/>
          <w:lang w:bidi="zh-CN"/>
        </w:rPr>
      </w:pPr>
      <w:r>
        <w:rPr>
          <w:rFonts w:hint="eastAsia" w:ascii="宋体" w:hAnsi="宋体" w:eastAsia="宋体" w:cs="宋体"/>
          <w:color w:val="auto"/>
          <w:sz w:val="21"/>
          <w:szCs w:val="21"/>
          <w:lang w:bidi="zh-CN"/>
        </w:rPr>
        <w:t>各种包装物应无破损，清洁无污染，包装后应封口良好。</w:t>
      </w:r>
    </w:p>
    <w:p w14:paraId="4E460C05">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7.3  运输</w:t>
      </w:r>
    </w:p>
    <w:p w14:paraId="2C9772F1">
      <w:pPr>
        <w:tabs>
          <w:tab w:val="left" w:pos="2836"/>
        </w:tabs>
        <w:spacing w:afterLines="0" w:line="240" w:lineRule="auto"/>
        <w:ind w:left="1"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运输时应避免阳光直射，防雨防潮，轻装</w:t>
      </w:r>
      <w:r>
        <w:rPr>
          <w:rFonts w:hint="eastAsia" w:ascii="宋体" w:hAnsi="宋体" w:eastAsia="宋体" w:cs="宋体"/>
          <w:color w:val="auto"/>
          <w:sz w:val="21"/>
          <w:szCs w:val="21"/>
        </w:rPr>
        <w:t>轻卸</w:t>
      </w:r>
      <w:r>
        <w:rPr>
          <w:rFonts w:hint="eastAsia" w:ascii="宋体" w:hAnsi="宋体" w:eastAsia="宋体" w:cs="宋体"/>
          <w:color w:val="auto"/>
          <w:sz w:val="21"/>
          <w:szCs w:val="21"/>
          <w:lang w:bidi="zh-CN"/>
        </w:rPr>
        <w:t>，</w:t>
      </w:r>
      <w:r>
        <w:rPr>
          <w:rFonts w:hint="eastAsia" w:ascii="宋体" w:hAnsi="宋体" w:eastAsia="宋体" w:cs="宋体"/>
          <w:color w:val="auto"/>
          <w:sz w:val="21"/>
          <w:szCs w:val="21"/>
        </w:rPr>
        <w:t>避免剧烈振动</w:t>
      </w:r>
      <w:r>
        <w:rPr>
          <w:rFonts w:hint="eastAsia" w:ascii="宋体" w:hAnsi="宋体" w:eastAsia="宋体" w:cs="宋体"/>
          <w:color w:val="auto"/>
          <w:sz w:val="21"/>
          <w:szCs w:val="21"/>
          <w:lang w:bidi="zh-CN"/>
        </w:rPr>
        <w:t>、损坏包装。</w:t>
      </w:r>
    </w:p>
    <w:p w14:paraId="735C56D9">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7.4  贮存</w:t>
      </w:r>
    </w:p>
    <w:p w14:paraId="6B337E04">
      <w:pPr>
        <w:tabs>
          <w:tab w:val="left" w:pos="2836"/>
        </w:tabs>
        <w:spacing w:afterLines="0" w:line="240" w:lineRule="auto"/>
        <w:ind w:left="1"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产品应贮存于通风条件良好的仓库，注意防晒防潮，远离热源，垛高以不超过支撑物的最大载荷为限。</w:t>
      </w:r>
    </w:p>
    <w:p w14:paraId="5CD66BF5">
      <w:pPr>
        <w:tabs>
          <w:tab w:val="left" w:pos="2836"/>
        </w:tabs>
        <w:spacing w:afterLines="0" w:line="360" w:lineRule="auto"/>
        <w:ind w:left="1"/>
        <w:outlineLvl w:val="1"/>
        <w:rPr>
          <w:rFonts w:ascii="黑体" w:hAnsi="黑体" w:eastAsia="黑体" w:cs="黑体"/>
          <w:color w:val="auto"/>
          <w:sz w:val="21"/>
          <w:szCs w:val="21"/>
        </w:rPr>
      </w:pPr>
      <w:r>
        <w:rPr>
          <w:rFonts w:hint="eastAsia" w:ascii="黑体" w:hAnsi="黑体" w:eastAsia="黑体" w:cs="黑体"/>
          <w:color w:val="auto"/>
          <w:sz w:val="21"/>
          <w:szCs w:val="21"/>
        </w:rPr>
        <w:t>8  安全</w:t>
      </w:r>
    </w:p>
    <w:p w14:paraId="1F317BBE">
      <w:pPr>
        <w:tabs>
          <w:tab w:val="left" w:pos="2836"/>
        </w:tabs>
        <w:spacing w:afterLines="0" w:line="240" w:lineRule="auto"/>
        <w:ind w:left="1" w:firstLine="424" w:firstLineChars="202"/>
        <w:rPr>
          <w:rFonts w:ascii="宋体" w:hAnsi="宋体" w:eastAsia="宋体" w:cs="宋体"/>
          <w:color w:val="auto"/>
          <w:sz w:val="21"/>
          <w:szCs w:val="21"/>
          <w:lang w:bidi="zh-CN"/>
        </w:rPr>
      </w:pPr>
      <w:r>
        <w:rPr>
          <w:rFonts w:hint="eastAsia" w:ascii="宋体" w:hAnsi="宋体" w:eastAsia="宋体" w:cs="宋体"/>
          <w:color w:val="auto"/>
          <w:sz w:val="21"/>
          <w:szCs w:val="21"/>
          <w:lang w:bidi="zh-CN"/>
        </w:rPr>
        <w:t>贮存在阴凉处，使容器保持密闭，储存在干燥通风处。打开了的容器必须仔细重新封口并保持竖立放置以防止泄漏。</w:t>
      </w:r>
    </w:p>
    <w:p w14:paraId="3C4C87D2">
      <w:pPr>
        <w:pBdr>
          <w:bottom w:val="single" w:color="auto" w:sz="6" w:space="1"/>
        </w:pBdr>
        <w:tabs>
          <w:tab w:val="left" w:pos="9000"/>
        </w:tabs>
        <w:autoSpaceDE w:val="0"/>
        <w:autoSpaceDN w:val="0"/>
        <w:spacing w:after="62" w:line="360" w:lineRule="atLeast"/>
        <w:ind w:left="3360" w:right="-149"/>
        <w:textAlignment w:val="bottom"/>
        <w:rPr>
          <w:rFonts w:ascii="宋体" w:hAnsi="宋体"/>
          <w:color w:val="auto"/>
          <w:sz w:val="21"/>
        </w:rPr>
      </w:pPr>
    </w:p>
    <w:p w14:paraId="2BBE03F9">
      <w:pPr>
        <w:tabs>
          <w:tab w:val="left" w:pos="2836"/>
        </w:tabs>
        <w:spacing w:afterLines="0" w:line="240" w:lineRule="auto"/>
        <w:rPr>
          <w:rFonts w:ascii="宋体" w:hAnsi="宋体" w:eastAsia="宋体" w:cs="宋体"/>
          <w:color w:val="auto"/>
          <w:sz w:val="21"/>
          <w:szCs w:val="21"/>
          <w:lang w:bidi="zh-CN"/>
        </w:rPr>
      </w:pPr>
    </w:p>
    <w:sectPr>
      <w:type w:val="evenPage"/>
      <w:pgSz w:w="11906" w:h="16838"/>
      <w:pgMar w:top="1911" w:right="1134" w:bottom="1134" w:left="1418" w:header="1417" w:footer="113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9872">
    <w:pPr>
      <w:pStyle w:val="4"/>
      <w:spacing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7403">
    <w:pPr>
      <w:pStyle w:val="4"/>
      <w:spacing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4AB3">
    <w:pPr>
      <w:pStyle w:val="4"/>
      <w:spacing w:after="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BBCC">
    <w:pPr>
      <w:pStyle w:val="4"/>
      <w:spacing w:after="48"/>
      <w:jc w:val="right"/>
    </w:pPr>
    <w: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54C9BD84">
                <w:pPr>
                  <w:pStyle w:val="4"/>
                  <w:spacing w:after="48"/>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3CE4">
    <w:pPr>
      <w:pStyle w:val="4"/>
      <w:spacing w:after="48"/>
    </w:pPr>
    <w:r>
      <w:pict>
        <v:shape id="_x0000_s1027"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2DB8AF0C">
                <w:pPr>
                  <w:pStyle w:val="4"/>
                  <w:spacing w:after="4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59CD">
    <w:pPr>
      <w:pStyle w:val="4"/>
      <w:tabs>
        <w:tab w:val="center" w:pos="4819"/>
        <w:tab w:val="right" w:pos="9759"/>
      </w:tabs>
      <w:spacing w:after="48"/>
      <w:jc w:val="both"/>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path/>
          <v:fill on="f" focussize="0,0"/>
          <v:stroke on="f" weight="0.5pt" joinstyle="miter"/>
          <v:imagedata o:title=""/>
          <o:lock v:ext="edit"/>
          <v:textbox inset="0mm,0mm,0mm,0mm" style="mso-fit-shape-to-text:t;">
            <w:txbxContent>
              <w:p w14:paraId="72CD071A">
                <w:pPr>
                  <w:pStyle w:val="4"/>
                  <w:spacing w:after="48"/>
                </w:pPr>
                <w:r>
                  <w:fldChar w:fldCharType="begin"/>
                </w:r>
                <w:r>
                  <w:instrText xml:space="preserve"> PAGE  \* MERGEFORMAT </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87E9E">
    <w:pPr>
      <w:pStyle w:val="4"/>
      <w:spacing w:after="48"/>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path/>
          <v:fill on="f" focussize="0,0"/>
          <v:stroke on="f" weight="0.5pt" joinstyle="miter"/>
          <v:imagedata o:title=""/>
          <o:lock v:ext="edit"/>
          <v:textbox inset="0mm,0mm,0mm,0mm" style="mso-fit-shape-to-text:t;">
            <w:txbxContent>
              <w:p w14:paraId="2221BAC1">
                <w:pPr>
                  <w:pStyle w:val="4"/>
                  <w:spacing w:after="4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81E8D">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D93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9478">
    <w:pPr>
      <w:pStyle w:val="5"/>
    </w:pPr>
  </w:p>
  <w:p w14:paraId="00014177">
    <w:pPr>
      <w:pStyle w:val="5"/>
      <w:rPr>
        <w:rFonts w:hint="eastAsia" w:eastAsia="黑体"/>
        <w:color w:val="auto"/>
        <w:lang w:eastAsia="zh-CN"/>
      </w:rPr>
    </w:pPr>
    <w:r>
      <w:rPr>
        <w:rFonts w:hint="eastAsia"/>
        <w:color w:val="auto"/>
      </w:rPr>
      <w:t>T/ZGXX</w:t>
    </w:r>
    <w:r>
      <w:rPr>
        <w:rFonts w:hint="eastAsia"/>
        <w:color w:val="auto"/>
        <w:lang w:val="en-US" w:eastAsia="zh-CN"/>
      </w:rPr>
      <w:t>xxxx</w:t>
    </w:r>
    <w:r>
      <w:rPr>
        <w:rFonts w:hint="eastAsia"/>
        <w:color w:val="auto"/>
      </w:rPr>
      <w:t>-</w:t>
    </w:r>
    <w:r>
      <w:rPr>
        <w:rFonts w:hint="eastAsia"/>
        <w:color w:val="auto"/>
        <w:lang w:val="en-US" w:eastAsia="zh-CN"/>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84963">
    <w:pPr>
      <w:pStyle w:val="5"/>
    </w:pPr>
  </w:p>
  <w:p w14:paraId="3E436D4D">
    <w:pPr>
      <w:pStyle w:val="5"/>
    </w:pPr>
    <w:r>
      <w:rPr>
        <w:rFonts w:hint="eastAsia"/>
      </w:rPr>
      <w:t>T/ZGXX 0014-2024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04113">
    <w:pPr>
      <w:pStyle w:val="5"/>
    </w:pPr>
  </w:p>
  <w:p w14:paraId="2F37F4D8">
    <w:pPr>
      <w:pStyle w:val="5"/>
      <w:rPr>
        <w:rFonts w:hint="eastAsia" w:eastAsia="黑体"/>
        <w:color w:val="auto"/>
        <w:lang w:val="en-US" w:eastAsia="zh-CN"/>
      </w:rPr>
    </w:pPr>
    <w:r>
      <w:rPr>
        <w:rFonts w:hint="eastAsia"/>
        <w:color w:val="auto"/>
      </w:rPr>
      <w:t xml:space="preserve">T/ZGXX </w:t>
    </w:r>
    <w:r>
      <w:rPr>
        <w:rFonts w:hint="eastAsia"/>
        <w:color w:val="auto"/>
        <w:lang w:val="en-US" w:eastAsia="zh-CN"/>
      </w:rPr>
      <w:t>xxxx</w:t>
    </w:r>
    <w:r>
      <w:rPr>
        <w:rFonts w:hint="eastAsia"/>
        <w:color w:val="auto"/>
      </w:rPr>
      <w:t>-</w:t>
    </w:r>
    <w:r>
      <w:rPr>
        <w:rFonts w:hint="eastAsia"/>
        <w:color w:val="auto"/>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6976E"/>
    <w:multiLevelType w:val="singleLevel"/>
    <w:tmpl w:val="8616976E"/>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I5NDFmODdiMjYzYzYwNzliNjgzYzhjODQ0NzI5YmMifQ=="/>
  </w:docVars>
  <w:rsids>
    <w:rsidRoot w:val="40C71145"/>
    <w:rsid w:val="0004778F"/>
    <w:rsid w:val="00050605"/>
    <w:rsid w:val="00082E79"/>
    <w:rsid w:val="000834C2"/>
    <w:rsid w:val="0009600C"/>
    <w:rsid w:val="000A7B4E"/>
    <w:rsid w:val="00162D14"/>
    <w:rsid w:val="001758C6"/>
    <w:rsid w:val="00180FED"/>
    <w:rsid w:val="0018248B"/>
    <w:rsid w:val="001835C7"/>
    <w:rsid w:val="001C0627"/>
    <w:rsid w:val="001C31FA"/>
    <w:rsid w:val="001C37C1"/>
    <w:rsid w:val="002310DE"/>
    <w:rsid w:val="0026770F"/>
    <w:rsid w:val="002C401A"/>
    <w:rsid w:val="00341B45"/>
    <w:rsid w:val="0034526F"/>
    <w:rsid w:val="00350173"/>
    <w:rsid w:val="003901CF"/>
    <w:rsid w:val="003C5C1B"/>
    <w:rsid w:val="003E765A"/>
    <w:rsid w:val="00421E0E"/>
    <w:rsid w:val="00453021"/>
    <w:rsid w:val="00464FBE"/>
    <w:rsid w:val="00466FC1"/>
    <w:rsid w:val="004A0916"/>
    <w:rsid w:val="004C106A"/>
    <w:rsid w:val="004C16EB"/>
    <w:rsid w:val="004E3AF9"/>
    <w:rsid w:val="004F72C5"/>
    <w:rsid w:val="00525929"/>
    <w:rsid w:val="00535791"/>
    <w:rsid w:val="00537BF2"/>
    <w:rsid w:val="00565529"/>
    <w:rsid w:val="005703D8"/>
    <w:rsid w:val="00586DE9"/>
    <w:rsid w:val="005C5AB2"/>
    <w:rsid w:val="005E3946"/>
    <w:rsid w:val="005E4B3A"/>
    <w:rsid w:val="00674AA9"/>
    <w:rsid w:val="006913F9"/>
    <w:rsid w:val="006A221D"/>
    <w:rsid w:val="006A7DAE"/>
    <w:rsid w:val="006B63CA"/>
    <w:rsid w:val="006D0405"/>
    <w:rsid w:val="0071627B"/>
    <w:rsid w:val="00780099"/>
    <w:rsid w:val="00796703"/>
    <w:rsid w:val="00845A0E"/>
    <w:rsid w:val="00860623"/>
    <w:rsid w:val="0090309A"/>
    <w:rsid w:val="00926E40"/>
    <w:rsid w:val="00930DA7"/>
    <w:rsid w:val="00935C27"/>
    <w:rsid w:val="00943619"/>
    <w:rsid w:val="00957857"/>
    <w:rsid w:val="0098489E"/>
    <w:rsid w:val="00997EC5"/>
    <w:rsid w:val="009F7FCE"/>
    <w:rsid w:val="00A129E7"/>
    <w:rsid w:val="00A37E2C"/>
    <w:rsid w:val="00A60485"/>
    <w:rsid w:val="00A75BE3"/>
    <w:rsid w:val="00A84D19"/>
    <w:rsid w:val="00A867AC"/>
    <w:rsid w:val="00AB3CC8"/>
    <w:rsid w:val="00AC5643"/>
    <w:rsid w:val="00B96940"/>
    <w:rsid w:val="00BB27D4"/>
    <w:rsid w:val="00C20092"/>
    <w:rsid w:val="00C67E0C"/>
    <w:rsid w:val="00C828B8"/>
    <w:rsid w:val="00CC24C2"/>
    <w:rsid w:val="00D10CA6"/>
    <w:rsid w:val="00D54932"/>
    <w:rsid w:val="00D870A0"/>
    <w:rsid w:val="00DC0457"/>
    <w:rsid w:val="00E0304C"/>
    <w:rsid w:val="00E42A5F"/>
    <w:rsid w:val="00E44C16"/>
    <w:rsid w:val="00E47FD4"/>
    <w:rsid w:val="00E53F41"/>
    <w:rsid w:val="00E64E77"/>
    <w:rsid w:val="00E95F3B"/>
    <w:rsid w:val="00F10F9D"/>
    <w:rsid w:val="00F11D1C"/>
    <w:rsid w:val="00F455D1"/>
    <w:rsid w:val="00FB29A3"/>
    <w:rsid w:val="00FD1505"/>
    <w:rsid w:val="00FD62F4"/>
    <w:rsid w:val="01260D04"/>
    <w:rsid w:val="02A447C8"/>
    <w:rsid w:val="030E471C"/>
    <w:rsid w:val="03AA75B4"/>
    <w:rsid w:val="03B739A6"/>
    <w:rsid w:val="04611EA2"/>
    <w:rsid w:val="0488627D"/>
    <w:rsid w:val="055D1BD1"/>
    <w:rsid w:val="05BB6053"/>
    <w:rsid w:val="074779EA"/>
    <w:rsid w:val="08EB30F3"/>
    <w:rsid w:val="0A570314"/>
    <w:rsid w:val="0AA577EE"/>
    <w:rsid w:val="0B1A1A6E"/>
    <w:rsid w:val="0C321039"/>
    <w:rsid w:val="0C6D53B9"/>
    <w:rsid w:val="0C9E0E40"/>
    <w:rsid w:val="0D266285"/>
    <w:rsid w:val="0D6A77AA"/>
    <w:rsid w:val="0E3A353A"/>
    <w:rsid w:val="0E6963D9"/>
    <w:rsid w:val="0E8B67DF"/>
    <w:rsid w:val="0ED45D77"/>
    <w:rsid w:val="0F7D4384"/>
    <w:rsid w:val="0FF84BE0"/>
    <w:rsid w:val="1045133B"/>
    <w:rsid w:val="10A90013"/>
    <w:rsid w:val="10A91E65"/>
    <w:rsid w:val="114E5DA6"/>
    <w:rsid w:val="12BB39D9"/>
    <w:rsid w:val="130C4392"/>
    <w:rsid w:val="136F4C00"/>
    <w:rsid w:val="149A5869"/>
    <w:rsid w:val="15D74D59"/>
    <w:rsid w:val="15FB2D26"/>
    <w:rsid w:val="1602382A"/>
    <w:rsid w:val="16297009"/>
    <w:rsid w:val="164D05F6"/>
    <w:rsid w:val="16AF73CD"/>
    <w:rsid w:val="17B46632"/>
    <w:rsid w:val="17F21515"/>
    <w:rsid w:val="18CC42D3"/>
    <w:rsid w:val="196071E6"/>
    <w:rsid w:val="1977233A"/>
    <w:rsid w:val="1B4A1D80"/>
    <w:rsid w:val="1BA840B6"/>
    <w:rsid w:val="1CD35FDC"/>
    <w:rsid w:val="1FB1508D"/>
    <w:rsid w:val="20146634"/>
    <w:rsid w:val="211034FB"/>
    <w:rsid w:val="21A61883"/>
    <w:rsid w:val="22B83BEE"/>
    <w:rsid w:val="236C7DA5"/>
    <w:rsid w:val="23BD27E6"/>
    <w:rsid w:val="240115C5"/>
    <w:rsid w:val="250E5D48"/>
    <w:rsid w:val="25353412"/>
    <w:rsid w:val="255D3FB8"/>
    <w:rsid w:val="25A91F14"/>
    <w:rsid w:val="25CE1127"/>
    <w:rsid w:val="290300B6"/>
    <w:rsid w:val="296932B3"/>
    <w:rsid w:val="299C6AD1"/>
    <w:rsid w:val="2A3D2C2B"/>
    <w:rsid w:val="2A604C5C"/>
    <w:rsid w:val="2B714A04"/>
    <w:rsid w:val="2BCA04EF"/>
    <w:rsid w:val="2E093BA2"/>
    <w:rsid w:val="2E167B48"/>
    <w:rsid w:val="2E4C78E1"/>
    <w:rsid w:val="2EBD6CB9"/>
    <w:rsid w:val="2F1200EA"/>
    <w:rsid w:val="2F297BA9"/>
    <w:rsid w:val="2FA90AB6"/>
    <w:rsid w:val="32B24E5A"/>
    <w:rsid w:val="334A0ACA"/>
    <w:rsid w:val="34EB38E9"/>
    <w:rsid w:val="35152E25"/>
    <w:rsid w:val="35FC1BEC"/>
    <w:rsid w:val="361F1251"/>
    <w:rsid w:val="37BA3B0D"/>
    <w:rsid w:val="37E22DB7"/>
    <w:rsid w:val="3889360C"/>
    <w:rsid w:val="3A522186"/>
    <w:rsid w:val="3A851046"/>
    <w:rsid w:val="3A8A671A"/>
    <w:rsid w:val="3B295232"/>
    <w:rsid w:val="3B7523A9"/>
    <w:rsid w:val="3C431E7C"/>
    <w:rsid w:val="3C482253"/>
    <w:rsid w:val="3D35037E"/>
    <w:rsid w:val="3DB1150E"/>
    <w:rsid w:val="3DD81CFE"/>
    <w:rsid w:val="3DE22EEA"/>
    <w:rsid w:val="3F2676AB"/>
    <w:rsid w:val="404401FF"/>
    <w:rsid w:val="40C71145"/>
    <w:rsid w:val="41367B0D"/>
    <w:rsid w:val="41534621"/>
    <w:rsid w:val="42221084"/>
    <w:rsid w:val="43395887"/>
    <w:rsid w:val="43657023"/>
    <w:rsid w:val="461C4D2D"/>
    <w:rsid w:val="46407E97"/>
    <w:rsid w:val="473F7B8B"/>
    <w:rsid w:val="474E1808"/>
    <w:rsid w:val="47F74D65"/>
    <w:rsid w:val="483E7E42"/>
    <w:rsid w:val="485061D5"/>
    <w:rsid w:val="48E823BC"/>
    <w:rsid w:val="4986044B"/>
    <w:rsid w:val="4AF62C56"/>
    <w:rsid w:val="4B86222C"/>
    <w:rsid w:val="4C356AD1"/>
    <w:rsid w:val="4DAD3AA0"/>
    <w:rsid w:val="4DFB49EB"/>
    <w:rsid w:val="4FA61ABB"/>
    <w:rsid w:val="4FCB2904"/>
    <w:rsid w:val="4FE35C7F"/>
    <w:rsid w:val="50566A28"/>
    <w:rsid w:val="50FB46E1"/>
    <w:rsid w:val="513514A8"/>
    <w:rsid w:val="51F21D52"/>
    <w:rsid w:val="52CF2E74"/>
    <w:rsid w:val="52D23FA9"/>
    <w:rsid w:val="5367649F"/>
    <w:rsid w:val="53F46F52"/>
    <w:rsid w:val="5572737D"/>
    <w:rsid w:val="55E07F63"/>
    <w:rsid w:val="57357943"/>
    <w:rsid w:val="573F0161"/>
    <w:rsid w:val="576F4F87"/>
    <w:rsid w:val="57C25EB8"/>
    <w:rsid w:val="57C73FC1"/>
    <w:rsid w:val="58AE2DC2"/>
    <w:rsid w:val="5B853C1A"/>
    <w:rsid w:val="5C9E5F0C"/>
    <w:rsid w:val="5D303AEF"/>
    <w:rsid w:val="5F0458F2"/>
    <w:rsid w:val="5F7B199C"/>
    <w:rsid w:val="5FBC5266"/>
    <w:rsid w:val="60161979"/>
    <w:rsid w:val="603A58E1"/>
    <w:rsid w:val="61BE5DFC"/>
    <w:rsid w:val="62284D0B"/>
    <w:rsid w:val="624B7922"/>
    <w:rsid w:val="646B11B9"/>
    <w:rsid w:val="64B25D57"/>
    <w:rsid w:val="64EB5989"/>
    <w:rsid w:val="684B7B4A"/>
    <w:rsid w:val="689374BC"/>
    <w:rsid w:val="68E63EB3"/>
    <w:rsid w:val="69A441C8"/>
    <w:rsid w:val="6C5129C0"/>
    <w:rsid w:val="6D844F21"/>
    <w:rsid w:val="6F373EDF"/>
    <w:rsid w:val="6F8C7562"/>
    <w:rsid w:val="6FA10EE2"/>
    <w:rsid w:val="6FAD3FB9"/>
    <w:rsid w:val="704E7BA6"/>
    <w:rsid w:val="70F31F92"/>
    <w:rsid w:val="714F0C4E"/>
    <w:rsid w:val="720F447A"/>
    <w:rsid w:val="741A1ADB"/>
    <w:rsid w:val="749C4384"/>
    <w:rsid w:val="74DA2B1D"/>
    <w:rsid w:val="778C354C"/>
    <w:rsid w:val="785F6C9D"/>
    <w:rsid w:val="786C7B9A"/>
    <w:rsid w:val="78E75809"/>
    <w:rsid w:val="79B72CFC"/>
    <w:rsid w:val="79EA2F35"/>
    <w:rsid w:val="7A21799A"/>
    <w:rsid w:val="7BE0107D"/>
    <w:rsid w:val="7CA141F2"/>
    <w:rsid w:val="7F3C730A"/>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Lines="20" w:line="288" w:lineRule="auto"/>
    </w:pPr>
    <w:rPr>
      <w:rFonts w:cs="Times New Roman" w:asciiTheme="minorHAnsi" w:hAnsiTheme="minorHAnsi" w:eastAsiaTheme="minorEastAsia"/>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156" w:after="62" w:line="190" w:lineRule="auto"/>
      <w:ind w:left="1" w:hanging="1"/>
      <w:jc w:val="right"/>
    </w:pPr>
    <w:rPr>
      <w:rFonts w:ascii="宋体" w:hAnsi="宋体" w:eastAsia="宋体" w:cs="宋体"/>
      <w:color w:val="FF0000"/>
      <w:sz w:val="28"/>
      <w:szCs w:val="28"/>
      <w:lang w:bidi="zh-CN"/>
    </w:rPr>
  </w:style>
  <w:style w:type="paragraph" w:styleId="3">
    <w:name w:val="Balloon Text"/>
    <w:basedOn w:val="1"/>
    <w:link w:val="10"/>
    <w:qFormat/>
    <w:uiPriority w:val="0"/>
    <w:pPr>
      <w:spacing w:line="240" w:lineRule="auto"/>
    </w:pPr>
    <w:rPr>
      <w:sz w:val="18"/>
      <w:szCs w:val="18"/>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afterLines="0" w:line="210" w:lineRule="exact"/>
      <w:jc w:val="right"/>
    </w:pPr>
    <w:rPr>
      <w:rFonts w:ascii="黑体" w:hAnsi="黑体" w:eastAsia="黑体" w:cs="黑体"/>
      <w:color w:val="FF0000"/>
      <w:sz w:val="21"/>
      <w:szCs w:val="21"/>
    </w:rPr>
  </w:style>
  <w:style w:type="paragraph" w:styleId="8">
    <w:name w:val="List Paragraph"/>
    <w:basedOn w:val="1"/>
    <w:autoRedefine/>
    <w:qFormat/>
    <w:uiPriority w:val="99"/>
    <w:pPr>
      <w:ind w:firstLine="420" w:firstLineChars="200"/>
    </w:pPr>
  </w:style>
  <w:style w:type="paragraph" w:customStyle="1" w:styleId="9">
    <w:name w:val="段"/>
    <w:autoRedefine/>
    <w:qFormat/>
    <w:uiPriority w:val="0"/>
    <w:pPr>
      <w:tabs>
        <w:tab w:val="center" w:pos="4201"/>
        <w:tab w:val="right" w:leader="dot" w:pos="9298"/>
      </w:tabs>
      <w:autoSpaceDE w:val="0"/>
      <w:autoSpaceDN w:val="0"/>
      <w:spacing w:after="160" w:line="259" w:lineRule="auto"/>
      <w:ind w:firstLine="420" w:firstLineChars="200"/>
      <w:jc w:val="both"/>
    </w:pPr>
    <w:rPr>
      <w:rFonts w:ascii="宋体" w:hAnsi="Times New Roman" w:eastAsia="宋体" w:cs="Times New Roman"/>
      <w:sz w:val="21"/>
      <w:lang w:val="en-US" w:eastAsia="zh-CN" w:bidi="ar-SA"/>
    </w:rPr>
  </w:style>
  <w:style w:type="character" w:customStyle="1" w:styleId="10">
    <w:name w:val="批注框文本 Char"/>
    <w:basedOn w:val="7"/>
    <w:link w:val="3"/>
    <w:qFormat/>
    <w:uiPriority w:val="0"/>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26"/>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1631</Words>
  <Characters>1832</Characters>
  <Lines>14</Lines>
  <Paragraphs>4</Paragraphs>
  <TotalTime>1</TotalTime>
  <ScaleCrop>false</ScaleCrop>
  <LinksUpToDate>false</LinksUpToDate>
  <CharactersWithSpaces>1946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2024-12-23T04:11:00Z</dcterms:created>
  <dc:creator>美美</dc:creator>
  <cp:lastModifiedBy>夏末末</cp:lastModifiedBy>
  <cp:lastPrinted>2021-06-18T01:28:00Z</cp:lastPrinted>
  <dcterms:modified xsi:type="dcterms:W3CDTF">2025-03-25T06:31:07Z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48B2BA7D34B044E4A634D1D867384320_13</vt:lpwstr>
  </property>
  <property fmtid="{D5CDD505-2E9C-101B-9397-08002B2CF9AE}" pid="4" name="KSOTemplateDocerSaveRecord">
    <vt:lpwstr>eyJoZGlkIjoiNmIzMWM0YjgwMDM1OTlmMjBiYTI0NTBiMGFhODI0ODIiLCJ1c2VySWQiOiI0NDE3MjE1ODEifQ==</vt:lpwstr>
  </property>
</Properties>
</file>