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912B">
      <w:pPr>
        <w:pStyle w:val="8"/>
        <w:spacing w:before="156"/>
      </w:pPr>
      <w:r>
        <w:rPr>
          <w:rFonts w:hint="eastAsia"/>
        </w:rPr>
        <w:t>团体标准《混合甘油》编制说明</w:t>
      </w:r>
    </w:p>
    <w:p w14:paraId="7822B725">
      <w:pPr>
        <w:pStyle w:val="16"/>
        <w:spacing w:before="0" w:line="240" w:lineRule="auto"/>
        <w:outlineLvl w:val="0"/>
        <w:rPr>
          <w:color w:val="auto"/>
          <w:kern w:val="2"/>
          <w:szCs w:val="24"/>
        </w:rPr>
      </w:pPr>
      <w:r>
        <w:rPr>
          <w:rFonts w:hint="eastAsia"/>
          <w:color w:val="auto"/>
          <w:kern w:val="2"/>
          <w:szCs w:val="24"/>
        </w:rPr>
        <w:t>（</w:t>
      </w:r>
      <w:r>
        <w:rPr>
          <w:rFonts w:hint="eastAsia"/>
          <w:color w:val="auto"/>
          <w:kern w:val="2"/>
          <w:szCs w:val="24"/>
          <w:lang w:val="en-US" w:eastAsia="zh-CN"/>
        </w:rPr>
        <w:t>征求意见</w:t>
      </w:r>
      <w:r>
        <w:rPr>
          <w:rFonts w:hint="eastAsia"/>
          <w:color w:val="auto"/>
          <w:kern w:val="2"/>
          <w:szCs w:val="24"/>
        </w:rPr>
        <w:t>稿）</w:t>
      </w:r>
    </w:p>
    <w:p w14:paraId="63DCAC92">
      <w:pPr>
        <w:spacing w:before="156"/>
      </w:pPr>
      <w:r>
        <w:rPr>
          <w:rFonts w:hint="eastAsia"/>
        </w:rPr>
        <w:t>1 工作概况</w:t>
      </w:r>
    </w:p>
    <w:p w14:paraId="1973BB7F">
      <w:pPr>
        <w:pStyle w:val="15"/>
        <w:jc w:val="left"/>
        <w:rPr>
          <w:color w:val="auto"/>
        </w:rPr>
      </w:pPr>
      <w:r>
        <w:rPr>
          <w:rFonts w:hint="eastAsia"/>
          <w:color w:val="auto"/>
        </w:rPr>
        <w:t xml:space="preserve">1.1任务来源 </w:t>
      </w:r>
    </w:p>
    <w:p w14:paraId="101F50B4">
      <w:pPr>
        <w:pStyle w:val="15"/>
        <w:ind w:firstLine="420" w:firstLineChars="200"/>
        <w:jc w:val="left"/>
        <w:rPr>
          <w:color w:val="auto"/>
        </w:rPr>
      </w:pPr>
      <w:bookmarkStart w:id="0" w:name="_Hlk191373058"/>
      <w:r>
        <w:rPr>
          <w:rFonts w:hint="eastAsia"/>
          <w:color w:val="auto"/>
        </w:rPr>
        <w:t>德源（中国）高科有限公司</w:t>
      </w:r>
      <w:bookmarkEnd w:id="0"/>
      <w:r>
        <w:rPr>
          <w:rFonts w:hint="eastAsia"/>
          <w:color w:val="auto"/>
        </w:rPr>
        <w:t>功能性表面活性剂项目需要，结合行业相关企业实际情况，起草制定《混合甘油》团体标准。</w:t>
      </w:r>
    </w:p>
    <w:p w14:paraId="59760E55">
      <w:pPr>
        <w:pStyle w:val="15"/>
        <w:jc w:val="left"/>
        <w:rPr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2主要起草过程</w:t>
      </w:r>
    </w:p>
    <w:p w14:paraId="1092EF0E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在收到协会的立项批复后，德源（中国）高科有限公</w:t>
      </w:r>
      <w:bookmarkStart w:id="3" w:name="_GoBack"/>
      <w:bookmarkEnd w:id="3"/>
      <w:r>
        <w:rPr>
          <w:rFonts w:hint="eastAsia"/>
          <w:color w:val="auto"/>
        </w:rPr>
        <w:t>司会同有关生产企业开展标准制定工作，并于2</w:t>
      </w:r>
      <w:r>
        <w:rPr>
          <w:color w:val="auto"/>
        </w:rPr>
        <w:t>02</w:t>
      </w:r>
      <w:r>
        <w:rPr>
          <w:rFonts w:hint="eastAsia"/>
          <w:color w:val="auto"/>
        </w:rPr>
        <w:t>4年12月提出标准征求意见稿，实施征求意见工作。</w:t>
      </w:r>
    </w:p>
    <w:p w14:paraId="53799501">
      <w:pPr>
        <w:spacing w:before="156"/>
        <w:rPr>
          <w:color w:val="auto"/>
        </w:rPr>
      </w:pPr>
      <w:r>
        <w:rPr>
          <w:rFonts w:hint="eastAsia"/>
          <w:color w:val="auto"/>
        </w:rPr>
        <w:t>2  标准制定理由和编制原则</w:t>
      </w:r>
    </w:p>
    <w:p w14:paraId="08D35525">
      <w:pPr>
        <w:pStyle w:val="15"/>
        <w:jc w:val="left"/>
        <w:rPr>
          <w:color w:val="auto"/>
        </w:rPr>
      </w:pPr>
      <w:r>
        <w:rPr>
          <w:rFonts w:hint="eastAsia"/>
          <w:color w:val="auto"/>
        </w:rPr>
        <w:t>2.1  标准制定理由</w:t>
      </w:r>
    </w:p>
    <w:p w14:paraId="1F051B91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首先，截止目前日化洗涤剂行业中，“混合甘油”还未形成相关行业、团体标准，也无对应的国家、国际标准。我们需要产品标准为企业提供生产、检验依据，以保证产品质量、提高企业信用和市场竞争力。因此，制定产品标准不仅是企业产品面向经济市场的主观需求，更是我们企业守法经营的客观需要。</w:t>
      </w:r>
    </w:p>
    <w:p w14:paraId="1C591684">
      <w:pPr>
        <w:pStyle w:val="15"/>
        <w:jc w:val="left"/>
        <w:rPr>
          <w:color w:val="auto"/>
        </w:rPr>
      </w:pPr>
      <w:r>
        <w:rPr>
          <w:rFonts w:hint="eastAsia"/>
          <w:color w:val="auto"/>
        </w:rPr>
        <w:t>2.2  标准编制原则</w:t>
      </w:r>
    </w:p>
    <w:p w14:paraId="2E243076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标准以GB/T1.1-2020 《</w:t>
      </w:r>
      <w:r>
        <w:rPr>
          <w:rFonts w:hint="eastAsia"/>
          <w:color w:val="auto"/>
          <w:szCs w:val="21"/>
        </w:rPr>
        <w:t>标准化工作导则  第1部分：标准化文件的结构和起草规则</w:t>
      </w:r>
      <w:r>
        <w:rPr>
          <w:rFonts w:hint="eastAsia"/>
          <w:color w:val="auto"/>
        </w:rPr>
        <w:t>》为编制依据，以所设项目科学，控制指标适用、合理为原则进行起草。</w:t>
      </w:r>
    </w:p>
    <w:p w14:paraId="50F9FE8E">
      <w:pPr>
        <w:spacing w:before="156"/>
      </w:pPr>
      <w:r>
        <w:rPr>
          <w:rFonts w:hint="eastAsia"/>
        </w:rPr>
        <w:t>3  主要内容说明</w:t>
      </w:r>
    </w:p>
    <w:p w14:paraId="007F295C">
      <w:pPr>
        <w:pStyle w:val="15"/>
        <w:spacing w:afterLines="50"/>
        <w:jc w:val="left"/>
        <w:rPr>
          <w:color w:val="auto"/>
        </w:rPr>
      </w:pPr>
      <w:r>
        <w:rPr>
          <w:rFonts w:hint="eastAsia"/>
          <w:color w:val="auto"/>
        </w:rPr>
        <w:t>3.1范围</w:t>
      </w:r>
    </w:p>
    <w:p w14:paraId="17D84D26">
      <w:pPr>
        <w:pStyle w:val="3"/>
        <w:spacing w:before="156"/>
        <w:rPr>
          <w:b/>
          <w:shd w:val="clear" w:color="auto" w:fill="FFFFFF"/>
        </w:rPr>
      </w:pPr>
      <w:r>
        <w:rPr>
          <w:rFonts w:hint="eastAsia"/>
          <w:shd w:val="clear" w:color="auto" w:fill="FFFFFF"/>
        </w:rPr>
        <w:t>本文件规定了混合甘油的要求、试验方法、检验规则、标志、包装、运输、贮存及安全。</w:t>
      </w:r>
    </w:p>
    <w:p w14:paraId="2896DC05">
      <w:pPr>
        <w:pStyle w:val="3"/>
        <w:spacing w:before="156"/>
        <w:rPr>
          <w:b/>
          <w:shd w:val="clear" w:color="auto" w:fill="FFFFFF"/>
        </w:rPr>
      </w:pPr>
      <w:r>
        <w:rPr>
          <w:rFonts w:hint="eastAsia"/>
          <w:shd w:val="clear" w:color="auto" w:fill="FFFFFF"/>
        </w:rPr>
        <w:t>本文件适用于以天然植（动）物油脂及其衍生物为原料，经醇解或水解、净化、浓缩、蒸馏、脱色生产甘油过程中得到的副产混合甘油。</w:t>
      </w:r>
    </w:p>
    <w:p w14:paraId="754E22B9">
      <w:pPr>
        <w:pStyle w:val="15"/>
        <w:jc w:val="left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</w:t>
      </w:r>
      <w:r>
        <w:rPr>
          <w:rFonts w:hint="eastAsia"/>
          <w:color w:val="auto"/>
        </w:rPr>
        <w:t>2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指标要求</w:t>
      </w:r>
    </w:p>
    <w:p w14:paraId="4647C2FD">
      <w:pPr>
        <w:pStyle w:val="3"/>
        <w:spacing w:before="156"/>
        <w:rPr>
          <w:b/>
          <w:shd w:val="clear" w:color="auto" w:fill="FFFFFF"/>
        </w:rPr>
      </w:pPr>
      <w:r>
        <w:rPr>
          <w:rFonts w:hint="eastAsia"/>
        </w:rPr>
        <w:t>根据行业相关企业实际生产情况以及市场需求，本文件设置“全甘油含量”和“灼烧残渣”等指标，并以“适用、合理”为原则为其取值。</w:t>
      </w:r>
    </w:p>
    <w:p w14:paraId="71A3BA49">
      <w:pPr>
        <w:spacing w:before="156"/>
      </w:pPr>
      <w:r>
        <w:rPr>
          <w:rFonts w:hint="eastAsia"/>
        </w:rPr>
        <w:t>4标准中涉及专利的情况</w:t>
      </w:r>
    </w:p>
    <w:p w14:paraId="4D825FD8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本标准中不涉及专利问题。</w:t>
      </w:r>
    </w:p>
    <w:p w14:paraId="59FB0F06">
      <w:pPr>
        <w:spacing w:before="156"/>
      </w:pPr>
      <w:r>
        <w:rPr>
          <w:rFonts w:hint="eastAsia"/>
        </w:rPr>
        <w:t>5预期达到的社会效益等情况、对产业发展的作用等情况</w:t>
      </w:r>
    </w:p>
    <w:p w14:paraId="6E4C84FF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由于目前在日化洗涤剂行业中，没有对应的国家标准、行业标准、团体标准，本文件的实施可为“混合甘油”用作市场产品提供技术依据，降低交易风险，同时促进规范行业发展。</w:t>
      </w:r>
    </w:p>
    <w:p w14:paraId="3FF3F9F8">
      <w:pPr>
        <w:spacing w:before="156"/>
      </w:pPr>
      <w:r>
        <w:rPr>
          <w:rFonts w:hint="eastAsia"/>
        </w:rPr>
        <w:t>6采用国际标准和国外先进标准情况</w:t>
      </w:r>
    </w:p>
    <w:p w14:paraId="3570FC77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无</w:t>
      </w:r>
    </w:p>
    <w:p w14:paraId="5779B833">
      <w:pPr>
        <w:spacing w:before="156"/>
      </w:pPr>
      <w:r>
        <w:rPr>
          <w:rFonts w:hint="eastAsia"/>
        </w:rPr>
        <w:t>7与现行相关法律、法规、规章及相关标准，特别是强制性标准的协调性</w:t>
      </w:r>
    </w:p>
    <w:p w14:paraId="3B0D325D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与现行行业相关法律法规、规章未发生冲突。“混合甘油”组成主要为甘油、水和少许杂质，这些组分均收录于《</w:t>
      </w:r>
      <w:bookmarkStart w:id="1" w:name="OLE_LINK1"/>
      <w:bookmarkStart w:id="2" w:name="OLE_LINK2"/>
      <w:r>
        <w:rPr>
          <w:rFonts w:hint="eastAsia"/>
          <w:color w:val="auto"/>
        </w:rPr>
        <w:t>中国现有化学物质名录</w:t>
      </w:r>
      <w:bookmarkEnd w:id="1"/>
      <w:bookmarkEnd w:id="2"/>
      <w:r>
        <w:rPr>
          <w:rFonts w:hint="eastAsia"/>
          <w:color w:val="auto"/>
        </w:rPr>
        <w:t>》，符合相关法律法规规定。</w:t>
      </w:r>
    </w:p>
    <w:p w14:paraId="11DB77BC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目前暂无对应的国家标准、行业标准、团体标准，不存在与现行标准冲突。</w:t>
      </w:r>
    </w:p>
    <w:p w14:paraId="3A464814">
      <w:pPr>
        <w:spacing w:before="156"/>
      </w:pPr>
      <w:r>
        <w:rPr>
          <w:rFonts w:hint="eastAsia"/>
        </w:rPr>
        <w:t>8重大分歧意见的处理经过和依据</w:t>
      </w:r>
    </w:p>
    <w:p w14:paraId="27978F40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无。</w:t>
      </w:r>
    </w:p>
    <w:p w14:paraId="0E85E879">
      <w:pPr>
        <w:spacing w:before="156"/>
      </w:pPr>
      <w:r>
        <w:rPr>
          <w:rFonts w:hint="eastAsia"/>
        </w:rPr>
        <w:t>9标准性质的建议说明</w:t>
      </w:r>
    </w:p>
    <w:p w14:paraId="6C9A8030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推荐性团体标准。</w:t>
      </w:r>
    </w:p>
    <w:p w14:paraId="4EF2F556">
      <w:pPr>
        <w:spacing w:before="156"/>
      </w:pPr>
      <w:r>
        <w:rPr>
          <w:rFonts w:hint="eastAsia"/>
        </w:rPr>
        <w:t>1</w:t>
      </w:r>
      <w:r>
        <w:t xml:space="preserve">0  </w:t>
      </w:r>
      <w:r>
        <w:rPr>
          <w:rFonts w:hint="eastAsia"/>
        </w:rPr>
        <w:t>贯彻标准的要求和措施建议</w:t>
      </w:r>
    </w:p>
    <w:p w14:paraId="6EACB5CF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建议本标准批准发布</w:t>
      </w:r>
      <w:r>
        <w:rPr>
          <w:color w:val="auto"/>
        </w:rPr>
        <w:t>3</w:t>
      </w:r>
      <w:r>
        <w:rPr>
          <w:rFonts w:hint="eastAsia"/>
          <w:color w:val="auto"/>
        </w:rPr>
        <w:t>个月后实施。</w:t>
      </w:r>
    </w:p>
    <w:p w14:paraId="102A8FA5">
      <w:pPr>
        <w:spacing w:before="156"/>
      </w:pPr>
      <w:r>
        <w:rPr>
          <w:rFonts w:hint="eastAsia"/>
        </w:rPr>
        <w:t>1</w:t>
      </w:r>
      <w:r>
        <w:t xml:space="preserve">1  </w:t>
      </w:r>
      <w:r>
        <w:rPr>
          <w:rFonts w:hint="eastAsia"/>
        </w:rPr>
        <w:t>其它应予说明的事项</w:t>
      </w:r>
    </w:p>
    <w:p w14:paraId="1547A4C9">
      <w:pPr>
        <w:pStyle w:val="15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无。 </w:t>
      </w:r>
    </w:p>
    <w:p w14:paraId="7B29DAE9">
      <w:pPr>
        <w:pStyle w:val="15"/>
      </w:pPr>
    </w:p>
    <w:p w14:paraId="7FD29335">
      <w:pPr>
        <w:pStyle w:val="15"/>
      </w:pPr>
    </w:p>
    <w:p w14:paraId="1BECEC1E">
      <w:pPr>
        <w:pStyle w:val="15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851" w:footer="851" w:gutter="0"/>
          <w:pgNumType w:start="0"/>
          <w:cols w:space="720" w:num="1"/>
          <w:titlePg/>
          <w:docGrid w:type="lines" w:linePitch="312" w:charSpace="0"/>
        </w:sectPr>
      </w:pPr>
    </w:p>
    <w:p w14:paraId="0EBF365F">
      <w:pPr>
        <w:pStyle w:val="15"/>
      </w:pPr>
    </w:p>
    <w:p w14:paraId="26C087FA">
      <w:pPr>
        <w:spacing w:before="156"/>
        <w:rPr>
          <w:color w:val="auto"/>
        </w:rPr>
      </w:pPr>
      <w:r>
        <w:rPr>
          <w:rFonts w:hint="eastAsia"/>
          <w:color w:val="auto"/>
        </w:rPr>
        <w:t>12 意见处理情况</w:t>
      </w:r>
    </w:p>
    <w:p w14:paraId="7C44C536">
      <w:pPr>
        <w:pStyle w:val="15"/>
        <w:rPr>
          <w:color w:val="auto"/>
        </w:rPr>
      </w:pPr>
      <w:r>
        <w:rPr>
          <w:rFonts w:hint="eastAsia"/>
          <w:color w:val="auto"/>
        </w:rPr>
        <w:t>12.1  2025年2月征求意见</w:t>
      </w:r>
    </w:p>
    <w:tbl>
      <w:tblPr>
        <w:tblStyle w:val="10"/>
        <w:tblW w:w="1302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8"/>
        <w:gridCol w:w="3550"/>
        <w:gridCol w:w="3732"/>
        <w:gridCol w:w="2045"/>
        <w:gridCol w:w="2221"/>
      </w:tblGrid>
      <w:tr w14:paraId="2336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 w14:paraId="789DF775">
            <w:pPr>
              <w:spacing w:before="156"/>
            </w:pPr>
            <w:r>
              <w:rPr>
                <w:rFonts w:hint="eastAsia"/>
              </w:rPr>
              <w:t>序号</w:t>
            </w:r>
          </w:p>
        </w:tc>
        <w:tc>
          <w:tcPr>
            <w:tcW w:w="908" w:type="dxa"/>
          </w:tcPr>
          <w:p w14:paraId="5DE5D1AA">
            <w:pPr>
              <w:spacing w:before="156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550" w:type="dxa"/>
          </w:tcPr>
          <w:p w14:paraId="4CEBA89A">
            <w:pPr>
              <w:spacing w:before="156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3732" w:type="dxa"/>
          </w:tcPr>
          <w:p w14:paraId="4B2A8703">
            <w:pPr>
              <w:spacing w:before="156"/>
            </w:pPr>
            <w:r>
              <w:rPr>
                <w:rFonts w:hint="eastAsia"/>
              </w:rPr>
              <w:t>修改技术依据或理由</w:t>
            </w:r>
          </w:p>
        </w:tc>
        <w:tc>
          <w:tcPr>
            <w:tcW w:w="2045" w:type="dxa"/>
          </w:tcPr>
          <w:p w14:paraId="6ECE55F2">
            <w:pPr>
              <w:spacing w:before="156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2221" w:type="dxa"/>
          </w:tcPr>
          <w:p w14:paraId="0865DB1B">
            <w:pPr>
              <w:spacing w:before="156"/>
            </w:pPr>
            <w:r>
              <w:rPr>
                <w:rFonts w:hint="eastAsia"/>
              </w:rPr>
              <w:t>处理意见及理由</w:t>
            </w:r>
          </w:p>
        </w:tc>
      </w:tr>
      <w:tr w14:paraId="5158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53FC6504">
            <w:pPr>
              <w:spacing w:before="156"/>
            </w:pPr>
            <w:r>
              <w:rPr>
                <w:rFonts w:hint="eastAsia"/>
              </w:rPr>
              <w:t>1</w:t>
            </w:r>
          </w:p>
        </w:tc>
        <w:tc>
          <w:tcPr>
            <w:tcW w:w="908" w:type="dxa"/>
            <w:vAlign w:val="center"/>
          </w:tcPr>
          <w:p w14:paraId="66651B40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vAlign w:val="center"/>
          </w:tcPr>
          <w:p w14:paraId="7531C35A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建议调整甘油含量限值，设定上限</w:t>
            </w:r>
          </w:p>
        </w:tc>
        <w:tc>
          <w:tcPr>
            <w:tcW w:w="3732" w:type="dxa"/>
            <w:vAlign w:val="center"/>
          </w:tcPr>
          <w:p w14:paraId="65E4F3E3">
            <w:pPr>
              <w:spacing w:before="156"/>
            </w:pPr>
            <w:r>
              <w:rPr>
                <w:rFonts w:hint="eastAsia"/>
              </w:rPr>
              <w:t>混合甘油为副产品，甘油含量比较低；</w:t>
            </w:r>
          </w:p>
        </w:tc>
        <w:tc>
          <w:tcPr>
            <w:tcW w:w="2045" w:type="dxa"/>
            <w:vAlign w:val="center"/>
          </w:tcPr>
          <w:p w14:paraId="0813415E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江苏盛泰化学科技有限公司</w:t>
            </w:r>
          </w:p>
        </w:tc>
        <w:tc>
          <w:tcPr>
            <w:tcW w:w="2221" w:type="dxa"/>
            <w:vAlign w:val="center"/>
          </w:tcPr>
          <w:p w14:paraId="5808D912">
            <w:pPr>
              <w:spacing w:before="156"/>
              <w:rPr>
                <w:b/>
              </w:rPr>
            </w:pPr>
            <w:r>
              <w:t>采纳</w:t>
            </w:r>
          </w:p>
        </w:tc>
      </w:tr>
      <w:tr w14:paraId="7CFD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043A436E">
            <w:pPr>
              <w:spacing w:before="156"/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vAlign w:val="center"/>
          </w:tcPr>
          <w:p w14:paraId="02464235">
            <w:pPr>
              <w:spacing w:before="156"/>
            </w:pPr>
            <w:r>
              <w:rPr>
                <w:rFonts w:hint="eastAsia"/>
              </w:rPr>
              <w:t>1</w:t>
            </w:r>
          </w:p>
        </w:tc>
        <w:tc>
          <w:tcPr>
            <w:tcW w:w="3550" w:type="dxa"/>
            <w:vAlign w:val="center"/>
          </w:tcPr>
          <w:p w14:paraId="6B7B8AB2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建议全面完善生产原料及不同生产工艺过程</w:t>
            </w:r>
          </w:p>
        </w:tc>
        <w:tc>
          <w:tcPr>
            <w:tcW w:w="3732" w:type="dxa"/>
            <w:vAlign w:val="center"/>
          </w:tcPr>
          <w:p w14:paraId="6CC9F158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行业还有很多公司涉及其他天然原料及其他生产工艺</w:t>
            </w:r>
          </w:p>
        </w:tc>
        <w:tc>
          <w:tcPr>
            <w:tcW w:w="2045" w:type="dxa"/>
            <w:vAlign w:val="center"/>
          </w:tcPr>
          <w:p w14:paraId="673101D8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江苏金桥油脂科技有限公司</w:t>
            </w:r>
          </w:p>
        </w:tc>
        <w:tc>
          <w:tcPr>
            <w:tcW w:w="2221" w:type="dxa"/>
            <w:vAlign w:val="center"/>
          </w:tcPr>
          <w:p w14:paraId="219EE802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采纳</w:t>
            </w:r>
          </w:p>
        </w:tc>
      </w:tr>
      <w:tr w14:paraId="43F6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7F85BC3C">
            <w:pPr>
              <w:spacing w:before="156"/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vAlign w:val="center"/>
          </w:tcPr>
          <w:p w14:paraId="2FA28D85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vAlign w:val="center"/>
          </w:tcPr>
          <w:p w14:paraId="06DFD80A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规定水分指标没有意义</w:t>
            </w:r>
          </w:p>
        </w:tc>
        <w:tc>
          <w:tcPr>
            <w:tcW w:w="3732" w:type="dxa"/>
            <w:vAlign w:val="center"/>
          </w:tcPr>
          <w:p w14:paraId="0E8DE669">
            <w:pPr>
              <w:spacing w:before="156"/>
            </w:pPr>
            <w:r>
              <w:rPr>
                <w:rFonts w:hint="eastAsia"/>
              </w:rPr>
              <w:t>混合甘油最终需要添加水调节产品粘度增加产品的流动性；</w:t>
            </w:r>
          </w:p>
        </w:tc>
        <w:tc>
          <w:tcPr>
            <w:tcW w:w="2045" w:type="dxa"/>
            <w:vAlign w:val="center"/>
          </w:tcPr>
          <w:p w14:paraId="40C6F0D3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泰柯棕化（张家港）有限公司</w:t>
            </w:r>
          </w:p>
        </w:tc>
        <w:tc>
          <w:tcPr>
            <w:tcW w:w="2221" w:type="dxa"/>
            <w:vAlign w:val="center"/>
          </w:tcPr>
          <w:p w14:paraId="696CBC87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采纳</w:t>
            </w:r>
          </w:p>
        </w:tc>
      </w:tr>
      <w:tr w14:paraId="70D6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68751705">
            <w:pPr>
              <w:spacing w:before="156"/>
            </w:pPr>
            <w:r>
              <w:rPr>
                <w:rFonts w:hint="eastAsia"/>
              </w:rPr>
              <w:t>4</w:t>
            </w:r>
          </w:p>
        </w:tc>
        <w:tc>
          <w:tcPr>
            <w:tcW w:w="908" w:type="dxa"/>
            <w:vAlign w:val="center"/>
          </w:tcPr>
          <w:p w14:paraId="4C2751F9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vAlign w:val="center"/>
          </w:tcPr>
          <w:p w14:paraId="4AEE022B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建议增加灼烧残渣≤10%</w:t>
            </w:r>
          </w:p>
        </w:tc>
        <w:tc>
          <w:tcPr>
            <w:tcW w:w="3732" w:type="dxa"/>
            <w:vAlign w:val="center"/>
          </w:tcPr>
          <w:p w14:paraId="4CE61B69">
            <w:pPr>
              <w:spacing w:before="156"/>
            </w:pPr>
            <w:r>
              <w:rPr>
                <w:rFonts w:hint="eastAsia"/>
              </w:rPr>
              <w:t>防止不良厂家添加其他杂质；</w:t>
            </w:r>
          </w:p>
        </w:tc>
        <w:tc>
          <w:tcPr>
            <w:tcW w:w="2045" w:type="dxa"/>
            <w:vAlign w:val="center"/>
          </w:tcPr>
          <w:p w14:paraId="0CF14529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江苏盛泰化学科技有限公司</w:t>
            </w:r>
          </w:p>
        </w:tc>
        <w:tc>
          <w:tcPr>
            <w:tcW w:w="2221" w:type="dxa"/>
            <w:vAlign w:val="center"/>
          </w:tcPr>
          <w:p w14:paraId="4755ECE1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部分采纳</w:t>
            </w:r>
          </w:p>
        </w:tc>
      </w:tr>
      <w:tr w14:paraId="7125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1E5A9BE5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vAlign w:val="center"/>
          </w:tcPr>
          <w:p w14:paraId="23E36273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vAlign w:val="center"/>
          </w:tcPr>
          <w:p w14:paraId="5A6DA122">
            <w:pPr>
              <w:spacing w:before="156"/>
              <w:rPr>
                <w:shd w:val="clear" w:color="auto" w:fill="FFFFFF"/>
              </w:rPr>
            </w:pPr>
            <w:r>
              <w:rPr>
                <w:rFonts w:hint="eastAsia"/>
              </w:rPr>
              <w:t>建议设定甘油含量≤50%</w:t>
            </w:r>
          </w:p>
        </w:tc>
        <w:tc>
          <w:tcPr>
            <w:tcW w:w="3732" w:type="dxa"/>
            <w:vAlign w:val="center"/>
          </w:tcPr>
          <w:p w14:paraId="6C667C6F">
            <w:pPr>
              <w:spacing w:before="156"/>
            </w:pPr>
            <w:r>
              <w:rPr>
                <w:rFonts w:hint="eastAsia"/>
              </w:rPr>
              <w:t>甘油含量太高会影响产品的流动性；</w:t>
            </w:r>
          </w:p>
        </w:tc>
        <w:tc>
          <w:tcPr>
            <w:tcW w:w="2045" w:type="dxa"/>
            <w:vAlign w:val="center"/>
          </w:tcPr>
          <w:p w14:paraId="3EE05DEA">
            <w:pPr>
              <w:spacing w:before="156"/>
            </w:pPr>
            <w:r>
              <w:rPr>
                <w:rFonts w:hint="eastAsia"/>
              </w:rPr>
              <w:t>泰柯棕化（张家港）有限公司</w:t>
            </w:r>
          </w:p>
        </w:tc>
        <w:tc>
          <w:tcPr>
            <w:tcW w:w="2221" w:type="dxa"/>
            <w:vAlign w:val="center"/>
          </w:tcPr>
          <w:p w14:paraId="49943E1B">
            <w:pPr>
              <w:spacing w:before="156"/>
            </w:pPr>
            <w:r>
              <w:rPr>
                <w:rFonts w:hint="eastAsia"/>
              </w:rPr>
              <w:t>部分采纳</w:t>
            </w:r>
          </w:p>
        </w:tc>
      </w:tr>
      <w:tr w14:paraId="203A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 w14:paraId="5A643CFE">
            <w:pPr>
              <w:spacing w:before="156"/>
            </w:pPr>
            <w:r>
              <w:rPr>
                <w:rFonts w:hint="eastAsia"/>
              </w:rPr>
              <w:t>6</w:t>
            </w:r>
          </w:p>
        </w:tc>
        <w:tc>
          <w:tcPr>
            <w:tcW w:w="908" w:type="dxa"/>
            <w:vAlign w:val="center"/>
          </w:tcPr>
          <w:p w14:paraId="37A65E6B">
            <w:pPr>
              <w:spacing w:before="156"/>
            </w:pPr>
            <w:r>
              <w:rPr>
                <w:rFonts w:hint="eastAsia"/>
              </w:rPr>
              <w:t>5</w:t>
            </w:r>
          </w:p>
        </w:tc>
        <w:tc>
          <w:tcPr>
            <w:tcW w:w="3550" w:type="dxa"/>
            <w:vAlign w:val="center"/>
          </w:tcPr>
          <w:p w14:paraId="72E13673">
            <w:pPr>
              <w:spacing w:before="156"/>
            </w:pPr>
            <w:r>
              <w:rPr>
                <w:rFonts w:hint="eastAsia"/>
              </w:rPr>
              <w:t>建议设定甘油含量≤60%</w:t>
            </w:r>
          </w:p>
        </w:tc>
        <w:tc>
          <w:tcPr>
            <w:tcW w:w="3732" w:type="dxa"/>
            <w:vAlign w:val="center"/>
          </w:tcPr>
          <w:p w14:paraId="0B38B97F">
            <w:pPr>
              <w:spacing w:before="156"/>
            </w:pPr>
            <w:r>
              <w:rPr>
                <w:rFonts w:hint="eastAsia"/>
              </w:rPr>
              <w:t>甘油含量太高会影响产品的流动性；</w:t>
            </w:r>
          </w:p>
        </w:tc>
        <w:tc>
          <w:tcPr>
            <w:tcW w:w="2045" w:type="dxa"/>
            <w:vAlign w:val="center"/>
          </w:tcPr>
          <w:p w14:paraId="68F4088A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青岛金牛油脂科技有限公司</w:t>
            </w:r>
          </w:p>
        </w:tc>
        <w:tc>
          <w:tcPr>
            <w:tcW w:w="2221" w:type="dxa"/>
            <w:vAlign w:val="center"/>
          </w:tcPr>
          <w:p w14:paraId="4F17CE5D">
            <w:pPr>
              <w:spacing w:before="156"/>
              <w:rPr>
                <w:b/>
              </w:rPr>
            </w:pPr>
            <w:r>
              <w:rPr>
                <w:rFonts w:hint="eastAsia"/>
              </w:rPr>
              <w:t>部分采纳</w:t>
            </w:r>
          </w:p>
        </w:tc>
      </w:tr>
    </w:tbl>
    <w:p w14:paraId="31E3EFDD">
      <w:pPr>
        <w:spacing w:before="156"/>
      </w:pPr>
    </w:p>
    <w:sectPr>
      <w:pgSz w:w="16838" w:h="11906" w:orient="landscape"/>
      <w:pgMar w:top="1418" w:right="1418" w:bottom="1418" w:left="1418" w:header="851" w:footer="851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7B4D9">
    <w:pPr>
      <w:pStyle w:val="6"/>
      <w:spacing w:before="12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31ED6D64">
    <w:pPr>
      <w:pStyle w:val="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51AEF">
    <w:pPr>
      <w:pStyle w:val="6"/>
      <w:spacing w:before="12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127569EF">
    <w:pPr>
      <w:pStyle w:val="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98FA4">
    <w:pPr>
      <w:pStyle w:val="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2171">
    <w:pPr>
      <w:pStyle w:val="7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5411">
    <w:pPr>
      <w:pStyle w:val="7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DA37">
    <w:pPr>
      <w:pStyle w:val="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zMWM0YjgwMDM1OTlmMjBiYTI0NTBiMGFhODI0ODIifQ=="/>
  </w:docVars>
  <w:rsids>
    <w:rsidRoot w:val="00294783"/>
    <w:rsid w:val="00003215"/>
    <w:rsid w:val="000122A9"/>
    <w:rsid w:val="00013326"/>
    <w:rsid w:val="00014546"/>
    <w:rsid w:val="00016359"/>
    <w:rsid w:val="00017219"/>
    <w:rsid w:val="000226A1"/>
    <w:rsid w:val="00026176"/>
    <w:rsid w:val="000276BE"/>
    <w:rsid w:val="00042FD1"/>
    <w:rsid w:val="000524FD"/>
    <w:rsid w:val="00054FDB"/>
    <w:rsid w:val="0005564A"/>
    <w:rsid w:val="00055C91"/>
    <w:rsid w:val="00064989"/>
    <w:rsid w:val="00064C1B"/>
    <w:rsid w:val="000655C0"/>
    <w:rsid w:val="00073091"/>
    <w:rsid w:val="00075ED2"/>
    <w:rsid w:val="00077265"/>
    <w:rsid w:val="00097B45"/>
    <w:rsid w:val="000A0985"/>
    <w:rsid w:val="000A1B05"/>
    <w:rsid w:val="000A377E"/>
    <w:rsid w:val="000B31B4"/>
    <w:rsid w:val="000C3E26"/>
    <w:rsid w:val="000C6A85"/>
    <w:rsid w:val="000D2FE1"/>
    <w:rsid w:val="000D5DFB"/>
    <w:rsid w:val="000E1776"/>
    <w:rsid w:val="000E1FC9"/>
    <w:rsid w:val="000E2080"/>
    <w:rsid w:val="001002B5"/>
    <w:rsid w:val="001024A2"/>
    <w:rsid w:val="00120750"/>
    <w:rsid w:val="001209F9"/>
    <w:rsid w:val="00121251"/>
    <w:rsid w:val="0012354E"/>
    <w:rsid w:val="00124CFA"/>
    <w:rsid w:val="001317D7"/>
    <w:rsid w:val="001318BA"/>
    <w:rsid w:val="001341B4"/>
    <w:rsid w:val="00134B27"/>
    <w:rsid w:val="00136F38"/>
    <w:rsid w:val="001424D8"/>
    <w:rsid w:val="00153BF8"/>
    <w:rsid w:val="001659AE"/>
    <w:rsid w:val="00166DB8"/>
    <w:rsid w:val="00174CB9"/>
    <w:rsid w:val="0017759E"/>
    <w:rsid w:val="001822EC"/>
    <w:rsid w:val="00192FC4"/>
    <w:rsid w:val="00193688"/>
    <w:rsid w:val="001942BC"/>
    <w:rsid w:val="001961F7"/>
    <w:rsid w:val="001A0F92"/>
    <w:rsid w:val="001A62FC"/>
    <w:rsid w:val="001B01B6"/>
    <w:rsid w:val="001B3966"/>
    <w:rsid w:val="001B7A1D"/>
    <w:rsid w:val="001C604C"/>
    <w:rsid w:val="001D2747"/>
    <w:rsid w:val="001D4DB6"/>
    <w:rsid w:val="001E2B91"/>
    <w:rsid w:val="001E3777"/>
    <w:rsid w:val="001E6DC0"/>
    <w:rsid w:val="001F0876"/>
    <w:rsid w:val="001F2F33"/>
    <w:rsid w:val="001F7845"/>
    <w:rsid w:val="002222B8"/>
    <w:rsid w:val="002331C1"/>
    <w:rsid w:val="00237497"/>
    <w:rsid w:val="00241242"/>
    <w:rsid w:val="002470B1"/>
    <w:rsid w:val="002719B8"/>
    <w:rsid w:val="002802EF"/>
    <w:rsid w:val="0028104E"/>
    <w:rsid w:val="002812D9"/>
    <w:rsid w:val="00281A27"/>
    <w:rsid w:val="002909A4"/>
    <w:rsid w:val="00294783"/>
    <w:rsid w:val="0029751C"/>
    <w:rsid w:val="002A10A7"/>
    <w:rsid w:val="002A18E8"/>
    <w:rsid w:val="002A7140"/>
    <w:rsid w:val="002A786E"/>
    <w:rsid w:val="002B2244"/>
    <w:rsid w:val="002B788D"/>
    <w:rsid w:val="002C0E20"/>
    <w:rsid w:val="002C2279"/>
    <w:rsid w:val="002C28BF"/>
    <w:rsid w:val="002C5553"/>
    <w:rsid w:val="00306B10"/>
    <w:rsid w:val="0030795D"/>
    <w:rsid w:val="00310552"/>
    <w:rsid w:val="003117A9"/>
    <w:rsid w:val="00315EA5"/>
    <w:rsid w:val="00315EDB"/>
    <w:rsid w:val="00363C90"/>
    <w:rsid w:val="00364AE3"/>
    <w:rsid w:val="00365B2F"/>
    <w:rsid w:val="0037311C"/>
    <w:rsid w:val="003861AA"/>
    <w:rsid w:val="00386DB0"/>
    <w:rsid w:val="0039252C"/>
    <w:rsid w:val="003A15FC"/>
    <w:rsid w:val="003B06C7"/>
    <w:rsid w:val="003B3418"/>
    <w:rsid w:val="003C0C04"/>
    <w:rsid w:val="003C7FF2"/>
    <w:rsid w:val="003D3189"/>
    <w:rsid w:val="003D3BB0"/>
    <w:rsid w:val="003D6B0F"/>
    <w:rsid w:val="003D6DF1"/>
    <w:rsid w:val="003E0E67"/>
    <w:rsid w:val="003E765A"/>
    <w:rsid w:val="003E7DAA"/>
    <w:rsid w:val="003F27DB"/>
    <w:rsid w:val="003F345E"/>
    <w:rsid w:val="003F429B"/>
    <w:rsid w:val="003F4A25"/>
    <w:rsid w:val="003F64C5"/>
    <w:rsid w:val="00403E2F"/>
    <w:rsid w:val="00423D61"/>
    <w:rsid w:val="00424411"/>
    <w:rsid w:val="00431B18"/>
    <w:rsid w:val="00436BBB"/>
    <w:rsid w:val="00446125"/>
    <w:rsid w:val="004507A1"/>
    <w:rsid w:val="004661C2"/>
    <w:rsid w:val="00466441"/>
    <w:rsid w:val="00466E88"/>
    <w:rsid w:val="00467278"/>
    <w:rsid w:val="004738A6"/>
    <w:rsid w:val="00493701"/>
    <w:rsid w:val="0049505D"/>
    <w:rsid w:val="004A02BB"/>
    <w:rsid w:val="004A324D"/>
    <w:rsid w:val="004A3CCC"/>
    <w:rsid w:val="004A4143"/>
    <w:rsid w:val="004A63E2"/>
    <w:rsid w:val="004A7463"/>
    <w:rsid w:val="004B022D"/>
    <w:rsid w:val="004B5C46"/>
    <w:rsid w:val="004C3D73"/>
    <w:rsid w:val="004C4F94"/>
    <w:rsid w:val="004E2A4B"/>
    <w:rsid w:val="004E4839"/>
    <w:rsid w:val="004E703E"/>
    <w:rsid w:val="004F6F8C"/>
    <w:rsid w:val="00500AD8"/>
    <w:rsid w:val="005017C9"/>
    <w:rsid w:val="005040C8"/>
    <w:rsid w:val="00506092"/>
    <w:rsid w:val="00507833"/>
    <w:rsid w:val="005126CE"/>
    <w:rsid w:val="0052026A"/>
    <w:rsid w:val="00522DDD"/>
    <w:rsid w:val="00524793"/>
    <w:rsid w:val="00526582"/>
    <w:rsid w:val="005306F9"/>
    <w:rsid w:val="005335B6"/>
    <w:rsid w:val="00536EB8"/>
    <w:rsid w:val="005454E8"/>
    <w:rsid w:val="005473F9"/>
    <w:rsid w:val="00557CA6"/>
    <w:rsid w:val="00561901"/>
    <w:rsid w:val="00562512"/>
    <w:rsid w:val="00581FC5"/>
    <w:rsid w:val="005940F9"/>
    <w:rsid w:val="00594E06"/>
    <w:rsid w:val="005968C4"/>
    <w:rsid w:val="005977D8"/>
    <w:rsid w:val="005A10FC"/>
    <w:rsid w:val="005A1948"/>
    <w:rsid w:val="005A7A95"/>
    <w:rsid w:val="005B32FB"/>
    <w:rsid w:val="005B45BF"/>
    <w:rsid w:val="005B7273"/>
    <w:rsid w:val="005C7CAF"/>
    <w:rsid w:val="005D36AD"/>
    <w:rsid w:val="005D3C80"/>
    <w:rsid w:val="005E530A"/>
    <w:rsid w:val="005E7558"/>
    <w:rsid w:val="005E7E30"/>
    <w:rsid w:val="005F000F"/>
    <w:rsid w:val="005F6E5B"/>
    <w:rsid w:val="006016CD"/>
    <w:rsid w:val="0060360F"/>
    <w:rsid w:val="00624173"/>
    <w:rsid w:val="00627FBD"/>
    <w:rsid w:val="00632149"/>
    <w:rsid w:val="0063594E"/>
    <w:rsid w:val="00640DD8"/>
    <w:rsid w:val="00641EA3"/>
    <w:rsid w:val="006446EE"/>
    <w:rsid w:val="00662515"/>
    <w:rsid w:val="006639B3"/>
    <w:rsid w:val="00667A13"/>
    <w:rsid w:val="00674DAC"/>
    <w:rsid w:val="0067617B"/>
    <w:rsid w:val="006761C5"/>
    <w:rsid w:val="00687ED0"/>
    <w:rsid w:val="006937DA"/>
    <w:rsid w:val="0069637B"/>
    <w:rsid w:val="006A7C50"/>
    <w:rsid w:val="006B0FCB"/>
    <w:rsid w:val="006B2C04"/>
    <w:rsid w:val="006C47AA"/>
    <w:rsid w:val="006D00D4"/>
    <w:rsid w:val="006D361C"/>
    <w:rsid w:val="006E16AF"/>
    <w:rsid w:val="006E2E54"/>
    <w:rsid w:val="006E3C5F"/>
    <w:rsid w:val="00707935"/>
    <w:rsid w:val="007139B4"/>
    <w:rsid w:val="00713DCB"/>
    <w:rsid w:val="007143B7"/>
    <w:rsid w:val="007207CF"/>
    <w:rsid w:val="007217AF"/>
    <w:rsid w:val="007319EF"/>
    <w:rsid w:val="00733F76"/>
    <w:rsid w:val="0074703D"/>
    <w:rsid w:val="00760690"/>
    <w:rsid w:val="007609EB"/>
    <w:rsid w:val="007641E7"/>
    <w:rsid w:val="007707CC"/>
    <w:rsid w:val="00781606"/>
    <w:rsid w:val="00783556"/>
    <w:rsid w:val="00787446"/>
    <w:rsid w:val="00794D46"/>
    <w:rsid w:val="0079587B"/>
    <w:rsid w:val="007978E3"/>
    <w:rsid w:val="007A34D9"/>
    <w:rsid w:val="007A390F"/>
    <w:rsid w:val="007A3F52"/>
    <w:rsid w:val="007C201B"/>
    <w:rsid w:val="007D1401"/>
    <w:rsid w:val="007D2368"/>
    <w:rsid w:val="007D24CB"/>
    <w:rsid w:val="007E1843"/>
    <w:rsid w:val="007E6999"/>
    <w:rsid w:val="007E6DF9"/>
    <w:rsid w:val="007E7A7D"/>
    <w:rsid w:val="007F08CC"/>
    <w:rsid w:val="007F1263"/>
    <w:rsid w:val="007F2D9C"/>
    <w:rsid w:val="007F5F58"/>
    <w:rsid w:val="007F6CDA"/>
    <w:rsid w:val="00800C32"/>
    <w:rsid w:val="008019DD"/>
    <w:rsid w:val="00802B7B"/>
    <w:rsid w:val="008235FD"/>
    <w:rsid w:val="00831416"/>
    <w:rsid w:val="00831623"/>
    <w:rsid w:val="0083293F"/>
    <w:rsid w:val="008332C0"/>
    <w:rsid w:val="00835CF4"/>
    <w:rsid w:val="00835DCB"/>
    <w:rsid w:val="00847C2C"/>
    <w:rsid w:val="008657B6"/>
    <w:rsid w:val="00876C35"/>
    <w:rsid w:val="00876C8D"/>
    <w:rsid w:val="00885C1D"/>
    <w:rsid w:val="0088691E"/>
    <w:rsid w:val="00895CAE"/>
    <w:rsid w:val="008A5802"/>
    <w:rsid w:val="008A5E21"/>
    <w:rsid w:val="008A68AA"/>
    <w:rsid w:val="008B677E"/>
    <w:rsid w:val="008C352F"/>
    <w:rsid w:val="008C4A3C"/>
    <w:rsid w:val="008C4E81"/>
    <w:rsid w:val="008D5587"/>
    <w:rsid w:val="008D65E9"/>
    <w:rsid w:val="008F00A6"/>
    <w:rsid w:val="008F42E3"/>
    <w:rsid w:val="008F7D68"/>
    <w:rsid w:val="009035A7"/>
    <w:rsid w:val="00906909"/>
    <w:rsid w:val="00907483"/>
    <w:rsid w:val="00915F1F"/>
    <w:rsid w:val="009209B2"/>
    <w:rsid w:val="00926CDB"/>
    <w:rsid w:val="00934926"/>
    <w:rsid w:val="00944339"/>
    <w:rsid w:val="00950855"/>
    <w:rsid w:val="009527FF"/>
    <w:rsid w:val="00957317"/>
    <w:rsid w:val="00960063"/>
    <w:rsid w:val="00962BC9"/>
    <w:rsid w:val="00972589"/>
    <w:rsid w:val="0097788A"/>
    <w:rsid w:val="00981C92"/>
    <w:rsid w:val="009948E0"/>
    <w:rsid w:val="00995D39"/>
    <w:rsid w:val="00997739"/>
    <w:rsid w:val="009A0271"/>
    <w:rsid w:val="009A7BAC"/>
    <w:rsid w:val="009B2C4B"/>
    <w:rsid w:val="009D0F7D"/>
    <w:rsid w:val="009D2B32"/>
    <w:rsid w:val="009F14A4"/>
    <w:rsid w:val="009F5D91"/>
    <w:rsid w:val="009F7429"/>
    <w:rsid w:val="00A06963"/>
    <w:rsid w:val="00A125CB"/>
    <w:rsid w:val="00A24595"/>
    <w:rsid w:val="00A24F46"/>
    <w:rsid w:val="00A32224"/>
    <w:rsid w:val="00A349E6"/>
    <w:rsid w:val="00A412A8"/>
    <w:rsid w:val="00A454DE"/>
    <w:rsid w:val="00A508C4"/>
    <w:rsid w:val="00A538D0"/>
    <w:rsid w:val="00A55CBC"/>
    <w:rsid w:val="00A55E36"/>
    <w:rsid w:val="00A60485"/>
    <w:rsid w:val="00A70043"/>
    <w:rsid w:val="00A73BFC"/>
    <w:rsid w:val="00A9130B"/>
    <w:rsid w:val="00AA36CA"/>
    <w:rsid w:val="00AA5973"/>
    <w:rsid w:val="00AB15DF"/>
    <w:rsid w:val="00AC0CEF"/>
    <w:rsid w:val="00AD017F"/>
    <w:rsid w:val="00AD610E"/>
    <w:rsid w:val="00AE020A"/>
    <w:rsid w:val="00AE36F0"/>
    <w:rsid w:val="00AF33FA"/>
    <w:rsid w:val="00AF600A"/>
    <w:rsid w:val="00B104F9"/>
    <w:rsid w:val="00B17584"/>
    <w:rsid w:val="00B2310C"/>
    <w:rsid w:val="00B24269"/>
    <w:rsid w:val="00B32179"/>
    <w:rsid w:val="00B32318"/>
    <w:rsid w:val="00B327F0"/>
    <w:rsid w:val="00B57D2D"/>
    <w:rsid w:val="00B63DBC"/>
    <w:rsid w:val="00B6748A"/>
    <w:rsid w:val="00B72AC2"/>
    <w:rsid w:val="00B812BB"/>
    <w:rsid w:val="00B8438A"/>
    <w:rsid w:val="00B91BB3"/>
    <w:rsid w:val="00BA7868"/>
    <w:rsid w:val="00BB6936"/>
    <w:rsid w:val="00BC1D4F"/>
    <w:rsid w:val="00BC2AEC"/>
    <w:rsid w:val="00BC6AD9"/>
    <w:rsid w:val="00BD12FE"/>
    <w:rsid w:val="00BD1D6F"/>
    <w:rsid w:val="00BD7382"/>
    <w:rsid w:val="00BD7B45"/>
    <w:rsid w:val="00BF12FD"/>
    <w:rsid w:val="00BF2076"/>
    <w:rsid w:val="00BF5A53"/>
    <w:rsid w:val="00C010FF"/>
    <w:rsid w:val="00C01D96"/>
    <w:rsid w:val="00C0577A"/>
    <w:rsid w:val="00C13708"/>
    <w:rsid w:val="00C2243E"/>
    <w:rsid w:val="00C35352"/>
    <w:rsid w:val="00C52419"/>
    <w:rsid w:val="00C5396B"/>
    <w:rsid w:val="00C64364"/>
    <w:rsid w:val="00C81823"/>
    <w:rsid w:val="00C97609"/>
    <w:rsid w:val="00CB28EB"/>
    <w:rsid w:val="00CC177A"/>
    <w:rsid w:val="00CC6241"/>
    <w:rsid w:val="00CD34E7"/>
    <w:rsid w:val="00CF4DC7"/>
    <w:rsid w:val="00D10CA6"/>
    <w:rsid w:val="00D13ABB"/>
    <w:rsid w:val="00D13B93"/>
    <w:rsid w:val="00D16A64"/>
    <w:rsid w:val="00D17148"/>
    <w:rsid w:val="00D20CDB"/>
    <w:rsid w:val="00D27D2A"/>
    <w:rsid w:val="00D27DA3"/>
    <w:rsid w:val="00D304E9"/>
    <w:rsid w:val="00D368E7"/>
    <w:rsid w:val="00D41159"/>
    <w:rsid w:val="00D50316"/>
    <w:rsid w:val="00D61054"/>
    <w:rsid w:val="00D630E6"/>
    <w:rsid w:val="00D674B1"/>
    <w:rsid w:val="00D72C40"/>
    <w:rsid w:val="00D731A7"/>
    <w:rsid w:val="00D86917"/>
    <w:rsid w:val="00D90E59"/>
    <w:rsid w:val="00D96F9D"/>
    <w:rsid w:val="00DA0403"/>
    <w:rsid w:val="00DA47BF"/>
    <w:rsid w:val="00DC3588"/>
    <w:rsid w:val="00DC5986"/>
    <w:rsid w:val="00DC7CB5"/>
    <w:rsid w:val="00DD4C2E"/>
    <w:rsid w:val="00DD6B0F"/>
    <w:rsid w:val="00DE5C29"/>
    <w:rsid w:val="00DF191A"/>
    <w:rsid w:val="00DF30FB"/>
    <w:rsid w:val="00DF505D"/>
    <w:rsid w:val="00E011CA"/>
    <w:rsid w:val="00E02E57"/>
    <w:rsid w:val="00E04F7C"/>
    <w:rsid w:val="00E0530C"/>
    <w:rsid w:val="00E10E2F"/>
    <w:rsid w:val="00E16DB5"/>
    <w:rsid w:val="00E171F5"/>
    <w:rsid w:val="00E30863"/>
    <w:rsid w:val="00E3122A"/>
    <w:rsid w:val="00E3151E"/>
    <w:rsid w:val="00E37BED"/>
    <w:rsid w:val="00E4275B"/>
    <w:rsid w:val="00E47875"/>
    <w:rsid w:val="00E53E46"/>
    <w:rsid w:val="00E61752"/>
    <w:rsid w:val="00E6473A"/>
    <w:rsid w:val="00E74DAE"/>
    <w:rsid w:val="00E807B4"/>
    <w:rsid w:val="00E93589"/>
    <w:rsid w:val="00E93CFA"/>
    <w:rsid w:val="00EB0C57"/>
    <w:rsid w:val="00EB37D0"/>
    <w:rsid w:val="00EC2D36"/>
    <w:rsid w:val="00ED0D13"/>
    <w:rsid w:val="00ED26B5"/>
    <w:rsid w:val="00ED4CAE"/>
    <w:rsid w:val="00ED7512"/>
    <w:rsid w:val="00EE620A"/>
    <w:rsid w:val="00EF0325"/>
    <w:rsid w:val="00EF6476"/>
    <w:rsid w:val="00F02518"/>
    <w:rsid w:val="00F14236"/>
    <w:rsid w:val="00F143DD"/>
    <w:rsid w:val="00F14B65"/>
    <w:rsid w:val="00F23CED"/>
    <w:rsid w:val="00F248D6"/>
    <w:rsid w:val="00F337C0"/>
    <w:rsid w:val="00F43987"/>
    <w:rsid w:val="00F43EC5"/>
    <w:rsid w:val="00F455D1"/>
    <w:rsid w:val="00F46616"/>
    <w:rsid w:val="00F568E7"/>
    <w:rsid w:val="00F62310"/>
    <w:rsid w:val="00F62F91"/>
    <w:rsid w:val="00F75662"/>
    <w:rsid w:val="00F81129"/>
    <w:rsid w:val="00F85AFE"/>
    <w:rsid w:val="00F87669"/>
    <w:rsid w:val="00F950F5"/>
    <w:rsid w:val="00F955BA"/>
    <w:rsid w:val="00F96973"/>
    <w:rsid w:val="00FA2087"/>
    <w:rsid w:val="00FA3918"/>
    <w:rsid w:val="00FB3038"/>
    <w:rsid w:val="00FC2B72"/>
    <w:rsid w:val="00FC4B5E"/>
    <w:rsid w:val="00FF42AC"/>
    <w:rsid w:val="01260E98"/>
    <w:rsid w:val="0332221F"/>
    <w:rsid w:val="044A592D"/>
    <w:rsid w:val="05597E8A"/>
    <w:rsid w:val="05B14C1B"/>
    <w:rsid w:val="0646307D"/>
    <w:rsid w:val="07451BB9"/>
    <w:rsid w:val="08974B86"/>
    <w:rsid w:val="13DC719D"/>
    <w:rsid w:val="13E43CCA"/>
    <w:rsid w:val="14EF1875"/>
    <w:rsid w:val="16217EA6"/>
    <w:rsid w:val="16401C90"/>
    <w:rsid w:val="191343BF"/>
    <w:rsid w:val="193C6A55"/>
    <w:rsid w:val="1A2559D7"/>
    <w:rsid w:val="1A4E36B1"/>
    <w:rsid w:val="1BFB0274"/>
    <w:rsid w:val="1E7A3F2A"/>
    <w:rsid w:val="1E8D2432"/>
    <w:rsid w:val="1F6B0A34"/>
    <w:rsid w:val="21E76DCA"/>
    <w:rsid w:val="22B12839"/>
    <w:rsid w:val="250B4415"/>
    <w:rsid w:val="25D63524"/>
    <w:rsid w:val="25E8526D"/>
    <w:rsid w:val="27127645"/>
    <w:rsid w:val="29A0263E"/>
    <w:rsid w:val="2CB371D5"/>
    <w:rsid w:val="2CB76E09"/>
    <w:rsid w:val="2D241352"/>
    <w:rsid w:val="2EA80FBB"/>
    <w:rsid w:val="30635127"/>
    <w:rsid w:val="32BF577B"/>
    <w:rsid w:val="364B4C35"/>
    <w:rsid w:val="36583775"/>
    <w:rsid w:val="37582F22"/>
    <w:rsid w:val="38461C5B"/>
    <w:rsid w:val="39D06DD7"/>
    <w:rsid w:val="3A3E27D3"/>
    <w:rsid w:val="3CC94A4B"/>
    <w:rsid w:val="3D2A3443"/>
    <w:rsid w:val="3D6660FE"/>
    <w:rsid w:val="43924C4E"/>
    <w:rsid w:val="4618477E"/>
    <w:rsid w:val="46562C57"/>
    <w:rsid w:val="4818558D"/>
    <w:rsid w:val="48F472F7"/>
    <w:rsid w:val="49121CE9"/>
    <w:rsid w:val="4C4E2DA6"/>
    <w:rsid w:val="4C5C36F2"/>
    <w:rsid w:val="4EF933B7"/>
    <w:rsid w:val="4FFE6B96"/>
    <w:rsid w:val="51684D16"/>
    <w:rsid w:val="51DF6C60"/>
    <w:rsid w:val="55ED3181"/>
    <w:rsid w:val="57977576"/>
    <w:rsid w:val="58432A06"/>
    <w:rsid w:val="58B53B02"/>
    <w:rsid w:val="58FF5A4F"/>
    <w:rsid w:val="59673469"/>
    <w:rsid w:val="5D47739A"/>
    <w:rsid w:val="5D4E4346"/>
    <w:rsid w:val="5F677A15"/>
    <w:rsid w:val="61E35CDA"/>
    <w:rsid w:val="62347417"/>
    <w:rsid w:val="640F539F"/>
    <w:rsid w:val="664F7D92"/>
    <w:rsid w:val="68663E90"/>
    <w:rsid w:val="6866680D"/>
    <w:rsid w:val="69101BB7"/>
    <w:rsid w:val="6BC618CA"/>
    <w:rsid w:val="6C35191F"/>
    <w:rsid w:val="6CE03BFC"/>
    <w:rsid w:val="725C2B6E"/>
    <w:rsid w:val="73FF4C50"/>
    <w:rsid w:val="745071FF"/>
    <w:rsid w:val="764864EC"/>
    <w:rsid w:val="77DE46D3"/>
    <w:rsid w:val="78F9069F"/>
    <w:rsid w:val="7A080096"/>
    <w:rsid w:val="7AAA5CC5"/>
    <w:rsid w:val="7F716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beforeLines="50" w:line="360" w:lineRule="auto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1"/>
    <w:rPr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line="480" w:lineRule="atLeast"/>
      <w:ind w:firstLine="570"/>
    </w:pPr>
  </w:style>
  <w:style w:type="paragraph" w:styleId="5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wordWrap w:val="0"/>
      <w:ind w:right="-5"/>
    </w:pPr>
    <w:rPr>
      <w:spacing w:val="16"/>
      <w:lang w:val="fr-FR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Cs w:val="0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14">
    <w:name w:val="段 Char"/>
    <w:link w:val="15"/>
    <w:autoRedefine/>
    <w:qFormat/>
    <w:uiPriority w:val="99"/>
    <w:rPr>
      <w:rFonts w:ascii="宋体" w:hAnsi="宋体" w:cs="宋体"/>
      <w:color w:val="FF0000"/>
      <w:sz w:val="21"/>
      <w:szCs w:val="22"/>
    </w:rPr>
  </w:style>
  <w:style w:type="paragraph" w:customStyle="1" w:styleId="15">
    <w:name w:val="段"/>
    <w:link w:val="14"/>
    <w:autoRedefine/>
    <w:qFormat/>
    <w:uiPriority w:val="0"/>
    <w:pPr>
      <w:autoSpaceDE w:val="0"/>
      <w:autoSpaceDN w:val="0"/>
      <w:spacing w:line="300" w:lineRule="auto"/>
      <w:jc w:val="both"/>
    </w:pPr>
    <w:rPr>
      <w:rFonts w:ascii="宋体" w:hAnsi="宋体" w:eastAsia="宋体" w:cs="宋体"/>
      <w:color w:val="FF0000"/>
      <w:sz w:val="21"/>
      <w:szCs w:val="22"/>
      <w:shd w:val="clear" w:color="auto" w:fill="FFFFFF"/>
      <w:lang w:val="en-US" w:eastAsia="zh-CN" w:bidi="ar-SA"/>
    </w:rPr>
  </w:style>
  <w:style w:type="paragraph" w:customStyle="1" w:styleId="16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17">
    <w:name w:val="段 Char Char"/>
    <w:autoRedefine/>
    <w:qFormat/>
    <w:uiPriority w:val="0"/>
    <w:rPr>
      <w:rFonts w:ascii="宋体"/>
      <w:sz w:val="21"/>
      <w:lang w:val="en-US" w:eastAsia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ridci</Company>
  <Pages>3</Pages>
  <Words>1252</Words>
  <Characters>1294</Characters>
  <Lines>9</Lines>
  <Paragraphs>2</Paragraphs>
  <TotalTime>274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2025-02-25T02:45:00Z</dcterms:created>
  <dc:creator>jiang</dc:creator>
  <cp:lastModifiedBy>夏末末</cp:lastModifiedBy>
  <cp:lastPrinted>2025-02-26T07:50:00Z</cp:lastPrinted>
  <dcterms:modified xsi:type="dcterms:W3CDTF">2025-03-25T06:31:14Z</dcterms:modified>
  <dc:title>中华人民共和国行业标准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FE7A1560D3294A84A718AA29F74CADCA_13</vt:lpwstr>
  </property>
  <property fmtid="{D5CDD505-2E9C-101B-9397-08002B2CF9AE}" pid="4" name="KSOTemplateDocerSaveRecord">
    <vt:lpwstr>eyJoZGlkIjoiNmIzMWM0YjgwMDM1OTlmMjBiYTI0NTBiMGFhODI0ODIiLCJ1c2VySWQiOiI0NDE3MjE1ODEifQ==</vt:lpwstr>
  </property>
</Properties>
</file>