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BD99E">
      <w:pPr>
        <w:pStyle w:val="97"/>
        <w:framePr w:w="0" w:hRule="auto" w:wrap="around" w:x="1590" w:y="2356"/>
        <w:rPr>
          <w:rFonts w:ascii="Times New Roman"/>
          <w:color w:val="000000"/>
          <w:szCs w:val="48"/>
        </w:rPr>
      </w:pPr>
      <w:r>
        <w:rPr>
          <w:rFonts w:ascii="Times New Roman"/>
          <w:color w:val="000000"/>
        </w:rPr>
        <w:t>团体标准</w:t>
      </w:r>
    </w:p>
    <w:p w14:paraId="47FC690D">
      <w:pPr>
        <w:pStyle w:val="68"/>
        <w:framePr w:wrap="around"/>
        <w:rPr>
          <w:rFonts w:ascii="Times New Roman"/>
        </w:rPr>
      </w:pPr>
      <w:r>
        <w:rPr>
          <w:rFonts w:hint="eastAsia" w:ascii="Times New Roman"/>
        </w:rPr>
        <w:t>石油天然气输送管用热轧宽钢带产品质量分级和评价方法</w:t>
      </w:r>
    </w:p>
    <w:p w14:paraId="3956E81F">
      <w:pPr>
        <w:pStyle w:val="67"/>
        <w:framePr w:wrap="around"/>
      </w:pPr>
      <w:r>
        <w:t>Quality gradation and evaluation for hot rolled wide strips for line pipe of petroleum and natural gas</w:t>
      </w:r>
    </w:p>
    <w:p w14:paraId="5613C347">
      <w:pPr>
        <w:pStyle w:val="66"/>
        <w:framePr w:wrap="around"/>
        <w:spacing w:before="156" w:after="156"/>
        <w:rPr>
          <w:rFonts w:ascii="Times New Roman"/>
        </w:rPr>
      </w:pPr>
    </w:p>
    <w:p w14:paraId="4F3768B6">
      <w:pPr>
        <w:pStyle w:val="109"/>
        <w:framePr w:wrap="around" w:hAnchor="page" w:x="1175" w:y="14086"/>
        <w:rPr>
          <w:rFonts w:eastAsia="宋体"/>
        </w:rPr>
      </w:pPr>
      <w:bookmarkStart w:id="0" w:name="FM"/>
      <w:r>
        <w:rPr>
          <w:rFonts w:eastAsia="宋体"/>
        </w:rPr>
        <w:t>XXXX-</w:t>
      </w:r>
      <w:bookmarkEnd w:id="0"/>
      <w:r>
        <w:rPr>
          <w:rFonts w:eastAsia="宋体"/>
        </w:rPr>
        <w:t>XX-XX</w:t>
      </w:r>
      <w:r>
        <w:t>发布</w:t>
      </w:r>
    </w:p>
    <w:p w14:paraId="1BB8F9DE">
      <w:pPr>
        <w:pStyle w:val="140"/>
        <w:framePr w:wrap="around" w:hAnchor="page" w:x="6661" w:y="14041"/>
      </w:pPr>
      <w:r>
        <w:rPr>
          <w:rFonts w:eastAsia="宋体"/>
        </w:rPr>
        <w:t>XXXX-XX-XX</w:t>
      </w:r>
      <w:r>
        <w:t>实施</w:t>
      </w:r>
    </w:p>
    <w:p w14:paraId="69CA691A">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14:paraId="152F0BD9">
      <w:pPr>
        <w:pStyle w:val="22"/>
        <w:spacing w:line="340" w:lineRule="exact"/>
        <w:rPr>
          <w:rFonts w:ascii="Times New Roman"/>
        </w:rPr>
      </w:pPr>
      <w:r>
        <w:rPr>
          <w:rFonts w:ascii="Times New Roman"/>
        </w:rPr>
        <w:t>CCS H 46</w:t>
      </w:r>
    </w:p>
    <w:p w14:paraId="48E651E8">
      <w:pPr>
        <w:pStyle w:val="22"/>
        <w:spacing w:line="340" w:lineRule="exact"/>
        <w:rPr>
          <w:rFonts w:ascii="Times New Roman"/>
        </w:rPr>
      </w:pPr>
    </w:p>
    <w:p w14:paraId="6D1E3E14">
      <w:pPr>
        <w:framePr w:wrap="auto" w:vAnchor="page" w:hAnchor="text" w:y="2853"/>
        <w:pBdr>
          <w:bottom w:val="single" w:color="auto" w:sz="4" w:space="1"/>
        </w:pBdr>
        <w:wordWrap w:val="0"/>
        <w:spacing w:before="357"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T/SSEA XXXX—XXXX</w:t>
      </w:r>
    </w:p>
    <w:p w14:paraId="457921BF">
      <w:pPr>
        <w:framePr w:wrap="auto" w:vAnchor="page" w:hAnchor="text" w:y="2853"/>
        <w:pBdr>
          <w:bottom w:val="single" w:color="auto" w:sz="4" w:space="1"/>
        </w:pBdr>
        <w:wordWrap w:val="0"/>
        <w:spacing w:before="120"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T/CSTA XXXX—XXXX</w:t>
      </w:r>
    </w:p>
    <w:p w14:paraId="500C2B8D">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555DC746">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5D5F4FC1">
      <w:pPr>
        <w:jc w:val="center"/>
        <w:rPr>
          <w:spacing w:val="20"/>
          <w:sz w:val="28"/>
          <w:szCs w:val="28"/>
        </w:rPr>
      </w:pPr>
    </w:p>
    <w:p w14:paraId="73D3ACB0">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szCs w:val="21"/>
          <w:lang w:val="en-US" w:eastAsia="zh-CN" w:bidi="ar-SA"/>
        </w:rPr>
      </w:pPr>
      <w:r>
        <w:rPr>
          <w:rFonts w:ascii="Times New Roman" w:hAnsi="Times New Roman" w:eastAsia="宋体" w:cs="Times New Roman"/>
          <w:b w:val="0"/>
          <w:spacing w:val="20"/>
          <w:w w:val="135"/>
          <w:sz w:val="32"/>
          <w:szCs w:val="21"/>
          <w:lang w:val="en-US" w:eastAsia="zh-CN" w:bidi="ar-SA"/>
        </w:rPr>
        <w:t>中国特钢企业协会</w:t>
      </w:r>
    </w:p>
    <w:p w14:paraId="6AB2A71B">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szCs w:val="21"/>
          <w:lang w:val="en-US" w:eastAsia="zh-CN" w:bidi="ar-SA"/>
        </w:rPr>
      </w:pPr>
      <w:r>
        <w:rPr>
          <w:rFonts w:ascii="Times New Roman" w:hAnsi="Times New Roman" w:eastAsia="宋体" w:cs="Times New Roman"/>
          <w:b w:val="0"/>
          <w:spacing w:val="20"/>
          <w:w w:val="135"/>
          <w:sz w:val="32"/>
          <w:szCs w:val="32"/>
          <w:lang w:val="en-US" w:eastAsia="zh-CN" w:bidi="ar-SA"/>
        </w:rPr>
        <w:t xml:space="preserve">      中关村不锈及特种合金新材料   </w:t>
      </w:r>
      <w:r>
        <w:rPr>
          <w:rFonts w:ascii="Times New Roman" w:hAnsi="Times New Roman" w:eastAsia="宋体" w:cs="Times New Roman"/>
          <w:b w:val="0"/>
          <w:spacing w:val="85"/>
          <w:w w:val="100"/>
          <w:position w:val="3"/>
          <w:sz w:val="28"/>
          <w:szCs w:val="28"/>
          <w:lang w:val="en-US" w:eastAsia="zh-CN" w:bidi="ar-SA"/>
        </w:rPr>
        <w:t>发布</w:t>
      </w:r>
    </w:p>
    <w:p w14:paraId="2D9A9538">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28"/>
          <w:szCs w:val="21"/>
          <w:lang w:val="en-US" w:eastAsia="zh-CN" w:bidi="ar-SA"/>
        </w:rPr>
      </w:pPr>
      <w:r>
        <w:rPr>
          <w:rFonts w:ascii="Times New Roman" w:hAnsi="Times New Roman" w:eastAsia="宋体" w:cs="Times New Roman"/>
          <w:b w:val="0"/>
          <w:spacing w:val="20"/>
          <w:w w:val="135"/>
          <w:sz w:val="32"/>
          <w:szCs w:val="32"/>
          <w:lang w:val="en-US" w:eastAsia="zh-CN" w:bidi="ar-SA"/>
        </w:rPr>
        <w:t>产业技术创新联盟</w:t>
      </w:r>
    </w:p>
    <w:p w14:paraId="63902E66">
      <w:pPr>
        <w:jc w:val="center"/>
        <w:rPr>
          <w:spacing w:val="20"/>
          <w:sz w:val="28"/>
          <w:szCs w:val="28"/>
        </w:rPr>
      </w:pPr>
      <w:r>
        <w:rPr>
          <w:rFonts w:hint="default"/>
          <w:spacing w:val="20"/>
          <w:sz w:val="28"/>
          <w:szCs w:val="28"/>
        </w:rPr>
        <mc:AlternateContent>
          <mc:Choice Requires="wps">
            <w:drawing>
              <wp:anchor distT="0" distB="0" distL="114300" distR="114300" simplePos="0" relativeHeight="251660288" behindDoc="0" locked="1" layoutInCell="1" allowOverlap="1">
                <wp:simplePos x="0" y="0"/>
                <wp:positionH relativeFrom="column">
                  <wp:posOffset>-2501900</wp:posOffset>
                </wp:positionH>
                <wp:positionV relativeFrom="page">
                  <wp:posOffset>9337675</wp:posOffset>
                </wp:positionV>
                <wp:extent cx="612013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7pt;margin-top:735.25pt;height:0pt;width:481.9pt;mso-position-vertical-relative:page;z-index:251660288;mso-width-relative:page;mso-height-relative:page;" coordsize="21600,21600" o:gfxdata="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Jpqp2QAAAA4BAAAPAAAAAAAAAAEAIAAAACIAAABkcnMvZG93bnJldi54&#10;bWxQSwECFAAUAAAACACHTuJA+hTvMPkBAAD0AwAADgAAAAAAAAABACAAAAAoAQAAZHJzL2Uyb0Rv&#10;Yy54bWxQSwUGAAAAAAYABgBZAQAAkwUAAAAA&#10;">
                <v:path arrowok="t"/>
                <v:fill focussize="0,0"/>
                <v:stroke/>
                <v:imagedata o:title=""/>
                <o:lock v:ext="edit"/>
                <w10:anchorlock/>
              </v:line>
            </w:pict>
          </mc:Fallback>
        </mc:AlternateContent>
      </w:r>
    </w:p>
    <w:p w14:paraId="7AD2401F">
      <w:pPr>
        <w:jc w:val="center"/>
        <w:rPr>
          <w:spacing w:val="20"/>
          <w:sz w:val="28"/>
          <w:szCs w:val="28"/>
        </w:rPr>
      </w:pPr>
    </w:p>
    <w:p w14:paraId="6EF2E72F">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779BF513">
      <w:pPr>
        <w:keepNext/>
        <w:pageBreakBefore/>
        <w:widowControl/>
        <w:shd w:val="clear" w:color="FFFFFF" w:fill="FFFFFF"/>
        <w:spacing w:before="640" w:after="560"/>
        <w:jc w:val="center"/>
        <w:outlineLvl w:val="0"/>
        <w:rPr>
          <w:rFonts w:eastAsia="黑体"/>
          <w:kern w:val="0"/>
          <w:sz w:val="32"/>
          <w:szCs w:val="20"/>
        </w:rPr>
      </w:pPr>
      <w:bookmarkStart w:id="1" w:name="_Toc520380389"/>
    </w:p>
    <w:p w14:paraId="3515D59C">
      <w:pPr>
        <w:widowControl/>
        <w:tabs>
          <w:tab w:val="center" w:pos="4201"/>
          <w:tab w:val="right" w:leader="dot" w:pos="9298"/>
        </w:tabs>
        <w:autoSpaceDE w:val="0"/>
        <w:autoSpaceDN w:val="0"/>
        <w:ind w:firstLine="400" w:firstLineChars="200"/>
        <w:rPr>
          <w:kern w:val="0"/>
          <w:sz w:val="20"/>
          <w:szCs w:val="20"/>
        </w:rPr>
      </w:pPr>
    </w:p>
    <w:p w14:paraId="21B09751">
      <w:pPr>
        <w:widowControl/>
        <w:tabs>
          <w:tab w:val="center" w:pos="4201"/>
          <w:tab w:val="right" w:leader="dot" w:pos="9298"/>
        </w:tabs>
        <w:autoSpaceDE w:val="0"/>
        <w:autoSpaceDN w:val="0"/>
        <w:ind w:firstLine="400" w:firstLineChars="200"/>
        <w:rPr>
          <w:kern w:val="0"/>
          <w:sz w:val="20"/>
          <w:szCs w:val="20"/>
        </w:rPr>
      </w:pPr>
    </w:p>
    <w:p w14:paraId="0EA9C982">
      <w:pPr>
        <w:widowControl/>
        <w:tabs>
          <w:tab w:val="center" w:pos="4201"/>
          <w:tab w:val="right" w:leader="dot" w:pos="9298"/>
        </w:tabs>
        <w:autoSpaceDE w:val="0"/>
        <w:autoSpaceDN w:val="0"/>
        <w:ind w:firstLine="400" w:firstLineChars="200"/>
        <w:rPr>
          <w:kern w:val="0"/>
          <w:sz w:val="20"/>
          <w:szCs w:val="20"/>
        </w:rPr>
      </w:pPr>
    </w:p>
    <w:p w14:paraId="22A433DB">
      <w:pPr>
        <w:widowControl/>
        <w:tabs>
          <w:tab w:val="center" w:pos="4201"/>
          <w:tab w:val="right" w:leader="dot" w:pos="9298"/>
        </w:tabs>
        <w:autoSpaceDE w:val="0"/>
        <w:autoSpaceDN w:val="0"/>
        <w:ind w:firstLine="400" w:firstLineChars="200"/>
        <w:rPr>
          <w:kern w:val="0"/>
          <w:sz w:val="20"/>
          <w:szCs w:val="20"/>
        </w:rPr>
      </w:pPr>
    </w:p>
    <w:p w14:paraId="106611CF">
      <w:pPr>
        <w:widowControl/>
        <w:tabs>
          <w:tab w:val="center" w:pos="4201"/>
          <w:tab w:val="right" w:leader="dot" w:pos="9298"/>
        </w:tabs>
        <w:autoSpaceDE w:val="0"/>
        <w:autoSpaceDN w:val="0"/>
        <w:ind w:firstLine="400" w:firstLineChars="200"/>
        <w:rPr>
          <w:kern w:val="0"/>
          <w:sz w:val="20"/>
          <w:szCs w:val="20"/>
        </w:rPr>
      </w:pPr>
    </w:p>
    <w:p w14:paraId="36C5DCFC">
      <w:pPr>
        <w:widowControl/>
        <w:tabs>
          <w:tab w:val="center" w:pos="4201"/>
          <w:tab w:val="right" w:leader="dot" w:pos="9298"/>
        </w:tabs>
        <w:autoSpaceDE w:val="0"/>
        <w:autoSpaceDN w:val="0"/>
        <w:ind w:firstLine="400" w:firstLineChars="200"/>
        <w:rPr>
          <w:kern w:val="0"/>
          <w:sz w:val="20"/>
          <w:szCs w:val="20"/>
        </w:rPr>
      </w:pPr>
    </w:p>
    <w:p w14:paraId="5FBB7E85">
      <w:pPr>
        <w:widowControl/>
        <w:tabs>
          <w:tab w:val="center" w:pos="4201"/>
          <w:tab w:val="right" w:leader="dot" w:pos="9298"/>
        </w:tabs>
        <w:autoSpaceDE w:val="0"/>
        <w:autoSpaceDN w:val="0"/>
        <w:ind w:firstLine="400" w:firstLineChars="200"/>
        <w:rPr>
          <w:kern w:val="0"/>
          <w:sz w:val="20"/>
          <w:szCs w:val="20"/>
        </w:rPr>
      </w:pPr>
    </w:p>
    <w:p w14:paraId="36F19F64">
      <w:pPr>
        <w:widowControl/>
        <w:tabs>
          <w:tab w:val="center" w:pos="4201"/>
          <w:tab w:val="right" w:leader="dot" w:pos="9298"/>
        </w:tabs>
        <w:autoSpaceDE w:val="0"/>
        <w:autoSpaceDN w:val="0"/>
        <w:ind w:firstLine="400" w:firstLineChars="200"/>
        <w:rPr>
          <w:kern w:val="0"/>
          <w:sz w:val="20"/>
          <w:szCs w:val="20"/>
        </w:rPr>
      </w:pPr>
    </w:p>
    <w:p w14:paraId="6E7C8875">
      <w:pPr>
        <w:widowControl/>
        <w:tabs>
          <w:tab w:val="center" w:pos="4201"/>
          <w:tab w:val="right" w:leader="dot" w:pos="9298"/>
        </w:tabs>
        <w:autoSpaceDE w:val="0"/>
        <w:autoSpaceDN w:val="0"/>
        <w:ind w:firstLine="400" w:firstLineChars="200"/>
        <w:rPr>
          <w:kern w:val="0"/>
          <w:sz w:val="20"/>
          <w:szCs w:val="20"/>
        </w:rPr>
      </w:pPr>
    </w:p>
    <w:p w14:paraId="3A8BD522">
      <w:pPr>
        <w:widowControl/>
        <w:tabs>
          <w:tab w:val="center" w:pos="4201"/>
          <w:tab w:val="right" w:leader="dot" w:pos="9298"/>
        </w:tabs>
        <w:autoSpaceDE w:val="0"/>
        <w:autoSpaceDN w:val="0"/>
        <w:ind w:firstLine="400" w:firstLineChars="200"/>
        <w:rPr>
          <w:kern w:val="0"/>
          <w:sz w:val="20"/>
          <w:szCs w:val="20"/>
        </w:rPr>
      </w:pPr>
    </w:p>
    <w:p w14:paraId="217C5118">
      <w:pPr>
        <w:widowControl/>
        <w:tabs>
          <w:tab w:val="center" w:pos="4201"/>
          <w:tab w:val="right" w:leader="dot" w:pos="9298"/>
        </w:tabs>
        <w:autoSpaceDE w:val="0"/>
        <w:autoSpaceDN w:val="0"/>
        <w:ind w:firstLine="400" w:firstLineChars="200"/>
        <w:rPr>
          <w:kern w:val="0"/>
          <w:sz w:val="20"/>
          <w:szCs w:val="20"/>
        </w:rPr>
      </w:pPr>
    </w:p>
    <w:p w14:paraId="393FD418">
      <w:pPr>
        <w:widowControl/>
        <w:tabs>
          <w:tab w:val="center" w:pos="4201"/>
          <w:tab w:val="right" w:leader="dot" w:pos="9298"/>
        </w:tabs>
        <w:autoSpaceDE w:val="0"/>
        <w:autoSpaceDN w:val="0"/>
        <w:ind w:firstLine="400" w:firstLineChars="200"/>
        <w:rPr>
          <w:kern w:val="0"/>
          <w:sz w:val="20"/>
          <w:szCs w:val="20"/>
        </w:rPr>
      </w:pPr>
    </w:p>
    <w:p w14:paraId="60B87668">
      <w:pPr>
        <w:widowControl/>
        <w:tabs>
          <w:tab w:val="center" w:pos="4201"/>
          <w:tab w:val="right" w:leader="dot" w:pos="9298"/>
        </w:tabs>
        <w:autoSpaceDE w:val="0"/>
        <w:autoSpaceDN w:val="0"/>
        <w:ind w:firstLine="400" w:firstLineChars="200"/>
        <w:rPr>
          <w:kern w:val="0"/>
          <w:sz w:val="20"/>
          <w:szCs w:val="20"/>
        </w:rPr>
      </w:pPr>
    </w:p>
    <w:p w14:paraId="1FA35DE2">
      <w:pPr>
        <w:widowControl/>
        <w:tabs>
          <w:tab w:val="center" w:pos="4201"/>
          <w:tab w:val="right" w:leader="dot" w:pos="9298"/>
        </w:tabs>
        <w:autoSpaceDE w:val="0"/>
        <w:autoSpaceDN w:val="0"/>
        <w:ind w:firstLine="400" w:firstLineChars="200"/>
        <w:rPr>
          <w:kern w:val="0"/>
          <w:sz w:val="20"/>
          <w:szCs w:val="20"/>
        </w:rPr>
      </w:pPr>
    </w:p>
    <w:p w14:paraId="5955625E">
      <w:pPr>
        <w:widowControl/>
        <w:tabs>
          <w:tab w:val="center" w:pos="4201"/>
          <w:tab w:val="right" w:leader="dot" w:pos="9298"/>
        </w:tabs>
        <w:autoSpaceDE w:val="0"/>
        <w:autoSpaceDN w:val="0"/>
        <w:ind w:firstLine="400" w:firstLineChars="200"/>
        <w:rPr>
          <w:kern w:val="0"/>
          <w:sz w:val="20"/>
          <w:szCs w:val="20"/>
        </w:rPr>
      </w:pPr>
    </w:p>
    <w:p w14:paraId="3BABA3FD">
      <w:pPr>
        <w:widowControl/>
        <w:tabs>
          <w:tab w:val="center" w:pos="4201"/>
          <w:tab w:val="right" w:leader="dot" w:pos="9298"/>
        </w:tabs>
        <w:autoSpaceDE w:val="0"/>
        <w:autoSpaceDN w:val="0"/>
        <w:ind w:firstLine="400" w:firstLineChars="200"/>
        <w:rPr>
          <w:kern w:val="0"/>
          <w:sz w:val="20"/>
          <w:szCs w:val="20"/>
        </w:rPr>
      </w:pPr>
    </w:p>
    <w:p w14:paraId="42BEF3B5">
      <w:pPr>
        <w:widowControl/>
        <w:tabs>
          <w:tab w:val="center" w:pos="4201"/>
          <w:tab w:val="right" w:leader="dot" w:pos="9298"/>
        </w:tabs>
        <w:autoSpaceDE w:val="0"/>
        <w:autoSpaceDN w:val="0"/>
        <w:ind w:firstLine="400" w:firstLineChars="200"/>
        <w:rPr>
          <w:kern w:val="0"/>
          <w:sz w:val="20"/>
          <w:szCs w:val="20"/>
        </w:rPr>
      </w:pPr>
    </w:p>
    <w:p w14:paraId="32983594">
      <w:pPr>
        <w:widowControl/>
        <w:tabs>
          <w:tab w:val="center" w:pos="4201"/>
          <w:tab w:val="right" w:leader="dot" w:pos="9298"/>
        </w:tabs>
        <w:autoSpaceDE w:val="0"/>
        <w:autoSpaceDN w:val="0"/>
        <w:ind w:firstLine="400" w:firstLineChars="200"/>
        <w:rPr>
          <w:kern w:val="0"/>
          <w:sz w:val="20"/>
          <w:szCs w:val="20"/>
        </w:rPr>
      </w:pPr>
    </w:p>
    <w:p w14:paraId="144C4BE8">
      <w:pPr>
        <w:widowControl/>
        <w:tabs>
          <w:tab w:val="center" w:pos="4201"/>
          <w:tab w:val="right" w:leader="dot" w:pos="9298"/>
        </w:tabs>
        <w:autoSpaceDE w:val="0"/>
        <w:autoSpaceDN w:val="0"/>
        <w:ind w:firstLine="400" w:firstLineChars="200"/>
        <w:rPr>
          <w:kern w:val="0"/>
          <w:sz w:val="20"/>
          <w:szCs w:val="20"/>
        </w:rPr>
      </w:pPr>
    </w:p>
    <w:p w14:paraId="4E08AE4A">
      <w:pPr>
        <w:widowControl/>
        <w:tabs>
          <w:tab w:val="center" w:pos="4201"/>
          <w:tab w:val="right" w:leader="dot" w:pos="9298"/>
        </w:tabs>
        <w:autoSpaceDE w:val="0"/>
        <w:autoSpaceDN w:val="0"/>
        <w:ind w:firstLine="400" w:firstLineChars="200"/>
        <w:rPr>
          <w:kern w:val="0"/>
          <w:sz w:val="20"/>
          <w:szCs w:val="20"/>
        </w:rPr>
      </w:pPr>
    </w:p>
    <w:p w14:paraId="3E1330C3">
      <w:pPr>
        <w:widowControl/>
        <w:tabs>
          <w:tab w:val="center" w:pos="4201"/>
          <w:tab w:val="right" w:leader="dot" w:pos="9298"/>
        </w:tabs>
        <w:autoSpaceDE w:val="0"/>
        <w:autoSpaceDN w:val="0"/>
        <w:ind w:firstLine="400" w:firstLineChars="200"/>
        <w:rPr>
          <w:kern w:val="0"/>
          <w:sz w:val="20"/>
          <w:szCs w:val="20"/>
        </w:rPr>
      </w:pPr>
    </w:p>
    <w:p w14:paraId="0142878E">
      <w:pPr>
        <w:widowControl/>
        <w:tabs>
          <w:tab w:val="center" w:pos="4201"/>
          <w:tab w:val="right" w:leader="dot" w:pos="9298"/>
        </w:tabs>
        <w:autoSpaceDE w:val="0"/>
        <w:autoSpaceDN w:val="0"/>
        <w:ind w:firstLine="400" w:firstLineChars="200"/>
        <w:rPr>
          <w:kern w:val="0"/>
          <w:sz w:val="20"/>
          <w:szCs w:val="20"/>
        </w:rPr>
      </w:pPr>
    </w:p>
    <w:p w14:paraId="7056F679">
      <w:pPr>
        <w:widowControl/>
        <w:tabs>
          <w:tab w:val="center" w:pos="4201"/>
          <w:tab w:val="right" w:leader="dot" w:pos="9298"/>
        </w:tabs>
        <w:autoSpaceDE w:val="0"/>
        <w:autoSpaceDN w:val="0"/>
        <w:ind w:firstLine="400" w:firstLineChars="200"/>
        <w:rPr>
          <w:kern w:val="0"/>
          <w:sz w:val="20"/>
          <w:szCs w:val="20"/>
        </w:rPr>
      </w:pPr>
    </w:p>
    <w:p w14:paraId="533A8062">
      <w:pPr>
        <w:widowControl/>
        <w:tabs>
          <w:tab w:val="center" w:pos="4201"/>
          <w:tab w:val="right" w:leader="dot" w:pos="9298"/>
        </w:tabs>
        <w:autoSpaceDE w:val="0"/>
        <w:autoSpaceDN w:val="0"/>
        <w:ind w:firstLine="400" w:firstLineChars="200"/>
        <w:rPr>
          <w:kern w:val="0"/>
          <w:sz w:val="20"/>
          <w:szCs w:val="20"/>
        </w:rPr>
      </w:pPr>
    </w:p>
    <w:p w14:paraId="065C21B9">
      <w:pPr>
        <w:widowControl/>
        <w:tabs>
          <w:tab w:val="center" w:pos="4201"/>
          <w:tab w:val="right" w:leader="dot" w:pos="9298"/>
        </w:tabs>
        <w:autoSpaceDE w:val="0"/>
        <w:autoSpaceDN w:val="0"/>
        <w:ind w:firstLine="400" w:firstLineChars="200"/>
        <w:rPr>
          <w:kern w:val="0"/>
          <w:sz w:val="20"/>
          <w:szCs w:val="20"/>
        </w:rPr>
      </w:pPr>
    </w:p>
    <w:p w14:paraId="17865BD3">
      <w:pPr>
        <w:widowControl/>
        <w:tabs>
          <w:tab w:val="center" w:pos="4201"/>
          <w:tab w:val="right" w:leader="dot" w:pos="9298"/>
        </w:tabs>
        <w:autoSpaceDE w:val="0"/>
        <w:autoSpaceDN w:val="0"/>
        <w:ind w:firstLine="400" w:firstLineChars="200"/>
        <w:rPr>
          <w:kern w:val="0"/>
          <w:sz w:val="20"/>
          <w:szCs w:val="20"/>
        </w:rPr>
      </w:pPr>
    </w:p>
    <w:p w14:paraId="187D682D">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14:paraId="1E123482">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3B750E82">
      <w:pPr>
        <w:pStyle w:val="81"/>
        <w:rPr>
          <w:rFonts w:ascii="Times New Roman"/>
        </w:rPr>
      </w:pPr>
      <w:r>
        <w:rPr>
          <w:rFonts w:ascii="Times New Roman"/>
        </w:rPr>
        <w:t>前言</w:t>
      </w:r>
      <w:bookmarkEnd w:id="1"/>
    </w:p>
    <w:p w14:paraId="14BA5C4F">
      <w:pPr>
        <w:pStyle w:val="22"/>
        <w:rPr>
          <w:rFonts w:ascii="Times New Roman"/>
        </w:rPr>
      </w:pPr>
      <w:r>
        <w:rPr>
          <w:rFonts w:ascii="Times New Roman"/>
        </w:rPr>
        <w:t>本文件按照GB/T 1.1-2020《标准化工作导则  第1部分：标准化文件的结构和起草规则》的规定起草。</w:t>
      </w:r>
    </w:p>
    <w:p w14:paraId="4C73F653">
      <w:pPr>
        <w:pStyle w:val="22"/>
        <w:rPr>
          <w:rFonts w:ascii="Times New Roman"/>
        </w:rPr>
      </w:pPr>
      <w:r>
        <w:rPr>
          <w:rFonts w:ascii="Times New Roman"/>
        </w:rPr>
        <w:t>请注意本文件的某些内容可能涉及专利。本文件的发布机构不承担识别专利的责任。</w:t>
      </w:r>
    </w:p>
    <w:p w14:paraId="17BDADC3">
      <w:pPr>
        <w:pStyle w:val="22"/>
        <w:rPr>
          <w:rFonts w:ascii="Times New Roman"/>
        </w:rPr>
      </w:pPr>
      <w:r>
        <w:rPr>
          <w:rFonts w:hint="default" w:ascii="Times New Roman"/>
        </w:rPr>
        <w:t>本文件由中国特钢企业协会团体标准化工作委员会、中关村不锈及特种合金新材料产业技术创新联盟团体标准化工作委员会联合提出并归口</w:t>
      </w:r>
      <w:bookmarkStart w:id="17" w:name="_GoBack"/>
      <w:bookmarkEnd w:id="17"/>
      <w:r>
        <w:rPr>
          <w:rFonts w:ascii="Times New Roman"/>
        </w:rPr>
        <w:t>。</w:t>
      </w:r>
    </w:p>
    <w:p w14:paraId="62BFE2FC">
      <w:pPr>
        <w:pStyle w:val="22"/>
        <w:rPr>
          <w:rFonts w:ascii="Times New Roman"/>
        </w:rPr>
      </w:pPr>
      <w:r>
        <w:rPr>
          <w:rFonts w:ascii="Times New Roman"/>
        </w:rPr>
        <w:t>本文件起草单位：</w:t>
      </w:r>
    </w:p>
    <w:p w14:paraId="7673D2E2">
      <w:pPr>
        <w:pStyle w:val="22"/>
        <w:rPr>
          <w:rFonts w:ascii="Times New Roman"/>
        </w:rPr>
      </w:pPr>
      <w:r>
        <w:rPr>
          <w:rFonts w:ascii="Times New Roman"/>
        </w:rPr>
        <w:t>本文件主要起草人：</w:t>
      </w:r>
    </w:p>
    <w:p w14:paraId="546E132C">
      <w:pPr>
        <w:pStyle w:val="22"/>
        <w:rPr>
          <w:rFonts w:ascii="Times New Roman"/>
        </w:rPr>
      </w:pPr>
    </w:p>
    <w:p w14:paraId="1DE26E8E">
      <w:pPr>
        <w:pStyle w:val="22"/>
        <w:rPr>
          <w:rFonts w:ascii="Times New Roman"/>
        </w:rPr>
      </w:pPr>
    </w:p>
    <w:p w14:paraId="12B802D3">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14:paraId="385105D6">
      <w:pPr>
        <w:pStyle w:val="58"/>
        <w:spacing w:after="624" w:afterLines="200"/>
        <w:rPr>
          <w:rFonts w:ascii="Times New Roman"/>
        </w:rPr>
      </w:pPr>
      <w:r>
        <w:rPr>
          <w:rFonts w:ascii="Times New Roman"/>
        </w:rPr>
        <w:t>石油天然气输送管用热轧宽钢带产品质量分级和评价方法</w:t>
      </w:r>
    </w:p>
    <w:p w14:paraId="1759AA87">
      <w:pPr>
        <w:pStyle w:val="45"/>
        <w:numPr>
          <w:ilvl w:val="0"/>
          <w:numId w:val="2"/>
        </w:numPr>
        <w:spacing w:before="312" w:after="312"/>
        <w:rPr>
          <w:rFonts w:ascii="Times New Roman"/>
        </w:rPr>
      </w:pPr>
      <w:r>
        <w:rPr>
          <w:rFonts w:hint="eastAsia" w:ascii="Times New Roman"/>
        </w:rPr>
        <w:t>范围</w:t>
      </w:r>
    </w:p>
    <w:p w14:paraId="65EFB0F7">
      <w:pPr>
        <w:pStyle w:val="22"/>
        <w:rPr>
          <w:rFonts w:ascii="Times New Roman"/>
        </w:rPr>
      </w:pPr>
      <w:r>
        <w:rPr>
          <w:rFonts w:ascii="Times New Roman"/>
        </w:rPr>
        <w:t>本文件规定了</w:t>
      </w:r>
      <w:r>
        <w:rPr>
          <w:rFonts w:hint="eastAsia" w:ascii="Times New Roman"/>
        </w:rPr>
        <w:t>石油天然气输送管用热轧宽钢带</w:t>
      </w:r>
      <w:r>
        <w:rPr>
          <w:rFonts w:ascii="Times New Roman"/>
        </w:rPr>
        <w:t>产品质量分级评价的的评价指标体系、评价方法以及等级标识。</w:t>
      </w:r>
    </w:p>
    <w:p w14:paraId="3764EF37">
      <w:pPr>
        <w:pStyle w:val="22"/>
        <w:rPr>
          <w:rFonts w:ascii="Times New Roman"/>
        </w:rPr>
      </w:pPr>
      <w:r>
        <w:rPr>
          <w:rFonts w:ascii="Times New Roman"/>
        </w:rPr>
        <w:t>本文件适用于</w:t>
      </w:r>
      <w:r>
        <w:rPr>
          <w:rFonts w:hint="eastAsia" w:ascii="Times New Roman"/>
        </w:rPr>
        <w:t>石油天然气输送管用热轧宽钢带</w:t>
      </w:r>
      <w:r>
        <w:rPr>
          <w:rFonts w:ascii="Times New Roman"/>
        </w:rPr>
        <w:t>（以下简称</w:t>
      </w:r>
      <w:r>
        <w:rPr>
          <w:rFonts w:hint="eastAsia" w:ascii="Times New Roman"/>
        </w:rPr>
        <w:t>钢带</w:t>
      </w:r>
      <w:r>
        <w:rPr>
          <w:rFonts w:ascii="Times New Roman"/>
        </w:rPr>
        <w:t>）产品的质量分级和评价。</w:t>
      </w:r>
    </w:p>
    <w:p w14:paraId="3639D1A5">
      <w:pPr>
        <w:pStyle w:val="45"/>
        <w:numPr>
          <w:ilvl w:val="0"/>
          <w:numId w:val="2"/>
        </w:numPr>
        <w:spacing w:before="312" w:after="312"/>
        <w:rPr>
          <w:rFonts w:ascii="Times New Roman"/>
        </w:rPr>
      </w:pPr>
      <w:bookmarkStart w:id="2" w:name="_Toc499733967"/>
      <w:bookmarkStart w:id="3" w:name="_Toc512093860"/>
      <w:bookmarkStart w:id="4" w:name="_Toc499735463"/>
      <w:bookmarkStart w:id="5" w:name="_Toc499730569"/>
      <w:bookmarkStart w:id="6" w:name="_Toc63427523"/>
      <w:r>
        <w:rPr>
          <w:rFonts w:ascii="Times New Roman"/>
        </w:rPr>
        <w:t>规范性引用文件</w:t>
      </w:r>
      <w:bookmarkEnd w:id="2"/>
      <w:bookmarkEnd w:id="3"/>
      <w:bookmarkEnd w:id="4"/>
      <w:bookmarkEnd w:id="5"/>
      <w:bookmarkEnd w:id="6"/>
    </w:p>
    <w:p w14:paraId="632C776A">
      <w:pPr>
        <w:pStyle w:val="22"/>
        <w:rPr>
          <w:rFonts w:ascii="Times New Roman"/>
          <w:color w:val="FF0000"/>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EDFA7F">
      <w:pPr>
        <w:ind w:firstLine="420" w:firstLineChars="200"/>
        <w:rPr>
          <w:rFonts w:eastAsiaTheme="minorEastAsia"/>
          <w:color w:val="000000"/>
        </w:rPr>
      </w:pPr>
      <w:r>
        <w:rPr>
          <w:rFonts w:eastAsiaTheme="minorEastAsia"/>
          <w:color w:val="000000"/>
        </w:rPr>
        <w:t xml:space="preserve">GB/T 14164  </w:t>
      </w:r>
      <w:r>
        <w:rPr>
          <w:rFonts w:hint="eastAsia" w:eastAsiaTheme="minorEastAsia"/>
          <w:color w:val="000000"/>
        </w:rPr>
        <w:t>石油天然气输送管用热轧宽钢带</w:t>
      </w:r>
    </w:p>
    <w:p w14:paraId="33AF9D93">
      <w:pPr>
        <w:pStyle w:val="22"/>
        <w:rPr>
          <w:rFonts w:ascii="Times New Roman"/>
        </w:rPr>
      </w:pPr>
      <w:r>
        <w:rPr>
          <w:rFonts w:ascii="Times New Roman"/>
        </w:rPr>
        <w:t>GB/T 19001  质量管理体系要求</w:t>
      </w:r>
    </w:p>
    <w:p w14:paraId="733CD628">
      <w:pPr>
        <w:pStyle w:val="45"/>
        <w:numPr>
          <w:ilvl w:val="0"/>
          <w:numId w:val="2"/>
        </w:numPr>
        <w:spacing w:before="312" w:after="312"/>
        <w:rPr>
          <w:rFonts w:ascii="Times New Roman"/>
        </w:rPr>
      </w:pPr>
      <w:bookmarkStart w:id="7" w:name="_Toc499730570"/>
      <w:bookmarkEnd w:id="7"/>
      <w:bookmarkStart w:id="8" w:name="_Toc63427524"/>
      <w:r>
        <w:rPr>
          <w:rFonts w:ascii="Times New Roman"/>
        </w:rPr>
        <w:t>术语和定义</w:t>
      </w:r>
      <w:bookmarkEnd w:id="8"/>
    </w:p>
    <w:p w14:paraId="7FF0C0DA">
      <w:pPr>
        <w:pStyle w:val="22"/>
        <w:rPr>
          <w:rFonts w:ascii="Times New Roman"/>
        </w:rPr>
      </w:pPr>
      <w:r>
        <w:rPr>
          <w:rFonts w:ascii="Times New Roman"/>
        </w:rPr>
        <w:t>本文件没有需要界定的术语和定义。</w:t>
      </w:r>
    </w:p>
    <w:p w14:paraId="52236301">
      <w:pPr>
        <w:pStyle w:val="45"/>
        <w:numPr>
          <w:ilvl w:val="0"/>
          <w:numId w:val="2"/>
        </w:numPr>
        <w:spacing w:before="312" w:after="312"/>
        <w:rPr>
          <w:rFonts w:ascii="Times New Roman"/>
        </w:rPr>
      </w:pPr>
      <w:r>
        <w:rPr>
          <w:rFonts w:ascii="Times New Roman"/>
        </w:rPr>
        <w:t>评价指标体系</w:t>
      </w:r>
    </w:p>
    <w:p w14:paraId="329A0849">
      <w:pPr>
        <w:pStyle w:val="47"/>
        <w:spacing w:before="156" w:after="156"/>
        <w:ind w:left="0"/>
        <w:jc w:val="both"/>
        <w:rPr>
          <w:rFonts w:ascii="Times New Roman"/>
        </w:rPr>
      </w:pPr>
      <w:bookmarkStart w:id="9" w:name="_Toc499735466"/>
      <w:bookmarkStart w:id="10" w:name="_Toc496267158"/>
      <w:bookmarkStart w:id="11" w:name="_Toc512093863"/>
      <w:bookmarkStart w:id="12" w:name="_Toc499733970"/>
      <w:r>
        <w:rPr>
          <w:rFonts w:ascii="Times New Roman"/>
        </w:rPr>
        <w:t>基本要求</w:t>
      </w:r>
    </w:p>
    <w:p w14:paraId="5A3CBA13">
      <w:pPr>
        <w:pStyle w:val="50"/>
        <w:spacing w:before="156" w:after="156"/>
        <w:rPr>
          <w:rFonts w:ascii="Times New Roman" w:eastAsia="宋体"/>
        </w:rPr>
      </w:pPr>
      <w:r>
        <w:rPr>
          <w:rFonts w:ascii="Times New Roman" w:eastAsia="宋体"/>
        </w:rPr>
        <w:t>钢带生产企业生产产品应至少满两年。钢带产品质量应满足GB/T 14164</w:t>
      </w:r>
      <w:r>
        <w:rPr>
          <w:rFonts w:hint="eastAsia" w:ascii="Times New Roman" w:eastAsia="宋体"/>
        </w:rPr>
        <w:t>或</w:t>
      </w:r>
      <w:r>
        <w:rPr>
          <w:rFonts w:ascii="Times New Roman" w:eastAsia="宋体"/>
        </w:rPr>
        <w:t>更高水平标准</w:t>
      </w:r>
      <w:r>
        <w:rPr>
          <w:rFonts w:hint="eastAsia" w:ascii="Times New Roman" w:eastAsia="宋体"/>
        </w:rPr>
        <w:t>的</w:t>
      </w:r>
      <w:r>
        <w:rPr>
          <w:rFonts w:ascii="Times New Roman" w:eastAsia="宋体"/>
        </w:rPr>
        <w:t>要求。</w:t>
      </w:r>
    </w:p>
    <w:p w14:paraId="66BB57C5">
      <w:pPr>
        <w:pStyle w:val="50"/>
        <w:spacing w:before="156" w:after="156"/>
        <w:rPr>
          <w:rFonts w:ascii="Times New Roman" w:eastAsia="宋体"/>
        </w:rPr>
      </w:pPr>
      <w:r>
        <w:rPr>
          <w:rFonts w:ascii="Times New Roman" w:eastAsia="宋体"/>
        </w:rPr>
        <w:t>钢带生产企业开展评价前两年内未发生重大产品质量事故。</w:t>
      </w:r>
    </w:p>
    <w:p w14:paraId="3C231DD9">
      <w:pPr>
        <w:pStyle w:val="50"/>
        <w:spacing w:before="156" w:after="156"/>
        <w:rPr>
          <w:rFonts w:ascii="Times New Roman" w:eastAsia="宋体"/>
        </w:rPr>
      </w:pPr>
      <w:r>
        <w:rPr>
          <w:rFonts w:ascii="Times New Roman" w:eastAsia="宋体"/>
        </w:rPr>
        <w:t>钢带生产企业应未列入国家信用信息严重失信主体相关名录。</w:t>
      </w:r>
    </w:p>
    <w:p w14:paraId="2A3CDC49">
      <w:pPr>
        <w:pStyle w:val="50"/>
        <w:spacing w:before="156" w:after="156"/>
        <w:rPr>
          <w:rFonts w:ascii="Times New Roman" w:eastAsia="宋体"/>
        </w:rPr>
      </w:pPr>
      <w:r>
        <w:rPr>
          <w:rFonts w:ascii="Times New Roman" w:eastAsia="宋体"/>
        </w:rPr>
        <w:t>钢带生产企业应根据GB/T 19001建立并运行相应质量管理体系。钢带生产企业应具有钢带产品过程监控体系，具有相应的化学成分、力学性能及相关检化验设备设施。</w:t>
      </w:r>
    </w:p>
    <w:p w14:paraId="7BDB96CF">
      <w:pPr>
        <w:pStyle w:val="47"/>
        <w:spacing w:before="156" w:after="156"/>
        <w:ind w:left="0"/>
        <w:jc w:val="both"/>
        <w:rPr>
          <w:rFonts w:ascii="Times New Roman"/>
        </w:rPr>
      </w:pPr>
      <w:r>
        <w:rPr>
          <w:rFonts w:ascii="Times New Roman"/>
        </w:rPr>
        <w:t>评价指标分类及要求</w:t>
      </w:r>
    </w:p>
    <w:p w14:paraId="32358F8B">
      <w:pPr>
        <w:pStyle w:val="22"/>
        <w:rPr>
          <w:rFonts w:ascii="Times New Roman"/>
        </w:rPr>
      </w:pPr>
      <w:r>
        <w:rPr>
          <w:rFonts w:ascii="Times New Roman"/>
        </w:rPr>
        <w:t>钢带质量等级根据</w:t>
      </w:r>
      <w:r>
        <w:rPr>
          <w:rFonts w:hint="eastAsia" w:ascii="Times New Roman"/>
        </w:rPr>
        <w:t>化学成分</w:t>
      </w:r>
      <w:r>
        <w:rPr>
          <w:rFonts w:ascii="Times New Roman"/>
        </w:rPr>
        <w:t>、</w:t>
      </w:r>
      <w:r>
        <w:rPr>
          <w:rFonts w:hint="eastAsia" w:ascii="Times New Roman"/>
        </w:rPr>
        <w:t>力学性能、非金属夹杂物</w:t>
      </w:r>
      <w:r>
        <w:rPr>
          <w:rFonts w:ascii="Times New Roman"/>
        </w:rPr>
        <w:t>、落锤撕裂试验、冲击试验、硬度分为特优级、优质级、一般级。钢带产品质量分级见表1。</w:t>
      </w:r>
    </w:p>
    <w:p w14:paraId="4BD08337">
      <w:pPr>
        <w:pStyle w:val="77"/>
        <w:spacing w:before="156" w:after="156"/>
        <w:ind w:left="0"/>
        <w:rPr>
          <w:rFonts w:ascii="Times New Roman"/>
        </w:rPr>
      </w:pPr>
      <w:r>
        <w:rPr>
          <w:rFonts w:ascii="Times New Roman"/>
        </w:rPr>
        <w:t>钢带产品质量分级</w:t>
      </w:r>
    </w:p>
    <w:tbl>
      <w:tblPr>
        <w:tblStyle w:val="3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19"/>
        <w:gridCol w:w="2904"/>
        <w:gridCol w:w="2904"/>
        <w:gridCol w:w="1722"/>
      </w:tblGrid>
      <w:tr w14:paraId="2357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gridSpan w:val="2"/>
            <w:vMerge w:val="restart"/>
            <w:tcBorders>
              <w:tl2br w:val="nil"/>
              <w:tr2bl w:val="nil"/>
            </w:tcBorders>
            <w:shd w:val="clear" w:color="auto" w:fill="auto"/>
            <w:vAlign w:val="center"/>
          </w:tcPr>
          <w:p w14:paraId="1946A5E8">
            <w:pPr>
              <w:adjustRightInd w:val="0"/>
              <w:snapToGrid w:val="0"/>
              <w:jc w:val="center"/>
              <w:rPr>
                <w:sz w:val="18"/>
                <w:szCs w:val="18"/>
              </w:rPr>
            </w:pPr>
            <w:bookmarkStart w:id="13" w:name="_Toc63427526"/>
            <w:r>
              <w:rPr>
                <w:sz w:val="18"/>
                <w:szCs w:val="18"/>
              </w:rPr>
              <w:t>质量要求</w:t>
            </w:r>
          </w:p>
        </w:tc>
        <w:tc>
          <w:tcPr>
            <w:tcW w:w="3939" w:type="pct"/>
            <w:gridSpan w:val="3"/>
            <w:tcBorders>
              <w:tl2br w:val="nil"/>
              <w:tr2bl w:val="nil"/>
            </w:tcBorders>
            <w:shd w:val="clear" w:color="auto" w:fill="auto"/>
            <w:vAlign w:val="center"/>
          </w:tcPr>
          <w:p w14:paraId="46576F5A">
            <w:pPr>
              <w:adjustRightInd w:val="0"/>
              <w:snapToGrid w:val="0"/>
              <w:jc w:val="center"/>
              <w:rPr>
                <w:sz w:val="18"/>
                <w:szCs w:val="18"/>
              </w:rPr>
            </w:pPr>
            <w:r>
              <w:rPr>
                <w:sz w:val="18"/>
                <w:szCs w:val="18"/>
              </w:rPr>
              <w:t>质量等级</w:t>
            </w:r>
          </w:p>
        </w:tc>
      </w:tr>
      <w:tr w14:paraId="6365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gridSpan w:val="2"/>
            <w:vMerge w:val="continue"/>
            <w:tcBorders>
              <w:tl2br w:val="nil"/>
              <w:tr2bl w:val="nil"/>
            </w:tcBorders>
            <w:shd w:val="clear" w:color="auto" w:fill="auto"/>
            <w:vAlign w:val="center"/>
          </w:tcPr>
          <w:p w14:paraId="73BF6D92">
            <w:pPr>
              <w:adjustRightInd w:val="0"/>
              <w:snapToGrid w:val="0"/>
              <w:jc w:val="center"/>
              <w:rPr>
                <w:sz w:val="18"/>
                <w:szCs w:val="18"/>
              </w:rPr>
            </w:pPr>
          </w:p>
        </w:tc>
        <w:tc>
          <w:tcPr>
            <w:tcW w:w="1519" w:type="pct"/>
            <w:tcBorders>
              <w:tl2br w:val="nil"/>
              <w:tr2bl w:val="nil"/>
            </w:tcBorders>
            <w:shd w:val="clear" w:color="auto" w:fill="auto"/>
            <w:vAlign w:val="center"/>
          </w:tcPr>
          <w:p w14:paraId="11DB693C">
            <w:pPr>
              <w:adjustRightInd w:val="0"/>
              <w:snapToGrid w:val="0"/>
              <w:jc w:val="center"/>
              <w:rPr>
                <w:sz w:val="18"/>
                <w:szCs w:val="18"/>
              </w:rPr>
            </w:pPr>
            <w:r>
              <w:rPr>
                <w:sz w:val="18"/>
                <w:szCs w:val="18"/>
              </w:rPr>
              <w:t>特优级</w:t>
            </w:r>
          </w:p>
        </w:tc>
        <w:tc>
          <w:tcPr>
            <w:tcW w:w="1519" w:type="pct"/>
            <w:tcBorders>
              <w:tl2br w:val="nil"/>
              <w:tr2bl w:val="nil"/>
            </w:tcBorders>
            <w:shd w:val="clear" w:color="auto" w:fill="auto"/>
            <w:vAlign w:val="center"/>
          </w:tcPr>
          <w:p w14:paraId="2960EB8E">
            <w:pPr>
              <w:adjustRightInd w:val="0"/>
              <w:snapToGrid w:val="0"/>
              <w:jc w:val="center"/>
              <w:rPr>
                <w:sz w:val="18"/>
                <w:szCs w:val="18"/>
              </w:rPr>
            </w:pPr>
            <w:r>
              <w:rPr>
                <w:sz w:val="18"/>
                <w:szCs w:val="18"/>
              </w:rPr>
              <w:t>优质级</w:t>
            </w:r>
          </w:p>
        </w:tc>
        <w:tc>
          <w:tcPr>
            <w:tcW w:w="901" w:type="pct"/>
            <w:tcBorders>
              <w:tl2br w:val="nil"/>
              <w:tr2bl w:val="nil"/>
            </w:tcBorders>
            <w:shd w:val="clear" w:color="auto" w:fill="auto"/>
            <w:vAlign w:val="center"/>
          </w:tcPr>
          <w:p w14:paraId="06396860">
            <w:pPr>
              <w:adjustRightInd w:val="0"/>
              <w:snapToGrid w:val="0"/>
              <w:jc w:val="center"/>
              <w:rPr>
                <w:sz w:val="18"/>
                <w:szCs w:val="18"/>
              </w:rPr>
            </w:pPr>
            <w:r>
              <w:rPr>
                <w:sz w:val="18"/>
                <w:szCs w:val="18"/>
              </w:rPr>
              <w:t>一般级</w:t>
            </w:r>
          </w:p>
        </w:tc>
      </w:tr>
      <w:tr w14:paraId="2821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restart"/>
            <w:tcBorders>
              <w:tl2br w:val="nil"/>
              <w:tr2bl w:val="nil"/>
            </w:tcBorders>
            <w:shd w:val="clear" w:color="auto" w:fill="auto"/>
            <w:vAlign w:val="center"/>
          </w:tcPr>
          <w:p w14:paraId="58D3148D">
            <w:pPr>
              <w:adjustRightInd w:val="0"/>
              <w:snapToGrid w:val="0"/>
              <w:jc w:val="center"/>
              <w:rPr>
                <w:sz w:val="18"/>
                <w:szCs w:val="18"/>
              </w:rPr>
            </w:pPr>
            <w:r>
              <w:rPr>
                <w:rFonts w:hint="eastAsia"/>
                <w:sz w:val="18"/>
                <w:szCs w:val="18"/>
              </w:rPr>
              <w:t>化学成分（质量分数）</w:t>
            </w:r>
          </w:p>
        </w:tc>
        <w:tc>
          <w:tcPr>
            <w:tcW w:w="533" w:type="pct"/>
            <w:tcBorders>
              <w:tl2br w:val="nil"/>
              <w:tr2bl w:val="nil"/>
            </w:tcBorders>
            <w:shd w:val="clear" w:color="auto" w:fill="auto"/>
            <w:vAlign w:val="center"/>
          </w:tcPr>
          <w:p w14:paraId="34C854A4">
            <w:pPr>
              <w:adjustRightInd w:val="0"/>
              <w:snapToGrid w:val="0"/>
              <w:jc w:val="center"/>
              <w:rPr>
                <w:sz w:val="18"/>
                <w:szCs w:val="18"/>
              </w:rPr>
            </w:pPr>
            <w:r>
              <w:rPr>
                <w:rFonts w:hint="eastAsia"/>
                <w:sz w:val="18"/>
                <w:szCs w:val="18"/>
              </w:rPr>
              <w:t>C含量控制波动</w:t>
            </w:r>
          </w:p>
        </w:tc>
        <w:tc>
          <w:tcPr>
            <w:tcW w:w="1519" w:type="pct"/>
            <w:tcBorders>
              <w:tl2br w:val="nil"/>
              <w:tr2bl w:val="nil"/>
            </w:tcBorders>
            <w:shd w:val="clear" w:color="auto" w:fill="auto"/>
            <w:vAlign w:val="center"/>
          </w:tcPr>
          <w:p w14:paraId="0463F53E">
            <w:pPr>
              <w:adjustRightInd w:val="0"/>
              <w:snapToGrid w:val="0"/>
              <w:jc w:val="center"/>
              <w:rPr>
                <w:sz w:val="18"/>
                <w:szCs w:val="18"/>
              </w:rPr>
            </w:pPr>
            <w:r>
              <w:rPr>
                <w:rFonts w:hint="eastAsia"/>
                <w:sz w:val="18"/>
                <w:szCs w:val="18"/>
              </w:rPr>
              <w:t>≤0.0</w:t>
            </w:r>
            <w:r>
              <w:rPr>
                <w:sz w:val="18"/>
                <w:szCs w:val="18"/>
              </w:rPr>
              <w:t>3</w:t>
            </w:r>
            <w:r>
              <w:rPr>
                <w:rFonts w:hint="eastAsia"/>
                <w:sz w:val="18"/>
                <w:szCs w:val="18"/>
              </w:rPr>
              <w:t>%</w:t>
            </w:r>
          </w:p>
        </w:tc>
        <w:tc>
          <w:tcPr>
            <w:tcW w:w="1519" w:type="pct"/>
            <w:tcBorders>
              <w:tl2br w:val="nil"/>
              <w:tr2bl w:val="nil"/>
            </w:tcBorders>
            <w:shd w:val="clear" w:color="auto" w:fill="auto"/>
            <w:vAlign w:val="center"/>
          </w:tcPr>
          <w:p w14:paraId="09C400F3">
            <w:pPr>
              <w:adjustRightInd w:val="0"/>
              <w:snapToGrid w:val="0"/>
              <w:jc w:val="center"/>
              <w:rPr>
                <w:sz w:val="18"/>
                <w:szCs w:val="18"/>
              </w:rPr>
            </w:pPr>
            <w:r>
              <w:rPr>
                <w:rFonts w:hint="eastAsia"/>
                <w:sz w:val="18"/>
                <w:szCs w:val="18"/>
              </w:rPr>
              <w:t>≤0.0</w:t>
            </w:r>
            <w:r>
              <w:rPr>
                <w:sz w:val="18"/>
                <w:szCs w:val="18"/>
              </w:rPr>
              <w:t>4</w:t>
            </w:r>
            <w:r>
              <w:rPr>
                <w:rFonts w:hint="eastAsia"/>
                <w:sz w:val="18"/>
                <w:szCs w:val="18"/>
              </w:rPr>
              <w:t>%</w:t>
            </w:r>
          </w:p>
        </w:tc>
        <w:tc>
          <w:tcPr>
            <w:tcW w:w="901" w:type="pct"/>
            <w:tcBorders>
              <w:tl2br w:val="nil"/>
              <w:tr2bl w:val="nil"/>
            </w:tcBorders>
            <w:shd w:val="clear" w:color="auto" w:fill="auto"/>
            <w:vAlign w:val="center"/>
          </w:tcPr>
          <w:p w14:paraId="3F65314F">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139E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continue"/>
            <w:tcBorders>
              <w:tl2br w:val="nil"/>
              <w:tr2bl w:val="nil"/>
            </w:tcBorders>
            <w:shd w:val="clear" w:color="auto" w:fill="auto"/>
            <w:vAlign w:val="center"/>
          </w:tcPr>
          <w:p w14:paraId="28F95BE0">
            <w:pPr>
              <w:adjustRightInd w:val="0"/>
              <w:snapToGrid w:val="0"/>
              <w:jc w:val="center"/>
              <w:rPr>
                <w:sz w:val="18"/>
                <w:szCs w:val="18"/>
              </w:rPr>
            </w:pPr>
          </w:p>
        </w:tc>
        <w:tc>
          <w:tcPr>
            <w:tcW w:w="533" w:type="pct"/>
            <w:tcBorders>
              <w:tl2br w:val="nil"/>
              <w:tr2bl w:val="nil"/>
            </w:tcBorders>
            <w:shd w:val="clear" w:color="auto" w:fill="auto"/>
            <w:vAlign w:val="center"/>
          </w:tcPr>
          <w:p w14:paraId="01465D4C">
            <w:pPr>
              <w:adjustRightInd w:val="0"/>
              <w:snapToGrid w:val="0"/>
              <w:jc w:val="center"/>
              <w:rPr>
                <w:sz w:val="18"/>
                <w:szCs w:val="18"/>
              </w:rPr>
            </w:pPr>
            <w:r>
              <w:rPr>
                <w:rFonts w:hint="eastAsia"/>
                <w:sz w:val="18"/>
                <w:szCs w:val="18"/>
              </w:rPr>
              <w:t>Si含量控制波动</w:t>
            </w:r>
          </w:p>
        </w:tc>
        <w:tc>
          <w:tcPr>
            <w:tcW w:w="1519" w:type="pct"/>
            <w:tcBorders>
              <w:tl2br w:val="nil"/>
              <w:tr2bl w:val="nil"/>
            </w:tcBorders>
            <w:shd w:val="clear" w:color="auto" w:fill="auto"/>
            <w:vAlign w:val="center"/>
          </w:tcPr>
          <w:p w14:paraId="0375D393">
            <w:pPr>
              <w:adjustRightInd w:val="0"/>
              <w:snapToGrid w:val="0"/>
              <w:jc w:val="center"/>
              <w:rPr>
                <w:sz w:val="18"/>
                <w:szCs w:val="18"/>
              </w:rPr>
            </w:pPr>
            <w:r>
              <w:rPr>
                <w:rFonts w:hint="eastAsia"/>
                <w:sz w:val="18"/>
                <w:szCs w:val="18"/>
              </w:rPr>
              <w:t>≤</w:t>
            </w:r>
            <w:r>
              <w:rPr>
                <w:sz w:val="18"/>
                <w:szCs w:val="18"/>
              </w:rPr>
              <w:t>0.08</w:t>
            </w:r>
            <w:r>
              <w:rPr>
                <w:rFonts w:hint="eastAsia"/>
                <w:sz w:val="18"/>
                <w:szCs w:val="18"/>
              </w:rPr>
              <w:t>%</w:t>
            </w:r>
          </w:p>
        </w:tc>
        <w:tc>
          <w:tcPr>
            <w:tcW w:w="1519" w:type="pct"/>
            <w:tcBorders>
              <w:tl2br w:val="nil"/>
              <w:tr2bl w:val="nil"/>
            </w:tcBorders>
            <w:shd w:val="clear" w:color="auto" w:fill="auto"/>
            <w:vAlign w:val="center"/>
          </w:tcPr>
          <w:p w14:paraId="5A427343">
            <w:pPr>
              <w:adjustRightInd w:val="0"/>
              <w:snapToGrid w:val="0"/>
              <w:jc w:val="center"/>
              <w:rPr>
                <w:sz w:val="18"/>
                <w:szCs w:val="18"/>
              </w:rPr>
            </w:pPr>
            <w:r>
              <w:rPr>
                <w:rFonts w:hint="eastAsia"/>
                <w:sz w:val="18"/>
                <w:szCs w:val="18"/>
              </w:rPr>
              <w:t>≤0.</w:t>
            </w:r>
            <w:r>
              <w:rPr>
                <w:sz w:val="18"/>
                <w:szCs w:val="18"/>
              </w:rPr>
              <w:t>10</w:t>
            </w:r>
            <w:r>
              <w:rPr>
                <w:rFonts w:hint="eastAsia"/>
                <w:sz w:val="18"/>
                <w:szCs w:val="18"/>
              </w:rPr>
              <w:t>%</w:t>
            </w:r>
          </w:p>
        </w:tc>
        <w:tc>
          <w:tcPr>
            <w:tcW w:w="901" w:type="pct"/>
            <w:tcBorders>
              <w:tl2br w:val="nil"/>
              <w:tr2bl w:val="nil"/>
            </w:tcBorders>
            <w:shd w:val="clear" w:color="auto" w:fill="auto"/>
            <w:vAlign w:val="center"/>
          </w:tcPr>
          <w:p w14:paraId="424CB3E7">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5A75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continue"/>
            <w:tcBorders>
              <w:tl2br w:val="nil"/>
              <w:tr2bl w:val="nil"/>
            </w:tcBorders>
            <w:shd w:val="clear" w:color="auto" w:fill="auto"/>
            <w:vAlign w:val="center"/>
          </w:tcPr>
          <w:p w14:paraId="43E19998">
            <w:pPr>
              <w:adjustRightInd w:val="0"/>
              <w:snapToGrid w:val="0"/>
              <w:jc w:val="center"/>
              <w:rPr>
                <w:sz w:val="18"/>
                <w:szCs w:val="18"/>
              </w:rPr>
            </w:pPr>
          </w:p>
        </w:tc>
        <w:tc>
          <w:tcPr>
            <w:tcW w:w="533" w:type="pct"/>
            <w:tcBorders>
              <w:tl2br w:val="nil"/>
              <w:tr2bl w:val="nil"/>
            </w:tcBorders>
            <w:shd w:val="clear" w:color="auto" w:fill="auto"/>
            <w:vAlign w:val="center"/>
          </w:tcPr>
          <w:p w14:paraId="40CE3F33">
            <w:pPr>
              <w:adjustRightInd w:val="0"/>
              <w:snapToGrid w:val="0"/>
              <w:jc w:val="center"/>
              <w:rPr>
                <w:sz w:val="18"/>
                <w:szCs w:val="18"/>
              </w:rPr>
            </w:pPr>
            <w:r>
              <w:rPr>
                <w:rFonts w:hint="eastAsia"/>
                <w:sz w:val="18"/>
                <w:szCs w:val="18"/>
              </w:rPr>
              <w:t>Mn含量控制波动</w:t>
            </w:r>
          </w:p>
        </w:tc>
        <w:tc>
          <w:tcPr>
            <w:tcW w:w="1519" w:type="pct"/>
            <w:tcBorders>
              <w:tl2br w:val="nil"/>
              <w:tr2bl w:val="nil"/>
            </w:tcBorders>
            <w:shd w:val="clear" w:color="auto" w:fill="auto"/>
            <w:vAlign w:val="center"/>
          </w:tcPr>
          <w:p w14:paraId="435B5F58">
            <w:pPr>
              <w:adjustRightInd w:val="0"/>
              <w:snapToGrid w:val="0"/>
              <w:jc w:val="center"/>
              <w:rPr>
                <w:sz w:val="18"/>
                <w:szCs w:val="18"/>
              </w:rPr>
            </w:pPr>
            <w:r>
              <w:rPr>
                <w:rFonts w:hint="eastAsia"/>
                <w:sz w:val="18"/>
                <w:szCs w:val="18"/>
              </w:rPr>
              <w:t>≤0.1%</w:t>
            </w:r>
          </w:p>
        </w:tc>
        <w:tc>
          <w:tcPr>
            <w:tcW w:w="1519" w:type="pct"/>
            <w:tcBorders>
              <w:tl2br w:val="nil"/>
              <w:tr2bl w:val="nil"/>
            </w:tcBorders>
            <w:shd w:val="clear" w:color="auto" w:fill="auto"/>
            <w:vAlign w:val="center"/>
          </w:tcPr>
          <w:p w14:paraId="23658850">
            <w:pPr>
              <w:adjustRightInd w:val="0"/>
              <w:snapToGrid w:val="0"/>
              <w:jc w:val="center"/>
              <w:rPr>
                <w:sz w:val="18"/>
                <w:szCs w:val="18"/>
              </w:rPr>
            </w:pPr>
            <w:r>
              <w:rPr>
                <w:rFonts w:hint="eastAsia"/>
                <w:sz w:val="18"/>
                <w:szCs w:val="18"/>
              </w:rPr>
              <w:t>≤0.2%</w:t>
            </w:r>
          </w:p>
        </w:tc>
        <w:tc>
          <w:tcPr>
            <w:tcW w:w="901" w:type="pct"/>
            <w:tcBorders>
              <w:tl2br w:val="nil"/>
              <w:tr2bl w:val="nil"/>
            </w:tcBorders>
            <w:shd w:val="clear" w:color="auto" w:fill="auto"/>
            <w:vAlign w:val="center"/>
          </w:tcPr>
          <w:p w14:paraId="092B3AA2">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2EE8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continue"/>
            <w:tcBorders>
              <w:tl2br w:val="nil"/>
              <w:tr2bl w:val="nil"/>
            </w:tcBorders>
            <w:shd w:val="clear" w:color="auto" w:fill="auto"/>
            <w:vAlign w:val="center"/>
          </w:tcPr>
          <w:p w14:paraId="59E4E77A">
            <w:pPr>
              <w:adjustRightInd w:val="0"/>
              <w:snapToGrid w:val="0"/>
              <w:jc w:val="center"/>
              <w:rPr>
                <w:sz w:val="18"/>
                <w:szCs w:val="18"/>
              </w:rPr>
            </w:pPr>
          </w:p>
        </w:tc>
        <w:tc>
          <w:tcPr>
            <w:tcW w:w="533" w:type="pct"/>
            <w:tcBorders>
              <w:tl2br w:val="nil"/>
              <w:tr2bl w:val="nil"/>
            </w:tcBorders>
            <w:shd w:val="clear" w:color="auto" w:fill="auto"/>
            <w:vAlign w:val="center"/>
          </w:tcPr>
          <w:p w14:paraId="3D91128E">
            <w:pPr>
              <w:adjustRightInd w:val="0"/>
              <w:snapToGrid w:val="0"/>
              <w:jc w:val="center"/>
              <w:rPr>
                <w:sz w:val="18"/>
                <w:szCs w:val="18"/>
              </w:rPr>
            </w:pPr>
            <w:r>
              <w:rPr>
                <w:rFonts w:hint="eastAsia"/>
                <w:sz w:val="18"/>
                <w:szCs w:val="18"/>
              </w:rPr>
              <w:t>P含量</w:t>
            </w:r>
          </w:p>
        </w:tc>
        <w:tc>
          <w:tcPr>
            <w:tcW w:w="1519" w:type="pct"/>
            <w:tcBorders>
              <w:tl2br w:val="nil"/>
              <w:tr2bl w:val="nil"/>
            </w:tcBorders>
            <w:shd w:val="clear" w:color="auto" w:fill="auto"/>
            <w:vAlign w:val="center"/>
          </w:tcPr>
          <w:p w14:paraId="0181A642">
            <w:pPr>
              <w:adjustRightInd w:val="0"/>
              <w:snapToGrid w:val="0"/>
              <w:jc w:val="center"/>
              <w:rPr>
                <w:sz w:val="18"/>
                <w:szCs w:val="18"/>
              </w:rPr>
            </w:pPr>
            <w:r>
              <w:rPr>
                <w:rFonts w:hint="eastAsia"/>
                <w:sz w:val="18"/>
                <w:szCs w:val="18"/>
              </w:rPr>
              <w:t>≤</w:t>
            </w:r>
            <w:r>
              <w:rPr>
                <w:sz w:val="18"/>
                <w:szCs w:val="18"/>
              </w:rPr>
              <w:t>0.012%</w:t>
            </w:r>
          </w:p>
        </w:tc>
        <w:tc>
          <w:tcPr>
            <w:tcW w:w="1519" w:type="pct"/>
            <w:tcBorders>
              <w:tl2br w:val="nil"/>
              <w:tr2bl w:val="nil"/>
            </w:tcBorders>
            <w:shd w:val="clear" w:color="auto" w:fill="auto"/>
            <w:vAlign w:val="center"/>
          </w:tcPr>
          <w:p w14:paraId="65D3EF31">
            <w:pPr>
              <w:adjustRightInd w:val="0"/>
              <w:snapToGrid w:val="0"/>
              <w:jc w:val="center"/>
              <w:rPr>
                <w:sz w:val="18"/>
                <w:szCs w:val="18"/>
              </w:rPr>
            </w:pPr>
            <w:r>
              <w:rPr>
                <w:rFonts w:hint="eastAsia"/>
                <w:sz w:val="18"/>
                <w:szCs w:val="18"/>
              </w:rPr>
              <w:t>≤</w:t>
            </w:r>
            <w:r>
              <w:rPr>
                <w:sz w:val="18"/>
                <w:szCs w:val="18"/>
              </w:rPr>
              <w:t>0.015%</w:t>
            </w:r>
          </w:p>
        </w:tc>
        <w:tc>
          <w:tcPr>
            <w:tcW w:w="901" w:type="pct"/>
            <w:tcBorders>
              <w:tl2br w:val="nil"/>
              <w:tr2bl w:val="nil"/>
            </w:tcBorders>
            <w:shd w:val="clear" w:color="auto" w:fill="auto"/>
            <w:vAlign w:val="center"/>
          </w:tcPr>
          <w:p w14:paraId="0E8C1401">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01CF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continue"/>
            <w:tcBorders>
              <w:tl2br w:val="nil"/>
              <w:tr2bl w:val="nil"/>
            </w:tcBorders>
            <w:shd w:val="clear" w:color="auto" w:fill="auto"/>
            <w:vAlign w:val="center"/>
          </w:tcPr>
          <w:p w14:paraId="1BA7DD71">
            <w:pPr>
              <w:adjustRightInd w:val="0"/>
              <w:snapToGrid w:val="0"/>
              <w:jc w:val="center"/>
              <w:rPr>
                <w:sz w:val="18"/>
                <w:szCs w:val="18"/>
              </w:rPr>
            </w:pPr>
          </w:p>
        </w:tc>
        <w:tc>
          <w:tcPr>
            <w:tcW w:w="533" w:type="pct"/>
            <w:tcBorders>
              <w:tl2br w:val="nil"/>
              <w:tr2bl w:val="nil"/>
            </w:tcBorders>
            <w:shd w:val="clear" w:color="auto" w:fill="auto"/>
            <w:vAlign w:val="center"/>
          </w:tcPr>
          <w:p w14:paraId="11E6F5A5">
            <w:pPr>
              <w:adjustRightInd w:val="0"/>
              <w:snapToGrid w:val="0"/>
              <w:jc w:val="center"/>
              <w:rPr>
                <w:sz w:val="18"/>
                <w:szCs w:val="18"/>
              </w:rPr>
            </w:pPr>
            <w:r>
              <w:rPr>
                <w:rFonts w:hint="eastAsia"/>
                <w:sz w:val="18"/>
                <w:szCs w:val="18"/>
              </w:rPr>
              <w:t>S含量</w:t>
            </w:r>
          </w:p>
        </w:tc>
        <w:tc>
          <w:tcPr>
            <w:tcW w:w="1519" w:type="pct"/>
            <w:tcBorders>
              <w:tl2br w:val="nil"/>
              <w:tr2bl w:val="nil"/>
            </w:tcBorders>
            <w:shd w:val="clear" w:color="auto" w:fill="auto"/>
            <w:vAlign w:val="center"/>
          </w:tcPr>
          <w:p w14:paraId="646A7A41">
            <w:pPr>
              <w:adjustRightInd w:val="0"/>
              <w:snapToGrid w:val="0"/>
              <w:jc w:val="center"/>
              <w:rPr>
                <w:sz w:val="18"/>
                <w:szCs w:val="18"/>
              </w:rPr>
            </w:pPr>
            <w:r>
              <w:rPr>
                <w:rFonts w:hint="eastAsia"/>
                <w:sz w:val="18"/>
                <w:szCs w:val="18"/>
              </w:rPr>
              <w:t>≤</w:t>
            </w:r>
            <w:r>
              <w:rPr>
                <w:sz w:val="18"/>
                <w:szCs w:val="18"/>
              </w:rPr>
              <w:t>0.002%</w:t>
            </w:r>
          </w:p>
        </w:tc>
        <w:tc>
          <w:tcPr>
            <w:tcW w:w="1519" w:type="pct"/>
            <w:tcBorders>
              <w:tl2br w:val="nil"/>
              <w:tr2bl w:val="nil"/>
            </w:tcBorders>
            <w:shd w:val="clear" w:color="auto" w:fill="auto"/>
            <w:vAlign w:val="center"/>
          </w:tcPr>
          <w:p w14:paraId="63E0FC1C">
            <w:pPr>
              <w:adjustRightInd w:val="0"/>
              <w:snapToGrid w:val="0"/>
              <w:jc w:val="center"/>
              <w:rPr>
                <w:sz w:val="18"/>
                <w:szCs w:val="18"/>
              </w:rPr>
            </w:pPr>
            <w:r>
              <w:rPr>
                <w:rFonts w:hint="eastAsia"/>
                <w:sz w:val="18"/>
                <w:szCs w:val="18"/>
              </w:rPr>
              <w:t>≤</w:t>
            </w:r>
            <w:r>
              <w:rPr>
                <w:sz w:val="18"/>
                <w:szCs w:val="18"/>
              </w:rPr>
              <w:t>0.005%</w:t>
            </w:r>
          </w:p>
        </w:tc>
        <w:tc>
          <w:tcPr>
            <w:tcW w:w="901" w:type="pct"/>
            <w:tcBorders>
              <w:tl2br w:val="nil"/>
              <w:tr2bl w:val="nil"/>
            </w:tcBorders>
            <w:shd w:val="clear" w:color="auto" w:fill="auto"/>
            <w:vAlign w:val="center"/>
          </w:tcPr>
          <w:p w14:paraId="4934989C">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5FAB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8" w:type="pct"/>
            <w:vMerge w:val="continue"/>
            <w:tcBorders>
              <w:tl2br w:val="nil"/>
              <w:tr2bl w:val="nil"/>
            </w:tcBorders>
            <w:shd w:val="clear" w:color="auto" w:fill="auto"/>
            <w:vAlign w:val="center"/>
          </w:tcPr>
          <w:p w14:paraId="0FCA6D5C">
            <w:pPr>
              <w:adjustRightInd w:val="0"/>
              <w:snapToGrid w:val="0"/>
              <w:jc w:val="center"/>
              <w:rPr>
                <w:sz w:val="18"/>
                <w:szCs w:val="18"/>
              </w:rPr>
            </w:pPr>
          </w:p>
        </w:tc>
        <w:tc>
          <w:tcPr>
            <w:tcW w:w="533" w:type="pct"/>
            <w:tcBorders>
              <w:tl2br w:val="nil"/>
              <w:tr2bl w:val="nil"/>
            </w:tcBorders>
            <w:shd w:val="clear" w:color="auto" w:fill="auto"/>
            <w:vAlign w:val="center"/>
          </w:tcPr>
          <w:p w14:paraId="63D20D48">
            <w:pPr>
              <w:adjustRightInd w:val="0"/>
              <w:snapToGrid w:val="0"/>
              <w:jc w:val="center"/>
              <w:rPr>
                <w:sz w:val="18"/>
                <w:szCs w:val="18"/>
              </w:rPr>
            </w:pPr>
            <w:r>
              <w:rPr>
                <w:rFonts w:hint="eastAsia"/>
                <w:sz w:val="18"/>
                <w:szCs w:val="18"/>
              </w:rPr>
              <w:t>Nb含量控制波动</w:t>
            </w:r>
          </w:p>
        </w:tc>
        <w:tc>
          <w:tcPr>
            <w:tcW w:w="1519" w:type="pct"/>
            <w:tcBorders>
              <w:tl2br w:val="nil"/>
              <w:tr2bl w:val="nil"/>
            </w:tcBorders>
            <w:shd w:val="clear" w:color="auto" w:fill="auto"/>
            <w:vAlign w:val="center"/>
          </w:tcPr>
          <w:p w14:paraId="0C54701B">
            <w:pPr>
              <w:adjustRightInd w:val="0"/>
              <w:snapToGrid w:val="0"/>
              <w:jc w:val="center"/>
              <w:rPr>
                <w:sz w:val="18"/>
                <w:szCs w:val="18"/>
              </w:rPr>
            </w:pPr>
            <w:r>
              <w:rPr>
                <w:rFonts w:hint="eastAsia"/>
                <w:sz w:val="18"/>
                <w:szCs w:val="18"/>
              </w:rPr>
              <w:t>有意添加时：≤0.01%</w:t>
            </w:r>
          </w:p>
        </w:tc>
        <w:tc>
          <w:tcPr>
            <w:tcW w:w="1519" w:type="pct"/>
            <w:tcBorders>
              <w:tl2br w:val="nil"/>
              <w:tr2bl w:val="nil"/>
            </w:tcBorders>
            <w:shd w:val="clear" w:color="auto" w:fill="auto"/>
            <w:vAlign w:val="center"/>
          </w:tcPr>
          <w:p w14:paraId="1E5D7355">
            <w:pPr>
              <w:adjustRightInd w:val="0"/>
              <w:snapToGrid w:val="0"/>
              <w:jc w:val="center"/>
              <w:rPr>
                <w:sz w:val="18"/>
                <w:szCs w:val="18"/>
              </w:rPr>
            </w:pPr>
            <w:r>
              <w:rPr>
                <w:rFonts w:hint="eastAsia"/>
                <w:sz w:val="18"/>
                <w:szCs w:val="18"/>
              </w:rPr>
              <w:t>有意添加时：≤0.02%</w:t>
            </w:r>
          </w:p>
        </w:tc>
        <w:tc>
          <w:tcPr>
            <w:tcW w:w="901" w:type="pct"/>
            <w:tcBorders>
              <w:tl2br w:val="nil"/>
              <w:tr2bl w:val="nil"/>
            </w:tcBorders>
            <w:shd w:val="clear" w:color="auto" w:fill="auto"/>
            <w:vAlign w:val="center"/>
          </w:tcPr>
          <w:p w14:paraId="021E4E36">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7A8F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8" w:type="pct"/>
            <w:vMerge w:val="continue"/>
            <w:tcBorders>
              <w:tl2br w:val="nil"/>
              <w:tr2bl w:val="nil"/>
            </w:tcBorders>
            <w:shd w:val="clear" w:color="auto" w:fill="auto"/>
            <w:vAlign w:val="center"/>
          </w:tcPr>
          <w:p w14:paraId="44355AFA">
            <w:pPr>
              <w:adjustRightInd w:val="0"/>
              <w:snapToGrid w:val="0"/>
              <w:jc w:val="center"/>
              <w:rPr>
                <w:sz w:val="18"/>
                <w:szCs w:val="18"/>
              </w:rPr>
            </w:pPr>
          </w:p>
        </w:tc>
        <w:tc>
          <w:tcPr>
            <w:tcW w:w="533" w:type="pct"/>
            <w:tcBorders>
              <w:tl2br w:val="nil"/>
              <w:tr2bl w:val="nil"/>
            </w:tcBorders>
            <w:shd w:val="clear" w:color="auto" w:fill="auto"/>
            <w:vAlign w:val="center"/>
          </w:tcPr>
          <w:p w14:paraId="4DF00D39">
            <w:pPr>
              <w:adjustRightInd w:val="0"/>
              <w:snapToGrid w:val="0"/>
              <w:jc w:val="center"/>
              <w:rPr>
                <w:sz w:val="18"/>
                <w:szCs w:val="18"/>
              </w:rPr>
            </w:pPr>
            <w:r>
              <w:rPr>
                <w:rFonts w:hint="eastAsia"/>
                <w:sz w:val="18"/>
                <w:szCs w:val="18"/>
              </w:rPr>
              <w:t>V含量控制波动</w:t>
            </w:r>
          </w:p>
        </w:tc>
        <w:tc>
          <w:tcPr>
            <w:tcW w:w="1519" w:type="pct"/>
            <w:tcBorders>
              <w:tl2br w:val="nil"/>
              <w:tr2bl w:val="nil"/>
            </w:tcBorders>
            <w:shd w:val="clear" w:color="auto" w:fill="auto"/>
            <w:vAlign w:val="center"/>
          </w:tcPr>
          <w:p w14:paraId="0D382CD6">
            <w:pPr>
              <w:adjustRightInd w:val="0"/>
              <w:snapToGrid w:val="0"/>
              <w:jc w:val="center"/>
              <w:rPr>
                <w:sz w:val="18"/>
                <w:szCs w:val="18"/>
              </w:rPr>
            </w:pPr>
            <w:r>
              <w:rPr>
                <w:rFonts w:hint="eastAsia"/>
                <w:sz w:val="18"/>
                <w:szCs w:val="18"/>
              </w:rPr>
              <w:t>有意添加时：≤0.016%</w:t>
            </w:r>
          </w:p>
        </w:tc>
        <w:tc>
          <w:tcPr>
            <w:tcW w:w="1519" w:type="pct"/>
            <w:tcBorders>
              <w:tl2br w:val="nil"/>
              <w:tr2bl w:val="nil"/>
            </w:tcBorders>
            <w:shd w:val="clear" w:color="auto" w:fill="auto"/>
            <w:vAlign w:val="center"/>
          </w:tcPr>
          <w:p w14:paraId="3F1CBB26">
            <w:pPr>
              <w:adjustRightInd w:val="0"/>
              <w:snapToGrid w:val="0"/>
              <w:jc w:val="center"/>
              <w:rPr>
                <w:sz w:val="18"/>
                <w:szCs w:val="18"/>
              </w:rPr>
            </w:pPr>
            <w:r>
              <w:rPr>
                <w:rFonts w:hint="eastAsia"/>
                <w:sz w:val="18"/>
                <w:szCs w:val="18"/>
              </w:rPr>
              <w:t>有意添加时：≤0.03%</w:t>
            </w:r>
          </w:p>
        </w:tc>
        <w:tc>
          <w:tcPr>
            <w:tcW w:w="901" w:type="pct"/>
            <w:tcBorders>
              <w:tl2br w:val="nil"/>
              <w:tr2bl w:val="nil"/>
            </w:tcBorders>
            <w:shd w:val="clear" w:color="auto" w:fill="auto"/>
            <w:vAlign w:val="center"/>
          </w:tcPr>
          <w:p w14:paraId="4C447D7E">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27DB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8" w:type="pct"/>
            <w:vMerge w:val="continue"/>
            <w:tcBorders>
              <w:tl2br w:val="nil"/>
              <w:tr2bl w:val="nil"/>
            </w:tcBorders>
            <w:shd w:val="clear" w:color="auto" w:fill="auto"/>
            <w:vAlign w:val="center"/>
          </w:tcPr>
          <w:p w14:paraId="5EB36145">
            <w:pPr>
              <w:adjustRightInd w:val="0"/>
              <w:snapToGrid w:val="0"/>
              <w:jc w:val="center"/>
              <w:rPr>
                <w:sz w:val="18"/>
                <w:szCs w:val="18"/>
              </w:rPr>
            </w:pPr>
          </w:p>
        </w:tc>
        <w:tc>
          <w:tcPr>
            <w:tcW w:w="533" w:type="pct"/>
            <w:tcBorders>
              <w:tl2br w:val="nil"/>
              <w:tr2bl w:val="nil"/>
            </w:tcBorders>
            <w:shd w:val="clear" w:color="auto" w:fill="auto"/>
            <w:vAlign w:val="center"/>
          </w:tcPr>
          <w:p w14:paraId="22A7709B">
            <w:pPr>
              <w:adjustRightInd w:val="0"/>
              <w:snapToGrid w:val="0"/>
              <w:jc w:val="center"/>
              <w:rPr>
                <w:sz w:val="18"/>
                <w:szCs w:val="18"/>
              </w:rPr>
            </w:pPr>
            <w:r>
              <w:rPr>
                <w:rFonts w:hint="eastAsia"/>
                <w:sz w:val="18"/>
                <w:szCs w:val="18"/>
              </w:rPr>
              <w:t>Ti含量控制波动</w:t>
            </w:r>
          </w:p>
        </w:tc>
        <w:tc>
          <w:tcPr>
            <w:tcW w:w="1519" w:type="pct"/>
            <w:tcBorders>
              <w:tl2br w:val="nil"/>
              <w:tr2bl w:val="nil"/>
            </w:tcBorders>
            <w:shd w:val="clear" w:color="auto" w:fill="auto"/>
            <w:vAlign w:val="center"/>
          </w:tcPr>
          <w:p w14:paraId="0C97AA4D">
            <w:pPr>
              <w:adjustRightInd w:val="0"/>
              <w:snapToGrid w:val="0"/>
              <w:jc w:val="center"/>
              <w:rPr>
                <w:sz w:val="18"/>
                <w:szCs w:val="18"/>
              </w:rPr>
            </w:pPr>
            <w:r>
              <w:rPr>
                <w:rFonts w:hint="eastAsia"/>
                <w:sz w:val="18"/>
                <w:szCs w:val="18"/>
              </w:rPr>
              <w:t>有意添加时：≤0.016%</w:t>
            </w:r>
          </w:p>
        </w:tc>
        <w:tc>
          <w:tcPr>
            <w:tcW w:w="1519" w:type="pct"/>
            <w:tcBorders>
              <w:tl2br w:val="nil"/>
              <w:tr2bl w:val="nil"/>
            </w:tcBorders>
            <w:shd w:val="clear" w:color="auto" w:fill="auto"/>
            <w:vAlign w:val="center"/>
          </w:tcPr>
          <w:p w14:paraId="316D0418">
            <w:pPr>
              <w:adjustRightInd w:val="0"/>
              <w:snapToGrid w:val="0"/>
              <w:jc w:val="center"/>
              <w:rPr>
                <w:sz w:val="18"/>
                <w:szCs w:val="18"/>
              </w:rPr>
            </w:pPr>
            <w:r>
              <w:rPr>
                <w:rFonts w:hint="eastAsia"/>
                <w:sz w:val="18"/>
                <w:szCs w:val="18"/>
              </w:rPr>
              <w:t>有意添加时：≤0.03%</w:t>
            </w:r>
          </w:p>
        </w:tc>
        <w:tc>
          <w:tcPr>
            <w:tcW w:w="901" w:type="pct"/>
            <w:tcBorders>
              <w:tl2br w:val="nil"/>
              <w:tr2bl w:val="nil"/>
            </w:tcBorders>
            <w:shd w:val="clear" w:color="auto" w:fill="auto"/>
            <w:vAlign w:val="center"/>
          </w:tcPr>
          <w:p w14:paraId="3E42E86E">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1D9B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28" w:type="pct"/>
            <w:vMerge w:val="continue"/>
            <w:tcBorders>
              <w:tl2br w:val="nil"/>
              <w:tr2bl w:val="nil"/>
            </w:tcBorders>
            <w:shd w:val="clear" w:color="auto" w:fill="auto"/>
            <w:vAlign w:val="center"/>
          </w:tcPr>
          <w:p w14:paraId="31247D6B">
            <w:pPr>
              <w:adjustRightInd w:val="0"/>
              <w:snapToGrid w:val="0"/>
              <w:jc w:val="center"/>
              <w:rPr>
                <w:sz w:val="18"/>
                <w:szCs w:val="18"/>
              </w:rPr>
            </w:pPr>
          </w:p>
        </w:tc>
        <w:tc>
          <w:tcPr>
            <w:tcW w:w="533" w:type="pct"/>
            <w:tcBorders>
              <w:tl2br w:val="nil"/>
              <w:tr2bl w:val="nil"/>
            </w:tcBorders>
            <w:shd w:val="clear" w:color="auto" w:fill="auto"/>
            <w:vAlign w:val="center"/>
          </w:tcPr>
          <w:p w14:paraId="5FEC4976">
            <w:pPr>
              <w:adjustRightInd w:val="0"/>
              <w:snapToGrid w:val="0"/>
              <w:jc w:val="center"/>
              <w:rPr>
                <w:sz w:val="18"/>
                <w:szCs w:val="18"/>
              </w:rPr>
            </w:pPr>
            <w:r>
              <w:rPr>
                <w:rFonts w:hint="eastAsia"/>
                <w:sz w:val="18"/>
                <w:szCs w:val="18"/>
              </w:rPr>
              <w:t>Cr含量控制波动</w:t>
            </w:r>
          </w:p>
        </w:tc>
        <w:tc>
          <w:tcPr>
            <w:tcW w:w="1519" w:type="pct"/>
            <w:tcBorders>
              <w:tl2br w:val="nil"/>
              <w:tr2bl w:val="nil"/>
            </w:tcBorders>
            <w:shd w:val="clear" w:color="auto" w:fill="auto"/>
            <w:vAlign w:val="center"/>
          </w:tcPr>
          <w:p w14:paraId="06CB1AAC">
            <w:pPr>
              <w:adjustRightInd w:val="0"/>
              <w:snapToGrid w:val="0"/>
              <w:jc w:val="center"/>
              <w:rPr>
                <w:sz w:val="18"/>
                <w:szCs w:val="18"/>
              </w:rPr>
            </w:pPr>
            <w:r>
              <w:rPr>
                <w:rFonts w:hint="eastAsia"/>
                <w:sz w:val="18"/>
                <w:szCs w:val="18"/>
              </w:rPr>
              <w:t>有意添加时：≤0.1%</w:t>
            </w:r>
          </w:p>
        </w:tc>
        <w:tc>
          <w:tcPr>
            <w:tcW w:w="1519" w:type="pct"/>
            <w:tcBorders>
              <w:tl2br w:val="nil"/>
              <w:tr2bl w:val="nil"/>
            </w:tcBorders>
            <w:shd w:val="clear" w:color="auto" w:fill="auto"/>
            <w:vAlign w:val="center"/>
          </w:tcPr>
          <w:p w14:paraId="38CAF40E">
            <w:pPr>
              <w:adjustRightInd w:val="0"/>
              <w:snapToGrid w:val="0"/>
              <w:jc w:val="center"/>
              <w:rPr>
                <w:sz w:val="18"/>
                <w:szCs w:val="18"/>
              </w:rPr>
            </w:pPr>
            <w:r>
              <w:rPr>
                <w:rFonts w:hint="eastAsia"/>
                <w:sz w:val="18"/>
                <w:szCs w:val="18"/>
              </w:rPr>
              <w:t>有意添加时：≤0.2%</w:t>
            </w:r>
          </w:p>
        </w:tc>
        <w:tc>
          <w:tcPr>
            <w:tcW w:w="901" w:type="pct"/>
            <w:tcBorders>
              <w:tl2br w:val="nil"/>
              <w:tr2bl w:val="nil"/>
            </w:tcBorders>
            <w:shd w:val="clear" w:color="auto" w:fill="auto"/>
            <w:vAlign w:val="center"/>
          </w:tcPr>
          <w:p w14:paraId="5D018012">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5304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28" w:type="pct"/>
            <w:vMerge w:val="continue"/>
            <w:tcBorders>
              <w:tl2br w:val="nil"/>
              <w:tr2bl w:val="nil"/>
            </w:tcBorders>
            <w:shd w:val="clear" w:color="auto" w:fill="auto"/>
            <w:vAlign w:val="center"/>
          </w:tcPr>
          <w:p w14:paraId="626FDD4D">
            <w:pPr>
              <w:adjustRightInd w:val="0"/>
              <w:snapToGrid w:val="0"/>
              <w:jc w:val="center"/>
              <w:rPr>
                <w:sz w:val="18"/>
                <w:szCs w:val="18"/>
              </w:rPr>
            </w:pPr>
          </w:p>
        </w:tc>
        <w:tc>
          <w:tcPr>
            <w:tcW w:w="533" w:type="pct"/>
            <w:tcBorders>
              <w:tl2br w:val="nil"/>
              <w:tr2bl w:val="nil"/>
            </w:tcBorders>
            <w:shd w:val="clear" w:color="auto" w:fill="auto"/>
            <w:vAlign w:val="center"/>
          </w:tcPr>
          <w:p w14:paraId="7889C862">
            <w:pPr>
              <w:adjustRightInd w:val="0"/>
              <w:snapToGrid w:val="0"/>
              <w:jc w:val="center"/>
              <w:rPr>
                <w:sz w:val="18"/>
                <w:szCs w:val="18"/>
              </w:rPr>
            </w:pPr>
            <w:r>
              <w:rPr>
                <w:rFonts w:hint="eastAsia"/>
                <w:sz w:val="18"/>
                <w:szCs w:val="18"/>
              </w:rPr>
              <w:t>Ni含量控制波动</w:t>
            </w:r>
          </w:p>
        </w:tc>
        <w:tc>
          <w:tcPr>
            <w:tcW w:w="1519" w:type="pct"/>
            <w:tcBorders>
              <w:tl2br w:val="nil"/>
              <w:tr2bl w:val="nil"/>
            </w:tcBorders>
            <w:shd w:val="clear" w:color="auto" w:fill="auto"/>
            <w:vAlign w:val="center"/>
          </w:tcPr>
          <w:p w14:paraId="58D949A4">
            <w:pPr>
              <w:adjustRightInd w:val="0"/>
              <w:snapToGrid w:val="0"/>
              <w:jc w:val="center"/>
              <w:rPr>
                <w:sz w:val="18"/>
                <w:szCs w:val="18"/>
              </w:rPr>
            </w:pPr>
            <w:r>
              <w:rPr>
                <w:rFonts w:hint="eastAsia"/>
                <w:sz w:val="18"/>
                <w:szCs w:val="18"/>
              </w:rPr>
              <w:t>有意添加时：≤0.1%</w:t>
            </w:r>
          </w:p>
        </w:tc>
        <w:tc>
          <w:tcPr>
            <w:tcW w:w="1519" w:type="pct"/>
            <w:tcBorders>
              <w:tl2br w:val="nil"/>
              <w:tr2bl w:val="nil"/>
            </w:tcBorders>
            <w:shd w:val="clear" w:color="auto" w:fill="auto"/>
            <w:vAlign w:val="center"/>
          </w:tcPr>
          <w:p w14:paraId="22EB041A">
            <w:pPr>
              <w:adjustRightInd w:val="0"/>
              <w:snapToGrid w:val="0"/>
              <w:jc w:val="center"/>
              <w:rPr>
                <w:sz w:val="18"/>
                <w:szCs w:val="18"/>
              </w:rPr>
            </w:pPr>
            <w:r>
              <w:rPr>
                <w:rFonts w:hint="eastAsia"/>
                <w:sz w:val="18"/>
                <w:szCs w:val="18"/>
              </w:rPr>
              <w:t>有意添加时：≤0.2%</w:t>
            </w:r>
          </w:p>
        </w:tc>
        <w:tc>
          <w:tcPr>
            <w:tcW w:w="901" w:type="pct"/>
            <w:tcBorders>
              <w:tl2br w:val="nil"/>
              <w:tr2bl w:val="nil"/>
            </w:tcBorders>
            <w:shd w:val="clear" w:color="auto" w:fill="auto"/>
            <w:vAlign w:val="center"/>
          </w:tcPr>
          <w:p w14:paraId="2D092606">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557A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28" w:type="pct"/>
            <w:vMerge w:val="continue"/>
            <w:tcBorders>
              <w:tl2br w:val="nil"/>
              <w:tr2bl w:val="nil"/>
            </w:tcBorders>
            <w:shd w:val="clear" w:color="auto" w:fill="auto"/>
            <w:vAlign w:val="center"/>
          </w:tcPr>
          <w:p w14:paraId="6EB27F8A">
            <w:pPr>
              <w:adjustRightInd w:val="0"/>
              <w:snapToGrid w:val="0"/>
              <w:jc w:val="center"/>
              <w:rPr>
                <w:sz w:val="18"/>
                <w:szCs w:val="18"/>
              </w:rPr>
            </w:pPr>
          </w:p>
        </w:tc>
        <w:tc>
          <w:tcPr>
            <w:tcW w:w="533" w:type="pct"/>
            <w:tcBorders>
              <w:tl2br w:val="nil"/>
              <w:tr2bl w:val="nil"/>
            </w:tcBorders>
            <w:shd w:val="clear" w:color="auto" w:fill="auto"/>
            <w:vAlign w:val="center"/>
          </w:tcPr>
          <w:p w14:paraId="50D3D023">
            <w:pPr>
              <w:adjustRightInd w:val="0"/>
              <w:snapToGrid w:val="0"/>
              <w:jc w:val="center"/>
              <w:rPr>
                <w:sz w:val="18"/>
                <w:szCs w:val="18"/>
              </w:rPr>
            </w:pPr>
            <w:r>
              <w:rPr>
                <w:rFonts w:hint="eastAsia"/>
                <w:sz w:val="18"/>
                <w:szCs w:val="18"/>
              </w:rPr>
              <w:t>Mo含量控制波动</w:t>
            </w:r>
          </w:p>
        </w:tc>
        <w:tc>
          <w:tcPr>
            <w:tcW w:w="1519" w:type="pct"/>
            <w:tcBorders>
              <w:tl2br w:val="nil"/>
              <w:tr2bl w:val="nil"/>
            </w:tcBorders>
            <w:shd w:val="clear" w:color="auto" w:fill="auto"/>
            <w:vAlign w:val="center"/>
          </w:tcPr>
          <w:p w14:paraId="68E4A40E">
            <w:pPr>
              <w:adjustRightInd w:val="0"/>
              <w:snapToGrid w:val="0"/>
              <w:jc w:val="center"/>
              <w:rPr>
                <w:sz w:val="18"/>
                <w:szCs w:val="18"/>
              </w:rPr>
            </w:pPr>
            <w:r>
              <w:rPr>
                <w:rFonts w:hint="eastAsia"/>
                <w:sz w:val="18"/>
                <w:szCs w:val="18"/>
              </w:rPr>
              <w:t>有意添加时：≤0.1%</w:t>
            </w:r>
          </w:p>
        </w:tc>
        <w:tc>
          <w:tcPr>
            <w:tcW w:w="1519" w:type="pct"/>
            <w:tcBorders>
              <w:tl2br w:val="nil"/>
              <w:tr2bl w:val="nil"/>
            </w:tcBorders>
            <w:shd w:val="clear" w:color="auto" w:fill="auto"/>
            <w:vAlign w:val="center"/>
          </w:tcPr>
          <w:p w14:paraId="2676A905">
            <w:pPr>
              <w:adjustRightInd w:val="0"/>
              <w:snapToGrid w:val="0"/>
              <w:jc w:val="center"/>
              <w:rPr>
                <w:sz w:val="18"/>
                <w:szCs w:val="18"/>
              </w:rPr>
            </w:pPr>
            <w:r>
              <w:rPr>
                <w:rFonts w:hint="eastAsia"/>
                <w:sz w:val="18"/>
                <w:szCs w:val="18"/>
              </w:rPr>
              <w:t>有意添加时：≤0.2%</w:t>
            </w:r>
          </w:p>
        </w:tc>
        <w:tc>
          <w:tcPr>
            <w:tcW w:w="901" w:type="pct"/>
            <w:tcBorders>
              <w:tl2br w:val="nil"/>
              <w:tr2bl w:val="nil"/>
            </w:tcBorders>
            <w:shd w:val="clear" w:color="auto" w:fill="auto"/>
            <w:vAlign w:val="center"/>
          </w:tcPr>
          <w:p w14:paraId="313EE8ED">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08EF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28" w:type="pct"/>
            <w:vMerge w:val="continue"/>
            <w:tcBorders>
              <w:tl2br w:val="nil"/>
              <w:tr2bl w:val="nil"/>
            </w:tcBorders>
            <w:shd w:val="clear" w:color="auto" w:fill="auto"/>
            <w:vAlign w:val="center"/>
          </w:tcPr>
          <w:p w14:paraId="5DE0927C">
            <w:pPr>
              <w:adjustRightInd w:val="0"/>
              <w:snapToGrid w:val="0"/>
              <w:jc w:val="center"/>
              <w:rPr>
                <w:sz w:val="18"/>
                <w:szCs w:val="18"/>
              </w:rPr>
            </w:pPr>
          </w:p>
        </w:tc>
        <w:tc>
          <w:tcPr>
            <w:tcW w:w="533" w:type="pct"/>
            <w:tcBorders>
              <w:tl2br w:val="nil"/>
              <w:tr2bl w:val="nil"/>
            </w:tcBorders>
            <w:shd w:val="clear" w:color="auto" w:fill="auto"/>
            <w:vAlign w:val="center"/>
          </w:tcPr>
          <w:p w14:paraId="0B609A15">
            <w:pPr>
              <w:adjustRightInd w:val="0"/>
              <w:snapToGrid w:val="0"/>
              <w:jc w:val="center"/>
              <w:rPr>
                <w:sz w:val="18"/>
                <w:szCs w:val="18"/>
              </w:rPr>
            </w:pPr>
            <w:r>
              <w:rPr>
                <w:rFonts w:hint="eastAsia"/>
                <w:sz w:val="18"/>
                <w:szCs w:val="18"/>
              </w:rPr>
              <w:t>Cu含量控制波动</w:t>
            </w:r>
          </w:p>
        </w:tc>
        <w:tc>
          <w:tcPr>
            <w:tcW w:w="1519" w:type="pct"/>
            <w:tcBorders>
              <w:tl2br w:val="nil"/>
              <w:tr2bl w:val="nil"/>
            </w:tcBorders>
            <w:shd w:val="clear" w:color="auto" w:fill="auto"/>
            <w:vAlign w:val="center"/>
          </w:tcPr>
          <w:p w14:paraId="1403D4D9">
            <w:pPr>
              <w:adjustRightInd w:val="0"/>
              <w:snapToGrid w:val="0"/>
              <w:jc w:val="center"/>
              <w:rPr>
                <w:sz w:val="18"/>
                <w:szCs w:val="18"/>
              </w:rPr>
            </w:pPr>
            <w:r>
              <w:rPr>
                <w:rFonts w:hint="eastAsia"/>
                <w:sz w:val="18"/>
                <w:szCs w:val="18"/>
              </w:rPr>
              <w:t>有意添加时：≤0.1%</w:t>
            </w:r>
          </w:p>
        </w:tc>
        <w:tc>
          <w:tcPr>
            <w:tcW w:w="1519" w:type="pct"/>
            <w:tcBorders>
              <w:tl2br w:val="nil"/>
              <w:tr2bl w:val="nil"/>
            </w:tcBorders>
            <w:shd w:val="clear" w:color="auto" w:fill="auto"/>
            <w:vAlign w:val="center"/>
          </w:tcPr>
          <w:p w14:paraId="72094BAA">
            <w:pPr>
              <w:adjustRightInd w:val="0"/>
              <w:snapToGrid w:val="0"/>
              <w:jc w:val="center"/>
              <w:rPr>
                <w:sz w:val="18"/>
                <w:szCs w:val="18"/>
              </w:rPr>
            </w:pPr>
            <w:r>
              <w:rPr>
                <w:rFonts w:hint="eastAsia"/>
                <w:sz w:val="18"/>
                <w:szCs w:val="18"/>
              </w:rPr>
              <w:t>有意添加时：≤0.2%</w:t>
            </w:r>
          </w:p>
        </w:tc>
        <w:tc>
          <w:tcPr>
            <w:tcW w:w="901" w:type="pct"/>
            <w:tcBorders>
              <w:tl2br w:val="nil"/>
              <w:tr2bl w:val="nil"/>
            </w:tcBorders>
            <w:shd w:val="clear" w:color="auto" w:fill="auto"/>
            <w:vAlign w:val="center"/>
          </w:tcPr>
          <w:p w14:paraId="69A8B9DB">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7723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restart"/>
            <w:tcBorders>
              <w:tl2br w:val="nil"/>
              <w:tr2bl w:val="nil"/>
            </w:tcBorders>
            <w:shd w:val="clear" w:color="auto" w:fill="auto"/>
            <w:vAlign w:val="center"/>
          </w:tcPr>
          <w:p w14:paraId="54B53A94">
            <w:pPr>
              <w:adjustRightInd w:val="0"/>
              <w:snapToGrid w:val="0"/>
              <w:jc w:val="center"/>
              <w:rPr>
                <w:sz w:val="18"/>
                <w:szCs w:val="18"/>
              </w:rPr>
            </w:pPr>
            <w:r>
              <w:rPr>
                <w:rFonts w:hint="eastAsia"/>
                <w:sz w:val="18"/>
                <w:szCs w:val="18"/>
              </w:rPr>
              <w:t>力学</w:t>
            </w:r>
            <w:r>
              <w:rPr>
                <w:sz w:val="18"/>
                <w:szCs w:val="18"/>
              </w:rPr>
              <w:t>性能</w:t>
            </w:r>
          </w:p>
        </w:tc>
        <w:tc>
          <w:tcPr>
            <w:tcW w:w="533" w:type="pct"/>
            <w:tcBorders>
              <w:tl2br w:val="nil"/>
              <w:tr2bl w:val="nil"/>
            </w:tcBorders>
            <w:shd w:val="clear" w:color="auto" w:fill="auto"/>
            <w:vAlign w:val="center"/>
          </w:tcPr>
          <w:p w14:paraId="479534BB">
            <w:pPr>
              <w:adjustRightInd w:val="0"/>
              <w:snapToGrid w:val="0"/>
              <w:jc w:val="center"/>
              <w:rPr>
                <w:sz w:val="18"/>
                <w:szCs w:val="18"/>
              </w:rPr>
            </w:pPr>
            <w:r>
              <w:rPr>
                <w:rFonts w:hint="eastAsia"/>
                <w:sz w:val="18"/>
                <w:szCs w:val="18"/>
              </w:rPr>
              <w:t>规定总</w:t>
            </w:r>
            <w:r>
              <w:rPr>
                <w:sz w:val="18"/>
                <w:szCs w:val="18"/>
              </w:rPr>
              <w:t>延伸强度R</w:t>
            </w:r>
            <w:r>
              <w:rPr>
                <w:sz w:val="18"/>
                <w:szCs w:val="18"/>
                <w:vertAlign w:val="subscript"/>
              </w:rPr>
              <w:t>t0.5</w:t>
            </w:r>
            <w:r>
              <w:rPr>
                <w:rFonts w:hint="eastAsia"/>
                <w:sz w:val="18"/>
                <w:szCs w:val="18"/>
              </w:rPr>
              <w:t>波动</w:t>
            </w:r>
          </w:p>
        </w:tc>
        <w:tc>
          <w:tcPr>
            <w:tcW w:w="1519" w:type="pct"/>
            <w:tcBorders>
              <w:tl2br w:val="nil"/>
              <w:tr2bl w:val="nil"/>
            </w:tcBorders>
            <w:shd w:val="clear" w:color="auto" w:fill="auto"/>
            <w:vAlign w:val="center"/>
          </w:tcPr>
          <w:p w14:paraId="4214B22A">
            <w:pPr>
              <w:adjustRightInd w:val="0"/>
              <w:snapToGrid w:val="0"/>
              <w:rPr>
                <w:b/>
                <w:bCs/>
                <w:sz w:val="18"/>
                <w:szCs w:val="18"/>
              </w:rPr>
            </w:pPr>
            <w:r>
              <w:rPr>
                <w:rFonts w:hint="eastAsia"/>
                <w:b/>
                <w:bCs/>
                <w:sz w:val="18"/>
                <w:szCs w:val="18"/>
              </w:rPr>
              <w:t>批次间波动：</w:t>
            </w:r>
          </w:p>
          <w:p w14:paraId="2F03D2FF">
            <w:pPr>
              <w:adjustRightInd w:val="0"/>
              <w:snapToGrid w:val="0"/>
              <w:rPr>
                <w:sz w:val="18"/>
                <w:szCs w:val="18"/>
              </w:rPr>
            </w:pPr>
            <w:r>
              <w:rPr>
                <w:rFonts w:hint="eastAsia"/>
                <w:sz w:val="18"/>
                <w:szCs w:val="18"/>
              </w:rPr>
              <w:t>B-X56级别：≤70MPa</w:t>
            </w:r>
          </w:p>
          <w:p w14:paraId="40C23D07">
            <w:pPr>
              <w:adjustRightInd w:val="0"/>
              <w:snapToGrid w:val="0"/>
              <w:rPr>
                <w:sz w:val="18"/>
                <w:szCs w:val="18"/>
              </w:rPr>
            </w:pPr>
            <w:r>
              <w:rPr>
                <w:rFonts w:hint="eastAsia"/>
                <w:sz w:val="18"/>
                <w:szCs w:val="18"/>
              </w:rPr>
              <w:t>X60-X65级别：≤80MPa</w:t>
            </w:r>
          </w:p>
          <w:p w14:paraId="76AC1ED0">
            <w:pPr>
              <w:adjustRightInd w:val="0"/>
              <w:snapToGrid w:val="0"/>
              <w:rPr>
                <w:sz w:val="18"/>
                <w:szCs w:val="18"/>
              </w:rPr>
            </w:pPr>
            <w:r>
              <w:rPr>
                <w:rFonts w:hint="eastAsia"/>
                <w:sz w:val="18"/>
                <w:szCs w:val="18"/>
              </w:rPr>
              <w:t>X70-X80级别：≤100MPa</w:t>
            </w:r>
          </w:p>
          <w:p w14:paraId="442719A2">
            <w:pPr>
              <w:adjustRightInd w:val="0"/>
              <w:snapToGrid w:val="0"/>
              <w:rPr>
                <w:sz w:val="18"/>
                <w:szCs w:val="18"/>
              </w:rPr>
            </w:pPr>
            <w:r>
              <w:rPr>
                <w:rFonts w:hint="eastAsia"/>
                <w:sz w:val="18"/>
                <w:szCs w:val="18"/>
              </w:rPr>
              <w:t>X90-X120级别：≤120MPa</w:t>
            </w:r>
          </w:p>
        </w:tc>
        <w:tc>
          <w:tcPr>
            <w:tcW w:w="1519" w:type="pct"/>
            <w:tcBorders>
              <w:tl2br w:val="nil"/>
              <w:tr2bl w:val="nil"/>
            </w:tcBorders>
            <w:shd w:val="clear" w:color="auto" w:fill="auto"/>
            <w:vAlign w:val="center"/>
          </w:tcPr>
          <w:p w14:paraId="2B0F304C">
            <w:pPr>
              <w:adjustRightInd w:val="0"/>
              <w:snapToGrid w:val="0"/>
              <w:rPr>
                <w:b/>
                <w:bCs/>
                <w:sz w:val="18"/>
                <w:szCs w:val="18"/>
              </w:rPr>
            </w:pPr>
            <w:r>
              <w:rPr>
                <w:rFonts w:hint="eastAsia"/>
                <w:b/>
                <w:bCs/>
                <w:sz w:val="18"/>
                <w:szCs w:val="18"/>
              </w:rPr>
              <w:t>批次间波动：</w:t>
            </w:r>
          </w:p>
          <w:p w14:paraId="00BCA24A">
            <w:pPr>
              <w:adjustRightInd w:val="0"/>
              <w:snapToGrid w:val="0"/>
              <w:rPr>
                <w:sz w:val="18"/>
                <w:szCs w:val="18"/>
              </w:rPr>
            </w:pPr>
            <w:r>
              <w:rPr>
                <w:rFonts w:hint="eastAsia"/>
                <w:sz w:val="18"/>
                <w:szCs w:val="18"/>
              </w:rPr>
              <w:t>B-X56级别：≤100MPa</w:t>
            </w:r>
          </w:p>
          <w:p w14:paraId="5FAA99B8">
            <w:pPr>
              <w:adjustRightInd w:val="0"/>
              <w:snapToGrid w:val="0"/>
              <w:rPr>
                <w:sz w:val="18"/>
                <w:szCs w:val="18"/>
              </w:rPr>
            </w:pPr>
            <w:r>
              <w:rPr>
                <w:rFonts w:hint="eastAsia"/>
                <w:sz w:val="18"/>
                <w:szCs w:val="18"/>
              </w:rPr>
              <w:t>X60-X65级别：≤110MPa</w:t>
            </w:r>
          </w:p>
          <w:p w14:paraId="2ED80176">
            <w:pPr>
              <w:adjustRightInd w:val="0"/>
              <w:snapToGrid w:val="0"/>
              <w:rPr>
                <w:sz w:val="18"/>
                <w:szCs w:val="18"/>
              </w:rPr>
            </w:pPr>
            <w:r>
              <w:rPr>
                <w:rFonts w:hint="eastAsia"/>
                <w:sz w:val="18"/>
                <w:szCs w:val="18"/>
              </w:rPr>
              <w:t>X70-X80级别：≤130MPa</w:t>
            </w:r>
          </w:p>
          <w:p w14:paraId="2FBCD419">
            <w:pPr>
              <w:adjustRightInd w:val="0"/>
              <w:snapToGrid w:val="0"/>
              <w:rPr>
                <w:sz w:val="18"/>
                <w:szCs w:val="18"/>
              </w:rPr>
            </w:pPr>
            <w:r>
              <w:rPr>
                <w:rFonts w:hint="eastAsia"/>
                <w:sz w:val="18"/>
                <w:szCs w:val="18"/>
              </w:rPr>
              <w:t>X90-X120级别：≤150MPa</w:t>
            </w:r>
          </w:p>
        </w:tc>
        <w:tc>
          <w:tcPr>
            <w:tcW w:w="901" w:type="pct"/>
            <w:tcBorders>
              <w:tl2br w:val="nil"/>
              <w:tr2bl w:val="nil"/>
            </w:tcBorders>
            <w:shd w:val="clear" w:color="auto" w:fill="auto"/>
            <w:vAlign w:val="center"/>
          </w:tcPr>
          <w:p w14:paraId="7A21A0D0">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6EEC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8" w:type="pct"/>
            <w:vMerge w:val="continue"/>
            <w:tcBorders>
              <w:tl2br w:val="nil"/>
              <w:tr2bl w:val="nil"/>
            </w:tcBorders>
            <w:shd w:val="clear" w:color="auto" w:fill="auto"/>
            <w:vAlign w:val="center"/>
          </w:tcPr>
          <w:p w14:paraId="11A324F6">
            <w:pPr>
              <w:adjustRightInd w:val="0"/>
              <w:snapToGrid w:val="0"/>
              <w:jc w:val="center"/>
              <w:rPr>
                <w:sz w:val="18"/>
                <w:szCs w:val="18"/>
              </w:rPr>
            </w:pPr>
          </w:p>
        </w:tc>
        <w:tc>
          <w:tcPr>
            <w:tcW w:w="533" w:type="pct"/>
            <w:tcBorders>
              <w:tl2br w:val="nil"/>
              <w:tr2bl w:val="nil"/>
            </w:tcBorders>
            <w:shd w:val="clear" w:color="auto" w:fill="auto"/>
            <w:vAlign w:val="center"/>
          </w:tcPr>
          <w:p w14:paraId="3ACDB4CE">
            <w:pPr>
              <w:adjustRightInd w:val="0"/>
              <w:snapToGrid w:val="0"/>
              <w:jc w:val="center"/>
              <w:rPr>
                <w:sz w:val="18"/>
                <w:szCs w:val="18"/>
              </w:rPr>
            </w:pPr>
            <w:r>
              <w:rPr>
                <w:rFonts w:hint="eastAsia"/>
                <w:sz w:val="18"/>
                <w:szCs w:val="18"/>
              </w:rPr>
              <w:t>抗拉</w:t>
            </w:r>
            <w:r>
              <w:rPr>
                <w:sz w:val="18"/>
                <w:szCs w:val="18"/>
              </w:rPr>
              <w:t>强度R</w:t>
            </w:r>
            <w:r>
              <w:rPr>
                <w:sz w:val="18"/>
                <w:szCs w:val="18"/>
                <w:vertAlign w:val="subscript"/>
              </w:rPr>
              <w:t>m</w:t>
            </w:r>
            <w:r>
              <w:rPr>
                <w:rFonts w:hint="eastAsia"/>
                <w:sz w:val="18"/>
                <w:szCs w:val="18"/>
              </w:rPr>
              <w:t>波动</w:t>
            </w:r>
          </w:p>
        </w:tc>
        <w:tc>
          <w:tcPr>
            <w:tcW w:w="1519" w:type="pct"/>
            <w:tcBorders>
              <w:tl2br w:val="nil"/>
              <w:tr2bl w:val="nil"/>
            </w:tcBorders>
            <w:shd w:val="clear" w:color="auto" w:fill="auto"/>
            <w:vAlign w:val="center"/>
          </w:tcPr>
          <w:p w14:paraId="009E0899">
            <w:pPr>
              <w:adjustRightInd w:val="0"/>
              <w:snapToGrid w:val="0"/>
              <w:rPr>
                <w:sz w:val="18"/>
                <w:szCs w:val="18"/>
              </w:rPr>
            </w:pPr>
            <w:r>
              <w:rPr>
                <w:rFonts w:hint="eastAsia"/>
                <w:b/>
                <w:bCs/>
                <w:sz w:val="18"/>
                <w:szCs w:val="18"/>
              </w:rPr>
              <w:t>批次间波动：</w:t>
            </w:r>
          </w:p>
          <w:p w14:paraId="49BC8D2E">
            <w:pPr>
              <w:adjustRightInd w:val="0"/>
              <w:snapToGrid w:val="0"/>
              <w:rPr>
                <w:sz w:val="18"/>
                <w:szCs w:val="18"/>
              </w:rPr>
            </w:pPr>
            <w:r>
              <w:rPr>
                <w:rFonts w:hint="eastAsia"/>
                <w:sz w:val="18"/>
                <w:szCs w:val="18"/>
              </w:rPr>
              <w:t>B-X56级别：≤90MPa</w:t>
            </w:r>
          </w:p>
          <w:p w14:paraId="6180EF02">
            <w:pPr>
              <w:adjustRightInd w:val="0"/>
              <w:snapToGrid w:val="0"/>
              <w:rPr>
                <w:sz w:val="18"/>
                <w:szCs w:val="18"/>
              </w:rPr>
            </w:pPr>
            <w:r>
              <w:rPr>
                <w:rFonts w:hint="eastAsia"/>
                <w:sz w:val="18"/>
                <w:szCs w:val="18"/>
              </w:rPr>
              <w:t>X60-X65级别：≤100MPa</w:t>
            </w:r>
          </w:p>
          <w:p w14:paraId="2A5E081A">
            <w:pPr>
              <w:adjustRightInd w:val="0"/>
              <w:snapToGrid w:val="0"/>
              <w:rPr>
                <w:sz w:val="18"/>
                <w:szCs w:val="18"/>
              </w:rPr>
            </w:pPr>
            <w:r>
              <w:rPr>
                <w:rFonts w:hint="eastAsia"/>
                <w:sz w:val="18"/>
                <w:szCs w:val="18"/>
              </w:rPr>
              <w:t>X70-X80级别：≤120MPa</w:t>
            </w:r>
          </w:p>
          <w:p w14:paraId="7469A841">
            <w:pPr>
              <w:adjustRightInd w:val="0"/>
              <w:snapToGrid w:val="0"/>
              <w:rPr>
                <w:sz w:val="18"/>
                <w:szCs w:val="18"/>
              </w:rPr>
            </w:pPr>
            <w:r>
              <w:rPr>
                <w:rFonts w:hint="eastAsia"/>
                <w:sz w:val="18"/>
                <w:szCs w:val="18"/>
              </w:rPr>
              <w:t>X90-120级别：≤140MPa</w:t>
            </w:r>
          </w:p>
        </w:tc>
        <w:tc>
          <w:tcPr>
            <w:tcW w:w="1519" w:type="pct"/>
            <w:tcBorders>
              <w:tl2br w:val="nil"/>
              <w:tr2bl w:val="nil"/>
            </w:tcBorders>
            <w:shd w:val="clear" w:color="auto" w:fill="auto"/>
            <w:vAlign w:val="center"/>
          </w:tcPr>
          <w:p w14:paraId="1468CB83">
            <w:pPr>
              <w:adjustRightInd w:val="0"/>
              <w:snapToGrid w:val="0"/>
              <w:rPr>
                <w:sz w:val="18"/>
                <w:szCs w:val="18"/>
              </w:rPr>
            </w:pPr>
            <w:r>
              <w:rPr>
                <w:rFonts w:hint="eastAsia"/>
                <w:b/>
                <w:bCs/>
                <w:sz w:val="18"/>
                <w:szCs w:val="18"/>
              </w:rPr>
              <w:t>批次间波动：</w:t>
            </w:r>
          </w:p>
          <w:p w14:paraId="13542AD9">
            <w:pPr>
              <w:adjustRightInd w:val="0"/>
              <w:snapToGrid w:val="0"/>
              <w:rPr>
                <w:sz w:val="18"/>
                <w:szCs w:val="18"/>
              </w:rPr>
            </w:pPr>
            <w:r>
              <w:rPr>
                <w:rFonts w:hint="eastAsia"/>
                <w:sz w:val="18"/>
                <w:szCs w:val="18"/>
              </w:rPr>
              <w:t>B-X56级别：≤120MPa</w:t>
            </w:r>
          </w:p>
          <w:p w14:paraId="1EFC7A89">
            <w:pPr>
              <w:adjustRightInd w:val="0"/>
              <w:snapToGrid w:val="0"/>
              <w:rPr>
                <w:sz w:val="18"/>
                <w:szCs w:val="18"/>
              </w:rPr>
            </w:pPr>
            <w:r>
              <w:rPr>
                <w:rFonts w:hint="eastAsia"/>
                <w:sz w:val="18"/>
                <w:szCs w:val="18"/>
              </w:rPr>
              <w:t>X60-X65级别：≤130MPa</w:t>
            </w:r>
          </w:p>
          <w:p w14:paraId="56F599FB">
            <w:pPr>
              <w:adjustRightInd w:val="0"/>
              <w:snapToGrid w:val="0"/>
              <w:rPr>
                <w:sz w:val="18"/>
                <w:szCs w:val="18"/>
              </w:rPr>
            </w:pPr>
            <w:r>
              <w:rPr>
                <w:rFonts w:hint="eastAsia"/>
                <w:sz w:val="18"/>
                <w:szCs w:val="18"/>
              </w:rPr>
              <w:t>X70-X80级别：≤150MPa</w:t>
            </w:r>
          </w:p>
          <w:p w14:paraId="27212593">
            <w:pPr>
              <w:adjustRightInd w:val="0"/>
              <w:snapToGrid w:val="0"/>
              <w:rPr>
                <w:sz w:val="18"/>
                <w:szCs w:val="18"/>
              </w:rPr>
            </w:pPr>
            <w:r>
              <w:rPr>
                <w:rFonts w:hint="eastAsia"/>
                <w:sz w:val="18"/>
                <w:szCs w:val="18"/>
              </w:rPr>
              <w:t>X90-120级别：≤170MPa</w:t>
            </w:r>
          </w:p>
        </w:tc>
        <w:tc>
          <w:tcPr>
            <w:tcW w:w="901" w:type="pct"/>
            <w:tcBorders>
              <w:tl2br w:val="nil"/>
              <w:tr2bl w:val="nil"/>
            </w:tcBorders>
            <w:shd w:val="clear" w:color="auto" w:fill="auto"/>
            <w:vAlign w:val="center"/>
          </w:tcPr>
          <w:p w14:paraId="3DAB47C0">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0418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gridSpan w:val="2"/>
            <w:tcBorders>
              <w:tl2br w:val="nil"/>
              <w:tr2bl w:val="nil"/>
            </w:tcBorders>
            <w:shd w:val="clear" w:color="auto" w:fill="auto"/>
            <w:vAlign w:val="center"/>
          </w:tcPr>
          <w:p w14:paraId="13ED0C24">
            <w:pPr>
              <w:adjustRightInd w:val="0"/>
              <w:snapToGrid w:val="0"/>
              <w:jc w:val="center"/>
              <w:rPr>
                <w:sz w:val="18"/>
                <w:szCs w:val="18"/>
              </w:rPr>
            </w:pPr>
            <w:r>
              <w:rPr>
                <w:rFonts w:hint="eastAsia"/>
                <w:sz w:val="18"/>
                <w:szCs w:val="18"/>
              </w:rPr>
              <w:t>非金属夹杂物</w:t>
            </w:r>
          </w:p>
        </w:tc>
        <w:tc>
          <w:tcPr>
            <w:tcW w:w="1519" w:type="pct"/>
            <w:tcBorders>
              <w:tl2br w:val="nil"/>
              <w:tr2bl w:val="nil"/>
            </w:tcBorders>
            <w:shd w:val="clear" w:color="auto" w:fill="auto"/>
            <w:vAlign w:val="center"/>
          </w:tcPr>
          <w:p w14:paraId="07F78D36">
            <w:pPr>
              <w:adjustRightInd w:val="0"/>
              <w:snapToGrid w:val="0"/>
              <w:rPr>
                <w:sz w:val="18"/>
                <w:szCs w:val="18"/>
              </w:rPr>
            </w:pPr>
            <w:r>
              <w:rPr>
                <w:rFonts w:hint="eastAsia"/>
                <w:sz w:val="18"/>
                <w:szCs w:val="18"/>
              </w:rPr>
              <w:t>A类：粗、细均不超1.0级</w:t>
            </w:r>
          </w:p>
          <w:p w14:paraId="3EF0F2B6">
            <w:pPr>
              <w:adjustRightInd w:val="0"/>
              <w:snapToGrid w:val="0"/>
              <w:rPr>
                <w:sz w:val="18"/>
                <w:szCs w:val="18"/>
              </w:rPr>
            </w:pPr>
            <w:r>
              <w:rPr>
                <w:rFonts w:hint="eastAsia"/>
                <w:sz w:val="18"/>
                <w:szCs w:val="18"/>
              </w:rPr>
              <w:t>B类：粗、细均不超1.5级</w:t>
            </w:r>
          </w:p>
          <w:p w14:paraId="3C9BFC65">
            <w:pPr>
              <w:adjustRightInd w:val="0"/>
              <w:snapToGrid w:val="0"/>
              <w:rPr>
                <w:sz w:val="18"/>
                <w:szCs w:val="18"/>
              </w:rPr>
            </w:pPr>
            <w:r>
              <w:rPr>
                <w:rFonts w:hint="eastAsia"/>
                <w:sz w:val="18"/>
                <w:szCs w:val="18"/>
              </w:rPr>
              <w:t>C类：粗、细均不超1.0级</w:t>
            </w:r>
          </w:p>
          <w:p w14:paraId="472E8515">
            <w:pPr>
              <w:adjustRightInd w:val="0"/>
              <w:snapToGrid w:val="0"/>
              <w:rPr>
                <w:sz w:val="18"/>
                <w:szCs w:val="18"/>
              </w:rPr>
            </w:pPr>
            <w:r>
              <w:rPr>
                <w:rFonts w:hint="eastAsia"/>
                <w:sz w:val="18"/>
                <w:szCs w:val="18"/>
              </w:rPr>
              <w:t>D类：粗、细均不超1.0级</w:t>
            </w:r>
          </w:p>
          <w:p w14:paraId="5EB46107">
            <w:pPr>
              <w:adjustRightInd w:val="0"/>
              <w:snapToGrid w:val="0"/>
              <w:rPr>
                <w:sz w:val="18"/>
                <w:szCs w:val="18"/>
              </w:rPr>
            </w:pPr>
            <w:r>
              <w:rPr>
                <w:rFonts w:hint="eastAsia"/>
                <w:sz w:val="18"/>
                <w:szCs w:val="18"/>
              </w:rPr>
              <w:t>DS类：不超2.0级</w:t>
            </w:r>
          </w:p>
        </w:tc>
        <w:tc>
          <w:tcPr>
            <w:tcW w:w="1519" w:type="pct"/>
            <w:tcBorders>
              <w:tl2br w:val="nil"/>
              <w:tr2bl w:val="nil"/>
            </w:tcBorders>
            <w:shd w:val="clear" w:color="auto" w:fill="auto"/>
            <w:vAlign w:val="center"/>
          </w:tcPr>
          <w:p w14:paraId="48FB20AF">
            <w:pPr>
              <w:adjustRightInd w:val="0"/>
              <w:snapToGrid w:val="0"/>
              <w:rPr>
                <w:sz w:val="18"/>
                <w:szCs w:val="18"/>
              </w:rPr>
            </w:pPr>
            <w:r>
              <w:rPr>
                <w:rFonts w:hint="eastAsia"/>
                <w:sz w:val="18"/>
                <w:szCs w:val="18"/>
              </w:rPr>
              <w:t>A类：粗、细均不超1.5级</w:t>
            </w:r>
          </w:p>
          <w:p w14:paraId="6521BCED">
            <w:pPr>
              <w:adjustRightInd w:val="0"/>
              <w:snapToGrid w:val="0"/>
              <w:rPr>
                <w:sz w:val="18"/>
                <w:szCs w:val="18"/>
              </w:rPr>
            </w:pPr>
            <w:r>
              <w:rPr>
                <w:rFonts w:hint="eastAsia"/>
                <w:sz w:val="18"/>
                <w:szCs w:val="18"/>
              </w:rPr>
              <w:t>B类：粗、细均不超2.0级</w:t>
            </w:r>
          </w:p>
          <w:p w14:paraId="5A59CAC1">
            <w:pPr>
              <w:adjustRightInd w:val="0"/>
              <w:snapToGrid w:val="0"/>
              <w:rPr>
                <w:sz w:val="18"/>
                <w:szCs w:val="18"/>
              </w:rPr>
            </w:pPr>
            <w:r>
              <w:rPr>
                <w:rFonts w:hint="eastAsia"/>
                <w:sz w:val="18"/>
                <w:szCs w:val="18"/>
              </w:rPr>
              <w:t>C类：粗、细均不超1.5级</w:t>
            </w:r>
          </w:p>
          <w:p w14:paraId="41C43537">
            <w:pPr>
              <w:adjustRightInd w:val="0"/>
              <w:snapToGrid w:val="0"/>
              <w:rPr>
                <w:sz w:val="18"/>
                <w:szCs w:val="18"/>
              </w:rPr>
            </w:pPr>
            <w:r>
              <w:rPr>
                <w:rFonts w:hint="eastAsia"/>
                <w:sz w:val="18"/>
                <w:szCs w:val="18"/>
              </w:rPr>
              <w:t>D类：粗、细均不超1.5级</w:t>
            </w:r>
          </w:p>
          <w:p w14:paraId="1F3A566D">
            <w:pPr>
              <w:adjustRightInd w:val="0"/>
              <w:snapToGrid w:val="0"/>
              <w:rPr>
                <w:sz w:val="18"/>
                <w:szCs w:val="18"/>
              </w:rPr>
            </w:pPr>
            <w:r>
              <w:rPr>
                <w:rFonts w:hint="eastAsia"/>
                <w:sz w:val="18"/>
                <w:szCs w:val="18"/>
              </w:rPr>
              <w:t>DS类：不超2.5级</w:t>
            </w:r>
          </w:p>
        </w:tc>
        <w:tc>
          <w:tcPr>
            <w:tcW w:w="901" w:type="pct"/>
            <w:tcBorders>
              <w:tl2br w:val="nil"/>
              <w:tr2bl w:val="nil"/>
            </w:tcBorders>
            <w:shd w:val="clear" w:color="auto" w:fill="auto"/>
            <w:vAlign w:val="center"/>
          </w:tcPr>
          <w:p w14:paraId="1C12461A">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4DFD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gridSpan w:val="2"/>
            <w:tcBorders>
              <w:tl2br w:val="nil"/>
              <w:tr2bl w:val="nil"/>
            </w:tcBorders>
            <w:shd w:val="clear" w:color="auto" w:fill="auto"/>
            <w:vAlign w:val="center"/>
          </w:tcPr>
          <w:p w14:paraId="2B410137">
            <w:pPr>
              <w:adjustRightInd w:val="0"/>
              <w:snapToGrid w:val="0"/>
              <w:jc w:val="center"/>
              <w:rPr>
                <w:sz w:val="18"/>
                <w:szCs w:val="18"/>
              </w:rPr>
            </w:pPr>
            <w:r>
              <w:rPr>
                <w:rFonts w:hint="eastAsia"/>
                <w:sz w:val="18"/>
                <w:szCs w:val="18"/>
              </w:rPr>
              <w:t>落锤撕裂试验</w:t>
            </w:r>
          </w:p>
        </w:tc>
        <w:tc>
          <w:tcPr>
            <w:tcW w:w="1519" w:type="pct"/>
            <w:tcBorders>
              <w:tl2br w:val="nil"/>
              <w:tr2bl w:val="nil"/>
            </w:tcBorders>
            <w:shd w:val="clear" w:color="auto" w:fill="auto"/>
            <w:vAlign w:val="center"/>
          </w:tcPr>
          <w:p w14:paraId="77D86455">
            <w:pPr>
              <w:adjustRightInd w:val="0"/>
              <w:snapToGrid w:val="0"/>
              <w:rPr>
                <w:sz w:val="18"/>
                <w:szCs w:val="18"/>
              </w:rPr>
            </w:pPr>
            <w:r>
              <w:rPr>
                <w:rFonts w:hint="eastAsia"/>
                <w:b/>
                <w:bCs/>
                <w:sz w:val="18"/>
                <w:szCs w:val="18"/>
              </w:rPr>
              <w:t>项目有要求时</w:t>
            </w:r>
            <w:r>
              <w:rPr>
                <w:rFonts w:hint="eastAsia"/>
                <w:sz w:val="18"/>
                <w:szCs w:val="18"/>
              </w:rPr>
              <w:t>：</w:t>
            </w:r>
          </w:p>
          <w:p w14:paraId="438E0A6A">
            <w:pPr>
              <w:adjustRightInd w:val="0"/>
              <w:snapToGrid w:val="0"/>
              <w:rPr>
                <w:sz w:val="18"/>
                <w:szCs w:val="18"/>
              </w:rPr>
            </w:pPr>
            <w:r>
              <w:rPr>
                <w:rFonts w:hint="eastAsia"/>
                <w:sz w:val="18"/>
                <w:szCs w:val="18"/>
              </w:rPr>
              <w:t>落锤剪切面积单值满足≥80%的比例不低于90%</w:t>
            </w:r>
          </w:p>
        </w:tc>
        <w:tc>
          <w:tcPr>
            <w:tcW w:w="1519" w:type="pct"/>
            <w:tcBorders>
              <w:tl2br w:val="nil"/>
              <w:tr2bl w:val="nil"/>
            </w:tcBorders>
            <w:shd w:val="clear" w:color="auto" w:fill="auto"/>
            <w:vAlign w:val="center"/>
          </w:tcPr>
          <w:p w14:paraId="3B324FF6">
            <w:pPr>
              <w:adjustRightInd w:val="0"/>
              <w:snapToGrid w:val="0"/>
              <w:rPr>
                <w:b/>
                <w:bCs/>
                <w:sz w:val="18"/>
                <w:szCs w:val="18"/>
              </w:rPr>
            </w:pPr>
            <w:r>
              <w:rPr>
                <w:rFonts w:hint="eastAsia"/>
                <w:b/>
                <w:bCs/>
                <w:sz w:val="18"/>
                <w:szCs w:val="18"/>
              </w:rPr>
              <w:t>项目有要求时：</w:t>
            </w:r>
          </w:p>
          <w:p w14:paraId="143266D6">
            <w:pPr>
              <w:adjustRightInd w:val="0"/>
              <w:snapToGrid w:val="0"/>
              <w:rPr>
                <w:sz w:val="18"/>
                <w:szCs w:val="18"/>
              </w:rPr>
            </w:pPr>
            <w:r>
              <w:rPr>
                <w:rFonts w:hint="eastAsia"/>
                <w:sz w:val="18"/>
                <w:szCs w:val="18"/>
              </w:rPr>
              <w:t>落锤剪切面积单值满足≥80%的比例不低于70%</w:t>
            </w:r>
          </w:p>
        </w:tc>
        <w:tc>
          <w:tcPr>
            <w:tcW w:w="901" w:type="pct"/>
            <w:tcBorders>
              <w:tl2br w:val="nil"/>
              <w:tr2bl w:val="nil"/>
            </w:tcBorders>
            <w:shd w:val="clear" w:color="auto" w:fill="auto"/>
            <w:vAlign w:val="center"/>
          </w:tcPr>
          <w:p w14:paraId="6C9FEABE">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0CCC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gridSpan w:val="2"/>
            <w:tcBorders>
              <w:tl2br w:val="nil"/>
              <w:tr2bl w:val="nil"/>
            </w:tcBorders>
            <w:shd w:val="clear" w:color="auto" w:fill="auto"/>
            <w:vAlign w:val="center"/>
          </w:tcPr>
          <w:p w14:paraId="0F679D84">
            <w:pPr>
              <w:adjustRightInd w:val="0"/>
              <w:snapToGrid w:val="0"/>
              <w:jc w:val="center"/>
              <w:rPr>
                <w:sz w:val="18"/>
                <w:szCs w:val="18"/>
              </w:rPr>
            </w:pPr>
            <w:r>
              <w:rPr>
                <w:rFonts w:hint="eastAsia"/>
                <w:sz w:val="18"/>
                <w:szCs w:val="18"/>
              </w:rPr>
              <w:t>冲击试验</w:t>
            </w:r>
          </w:p>
        </w:tc>
        <w:tc>
          <w:tcPr>
            <w:tcW w:w="1519" w:type="pct"/>
            <w:tcBorders>
              <w:tl2br w:val="nil"/>
              <w:tr2bl w:val="nil"/>
            </w:tcBorders>
            <w:shd w:val="clear" w:color="auto" w:fill="auto"/>
            <w:vAlign w:val="center"/>
          </w:tcPr>
          <w:p w14:paraId="15127B5E">
            <w:pPr>
              <w:adjustRightInd w:val="0"/>
              <w:snapToGrid w:val="0"/>
              <w:rPr>
                <w:b/>
                <w:bCs/>
                <w:sz w:val="18"/>
                <w:szCs w:val="18"/>
              </w:rPr>
            </w:pPr>
            <w:r>
              <w:rPr>
                <w:rFonts w:hint="eastAsia"/>
                <w:b/>
                <w:bCs/>
                <w:sz w:val="18"/>
                <w:szCs w:val="18"/>
              </w:rPr>
              <w:t>项目有要求时：</w:t>
            </w:r>
          </w:p>
          <w:p w14:paraId="01137149">
            <w:pPr>
              <w:adjustRightInd w:val="0"/>
              <w:snapToGrid w:val="0"/>
              <w:rPr>
                <w:sz w:val="18"/>
                <w:szCs w:val="18"/>
              </w:rPr>
            </w:pPr>
            <w:r>
              <w:rPr>
                <w:rFonts w:hint="eastAsia"/>
                <w:b/>
                <w:bCs/>
                <w:sz w:val="18"/>
                <w:szCs w:val="18"/>
              </w:rPr>
              <w:t>①剪切面积：</w:t>
            </w:r>
            <w:r>
              <w:rPr>
                <w:rFonts w:hint="eastAsia"/>
                <w:sz w:val="18"/>
                <w:szCs w:val="18"/>
              </w:rPr>
              <w:t>单值≥85%的比例不低于90%</w:t>
            </w:r>
          </w:p>
          <w:p w14:paraId="61EDB078">
            <w:pPr>
              <w:adjustRightInd w:val="0"/>
              <w:snapToGrid w:val="0"/>
              <w:rPr>
                <w:sz w:val="18"/>
                <w:szCs w:val="18"/>
              </w:rPr>
            </w:pPr>
            <w:r>
              <w:rPr>
                <w:rFonts w:hint="eastAsia"/>
                <w:b/>
                <w:sz w:val="18"/>
                <w:szCs w:val="18"/>
              </w:rPr>
              <w:t>②</w:t>
            </w:r>
            <w:r>
              <w:rPr>
                <w:rFonts w:hint="eastAsia"/>
                <w:b/>
                <w:bCs/>
                <w:sz w:val="18"/>
                <w:szCs w:val="18"/>
              </w:rPr>
              <w:t>全尺寸冲击功：</w:t>
            </w:r>
            <w:r>
              <w:rPr>
                <w:rFonts w:hint="eastAsia"/>
                <w:sz w:val="18"/>
                <w:szCs w:val="18"/>
              </w:rPr>
              <w:t>单值≥“项目要求下限+30J”的比例不低于90%</w:t>
            </w:r>
          </w:p>
        </w:tc>
        <w:tc>
          <w:tcPr>
            <w:tcW w:w="1519" w:type="pct"/>
            <w:tcBorders>
              <w:tl2br w:val="nil"/>
              <w:tr2bl w:val="nil"/>
            </w:tcBorders>
            <w:shd w:val="clear" w:color="auto" w:fill="auto"/>
            <w:vAlign w:val="center"/>
          </w:tcPr>
          <w:p w14:paraId="7697D936">
            <w:pPr>
              <w:adjustRightInd w:val="0"/>
              <w:snapToGrid w:val="0"/>
              <w:rPr>
                <w:b/>
                <w:bCs/>
                <w:sz w:val="18"/>
                <w:szCs w:val="18"/>
              </w:rPr>
            </w:pPr>
            <w:r>
              <w:rPr>
                <w:rFonts w:hint="eastAsia"/>
                <w:b/>
                <w:bCs/>
                <w:sz w:val="18"/>
                <w:szCs w:val="18"/>
              </w:rPr>
              <w:t>项目有要求时：</w:t>
            </w:r>
          </w:p>
          <w:p w14:paraId="3A74EE52">
            <w:pPr>
              <w:adjustRightInd w:val="0"/>
              <w:snapToGrid w:val="0"/>
              <w:rPr>
                <w:sz w:val="18"/>
                <w:szCs w:val="18"/>
              </w:rPr>
            </w:pPr>
            <w:r>
              <w:rPr>
                <w:rFonts w:hint="eastAsia"/>
                <w:b/>
                <w:sz w:val="18"/>
                <w:szCs w:val="18"/>
              </w:rPr>
              <w:t>①剪切面积：</w:t>
            </w:r>
            <w:r>
              <w:rPr>
                <w:rFonts w:hint="eastAsia"/>
                <w:sz w:val="18"/>
                <w:szCs w:val="18"/>
              </w:rPr>
              <w:t>单值≥85%的比例不低于70%</w:t>
            </w:r>
          </w:p>
          <w:p w14:paraId="32E78373">
            <w:pPr>
              <w:adjustRightInd w:val="0"/>
              <w:snapToGrid w:val="0"/>
              <w:rPr>
                <w:sz w:val="18"/>
                <w:szCs w:val="18"/>
              </w:rPr>
            </w:pPr>
            <w:r>
              <w:rPr>
                <w:rFonts w:hint="eastAsia"/>
                <w:b/>
                <w:sz w:val="18"/>
                <w:szCs w:val="18"/>
              </w:rPr>
              <w:t>②</w:t>
            </w:r>
            <w:r>
              <w:rPr>
                <w:rFonts w:hint="eastAsia"/>
                <w:b/>
                <w:bCs/>
                <w:sz w:val="18"/>
                <w:szCs w:val="18"/>
              </w:rPr>
              <w:t>全尺寸冲击功：</w:t>
            </w:r>
            <w:r>
              <w:rPr>
                <w:rFonts w:hint="eastAsia"/>
                <w:sz w:val="18"/>
                <w:szCs w:val="18"/>
              </w:rPr>
              <w:t>单值≥“项目要求下限+30J”的比例不低于70%</w:t>
            </w:r>
          </w:p>
        </w:tc>
        <w:tc>
          <w:tcPr>
            <w:tcW w:w="901" w:type="pct"/>
            <w:tcBorders>
              <w:tl2br w:val="nil"/>
              <w:tr2bl w:val="nil"/>
            </w:tcBorders>
            <w:shd w:val="clear" w:color="auto" w:fill="auto"/>
            <w:vAlign w:val="center"/>
          </w:tcPr>
          <w:p w14:paraId="76AAAD70">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r w14:paraId="41DF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pct"/>
            <w:gridSpan w:val="2"/>
            <w:tcBorders>
              <w:tl2br w:val="nil"/>
              <w:tr2bl w:val="nil"/>
            </w:tcBorders>
            <w:shd w:val="clear" w:color="auto" w:fill="auto"/>
            <w:vAlign w:val="center"/>
          </w:tcPr>
          <w:p w14:paraId="202F47CE">
            <w:pPr>
              <w:adjustRightInd w:val="0"/>
              <w:snapToGrid w:val="0"/>
              <w:jc w:val="center"/>
              <w:rPr>
                <w:sz w:val="18"/>
                <w:szCs w:val="18"/>
              </w:rPr>
            </w:pPr>
            <w:r>
              <w:rPr>
                <w:rFonts w:hint="eastAsia"/>
                <w:sz w:val="18"/>
                <w:szCs w:val="18"/>
              </w:rPr>
              <w:t>硬度HV10波动</w:t>
            </w:r>
          </w:p>
        </w:tc>
        <w:tc>
          <w:tcPr>
            <w:tcW w:w="1519" w:type="pct"/>
            <w:tcBorders>
              <w:tl2br w:val="nil"/>
              <w:tr2bl w:val="nil"/>
            </w:tcBorders>
            <w:shd w:val="clear" w:color="auto" w:fill="auto"/>
            <w:vAlign w:val="center"/>
          </w:tcPr>
          <w:p w14:paraId="50E25CC9">
            <w:pPr>
              <w:adjustRightInd w:val="0"/>
              <w:snapToGrid w:val="0"/>
              <w:rPr>
                <w:b/>
                <w:bCs/>
                <w:sz w:val="18"/>
                <w:szCs w:val="18"/>
              </w:rPr>
            </w:pPr>
            <w:r>
              <w:rPr>
                <w:rFonts w:hint="eastAsia"/>
                <w:b/>
                <w:bCs/>
                <w:sz w:val="18"/>
                <w:szCs w:val="18"/>
              </w:rPr>
              <w:t>项目有要求时：</w:t>
            </w:r>
          </w:p>
          <w:p w14:paraId="2136FB74">
            <w:pPr>
              <w:adjustRightInd w:val="0"/>
              <w:snapToGrid w:val="0"/>
              <w:rPr>
                <w:sz w:val="18"/>
                <w:szCs w:val="18"/>
              </w:rPr>
            </w:pPr>
            <w:r>
              <w:rPr>
                <w:rFonts w:hint="eastAsia"/>
                <w:b/>
                <w:bCs/>
                <w:sz w:val="18"/>
                <w:szCs w:val="18"/>
              </w:rPr>
              <w:t>①批次波动：</w:t>
            </w:r>
            <w:r>
              <w:rPr>
                <w:rFonts w:hint="eastAsia"/>
                <w:sz w:val="18"/>
                <w:szCs w:val="18"/>
              </w:rPr>
              <w:t>不超12的比例不低于90%</w:t>
            </w:r>
          </w:p>
        </w:tc>
        <w:tc>
          <w:tcPr>
            <w:tcW w:w="1519" w:type="pct"/>
            <w:tcBorders>
              <w:tl2br w:val="nil"/>
              <w:tr2bl w:val="nil"/>
            </w:tcBorders>
            <w:shd w:val="clear" w:color="auto" w:fill="auto"/>
            <w:vAlign w:val="center"/>
          </w:tcPr>
          <w:p w14:paraId="55595CBE">
            <w:pPr>
              <w:adjustRightInd w:val="0"/>
              <w:snapToGrid w:val="0"/>
              <w:rPr>
                <w:b/>
                <w:bCs/>
                <w:sz w:val="18"/>
                <w:szCs w:val="18"/>
              </w:rPr>
            </w:pPr>
            <w:r>
              <w:rPr>
                <w:rFonts w:hint="eastAsia"/>
                <w:b/>
                <w:bCs/>
                <w:sz w:val="18"/>
                <w:szCs w:val="18"/>
              </w:rPr>
              <w:t>项目有要求时：</w:t>
            </w:r>
          </w:p>
          <w:p w14:paraId="3D0743B9">
            <w:pPr>
              <w:adjustRightInd w:val="0"/>
              <w:snapToGrid w:val="0"/>
              <w:rPr>
                <w:sz w:val="18"/>
                <w:szCs w:val="18"/>
              </w:rPr>
            </w:pPr>
            <w:r>
              <w:rPr>
                <w:rFonts w:hint="eastAsia"/>
                <w:b/>
                <w:bCs/>
                <w:sz w:val="18"/>
                <w:szCs w:val="18"/>
              </w:rPr>
              <w:t>①批次波动：</w:t>
            </w:r>
            <w:r>
              <w:rPr>
                <w:rFonts w:hint="eastAsia"/>
                <w:sz w:val="18"/>
                <w:szCs w:val="18"/>
              </w:rPr>
              <w:t>不超12的比例不低于70%</w:t>
            </w:r>
          </w:p>
        </w:tc>
        <w:tc>
          <w:tcPr>
            <w:tcW w:w="901" w:type="pct"/>
            <w:tcBorders>
              <w:tl2br w:val="nil"/>
              <w:tr2bl w:val="nil"/>
            </w:tcBorders>
            <w:shd w:val="clear" w:color="auto" w:fill="auto"/>
            <w:vAlign w:val="center"/>
          </w:tcPr>
          <w:p w14:paraId="5ABDE3FA">
            <w:pPr>
              <w:adjustRightInd w:val="0"/>
              <w:snapToGrid w:val="0"/>
              <w:jc w:val="center"/>
              <w:rPr>
                <w:sz w:val="18"/>
                <w:szCs w:val="18"/>
              </w:rPr>
            </w:pPr>
            <w:r>
              <w:rPr>
                <w:rFonts w:hint="eastAsia"/>
                <w:sz w:val="18"/>
                <w:szCs w:val="18"/>
              </w:rPr>
              <w:t>符合</w:t>
            </w:r>
            <w:r>
              <w:rPr>
                <w:sz w:val="18"/>
                <w:szCs w:val="18"/>
              </w:rPr>
              <w:t>GB/T 14164</w:t>
            </w:r>
            <w:r>
              <w:rPr>
                <w:rFonts w:hint="eastAsia"/>
                <w:sz w:val="18"/>
                <w:szCs w:val="18"/>
              </w:rPr>
              <w:t>的</w:t>
            </w:r>
            <w:r>
              <w:rPr>
                <w:sz w:val="18"/>
                <w:szCs w:val="18"/>
              </w:rPr>
              <w:t>规定</w:t>
            </w:r>
          </w:p>
        </w:tc>
      </w:tr>
    </w:tbl>
    <w:p w14:paraId="4168AB27">
      <w:pPr>
        <w:pStyle w:val="45"/>
        <w:numPr>
          <w:ilvl w:val="0"/>
          <w:numId w:val="2"/>
        </w:numPr>
        <w:spacing w:before="312" w:after="312"/>
        <w:rPr>
          <w:rFonts w:ascii="Times New Roman"/>
          <w:szCs w:val="22"/>
        </w:rPr>
      </w:pPr>
      <w:r>
        <w:rPr>
          <w:rFonts w:ascii="Times New Roman"/>
        </w:rPr>
        <w:t>评价方法</w:t>
      </w:r>
      <w:bookmarkEnd w:id="13"/>
    </w:p>
    <w:p w14:paraId="677ACD69">
      <w:pPr>
        <w:pStyle w:val="47"/>
        <w:spacing w:before="156" w:after="156"/>
        <w:ind w:left="0"/>
        <w:jc w:val="both"/>
        <w:rPr>
          <w:rFonts w:ascii="Times New Roman"/>
        </w:rPr>
      </w:pPr>
      <w:r>
        <w:rPr>
          <w:rFonts w:ascii="Times New Roman"/>
        </w:rPr>
        <w:t>试验方法</w:t>
      </w:r>
    </w:p>
    <w:p w14:paraId="6D27119B">
      <w:pPr>
        <w:pStyle w:val="22"/>
        <w:rPr>
          <w:rFonts w:ascii="Times New Roman"/>
        </w:rPr>
      </w:pPr>
      <w:r>
        <w:rPr>
          <w:rFonts w:ascii="Times New Roman"/>
        </w:rPr>
        <w:t>钢带质量分级的检验项目、取样数量、取样方法及试验方法应符合GB/T 14164的规定</w:t>
      </w:r>
      <w:r>
        <w:rPr>
          <w:rFonts w:hint="eastAsia" w:ascii="Times New Roman"/>
        </w:rPr>
        <w:t>。对于</w:t>
      </w:r>
      <w:r>
        <w:rPr>
          <w:rFonts w:ascii="Times New Roman"/>
        </w:rPr>
        <w:t>波动</w:t>
      </w:r>
      <w:r>
        <w:rPr>
          <w:rFonts w:hint="eastAsia" w:ascii="Times New Roman"/>
        </w:rPr>
        <w:t>范围指标，</w:t>
      </w:r>
      <w:r>
        <w:rPr>
          <w:rFonts w:ascii="Times New Roman"/>
        </w:rPr>
        <w:t>可采用生产现场的原始数据。</w:t>
      </w:r>
    </w:p>
    <w:p w14:paraId="0EDB46B2">
      <w:pPr>
        <w:pStyle w:val="47"/>
        <w:spacing w:before="156" w:after="156"/>
        <w:ind w:left="0"/>
        <w:jc w:val="both"/>
        <w:rPr>
          <w:rFonts w:ascii="Times New Roman"/>
        </w:rPr>
      </w:pPr>
      <w:r>
        <w:rPr>
          <w:rFonts w:ascii="Times New Roman"/>
        </w:rPr>
        <w:t>评价要求</w:t>
      </w:r>
    </w:p>
    <w:p w14:paraId="0D33D6FC">
      <w:pPr>
        <w:pStyle w:val="50"/>
        <w:spacing w:before="156" w:after="156"/>
        <w:jc w:val="both"/>
        <w:rPr>
          <w:rFonts w:ascii="Times New Roman" w:eastAsia="宋体"/>
        </w:rPr>
      </w:pPr>
      <w:r>
        <w:rPr>
          <w:rFonts w:ascii="Times New Roman" w:eastAsia="宋体"/>
        </w:rPr>
        <w:t>钢带产品分级评价应建立规范的评价工作流程，包括评价准备、组建评价工作组、制定评价方案、现场评价、编制评价报告、技术评审等。</w:t>
      </w:r>
    </w:p>
    <w:p w14:paraId="18CB3D7E">
      <w:pPr>
        <w:pStyle w:val="50"/>
        <w:spacing w:before="156" w:after="156"/>
        <w:jc w:val="both"/>
        <w:rPr>
          <w:rFonts w:ascii="Times New Roman" w:eastAsia="宋体"/>
        </w:rPr>
      </w:pPr>
      <w:bookmarkStart w:id="14" w:name="5.3.2__方矩管按批进行质量分级和评价，组批规则应符合GB/T_6725的规"/>
      <w:bookmarkEnd w:id="14"/>
      <w:r>
        <w:rPr>
          <w:rFonts w:ascii="Times New Roman" w:eastAsia="宋体"/>
        </w:rPr>
        <w:t>钢带</w:t>
      </w:r>
      <w:r>
        <w:rPr>
          <w:rFonts w:hint="eastAsia" w:ascii="Times New Roman" w:eastAsia="宋体"/>
        </w:rPr>
        <w:t>的</w:t>
      </w:r>
      <w:r>
        <w:rPr>
          <w:rFonts w:ascii="Times New Roman" w:eastAsia="宋体"/>
        </w:rPr>
        <w:t>组批规则应符合GB/T 14164的规定。</w:t>
      </w:r>
    </w:p>
    <w:p w14:paraId="4802CA3D">
      <w:pPr>
        <w:pStyle w:val="50"/>
        <w:spacing w:before="156" w:after="156"/>
        <w:jc w:val="both"/>
        <w:rPr>
          <w:rFonts w:ascii="Times New Roman" w:eastAsia="宋体"/>
        </w:rPr>
      </w:pPr>
      <w:bookmarkStart w:id="15" w:name="5.3.3__方矩管按5.2进行检验，检验项目全部达到表1某一等级要求时，该批产"/>
      <w:bookmarkEnd w:id="15"/>
      <w:r>
        <w:rPr>
          <w:rFonts w:ascii="Times New Roman" w:eastAsia="宋体"/>
        </w:rPr>
        <w:t>钢带按5.1进行检验，检验项目全部达到表1某一等级要求时，可评价为该等级。</w:t>
      </w:r>
    </w:p>
    <w:bookmarkEnd w:id="9"/>
    <w:bookmarkEnd w:id="10"/>
    <w:bookmarkEnd w:id="11"/>
    <w:bookmarkEnd w:id="12"/>
    <w:p w14:paraId="2E155A3B">
      <w:pPr>
        <w:pStyle w:val="45"/>
        <w:numPr>
          <w:ilvl w:val="0"/>
          <w:numId w:val="2"/>
        </w:numPr>
        <w:spacing w:before="312" w:after="312"/>
        <w:rPr>
          <w:rFonts w:ascii="Times New Roman"/>
        </w:rPr>
      </w:pPr>
      <w:bookmarkStart w:id="16" w:name="_Toc63427527"/>
      <w:r>
        <w:rPr>
          <w:rFonts w:ascii="Times New Roman"/>
        </w:rPr>
        <w:t>等级标识</w:t>
      </w:r>
      <w:bookmarkEnd w:id="16"/>
    </w:p>
    <w:p w14:paraId="04335BA2">
      <w:pPr>
        <w:pStyle w:val="47"/>
        <w:spacing w:before="156" w:after="156"/>
        <w:ind w:left="0"/>
        <w:rPr>
          <w:rFonts w:ascii="Times New Roman" w:eastAsia="宋体"/>
        </w:rPr>
      </w:pPr>
      <w:r>
        <w:rPr>
          <w:rFonts w:ascii="Times New Roman" w:eastAsia="宋体"/>
        </w:rPr>
        <w:t>钢带的质量等级标识由供方标注于外包装及质量证明书上。</w:t>
      </w:r>
    </w:p>
    <w:p w14:paraId="414F134B">
      <w:pPr>
        <w:pStyle w:val="47"/>
        <w:spacing w:before="156" w:after="156"/>
        <w:ind w:left="0"/>
        <w:rPr>
          <w:rFonts w:ascii="Times New Roman" w:eastAsia="宋体"/>
        </w:rPr>
      </w:pPr>
      <w:r>
        <w:rPr>
          <w:rFonts w:ascii="Times New Roman" w:eastAsia="宋体"/>
        </w:rPr>
        <w:t>一般级可标注</w:t>
      </w:r>
      <w:r>
        <w:rPr>
          <w:rFonts w:hint="eastAsia" w:ascii="Times New Roman" w:eastAsia="宋体"/>
        </w:rPr>
        <w:t>“AA</w:t>
      </w:r>
      <w:r>
        <w:rPr>
          <w:rFonts w:ascii="Times New Roman" w:eastAsia="宋体"/>
        </w:rPr>
        <w:t>A级</w:t>
      </w:r>
      <w:r>
        <w:rPr>
          <w:rFonts w:hint="eastAsia" w:ascii="Times New Roman" w:eastAsia="宋体"/>
        </w:rPr>
        <w:t>”</w:t>
      </w:r>
      <w:r>
        <w:rPr>
          <w:rFonts w:ascii="Times New Roman" w:eastAsia="宋体"/>
        </w:rPr>
        <w:t>，优质级可标注</w:t>
      </w:r>
      <w:r>
        <w:rPr>
          <w:rFonts w:hint="eastAsia" w:ascii="Times New Roman" w:eastAsia="宋体"/>
        </w:rPr>
        <w:t>“AA</w:t>
      </w:r>
      <w:r>
        <w:rPr>
          <w:rFonts w:ascii="Times New Roman" w:eastAsia="宋体"/>
        </w:rPr>
        <w:t>AA级</w:t>
      </w:r>
      <w:r>
        <w:rPr>
          <w:rFonts w:hint="eastAsia" w:ascii="Times New Roman" w:eastAsia="宋体"/>
        </w:rPr>
        <w:t>”</w:t>
      </w:r>
      <w:r>
        <w:rPr>
          <w:rFonts w:ascii="Times New Roman" w:eastAsia="宋体"/>
        </w:rPr>
        <w:t>，特优级可标注</w:t>
      </w:r>
      <w:r>
        <w:rPr>
          <w:rFonts w:hint="eastAsia" w:ascii="Times New Roman" w:eastAsia="宋体"/>
        </w:rPr>
        <w:t>“AA</w:t>
      </w:r>
      <w:r>
        <w:rPr>
          <w:rFonts w:ascii="Times New Roman" w:eastAsia="宋体"/>
        </w:rPr>
        <w:t>AAA级</w:t>
      </w:r>
      <w:r>
        <w:rPr>
          <w:rFonts w:hint="eastAsia" w:ascii="Times New Roman" w:eastAsia="宋体"/>
        </w:rPr>
        <w:t>”。</w:t>
      </w:r>
      <w:r>
        <w:rPr>
          <w:rFonts w:ascii="Times New Roman" w:eastAsia="宋体"/>
        </w:rPr>
        <mc:AlternateContent>
          <mc:Choice Requires="wps">
            <w:drawing>
              <wp:anchor distT="0" distB="0" distL="114300" distR="114300" simplePos="0" relativeHeight="251659264"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59264;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B67B">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60D1F">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4CDD62E8">
        <w:pPr>
          <w:pStyle w:val="16"/>
          <w:jc w:val="left"/>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C04A">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1EEF">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7E7B">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187A">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5F5F">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B2E4A">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53FBC212">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EF1F">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851D">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2A3875E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0CD3"/>
    <w:rsid w:val="0000185F"/>
    <w:rsid w:val="0000586F"/>
    <w:rsid w:val="00005D79"/>
    <w:rsid w:val="000069FA"/>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3C7F"/>
    <w:rsid w:val="00035925"/>
    <w:rsid w:val="000366F4"/>
    <w:rsid w:val="00037DAC"/>
    <w:rsid w:val="00041127"/>
    <w:rsid w:val="00045C9B"/>
    <w:rsid w:val="000466F7"/>
    <w:rsid w:val="00054B4A"/>
    <w:rsid w:val="000639E9"/>
    <w:rsid w:val="00063E76"/>
    <w:rsid w:val="00067CDF"/>
    <w:rsid w:val="00074E42"/>
    <w:rsid w:val="00074FBE"/>
    <w:rsid w:val="000772BB"/>
    <w:rsid w:val="00077E45"/>
    <w:rsid w:val="000818DD"/>
    <w:rsid w:val="00083A09"/>
    <w:rsid w:val="0009005E"/>
    <w:rsid w:val="00090E08"/>
    <w:rsid w:val="00092857"/>
    <w:rsid w:val="00094BD2"/>
    <w:rsid w:val="000A20A9"/>
    <w:rsid w:val="000A48B1"/>
    <w:rsid w:val="000A4DFA"/>
    <w:rsid w:val="000A5495"/>
    <w:rsid w:val="000B06B6"/>
    <w:rsid w:val="000B3143"/>
    <w:rsid w:val="000B4D28"/>
    <w:rsid w:val="000B636F"/>
    <w:rsid w:val="000C0F15"/>
    <w:rsid w:val="000C2E16"/>
    <w:rsid w:val="000C30C7"/>
    <w:rsid w:val="000C6B05"/>
    <w:rsid w:val="000C6DD6"/>
    <w:rsid w:val="000C73D4"/>
    <w:rsid w:val="000D03F1"/>
    <w:rsid w:val="000D114F"/>
    <w:rsid w:val="000D3D4C"/>
    <w:rsid w:val="000D4406"/>
    <w:rsid w:val="000D4505"/>
    <w:rsid w:val="000D4F51"/>
    <w:rsid w:val="000D54A5"/>
    <w:rsid w:val="000D718B"/>
    <w:rsid w:val="000E0C46"/>
    <w:rsid w:val="000E2645"/>
    <w:rsid w:val="000E3EC7"/>
    <w:rsid w:val="000F030C"/>
    <w:rsid w:val="000F04B4"/>
    <w:rsid w:val="000F129C"/>
    <w:rsid w:val="000F31BB"/>
    <w:rsid w:val="000F6B58"/>
    <w:rsid w:val="00102366"/>
    <w:rsid w:val="001056DE"/>
    <w:rsid w:val="00111863"/>
    <w:rsid w:val="001124C0"/>
    <w:rsid w:val="00120F44"/>
    <w:rsid w:val="00121FE9"/>
    <w:rsid w:val="001241EE"/>
    <w:rsid w:val="00125108"/>
    <w:rsid w:val="001278EF"/>
    <w:rsid w:val="0013175F"/>
    <w:rsid w:val="00132E58"/>
    <w:rsid w:val="00134999"/>
    <w:rsid w:val="00141BF1"/>
    <w:rsid w:val="00143F81"/>
    <w:rsid w:val="00146E19"/>
    <w:rsid w:val="001512B4"/>
    <w:rsid w:val="00152179"/>
    <w:rsid w:val="00154746"/>
    <w:rsid w:val="00154A8E"/>
    <w:rsid w:val="00155FDD"/>
    <w:rsid w:val="00156D41"/>
    <w:rsid w:val="00160652"/>
    <w:rsid w:val="001620A5"/>
    <w:rsid w:val="00164E53"/>
    <w:rsid w:val="0016699D"/>
    <w:rsid w:val="001701E9"/>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A5948"/>
    <w:rsid w:val="001A7525"/>
    <w:rsid w:val="001B0469"/>
    <w:rsid w:val="001B2C9E"/>
    <w:rsid w:val="001B2E11"/>
    <w:rsid w:val="001B5E5F"/>
    <w:rsid w:val="001B617C"/>
    <w:rsid w:val="001B6DC2"/>
    <w:rsid w:val="001C149C"/>
    <w:rsid w:val="001C21AC"/>
    <w:rsid w:val="001C47BA"/>
    <w:rsid w:val="001C59EA"/>
    <w:rsid w:val="001D406C"/>
    <w:rsid w:val="001D41EE"/>
    <w:rsid w:val="001D4EC2"/>
    <w:rsid w:val="001D7CB7"/>
    <w:rsid w:val="001E0380"/>
    <w:rsid w:val="001E13B1"/>
    <w:rsid w:val="001E24EA"/>
    <w:rsid w:val="001E55B7"/>
    <w:rsid w:val="001E69DB"/>
    <w:rsid w:val="001F228D"/>
    <w:rsid w:val="001F3A19"/>
    <w:rsid w:val="001F3FBF"/>
    <w:rsid w:val="001F7242"/>
    <w:rsid w:val="002002E4"/>
    <w:rsid w:val="002040EA"/>
    <w:rsid w:val="002046F0"/>
    <w:rsid w:val="00207392"/>
    <w:rsid w:val="0022046A"/>
    <w:rsid w:val="002242CD"/>
    <w:rsid w:val="00231142"/>
    <w:rsid w:val="00231970"/>
    <w:rsid w:val="00234467"/>
    <w:rsid w:val="00237D8D"/>
    <w:rsid w:val="00240622"/>
    <w:rsid w:val="00240FE6"/>
    <w:rsid w:val="00241DA2"/>
    <w:rsid w:val="00245B95"/>
    <w:rsid w:val="00247FEE"/>
    <w:rsid w:val="00250E7D"/>
    <w:rsid w:val="002543BB"/>
    <w:rsid w:val="002549B0"/>
    <w:rsid w:val="002565D5"/>
    <w:rsid w:val="00256C17"/>
    <w:rsid w:val="00257415"/>
    <w:rsid w:val="00257C39"/>
    <w:rsid w:val="002614C2"/>
    <w:rsid w:val="002622C0"/>
    <w:rsid w:val="00262D2E"/>
    <w:rsid w:val="00264F9B"/>
    <w:rsid w:val="002650DD"/>
    <w:rsid w:val="00272D86"/>
    <w:rsid w:val="002759BB"/>
    <w:rsid w:val="00276B08"/>
    <w:rsid w:val="002778AE"/>
    <w:rsid w:val="0028022A"/>
    <w:rsid w:val="002812EA"/>
    <w:rsid w:val="00281919"/>
    <w:rsid w:val="002824CB"/>
    <w:rsid w:val="0028269A"/>
    <w:rsid w:val="00283590"/>
    <w:rsid w:val="00286973"/>
    <w:rsid w:val="00287EDD"/>
    <w:rsid w:val="002904AF"/>
    <w:rsid w:val="00294E70"/>
    <w:rsid w:val="002952CE"/>
    <w:rsid w:val="00296FB8"/>
    <w:rsid w:val="002A06B3"/>
    <w:rsid w:val="002A0C9E"/>
    <w:rsid w:val="002A1924"/>
    <w:rsid w:val="002A390B"/>
    <w:rsid w:val="002A6888"/>
    <w:rsid w:val="002A7420"/>
    <w:rsid w:val="002B0F12"/>
    <w:rsid w:val="002B1308"/>
    <w:rsid w:val="002B4449"/>
    <w:rsid w:val="002B4554"/>
    <w:rsid w:val="002B4FE3"/>
    <w:rsid w:val="002C2696"/>
    <w:rsid w:val="002C72D8"/>
    <w:rsid w:val="002D11FA"/>
    <w:rsid w:val="002D545A"/>
    <w:rsid w:val="002E0DDF"/>
    <w:rsid w:val="002E2906"/>
    <w:rsid w:val="002E31E0"/>
    <w:rsid w:val="002E5635"/>
    <w:rsid w:val="002E59CE"/>
    <w:rsid w:val="002E64C3"/>
    <w:rsid w:val="002E6A2C"/>
    <w:rsid w:val="002F1D8C"/>
    <w:rsid w:val="002F21DA"/>
    <w:rsid w:val="002F31F1"/>
    <w:rsid w:val="002F3F0D"/>
    <w:rsid w:val="002F42E2"/>
    <w:rsid w:val="002F4512"/>
    <w:rsid w:val="002F57F3"/>
    <w:rsid w:val="00301F39"/>
    <w:rsid w:val="00305812"/>
    <w:rsid w:val="003073E0"/>
    <w:rsid w:val="00310478"/>
    <w:rsid w:val="00317A37"/>
    <w:rsid w:val="0032071A"/>
    <w:rsid w:val="00325926"/>
    <w:rsid w:val="00326BCE"/>
    <w:rsid w:val="00327A8A"/>
    <w:rsid w:val="00333922"/>
    <w:rsid w:val="00336610"/>
    <w:rsid w:val="00343F73"/>
    <w:rsid w:val="00345060"/>
    <w:rsid w:val="00350BC9"/>
    <w:rsid w:val="0035323B"/>
    <w:rsid w:val="00356876"/>
    <w:rsid w:val="00356951"/>
    <w:rsid w:val="003609D2"/>
    <w:rsid w:val="00363F22"/>
    <w:rsid w:val="003650D5"/>
    <w:rsid w:val="003659A4"/>
    <w:rsid w:val="003732A9"/>
    <w:rsid w:val="0037473D"/>
    <w:rsid w:val="00375564"/>
    <w:rsid w:val="00375985"/>
    <w:rsid w:val="0037662F"/>
    <w:rsid w:val="003768C0"/>
    <w:rsid w:val="00383191"/>
    <w:rsid w:val="00383618"/>
    <w:rsid w:val="003839CA"/>
    <w:rsid w:val="003852DB"/>
    <w:rsid w:val="00385B77"/>
    <w:rsid w:val="00386DED"/>
    <w:rsid w:val="003912E7"/>
    <w:rsid w:val="0039140F"/>
    <w:rsid w:val="00393187"/>
    <w:rsid w:val="00393947"/>
    <w:rsid w:val="003A1F65"/>
    <w:rsid w:val="003A2275"/>
    <w:rsid w:val="003A3F2D"/>
    <w:rsid w:val="003A48CA"/>
    <w:rsid w:val="003A5141"/>
    <w:rsid w:val="003A6A4F"/>
    <w:rsid w:val="003A7088"/>
    <w:rsid w:val="003B00DF"/>
    <w:rsid w:val="003B1275"/>
    <w:rsid w:val="003B1778"/>
    <w:rsid w:val="003B217D"/>
    <w:rsid w:val="003B70DD"/>
    <w:rsid w:val="003B7AC1"/>
    <w:rsid w:val="003C11CB"/>
    <w:rsid w:val="003C5654"/>
    <w:rsid w:val="003C75F3"/>
    <w:rsid w:val="003C78A3"/>
    <w:rsid w:val="003D0240"/>
    <w:rsid w:val="003D119D"/>
    <w:rsid w:val="003D721E"/>
    <w:rsid w:val="003E0318"/>
    <w:rsid w:val="003E0D6C"/>
    <w:rsid w:val="003E1867"/>
    <w:rsid w:val="003E5000"/>
    <w:rsid w:val="003E5729"/>
    <w:rsid w:val="003E5A57"/>
    <w:rsid w:val="003F4EE0"/>
    <w:rsid w:val="00400C28"/>
    <w:rsid w:val="00402153"/>
    <w:rsid w:val="00402FC1"/>
    <w:rsid w:val="00410C11"/>
    <w:rsid w:val="004134DD"/>
    <w:rsid w:val="004145B9"/>
    <w:rsid w:val="004166CD"/>
    <w:rsid w:val="0041793A"/>
    <w:rsid w:val="004206A3"/>
    <w:rsid w:val="00423779"/>
    <w:rsid w:val="00423983"/>
    <w:rsid w:val="00423DBC"/>
    <w:rsid w:val="00425082"/>
    <w:rsid w:val="00431DEB"/>
    <w:rsid w:val="00433284"/>
    <w:rsid w:val="00446B29"/>
    <w:rsid w:val="004509E6"/>
    <w:rsid w:val="00453F9A"/>
    <w:rsid w:val="004552EA"/>
    <w:rsid w:val="00455E0E"/>
    <w:rsid w:val="0045659F"/>
    <w:rsid w:val="00462705"/>
    <w:rsid w:val="00463F41"/>
    <w:rsid w:val="004643CB"/>
    <w:rsid w:val="00465246"/>
    <w:rsid w:val="00465F5D"/>
    <w:rsid w:val="00471E91"/>
    <w:rsid w:val="00472AF6"/>
    <w:rsid w:val="00472C6E"/>
    <w:rsid w:val="00474675"/>
    <w:rsid w:val="0047470C"/>
    <w:rsid w:val="0047745F"/>
    <w:rsid w:val="0048526D"/>
    <w:rsid w:val="00485828"/>
    <w:rsid w:val="00490762"/>
    <w:rsid w:val="0049326C"/>
    <w:rsid w:val="0049717E"/>
    <w:rsid w:val="004A029F"/>
    <w:rsid w:val="004A0900"/>
    <w:rsid w:val="004A24EB"/>
    <w:rsid w:val="004A2EB0"/>
    <w:rsid w:val="004A3499"/>
    <w:rsid w:val="004A35F9"/>
    <w:rsid w:val="004A40EC"/>
    <w:rsid w:val="004A7DA3"/>
    <w:rsid w:val="004B0452"/>
    <w:rsid w:val="004B1107"/>
    <w:rsid w:val="004B1EA1"/>
    <w:rsid w:val="004B24C1"/>
    <w:rsid w:val="004B3527"/>
    <w:rsid w:val="004B4141"/>
    <w:rsid w:val="004B421B"/>
    <w:rsid w:val="004B6369"/>
    <w:rsid w:val="004B6567"/>
    <w:rsid w:val="004B7A61"/>
    <w:rsid w:val="004C0DE4"/>
    <w:rsid w:val="004C15CE"/>
    <w:rsid w:val="004C292F"/>
    <w:rsid w:val="004C52B4"/>
    <w:rsid w:val="004C6D21"/>
    <w:rsid w:val="004D197C"/>
    <w:rsid w:val="004E4034"/>
    <w:rsid w:val="004E504F"/>
    <w:rsid w:val="004E7695"/>
    <w:rsid w:val="004F10FB"/>
    <w:rsid w:val="004F11BC"/>
    <w:rsid w:val="004F11CA"/>
    <w:rsid w:val="004F63FD"/>
    <w:rsid w:val="00500A34"/>
    <w:rsid w:val="00501C41"/>
    <w:rsid w:val="00510280"/>
    <w:rsid w:val="005107C9"/>
    <w:rsid w:val="00513480"/>
    <w:rsid w:val="00513D73"/>
    <w:rsid w:val="00514A43"/>
    <w:rsid w:val="005174E5"/>
    <w:rsid w:val="00522393"/>
    <w:rsid w:val="00522620"/>
    <w:rsid w:val="00522F9A"/>
    <w:rsid w:val="00525656"/>
    <w:rsid w:val="00526AEC"/>
    <w:rsid w:val="00534C02"/>
    <w:rsid w:val="00534D29"/>
    <w:rsid w:val="00534EC9"/>
    <w:rsid w:val="0054264B"/>
    <w:rsid w:val="00543786"/>
    <w:rsid w:val="00550AC2"/>
    <w:rsid w:val="005533D7"/>
    <w:rsid w:val="00560E0C"/>
    <w:rsid w:val="005703DE"/>
    <w:rsid w:val="00571C63"/>
    <w:rsid w:val="00575169"/>
    <w:rsid w:val="00576B97"/>
    <w:rsid w:val="00580B6B"/>
    <w:rsid w:val="005828EB"/>
    <w:rsid w:val="00582AD4"/>
    <w:rsid w:val="00583776"/>
    <w:rsid w:val="0058464E"/>
    <w:rsid w:val="00587FD0"/>
    <w:rsid w:val="00592092"/>
    <w:rsid w:val="00592C13"/>
    <w:rsid w:val="005A01CB"/>
    <w:rsid w:val="005A558F"/>
    <w:rsid w:val="005A58FF"/>
    <w:rsid w:val="005A5BD3"/>
    <w:rsid w:val="005A5EAF"/>
    <w:rsid w:val="005A64C0"/>
    <w:rsid w:val="005B1AD6"/>
    <w:rsid w:val="005B3747"/>
    <w:rsid w:val="005B3C11"/>
    <w:rsid w:val="005B3CB5"/>
    <w:rsid w:val="005B3ECB"/>
    <w:rsid w:val="005B73B1"/>
    <w:rsid w:val="005C083C"/>
    <w:rsid w:val="005C1190"/>
    <w:rsid w:val="005C1C28"/>
    <w:rsid w:val="005C3767"/>
    <w:rsid w:val="005C40BF"/>
    <w:rsid w:val="005C6DB5"/>
    <w:rsid w:val="005C7E1D"/>
    <w:rsid w:val="005D347A"/>
    <w:rsid w:val="005D4E43"/>
    <w:rsid w:val="005D6BDB"/>
    <w:rsid w:val="005E0135"/>
    <w:rsid w:val="005E015A"/>
    <w:rsid w:val="005E19E7"/>
    <w:rsid w:val="005E6290"/>
    <w:rsid w:val="005E6661"/>
    <w:rsid w:val="005E71F4"/>
    <w:rsid w:val="005E7A66"/>
    <w:rsid w:val="005F1878"/>
    <w:rsid w:val="005F1913"/>
    <w:rsid w:val="005F2504"/>
    <w:rsid w:val="005F7214"/>
    <w:rsid w:val="005F7EFC"/>
    <w:rsid w:val="00602123"/>
    <w:rsid w:val="00603CAD"/>
    <w:rsid w:val="006123BE"/>
    <w:rsid w:val="0061716C"/>
    <w:rsid w:val="0062170B"/>
    <w:rsid w:val="006243A1"/>
    <w:rsid w:val="0062654B"/>
    <w:rsid w:val="006268F1"/>
    <w:rsid w:val="006274A6"/>
    <w:rsid w:val="00627580"/>
    <w:rsid w:val="0063111E"/>
    <w:rsid w:val="00632E56"/>
    <w:rsid w:val="00635CBA"/>
    <w:rsid w:val="00635CD4"/>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2AFC"/>
    <w:rsid w:val="00663AF3"/>
    <w:rsid w:val="00666B6C"/>
    <w:rsid w:val="00675AA5"/>
    <w:rsid w:val="00676D9C"/>
    <w:rsid w:val="006802C6"/>
    <w:rsid w:val="00682682"/>
    <w:rsid w:val="00682702"/>
    <w:rsid w:val="006833B0"/>
    <w:rsid w:val="00684205"/>
    <w:rsid w:val="006862EB"/>
    <w:rsid w:val="00686BDE"/>
    <w:rsid w:val="006915B7"/>
    <w:rsid w:val="006916B9"/>
    <w:rsid w:val="00692368"/>
    <w:rsid w:val="00692DB1"/>
    <w:rsid w:val="00692EAF"/>
    <w:rsid w:val="00693012"/>
    <w:rsid w:val="006A2EBC"/>
    <w:rsid w:val="006A5EA0"/>
    <w:rsid w:val="006A61D0"/>
    <w:rsid w:val="006A783B"/>
    <w:rsid w:val="006A7AEB"/>
    <w:rsid w:val="006A7B33"/>
    <w:rsid w:val="006B0009"/>
    <w:rsid w:val="006B3B7D"/>
    <w:rsid w:val="006B47BB"/>
    <w:rsid w:val="006B4972"/>
    <w:rsid w:val="006B4E13"/>
    <w:rsid w:val="006B75DD"/>
    <w:rsid w:val="006C3EC4"/>
    <w:rsid w:val="006C5EC8"/>
    <w:rsid w:val="006C67E0"/>
    <w:rsid w:val="006C7ABA"/>
    <w:rsid w:val="006D0D60"/>
    <w:rsid w:val="006D1122"/>
    <w:rsid w:val="006D3A7D"/>
    <w:rsid w:val="006D3C00"/>
    <w:rsid w:val="006E3675"/>
    <w:rsid w:val="006E3E84"/>
    <w:rsid w:val="006E4A7F"/>
    <w:rsid w:val="006E5E69"/>
    <w:rsid w:val="006E5F94"/>
    <w:rsid w:val="006F2AB3"/>
    <w:rsid w:val="00702335"/>
    <w:rsid w:val="00704DF6"/>
    <w:rsid w:val="0070651C"/>
    <w:rsid w:val="00707D93"/>
    <w:rsid w:val="00710179"/>
    <w:rsid w:val="0071145F"/>
    <w:rsid w:val="00711B5A"/>
    <w:rsid w:val="007132A3"/>
    <w:rsid w:val="00716421"/>
    <w:rsid w:val="00717250"/>
    <w:rsid w:val="00717651"/>
    <w:rsid w:val="00722D17"/>
    <w:rsid w:val="00724EFB"/>
    <w:rsid w:val="00727559"/>
    <w:rsid w:val="00727B0D"/>
    <w:rsid w:val="0073132D"/>
    <w:rsid w:val="00732949"/>
    <w:rsid w:val="0073381A"/>
    <w:rsid w:val="00733E7A"/>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5463"/>
    <w:rsid w:val="00765465"/>
    <w:rsid w:val="00766C62"/>
    <w:rsid w:val="00767D83"/>
    <w:rsid w:val="00771B48"/>
    <w:rsid w:val="00772FB2"/>
    <w:rsid w:val="00774E9B"/>
    <w:rsid w:val="007760D4"/>
    <w:rsid w:val="007762FF"/>
    <w:rsid w:val="00782C2D"/>
    <w:rsid w:val="007848C5"/>
    <w:rsid w:val="00784DB9"/>
    <w:rsid w:val="00786125"/>
    <w:rsid w:val="00791030"/>
    <w:rsid w:val="007913AB"/>
    <w:rsid w:val="007914F7"/>
    <w:rsid w:val="00797015"/>
    <w:rsid w:val="007B0C68"/>
    <w:rsid w:val="007B1625"/>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BD"/>
    <w:rsid w:val="007D12D6"/>
    <w:rsid w:val="007D2C53"/>
    <w:rsid w:val="007D3D60"/>
    <w:rsid w:val="007D58A1"/>
    <w:rsid w:val="007E1980"/>
    <w:rsid w:val="007E4B76"/>
    <w:rsid w:val="007E4C8A"/>
    <w:rsid w:val="007E5982"/>
    <w:rsid w:val="007E5EA8"/>
    <w:rsid w:val="007F0949"/>
    <w:rsid w:val="007F0CF1"/>
    <w:rsid w:val="007F12A5"/>
    <w:rsid w:val="007F2D6D"/>
    <w:rsid w:val="007F3B0B"/>
    <w:rsid w:val="007F4CF1"/>
    <w:rsid w:val="007F758D"/>
    <w:rsid w:val="007F7D52"/>
    <w:rsid w:val="00802398"/>
    <w:rsid w:val="0080654C"/>
    <w:rsid w:val="008071C6"/>
    <w:rsid w:val="008109D6"/>
    <w:rsid w:val="00811750"/>
    <w:rsid w:val="00815237"/>
    <w:rsid w:val="008154A3"/>
    <w:rsid w:val="00817A00"/>
    <w:rsid w:val="00821925"/>
    <w:rsid w:val="00821C5F"/>
    <w:rsid w:val="00824541"/>
    <w:rsid w:val="008278AA"/>
    <w:rsid w:val="0083084A"/>
    <w:rsid w:val="00832776"/>
    <w:rsid w:val="00834B6C"/>
    <w:rsid w:val="00835DB3"/>
    <w:rsid w:val="0083617B"/>
    <w:rsid w:val="008371BD"/>
    <w:rsid w:val="00845157"/>
    <w:rsid w:val="008504A8"/>
    <w:rsid w:val="0085282E"/>
    <w:rsid w:val="008533B6"/>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B6B06"/>
    <w:rsid w:val="008C0D91"/>
    <w:rsid w:val="008C1B46"/>
    <w:rsid w:val="008C1B58"/>
    <w:rsid w:val="008C38FE"/>
    <w:rsid w:val="008C39AE"/>
    <w:rsid w:val="008C3DCD"/>
    <w:rsid w:val="008C590D"/>
    <w:rsid w:val="008C786F"/>
    <w:rsid w:val="008D009D"/>
    <w:rsid w:val="008D250B"/>
    <w:rsid w:val="008D4EA9"/>
    <w:rsid w:val="008E031B"/>
    <w:rsid w:val="008E0EEA"/>
    <w:rsid w:val="008E2388"/>
    <w:rsid w:val="008E4014"/>
    <w:rsid w:val="008E60E2"/>
    <w:rsid w:val="008E620C"/>
    <w:rsid w:val="008E7029"/>
    <w:rsid w:val="008E7EF6"/>
    <w:rsid w:val="008F04D6"/>
    <w:rsid w:val="008F1F98"/>
    <w:rsid w:val="008F5765"/>
    <w:rsid w:val="008F6758"/>
    <w:rsid w:val="008F7FC9"/>
    <w:rsid w:val="00900900"/>
    <w:rsid w:val="00902103"/>
    <w:rsid w:val="00902A08"/>
    <w:rsid w:val="0090326F"/>
    <w:rsid w:val="009040DD"/>
    <w:rsid w:val="00905B47"/>
    <w:rsid w:val="00906F0A"/>
    <w:rsid w:val="0090711E"/>
    <w:rsid w:val="0091331C"/>
    <w:rsid w:val="0091457E"/>
    <w:rsid w:val="00916945"/>
    <w:rsid w:val="009236CF"/>
    <w:rsid w:val="009240E8"/>
    <w:rsid w:val="00924BA0"/>
    <w:rsid w:val="009279DE"/>
    <w:rsid w:val="00930116"/>
    <w:rsid w:val="00933DC7"/>
    <w:rsid w:val="009344AC"/>
    <w:rsid w:val="00935676"/>
    <w:rsid w:val="009363F2"/>
    <w:rsid w:val="0093742D"/>
    <w:rsid w:val="009375C7"/>
    <w:rsid w:val="00937BDE"/>
    <w:rsid w:val="00940FAC"/>
    <w:rsid w:val="00941421"/>
    <w:rsid w:val="0094212C"/>
    <w:rsid w:val="009421BE"/>
    <w:rsid w:val="00944733"/>
    <w:rsid w:val="00946042"/>
    <w:rsid w:val="009475C8"/>
    <w:rsid w:val="009504BC"/>
    <w:rsid w:val="009507F6"/>
    <w:rsid w:val="00951D89"/>
    <w:rsid w:val="009520CA"/>
    <w:rsid w:val="00953278"/>
    <w:rsid w:val="00954689"/>
    <w:rsid w:val="00955B09"/>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4C85"/>
    <w:rsid w:val="009B603A"/>
    <w:rsid w:val="009B6E06"/>
    <w:rsid w:val="009C0F68"/>
    <w:rsid w:val="009C231C"/>
    <w:rsid w:val="009C2D0E"/>
    <w:rsid w:val="009C3DAC"/>
    <w:rsid w:val="009C42E0"/>
    <w:rsid w:val="009C4EEC"/>
    <w:rsid w:val="009C5BD2"/>
    <w:rsid w:val="009C7DCB"/>
    <w:rsid w:val="009D28B6"/>
    <w:rsid w:val="009D2B49"/>
    <w:rsid w:val="009D5362"/>
    <w:rsid w:val="009E09B4"/>
    <w:rsid w:val="009E1415"/>
    <w:rsid w:val="009E4174"/>
    <w:rsid w:val="009E4E89"/>
    <w:rsid w:val="009E5238"/>
    <w:rsid w:val="009E5754"/>
    <w:rsid w:val="009E6116"/>
    <w:rsid w:val="009E6A1B"/>
    <w:rsid w:val="009F11B8"/>
    <w:rsid w:val="009F1B15"/>
    <w:rsid w:val="009F2170"/>
    <w:rsid w:val="009F2952"/>
    <w:rsid w:val="009F4C79"/>
    <w:rsid w:val="009F51BD"/>
    <w:rsid w:val="009F73D8"/>
    <w:rsid w:val="00A00B9D"/>
    <w:rsid w:val="00A0112A"/>
    <w:rsid w:val="00A02E43"/>
    <w:rsid w:val="00A065F9"/>
    <w:rsid w:val="00A07F34"/>
    <w:rsid w:val="00A132FB"/>
    <w:rsid w:val="00A15157"/>
    <w:rsid w:val="00A202DA"/>
    <w:rsid w:val="00A22154"/>
    <w:rsid w:val="00A24393"/>
    <w:rsid w:val="00A25C38"/>
    <w:rsid w:val="00A26308"/>
    <w:rsid w:val="00A26A96"/>
    <w:rsid w:val="00A27B20"/>
    <w:rsid w:val="00A31B85"/>
    <w:rsid w:val="00A34775"/>
    <w:rsid w:val="00A34D69"/>
    <w:rsid w:val="00A368A7"/>
    <w:rsid w:val="00A36BBE"/>
    <w:rsid w:val="00A41191"/>
    <w:rsid w:val="00A4307A"/>
    <w:rsid w:val="00A43097"/>
    <w:rsid w:val="00A47EBB"/>
    <w:rsid w:val="00A50675"/>
    <w:rsid w:val="00A51CDD"/>
    <w:rsid w:val="00A577E8"/>
    <w:rsid w:val="00A57CC7"/>
    <w:rsid w:val="00A60029"/>
    <w:rsid w:val="00A6107E"/>
    <w:rsid w:val="00A6394B"/>
    <w:rsid w:val="00A6730D"/>
    <w:rsid w:val="00A6746D"/>
    <w:rsid w:val="00A711A2"/>
    <w:rsid w:val="00A71625"/>
    <w:rsid w:val="00A71B9B"/>
    <w:rsid w:val="00A74F83"/>
    <w:rsid w:val="00A751C7"/>
    <w:rsid w:val="00A828DE"/>
    <w:rsid w:val="00A828EA"/>
    <w:rsid w:val="00A87844"/>
    <w:rsid w:val="00A9201A"/>
    <w:rsid w:val="00A924A5"/>
    <w:rsid w:val="00A92ADF"/>
    <w:rsid w:val="00A94C41"/>
    <w:rsid w:val="00A97D1F"/>
    <w:rsid w:val="00AA038C"/>
    <w:rsid w:val="00AA1737"/>
    <w:rsid w:val="00AA7A09"/>
    <w:rsid w:val="00AA7AD2"/>
    <w:rsid w:val="00AB2D90"/>
    <w:rsid w:val="00AB3B50"/>
    <w:rsid w:val="00AB3C6A"/>
    <w:rsid w:val="00AC05B1"/>
    <w:rsid w:val="00AC6F5A"/>
    <w:rsid w:val="00AD28AD"/>
    <w:rsid w:val="00AD2DFC"/>
    <w:rsid w:val="00AD356C"/>
    <w:rsid w:val="00AE2914"/>
    <w:rsid w:val="00AE35E5"/>
    <w:rsid w:val="00AE42A9"/>
    <w:rsid w:val="00AE6D15"/>
    <w:rsid w:val="00AE7BBA"/>
    <w:rsid w:val="00AF3801"/>
    <w:rsid w:val="00AF40A2"/>
    <w:rsid w:val="00AF4D12"/>
    <w:rsid w:val="00AF5E42"/>
    <w:rsid w:val="00B01D5B"/>
    <w:rsid w:val="00B01FF6"/>
    <w:rsid w:val="00B04182"/>
    <w:rsid w:val="00B07AE3"/>
    <w:rsid w:val="00B10F4F"/>
    <w:rsid w:val="00B11430"/>
    <w:rsid w:val="00B1209E"/>
    <w:rsid w:val="00B12D55"/>
    <w:rsid w:val="00B15AC7"/>
    <w:rsid w:val="00B174A5"/>
    <w:rsid w:val="00B243D1"/>
    <w:rsid w:val="00B2575F"/>
    <w:rsid w:val="00B25987"/>
    <w:rsid w:val="00B320C1"/>
    <w:rsid w:val="00B3352A"/>
    <w:rsid w:val="00B34078"/>
    <w:rsid w:val="00B34238"/>
    <w:rsid w:val="00B34A96"/>
    <w:rsid w:val="00B353EB"/>
    <w:rsid w:val="00B42210"/>
    <w:rsid w:val="00B439C4"/>
    <w:rsid w:val="00B4535E"/>
    <w:rsid w:val="00B462D4"/>
    <w:rsid w:val="00B50D6E"/>
    <w:rsid w:val="00B52A8C"/>
    <w:rsid w:val="00B53C7E"/>
    <w:rsid w:val="00B54165"/>
    <w:rsid w:val="00B60A4D"/>
    <w:rsid w:val="00B61939"/>
    <w:rsid w:val="00B6239F"/>
    <w:rsid w:val="00B636A8"/>
    <w:rsid w:val="00B65085"/>
    <w:rsid w:val="00B651BB"/>
    <w:rsid w:val="00B665C6"/>
    <w:rsid w:val="00B66FA5"/>
    <w:rsid w:val="00B679EE"/>
    <w:rsid w:val="00B74AFC"/>
    <w:rsid w:val="00B74EB5"/>
    <w:rsid w:val="00B805AF"/>
    <w:rsid w:val="00B820F0"/>
    <w:rsid w:val="00B869EC"/>
    <w:rsid w:val="00B86D7D"/>
    <w:rsid w:val="00B9076F"/>
    <w:rsid w:val="00B9397A"/>
    <w:rsid w:val="00B95E90"/>
    <w:rsid w:val="00B9633D"/>
    <w:rsid w:val="00B973D5"/>
    <w:rsid w:val="00BA2EBE"/>
    <w:rsid w:val="00BA5F3B"/>
    <w:rsid w:val="00BA6E1A"/>
    <w:rsid w:val="00BA78BF"/>
    <w:rsid w:val="00BB0F28"/>
    <w:rsid w:val="00BB0F47"/>
    <w:rsid w:val="00BB41EA"/>
    <w:rsid w:val="00BB458A"/>
    <w:rsid w:val="00BC18E2"/>
    <w:rsid w:val="00BC4C6B"/>
    <w:rsid w:val="00BD00D3"/>
    <w:rsid w:val="00BD120F"/>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379D"/>
    <w:rsid w:val="00C03931"/>
    <w:rsid w:val="00C05FE3"/>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58E9"/>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67E04"/>
    <w:rsid w:val="00C73757"/>
    <w:rsid w:val="00C73BC7"/>
    <w:rsid w:val="00C74BF3"/>
    <w:rsid w:val="00C778A9"/>
    <w:rsid w:val="00C77B57"/>
    <w:rsid w:val="00C80C16"/>
    <w:rsid w:val="00C8585D"/>
    <w:rsid w:val="00C8691C"/>
    <w:rsid w:val="00C86A9E"/>
    <w:rsid w:val="00C90606"/>
    <w:rsid w:val="00C95B40"/>
    <w:rsid w:val="00C966B8"/>
    <w:rsid w:val="00CA0E56"/>
    <w:rsid w:val="00CA168A"/>
    <w:rsid w:val="00CA357E"/>
    <w:rsid w:val="00CA3C12"/>
    <w:rsid w:val="00CA44F9"/>
    <w:rsid w:val="00CA4A69"/>
    <w:rsid w:val="00CA6444"/>
    <w:rsid w:val="00CB21A4"/>
    <w:rsid w:val="00CB2D67"/>
    <w:rsid w:val="00CB40FD"/>
    <w:rsid w:val="00CB7F6F"/>
    <w:rsid w:val="00CC3E0C"/>
    <w:rsid w:val="00CC4082"/>
    <w:rsid w:val="00CC58D3"/>
    <w:rsid w:val="00CC784D"/>
    <w:rsid w:val="00CD2F47"/>
    <w:rsid w:val="00CD3B5B"/>
    <w:rsid w:val="00CE2006"/>
    <w:rsid w:val="00CE4C0A"/>
    <w:rsid w:val="00CE51F7"/>
    <w:rsid w:val="00CF15CF"/>
    <w:rsid w:val="00CF36D2"/>
    <w:rsid w:val="00CF709F"/>
    <w:rsid w:val="00D0337B"/>
    <w:rsid w:val="00D04F64"/>
    <w:rsid w:val="00D05B87"/>
    <w:rsid w:val="00D07441"/>
    <w:rsid w:val="00D079B2"/>
    <w:rsid w:val="00D114E9"/>
    <w:rsid w:val="00D11A67"/>
    <w:rsid w:val="00D11FDA"/>
    <w:rsid w:val="00D12894"/>
    <w:rsid w:val="00D221F1"/>
    <w:rsid w:val="00D2393C"/>
    <w:rsid w:val="00D242F8"/>
    <w:rsid w:val="00D32C52"/>
    <w:rsid w:val="00D34245"/>
    <w:rsid w:val="00D34E6B"/>
    <w:rsid w:val="00D37A4C"/>
    <w:rsid w:val="00D414A3"/>
    <w:rsid w:val="00D41BB5"/>
    <w:rsid w:val="00D421DF"/>
    <w:rsid w:val="00D429C6"/>
    <w:rsid w:val="00D47748"/>
    <w:rsid w:val="00D51EBB"/>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7DB6"/>
    <w:rsid w:val="00DA0C59"/>
    <w:rsid w:val="00DA1B65"/>
    <w:rsid w:val="00DA3991"/>
    <w:rsid w:val="00DA43C3"/>
    <w:rsid w:val="00DB12DE"/>
    <w:rsid w:val="00DB5F1D"/>
    <w:rsid w:val="00DB72FF"/>
    <w:rsid w:val="00DB7566"/>
    <w:rsid w:val="00DB7E6C"/>
    <w:rsid w:val="00DC1267"/>
    <w:rsid w:val="00DC3B61"/>
    <w:rsid w:val="00DC6D7E"/>
    <w:rsid w:val="00DD09D2"/>
    <w:rsid w:val="00DD5A29"/>
    <w:rsid w:val="00DD5D9D"/>
    <w:rsid w:val="00DD65A5"/>
    <w:rsid w:val="00DE0570"/>
    <w:rsid w:val="00DE1E8C"/>
    <w:rsid w:val="00DE35CB"/>
    <w:rsid w:val="00DE54C0"/>
    <w:rsid w:val="00DE5E0F"/>
    <w:rsid w:val="00DE611F"/>
    <w:rsid w:val="00DE6E45"/>
    <w:rsid w:val="00DF21E9"/>
    <w:rsid w:val="00DF3456"/>
    <w:rsid w:val="00DF3746"/>
    <w:rsid w:val="00DF3835"/>
    <w:rsid w:val="00DF45C6"/>
    <w:rsid w:val="00DF4689"/>
    <w:rsid w:val="00DF5466"/>
    <w:rsid w:val="00E00F14"/>
    <w:rsid w:val="00E014DB"/>
    <w:rsid w:val="00E01E2C"/>
    <w:rsid w:val="00E06386"/>
    <w:rsid w:val="00E06724"/>
    <w:rsid w:val="00E06A22"/>
    <w:rsid w:val="00E1006D"/>
    <w:rsid w:val="00E14DD6"/>
    <w:rsid w:val="00E24EB4"/>
    <w:rsid w:val="00E271EC"/>
    <w:rsid w:val="00E320ED"/>
    <w:rsid w:val="00E32DF6"/>
    <w:rsid w:val="00E33520"/>
    <w:rsid w:val="00E33AFB"/>
    <w:rsid w:val="00E34218"/>
    <w:rsid w:val="00E36B6A"/>
    <w:rsid w:val="00E3706B"/>
    <w:rsid w:val="00E427A5"/>
    <w:rsid w:val="00E42989"/>
    <w:rsid w:val="00E46282"/>
    <w:rsid w:val="00E47E10"/>
    <w:rsid w:val="00E51468"/>
    <w:rsid w:val="00E5216E"/>
    <w:rsid w:val="00E55461"/>
    <w:rsid w:val="00E5569B"/>
    <w:rsid w:val="00E57BBB"/>
    <w:rsid w:val="00E608D9"/>
    <w:rsid w:val="00E60B84"/>
    <w:rsid w:val="00E610C3"/>
    <w:rsid w:val="00E655A7"/>
    <w:rsid w:val="00E664FF"/>
    <w:rsid w:val="00E67760"/>
    <w:rsid w:val="00E70631"/>
    <w:rsid w:val="00E72A9E"/>
    <w:rsid w:val="00E74BE1"/>
    <w:rsid w:val="00E766A1"/>
    <w:rsid w:val="00E76C52"/>
    <w:rsid w:val="00E76EF7"/>
    <w:rsid w:val="00E82344"/>
    <w:rsid w:val="00E84C82"/>
    <w:rsid w:val="00E84D64"/>
    <w:rsid w:val="00E86AF7"/>
    <w:rsid w:val="00E87408"/>
    <w:rsid w:val="00E914C4"/>
    <w:rsid w:val="00E934F5"/>
    <w:rsid w:val="00E96961"/>
    <w:rsid w:val="00EA0442"/>
    <w:rsid w:val="00EA0ABC"/>
    <w:rsid w:val="00EA72EC"/>
    <w:rsid w:val="00EB04E1"/>
    <w:rsid w:val="00EB11CB"/>
    <w:rsid w:val="00EB275A"/>
    <w:rsid w:val="00EB3E99"/>
    <w:rsid w:val="00EB45F2"/>
    <w:rsid w:val="00EB786A"/>
    <w:rsid w:val="00EC1578"/>
    <w:rsid w:val="00EC1C72"/>
    <w:rsid w:val="00EC2945"/>
    <w:rsid w:val="00EC31D1"/>
    <w:rsid w:val="00EC3CC9"/>
    <w:rsid w:val="00EC55A5"/>
    <w:rsid w:val="00EC680A"/>
    <w:rsid w:val="00ED0130"/>
    <w:rsid w:val="00ED1196"/>
    <w:rsid w:val="00ED3BD7"/>
    <w:rsid w:val="00ED7AEE"/>
    <w:rsid w:val="00EE12CF"/>
    <w:rsid w:val="00EE1BF1"/>
    <w:rsid w:val="00EE205B"/>
    <w:rsid w:val="00EE2BED"/>
    <w:rsid w:val="00EE3414"/>
    <w:rsid w:val="00EE374B"/>
    <w:rsid w:val="00EE4805"/>
    <w:rsid w:val="00EE59FB"/>
    <w:rsid w:val="00EE6BDC"/>
    <w:rsid w:val="00EF10F8"/>
    <w:rsid w:val="00EF58BA"/>
    <w:rsid w:val="00EF7629"/>
    <w:rsid w:val="00F01332"/>
    <w:rsid w:val="00F11BB5"/>
    <w:rsid w:val="00F1417B"/>
    <w:rsid w:val="00F16515"/>
    <w:rsid w:val="00F16C05"/>
    <w:rsid w:val="00F1787C"/>
    <w:rsid w:val="00F20AA8"/>
    <w:rsid w:val="00F20F5F"/>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373D"/>
    <w:rsid w:val="00F64C3D"/>
    <w:rsid w:val="00F7074B"/>
    <w:rsid w:val="00F72314"/>
    <w:rsid w:val="00F737AD"/>
    <w:rsid w:val="00F75807"/>
    <w:rsid w:val="00F81158"/>
    <w:rsid w:val="00F81D29"/>
    <w:rsid w:val="00F81D61"/>
    <w:rsid w:val="00F81DC8"/>
    <w:rsid w:val="00F853B2"/>
    <w:rsid w:val="00F90061"/>
    <w:rsid w:val="00F91C4D"/>
    <w:rsid w:val="00F91E00"/>
    <w:rsid w:val="00F92FD9"/>
    <w:rsid w:val="00F96BC5"/>
    <w:rsid w:val="00F97648"/>
    <w:rsid w:val="00F976AD"/>
    <w:rsid w:val="00FA1947"/>
    <w:rsid w:val="00FA2541"/>
    <w:rsid w:val="00FA42EF"/>
    <w:rsid w:val="00FA4EF5"/>
    <w:rsid w:val="00FA6470"/>
    <w:rsid w:val="00FA6684"/>
    <w:rsid w:val="00FA6963"/>
    <w:rsid w:val="00FA705E"/>
    <w:rsid w:val="00FA731E"/>
    <w:rsid w:val="00FB0B66"/>
    <w:rsid w:val="00FB1366"/>
    <w:rsid w:val="00FB2B38"/>
    <w:rsid w:val="00FB3791"/>
    <w:rsid w:val="00FB653E"/>
    <w:rsid w:val="00FC5E10"/>
    <w:rsid w:val="00FC6358"/>
    <w:rsid w:val="00FC6C90"/>
    <w:rsid w:val="00FD04BB"/>
    <w:rsid w:val="00FD066A"/>
    <w:rsid w:val="00FD1AD2"/>
    <w:rsid w:val="00FD2CE1"/>
    <w:rsid w:val="00FD320D"/>
    <w:rsid w:val="00FD570D"/>
    <w:rsid w:val="00FD5EE3"/>
    <w:rsid w:val="00FE05C6"/>
    <w:rsid w:val="00FE1498"/>
    <w:rsid w:val="00FE23DE"/>
    <w:rsid w:val="00FF6C7A"/>
    <w:rsid w:val="0A842761"/>
    <w:rsid w:val="0C68411F"/>
    <w:rsid w:val="0DD7773F"/>
    <w:rsid w:val="0E8D76BF"/>
    <w:rsid w:val="128A1009"/>
    <w:rsid w:val="18B81089"/>
    <w:rsid w:val="1F3E57F5"/>
    <w:rsid w:val="215C14F1"/>
    <w:rsid w:val="24642242"/>
    <w:rsid w:val="25A03B48"/>
    <w:rsid w:val="27ED3E52"/>
    <w:rsid w:val="29304D73"/>
    <w:rsid w:val="2E1C1A4E"/>
    <w:rsid w:val="2E1D504E"/>
    <w:rsid w:val="30A97594"/>
    <w:rsid w:val="4DC024C2"/>
    <w:rsid w:val="51C508AC"/>
    <w:rsid w:val="5AE12A2F"/>
    <w:rsid w:val="5F7B5377"/>
    <w:rsid w:val="6568477B"/>
    <w:rsid w:val="674B0307"/>
    <w:rsid w:val="68D52A0C"/>
    <w:rsid w:val="6B9036E7"/>
    <w:rsid w:val="6E906FA7"/>
    <w:rsid w:val="721A3E9F"/>
    <w:rsid w:val="799C7E72"/>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0"/>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Char"/>
    <w:link w:val="17"/>
    <w:qFormat/>
    <w:locked/>
    <w:uiPriority w:val="99"/>
    <w:rPr>
      <w:kern w:val="2"/>
      <w:sz w:val="18"/>
      <w:szCs w:val="18"/>
    </w:rPr>
  </w:style>
  <w:style w:type="character" w:customStyle="1" w:styleId="42">
    <w:name w:val="批注框文本 Char"/>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Char"/>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0"/>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Char"/>
    <w:basedOn w:val="33"/>
    <w:link w:val="7"/>
    <w:semiHidden/>
    <w:qFormat/>
    <w:uiPriority w:val="0"/>
    <w:rPr>
      <w:kern w:val="2"/>
      <w:sz w:val="21"/>
      <w:szCs w:val="24"/>
    </w:rPr>
  </w:style>
  <w:style w:type="character" w:customStyle="1" w:styleId="147">
    <w:name w:val="批注主题 Char"/>
    <w:basedOn w:val="146"/>
    <w:link w:val="30"/>
    <w:semiHidden/>
    <w:qFormat/>
    <w:uiPriority w:val="0"/>
    <w:rPr>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AAD22-2117-4DDD-A007-7B63AB263A6C}">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1881</Words>
  <Characters>2512</Characters>
  <Lines>19</Lines>
  <Paragraphs>5</Paragraphs>
  <TotalTime>0</TotalTime>
  <ScaleCrop>false</ScaleCrop>
  <LinksUpToDate>false</LinksUpToDate>
  <CharactersWithSpaces>2564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2021-08-05T06:03:00Z</dcterms:created>
  <dcterms:modified xsi:type="dcterms:W3CDTF">2025-03-27T11:41:25Z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4C5EA0ED15CC452C8AF32147CFDAD1EE</vt:lpwstr>
  </property>
  <property fmtid="{D5CDD505-2E9C-101B-9397-08002B2CF9AE}" pid="4" name="KSOTemplateDocerSaveRecord">
    <vt:lpwstr>eyJoZGlkIjoiYThkN2NjNTA0ZDhlYjRiOGI0MDBhNGIzMWU1YTkwMzIiLCJ1c2VySWQiOiIzMzcyOTAwNTkifQ==</vt:lpwstr>
  </property>
</Properties>
</file>