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9A74">
      <w:pPr>
        <w:pStyle w:val="105"/>
        <w:framePr w:wrap="around"/>
        <w:spacing w:line="240" w:lineRule="atLeast"/>
        <w:ind w:left="1134" w:right="1692"/>
        <w:rPr>
          <w:rFonts w:ascii="Times New Roman"/>
        </w:rPr>
      </w:pPr>
      <w:r>
        <w:rPr>
          <w:rFonts w:ascii="Times New Roman"/>
        </w:rPr>
        <w:t>团体标准</w:t>
      </w:r>
    </w:p>
    <w:p w14:paraId="6BF3C1AA">
      <w:pPr>
        <w:pStyle w:val="150"/>
        <w:framePr w:wrap="around"/>
        <w:pBdr>
          <w:bottom w:val="single" w:color="auto" w:sz="4" w:space="1"/>
        </w:pBdr>
        <w:wordWrap w:val="0"/>
        <w:rPr>
          <w:rFonts w:hint="eastAsia" w:ascii="Times New Roman" w:eastAsia="宋体"/>
          <w:lang w:eastAsia="zh-CN"/>
        </w:rPr>
      </w:pPr>
      <w:r>
        <w:rPr>
          <w:rFonts w:ascii="Times New Roman" w:eastAsia="宋体"/>
        </w:rPr>
        <w:t>T/SSEA XXXX</w:t>
      </w:r>
      <w:r>
        <w:rPr>
          <w:rFonts w:hint="eastAsia" w:ascii="Times New Roman" w:eastAsia="宋体"/>
          <w:lang w:val="en-US" w:eastAsia="zh-CN"/>
        </w:rPr>
        <w:t>-</w:t>
      </w:r>
      <w:r>
        <w:rPr>
          <w:rFonts w:ascii="Times New Roman" w:eastAsia="宋体"/>
        </w:rPr>
        <w:t>202</w:t>
      </w:r>
      <w:r>
        <w:rPr>
          <w:rFonts w:hint="eastAsia" w:ascii="Times New Roman" w:eastAsia="宋体"/>
          <w:lang w:val="en-US" w:eastAsia="zh-CN"/>
        </w:rPr>
        <w:t>5</w:t>
      </w:r>
    </w:p>
    <w:p w14:paraId="749C39EB">
      <w:pPr>
        <w:pStyle w:val="150"/>
        <w:framePr w:wrap="around"/>
        <w:rPr>
          <w:rFonts w:ascii="Times New Roman" w:eastAsia="宋体"/>
          <w:highlight w:val="yellow"/>
        </w:rPr>
      </w:pPr>
    </w:p>
    <w:p w14:paraId="1B2DDF07">
      <w:pPr>
        <w:pStyle w:val="150"/>
        <w:framePr w:wrap="around"/>
        <w:rPr>
          <w:rFonts w:ascii="Times New Roman" w:eastAsia="宋体"/>
          <w:highlight w:val="yellow"/>
        </w:rPr>
      </w:pPr>
    </w:p>
    <w:p w14:paraId="6003A8CA">
      <w:pPr>
        <w:pStyle w:val="74"/>
        <w:framePr w:wrap="around" w:x="1381" w:y="6406"/>
        <w:rPr>
          <w:rFonts w:ascii="Times New Roman"/>
        </w:rPr>
      </w:pPr>
      <w:r>
        <w:rPr>
          <w:rFonts w:hint="eastAsia" w:ascii="Times New Roman"/>
        </w:rPr>
        <w:t>非高炉炼铁单位产品能源消耗技术要求 第1部分</w:t>
      </w:r>
      <w:r>
        <w:rPr>
          <w:rFonts w:hint="eastAsia" w:ascii="Times New Roman"/>
          <w:lang w:eastAsia="zh-CN"/>
        </w:rPr>
        <w:t>：</w:t>
      </w:r>
      <w:r>
        <w:rPr>
          <w:rFonts w:hint="eastAsia" w:ascii="Times New Roman"/>
        </w:rPr>
        <w:t xml:space="preserve"> 熔融还原法</w:t>
      </w:r>
    </w:p>
    <w:p w14:paraId="07368086">
      <w:pPr>
        <w:pStyle w:val="73"/>
        <w:framePr w:wrap="around" w:x="1381" w:y="6406"/>
      </w:pPr>
      <w:r>
        <w:rPr>
          <w:rFonts w:hint="eastAsia"/>
        </w:rPr>
        <w:t>Technical requirements for energy consumption per unit product of non-blast furnace ironmaking Part 1: Melting reduction method</w:t>
      </w:r>
    </w:p>
    <w:p w14:paraId="01C6CB01">
      <w:pPr>
        <w:pStyle w:val="116"/>
        <w:framePr w:wrap="around" w:hAnchor="page" w:x="1372" w:y="14084"/>
        <w:rPr>
          <w:rFonts w:eastAsia="宋体"/>
          <w:highlight w:val="yellow"/>
        </w:rPr>
      </w:pPr>
      <w:r>
        <w:rPr>
          <w:rFonts w:eastAsia="宋体"/>
        </w:rPr>
        <w:t>20</w:t>
      </w:r>
      <w:bookmarkStart w:id="0" w:name="FM"/>
      <w:r>
        <w:rPr>
          <w:rFonts w:eastAsia="宋体"/>
        </w:rPr>
        <w:t>2</w:t>
      </w:r>
      <w:r>
        <w:rPr>
          <w:rFonts w:hint="eastAsia" w:eastAsia="宋体"/>
          <w:lang w:val="en-US" w:eastAsia="zh-CN"/>
        </w:rPr>
        <w:t>5</w:t>
      </w:r>
      <w:r>
        <w:rPr>
          <w:rFonts w:eastAsia="宋体"/>
        </w:rPr>
        <w:t>-</w:t>
      </w:r>
      <w:bookmarkEnd w:id="0"/>
      <w:r>
        <w:rPr>
          <w:rFonts w:eastAsia="宋体"/>
        </w:rPr>
        <w:t>XX-XX发布</w:t>
      </w:r>
      <w:r>
        <w:rPr>
          <w:rFonts w:eastAsia="宋体"/>
          <w:highlight w:val="yellow"/>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14:paraId="66DBC7EB">
      <w:pPr>
        <w:pStyle w:val="95"/>
        <w:framePr w:wrap="around" w:hAnchor="page" w:x="7116" w:y="14024"/>
        <w:rPr>
          <w:rFonts w:eastAsia="宋体"/>
          <w:highlight w:val="yellow"/>
        </w:rPr>
      </w:pPr>
      <w:r>
        <w:rPr>
          <w:rFonts w:eastAsia="宋体"/>
        </w:rPr>
        <w:t>202</w:t>
      </w:r>
      <w:r>
        <w:rPr>
          <w:rFonts w:hint="eastAsia" w:eastAsia="宋体"/>
          <w:lang w:val="en-US" w:eastAsia="zh-CN"/>
        </w:rPr>
        <w:t>5</w:t>
      </w:r>
      <w:r>
        <w:rPr>
          <w:rFonts w:eastAsia="宋体"/>
        </w:rPr>
        <w:t>-XX-XX实施</w:t>
      </w:r>
    </w:p>
    <w:p w14:paraId="74B122E9">
      <w:pPr>
        <w:pStyle w:val="108"/>
        <w:framePr w:wrap="around" w:x="2300" w:y="14629"/>
        <w:rPr>
          <w:rFonts w:ascii="Times New Roman"/>
        </w:rPr>
      </w:pPr>
      <w:r>
        <w:rPr>
          <w:rFonts w:ascii="Times New Roman"/>
          <w:sz w:val="36"/>
          <w:szCs w:val="36"/>
        </w:rPr>
        <w:t xml:space="preserve">中国特钢企业协会 </w:t>
      </w:r>
      <w:r>
        <w:rPr>
          <w:rFonts w:ascii="Times New Roman"/>
        </w:rPr>
        <w:t>发布</w:t>
      </w:r>
    </w:p>
    <w:p w14:paraId="191B7F57">
      <w:pPr>
        <w:pStyle w:val="25"/>
        <w:spacing w:line="340" w:lineRule="exact"/>
        <w:ind w:left="0" w:leftChars="0" w:firstLine="0" w:firstLineChars="0"/>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77.080.01</w:t>
      </w:r>
    </w:p>
    <w:p w14:paraId="0F5F79C5">
      <w:pPr>
        <w:pStyle w:val="25"/>
        <w:spacing w:line="340" w:lineRule="exact"/>
        <w:ind w:left="0" w:leftChars="0" w:firstLine="0" w:firstLineChars="0"/>
        <w:rPr>
          <w:rFonts w:ascii="Times New Roman"/>
        </w:rPr>
      </w:pPr>
      <w:r>
        <w:rPr>
          <w:rFonts w:ascii="Times New Roman"/>
        </w:rPr>
        <w:t xml:space="preserve">CCS H </w:t>
      </w:r>
      <w:r>
        <w:rPr>
          <w:rFonts w:hint="eastAsia" w:ascii="Times New Roman"/>
        </w:rPr>
        <w:t>04</w:t>
      </w:r>
    </w:p>
    <w:p w14:paraId="377AB44D">
      <w:pPr>
        <w:pStyle w:val="25"/>
        <w:spacing w:line="340" w:lineRule="exact"/>
        <w:rPr>
          <w:rFonts w:ascii="Times New Roman"/>
          <w:highlight w:val="yellow"/>
        </w:rPr>
      </w:pPr>
    </w:p>
    <w:p w14:paraId="79BA3064">
      <w:pPr>
        <w:jc w:val="center"/>
        <w:rPr>
          <w:spacing w:val="20"/>
          <w:sz w:val="28"/>
          <w:szCs w:val="28"/>
          <w:highlight w:val="yellow"/>
        </w:rPr>
      </w:pPr>
    </w:p>
    <w:p w14:paraId="631F2E1A">
      <w:pPr>
        <w:jc w:val="center"/>
        <w:rPr>
          <w:spacing w:val="20"/>
          <w:sz w:val="28"/>
          <w:szCs w:val="28"/>
          <w:highlight w:val="yellow"/>
        </w:rPr>
      </w:pPr>
    </w:p>
    <w:p w14:paraId="4EE4707D">
      <w:pPr>
        <w:jc w:val="center"/>
        <w:rPr>
          <w:spacing w:val="20"/>
          <w:sz w:val="28"/>
          <w:szCs w:val="28"/>
          <w:highlight w:val="yellow"/>
        </w:rPr>
      </w:pPr>
    </w:p>
    <w:p w14:paraId="285AC199">
      <w:pPr>
        <w:jc w:val="center"/>
        <w:rPr>
          <w:b/>
          <w:sz w:val="32"/>
          <w:highlight w:val="yellow"/>
        </w:rPr>
        <w:sectPr>
          <w:headerReference r:id="rId3" w:type="default"/>
          <w:pgSz w:w="11906" w:h="16838"/>
          <w:pgMar w:top="1134" w:right="1134" w:bottom="1134" w:left="1418" w:header="851" w:footer="992" w:gutter="0"/>
          <w:pgNumType w:start="0"/>
          <w:cols w:space="720" w:num="1"/>
          <w:docGrid w:type="lines" w:linePitch="312" w:charSpace="0"/>
        </w:sectPr>
      </w:pPr>
    </w:p>
    <w:p w14:paraId="5B45542B">
      <w:pPr>
        <w:pStyle w:val="93"/>
        <w:rPr>
          <w:rFonts w:ascii="Times New Roman"/>
          <w:highlight w:val="yellow"/>
        </w:rPr>
      </w:pPr>
      <w:bookmarkStart w:id="1" w:name="_Toc534127476"/>
      <w:bookmarkStart w:id="2" w:name="_Toc26452183"/>
      <w:bookmarkStart w:id="3" w:name="_Toc40476791"/>
      <w:bookmarkStart w:id="4" w:name="_Toc1337"/>
      <w:bookmarkStart w:id="5" w:name="_Toc40475545"/>
      <w:bookmarkStart w:id="6" w:name="_Toc951"/>
      <w:bookmarkStart w:id="7" w:name="_Toc520380389"/>
    </w:p>
    <w:p w14:paraId="042C55A8">
      <w:pPr>
        <w:pStyle w:val="25"/>
        <w:rPr>
          <w:rFonts w:ascii="Times New Roman"/>
          <w:highlight w:val="yellow"/>
        </w:rPr>
      </w:pPr>
    </w:p>
    <w:p w14:paraId="5248BAAE">
      <w:pPr>
        <w:pStyle w:val="25"/>
        <w:rPr>
          <w:rFonts w:ascii="Times New Roman"/>
          <w:highlight w:val="yellow"/>
        </w:rPr>
      </w:pPr>
    </w:p>
    <w:p w14:paraId="348F9179">
      <w:pPr>
        <w:pStyle w:val="25"/>
        <w:rPr>
          <w:rFonts w:ascii="Times New Roman"/>
          <w:highlight w:val="yellow"/>
        </w:rPr>
      </w:pPr>
    </w:p>
    <w:p w14:paraId="481F70E7">
      <w:pPr>
        <w:pStyle w:val="25"/>
        <w:rPr>
          <w:rFonts w:ascii="Times New Roman"/>
          <w:highlight w:val="yellow"/>
        </w:rPr>
      </w:pPr>
    </w:p>
    <w:p w14:paraId="6292E70F">
      <w:pPr>
        <w:pStyle w:val="25"/>
        <w:rPr>
          <w:rFonts w:ascii="Times New Roman"/>
          <w:highlight w:val="yellow"/>
        </w:rPr>
      </w:pPr>
    </w:p>
    <w:p w14:paraId="0B8A21DA">
      <w:pPr>
        <w:pStyle w:val="25"/>
        <w:rPr>
          <w:rFonts w:ascii="Times New Roman"/>
          <w:highlight w:val="yellow"/>
        </w:rPr>
      </w:pPr>
    </w:p>
    <w:p w14:paraId="0E1F6EE0">
      <w:pPr>
        <w:pStyle w:val="25"/>
        <w:rPr>
          <w:rFonts w:ascii="Times New Roman"/>
          <w:highlight w:val="yellow"/>
        </w:rPr>
      </w:pPr>
    </w:p>
    <w:p w14:paraId="1F25FC2E">
      <w:pPr>
        <w:pStyle w:val="25"/>
        <w:rPr>
          <w:rFonts w:ascii="Times New Roman"/>
          <w:highlight w:val="yellow"/>
        </w:rPr>
      </w:pPr>
    </w:p>
    <w:p w14:paraId="553ADF78">
      <w:pPr>
        <w:pStyle w:val="25"/>
        <w:rPr>
          <w:rFonts w:ascii="Times New Roman"/>
          <w:highlight w:val="yellow"/>
        </w:rPr>
      </w:pPr>
    </w:p>
    <w:p w14:paraId="07D4F600">
      <w:pPr>
        <w:pStyle w:val="25"/>
        <w:rPr>
          <w:rFonts w:ascii="Times New Roman"/>
          <w:highlight w:val="yellow"/>
        </w:rPr>
      </w:pPr>
    </w:p>
    <w:p w14:paraId="34492A5E">
      <w:pPr>
        <w:pStyle w:val="25"/>
        <w:rPr>
          <w:rFonts w:ascii="Times New Roman"/>
          <w:highlight w:val="yellow"/>
        </w:rPr>
      </w:pPr>
    </w:p>
    <w:p w14:paraId="64DD02CE">
      <w:pPr>
        <w:pStyle w:val="25"/>
        <w:rPr>
          <w:rFonts w:ascii="Times New Roman"/>
          <w:highlight w:val="yellow"/>
        </w:rPr>
      </w:pPr>
    </w:p>
    <w:p w14:paraId="6F2D09C5">
      <w:pPr>
        <w:pStyle w:val="25"/>
        <w:rPr>
          <w:rFonts w:ascii="Times New Roman"/>
          <w:highlight w:val="yellow"/>
        </w:rPr>
      </w:pPr>
    </w:p>
    <w:p w14:paraId="45D3FDCB">
      <w:pPr>
        <w:pStyle w:val="25"/>
        <w:rPr>
          <w:rFonts w:ascii="Times New Roman"/>
          <w:highlight w:val="yellow"/>
        </w:rPr>
      </w:pPr>
    </w:p>
    <w:p w14:paraId="25AF4622">
      <w:pPr>
        <w:pStyle w:val="25"/>
        <w:rPr>
          <w:rFonts w:ascii="Times New Roman"/>
          <w:highlight w:val="yellow"/>
        </w:rPr>
      </w:pPr>
    </w:p>
    <w:p w14:paraId="6C1AB4F8">
      <w:pPr>
        <w:pStyle w:val="25"/>
        <w:rPr>
          <w:rFonts w:ascii="Times New Roman"/>
          <w:highlight w:val="yellow"/>
        </w:rPr>
      </w:pPr>
    </w:p>
    <w:p w14:paraId="0AF3B011">
      <w:pPr>
        <w:pStyle w:val="25"/>
        <w:rPr>
          <w:rFonts w:ascii="Times New Roman"/>
          <w:highlight w:val="yellow"/>
        </w:rPr>
      </w:pPr>
    </w:p>
    <w:p w14:paraId="1F75D484">
      <w:pPr>
        <w:pStyle w:val="25"/>
        <w:rPr>
          <w:rFonts w:ascii="Times New Roman"/>
          <w:highlight w:val="yellow"/>
        </w:rPr>
      </w:pPr>
    </w:p>
    <w:p w14:paraId="273319B9">
      <w:pPr>
        <w:pStyle w:val="25"/>
        <w:rPr>
          <w:rFonts w:ascii="Times New Roman"/>
          <w:highlight w:val="yellow"/>
        </w:rPr>
      </w:pPr>
    </w:p>
    <w:p w14:paraId="1AD9A157">
      <w:pPr>
        <w:pStyle w:val="25"/>
        <w:rPr>
          <w:rFonts w:ascii="Times New Roman"/>
        </w:rPr>
      </w:pPr>
    </w:p>
    <w:p w14:paraId="7C6F0366">
      <w:pPr>
        <w:pStyle w:val="25"/>
        <w:rPr>
          <w:rFonts w:ascii="Times New Roman"/>
        </w:rPr>
      </w:pPr>
    </w:p>
    <w:p w14:paraId="2608A798">
      <w:pPr>
        <w:pStyle w:val="25"/>
        <w:rPr>
          <w:rFonts w:ascii="Times New Roman"/>
        </w:rPr>
      </w:pPr>
    </w:p>
    <w:p w14:paraId="6F079B63">
      <w:pPr>
        <w:pStyle w:val="25"/>
        <w:rPr>
          <w:rFonts w:ascii="Times New Roman"/>
        </w:rPr>
      </w:pPr>
    </w:p>
    <w:p w14:paraId="27857518">
      <w:pPr>
        <w:pStyle w:val="25"/>
        <w:rPr>
          <w:rFonts w:ascii="Times New Roman"/>
        </w:rPr>
      </w:pPr>
    </w:p>
    <w:p w14:paraId="6C97BB90">
      <w:pPr>
        <w:pStyle w:val="25"/>
        <w:rPr>
          <w:rFonts w:ascii="Times New Roman"/>
        </w:rPr>
      </w:pPr>
    </w:p>
    <w:p w14:paraId="1F9F060A">
      <w:pPr>
        <w:pStyle w:val="25"/>
        <w:rPr>
          <w:rFonts w:ascii="Times New Roman"/>
        </w:rPr>
      </w:pPr>
    </w:p>
    <w:p w14:paraId="6B20EAFA">
      <w:pPr>
        <w:pStyle w:val="25"/>
        <w:rPr>
          <w:rFonts w:ascii="Times New Roman"/>
        </w:rPr>
      </w:pPr>
    </w:p>
    <w:p w14:paraId="3C5E1D12">
      <w:pPr>
        <w:pStyle w:val="25"/>
        <w:rPr>
          <w:rFonts w:ascii="Times New Roman"/>
        </w:rPr>
      </w:pPr>
    </w:p>
    <w:p w14:paraId="403A0835">
      <w:pPr>
        <w:pStyle w:val="25"/>
        <w:rPr>
          <w:rFonts w:ascii="Times New Roman"/>
        </w:rPr>
      </w:pPr>
    </w:p>
    <w:p w14:paraId="27A23359">
      <w:pPr>
        <w:pStyle w:val="25"/>
        <w:rPr>
          <w:rFonts w:ascii="Times New Roman"/>
        </w:rPr>
      </w:pPr>
    </w:p>
    <w:p w14:paraId="76315BFE">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14:paraId="2ADA41C7">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2E3FAFC">
      <w:pPr>
        <w:pStyle w:val="109"/>
        <w:rPr>
          <w:rFonts w:ascii="Times New Roman"/>
          <w:highlight w:val="none"/>
        </w:rPr>
      </w:pPr>
      <w:r>
        <w:rPr>
          <w:rFonts w:ascii="Times New Roman"/>
          <w:highlight w:val="none"/>
        </w:rPr>
        <w:t>目</w:t>
      </w:r>
      <w:bookmarkEnd w:id="1"/>
      <w:bookmarkEnd w:id="2"/>
      <w:bookmarkEnd w:id="3"/>
      <w:bookmarkEnd w:id="4"/>
      <w:bookmarkEnd w:id="5"/>
      <w:r>
        <w:rPr>
          <w:rFonts w:ascii="Times New Roman"/>
          <w:highlight w:val="none"/>
        </w:rPr>
        <w:t xml:space="preserve">  次</w:t>
      </w:r>
      <w:bookmarkEnd w:id="6"/>
      <w:r>
        <w:rPr>
          <w:rFonts w:ascii="Times New Roman"/>
          <w:highlight w:val="none"/>
        </w:rPr>
        <w:fldChar w:fldCharType="begin"/>
      </w:r>
      <w:r>
        <w:rPr>
          <w:rFonts w:ascii="Times New Roman"/>
          <w:highlight w:val="none"/>
        </w:rPr>
        <w:instrText xml:space="preserve"> TOC \o "1-2" \h \z \u </w:instrText>
      </w:r>
      <w:r>
        <w:rPr>
          <w:rFonts w:ascii="Times New Roman"/>
          <w:highlight w:val="none"/>
        </w:rPr>
        <w:fldChar w:fldCharType="separate"/>
      </w:r>
    </w:p>
    <w:p w14:paraId="7F0A9A0A">
      <w:pPr>
        <w:pStyle w:val="21"/>
        <w:tabs>
          <w:tab w:val="right" w:leader="dot" w:pos="9354"/>
          <w:tab w:val="clear" w:pos="9242"/>
        </w:tabs>
        <w:spacing w:before="78" w:after="78"/>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"_Toc31329"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前  言</w:t>
      </w:r>
      <w:r>
        <w:rPr>
          <w:rFonts w:hint="default" w:ascii="Times New Roman" w:hAnsi="Times New Roman" w:cs="Times New Roman"/>
          <w:highlight w:val="none"/>
        </w:rPr>
        <w:tab/>
      </w:r>
      <w:r>
        <w:rPr>
          <w:rFonts w:hint="default" w:ascii="Times New Roman" w:hAnsi="Times New Roman" w:cs="Times New Roman"/>
          <w:highlight w:val="none"/>
        </w:rPr>
        <w:t>Ⅱ</w:t>
      </w:r>
      <w:r>
        <w:rPr>
          <w:rFonts w:hint="default" w:ascii="Times New Roman" w:hAnsi="Times New Roman" w:cs="Times New Roman"/>
          <w:highlight w:val="none"/>
        </w:rPr>
        <w:fldChar w:fldCharType="end"/>
      </w:r>
    </w:p>
    <w:p w14:paraId="5DE0FE89">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"_Toc31747"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 范围</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14:paraId="4BC45A70">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"_Toc2222"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 规范性引用文件</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14:paraId="013971B5">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"_Toc10886"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 术语和定义</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14:paraId="44DDE6CF">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 能耗限额等级</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14:paraId="62980E37">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5 技术要求</w:t>
      </w:r>
      <w:r>
        <w:rPr>
          <w:rFonts w:hint="default" w:ascii="Times New Roman" w:hAnsi="Times New Roman" w:cs="Times New Roman"/>
          <w:highlight w:val="none"/>
        </w:rPr>
        <w:tab/>
      </w:r>
      <w:r>
        <w:rPr>
          <w:rFonts w:hint="default" w:ascii="Times New Roman" w:hAnsi="Times New Roman" w:cs="Times New Roman"/>
          <w:highlight w:val="none"/>
        </w:rPr>
        <w:t>2</w:t>
      </w:r>
      <w:r>
        <w:rPr>
          <w:rFonts w:hint="default" w:ascii="Times New Roman" w:hAnsi="Times New Roman" w:cs="Times New Roman"/>
          <w:highlight w:val="none"/>
        </w:rPr>
        <w:fldChar w:fldCharType="end"/>
      </w:r>
    </w:p>
    <w:p w14:paraId="261BFF34">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6 统计范围和计算方法</w:t>
      </w:r>
      <w:r>
        <w:rPr>
          <w:rFonts w:hint="default" w:ascii="Times New Roman" w:hAnsi="Times New Roman" w:cs="Times New Roman"/>
          <w:highlight w:val="none"/>
        </w:rPr>
        <w:tab/>
      </w:r>
      <w:r>
        <w:rPr>
          <w:rFonts w:hint="default" w:ascii="Times New Roman" w:hAnsi="Times New Roman" w:cs="Times New Roman"/>
          <w:highlight w:val="none"/>
        </w:rPr>
        <w:t>2</w:t>
      </w:r>
      <w:r>
        <w:rPr>
          <w:rFonts w:hint="default" w:ascii="Times New Roman" w:hAnsi="Times New Roman" w:cs="Times New Roman"/>
          <w:highlight w:val="none"/>
        </w:rPr>
        <w:fldChar w:fldCharType="end"/>
      </w:r>
    </w:p>
    <w:p w14:paraId="363EB68E">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7 节能措施</w:t>
      </w:r>
      <w:r>
        <w:rPr>
          <w:rFonts w:hint="default" w:ascii="Times New Roman" w:hAnsi="Times New Roman" w:cs="Times New Roman"/>
          <w:highlight w:val="none"/>
        </w:rPr>
        <w:tab/>
      </w:r>
      <w:r>
        <w:rPr>
          <w:rFonts w:hint="default" w:ascii="Times New Roman" w:hAnsi="Times New Roman" w:cs="Times New Roman"/>
          <w:highlight w:val="none"/>
          <w:lang w:val="en-US" w:eastAsia="zh-CN"/>
        </w:rPr>
        <w:t>2</w:t>
      </w:r>
      <w:r>
        <w:rPr>
          <w:rFonts w:hint="default" w:ascii="Times New Roman" w:hAnsi="Times New Roman" w:cs="Times New Roman"/>
          <w:highlight w:val="none"/>
        </w:rPr>
        <w:fldChar w:fldCharType="end"/>
      </w:r>
    </w:p>
    <w:p w14:paraId="35A38424">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附录A (资料性)</w:t>
      </w:r>
      <w:r>
        <w:rPr>
          <w:rFonts w:hint="default" w:ascii="Times New Roman" w:hAnsi="Times New Roman" w:cs="Times New Roman"/>
          <w:highlight w:val="none"/>
        </w:rPr>
        <w:t xml:space="preserve"> 熔融还原工艺流程</w:t>
      </w:r>
      <w:r>
        <w:rPr>
          <w:rFonts w:hint="default" w:ascii="Times New Roman" w:hAnsi="Times New Roman" w:cs="Times New Roman"/>
          <w:highlight w:val="none"/>
        </w:rPr>
        <w:tab/>
      </w:r>
      <w:r>
        <w:rPr>
          <w:rFonts w:hint="default" w:ascii="Times New Roman" w:hAnsi="Times New Roman" w:cs="Times New Roman"/>
          <w:highlight w:val="none"/>
          <w:lang w:val="en-US" w:eastAsia="zh-CN"/>
        </w:rPr>
        <w:t>4</w:t>
      </w:r>
      <w:r>
        <w:rPr>
          <w:rFonts w:hint="default" w:ascii="Times New Roman" w:hAnsi="Times New Roman" w:cs="Times New Roman"/>
          <w:highlight w:val="none"/>
        </w:rPr>
        <w:fldChar w:fldCharType="end"/>
      </w:r>
    </w:p>
    <w:p w14:paraId="46EEE3A9">
      <w:pPr>
        <w:pStyle w:val="31"/>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附录</w:t>
      </w:r>
      <w:r>
        <w:rPr>
          <w:rFonts w:hint="eastAsia" w:ascii="Times New Roman" w:hAnsi="Times New Roman" w:cs="Times New Roman"/>
          <w:highlight w:val="none"/>
          <w:lang w:val="en-US" w:eastAsia="zh-CN"/>
        </w:rPr>
        <w:t>B</w:t>
      </w:r>
      <w:r>
        <w:rPr>
          <w:rFonts w:hint="default" w:ascii="Times New Roman" w:hAnsi="Times New Roman" w:cs="Times New Roman"/>
          <w:highlight w:val="none"/>
          <w:lang w:val="en-US" w:eastAsia="zh-CN"/>
        </w:rPr>
        <w:t xml:space="preserve"> (资料性)</w:t>
      </w:r>
      <w:r>
        <w:rPr>
          <w:rFonts w:hint="default" w:ascii="Times New Roman" w:hAnsi="Times New Roman" w:cs="Times New Roman"/>
          <w:highlight w:val="none"/>
        </w:rPr>
        <w:t xml:space="preserve"> 各种能源及工质折算系数推荐值</w:t>
      </w:r>
      <w:r>
        <w:rPr>
          <w:rFonts w:hint="default" w:ascii="Times New Roman" w:hAnsi="Times New Roman" w:cs="Times New Roman"/>
          <w:highlight w:val="none"/>
        </w:rPr>
        <w:tab/>
      </w:r>
      <w:r>
        <w:rPr>
          <w:rFonts w:hint="eastAsia" w:ascii="Times New Roman" w:hAnsi="Times New Roman" w:cs="Times New Roman"/>
          <w:highlight w:val="none"/>
          <w:lang w:val="en-US" w:eastAsia="zh-CN"/>
        </w:rPr>
        <w:t>6</w:t>
      </w:r>
      <w:r>
        <w:rPr>
          <w:rFonts w:hint="default" w:ascii="Times New Roman" w:hAnsi="Times New Roman" w:cs="Times New Roman"/>
          <w:highlight w:val="none"/>
        </w:rPr>
        <w:fldChar w:fldCharType="end"/>
      </w:r>
    </w:p>
    <w:p w14:paraId="3634085B"/>
    <w:p w14:paraId="54E98109">
      <w:pPr>
        <w:pStyle w:val="93"/>
        <w:rPr>
          <w:rFonts w:ascii="Times New Roman"/>
        </w:rPr>
      </w:pPr>
      <w:r>
        <w:rPr>
          <w:rFonts w:ascii="Times New Roman"/>
          <w:highlight w:val="none"/>
        </w:rPr>
        <w:fldChar w:fldCharType="end"/>
      </w:r>
      <w:bookmarkStart w:id="8" w:name="_Toc31329"/>
      <w:r>
        <w:rPr>
          <w:rFonts w:ascii="Times New Roman"/>
        </w:rPr>
        <w:t>前  言</w:t>
      </w:r>
      <w:bookmarkEnd w:id="7"/>
      <w:bookmarkEnd w:id="8"/>
    </w:p>
    <w:p w14:paraId="791E25E5">
      <w:pPr>
        <w:pStyle w:val="25"/>
        <w:rPr>
          <w:rFonts w:ascii="Times New Roman"/>
        </w:rPr>
      </w:pPr>
      <w:r>
        <w:rPr>
          <w:rFonts w:ascii="Times New Roman"/>
        </w:rPr>
        <w:t>本文件按照GB/T 1.1-2020《标准化工作导则 第1部分：标准化文件的结构和起草规则》的规定起草。</w:t>
      </w:r>
    </w:p>
    <w:p w14:paraId="1DE3B2A4">
      <w:pPr>
        <w:pStyle w:val="25"/>
        <w:rPr>
          <w:rFonts w:ascii="Times New Roman"/>
        </w:rPr>
      </w:pPr>
      <w:r>
        <w:rPr>
          <w:rFonts w:ascii="Times New Roman"/>
        </w:rPr>
        <w:t>请注意本文件的某些内容可能涉及专利。本文件的发布机构不承担识别专利的责任。</w:t>
      </w:r>
    </w:p>
    <w:p w14:paraId="70873ECE">
      <w:pPr>
        <w:pStyle w:val="25"/>
        <w:rPr>
          <w:rFonts w:ascii="Times New Roman"/>
        </w:rPr>
      </w:pPr>
      <w:r>
        <w:rPr>
          <w:rFonts w:ascii="Times New Roman"/>
        </w:rPr>
        <w:t>本文件由中国特钢企业协会团体标准化工作委员会提出并归口。</w:t>
      </w:r>
    </w:p>
    <w:p w14:paraId="592483EB">
      <w:pPr>
        <w:pStyle w:val="25"/>
        <w:rPr>
          <w:rFonts w:ascii="Times New Roman"/>
          <w:highlight w:val="none"/>
        </w:rPr>
      </w:pPr>
      <w:r>
        <w:rPr>
          <w:rFonts w:ascii="Times New Roman"/>
          <w:highlight w:val="none"/>
        </w:rPr>
        <w:t>本文件起草单位：</w:t>
      </w:r>
    </w:p>
    <w:p w14:paraId="11D32247">
      <w:pPr>
        <w:pStyle w:val="25"/>
        <w:rPr>
          <w:rFonts w:hint="eastAsia" w:ascii="Times New Roman" w:eastAsia="宋体"/>
          <w:highlight w:val="none"/>
          <w:lang w:eastAsia="zh-CN"/>
        </w:rPr>
      </w:pPr>
      <w:r>
        <w:rPr>
          <w:rFonts w:ascii="Times New Roman"/>
          <w:highlight w:val="none"/>
        </w:rPr>
        <w:t>本文件主要起草人：</w:t>
      </w:r>
    </w:p>
    <w:p w14:paraId="34061411">
      <w:pPr>
        <w:pStyle w:val="25"/>
        <w:rPr>
          <w:rFonts w:ascii="Times New Roman"/>
        </w:rPr>
      </w:pPr>
      <w:r>
        <w:rPr>
          <w:rFonts w:hint="eastAsia" w:ascii="Times New Roman"/>
        </w:rPr>
        <w:t>本文件为首次发布。</w:t>
      </w:r>
    </w:p>
    <w:p w14:paraId="6DB9AB58">
      <w:pPr>
        <w:ind w:firstLine="420" w:firstLineChars="200"/>
        <w:rPr>
          <w:highlight w:val="yellow"/>
        </w:rPr>
      </w:pPr>
    </w:p>
    <w:p w14:paraId="0FD06E1C">
      <w:pPr>
        <w:pStyle w:val="109"/>
        <w:spacing w:after="624" w:afterLines="200"/>
        <w:rPr>
          <w:rFonts w:ascii="Times New Roman"/>
          <w:highlight w:val="yellow"/>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14:paraId="50FE28F3">
      <w:pPr>
        <w:pStyle w:val="109"/>
        <w:spacing w:after="624" w:afterLines="200"/>
        <w:rPr>
          <w:rFonts w:hint="eastAsia" w:ascii="Times New Roman" w:eastAsia="黑体"/>
          <w:lang w:val="en-US" w:eastAsia="zh-CN"/>
        </w:rPr>
      </w:pPr>
      <w:r>
        <w:rPr>
          <w:rFonts w:hint="eastAsia" w:ascii="Times New Roman"/>
        </w:rPr>
        <w:t>非高炉炼铁单位产品能源消耗技术要求 第1部分</w:t>
      </w:r>
      <w:r>
        <w:rPr>
          <w:rFonts w:hint="eastAsia" w:ascii="Times New Roman"/>
          <w:lang w:eastAsia="zh-CN"/>
        </w:rPr>
        <w:t>：</w:t>
      </w:r>
      <w:r>
        <w:rPr>
          <w:rFonts w:hint="eastAsia" w:ascii="Times New Roman"/>
        </w:rPr>
        <w:t>熔融还原</w:t>
      </w:r>
      <w:r>
        <w:rPr>
          <w:rFonts w:hint="eastAsia" w:ascii="Times New Roman"/>
          <w:lang w:val="en-US" w:eastAsia="zh-CN"/>
        </w:rPr>
        <w:t>法</w:t>
      </w:r>
    </w:p>
    <w:p w14:paraId="29C1B7DF">
      <w:pPr>
        <w:pStyle w:val="55"/>
        <w:outlineLvl w:val="0"/>
        <w:rPr>
          <w:rFonts w:hAnsi="黑体"/>
          <w:szCs w:val="21"/>
        </w:rPr>
      </w:pPr>
      <w:bookmarkStart w:id="9" w:name="_Toc31747"/>
      <w:bookmarkStart w:id="10" w:name="_Toc520380391"/>
      <w:r>
        <w:rPr>
          <w:rFonts w:hAnsi="黑体"/>
          <w:szCs w:val="21"/>
        </w:rPr>
        <w:t>范围</w:t>
      </w:r>
      <w:bookmarkEnd w:id="9"/>
      <w:bookmarkEnd w:id="10"/>
    </w:p>
    <w:p w14:paraId="2BBF182C">
      <w:pPr>
        <w:pStyle w:val="25"/>
        <w:rPr>
          <w:rFonts w:ascii="Times New Roman"/>
        </w:rPr>
      </w:pPr>
      <w:bookmarkStart w:id="11" w:name="_Toc520380392"/>
      <w:r>
        <w:rPr>
          <w:rFonts w:hint="eastAsia" w:ascii="Times New Roman"/>
        </w:rPr>
        <w:t>本文件规定</w:t>
      </w:r>
      <w:r>
        <w:rPr>
          <w:rFonts w:hint="eastAsia" w:ascii="Times New Roman"/>
          <w:lang w:val="en-US" w:eastAsia="zh-CN"/>
        </w:rPr>
        <w:t>了</w:t>
      </w:r>
      <w:r>
        <w:rPr>
          <w:rFonts w:hint="eastAsia" w:ascii="Times New Roman"/>
        </w:rPr>
        <w:t>熔融还原法炼铁能源消耗的能耗限额等级、技术要求、统计范围和计算方法、节能措施。</w:t>
      </w:r>
    </w:p>
    <w:p w14:paraId="464A1FBC">
      <w:pPr>
        <w:pStyle w:val="25"/>
        <w:rPr>
          <w:rFonts w:ascii="Times New Roman"/>
        </w:rPr>
      </w:pPr>
      <w:r>
        <w:rPr>
          <w:rFonts w:hint="eastAsia" w:ascii="Times New Roman"/>
        </w:rPr>
        <w:t>本文件适用于</w:t>
      </w:r>
      <w:r>
        <w:rPr>
          <w:rFonts w:hint="eastAsia" w:ascii="Times New Roman"/>
          <w:lang w:val="en-US" w:eastAsia="zh-CN"/>
        </w:rPr>
        <w:t>熔融还原法炼铁</w:t>
      </w:r>
      <w:r>
        <w:rPr>
          <w:rFonts w:hint="eastAsia" w:ascii="Times New Roman"/>
        </w:rPr>
        <w:t>单位产品能耗的计算、考核以及新建、改扩建项目的能耗控制。</w:t>
      </w:r>
    </w:p>
    <w:p w14:paraId="15102FC8">
      <w:pPr>
        <w:pStyle w:val="55"/>
        <w:outlineLvl w:val="0"/>
        <w:rPr>
          <w:rFonts w:hAnsi="黑体"/>
          <w:szCs w:val="21"/>
          <w:highlight w:val="none"/>
        </w:rPr>
      </w:pPr>
      <w:bookmarkStart w:id="12" w:name="_Toc2222"/>
      <w:r>
        <w:rPr>
          <w:rFonts w:hAnsi="黑体"/>
          <w:szCs w:val="21"/>
          <w:highlight w:val="none"/>
        </w:rPr>
        <w:t>规范性引用文件</w:t>
      </w:r>
      <w:bookmarkEnd w:id="11"/>
      <w:bookmarkEnd w:id="12"/>
    </w:p>
    <w:p w14:paraId="016B66ED">
      <w:pPr>
        <w:pStyle w:val="25"/>
        <w:rPr>
          <w:rFonts w:ascii="Times New Roman"/>
          <w:highlight w:val="none"/>
        </w:rPr>
      </w:pPr>
      <w:bookmarkStart w:id="13" w:name="_Toc520380394"/>
      <w:r>
        <w:rPr>
          <w:rFonts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764F31E">
      <w:pPr>
        <w:pStyle w:val="25"/>
        <w:rPr>
          <w:rFonts w:hint="default" w:ascii="Times New Roman"/>
          <w:highlight w:val="none"/>
          <w:lang w:val="en-US" w:eastAsia="zh-CN"/>
        </w:rPr>
      </w:pPr>
      <w:r>
        <w:rPr>
          <w:rFonts w:hint="eastAsia" w:ascii="Times New Roman"/>
          <w:highlight w:val="none"/>
          <w:lang w:val="en-US" w:eastAsia="zh-CN"/>
        </w:rPr>
        <w:t>GB/T 2589  综合能耗计算通则</w:t>
      </w:r>
    </w:p>
    <w:p w14:paraId="30AE023D">
      <w:pPr>
        <w:pStyle w:val="25"/>
        <w:rPr>
          <w:rFonts w:hint="default" w:ascii="Times New Roman"/>
          <w:highlight w:val="none"/>
          <w:lang w:val="en-US" w:eastAsia="zh-CN"/>
        </w:rPr>
      </w:pPr>
      <w:r>
        <w:rPr>
          <w:rFonts w:hint="eastAsia" w:ascii="Times New Roman"/>
          <w:highlight w:val="none"/>
          <w:lang w:val="en-US" w:eastAsia="zh-CN"/>
        </w:rPr>
        <w:t>GB/T 3101  有关量、单位和符号的一般原则</w:t>
      </w:r>
    </w:p>
    <w:p w14:paraId="29F09949">
      <w:pPr>
        <w:pStyle w:val="25"/>
        <w:rPr>
          <w:rFonts w:hint="default" w:ascii="Times New Roman"/>
          <w:highlight w:val="none"/>
          <w:lang w:val="en-US" w:eastAsia="zh-CN"/>
        </w:rPr>
      </w:pPr>
      <w:r>
        <w:rPr>
          <w:rFonts w:hint="eastAsia" w:ascii="Times New Roman"/>
          <w:highlight w:val="none"/>
          <w:lang w:val="en-US" w:eastAsia="zh-CN"/>
        </w:rPr>
        <w:t>GB/T 3484  企业能量平衡通则</w:t>
      </w:r>
    </w:p>
    <w:p w14:paraId="3E36C9D1">
      <w:pPr>
        <w:pStyle w:val="25"/>
        <w:rPr>
          <w:rFonts w:hint="default" w:ascii="Times New Roman"/>
          <w:highlight w:val="none"/>
          <w:lang w:val="en-US" w:eastAsia="zh-CN"/>
        </w:rPr>
      </w:pPr>
      <w:r>
        <w:rPr>
          <w:rFonts w:hint="eastAsia" w:ascii="Times New Roman"/>
          <w:highlight w:val="none"/>
          <w:lang w:val="en-US" w:eastAsia="zh-CN"/>
        </w:rPr>
        <w:t>GB 17167  用能单位能源计量器具配备和管理通则</w:t>
      </w:r>
    </w:p>
    <w:bookmarkEnd w:id="13"/>
    <w:p w14:paraId="6D30BFEB">
      <w:pPr>
        <w:pStyle w:val="55"/>
        <w:outlineLvl w:val="0"/>
        <w:rPr>
          <w:rFonts w:hAnsi="黑体"/>
          <w:szCs w:val="21"/>
        </w:rPr>
      </w:pPr>
      <w:bookmarkStart w:id="14" w:name="_Toc10886"/>
      <w:bookmarkStart w:id="15" w:name="_Toc520380395"/>
      <w:r>
        <w:rPr>
          <w:rFonts w:hAnsi="黑体"/>
          <w:szCs w:val="21"/>
        </w:rPr>
        <w:t>术语和定义</w:t>
      </w:r>
      <w:bookmarkEnd w:id="14"/>
    </w:p>
    <w:bookmarkEnd w:id="15"/>
    <w:p w14:paraId="7919E157">
      <w:pPr>
        <w:pStyle w:val="25"/>
        <w:rPr>
          <w:rFonts w:hint="eastAsia" w:ascii="Times New Roman"/>
          <w:highlight w:val="none"/>
        </w:rPr>
      </w:pPr>
      <w:bookmarkStart w:id="16" w:name="_GoBack"/>
      <w:r>
        <w:rPr>
          <w:rFonts w:hint="eastAsia" w:ascii="Times New Roman"/>
          <w:highlight w:val="none"/>
          <w:lang w:val="en-US" w:eastAsia="zh-CN"/>
        </w:rPr>
        <w:t>GB/T 2589界定的术语</w:t>
      </w:r>
      <w:r>
        <w:rPr>
          <w:rFonts w:hint="eastAsia" w:ascii="Times New Roman"/>
          <w:highlight w:val="none"/>
        </w:rPr>
        <w:t>和定义</w:t>
      </w:r>
      <w:r>
        <w:rPr>
          <w:rFonts w:hint="eastAsia" w:ascii="Times New Roman"/>
          <w:highlight w:val="none"/>
          <w:lang w:val="en-US" w:eastAsia="zh-CN"/>
        </w:rPr>
        <w:t>适用于本文件</w:t>
      </w:r>
      <w:bookmarkEnd w:id="16"/>
      <w:r>
        <w:rPr>
          <w:rFonts w:hint="eastAsia" w:ascii="Times New Roman"/>
          <w:highlight w:val="none"/>
        </w:rPr>
        <w:t>。</w:t>
      </w:r>
    </w:p>
    <w:p w14:paraId="0CD75D63">
      <w:pPr>
        <w:pStyle w:val="55"/>
        <w:outlineLvl w:val="0"/>
        <w:rPr>
          <w:rFonts w:ascii="Times New Roman" w:eastAsia="宋体"/>
        </w:rPr>
      </w:pPr>
      <w:r>
        <w:rPr>
          <w:rFonts w:hint="eastAsia" w:hAnsi="黑体"/>
          <w:szCs w:val="21"/>
        </w:rPr>
        <w:t>能耗限额等级</w:t>
      </w:r>
    </w:p>
    <w:p w14:paraId="41AF8476">
      <w:pPr>
        <w:pStyle w:val="57"/>
        <w:numPr>
          <w:ilvl w:val="1"/>
          <w:numId w:val="0"/>
        </w:numPr>
        <w:ind w:leftChars="0" w:firstLine="420" w:firstLineChars="200"/>
        <w:rPr>
          <w:rFonts w:ascii="Times New Roman" w:eastAsia="宋体"/>
        </w:rPr>
      </w:pPr>
      <w:r>
        <w:rPr>
          <w:rFonts w:hint="eastAsia" w:ascii="Times New Roman" w:eastAsia="宋体"/>
          <w:lang w:val="en-US" w:eastAsia="zh-CN"/>
        </w:rPr>
        <w:t>熔融还原法炼铁</w:t>
      </w:r>
      <w:r>
        <w:rPr>
          <w:rFonts w:hint="eastAsia" w:ascii="Times New Roman" w:eastAsia="宋体"/>
        </w:rPr>
        <w:t>单位产品能耗限额等级见表1，其中1级能耗最低。</w:t>
      </w:r>
    </w:p>
    <w:p w14:paraId="4ABFCCED">
      <w:pPr>
        <w:pStyle w:val="161"/>
        <w:shd w:val="clear" w:color="auto" w:fill="auto"/>
        <w:tabs>
          <w:tab w:val="left" w:pos="4368"/>
        </w:tabs>
        <w:spacing w:line="240" w:lineRule="auto"/>
        <w:jc w:val="center"/>
        <w:rPr>
          <w:rFonts w:hint="eastAsia" w:ascii="黑体" w:hAnsi="Times New Roman" w:eastAsia="黑体" w:cs="Times New Roman"/>
          <w:b w:val="0"/>
          <w:bCs w:val="0"/>
          <w:sz w:val="21"/>
        </w:rPr>
      </w:pPr>
      <w:r>
        <w:rPr>
          <w:rFonts w:hint="eastAsia" w:ascii="黑体" w:hAnsi="Times New Roman" w:eastAsia="黑体" w:cs="Times New Roman"/>
          <w:b w:val="0"/>
          <w:bCs w:val="0"/>
          <w:sz w:val="21"/>
        </w:rPr>
        <w:t>表1</w:t>
      </w:r>
      <w:r>
        <w:rPr>
          <w:rFonts w:hint="eastAsia" w:ascii="黑体" w:hAnsi="Times New Roman" w:eastAsia="黑体" w:cs="Times New Roman"/>
          <w:b w:val="0"/>
          <w:bCs w:val="0"/>
          <w:sz w:val="21"/>
          <w:lang w:val="en-US" w:eastAsia="zh-CN"/>
        </w:rPr>
        <w:t xml:space="preserve">  </w:t>
      </w:r>
      <w:r>
        <w:rPr>
          <w:rFonts w:hint="eastAsia" w:ascii="黑体" w:hAnsi="Times New Roman" w:eastAsia="黑体" w:cs="Times New Roman"/>
          <w:b w:val="0"/>
          <w:bCs w:val="0"/>
          <w:sz w:val="21"/>
        </w:rPr>
        <w:t>熔融还原法炼铁基准能耗限额等级</w:t>
      </w:r>
    </w:p>
    <w:p w14:paraId="07554602">
      <w:pPr>
        <w:pStyle w:val="161"/>
        <w:shd w:val="clear" w:color="auto" w:fill="auto"/>
        <w:tabs>
          <w:tab w:val="left" w:pos="4368"/>
        </w:tabs>
        <w:spacing w:line="240" w:lineRule="auto"/>
        <w:jc w:val="right"/>
        <w:rPr>
          <w:rFonts w:hint="eastAsia" w:ascii="黑体" w:hAnsi="Times New Roman" w:eastAsia="黑体" w:cs="Times New Roman"/>
          <w:b w:val="0"/>
          <w:bCs w:val="0"/>
          <w:sz w:val="21"/>
        </w:rPr>
      </w:pPr>
      <w:r>
        <w:rPr>
          <w:rFonts w:hint="eastAsia" w:ascii="黑体" w:hAnsi="Times New Roman" w:eastAsia="黑体" w:cs="Times New Roman"/>
          <w:b w:val="0"/>
          <w:bCs w:val="0"/>
          <w:sz w:val="21"/>
        </w:rPr>
        <w:t>单位为千克标准煤每吨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2"/>
        <w:gridCol w:w="1410"/>
        <w:gridCol w:w="1914"/>
        <w:gridCol w:w="1914"/>
      </w:tblGrid>
      <w:tr w14:paraId="74F6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vMerge w:val="restart"/>
            <w:vAlign w:val="center"/>
          </w:tcPr>
          <w:p w14:paraId="6DF370D1">
            <w:pPr>
              <w:pStyle w:val="162"/>
              <w:numPr>
                <w:ilvl w:val="0"/>
                <w:numId w:val="0"/>
              </w:numPr>
              <w:shd w:val="clear" w:color="auto" w:fill="auto"/>
              <w:adjustRightInd w:val="0"/>
              <w:snapToGrid w:val="0"/>
              <w:spacing w:after="0" w:line="240" w:lineRule="auto"/>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rPr>
              <w:t>工艺</w:t>
            </w:r>
          </w:p>
        </w:tc>
        <w:tc>
          <w:tcPr>
            <w:tcW w:w="5238" w:type="dxa"/>
            <w:gridSpan w:val="3"/>
            <w:vAlign w:val="center"/>
          </w:tcPr>
          <w:p w14:paraId="00C4EB4F">
            <w:pPr>
              <w:pStyle w:val="161"/>
              <w:numPr>
                <w:ilvl w:val="0"/>
                <w:numId w:val="0"/>
              </w:numPr>
              <w:shd w:val="clear"/>
              <w:tabs>
                <w:tab w:val="left" w:pos="4368"/>
              </w:tabs>
              <w:spacing w:line="240" w:lineRule="auto"/>
              <w:jc w:val="center"/>
              <w:rPr>
                <w:rFonts w:hint="eastAsia" w:ascii="黑体" w:hAnsi="Times New Roman" w:eastAsia="黑体" w:cs="Times New Roman"/>
                <w:b w:val="0"/>
                <w:bCs w:val="0"/>
                <w:sz w:val="21"/>
                <w:vertAlign w:val="baseline"/>
              </w:rPr>
            </w:pPr>
            <w:r>
              <w:rPr>
                <w:rFonts w:ascii="Times New Roman" w:hAnsi="Times New Roman" w:eastAsia="宋体" w:cs="Times New Roman"/>
                <w:b/>
                <w:bCs/>
                <w:kern w:val="2"/>
                <w:sz w:val="21"/>
                <w:szCs w:val="24"/>
              </w:rPr>
              <w:t>基准能耗限额</w:t>
            </w:r>
          </w:p>
        </w:tc>
      </w:tr>
      <w:tr w14:paraId="61D5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vMerge w:val="continue"/>
            <w:vAlign w:val="center"/>
          </w:tcPr>
          <w:p w14:paraId="41FD70E3">
            <w:pPr>
              <w:pStyle w:val="161"/>
              <w:numPr>
                <w:numId w:val="2"/>
              </w:numPr>
              <w:shd w:val="clear"/>
              <w:tabs>
                <w:tab w:val="left" w:pos="4368"/>
              </w:tabs>
              <w:spacing w:line="240" w:lineRule="auto"/>
              <w:jc w:val="center"/>
              <w:rPr>
                <w:rFonts w:hint="eastAsia" w:ascii="黑体" w:hAnsi="Times New Roman" w:eastAsia="黑体" w:cs="Times New Roman"/>
                <w:b w:val="0"/>
                <w:bCs w:val="0"/>
                <w:sz w:val="21"/>
                <w:vertAlign w:val="baseline"/>
              </w:rPr>
            </w:pPr>
          </w:p>
        </w:tc>
        <w:tc>
          <w:tcPr>
            <w:tcW w:w="1410" w:type="dxa"/>
            <w:vAlign w:val="center"/>
          </w:tcPr>
          <w:p w14:paraId="6214C532">
            <w:pPr>
              <w:pStyle w:val="162"/>
              <w:numPr>
                <w:ilvl w:val="0"/>
                <w:numId w:val="0"/>
              </w:numPr>
              <w:shd w:val="clear" w:color="auto" w:fill="auto"/>
              <w:adjustRightInd w:val="0"/>
              <w:snapToGrid w:val="0"/>
              <w:spacing w:after="0" w:line="240" w:lineRule="auto"/>
              <w:jc w:val="center"/>
              <w:rPr>
                <w:rFonts w:hint="eastAsia" w:ascii="Times New Roman" w:hAnsi="Times New Roman" w:eastAsia="宋体" w:cs="Times New Roman"/>
                <w:b/>
                <w:bCs/>
                <w:kern w:val="2"/>
                <w:sz w:val="21"/>
                <w:szCs w:val="24"/>
                <w:lang w:val="en-US" w:eastAsia="zh-CN" w:bidi="ar-SA"/>
              </w:rPr>
            </w:pPr>
            <w:r>
              <w:rPr>
                <w:rFonts w:ascii="Times New Roman" w:hAnsi="Times New Roman" w:eastAsia="宋体" w:cs="Times New Roman"/>
                <w:b/>
                <w:bCs/>
                <w:kern w:val="2"/>
                <w:sz w:val="21"/>
                <w:szCs w:val="24"/>
              </w:rPr>
              <w:t>1级</w:t>
            </w:r>
          </w:p>
        </w:tc>
        <w:tc>
          <w:tcPr>
            <w:tcW w:w="1914" w:type="dxa"/>
            <w:vAlign w:val="center"/>
          </w:tcPr>
          <w:p w14:paraId="54C8062B">
            <w:pPr>
              <w:pStyle w:val="162"/>
              <w:numPr>
                <w:ilvl w:val="0"/>
                <w:numId w:val="0"/>
              </w:numPr>
              <w:shd w:val="clear" w:color="auto" w:fill="auto"/>
              <w:adjustRightInd w:val="0"/>
              <w:snapToGrid w:val="0"/>
              <w:spacing w:after="0" w:line="240" w:lineRule="auto"/>
              <w:jc w:val="center"/>
              <w:rPr>
                <w:rFonts w:hint="eastAsia" w:ascii="Times New Roman" w:hAnsi="Times New Roman" w:eastAsia="宋体" w:cs="Times New Roman"/>
                <w:b/>
                <w:bCs/>
                <w:kern w:val="2"/>
                <w:sz w:val="21"/>
                <w:szCs w:val="24"/>
                <w:lang w:val="en-US" w:eastAsia="zh-CN" w:bidi="ar-SA"/>
              </w:rPr>
            </w:pPr>
            <w:r>
              <w:rPr>
                <w:rFonts w:ascii="Times New Roman" w:hAnsi="Times New Roman" w:eastAsia="宋体" w:cs="Times New Roman"/>
                <w:b/>
                <w:bCs/>
                <w:kern w:val="2"/>
                <w:sz w:val="21"/>
                <w:szCs w:val="24"/>
              </w:rPr>
              <w:t>2级</w:t>
            </w:r>
          </w:p>
        </w:tc>
        <w:tc>
          <w:tcPr>
            <w:tcW w:w="1914" w:type="dxa"/>
            <w:vAlign w:val="center"/>
          </w:tcPr>
          <w:p w14:paraId="48A56CC7">
            <w:pPr>
              <w:pStyle w:val="162"/>
              <w:numPr>
                <w:ilvl w:val="0"/>
                <w:numId w:val="0"/>
              </w:numPr>
              <w:shd w:val="clear" w:color="auto" w:fill="auto"/>
              <w:adjustRightInd w:val="0"/>
              <w:snapToGrid w:val="0"/>
              <w:spacing w:after="0" w:line="240" w:lineRule="auto"/>
              <w:jc w:val="center"/>
              <w:rPr>
                <w:rFonts w:hint="eastAsia" w:ascii="Times New Roman" w:hAnsi="Times New Roman" w:eastAsia="宋体" w:cs="Times New Roman"/>
                <w:b/>
                <w:bCs/>
                <w:kern w:val="2"/>
                <w:sz w:val="21"/>
                <w:szCs w:val="24"/>
                <w:lang w:val="en-US" w:eastAsia="zh-CN" w:bidi="ar-SA"/>
              </w:rPr>
            </w:pPr>
            <w:r>
              <w:rPr>
                <w:rFonts w:ascii="Times New Roman" w:hAnsi="Times New Roman" w:eastAsia="宋体" w:cs="Times New Roman"/>
                <w:b/>
                <w:bCs/>
                <w:kern w:val="2"/>
                <w:sz w:val="21"/>
                <w:szCs w:val="24"/>
              </w:rPr>
              <w:t>3级</w:t>
            </w:r>
          </w:p>
        </w:tc>
      </w:tr>
      <w:tr w14:paraId="5036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vAlign w:val="center"/>
          </w:tcPr>
          <w:p w14:paraId="601C7212">
            <w:pPr>
              <w:pStyle w:val="162"/>
              <w:numPr>
                <w:ilvl w:val="0"/>
                <w:numId w:val="0"/>
              </w:numPr>
              <w:shd w:val="clear" w:color="auto" w:fill="auto"/>
              <w:adjustRightInd w:val="0"/>
              <w:snapToGrid w:val="0"/>
              <w:spacing w:after="0" w:line="240" w:lineRule="auto"/>
              <w:jc w:val="center"/>
              <w:rPr>
                <w:rFonts w:hint="eastAsia" w:ascii="黑体" w:hAnsi="Times New Roman" w:eastAsia="黑体" w:cs="Times New Roman"/>
                <w:b w:val="0"/>
                <w:bCs w:val="0"/>
                <w:sz w:val="21"/>
                <w:vertAlign w:val="baseline"/>
              </w:rPr>
            </w:pPr>
            <w:r>
              <w:rPr>
                <w:rFonts w:hint="eastAsia" w:ascii="Times New Roman" w:hAnsi="Times New Roman" w:eastAsia="宋体" w:cs="Times New Roman"/>
                <w:kern w:val="2"/>
                <w:sz w:val="21"/>
                <w:szCs w:val="24"/>
                <w:lang w:val="en-US" w:eastAsia="zh-CN"/>
              </w:rPr>
              <w:t>Corex</w:t>
            </w:r>
          </w:p>
        </w:tc>
        <w:tc>
          <w:tcPr>
            <w:tcW w:w="1410" w:type="dxa"/>
            <w:vAlign w:val="center"/>
          </w:tcPr>
          <w:p w14:paraId="159C6652">
            <w:pPr>
              <w:pStyle w:val="161"/>
              <w:numPr>
                <w:ilvl w:val="0"/>
                <w:numId w:val="0"/>
              </w:numPr>
              <w:shd w:val="clear"/>
              <w:tabs>
                <w:tab w:val="left" w:pos="4368"/>
              </w:tabs>
              <w:spacing w:line="240" w:lineRule="auto"/>
              <w:jc w:val="center"/>
              <w:rPr>
                <w:rFonts w:hint="default" w:ascii="Times New Roman" w:hAnsi="Times New Roman" w:eastAsia="宋体" w:cs="Times New Roman"/>
                <w:b w:val="0"/>
                <w:bCs w:val="0"/>
                <w:sz w:val="21"/>
                <w:vertAlign w:val="baseline"/>
                <w:lang w:val="en-US"/>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500</w:t>
            </w:r>
          </w:p>
        </w:tc>
        <w:tc>
          <w:tcPr>
            <w:tcW w:w="1914" w:type="dxa"/>
            <w:vAlign w:val="center"/>
          </w:tcPr>
          <w:p w14:paraId="70E41136">
            <w:pPr>
              <w:pStyle w:val="161"/>
              <w:numPr>
                <w:ilvl w:val="0"/>
                <w:numId w:val="0"/>
              </w:numPr>
              <w:shd w:val="clear"/>
              <w:tabs>
                <w:tab w:val="left" w:pos="4368"/>
              </w:tabs>
              <w:spacing w:line="240" w:lineRule="auto"/>
              <w:jc w:val="center"/>
              <w:rPr>
                <w:rFonts w:hint="default" w:ascii="Times New Roman" w:hAnsi="Times New Roman" w:eastAsia="宋体" w:cs="Times New Roman"/>
                <w:b w:val="0"/>
                <w:bCs w:val="0"/>
                <w:sz w:val="21"/>
                <w:vertAlign w:val="baseline"/>
                <w:lang w:val="en-US"/>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550</w:t>
            </w:r>
          </w:p>
        </w:tc>
        <w:tc>
          <w:tcPr>
            <w:tcW w:w="1914" w:type="dxa"/>
            <w:vAlign w:val="center"/>
          </w:tcPr>
          <w:p w14:paraId="5C83ADC1">
            <w:pPr>
              <w:pStyle w:val="161"/>
              <w:numPr>
                <w:ilvl w:val="0"/>
                <w:numId w:val="0"/>
              </w:numPr>
              <w:shd w:val="clear"/>
              <w:tabs>
                <w:tab w:val="left" w:pos="4368"/>
              </w:tabs>
              <w:spacing w:line="240" w:lineRule="auto"/>
              <w:jc w:val="center"/>
              <w:rPr>
                <w:rFonts w:hint="default" w:ascii="Times New Roman" w:hAnsi="Times New Roman" w:eastAsia="宋体" w:cs="Times New Roman"/>
                <w:b w:val="0"/>
                <w:bCs w:val="0"/>
                <w:sz w:val="21"/>
                <w:vertAlign w:val="baseline"/>
                <w:lang w:val="en-US"/>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600</w:t>
            </w:r>
          </w:p>
        </w:tc>
      </w:tr>
      <w:tr w14:paraId="373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2" w:type="dxa"/>
            <w:vAlign w:val="center"/>
          </w:tcPr>
          <w:p w14:paraId="4804D400">
            <w:pPr>
              <w:pStyle w:val="162"/>
              <w:numPr>
                <w:ilvl w:val="0"/>
                <w:numId w:val="0"/>
              </w:numPr>
              <w:shd w:val="clear" w:color="auto" w:fill="auto"/>
              <w:adjustRightInd w:val="0"/>
              <w:snapToGrid w:val="0"/>
              <w:spacing w:after="0" w:line="240" w:lineRule="auto"/>
              <w:jc w:val="center"/>
              <w:rPr>
                <w:rFonts w:hint="eastAsia" w:ascii="Times New Roman" w:hAnsi="Times New Roman" w:eastAsia="宋体" w:cs="Times New Roman"/>
                <w:kern w:val="2"/>
                <w:sz w:val="21"/>
                <w:szCs w:val="24"/>
                <w:lang w:val="en-US" w:eastAsia="zh-CN"/>
              </w:rPr>
            </w:pPr>
            <w:r>
              <w:rPr>
                <w:rFonts w:hint="eastAsia" w:ascii="Times New Roman" w:hAnsi="Times New Roman" w:eastAsia="宋体" w:cs="Times New Roman"/>
                <w:kern w:val="2"/>
                <w:sz w:val="21"/>
                <w:szCs w:val="24"/>
                <w:lang w:val="en-US" w:eastAsia="zh-CN"/>
              </w:rPr>
              <w:t>Finex</w:t>
            </w:r>
          </w:p>
        </w:tc>
        <w:tc>
          <w:tcPr>
            <w:tcW w:w="1410" w:type="dxa"/>
            <w:vAlign w:val="center"/>
          </w:tcPr>
          <w:p w14:paraId="55C581D6">
            <w:pPr>
              <w:pStyle w:val="161"/>
              <w:numPr>
                <w:ilvl w:val="0"/>
                <w:numId w:val="0"/>
              </w:numPr>
              <w:shd w:val="clear"/>
              <w:tabs>
                <w:tab w:val="left" w:pos="4368"/>
              </w:tabs>
              <w:spacing w:line="240" w:lineRule="auto"/>
              <w:jc w:val="center"/>
              <w:rPr>
                <w:rFonts w:hint="default" w:ascii="Times New Roman" w:hAnsi="Times New Roman" w:eastAsia="宋体" w:cs="Times New Roman"/>
                <w:b w:val="0"/>
                <w:bCs w:val="0"/>
                <w:sz w:val="21"/>
                <w:vertAlign w:val="baseline"/>
                <w:lang w:val="en-US"/>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357</w:t>
            </w:r>
          </w:p>
        </w:tc>
        <w:tc>
          <w:tcPr>
            <w:tcW w:w="1914" w:type="dxa"/>
            <w:vAlign w:val="center"/>
          </w:tcPr>
          <w:p w14:paraId="2264B422">
            <w:pPr>
              <w:pStyle w:val="161"/>
              <w:numPr>
                <w:ilvl w:val="0"/>
                <w:numId w:val="0"/>
              </w:numPr>
              <w:shd w:val="clear"/>
              <w:tabs>
                <w:tab w:val="left" w:pos="4368"/>
              </w:tabs>
              <w:spacing w:line="240" w:lineRule="auto"/>
              <w:jc w:val="center"/>
              <w:rPr>
                <w:rFonts w:hint="default" w:ascii="Times New Roman" w:hAnsi="Times New Roman" w:eastAsia="宋体" w:cs="Times New Roman"/>
                <w:b w:val="0"/>
                <w:bCs w:val="0"/>
                <w:sz w:val="21"/>
                <w:vertAlign w:val="baseline"/>
                <w:lang w:val="en-US"/>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399</w:t>
            </w:r>
          </w:p>
        </w:tc>
        <w:tc>
          <w:tcPr>
            <w:tcW w:w="1914" w:type="dxa"/>
            <w:vAlign w:val="center"/>
          </w:tcPr>
          <w:p w14:paraId="2F0AD57C">
            <w:pPr>
              <w:pStyle w:val="161"/>
              <w:numPr>
                <w:ilvl w:val="0"/>
                <w:numId w:val="0"/>
              </w:numPr>
              <w:shd w:val="clear"/>
              <w:tabs>
                <w:tab w:val="left" w:pos="4368"/>
              </w:tabs>
              <w:spacing w:line="240" w:lineRule="auto"/>
              <w:jc w:val="center"/>
              <w:rPr>
                <w:rFonts w:hint="default" w:ascii="Times New Roman" w:hAnsi="Times New Roman" w:eastAsia="宋体" w:cs="Times New Roman"/>
                <w:b w:val="0"/>
                <w:bCs w:val="0"/>
                <w:sz w:val="21"/>
                <w:vertAlign w:val="baseline"/>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420</w:t>
            </w:r>
          </w:p>
        </w:tc>
      </w:tr>
      <w:tr w14:paraId="0BC1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2" w:type="dxa"/>
            <w:vAlign w:val="center"/>
          </w:tcPr>
          <w:p w14:paraId="0D31268D">
            <w:pPr>
              <w:pStyle w:val="162"/>
              <w:numPr>
                <w:ilvl w:val="0"/>
                <w:numId w:val="0"/>
              </w:numPr>
              <w:shd w:val="clear" w:color="auto" w:fill="auto"/>
              <w:adjustRightInd w:val="0"/>
              <w:snapToGrid w:val="0"/>
              <w:spacing w:after="0" w:line="240" w:lineRule="auto"/>
              <w:ind w:left="0" w:leftChars="0" w:firstLine="0" w:firstLineChars="0"/>
              <w:jc w:val="center"/>
              <w:rPr>
                <w:rFonts w:hint="eastAsia" w:ascii="黑体" w:hAnsi="Times New Roman" w:eastAsia="黑体" w:cs="Times New Roman"/>
                <w:b w:val="0"/>
                <w:bCs w:val="0"/>
                <w:kern w:val="0"/>
                <w:sz w:val="21"/>
                <w:szCs w:val="20"/>
                <w:vertAlign w:val="baseline"/>
                <w:lang w:val="en-US" w:eastAsia="zh-CN" w:bidi="ar-SA"/>
              </w:rPr>
            </w:pPr>
            <w:r>
              <w:rPr>
                <w:rFonts w:hint="eastAsia" w:ascii="Times New Roman" w:hAnsi="Times New Roman" w:eastAsia="宋体" w:cs="Times New Roman"/>
                <w:kern w:val="2"/>
                <w:sz w:val="21"/>
                <w:szCs w:val="24"/>
                <w:lang w:val="en-US" w:eastAsia="zh-CN"/>
              </w:rPr>
              <w:t>HIsmelt</w:t>
            </w:r>
          </w:p>
        </w:tc>
        <w:tc>
          <w:tcPr>
            <w:tcW w:w="1410" w:type="dxa"/>
            <w:shd w:val="clear" w:color="auto" w:fill="auto"/>
            <w:vAlign w:val="center"/>
          </w:tcPr>
          <w:p w14:paraId="6DE858CC">
            <w:pPr>
              <w:pStyle w:val="161"/>
              <w:numPr>
                <w:ilvl w:val="0"/>
                <w:numId w:val="0"/>
              </w:numPr>
              <w:shd w:val="clear"/>
              <w:tabs>
                <w:tab w:val="left" w:pos="4368"/>
              </w:tabs>
              <w:spacing w:line="240" w:lineRule="auto"/>
              <w:ind w:left="0" w:leftChars="0" w:firstLine="0" w:firstLineChars="0"/>
              <w:jc w:val="center"/>
              <w:rPr>
                <w:rFonts w:hint="default" w:ascii="Times New Roman" w:hAnsi="Times New Roman" w:eastAsia="宋体" w:cs="Times New Roman"/>
                <w:b w:val="0"/>
                <w:bCs w:val="0"/>
                <w:kern w:val="0"/>
                <w:sz w:val="21"/>
                <w:szCs w:val="20"/>
                <w:vertAlign w:val="baseline"/>
                <w:lang w:val="en-US" w:eastAsia="zh-CN" w:bidi="ar-SA"/>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348</w:t>
            </w:r>
          </w:p>
        </w:tc>
        <w:tc>
          <w:tcPr>
            <w:tcW w:w="1914" w:type="dxa"/>
            <w:shd w:val="clear" w:color="auto" w:fill="auto"/>
            <w:vAlign w:val="center"/>
          </w:tcPr>
          <w:p w14:paraId="1865B6EE">
            <w:pPr>
              <w:pStyle w:val="161"/>
              <w:numPr>
                <w:ilvl w:val="0"/>
                <w:numId w:val="0"/>
              </w:numPr>
              <w:shd w:val="clear"/>
              <w:tabs>
                <w:tab w:val="left" w:pos="4368"/>
              </w:tabs>
              <w:spacing w:line="240" w:lineRule="auto"/>
              <w:ind w:left="0" w:leftChars="0" w:firstLine="0" w:firstLineChars="0"/>
              <w:jc w:val="center"/>
              <w:rPr>
                <w:rFonts w:hint="default" w:ascii="Times New Roman" w:hAnsi="Times New Roman" w:eastAsia="宋体" w:cs="Times New Roman"/>
                <w:b w:val="0"/>
                <w:bCs w:val="0"/>
                <w:kern w:val="0"/>
                <w:sz w:val="21"/>
                <w:szCs w:val="20"/>
                <w:vertAlign w:val="baseline"/>
                <w:lang w:val="en-US" w:eastAsia="zh-CN" w:bidi="ar-SA"/>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389</w:t>
            </w:r>
          </w:p>
        </w:tc>
        <w:tc>
          <w:tcPr>
            <w:tcW w:w="1914" w:type="dxa"/>
            <w:shd w:val="clear" w:color="auto" w:fill="auto"/>
            <w:vAlign w:val="center"/>
          </w:tcPr>
          <w:p w14:paraId="2A3B13E3">
            <w:pPr>
              <w:pStyle w:val="161"/>
              <w:numPr>
                <w:ilvl w:val="0"/>
                <w:numId w:val="0"/>
              </w:numPr>
              <w:shd w:val="clear"/>
              <w:tabs>
                <w:tab w:val="left" w:pos="4368"/>
              </w:tabs>
              <w:spacing w:line="240" w:lineRule="auto"/>
              <w:ind w:left="0" w:leftChars="0" w:firstLine="0" w:firstLineChars="0"/>
              <w:jc w:val="center"/>
              <w:rPr>
                <w:rFonts w:hint="default" w:ascii="Times New Roman" w:hAnsi="Times New Roman" w:eastAsia="宋体" w:cs="Times New Roman"/>
                <w:b w:val="0"/>
                <w:bCs w:val="0"/>
                <w:kern w:val="0"/>
                <w:sz w:val="21"/>
                <w:szCs w:val="20"/>
                <w:vertAlign w:val="baseline"/>
                <w:lang w:val="en-US" w:eastAsia="zh-CN" w:bidi="ar-SA"/>
              </w:rPr>
            </w:pPr>
            <w:r>
              <w:rPr>
                <w:rFonts w:hint="default" w:ascii="Times New Roman" w:hAnsi="Times New Roman" w:eastAsia="宋体" w:cs="Times New Roman"/>
                <w:b w:val="0"/>
                <w:bCs w:val="0"/>
                <w:sz w:val="21"/>
                <w:vertAlign w:val="baseline"/>
              </w:rPr>
              <w:t>≤</w:t>
            </w:r>
            <w:r>
              <w:rPr>
                <w:rFonts w:hint="eastAsia" w:ascii="Times New Roman" w:hAnsi="Times New Roman" w:eastAsia="宋体" w:cs="Times New Roman"/>
                <w:b w:val="0"/>
                <w:bCs w:val="0"/>
                <w:sz w:val="21"/>
                <w:vertAlign w:val="baseline"/>
                <w:lang w:val="en-US" w:eastAsia="zh-CN"/>
              </w:rPr>
              <w:t>410</w:t>
            </w:r>
          </w:p>
        </w:tc>
      </w:tr>
      <w:tr w14:paraId="7FE1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14:paraId="01DDA1CB">
            <w:pPr>
              <w:pStyle w:val="161"/>
              <w:numPr>
                <w:ilvl w:val="0"/>
                <w:numId w:val="0"/>
              </w:numPr>
              <w:shd w:val="clear"/>
              <w:tabs>
                <w:tab w:val="left" w:pos="4368"/>
              </w:tabs>
              <w:spacing w:line="240" w:lineRule="auto"/>
              <w:jc w:val="left"/>
              <w:rPr>
                <w:rFonts w:hint="default" w:ascii="Times New Roman" w:hAnsi="Times New Roman" w:eastAsia="宋体" w:cs="Times New Roman"/>
                <w:b w:val="0"/>
                <w:bCs w:val="0"/>
                <w:sz w:val="21"/>
                <w:vertAlign w:val="baseline"/>
              </w:rPr>
            </w:pPr>
            <w:r>
              <w:rPr>
                <w:rFonts w:hint="default" w:ascii="Times New Roman" w:hAnsi="Times New Roman" w:eastAsia="宋体" w:cs="Times New Roman"/>
                <w:b w:val="0"/>
                <w:bCs w:val="0"/>
                <w:sz w:val="21"/>
                <w:vertAlign w:val="baseline"/>
              </w:rPr>
              <w:t>注1：电力折标准煤系数取当量值0.1229kgce/(kW▪h)；</w:t>
            </w:r>
          </w:p>
        </w:tc>
      </w:tr>
    </w:tbl>
    <w:p w14:paraId="0D13830C">
      <w:pPr>
        <w:pStyle w:val="55"/>
        <w:jc w:val="left"/>
        <w:outlineLvl w:val="0"/>
        <w:rPr>
          <w:rFonts w:ascii="Times New Roman"/>
          <w:szCs w:val="21"/>
          <w:highlight w:val="none"/>
        </w:rPr>
      </w:pPr>
      <w:r>
        <w:rPr>
          <w:rFonts w:hint="eastAsia" w:ascii="Times New Roman"/>
          <w:szCs w:val="21"/>
          <w:highlight w:val="none"/>
        </w:rPr>
        <w:t>技术要求</w:t>
      </w:r>
    </w:p>
    <w:p w14:paraId="1261F3A7">
      <w:pPr>
        <w:pStyle w:val="57"/>
        <w:ind w:left="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熔融还原法炼铁单位产品能耗限定值</w:t>
      </w:r>
    </w:p>
    <w:p w14:paraId="25450308">
      <w:pPr>
        <w:pStyle w:val="33"/>
        <w:widowControl/>
        <w:spacing w:before="156" w:beforeLines="50" w:after="156" w:afterLines="50"/>
        <w:ind w:firstLine="420" w:firstLineChars="200"/>
        <w:jc w:val="left"/>
        <w:outlineLvl w:val="2"/>
        <w:rPr>
          <w:rFonts w:hint="eastAsia"/>
          <w:sz w:val="21"/>
          <w:szCs w:val="21"/>
          <w:highlight w:val="none"/>
        </w:rPr>
      </w:pPr>
      <w:r>
        <w:rPr>
          <w:rFonts w:hint="eastAsia"/>
          <w:sz w:val="21"/>
          <w:szCs w:val="21"/>
          <w:highlight w:val="none"/>
        </w:rPr>
        <w:t>现有企业生产的熔融还原法炼铁单位产品能耗应不大于表1中的3级。</w:t>
      </w:r>
    </w:p>
    <w:p w14:paraId="6322E165">
      <w:pPr>
        <w:pStyle w:val="57"/>
        <w:ind w:left="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熔融还原法炼铁单位产品能耗准入值</w:t>
      </w:r>
    </w:p>
    <w:p w14:paraId="2132F4E2">
      <w:pPr>
        <w:pStyle w:val="33"/>
        <w:widowControl/>
        <w:spacing w:before="156" w:beforeLines="50" w:after="156" w:afterLines="50"/>
        <w:ind w:firstLine="420" w:firstLineChars="200"/>
        <w:jc w:val="left"/>
        <w:outlineLvl w:val="2"/>
        <w:rPr>
          <w:rFonts w:hint="eastAsia"/>
          <w:sz w:val="21"/>
          <w:szCs w:val="21"/>
          <w:highlight w:val="none"/>
        </w:rPr>
      </w:pPr>
      <w:r>
        <w:rPr>
          <w:rFonts w:hint="eastAsia"/>
          <w:sz w:val="21"/>
          <w:szCs w:val="21"/>
          <w:highlight w:val="none"/>
        </w:rPr>
        <w:t>新建和改建熔融还原法炼铁</w:t>
      </w:r>
      <w:r>
        <w:rPr>
          <w:rFonts w:hint="eastAsia"/>
          <w:sz w:val="21"/>
          <w:szCs w:val="21"/>
          <w:highlight w:val="none"/>
          <w:lang w:val="en-US" w:eastAsia="zh-CN"/>
        </w:rPr>
        <w:t>项目</w:t>
      </w:r>
      <w:r>
        <w:rPr>
          <w:rFonts w:hint="eastAsia"/>
          <w:sz w:val="21"/>
          <w:szCs w:val="21"/>
          <w:highlight w:val="none"/>
        </w:rPr>
        <w:t>单位产品能耗应不大于表1中的2级。</w:t>
      </w:r>
    </w:p>
    <w:p w14:paraId="1B5F326F">
      <w:pPr>
        <w:pStyle w:val="57"/>
        <w:ind w:left="0"/>
        <w:rPr>
          <w:rFonts w:hint="eastAsia" w:ascii="Times New Roman"/>
          <w:highlight w:val="none"/>
        </w:rPr>
      </w:pPr>
      <w:r>
        <w:rPr>
          <w:rFonts w:hint="eastAsia" w:ascii="Times New Roman" w:hAnsi="Times New Roman" w:eastAsia="宋体" w:cs="Times New Roman"/>
          <w:kern w:val="2"/>
          <w:sz w:val="21"/>
          <w:szCs w:val="21"/>
          <w:highlight w:val="none"/>
          <w:lang w:val="en-US" w:eastAsia="zh-CN" w:bidi="ar-SA"/>
        </w:rPr>
        <w:t>熔融还原法炼铁单位产品能耗先进值</w:t>
      </w:r>
    </w:p>
    <w:p w14:paraId="71A2B939">
      <w:pPr>
        <w:pStyle w:val="33"/>
        <w:widowControl/>
        <w:spacing w:before="156" w:beforeLines="50" w:after="156" w:afterLines="50"/>
        <w:ind w:firstLine="420" w:firstLineChars="200"/>
        <w:jc w:val="left"/>
        <w:outlineLvl w:val="2"/>
        <w:rPr>
          <w:sz w:val="21"/>
          <w:szCs w:val="21"/>
          <w:highlight w:val="none"/>
        </w:rPr>
      </w:pPr>
      <w:r>
        <w:rPr>
          <w:rFonts w:hint="eastAsia"/>
          <w:sz w:val="21"/>
          <w:szCs w:val="21"/>
          <w:highlight w:val="none"/>
        </w:rPr>
        <w:t>企业通过节能技术改造和加强节能管理，使熔融还原法炼铁单位产品能耗达到表1中的1级。</w:t>
      </w:r>
    </w:p>
    <w:p w14:paraId="5CCA7710">
      <w:pPr>
        <w:pStyle w:val="55"/>
        <w:outlineLvl w:val="0"/>
        <w:rPr>
          <w:rFonts w:hAnsi="黑体"/>
          <w:szCs w:val="21"/>
        </w:rPr>
      </w:pPr>
      <w:r>
        <w:rPr>
          <w:rFonts w:hint="eastAsia" w:hAnsi="黑体"/>
          <w:szCs w:val="21"/>
        </w:rPr>
        <w:t>统计范围和计算方法</w:t>
      </w:r>
    </w:p>
    <w:p w14:paraId="146A060D">
      <w:pPr>
        <w:pStyle w:val="57"/>
        <w:ind w:left="0"/>
        <w:rPr>
          <w:rFonts w:hint="eastAsia" w:ascii="Times New Roman"/>
          <w:highlight w:val="none"/>
        </w:rPr>
      </w:pPr>
      <w:r>
        <w:rPr>
          <w:rFonts w:hint="eastAsia" w:ascii="Times New Roman"/>
          <w:highlight w:val="none"/>
        </w:rPr>
        <w:t>统计范围</w:t>
      </w:r>
    </w:p>
    <w:p w14:paraId="1590072D">
      <w:pPr>
        <w:pStyle w:val="59"/>
        <w:spacing w:before="156" w:after="156"/>
        <w:ind w:left="0"/>
        <w:rPr>
          <w:rFonts w:hint="eastAsia" w:ascii="Times New Roman" w:eastAsia="宋体"/>
        </w:rPr>
      </w:pPr>
      <w:r>
        <w:rPr>
          <w:rFonts w:hint="eastAsia" w:ascii="Times New Roman" w:eastAsia="宋体"/>
        </w:rPr>
        <w:t>熔融还原法炼铁单位产品能耗范围</w:t>
      </w:r>
    </w:p>
    <w:p w14:paraId="6A52249B">
      <w:pPr>
        <w:pStyle w:val="33"/>
        <w:widowControl/>
        <w:spacing w:before="156" w:beforeLines="50" w:after="156" w:afterLines="50"/>
        <w:ind w:firstLine="420" w:firstLineChars="200"/>
        <w:jc w:val="left"/>
        <w:outlineLvl w:val="2"/>
        <w:rPr>
          <w:rFonts w:hint="default"/>
          <w:sz w:val="21"/>
          <w:szCs w:val="21"/>
          <w:highlight w:val="none"/>
          <w:lang w:val="en-US"/>
        </w:rPr>
      </w:pPr>
      <w:r>
        <w:rPr>
          <w:rFonts w:hint="eastAsia"/>
          <w:sz w:val="21"/>
          <w:szCs w:val="21"/>
          <w:highlight w:val="none"/>
          <w:lang w:val="en-US" w:eastAsia="zh-CN"/>
        </w:rPr>
        <w:t>熔融还原法炼铁单位产品能耗为生产系统（原燃料供给、鼓风、冶炼炉本体、渣铁处理等系统）和辅助生产系统（生产管理及调度指挥系统、机修、化验、计量、水处理及除尘等环保设施）消耗的能源量，扣除回收的能源量。不包括附属生产系统（如食堂、保健站、休息室等）消耗的能源量。不同熔融还原工艺流程参见附录A。</w:t>
      </w:r>
    </w:p>
    <w:p w14:paraId="5B08984B">
      <w:pPr>
        <w:pStyle w:val="59"/>
        <w:spacing w:before="156" w:after="156"/>
        <w:ind w:left="0"/>
        <w:rPr>
          <w:rFonts w:hint="eastAsia" w:ascii="Times New Roman" w:eastAsia="宋体"/>
        </w:rPr>
      </w:pPr>
      <w:r>
        <w:rPr>
          <w:rFonts w:hint="eastAsia" w:ascii="Times New Roman" w:eastAsia="宋体"/>
        </w:rPr>
        <w:t>企业能量的统计范围及方法应符合GB/T 2589、GB/T 3484的规定，在实际统计过程中用电能转化成其他能源的工序，以电耗（当量值）为计算依据，水以新水为计算依据。</w:t>
      </w:r>
    </w:p>
    <w:p w14:paraId="570A46F8">
      <w:pPr>
        <w:pStyle w:val="59"/>
        <w:spacing w:before="156" w:after="156"/>
        <w:ind w:left="0"/>
        <w:rPr>
          <w:rFonts w:hint="eastAsia" w:ascii="Times New Roman" w:eastAsia="宋体"/>
        </w:rPr>
      </w:pPr>
      <w:r>
        <w:rPr>
          <w:rFonts w:hint="eastAsia" w:ascii="Times New Roman" w:eastAsia="宋体"/>
        </w:rPr>
        <w:t>用于统计的量、单位、符号应符合GB/T 3101的规定。</w:t>
      </w:r>
    </w:p>
    <w:p w14:paraId="113EC84A">
      <w:pPr>
        <w:pStyle w:val="57"/>
        <w:ind w:left="0"/>
        <w:rPr>
          <w:rFonts w:ascii="Times New Roman" w:eastAsia="宋体"/>
        </w:rPr>
      </w:pPr>
      <w:r>
        <w:rPr>
          <w:rFonts w:hint="eastAsia" w:ascii="Times New Roman" w:eastAsia="宋体"/>
        </w:rPr>
        <w:t>计算方法</w:t>
      </w:r>
    </w:p>
    <w:p w14:paraId="36FDEAAE">
      <w:pPr>
        <w:pStyle w:val="33"/>
        <w:widowControl/>
        <w:spacing w:before="156" w:beforeLines="50" w:after="156" w:afterLines="50"/>
        <w:ind w:firstLine="420" w:firstLineChars="200"/>
        <w:jc w:val="left"/>
        <w:outlineLvl w:val="2"/>
        <w:rPr>
          <w:rFonts w:hint="eastAsia"/>
          <w:sz w:val="21"/>
          <w:szCs w:val="21"/>
          <w:lang w:val="en-US" w:eastAsia="zh-CN"/>
        </w:rPr>
      </w:pPr>
      <w:r>
        <w:rPr>
          <w:rFonts w:hint="eastAsia"/>
          <w:sz w:val="21"/>
          <w:szCs w:val="21"/>
          <w:lang w:val="en-US" w:eastAsia="zh-CN"/>
        </w:rPr>
        <w:t>熔融还原法炼铁单位产品能耗应按式（1）计算：</w:t>
      </w:r>
    </w:p>
    <w:p w14:paraId="7A342D19">
      <w:pPr>
        <w:pStyle w:val="33"/>
        <w:widowControl/>
        <w:spacing w:before="156" w:beforeLines="50" w:after="156" w:afterLines="50"/>
        <w:ind w:firstLine="420" w:firstLineChars="200"/>
        <w:jc w:val="right"/>
        <w:outlineLvl w:val="2"/>
        <w:rPr>
          <w:rFonts w:hint="eastAsia" w:hAnsi="Cambria Math" w:cs="Times New Roman"/>
          <w:i w:val="0"/>
          <w:kern w:val="2"/>
          <w:sz w:val="21"/>
          <w:szCs w:val="21"/>
          <w:lang w:val="en-US" w:eastAsia="zh-CN" w:bidi="ar-SA"/>
        </w:rPr>
      </w:pPr>
      <m:oMath>
        <m:r>
          <m:rPr>
            <m:sty m:val="p"/>
          </m:rPr>
          <w:rPr>
            <w:rFonts w:hint="default" w:ascii="Cambria Math" w:hAnsi="Cambria Math" w:cs="Times New Roman"/>
            <w:kern w:val="2"/>
            <w:sz w:val="21"/>
            <w:szCs w:val="21"/>
            <w:lang w:val="en-US" w:eastAsia="zh-CN" w:bidi="ar-SA"/>
          </w:rPr>
          <m:t>E=</m:t>
        </m:r>
        <m:f>
          <m:fPr>
            <m:ctrlPr>
              <w:rPr>
                <w:rFonts w:hint="default" w:ascii="Cambria Math" w:hAnsi="Cambria Math" w:cs="Times New Roman"/>
                <w:kern w:val="2"/>
                <w:sz w:val="21"/>
                <w:szCs w:val="21"/>
                <w:lang w:val="en-US" w:eastAsia="zh-CN" w:bidi="ar-SA"/>
              </w:rPr>
            </m:ctrlPr>
          </m:fPr>
          <m:num>
            <m:sSub>
              <m:sSubPr>
                <m:ctrlPr>
                  <w:rPr>
                    <w:rFonts w:hint="default" w:ascii="Cambria Math" w:hAnsi="Cambria Math" w:cs="Times New Roman"/>
                    <w:kern w:val="2"/>
                    <w:sz w:val="21"/>
                    <w:szCs w:val="21"/>
                    <w:lang w:val="en-US" w:eastAsia="zh-CN" w:bidi="ar-SA"/>
                  </w:rPr>
                </m:ctrlPr>
              </m:sSubPr>
              <m:e>
                <m:r>
                  <m:rPr>
                    <m:sty m:val="p"/>
                  </m:rPr>
                  <w:rPr>
                    <w:rFonts w:hint="eastAsia" w:ascii="Cambria Math" w:hAnsi="Cambria Math" w:cs="Times New Roman"/>
                    <w:kern w:val="2"/>
                    <w:sz w:val="21"/>
                    <w:szCs w:val="21"/>
                    <w:lang w:val="en-US" w:eastAsia="zh-CN" w:bidi="ar-SA"/>
                  </w:rPr>
                  <m:t>e</m:t>
                </m:r>
                <m:ctrlPr>
                  <w:rPr>
                    <w:rFonts w:hint="default" w:ascii="Cambria Math" w:hAnsi="Cambria Math" w:cs="Times New Roman"/>
                    <w:kern w:val="2"/>
                    <w:sz w:val="21"/>
                    <w:szCs w:val="21"/>
                    <w:lang w:val="en-US" w:eastAsia="zh-CN" w:bidi="ar-SA"/>
                  </w:rPr>
                </m:ctrlPr>
              </m:e>
              <m:sub>
                <m:r>
                  <m:rPr>
                    <m:sty m:val="p"/>
                  </m:rPr>
                  <w:rPr>
                    <w:rFonts w:hint="eastAsia" w:ascii="Cambria Math" w:hAnsi="Cambria Math" w:cs="Times New Roman"/>
                    <w:kern w:val="2"/>
                    <w:sz w:val="21"/>
                    <w:szCs w:val="21"/>
                    <w:lang w:val="en-US" w:eastAsia="zh-CN" w:bidi="ar-SA"/>
                  </w:rPr>
                  <m:t>x</m:t>
                </m:r>
                <m:ctrlPr>
                  <w:rPr>
                    <w:rFonts w:hint="default" w:ascii="Cambria Math" w:hAnsi="Cambria Math" w:cs="Times New Roman"/>
                    <w:kern w:val="2"/>
                    <w:sz w:val="21"/>
                    <w:szCs w:val="21"/>
                    <w:lang w:val="en-US" w:eastAsia="zh-CN" w:bidi="ar-SA"/>
                  </w:rPr>
                </m:ctrlPr>
              </m:sub>
            </m:sSub>
            <m:r>
              <m:rPr>
                <m:sty m:val="p"/>
              </m:rPr>
              <w:rPr>
                <w:rFonts w:hint="default" w:ascii="Cambria Math" w:hAnsi="Cambria Math" w:cs="Times New Roman"/>
                <w:kern w:val="2"/>
                <w:sz w:val="21"/>
                <w:szCs w:val="21"/>
                <w:lang w:val="en-US" w:eastAsia="zh-CN" w:bidi="ar-SA"/>
              </w:rPr>
              <m:t>−</m:t>
            </m:r>
            <m:sSub>
              <m:sSubPr>
                <m:ctrlPr>
                  <w:rPr>
                    <w:rFonts w:hint="default" w:ascii="Cambria Math" w:hAnsi="Cambria Math" w:cs="Times New Roman"/>
                    <w:kern w:val="2"/>
                    <w:sz w:val="21"/>
                    <w:szCs w:val="21"/>
                    <w:lang w:val="en-US" w:eastAsia="zh-CN" w:bidi="ar-SA"/>
                  </w:rPr>
                </m:ctrlPr>
              </m:sSubPr>
              <m:e>
                <m:r>
                  <m:rPr>
                    <m:sty m:val="p"/>
                  </m:rPr>
                  <w:rPr>
                    <w:rFonts w:hint="eastAsia" w:ascii="Cambria Math" w:hAnsi="Cambria Math" w:cs="Times New Roman"/>
                    <w:kern w:val="2"/>
                    <w:sz w:val="21"/>
                    <w:szCs w:val="21"/>
                    <w:lang w:val="en-US" w:eastAsia="zh-CN" w:bidi="ar-SA"/>
                  </w:rPr>
                  <m:t>e</m:t>
                </m:r>
                <m:ctrlPr>
                  <w:rPr>
                    <w:rFonts w:hint="default" w:ascii="Cambria Math" w:hAnsi="Cambria Math" w:cs="Times New Roman"/>
                    <w:kern w:val="2"/>
                    <w:sz w:val="21"/>
                    <w:szCs w:val="21"/>
                    <w:lang w:val="en-US" w:eastAsia="zh-CN" w:bidi="ar-SA"/>
                  </w:rPr>
                </m:ctrlPr>
              </m:e>
              <m:sub>
                <m:r>
                  <m:rPr>
                    <m:sty m:val="p"/>
                  </m:rPr>
                  <w:rPr>
                    <w:rFonts w:hint="eastAsia" w:ascii="Cambria Math" w:hAnsi="Cambria Math" w:cs="Times New Roman"/>
                    <w:kern w:val="2"/>
                    <w:sz w:val="21"/>
                    <w:szCs w:val="21"/>
                    <w:lang w:val="en-US" w:eastAsia="zh-CN" w:bidi="ar-SA"/>
                  </w:rPr>
                  <m:t>h</m:t>
                </m:r>
                <m:ctrlPr>
                  <w:rPr>
                    <w:rFonts w:hint="default" w:ascii="Cambria Math" w:hAnsi="Cambria Math" w:cs="Times New Roman"/>
                    <w:kern w:val="2"/>
                    <w:sz w:val="21"/>
                    <w:szCs w:val="21"/>
                    <w:lang w:val="en-US" w:eastAsia="zh-CN" w:bidi="ar-SA"/>
                  </w:rPr>
                </m:ctrlPr>
              </m:sub>
            </m:sSub>
            <m:ctrlPr>
              <w:rPr>
                <w:rFonts w:hint="default" w:ascii="Cambria Math" w:hAnsi="Cambria Math" w:cs="Times New Roman"/>
                <w:kern w:val="2"/>
                <w:sz w:val="21"/>
                <w:szCs w:val="21"/>
                <w:lang w:val="en-US" w:eastAsia="zh-CN" w:bidi="ar-SA"/>
              </w:rPr>
            </m:ctrlPr>
          </m:num>
          <m:den>
            <m:r>
              <m:rPr>
                <m:sty m:val="p"/>
              </m:rPr>
              <w:rPr>
                <w:rFonts w:hint="default" w:ascii="Cambria Math" w:hAnsi="Cambria Math" w:cs="Times New Roman"/>
                <w:kern w:val="2"/>
                <w:sz w:val="21"/>
                <w:szCs w:val="21"/>
                <w:lang w:val="en-US" w:eastAsia="zh-CN" w:bidi="ar-SA"/>
              </w:rPr>
              <m:t>P</m:t>
            </m:r>
            <m:ctrlPr>
              <w:rPr>
                <w:rFonts w:hint="default" w:ascii="Cambria Math" w:hAnsi="Cambria Math" w:cs="Times New Roman"/>
                <w:kern w:val="2"/>
                <w:sz w:val="21"/>
                <w:szCs w:val="21"/>
                <w:lang w:val="en-US" w:eastAsia="zh-CN" w:bidi="ar-SA"/>
              </w:rPr>
            </m:ctrlPr>
          </m:den>
        </m:f>
      </m:oMath>
      <w:r>
        <w:rPr>
          <w:rFonts w:hint="eastAsia" w:hAnsi="Cambria Math" w:cs="Times New Roman"/>
          <w:i w:val="0"/>
          <w:kern w:val="2"/>
          <w:sz w:val="21"/>
          <w:szCs w:val="21"/>
          <w:lang w:val="en-US" w:eastAsia="zh-CN" w:bidi="ar-SA"/>
        </w:rPr>
        <w:t>………………………………………………（1）</w:t>
      </w:r>
    </w:p>
    <w:p w14:paraId="301B6CA3">
      <w:pPr>
        <w:pStyle w:val="33"/>
        <w:widowControl/>
        <w:spacing w:before="156" w:beforeLines="50" w:after="156" w:afterLines="50"/>
        <w:ind w:firstLine="420" w:firstLineChars="200"/>
        <w:jc w:val="left"/>
        <w:outlineLvl w:val="2"/>
        <w:rPr>
          <w:rFonts w:hint="default" w:ascii="Times New Roman" w:hAnsi="Times New Roman" w:cs="Times New Roman"/>
          <w:i w:val="0"/>
          <w:kern w:val="2"/>
          <w:sz w:val="21"/>
          <w:szCs w:val="21"/>
          <w:lang w:val="en-US" w:eastAsia="zh-CN" w:bidi="ar-SA"/>
        </w:rPr>
      </w:pPr>
      <w:r>
        <w:rPr>
          <w:rFonts w:hint="default" w:ascii="Times New Roman" w:hAnsi="Times New Roman" w:cs="Times New Roman"/>
          <w:i w:val="0"/>
          <w:kern w:val="2"/>
          <w:sz w:val="21"/>
          <w:szCs w:val="21"/>
          <w:lang w:val="en-US" w:eastAsia="zh-CN" w:bidi="ar-SA"/>
        </w:rPr>
        <w:t>式中：</w:t>
      </w:r>
    </w:p>
    <w:p w14:paraId="141E82D7">
      <w:pPr>
        <w:pStyle w:val="33"/>
        <w:widowControl/>
        <w:spacing w:before="156" w:beforeLines="50" w:after="156" w:afterLines="50"/>
        <w:ind w:firstLine="420" w:firstLineChars="200"/>
        <w:jc w:val="left"/>
        <w:outlineLvl w:val="2"/>
        <w:rPr>
          <w:rFonts w:hint="default" w:ascii="Times New Roman" w:hAnsi="Times New Roman" w:cs="Times New Roman"/>
          <w:i w:val="0"/>
          <w:kern w:val="2"/>
          <w:sz w:val="21"/>
          <w:szCs w:val="21"/>
          <w:lang w:val="en-US" w:eastAsia="zh-CN" w:bidi="ar-SA"/>
        </w:rPr>
      </w:pPr>
      <w:r>
        <w:rPr>
          <w:rFonts w:hint="default" w:ascii="Times New Roman" w:hAnsi="Times New Roman" w:cs="Times New Roman"/>
          <w:i w:val="0"/>
          <w:kern w:val="2"/>
          <w:sz w:val="21"/>
          <w:szCs w:val="21"/>
          <w:lang w:val="en-US" w:eastAsia="zh-CN" w:bidi="ar-SA"/>
        </w:rPr>
        <w:t>E——熔融还原法炼铁单位产品能耗，单位为千克标准煤每吨（kgce/t）；</w:t>
      </w:r>
    </w:p>
    <w:p w14:paraId="000830D4">
      <w:pPr>
        <w:pStyle w:val="33"/>
        <w:widowControl/>
        <w:spacing w:before="156" w:beforeLines="50" w:after="156" w:afterLines="50"/>
        <w:ind w:firstLine="420" w:firstLineChars="200"/>
        <w:jc w:val="left"/>
        <w:outlineLvl w:val="2"/>
        <w:rPr>
          <w:rFonts w:hint="default" w:ascii="Times New Roman" w:hAnsi="Times New Roman" w:cs="Times New Roman"/>
          <w:i w:val="0"/>
          <w:kern w:val="2"/>
          <w:sz w:val="21"/>
          <w:szCs w:val="21"/>
          <w:lang w:val="en-US" w:eastAsia="zh-CN" w:bidi="ar-SA"/>
        </w:rPr>
      </w:pPr>
      <m:oMath>
        <m:sSub>
          <m:sSubPr>
            <m:ctrlPr>
              <w:rPr>
                <w:rFonts w:hint="default" w:ascii="Cambria Math" w:hAnsi="Cambria Math" w:cs="Times New Roman"/>
                <w:i/>
                <w:kern w:val="2"/>
                <w:sz w:val="21"/>
                <w:szCs w:val="21"/>
                <w:lang w:val="en-US" w:bidi="ar-SA"/>
              </w:rPr>
            </m:ctrlPr>
          </m:sSubPr>
          <m:e>
            <m:r>
              <m:rPr/>
              <w:rPr>
                <w:rFonts w:hint="default" w:ascii="Cambria Math" w:hAnsi="Cambria Math" w:cs="Times New Roman"/>
                <w:kern w:val="2"/>
                <w:sz w:val="21"/>
                <w:szCs w:val="21"/>
                <w:lang w:val="en-US" w:eastAsia="zh-CN" w:bidi="ar-SA"/>
              </w:rPr>
              <m:t>e</m:t>
            </m:r>
            <m:ctrlPr>
              <w:rPr>
                <w:rFonts w:hint="default" w:ascii="Cambria Math" w:hAnsi="Cambria Math" w:cs="Times New Roman"/>
                <w:i/>
                <w:kern w:val="2"/>
                <w:sz w:val="21"/>
                <w:szCs w:val="21"/>
                <w:lang w:val="en-US" w:bidi="ar-SA"/>
              </w:rPr>
            </m:ctrlPr>
          </m:e>
          <m:sub>
            <m:r>
              <m:rPr/>
              <w:rPr>
                <w:rFonts w:hint="default" w:ascii="Cambria Math" w:hAnsi="Cambria Math" w:cs="Times New Roman"/>
                <w:kern w:val="2"/>
                <w:sz w:val="21"/>
                <w:szCs w:val="21"/>
                <w:lang w:val="en-US" w:eastAsia="zh-CN" w:bidi="ar-SA"/>
              </w:rPr>
              <m:t>x</m:t>
            </m:r>
            <m:ctrlPr>
              <w:rPr>
                <w:rFonts w:hint="default" w:ascii="Cambria Math" w:hAnsi="Cambria Math" w:cs="Times New Roman"/>
                <w:i/>
                <w:kern w:val="2"/>
                <w:sz w:val="21"/>
                <w:szCs w:val="21"/>
                <w:lang w:val="en-US" w:bidi="ar-SA"/>
              </w:rPr>
            </m:ctrlPr>
          </m:sub>
        </m:sSub>
      </m:oMath>
      <w:r>
        <w:rPr>
          <w:rFonts w:hint="default" w:ascii="Times New Roman" w:hAnsi="Times New Roman" w:cs="Times New Roman"/>
          <w:i w:val="0"/>
          <w:kern w:val="2"/>
          <w:sz w:val="21"/>
          <w:szCs w:val="21"/>
          <w:lang w:val="en-US" w:eastAsia="zh-CN" w:bidi="ar-SA"/>
        </w:rPr>
        <w:t>——熔融还原法炼铁消耗的各种能源折标煤量总和，单位为千克标准煤（kgce）；</w:t>
      </w:r>
    </w:p>
    <w:p w14:paraId="72FBD975">
      <w:pPr>
        <w:pStyle w:val="33"/>
        <w:widowControl/>
        <w:spacing w:before="156" w:beforeLines="50" w:after="156" w:afterLines="50"/>
        <w:ind w:firstLine="420" w:firstLineChars="200"/>
        <w:jc w:val="left"/>
        <w:outlineLvl w:val="2"/>
        <w:rPr>
          <w:rFonts w:hint="default" w:ascii="Times New Roman" w:hAnsi="Times New Roman" w:cs="Times New Roman"/>
          <w:i w:val="0"/>
          <w:kern w:val="2"/>
          <w:sz w:val="21"/>
          <w:szCs w:val="21"/>
          <w:lang w:val="en-US" w:eastAsia="zh-CN" w:bidi="ar-SA"/>
        </w:rPr>
      </w:pPr>
      <m:oMath>
        <m:sSub>
          <m:sSubPr>
            <m:ctrlPr>
              <w:rPr>
                <w:rFonts w:hint="default" w:ascii="Cambria Math" w:hAnsi="Cambria Math" w:cs="Times New Roman"/>
                <w:i/>
                <w:kern w:val="2"/>
                <w:sz w:val="21"/>
                <w:szCs w:val="21"/>
                <w:lang w:val="en-US" w:bidi="ar-SA"/>
              </w:rPr>
            </m:ctrlPr>
          </m:sSubPr>
          <m:e>
            <m:r>
              <m:rPr/>
              <w:rPr>
                <w:rFonts w:hint="default" w:ascii="Cambria Math" w:hAnsi="Cambria Math" w:cs="Times New Roman"/>
                <w:kern w:val="2"/>
                <w:sz w:val="21"/>
                <w:szCs w:val="21"/>
                <w:lang w:val="en-US" w:eastAsia="zh-CN" w:bidi="ar-SA"/>
              </w:rPr>
              <m:t>e</m:t>
            </m:r>
            <m:ctrlPr>
              <w:rPr>
                <w:rFonts w:hint="default" w:ascii="Cambria Math" w:hAnsi="Cambria Math" w:cs="Times New Roman"/>
                <w:i/>
                <w:kern w:val="2"/>
                <w:sz w:val="21"/>
                <w:szCs w:val="21"/>
                <w:lang w:val="en-US" w:bidi="ar-SA"/>
              </w:rPr>
            </m:ctrlPr>
          </m:e>
          <m:sub>
            <m:r>
              <m:rPr/>
              <w:rPr>
                <w:rFonts w:hint="default" w:ascii="Cambria Math" w:hAnsi="Cambria Math" w:cs="Times New Roman"/>
                <w:kern w:val="2"/>
                <w:sz w:val="21"/>
                <w:szCs w:val="21"/>
                <w:lang w:val="en-US" w:eastAsia="zh-CN" w:bidi="ar-SA"/>
              </w:rPr>
              <m:t>ℎ</m:t>
            </m:r>
            <m:ctrlPr>
              <w:rPr>
                <w:rFonts w:hint="default" w:ascii="Cambria Math" w:hAnsi="Cambria Math" w:cs="Times New Roman"/>
                <w:i/>
                <w:kern w:val="2"/>
                <w:sz w:val="21"/>
                <w:szCs w:val="21"/>
                <w:lang w:val="en-US" w:bidi="ar-SA"/>
              </w:rPr>
            </m:ctrlPr>
          </m:sub>
        </m:sSub>
      </m:oMath>
      <w:r>
        <w:rPr>
          <w:rFonts w:hint="default" w:ascii="Times New Roman" w:hAnsi="Times New Roman" w:cs="Times New Roman"/>
          <w:i w:val="0"/>
          <w:kern w:val="2"/>
          <w:sz w:val="21"/>
          <w:szCs w:val="21"/>
          <w:lang w:val="en-US" w:eastAsia="zh-CN" w:bidi="ar-SA"/>
        </w:rPr>
        <w:t>——熔融还原法炼铁回收的能源折标煤量，单位为千克标准煤（kgce）；</w:t>
      </w:r>
    </w:p>
    <w:p w14:paraId="1036FC43">
      <w:pPr>
        <w:pStyle w:val="33"/>
        <w:widowControl/>
        <w:spacing w:before="156" w:beforeLines="50" w:after="156" w:afterLines="50"/>
        <w:ind w:firstLine="420" w:firstLineChars="200"/>
        <w:jc w:val="left"/>
        <w:outlineLvl w:val="2"/>
        <w:rPr>
          <w:rFonts w:hint="eastAsia" w:cs="Times New Roman"/>
          <w:i w:val="0"/>
          <w:kern w:val="2"/>
          <w:sz w:val="21"/>
          <w:szCs w:val="21"/>
          <w:lang w:val="en-US" w:eastAsia="zh-CN" w:bidi="ar-SA"/>
        </w:rPr>
      </w:pPr>
      <w:r>
        <w:rPr>
          <w:rFonts w:hint="default" w:ascii="Times New Roman" w:hAnsi="Times New Roman" w:cs="Times New Roman"/>
          <w:i w:val="0"/>
          <w:kern w:val="2"/>
          <w:sz w:val="21"/>
          <w:szCs w:val="21"/>
          <w:lang w:val="en-US" w:eastAsia="zh-CN" w:bidi="ar-SA"/>
        </w:rPr>
        <w:t>E——熔融还原法炼铁合格生铁产量，单位为吨（t）</w:t>
      </w:r>
      <w:r>
        <w:rPr>
          <w:rFonts w:hint="eastAsia" w:cs="Times New Roman"/>
          <w:i w:val="0"/>
          <w:kern w:val="2"/>
          <w:sz w:val="21"/>
          <w:szCs w:val="21"/>
          <w:lang w:val="en-US" w:eastAsia="zh-CN" w:bidi="ar-SA"/>
        </w:rPr>
        <w:t>。</w:t>
      </w:r>
    </w:p>
    <w:p w14:paraId="2BCD0489">
      <w:pPr>
        <w:pStyle w:val="33"/>
        <w:widowControl/>
        <w:spacing w:before="156" w:beforeLines="50" w:after="156" w:afterLines="50"/>
        <w:ind w:firstLine="420" w:firstLineChars="200"/>
        <w:jc w:val="left"/>
        <w:outlineLvl w:val="2"/>
        <w:rPr>
          <w:rFonts w:hint="default" w:cs="Times New Roman"/>
          <w:i w:val="0"/>
          <w:kern w:val="2"/>
          <w:sz w:val="21"/>
          <w:szCs w:val="21"/>
          <w:lang w:val="en-US" w:eastAsia="zh-CN" w:bidi="ar-SA"/>
        </w:rPr>
      </w:pPr>
      <w:r>
        <w:rPr>
          <w:rFonts w:hint="eastAsia" w:cs="Times New Roman"/>
          <w:i w:val="0"/>
          <w:kern w:val="2"/>
          <w:sz w:val="21"/>
          <w:szCs w:val="21"/>
          <w:lang w:val="en-US" w:eastAsia="zh-CN" w:bidi="ar-SA"/>
        </w:rPr>
        <w:t>注：推荐折标系数值见附录B。</w:t>
      </w:r>
    </w:p>
    <w:p w14:paraId="29FAD781">
      <w:pPr>
        <w:pStyle w:val="55"/>
        <w:outlineLvl w:val="0"/>
        <w:rPr>
          <w:rFonts w:hAnsi="黑体"/>
          <w:szCs w:val="21"/>
        </w:rPr>
      </w:pPr>
      <w:r>
        <w:rPr>
          <w:rFonts w:hint="eastAsia" w:hAnsi="黑体"/>
          <w:szCs w:val="21"/>
          <w:lang w:val="en-US" w:eastAsia="zh-CN"/>
        </w:rPr>
        <w:t>节能措施</w:t>
      </w:r>
    </w:p>
    <w:p w14:paraId="26398763">
      <w:pPr>
        <w:pStyle w:val="57"/>
        <w:ind w:left="0"/>
        <w:rPr>
          <w:rFonts w:ascii="Times New Roman" w:eastAsia="宋体"/>
        </w:rPr>
      </w:pPr>
      <w:r>
        <w:rPr>
          <w:rFonts w:hint="eastAsia" w:ascii="Times New Roman" w:eastAsia="宋体"/>
          <w:lang w:val="en-US" w:eastAsia="zh-CN"/>
        </w:rPr>
        <w:t>管理节能措施</w:t>
      </w:r>
    </w:p>
    <w:p w14:paraId="68FBE1F6">
      <w:pPr>
        <w:pStyle w:val="59"/>
        <w:spacing w:before="156" w:after="156"/>
        <w:ind w:left="0"/>
        <w:rPr>
          <w:rFonts w:hint="eastAsia" w:ascii="Times New Roman" w:eastAsia="宋体"/>
        </w:rPr>
      </w:pPr>
      <w:r>
        <w:rPr>
          <w:rFonts w:hint="eastAsia" w:ascii="Times New Roman" w:eastAsia="宋体"/>
        </w:rPr>
        <w:t>企业宜推广应用能源管理系统，提升能源管控水平。</w:t>
      </w:r>
    </w:p>
    <w:p w14:paraId="16D9BD1F">
      <w:pPr>
        <w:pStyle w:val="59"/>
        <w:spacing w:before="156" w:after="156"/>
        <w:ind w:left="0"/>
        <w:rPr>
          <w:rFonts w:hint="eastAsia" w:ascii="Times New Roman" w:eastAsia="宋体"/>
        </w:rPr>
      </w:pPr>
      <w:r>
        <w:rPr>
          <w:rFonts w:hint="eastAsia" w:ascii="Times New Roman" w:eastAsia="宋体"/>
        </w:rPr>
        <w:t>企业应定期对</w:t>
      </w:r>
      <w:r>
        <w:rPr>
          <w:rFonts w:hint="eastAsia" w:ascii="Times New Roman" w:eastAsia="宋体"/>
          <w:lang w:val="en-US" w:eastAsia="zh-CN"/>
        </w:rPr>
        <w:t>熔融还原法炼铁</w:t>
      </w:r>
      <w:r>
        <w:rPr>
          <w:rFonts w:hint="eastAsia" w:ascii="Times New Roman" w:eastAsia="宋体"/>
        </w:rPr>
        <w:t>能耗情况进行考核，并把考核指标分解落实到各基层单位，建立用能责任制度。</w:t>
      </w:r>
    </w:p>
    <w:p w14:paraId="055C19A6">
      <w:pPr>
        <w:pStyle w:val="59"/>
        <w:spacing w:before="156" w:after="156"/>
        <w:ind w:left="0"/>
        <w:rPr>
          <w:rFonts w:hint="eastAsia" w:ascii="Times New Roman" w:eastAsia="宋体"/>
        </w:rPr>
      </w:pPr>
      <w:r>
        <w:rPr>
          <w:rFonts w:hint="eastAsia" w:ascii="Times New Roman" w:eastAsia="宋体"/>
        </w:rPr>
        <w:t>企业应按要求建立健全</w:t>
      </w:r>
      <w:r>
        <w:rPr>
          <w:rFonts w:hint="eastAsia" w:ascii="Times New Roman" w:eastAsia="宋体"/>
          <w:lang w:val="en-US" w:eastAsia="zh-CN"/>
        </w:rPr>
        <w:t>熔融还原法炼铁</w:t>
      </w:r>
      <w:r>
        <w:rPr>
          <w:rFonts w:hint="eastAsia" w:ascii="Times New Roman" w:eastAsia="宋体"/>
        </w:rPr>
        <w:t>能耗统计体系，建立能耗计算和考核结果的文件档案，并对文件进行受控管理。</w:t>
      </w:r>
    </w:p>
    <w:p w14:paraId="570651FB">
      <w:pPr>
        <w:pStyle w:val="59"/>
        <w:spacing w:before="156" w:after="156"/>
        <w:ind w:left="0"/>
        <w:rPr>
          <w:rFonts w:hint="eastAsia" w:ascii="Times New Roman" w:eastAsia="宋体"/>
        </w:rPr>
      </w:pPr>
      <w:r>
        <w:rPr>
          <w:rFonts w:hint="eastAsia" w:ascii="Times New Roman" w:eastAsia="宋体"/>
        </w:rPr>
        <w:t>企业应根据GB 17167的要求配备能源计量器具，并建立能源计量管理制度</w:t>
      </w:r>
      <w:r>
        <w:rPr>
          <w:rFonts w:hint="eastAsia" w:ascii="Times New Roman" w:eastAsia="宋体"/>
          <w:lang w:eastAsia="zh-CN"/>
        </w:rPr>
        <w:t>。</w:t>
      </w:r>
    </w:p>
    <w:p w14:paraId="2557CAFF">
      <w:pPr>
        <w:pStyle w:val="59"/>
        <w:spacing w:before="156" w:after="156"/>
        <w:ind w:left="0"/>
        <w:rPr>
          <w:rFonts w:hint="default" w:ascii="Times New Roman" w:eastAsia="宋体"/>
          <w:lang w:val="en-US" w:eastAsia="zh-CN"/>
        </w:rPr>
      </w:pPr>
      <w:r>
        <w:rPr>
          <w:rFonts w:hint="eastAsia" w:ascii="Times New Roman" w:eastAsia="宋体"/>
          <w:lang w:val="en-US" w:eastAsia="zh-CN"/>
        </w:rPr>
        <w:t>合理组织生产，严格执行热工制度，提高耗能设备的运行水平，做好余热回收利用工作。</w:t>
      </w:r>
    </w:p>
    <w:p w14:paraId="5E2462F7">
      <w:pPr>
        <w:pStyle w:val="57"/>
        <w:ind w:left="0"/>
        <w:rPr>
          <w:rFonts w:hint="eastAsia" w:ascii="Times New Roman" w:eastAsia="宋体"/>
          <w:lang w:val="en-US" w:eastAsia="zh-CN"/>
        </w:rPr>
      </w:pPr>
      <w:r>
        <w:rPr>
          <w:rFonts w:hint="eastAsia" w:ascii="Times New Roman" w:eastAsia="宋体"/>
          <w:lang w:val="en-US" w:eastAsia="zh-CN"/>
        </w:rPr>
        <w:t>技术节能措施</w:t>
      </w:r>
    </w:p>
    <w:p w14:paraId="01551E2C">
      <w:pPr>
        <w:pStyle w:val="59"/>
        <w:spacing w:before="156" w:after="156"/>
        <w:ind w:left="0"/>
        <w:rPr>
          <w:rFonts w:hint="eastAsia" w:ascii="Times New Roman" w:eastAsia="宋体"/>
        </w:rPr>
      </w:pPr>
      <w:r>
        <w:rPr>
          <w:rFonts w:hint="eastAsia" w:ascii="Times New Roman" w:eastAsia="宋体"/>
        </w:rPr>
        <w:t>根据工艺要求与设备能力，制定合理的生产工艺规程，科学安排生产计划，提高产品合格率。</w:t>
      </w:r>
    </w:p>
    <w:p w14:paraId="5431B376">
      <w:pPr>
        <w:pStyle w:val="59"/>
        <w:spacing w:before="156" w:after="156"/>
        <w:ind w:left="0"/>
        <w:rPr>
          <w:rFonts w:hint="default" w:ascii="Times New Roman" w:eastAsia="宋体"/>
          <w:lang w:val="en-US" w:eastAsia="zh-CN"/>
        </w:rPr>
      </w:pPr>
      <w:r>
        <w:rPr>
          <w:rFonts w:hint="eastAsia" w:ascii="Times New Roman" w:eastAsia="宋体"/>
          <w:lang w:val="en-US" w:eastAsia="zh-CN"/>
        </w:rPr>
        <w:t>完善余热余能利用措施。</w:t>
      </w:r>
    </w:p>
    <w:p w14:paraId="70FDC137">
      <w:pPr>
        <w:pStyle w:val="59"/>
        <w:spacing w:before="156" w:after="156"/>
        <w:ind w:left="0"/>
        <w:rPr>
          <w:kern w:val="0"/>
          <w:szCs w:val="20"/>
          <w:highlight w:val="yellow"/>
        </w:rPr>
      </w:pPr>
      <w:r>
        <w:rPr>
          <w:rFonts w:hint="eastAsia" w:ascii="Times New Roman" w:eastAsia="宋体"/>
        </w:rPr>
        <w:t>生产线驱动电机和风机电机宜采用变频调速、永磁调速、高效电机等节电技术。</w:t>
      </w:r>
    </w:p>
    <w:p w14:paraId="37AAD64D">
      <w:pPr>
        <w:pStyle w:val="57"/>
        <w:ind w:left="0"/>
        <w:rPr>
          <w:rFonts w:hint="default" w:ascii="Times New Roman" w:eastAsia="宋体"/>
          <w:lang w:val="en-US" w:eastAsia="zh-CN"/>
        </w:rPr>
      </w:pPr>
      <w:r>
        <w:rPr>
          <w:rFonts w:hint="eastAsia" w:ascii="Times New Roman" w:eastAsia="宋体"/>
          <w:lang w:val="en-US" w:eastAsia="zh-CN"/>
        </w:rPr>
        <w:t>结构节能措施</w:t>
      </w:r>
    </w:p>
    <w:p w14:paraId="505B7570">
      <w:pPr>
        <w:pStyle w:val="59"/>
        <w:spacing w:before="156" w:after="156"/>
        <w:ind w:left="0"/>
        <w:rPr>
          <w:rFonts w:hint="default" w:ascii="Times New Roman" w:eastAsia="宋体"/>
          <w:lang w:val="en-US" w:eastAsia="zh-CN"/>
        </w:rPr>
      </w:pPr>
      <w:r>
        <w:rPr>
          <w:rFonts w:hint="eastAsia" w:ascii="Times New Roman" w:eastAsia="宋体"/>
          <w:lang w:val="en-US" w:eastAsia="zh-CN"/>
        </w:rPr>
        <w:t>优化工艺结构，减少燃料使用。</w:t>
      </w:r>
    </w:p>
    <w:p w14:paraId="1A4A96FB">
      <w:pPr>
        <w:pStyle w:val="59"/>
        <w:spacing w:before="156" w:after="156"/>
        <w:ind w:left="0"/>
        <w:rPr>
          <w:rFonts w:hint="default" w:ascii="Times New Roman" w:eastAsia="宋体"/>
          <w:lang w:val="en-US" w:eastAsia="zh-CN"/>
        </w:rPr>
        <w:sectPr>
          <w:footerReference r:id="rId8" w:type="default"/>
          <w:pgSz w:w="11906" w:h="16838"/>
          <w:pgMar w:top="567" w:right="1134" w:bottom="1134" w:left="1418" w:header="1418" w:footer="1134" w:gutter="0"/>
          <w:pgNumType w:start="1"/>
          <w:cols w:space="720" w:num="1"/>
          <w:formProt w:val="0"/>
          <w:docGrid w:type="lines" w:linePitch="312" w:charSpace="0"/>
        </w:sectPr>
      </w:pPr>
      <w:r>
        <w:rPr>
          <w:rFonts w:hint="eastAsia" w:ascii="Times New Roman" w:eastAsia="宋体"/>
          <w:lang w:val="en-US" w:eastAsia="zh-CN"/>
        </w:rPr>
        <w:t>优化能源结构，采用兰炭等高热值燃料。</w:t>
      </w:r>
    </w:p>
    <w:p w14:paraId="21CDB255">
      <w:pPr>
        <w:pStyle w:val="25"/>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附 录 A</w:t>
      </w:r>
    </w:p>
    <w:p w14:paraId="15289F22">
      <w:pPr>
        <w:pStyle w:val="25"/>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(资料性)</w:t>
      </w:r>
    </w:p>
    <w:p w14:paraId="212BEDF9">
      <w:pPr>
        <w:pStyle w:val="25"/>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熔融还原工艺流程</w:t>
      </w:r>
    </w:p>
    <w:p w14:paraId="45C41716">
      <w:pPr>
        <w:pStyle w:val="163"/>
        <w:bidi w:val="0"/>
        <w:ind w:left="0" w:leftChars="0" w:firstLine="0" w:firstLineChars="0"/>
        <w:rPr>
          <w:rFonts w:hint="default"/>
          <w:lang w:val="en-US" w:eastAsia="zh-CN"/>
        </w:rPr>
      </w:pPr>
      <w:r>
        <w:rPr>
          <w:rFonts w:hint="eastAsia"/>
          <w:lang w:val="en-US" w:eastAsia="zh-CN"/>
        </w:rPr>
        <w:t>Corex工艺</w:t>
      </w:r>
    </w:p>
    <w:p w14:paraId="1F0F56B8">
      <w:pPr>
        <w:pStyle w:val="33"/>
        <w:widowControl/>
        <w:spacing w:before="156" w:beforeLines="50" w:after="156" w:afterLines="50"/>
        <w:ind w:firstLine="420" w:firstLineChars="200"/>
        <w:jc w:val="left"/>
        <w:outlineLvl w:val="2"/>
        <w:rPr>
          <w:rFonts w:hint="default"/>
          <w:sz w:val="21"/>
          <w:szCs w:val="21"/>
          <w:lang w:val="en-US" w:eastAsia="zh-CN"/>
        </w:rPr>
      </w:pPr>
      <w:r>
        <w:rPr>
          <w:rFonts w:hint="default"/>
          <w:sz w:val="21"/>
          <w:szCs w:val="21"/>
          <w:lang w:val="en-US" w:eastAsia="zh-CN"/>
        </w:rPr>
        <w:t>Corex工艺简称KR法</w:t>
      </w:r>
      <w:r>
        <w:rPr>
          <w:rFonts w:hint="eastAsia"/>
          <w:sz w:val="21"/>
          <w:szCs w:val="21"/>
          <w:lang w:val="en-US" w:eastAsia="zh-CN"/>
        </w:rPr>
        <w:t>，</w:t>
      </w:r>
      <w:r>
        <w:rPr>
          <w:rFonts w:hint="default"/>
          <w:sz w:val="21"/>
          <w:szCs w:val="21"/>
          <w:lang w:val="en-US" w:eastAsia="zh-CN"/>
        </w:rPr>
        <w:t>主要原料是烧结矿和球团矿</w:t>
      </w:r>
      <w:r>
        <w:rPr>
          <w:rFonts w:hint="eastAsia"/>
          <w:sz w:val="21"/>
          <w:szCs w:val="21"/>
          <w:lang w:val="en-US" w:eastAsia="zh-CN"/>
        </w:rPr>
        <w:t>，</w:t>
      </w:r>
      <w:r>
        <w:rPr>
          <w:rFonts w:hint="default"/>
          <w:sz w:val="21"/>
          <w:szCs w:val="21"/>
          <w:lang w:val="en-US" w:eastAsia="zh-CN"/>
        </w:rPr>
        <w:t>配加少量块矿</w:t>
      </w:r>
      <w:r>
        <w:rPr>
          <w:rFonts w:hint="eastAsia"/>
          <w:sz w:val="21"/>
          <w:szCs w:val="21"/>
          <w:lang w:val="en-US" w:eastAsia="zh-CN"/>
        </w:rPr>
        <w:t>，</w:t>
      </w:r>
      <w:r>
        <w:rPr>
          <w:rFonts w:hint="default"/>
          <w:sz w:val="21"/>
          <w:szCs w:val="21"/>
          <w:lang w:val="en-US" w:eastAsia="zh-CN"/>
        </w:rPr>
        <w:t>燃料主要为低品质煤粉</w:t>
      </w:r>
      <w:r>
        <w:rPr>
          <w:rFonts w:hint="eastAsia"/>
          <w:sz w:val="21"/>
          <w:szCs w:val="21"/>
          <w:lang w:val="en-US" w:eastAsia="zh-CN"/>
        </w:rPr>
        <w:t>，</w:t>
      </w:r>
      <w:r>
        <w:rPr>
          <w:rFonts w:hint="default"/>
          <w:sz w:val="21"/>
          <w:szCs w:val="21"/>
          <w:lang w:val="en-US" w:eastAsia="zh-CN"/>
        </w:rPr>
        <w:t>熔剂主要是石灰石、自云石和硅石。还原过程分两部分</w:t>
      </w:r>
      <w:r>
        <w:rPr>
          <w:rFonts w:hint="eastAsia"/>
          <w:sz w:val="21"/>
          <w:szCs w:val="21"/>
          <w:lang w:val="en-US" w:eastAsia="zh-CN"/>
        </w:rPr>
        <w:t>，</w:t>
      </w:r>
      <w:r>
        <w:rPr>
          <w:rFonts w:hint="default"/>
          <w:sz w:val="21"/>
          <w:szCs w:val="21"/>
          <w:lang w:val="en-US" w:eastAsia="zh-CN"/>
        </w:rPr>
        <w:t>预还原和终还原</w:t>
      </w:r>
      <w:r>
        <w:rPr>
          <w:rFonts w:hint="eastAsia"/>
          <w:sz w:val="21"/>
          <w:szCs w:val="21"/>
          <w:lang w:val="en-US" w:eastAsia="zh-CN"/>
        </w:rPr>
        <w:t>，</w:t>
      </w:r>
      <w:r>
        <w:rPr>
          <w:rFonts w:hint="default"/>
          <w:sz w:val="21"/>
          <w:szCs w:val="21"/>
          <w:lang w:val="en-US" w:eastAsia="zh-CN"/>
        </w:rPr>
        <w:t>分别在竖炉和熔融气化炉中完成。含铁原料从预还原竖炉顶部加人</w:t>
      </w:r>
      <w:r>
        <w:rPr>
          <w:rFonts w:hint="eastAsia"/>
          <w:sz w:val="21"/>
          <w:szCs w:val="21"/>
          <w:lang w:val="en-US" w:eastAsia="zh-CN"/>
        </w:rPr>
        <w:t>，</w:t>
      </w:r>
      <w:r>
        <w:rPr>
          <w:rFonts w:hint="default"/>
          <w:sz w:val="21"/>
          <w:szCs w:val="21"/>
          <w:lang w:val="en-US" w:eastAsia="zh-CN"/>
        </w:rPr>
        <w:t>在其下降的过程中与还原气体接触</w:t>
      </w:r>
      <w:r>
        <w:rPr>
          <w:rFonts w:hint="eastAsia"/>
          <w:sz w:val="21"/>
          <w:szCs w:val="21"/>
          <w:lang w:val="en-US" w:eastAsia="zh-CN"/>
        </w:rPr>
        <w:t>，</w:t>
      </w:r>
      <w:r>
        <w:rPr>
          <w:rFonts w:hint="default"/>
          <w:sz w:val="21"/>
          <w:szCs w:val="21"/>
          <w:lang w:val="en-US" w:eastAsia="zh-CN"/>
        </w:rPr>
        <w:t>完成加热和预还原过程</w:t>
      </w:r>
      <w:r>
        <w:rPr>
          <w:rFonts w:hint="eastAsia"/>
          <w:sz w:val="21"/>
          <w:szCs w:val="21"/>
          <w:lang w:val="en-US" w:eastAsia="zh-CN"/>
        </w:rPr>
        <w:t>，</w:t>
      </w:r>
      <w:r>
        <w:rPr>
          <w:rFonts w:hint="default"/>
          <w:sz w:val="21"/>
          <w:szCs w:val="21"/>
          <w:lang w:val="en-US" w:eastAsia="zh-CN"/>
        </w:rPr>
        <w:t>金属化率可达到70%以上。然后通过热装热送进人二次还原炉</w:t>
      </w:r>
      <w:r>
        <w:rPr>
          <w:rFonts w:hint="eastAsia"/>
          <w:sz w:val="21"/>
          <w:szCs w:val="21"/>
          <w:lang w:val="en-US" w:eastAsia="zh-CN"/>
        </w:rPr>
        <w:t>，</w:t>
      </w:r>
      <w:r>
        <w:rPr>
          <w:rFonts w:hint="default"/>
          <w:sz w:val="21"/>
          <w:szCs w:val="21"/>
          <w:lang w:val="en-US" w:eastAsia="zh-CN"/>
        </w:rPr>
        <w:t>即熔融气化炉</w:t>
      </w:r>
      <w:r>
        <w:rPr>
          <w:rFonts w:hint="eastAsia"/>
          <w:sz w:val="21"/>
          <w:szCs w:val="21"/>
          <w:lang w:val="en-US" w:eastAsia="zh-CN"/>
        </w:rPr>
        <w:t>，</w:t>
      </w:r>
      <w:r>
        <w:rPr>
          <w:rFonts w:hint="default"/>
          <w:sz w:val="21"/>
          <w:szCs w:val="21"/>
          <w:lang w:val="en-US" w:eastAsia="zh-CN"/>
        </w:rPr>
        <w:t>高温还原下生成铁水。如图</w:t>
      </w:r>
      <w:r>
        <w:rPr>
          <w:rFonts w:hint="eastAsia"/>
          <w:sz w:val="21"/>
          <w:szCs w:val="21"/>
          <w:lang w:val="en-US" w:eastAsia="zh-CN"/>
        </w:rPr>
        <w:t>A.1</w:t>
      </w:r>
      <w:r>
        <w:rPr>
          <w:rFonts w:hint="default"/>
          <w:sz w:val="21"/>
          <w:szCs w:val="21"/>
          <w:lang w:val="en-US" w:eastAsia="zh-CN"/>
        </w:rPr>
        <w:t>所示</w:t>
      </w:r>
      <w:r>
        <w:rPr>
          <w:rFonts w:hint="eastAsia"/>
          <w:sz w:val="21"/>
          <w:szCs w:val="21"/>
          <w:lang w:val="en-US" w:eastAsia="zh-CN"/>
        </w:rPr>
        <w:t>。</w:t>
      </w:r>
    </w:p>
    <w:p w14:paraId="585E6DF4">
      <w:pPr>
        <w:pStyle w:val="33"/>
        <w:widowControl/>
        <w:spacing w:before="156" w:beforeLines="50" w:after="156" w:afterLines="50"/>
        <w:jc w:val="center"/>
        <w:outlineLvl w:val="2"/>
        <w:rPr>
          <w:rFonts w:hint="default"/>
          <w:sz w:val="21"/>
          <w:szCs w:val="21"/>
          <w:lang w:val="en-US" w:eastAsia="zh-CN"/>
        </w:rPr>
      </w:pPr>
      <w:r>
        <w:rPr>
          <w:rFonts w:hint="default"/>
          <w:sz w:val="21"/>
          <w:szCs w:val="21"/>
          <w:lang w:val="en-US" w:eastAsia="zh-CN"/>
        </w:rPr>
        <w:drawing>
          <wp:inline distT="0" distB="0" distL="114300" distR="114300">
            <wp:extent cx="4565015" cy="1389380"/>
            <wp:effectExtent l="0" t="0" r="6985" b="1270"/>
            <wp:docPr id="4" name="图片 4" descr="173492157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4921570301"/>
                    <pic:cNvPicPr>
                      <a:picLocks noChangeAspect="1"/>
                    </pic:cNvPicPr>
                  </pic:nvPicPr>
                  <pic:blipFill>
                    <a:blip r:embed="rId11"/>
                    <a:stretch>
                      <a:fillRect/>
                    </a:stretch>
                  </pic:blipFill>
                  <pic:spPr>
                    <a:xfrm>
                      <a:off x="0" y="0"/>
                      <a:ext cx="4565015" cy="1389380"/>
                    </a:xfrm>
                    <a:prstGeom prst="rect">
                      <a:avLst/>
                    </a:prstGeom>
                  </pic:spPr>
                </pic:pic>
              </a:graphicData>
            </a:graphic>
          </wp:inline>
        </w:drawing>
      </w:r>
    </w:p>
    <w:p w14:paraId="4A1E1BA8">
      <w:pPr>
        <w:pStyle w:val="33"/>
        <w:widowControl/>
        <w:spacing w:before="156" w:beforeLines="50" w:after="156" w:afterLines="50"/>
        <w:jc w:val="center"/>
        <w:outlineLvl w:val="2"/>
        <w:rPr>
          <w:rFonts w:hint="default"/>
          <w:b/>
          <w:bCs/>
          <w:sz w:val="21"/>
          <w:szCs w:val="21"/>
          <w:lang w:val="en-US" w:eastAsia="zh-CN"/>
        </w:rPr>
      </w:pPr>
      <w:r>
        <w:rPr>
          <w:rFonts w:hint="eastAsia"/>
          <w:b/>
          <w:bCs/>
          <w:sz w:val="21"/>
          <w:szCs w:val="21"/>
          <w:lang w:val="en-US" w:eastAsia="zh-CN"/>
        </w:rPr>
        <w:t>图A.1  Corex工艺流程图</w:t>
      </w:r>
    </w:p>
    <w:p w14:paraId="41FA08FF">
      <w:pPr>
        <w:pStyle w:val="163"/>
        <w:bidi w:val="0"/>
        <w:ind w:left="0" w:leftChars="0" w:firstLine="0" w:firstLineChars="0"/>
        <w:rPr>
          <w:rFonts w:hint="default"/>
          <w:lang w:val="en-US" w:eastAsia="zh-CN"/>
        </w:rPr>
      </w:pPr>
      <w:r>
        <w:rPr>
          <w:rFonts w:hint="default"/>
          <w:lang w:val="en-US" w:eastAsia="zh-CN"/>
        </w:rPr>
        <w:t>F</w:t>
      </w:r>
      <w:r>
        <w:rPr>
          <w:rFonts w:hint="eastAsia"/>
          <w:lang w:val="en-US" w:eastAsia="zh-CN"/>
        </w:rPr>
        <w:t>inex</w:t>
      </w:r>
      <w:r>
        <w:rPr>
          <w:rFonts w:hint="default"/>
          <w:lang w:val="en-US" w:eastAsia="zh-CN"/>
        </w:rPr>
        <w:t>工艺</w:t>
      </w:r>
    </w:p>
    <w:p w14:paraId="143149C4">
      <w:pPr>
        <w:pStyle w:val="33"/>
        <w:widowControl/>
        <w:spacing w:before="156" w:beforeLines="50" w:after="156" w:afterLines="50"/>
        <w:ind w:firstLine="420" w:firstLineChars="200"/>
        <w:jc w:val="left"/>
        <w:outlineLvl w:val="2"/>
        <w:rPr>
          <w:rFonts w:hint="default"/>
          <w:sz w:val="21"/>
          <w:szCs w:val="21"/>
          <w:lang w:val="en-US" w:eastAsia="zh-CN"/>
        </w:rPr>
      </w:pPr>
      <w:r>
        <w:rPr>
          <w:rFonts w:hint="default"/>
          <w:sz w:val="21"/>
          <w:szCs w:val="21"/>
          <w:lang w:val="en-US" w:eastAsia="zh-CN"/>
        </w:rPr>
        <w:t>Finex工艺是基于Corex工艺进行的技术创新</w:t>
      </w:r>
      <w:r>
        <w:rPr>
          <w:rFonts w:hint="eastAsia"/>
          <w:sz w:val="21"/>
          <w:szCs w:val="21"/>
          <w:lang w:val="en-US" w:eastAsia="zh-CN"/>
        </w:rPr>
        <w:t>，</w:t>
      </w:r>
      <w:r>
        <w:rPr>
          <w:rFonts w:hint="default"/>
          <w:sz w:val="21"/>
          <w:szCs w:val="21"/>
          <w:lang w:val="en-US" w:eastAsia="zh-CN"/>
        </w:rPr>
        <w:t>主要</w:t>
      </w:r>
      <w:r>
        <w:rPr>
          <w:rFonts w:hint="eastAsia"/>
          <w:sz w:val="21"/>
          <w:szCs w:val="21"/>
          <w:lang w:val="en-US" w:eastAsia="zh-CN"/>
        </w:rPr>
        <w:t>不同</w:t>
      </w:r>
      <w:r>
        <w:rPr>
          <w:rFonts w:hint="default"/>
          <w:sz w:val="21"/>
          <w:szCs w:val="21"/>
          <w:lang w:val="en-US" w:eastAsia="zh-CN"/>
        </w:rPr>
        <w:t>是Finex工艺采用多级流化床反应器代替了Corex工艺的预还原竖炉。原材料依次经过R</w:t>
      </w:r>
      <w:r>
        <w:rPr>
          <w:rFonts w:hint="eastAsia"/>
          <w:sz w:val="21"/>
          <w:szCs w:val="21"/>
          <w:lang w:val="en-US" w:eastAsia="zh-CN"/>
        </w:rPr>
        <w:t>1</w:t>
      </w:r>
      <w:r>
        <w:rPr>
          <w:rFonts w:hint="default"/>
          <w:sz w:val="21"/>
          <w:szCs w:val="21"/>
          <w:lang w:val="en-US" w:eastAsia="zh-CN"/>
        </w:rPr>
        <w:t>、R2和R</w:t>
      </w:r>
      <w:r>
        <w:rPr>
          <w:rFonts w:hint="eastAsia"/>
          <w:sz w:val="21"/>
          <w:szCs w:val="21"/>
          <w:lang w:val="en-US" w:eastAsia="zh-CN"/>
        </w:rPr>
        <w:t>3</w:t>
      </w:r>
      <w:r>
        <w:rPr>
          <w:rFonts w:hint="default"/>
          <w:sz w:val="21"/>
          <w:szCs w:val="21"/>
          <w:lang w:val="en-US" w:eastAsia="zh-CN"/>
        </w:rPr>
        <w:t>反应器</w:t>
      </w:r>
      <w:r>
        <w:rPr>
          <w:rFonts w:hint="eastAsia"/>
          <w:sz w:val="21"/>
          <w:szCs w:val="21"/>
          <w:lang w:val="en-US" w:eastAsia="zh-CN"/>
        </w:rPr>
        <w:t>，</w:t>
      </w:r>
      <w:r>
        <w:rPr>
          <w:rFonts w:hint="default"/>
          <w:sz w:val="21"/>
          <w:szCs w:val="21"/>
          <w:lang w:val="en-US" w:eastAsia="zh-CN"/>
        </w:rPr>
        <w:t>反应器的温度依次升高</w:t>
      </w:r>
      <w:r>
        <w:rPr>
          <w:rFonts w:hint="eastAsia"/>
          <w:sz w:val="21"/>
          <w:szCs w:val="21"/>
          <w:lang w:val="en-US" w:eastAsia="zh-CN"/>
        </w:rPr>
        <w:t>，</w:t>
      </w:r>
      <w:r>
        <w:rPr>
          <w:rFonts w:hint="default"/>
          <w:sz w:val="21"/>
          <w:szCs w:val="21"/>
          <w:lang w:val="en-US" w:eastAsia="zh-CN"/>
        </w:rPr>
        <w:t>最高可达750℃</w:t>
      </w:r>
      <w:r>
        <w:rPr>
          <w:rFonts w:hint="eastAsia"/>
          <w:sz w:val="21"/>
          <w:szCs w:val="21"/>
          <w:lang w:val="en-US" w:eastAsia="zh-CN"/>
        </w:rPr>
        <w:t>，</w:t>
      </w:r>
      <w:r>
        <w:rPr>
          <w:rFonts w:hint="default"/>
          <w:sz w:val="21"/>
          <w:szCs w:val="21"/>
          <w:lang w:val="en-US" w:eastAsia="zh-CN"/>
        </w:rPr>
        <w:t>在反应器内初步完成还原反应</w:t>
      </w:r>
      <w:r>
        <w:rPr>
          <w:rFonts w:hint="eastAsia"/>
          <w:sz w:val="21"/>
          <w:szCs w:val="21"/>
          <w:lang w:val="en-US" w:eastAsia="zh-CN"/>
        </w:rPr>
        <w:t>，</w:t>
      </w:r>
      <w:r>
        <w:rPr>
          <w:rFonts w:hint="default"/>
          <w:sz w:val="21"/>
          <w:szCs w:val="21"/>
          <w:lang w:val="en-US" w:eastAsia="zh-CN"/>
        </w:rPr>
        <w:t>金属化率达到70%以上。然后经压块工艺生成热压块</w:t>
      </w:r>
      <w:r>
        <w:rPr>
          <w:rFonts w:hint="eastAsia"/>
          <w:sz w:val="21"/>
          <w:szCs w:val="21"/>
          <w:lang w:val="en-US" w:eastAsia="zh-CN"/>
        </w:rPr>
        <w:t>，</w:t>
      </w:r>
      <w:r>
        <w:rPr>
          <w:rFonts w:hint="default"/>
          <w:sz w:val="21"/>
          <w:szCs w:val="21"/>
          <w:lang w:val="en-US" w:eastAsia="zh-CN"/>
        </w:rPr>
        <w:t>与燃料、还原剂一同进人熔融气化炉</w:t>
      </w:r>
      <w:r>
        <w:rPr>
          <w:rFonts w:hint="eastAsia"/>
          <w:sz w:val="21"/>
          <w:szCs w:val="21"/>
          <w:lang w:val="en-US" w:eastAsia="zh-CN"/>
        </w:rPr>
        <w:t>，</w:t>
      </w:r>
      <w:r>
        <w:rPr>
          <w:rFonts w:hint="default"/>
          <w:sz w:val="21"/>
          <w:szCs w:val="21"/>
          <w:lang w:val="en-US" w:eastAsia="zh-CN"/>
        </w:rPr>
        <w:t>生成合格的铁水。如图</w:t>
      </w:r>
      <w:r>
        <w:rPr>
          <w:rFonts w:hint="eastAsia"/>
          <w:sz w:val="21"/>
          <w:szCs w:val="21"/>
          <w:lang w:val="en-US" w:eastAsia="zh-CN"/>
        </w:rPr>
        <w:t>A.2</w:t>
      </w:r>
      <w:r>
        <w:rPr>
          <w:rFonts w:hint="default"/>
          <w:sz w:val="21"/>
          <w:szCs w:val="21"/>
          <w:lang w:val="en-US" w:eastAsia="zh-CN"/>
        </w:rPr>
        <w:t>所示。</w:t>
      </w:r>
    </w:p>
    <w:p w14:paraId="7AFAD746">
      <w:pPr>
        <w:pStyle w:val="33"/>
        <w:widowControl/>
        <w:spacing w:before="156" w:beforeLines="50" w:after="156" w:afterLines="50"/>
        <w:jc w:val="center"/>
        <w:outlineLvl w:val="2"/>
        <w:rPr>
          <w:rFonts w:hint="default"/>
          <w:lang w:val="en-US" w:eastAsia="zh-CN"/>
        </w:rPr>
      </w:pPr>
      <w:r>
        <w:rPr>
          <w:rFonts w:hint="default"/>
          <w:lang w:val="en-US" w:eastAsia="zh-CN"/>
        </w:rPr>
        <w:drawing>
          <wp:inline distT="0" distB="0" distL="114300" distR="114300">
            <wp:extent cx="4634230" cy="1409065"/>
            <wp:effectExtent l="0" t="0" r="13970" b="635"/>
            <wp:docPr id="7" name="图片 7" descr="173492260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4922604514"/>
                    <pic:cNvPicPr>
                      <a:picLocks noChangeAspect="1"/>
                    </pic:cNvPicPr>
                  </pic:nvPicPr>
                  <pic:blipFill>
                    <a:blip r:embed="rId12"/>
                    <a:stretch>
                      <a:fillRect/>
                    </a:stretch>
                  </pic:blipFill>
                  <pic:spPr>
                    <a:xfrm>
                      <a:off x="0" y="0"/>
                      <a:ext cx="4634230" cy="1409065"/>
                    </a:xfrm>
                    <a:prstGeom prst="rect">
                      <a:avLst/>
                    </a:prstGeom>
                  </pic:spPr>
                </pic:pic>
              </a:graphicData>
            </a:graphic>
          </wp:inline>
        </w:drawing>
      </w:r>
    </w:p>
    <w:p w14:paraId="0EAB035E">
      <w:pPr>
        <w:pStyle w:val="164"/>
        <w:numPr>
          <w:ilvl w:val="1"/>
          <w:numId w:val="0"/>
        </w:numPr>
        <w:bidi w:val="0"/>
        <w:ind w:leftChars="0"/>
        <w:jc w:val="center"/>
        <w:rPr>
          <w:rFonts w:hint="eastAsia"/>
          <w:b/>
          <w:bCs/>
          <w:sz w:val="21"/>
          <w:szCs w:val="21"/>
          <w:lang w:val="en-US" w:eastAsia="zh-CN"/>
        </w:rPr>
      </w:pPr>
      <w:r>
        <w:rPr>
          <w:rFonts w:hint="eastAsia"/>
          <w:b/>
          <w:bCs/>
          <w:sz w:val="21"/>
          <w:szCs w:val="21"/>
          <w:lang w:val="en-US" w:eastAsia="zh-CN"/>
        </w:rPr>
        <w:t>图A.3  Finex工艺流程图</w:t>
      </w:r>
    </w:p>
    <w:p w14:paraId="227244AF">
      <w:pPr>
        <w:pStyle w:val="163"/>
        <w:bidi w:val="0"/>
        <w:ind w:left="0" w:leftChars="0" w:firstLine="0" w:firstLineChars="0"/>
        <w:rPr>
          <w:rFonts w:hint="default"/>
          <w:lang w:val="en-US" w:eastAsia="zh-CN"/>
        </w:rPr>
      </w:pPr>
      <w:r>
        <w:rPr>
          <w:rFonts w:hint="eastAsia"/>
          <w:lang w:val="en-US" w:eastAsia="zh-CN"/>
        </w:rPr>
        <w:t>HIsmelt工艺</w:t>
      </w:r>
    </w:p>
    <w:p w14:paraId="39A3F244">
      <w:pPr>
        <w:pStyle w:val="33"/>
        <w:widowControl/>
        <w:spacing w:before="156" w:beforeLines="50" w:after="156" w:afterLines="50"/>
        <w:ind w:firstLine="420" w:firstLineChars="200"/>
        <w:jc w:val="left"/>
        <w:outlineLvl w:val="2"/>
        <w:rPr>
          <w:rFonts w:hint="eastAsia"/>
          <w:sz w:val="21"/>
          <w:szCs w:val="21"/>
          <w:lang w:val="en-US" w:eastAsia="zh-CN"/>
        </w:rPr>
      </w:pPr>
      <w:r>
        <w:rPr>
          <w:rFonts w:hint="eastAsia"/>
          <w:sz w:val="21"/>
          <w:szCs w:val="21"/>
          <w:lang w:val="en-US" w:eastAsia="zh-CN"/>
        </w:rPr>
        <w:t>Hlsmelt是熔融还原的冶金工艺，该工艺直接利用经预热预还原处理的粉状含铁原料和粒煤，通过固体喷枪把矿粉和粒煤喷人熔池，富氧热风从顶喷枪喷人还原炉(SRV)，熔池中还原反应产生的CO气体在熔池上部燃烧，为熔池提供热量。SRV炉内生产的铁水经前置炉流出，通过铁沟、摆动溜嘴进人铁水罐。产生的液态渣从排渣口流出，然后进人渣处理工艺。如图A.3所示。</w:t>
      </w:r>
    </w:p>
    <w:p w14:paraId="5C1D601E">
      <w:pPr>
        <w:pStyle w:val="33"/>
        <w:widowControl/>
        <w:spacing w:before="156" w:beforeLines="50" w:after="156" w:afterLines="50"/>
        <w:jc w:val="center"/>
        <w:outlineLvl w:val="2"/>
        <w:rPr>
          <w:rFonts w:hint="default"/>
          <w:lang w:val="en-US" w:eastAsia="zh-CN"/>
        </w:rPr>
      </w:pPr>
      <w:r>
        <w:rPr>
          <w:rFonts w:hint="default"/>
          <w:lang w:val="en-US" w:eastAsia="zh-CN"/>
        </w:rPr>
        <w:drawing>
          <wp:inline distT="0" distB="0" distL="114300" distR="114300">
            <wp:extent cx="4603750" cy="1662430"/>
            <wp:effectExtent l="0" t="0" r="6350" b="13970"/>
            <wp:docPr id="5" name="图片 5" descr="174036260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0362602446"/>
                    <pic:cNvPicPr>
                      <a:picLocks noChangeAspect="1"/>
                    </pic:cNvPicPr>
                  </pic:nvPicPr>
                  <pic:blipFill>
                    <a:blip r:embed="rId13"/>
                    <a:stretch>
                      <a:fillRect/>
                    </a:stretch>
                  </pic:blipFill>
                  <pic:spPr>
                    <a:xfrm>
                      <a:off x="0" y="0"/>
                      <a:ext cx="4603750" cy="1662430"/>
                    </a:xfrm>
                    <a:prstGeom prst="rect">
                      <a:avLst/>
                    </a:prstGeom>
                  </pic:spPr>
                </pic:pic>
              </a:graphicData>
            </a:graphic>
          </wp:inline>
        </w:drawing>
      </w:r>
    </w:p>
    <w:p w14:paraId="33C12813">
      <w:pPr>
        <w:pStyle w:val="163"/>
        <w:numPr>
          <w:ilvl w:val="0"/>
          <w:numId w:val="0"/>
        </w:numPr>
        <w:bidi w:val="0"/>
        <w:ind w:leftChars="0"/>
        <w:jc w:val="center"/>
        <w:rPr>
          <w:rFonts w:hint="default"/>
          <w:lang w:val="en-US" w:eastAsia="zh-CN"/>
        </w:rPr>
      </w:pPr>
      <w:r>
        <w:rPr>
          <w:rFonts w:hint="eastAsia"/>
          <w:b/>
          <w:bCs/>
          <w:sz w:val="21"/>
          <w:szCs w:val="21"/>
          <w:lang w:val="en-US" w:eastAsia="zh-CN"/>
        </w:rPr>
        <w:t>图A.3  HIsmelt工艺流程图</w:t>
      </w:r>
    </w:p>
    <w:p w14:paraId="06C3037E">
      <w:pPr>
        <w:pStyle w:val="164"/>
        <w:numPr>
          <w:ilvl w:val="1"/>
          <w:numId w:val="0"/>
        </w:numPr>
        <w:bidi w:val="0"/>
        <w:ind w:leftChars="0"/>
        <w:jc w:val="center"/>
        <w:rPr>
          <w:rFonts w:hint="default"/>
          <w:lang w:val="en-US" w:eastAsia="zh-CN"/>
        </w:rPr>
      </w:pPr>
    </w:p>
    <w:p w14:paraId="4D0CC6D8">
      <w:pPr>
        <w:pStyle w:val="25"/>
        <w:ind w:left="0" w:leftChars="0" w:firstLine="0" w:firstLineChars="0"/>
        <w:jc w:val="center"/>
        <w:rPr>
          <w:rFonts w:hint="default" w:ascii="Times New Roman" w:hAnsi="Times New Roman" w:cs="Times New Roman"/>
          <w:b/>
          <w:bCs/>
          <w:lang w:val="en-US" w:eastAsia="zh-CN"/>
        </w:rPr>
        <w:sectPr>
          <w:pgSz w:w="11906" w:h="16838"/>
          <w:pgMar w:top="567" w:right="1134" w:bottom="1134" w:left="1418" w:header="1418" w:footer="1134" w:gutter="0"/>
          <w:cols w:space="720" w:num="1"/>
          <w:formProt w:val="0"/>
          <w:docGrid w:type="lines" w:linePitch="312" w:charSpace="0"/>
        </w:sectPr>
      </w:pPr>
    </w:p>
    <w:p w14:paraId="3B85D341">
      <w:pPr>
        <w:pStyle w:val="25"/>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附 录 </w:t>
      </w:r>
      <w:r>
        <w:rPr>
          <w:rFonts w:hint="eastAsia" w:ascii="Times New Roman" w:cs="Times New Roman"/>
          <w:b/>
          <w:bCs/>
          <w:lang w:val="en-US" w:eastAsia="zh-CN"/>
        </w:rPr>
        <w:t>B</w:t>
      </w:r>
    </w:p>
    <w:p w14:paraId="55614C0A">
      <w:pPr>
        <w:pStyle w:val="25"/>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w:t>
      </w:r>
      <w:r>
        <w:rPr>
          <w:rFonts w:hint="eastAsia" w:ascii="Times New Roman" w:cs="Times New Roman"/>
          <w:b/>
          <w:bCs/>
          <w:lang w:val="en-US" w:eastAsia="zh-CN"/>
        </w:rPr>
        <w:t>资料</w:t>
      </w:r>
      <w:r>
        <w:rPr>
          <w:rFonts w:hint="default" w:ascii="Times New Roman" w:hAnsi="Times New Roman" w:cs="Times New Roman"/>
          <w:b/>
          <w:bCs/>
          <w:lang w:val="en-US" w:eastAsia="zh-CN"/>
        </w:rPr>
        <w:t>性)</w:t>
      </w:r>
    </w:p>
    <w:p w14:paraId="0B2EF0C5">
      <w:pPr>
        <w:pStyle w:val="25"/>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各种能源</w:t>
      </w:r>
      <w:r>
        <w:rPr>
          <w:rFonts w:hint="eastAsia" w:ascii="Times New Roman" w:cs="Times New Roman"/>
          <w:b/>
          <w:bCs/>
          <w:lang w:val="en-US" w:eastAsia="zh-CN"/>
        </w:rPr>
        <w:t>及工质</w:t>
      </w:r>
      <w:r>
        <w:rPr>
          <w:rFonts w:hint="default" w:ascii="Times New Roman" w:hAnsi="Times New Roman" w:cs="Times New Roman"/>
          <w:b/>
          <w:bCs/>
          <w:lang w:val="en-US" w:eastAsia="zh-CN"/>
        </w:rPr>
        <w:t>折算系数推荐值</w:t>
      </w:r>
    </w:p>
    <w:p w14:paraId="438A0400">
      <w:pPr>
        <w:pStyle w:val="163"/>
        <w:numPr>
          <w:ilvl w:val="0"/>
          <w:numId w:val="0"/>
        </w:numPr>
        <w:bidi w:val="0"/>
        <w:ind w:leftChars="0"/>
        <w:rPr>
          <w:rFonts w:hint="eastAsia"/>
          <w:lang w:val="en-US" w:eastAsia="zh-CN"/>
        </w:rPr>
      </w:pPr>
      <w:r>
        <w:rPr>
          <w:rFonts w:hint="eastAsia"/>
          <w:lang w:val="en-US" w:eastAsia="zh-CN"/>
        </w:rPr>
        <w:t>B.</w:t>
      </w:r>
      <w:r>
        <w:rPr>
          <w:rFonts w:hint="default"/>
        </w:rPr>
        <w:t>1</w:t>
      </w:r>
      <w:r>
        <w:rPr>
          <w:rFonts w:hint="eastAsia"/>
          <w:lang w:val="en-US" w:eastAsia="zh-CN"/>
        </w:rPr>
        <w:t xml:space="preserve"> 各种能源折算系数推荐值</w:t>
      </w:r>
    </w:p>
    <w:p w14:paraId="71320DB7">
      <w:pPr>
        <w:pStyle w:val="25"/>
        <w:rPr>
          <w:rFonts w:hint="default"/>
          <w:lang w:val="en-US" w:eastAsia="zh-CN"/>
        </w:rPr>
      </w:pPr>
      <w:r>
        <w:rPr>
          <w:rFonts w:hint="eastAsia" w:ascii="Times New Roman" w:cs="Times New Roman"/>
          <w:bCs/>
          <w:kern w:val="24"/>
          <w:sz w:val="21"/>
          <w:szCs w:val="21"/>
          <w:lang w:val="en-US" w:eastAsia="zh-CN"/>
        </w:rPr>
        <w:t>各种能源折算系数推荐值见表B.</w:t>
      </w:r>
      <w:r>
        <w:rPr>
          <w:rFonts w:hint="default" w:ascii="Times New Roman" w:hAnsi="Times New Roman" w:cs="Times New Roman"/>
          <w:bCs/>
          <w:kern w:val="24"/>
          <w:sz w:val="21"/>
          <w:szCs w:val="21"/>
        </w:rPr>
        <w:t>1</w:t>
      </w:r>
    </w:p>
    <w:p w14:paraId="2EB9ADB0">
      <w:pPr>
        <w:pStyle w:val="33"/>
        <w:widowControl/>
        <w:spacing w:before="156" w:beforeLines="50" w:after="156" w:afterLines="50"/>
        <w:jc w:val="center"/>
        <w:outlineLvl w:val="2"/>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表B.</w:t>
      </w:r>
      <w:r>
        <w:rPr>
          <w:rFonts w:hint="default" w:ascii="Times New Roman" w:hAnsi="Times New Roman" w:eastAsia="宋体" w:cs="Times New Roman"/>
          <w:b/>
          <w:bCs/>
          <w:sz w:val="21"/>
          <w:szCs w:val="21"/>
          <w:lang w:val="en-US" w:eastAsia="zh-CN"/>
        </w:rPr>
        <w:t>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各种能源折算系数推荐值</w:t>
      </w:r>
    </w:p>
    <w:tbl>
      <w:tblPr>
        <w:tblStyle w:val="3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3250"/>
        <w:gridCol w:w="3958"/>
      </w:tblGrid>
      <w:tr w14:paraId="55AFD7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27ACF5A8">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能源名称</w:t>
            </w:r>
          </w:p>
        </w:tc>
        <w:tc>
          <w:tcPr>
            <w:tcW w:w="1698" w:type="pct"/>
            <w:vAlign w:val="center"/>
          </w:tcPr>
          <w:p w14:paraId="057D7FD2">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国际单位制下的折算系数</w:t>
            </w:r>
          </w:p>
        </w:tc>
        <w:tc>
          <w:tcPr>
            <w:tcW w:w="2067" w:type="pct"/>
            <w:tcBorders>
              <w:right w:val="single" w:color="auto" w:sz="4" w:space="0"/>
            </w:tcBorders>
            <w:vAlign w:val="center"/>
          </w:tcPr>
          <w:p w14:paraId="453D41C9">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折标准煤系数</w:t>
            </w:r>
          </w:p>
        </w:tc>
      </w:tr>
      <w:tr w14:paraId="6821BD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5E83421F">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原煤</w:t>
            </w:r>
          </w:p>
        </w:tc>
        <w:tc>
          <w:tcPr>
            <w:tcW w:w="1698" w:type="pct"/>
            <w:vAlign w:val="center"/>
          </w:tcPr>
          <w:p w14:paraId="4DFD41F3">
            <w:pPr>
              <w:jc w:val="center"/>
              <w:rPr>
                <w:rFonts w:hint="default" w:ascii="Times New Roman" w:hAnsi="Times New Roman" w:cs="Times New Roman"/>
                <w:szCs w:val="21"/>
              </w:rPr>
            </w:pPr>
            <w:r>
              <w:rPr>
                <w:rFonts w:hint="default" w:ascii="Times New Roman" w:hAnsi="Times New Roman" w:cs="Times New Roman"/>
                <w:szCs w:val="21"/>
              </w:rPr>
              <w:t>20934 kJ/kg</w:t>
            </w:r>
          </w:p>
        </w:tc>
        <w:tc>
          <w:tcPr>
            <w:tcW w:w="2067" w:type="pct"/>
            <w:tcBorders>
              <w:right w:val="single" w:color="auto" w:sz="4" w:space="0"/>
            </w:tcBorders>
            <w:vAlign w:val="center"/>
          </w:tcPr>
          <w:p w14:paraId="1263AD60">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0.7143 kgce/kg</w:t>
            </w:r>
          </w:p>
        </w:tc>
      </w:tr>
      <w:tr w14:paraId="6657F3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00DFB393">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干洗精煤</w:t>
            </w:r>
          </w:p>
        </w:tc>
        <w:tc>
          <w:tcPr>
            <w:tcW w:w="1698" w:type="pct"/>
            <w:vAlign w:val="center"/>
          </w:tcPr>
          <w:p w14:paraId="0E1F5022">
            <w:pPr>
              <w:jc w:val="center"/>
              <w:rPr>
                <w:rFonts w:hint="default" w:ascii="Times New Roman" w:hAnsi="Times New Roman" w:cs="Times New Roman"/>
                <w:szCs w:val="21"/>
              </w:rPr>
            </w:pPr>
            <w:r>
              <w:rPr>
                <w:rFonts w:hint="default" w:ascii="Times New Roman" w:hAnsi="Times New Roman" w:cs="Times New Roman"/>
                <w:szCs w:val="21"/>
              </w:rPr>
              <w:t>29727 kJ/kg</w:t>
            </w:r>
          </w:p>
          <w:p w14:paraId="7330D67F">
            <w:pPr>
              <w:jc w:val="center"/>
              <w:rPr>
                <w:rFonts w:hint="default" w:ascii="Times New Roman" w:hAnsi="Times New Roman" w:cs="Times New Roman"/>
                <w:szCs w:val="21"/>
              </w:rPr>
            </w:pPr>
            <w:r>
              <w:rPr>
                <w:rFonts w:hint="default" w:ascii="Times New Roman" w:hAnsi="Times New Roman" w:cs="Times New Roman"/>
                <w:color w:val="000000"/>
                <w:szCs w:val="21"/>
              </w:rPr>
              <w:t>（灰分10%）</w:t>
            </w:r>
          </w:p>
        </w:tc>
        <w:tc>
          <w:tcPr>
            <w:tcW w:w="2067" w:type="pct"/>
            <w:tcBorders>
              <w:right w:val="single" w:color="auto" w:sz="4" w:space="0"/>
            </w:tcBorders>
            <w:vAlign w:val="center"/>
          </w:tcPr>
          <w:p w14:paraId="085108AC">
            <w:pPr>
              <w:pStyle w:val="33"/>
              <w:spacing w:before="0" w:beforeAutospacing="0" w:after="0" w:afterAutospacing="0" w:line="290" w:lineRule="atLeast"/>
              <w:jc w:val="center"/>
              <w:textAlignment w:val="baseline"/>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1.0143 kgce/kg</w:t>
            </w:r>
          </w:p>
          <w:p w14:paraId="5DB21169">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color w:val="000000"/>
                <w:sz w:val="21"/>
                <w:szCs w:val="21"/>
              </w:rPr>
              <w:t>（灰分10%）</w:t>
            </w:r>
          </w:p>
        </w:tc>
      </w:tr>
      <w:tr w14:paraId="2BD5FB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5F2D68C4">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无烟煤</w:t>
            </w:r>
          </w:p>
        </w:tc>
        <w:tc>
          <w:tcPr>
            <w:tcW w:w="1698" w:type="pct"/>
            <w:vAlign w:val="center"/>
          </w:tcPr>
          <w:p w14:paraId="61D2C9E4">
            <w:pPr>
              <w:jc w:val="center"/>
              <w:rPr>
                <w:rFonts w:hint="default" w:ascii="Times New Roman" w:hAnsi="Times New Roman" w:cs="Times New Roman"/>
                <w:szCs w:val="21"/>
              </w:rPr>
            </w:pPr>
            <w:r>
              <w:rPr>
                <w:rFonts w:hint="default" w:ascii="Times New Roman" w:hAnsi="Times New Roman" w:cs="Times New Roman"/>
                <w:szCs w:val="21"/>
              </w:rPr>
              <w:t>25120 kJ/kg</w:t>
            </w:r>
          </w:p>
        </w:tc>
        <w:tc>
          <w:tcPr>
            <w:tcW w:w="2067" w:type="pct"/>
            <w:tcBorders>
              <w:right w:val="single" w:color="auto" w:sz="4" w:space="0"/>
            </w:tcBorders>
            <w:vAlign w:val="center"/>
          </w:tcPr>
          <w:p w14:paraId="44A83584">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0.8571 kgce/kg</w:t>
            </w:r>
          </w:p>
        </w:tc>
      </w:tr>
      <w:tr w14:paraId="2341AA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1A6248E9">
            <w:pPr>
              <w:pStyle w:val="33"/>
              <w:spacing w:before="0" w:beforeAutospacing="0" w:after="0" w:afterAutospacing="0" w:line="145"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动力煤</w:t>
            </w:r>
          </w:p>
        </w:tc>
        <w:tc>
          <w:tcPr>
            <w:tcW w:w="1698" w:type="pct"/>
            <w:vAlign w:val="center"/>
          </w:tcPr>
          <w:p w14:paraId="41F66FB9">
            <w:pPr>
              <w:jc w:val="center"/>
              <w:rPr>
                <w:rFonts w:hint="default" w:ascii="Times New Roman" w:hAnsi="Times New Roman" w:cs="Times New Roman"/>
                <w:szCs w:val="21"/>
              </w:rPr>
            </w:pPr>
            <w:r>
              <w:rPr>
                <w:rFonts w:hint="default" w:ascii="Times New Roman" w:hAnsi="Times New Roman" w:cs="Times New Roman"/>
                <w:szCs w:val="21"/>
              </w:rPr>
              <w:t>20934 kJ/kg</w:t>
            </w:r>
          </w:p>
        </w:tc>
        <w:tc>
          <w:tcPr>
            <w:tcW w:w="2067" w:type="pct"/>
            <w:tcBorders>
              <w:right w:val="single" w:color="auto" w:sz="4" w:space="0"/>
            </w:tcBorders>
            <w:vAlign w:val="center"/>
          </w:tcPr>
          <w:p w14:paraId="10E12D9F">
            <w:pPr>
              <w:pStyle w:val="33"/>
              <w:spacing w:before="0" w:beforeAutospacing="0" w:after="0" w:afterAutospacing="0" w:line="145"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0.7143 kgce/kg</w:t>
            </w:r>
          </w:p>
        </w:tc>
      </w:tr>
      <w:tr w14:paraId="5BA34A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4AF40F42">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焦炭(干全焦)</w:t>
            </w:r>
          </w:p>
        </w:tc>
        <w:tc>
          <w:tcPr>
            <w:tcW w:w="1698" w:type="pct"/>
            <w:vAlign w:val="center"/>
          </w:tcPr>
          <w:p w14:paraId="4446CDC0">
            <w:pPr>
              <w:jc w:val="center"/>
              <w:rPr>
                <w:rFonts w:hint="default" w:ascii="Times New Roman" w:hAnsi="Times New Roman" w:cs="Times New Roman"/>
                <w:szCs w:val="21"/>
              </w:rPr>
            </w:pPr>
            <w:r>
              <w:rPr>
                <w:rFonts w:hint="default" w:ascii="Times New Roman" w:hAnsi="Times New Roman" w:cs="Times New Roman"/>
                <w:szCs w:val="21"/>
              </w:rPr>
              <w:t>28469 kJ/kg</w:t>
            </w:r>
          </w:p>
          <w:p w14:paraId="0BB9D6C9">
            <w:pPr>
              <w:jc w:val="center"/>
              <w:rPr>
                <w:rFonts w:hint="default" w:ascii="Times New Roman" w:hAnsi="Times New Roman" w:cs="Times New Roman"/>
                <w:szCs w:val="21"/>
              </w:rPr>
            </w:pPr>
            <w:r>
              <w:rPr>
                <w:rFonts w:hint="default" w:ascii="Times New Roman" w:hAnsi="Times New Roman" w:cs="Times New Roman"/>
                <w:color w:val="000000"/>
                <w:szCs w:val="21"/>
              </w:rPr>
              <w:t>（灰分13.5%）</w:t>
            </w:r>
          </w:p>
        </w:tc>
        <w:tc>
          <w:tcPr>
            <w:tcW w:w="2067" w:type="pct"/>
            <w:tcBorders>
              <w:right w:val="single" w:color="auto" w:sz="4" w:space="0"/>
            </w:tcBorders>
            <w:vAlign w:val="center"/>
          </w:tcPr>
          <w:p w14:paraId="0B9FF6D0">
            <w:pPr>
              <w:pStyle w:val="33"/>
              <w:spacing w:before="0" w:beforeAutospacing="0" w:after="0" w:afterAutospacing="0" w:line="290" w:lineRule="atLeast"/>
              <w:jc w:val="center"/>
              <w:textAlignment w:val="baseline"/>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0.9714 kgce/kg</w:t>
            </w:r>
          </w:p>
          <w:p w14:paraId="407043BD">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（灰分13.5%）</w:t>
            </w:r>
          </w:p>
        </w:tc>
      </w:tr>
      <w:tr w14:paraId="7C4B56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39849BB4">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 xml:space="preserve">焦粉 </w:t>
            </w:r>
          </w:p>
        </w:tc>
        <w:tc>
          <w:tcPr>
            <w:tcW w:w="1698" w:type="pct"/>
            <w:vAlign w:val="center"/>
          </w:tcPr>
          <w:p w14:paraId="246B6615">
            <w:pPr>
              <w:jc w:val="center"/>
              <w:rPr>
                <w:rFonts w:hint="default" w:ascii="Times New Roman" w:hAnsi="Times New Roman" w:cs="Times New Roman"/>
                <w:szCs w:val="21"/>
              </w:rPr>
            </w:pPr>
            <w:r>
              <w:rPr>
                <w:rFonts w:hint="default" w:ascii="Times New Roman" w:hAnsi="Times New Roman" w:cs="Times New Roman"/>
                <w:szCs w:val="21"/>
              </w:rPr>
              <w:t>28469 kJ/kg</w:t>
            </w:r>
          </w:p>
        </w:tc>
        <w:tc>
          <w:tcPr>
            <w:tcW w:w="2067" w:type="pct"/>
            <w:tcBorders>
              <w:right w:val="single" w:color="auto" w:sz="4" w:space="0"/>
            </w:tcBorders>
            <w:vAlign w:val="center"/>
          </w:tcPr>
          <w:p w14:paraId="29189667">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0.9714 kgce/kg</w:t>
            </w:r>
          </w:p>
        </w:tc>
      </w:tr>
      <w:tr w14:paraId="77F201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1079D2AE">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 xml:space="preserve">沥青 </w:t>
            </w:r>
          </w:p>
        </w:tc>
        <w:tc>
          <w:tcPr>
            <w:tcW w:w="1698" w:type="pct"/>
            <w:vAlign w:val="center"/>
          </w:tcPr>
          <w:p w14:paraId="032628BC">
            <w:pPr>
              <w:jc w:val="center"/>
              <w:rPr>
                <w:rFonts w:hint="default" w:ascii="Times New Roman" w:hAnsi="Times New Roman" w:cs="Times New Roman"/>
                <w:szCs w:val="21"/>
              </w:rPr>
            </w:pPr>
            <w:r>
              <w:rPr>
                <w:rFonts w:hint="default" w:ascii="Times New Roman" w:hAnsi="Times New Roman" w:cs="Times New Roman"/>
                <w:szCs w:val="21"/>
              </w:rPr>
              <w:t>39000 kJ/kg</w:t>
            </w:r>
          </w:p>
        </w:tc>
        <w:tc>
          <w:tcPr>
            <w:tcW w:w="2067" w:type="pct"/>
            <w:tcBorders>
              <w:right w:val="single" w:color="auto" w:sz="4" w:space="0"/>
            </w:tcBorders>
            <w:vAlign w:val="center"/>
          </w:tcPr>
          <w:p w14:paraId="07627820">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1.3307 kgce/kg</w:t>
            </w:r>
          </w:p>
        </w:tc>
      </w:tr>
      <w:tr w14:paraId="3B7604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055C6CA9">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燃料油</w:t>
            </w:r>
          </w:p>
        </w:tc>
        <w:tc>
          <w:tcPr>
            <w:tcW w:w="1698" w:type="pct"/>
            <w:vAlign w:val="center"/>
          </w:tcPr>
          <w:p w14:paraId="40A3754C">
            <w:pPr>
              <w:jc w:val="center"/>
              <w:rPr>
                <w:rFonts w:hint="default" w:ascii="Times New Roman" w:hAnsi="Times New Roman" w:cs="Times New Roman"/>
                <w:szCs w:val="21"/>
              </w:rPr>
            </w:pPr>
            <w:r>
              <w:rPr>
                <w:rFonts w:hint="default" w:ascii="Times New Roman" w:hAnsi="Times New Roman" w:cs="Times New Roman"/>
                <w:szCs w:val="21"/>
              </w:rPr>
              <w:t>41869 kJ/kg</w:t>
            </w:r>
          </w:p>
        </w:tc>
        <w:tc>
          <w:tcPr>
            <w:tcW w:w="2067" w:type="pct"/>
            <w:tcBorders>
              <w:right w:val="single" w:color="auto" w:sz="4" w:space="0"/>
            </w:tcBorders>
            <w:vAlign w:val="center"/>
          </w:tcPr>
          <w:p w14:paraId="08A625DB">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1.4286 kgce/kg</w:t>
            </w:r>
          </w:p>
        </w:tc>
      </w:tr>
      <w:tr w14:paraId="3C68DC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7C4B543E">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汽油</w:t>
            </w:r>
          </w:p>
        </w:tc>
        <w:tc>
          <w:tcPr>
            <w:tcW w:w="1698" w:type="pct"/>
            <w:vAlign w:val="center"/>
          </w:tcPr>
          <w:p w14:paraId="1C59155A">
            <w:pPr>
              <w:jc w:val="center"/>
              <w:rPr>
                <w:rFonts w:hint="default" w:ascii="Times New Roman" w:hAnsi="Times New Roman" w:cs="Times New Roman"/>
                <w:szCs w:val="21"/>
              </w:rPr>
            </w:pPr>
            <w:r>
              <w:rPr>
                <w:rFonts w:hint="default" w:ascii="Times New Roman" w:hAnsi="Times New Roman" w:cs="Times New Roman"/>
                <w:szCs w:val="21"/>
              </w:rPr>
              <w:t>43123 kJ/kg</w:t>
            </w:r>
          </w:p>
        </w:tc>
        <w:tc>
          <w:tcPr>
            <w:tcW w:w="2067" w:type="pct"/>
            <w:tcBorders>
              <w:right w:val="single" w:color="auto" w:sz="4" w:space="0"/>
            </w:tcBorders>
            <w:vAlign w:val="center"/>
          </w:tcPr>
          <w:p w14:paraId="57FF2D97">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1.4714 kgce/kg</w:t>
            </w:r>
          </w:p>
        </w:tc>
      </w:tr>
      <w:tr w14:paraId="54854F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00B51EC5">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 xml:space="preserve">煤油 </w:t>
            </w:r>
          </w:p>
        </w:tc>
        <w:tc>
          <w:tcPr>
            <w:tcW w:w="1698" w:type="pct"/>
            <w:vAlign w:val="center"/>
          </w:tcPr>
          <w:p w14:paraId="2D6C60D7">
            <w:pPr>
              <w:jc w:val="center"/>
              <w:rPr>
                <w:rFonts w:hint="default" w:ascii="Times New Roman" w:hAnsi="Times New Roman" w:cs="Times New Roman"/>
                <w:szCs w:val="21"/>
              </w:rPr>
            </w:pPr>
            <w:r>
              <w:rPr>
                <w:rFonts w:hint="default" w:ascii="Times New Roman" w:hAnsi="Times New Roman" w:cs="Times New Roman"/>
                <w:szCs w:val="21"/>
              </w:rPr>
              <w:t>43123 kJ/kg</w:t>
            </w:r>
          </w:p>
        </w:tc>
        <w:tc>
          <w:tcPr>
            <w:tcW w:w="2067" w:type="pct"/>
            <w:tcBorders>
              <w:right w:val="single" w:color="auto" w:sz="4" w:space="0"/>
            </w:tcBorders>
            <w:vAlign w:val="center"/>
          </w:tcPr>
          <w:p w14:paraId="78947E3D">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1.4714 kgce/kg</w:t>
            </w:r>
          </w:p>
        </w:tc>
      </w:tr>
      <w:tr w14:paraId="2DC2AC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6EFE5C0A">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柴油</w:t>
            </w:r>
          </w:p>
        </w:tc>
        <w:tc>
          <w:tcPr>
            <w:tcW w:w="1698" w:type="pct"/>
            <w:vAlign w:val="center"/>
          </w:tcPr>
          <w:p w14:paraId="2FDA289F">
            <w:pPr>
              <w:jc w:val="center"/>
              <w:rPr>
                <w:rFonts w:hint="default" w:ascii="Times New Roman" w:hAnsi="Times New Roman" w:cs="Times New Roman"/>
                <w:szCs w:val="21"/>
              </w:rPr>
            </w:pPr>
            <w:r>
              <w:rPr>
                <w:rFonts w:hint="default" w:ascii="Times New Roman" w:hAnsi="Times New Roman" w:cs="Times New Roman"/>
                <w:szCs w:val="21"/>
              </w:rPr>
              <w:t>42704 kJ/kg</w:t>
            </w:r>
          </w:p>
        </w:tc>
        <w:tc>
          <w:tcPr>
            <w:tcW w:w="2067" w:type="pct"/>
            <w:tcBorders>
              <w:right w:val="single" w:color="auto" w:sz="4" w:space="0"/>
            </w:tcBorders>
            <w:vAlign w:val="center"/>
          </w:tcPr>
          <w:p w14:paraId="4AABAD88">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1.4571 kgce/kg</w:t>
            </w:r>
          </w:p>
        </w:tc>
      </w:tr>
      <w:tr w14:paraId="350838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48F3888E">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 xml:space="preserve">液化石油气 </w:t>
            </w:r>
          </w:p>
        </w:tc>
        <w:tc>
          <w:tcPr>
            <w:tcW w:w="1698" w:type="pct"/>
            <w:vAlign w:val="center"/>
          </w:tcPr>
          <w:p w14:paraId="50B1E88E">
            <w:pPr>
              <w:jc w:val="center"/>
              <w:rPr>
                <w:rFonts w:hint="default" w:ascii="Times New Roman" w:hAnsi="Times New Roman" w:cs="Times New Roman"/>
                <w:szCs w:val="21"/>
              </w:rPr>
            </w:pPr>
            <w:r>
              <w:rPr>
                <w:rFonts w:hint="default" w:ascii="Times New Roman" w:hAnsi="Times New Roman" w:cs="Times New Roman"/>
                <w:szCs w:val="21"/>
              </w:rPr>
              <w:t>50242 kJ/kg</w:t>
            </w:r>
          </w:p>
        </w:tc>
        <w:tc>
          <w:tcPr>
            <w:tcW w:w="2067" w:type="pct"/>
            <w:tcBorders>
              <w:right w:val="single" w:color="auto" w:sz="4" w:space="0"/>
            </w:tcBorders>
            <w:vAlign w:val="center"/>
          </w:tcPr>
          <w:p w14:paraId="50BC7735">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1.7143 kgce/kg</w:t>
            </w:r>
          </w:p>
        </w:tc>
      </w:tr>
      <w:tr w14:paraId="635A3B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1D345796">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粗苯</w:t>
            </w:r>
          </w:p>
        </w:tc>
        <w:tc>
          <w:tcPr>
            <w:tcW w:w="1698" w:type="pct"/>
            <w:vAlign w:val="center"/>
          </w:tcPr>
          <w:p w14:paraId="0524B8C0">
            <w:pPr>
              <w:jc w:val="center"/>
              <w:rPr>
                <w:rFonts w:hint="default" w:ascii="Times New Roman" w:hAnsi="Times New Roman" w:cs="Times New Roman"/>
                <w:szCs w:val="21"/>
              </w:rPr>
            </w:pPr>
            <w:r>
              <w:rPr>
                <w:rFonts w:hint="default" w:ascii="Times New Roman" w:hAnsi="Times New Roman" w:cs="Times New Roman"/>
                <w:szCs w:val="21"/>
              </w:rPr>
              <w:t>41869 kJ/kg</w:t>
            </w:r>
          </w:p>
        </w:tc>
        <w:tc>
          <w:tcPr>
            <w:tcW w:w="2067" w:type="pct"/>
            <w:tcBorders>
              <w:right w:val="single" w:color="auto" w:sz="4" w:space="0"/>
            </w:tcBorders>
            <w:vAlign w:val="center"/>
          </w:tcPr>
          <w:p w14:paraId="2187C706">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1.4286 kgce/kg</w:t>
            </w:r>
          </w:p>
        </w:tc>
      </w:tr>
      <w:tr w14:paraId="3891C2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28D2BE48">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焦油</w:t>
            </w:r>
          </w:p>
        </w:tc>
        <w:tc>
          <w:tcPr>
            <w:tcW w:w="1698" w:type="pct"/>
            <w:vAlign w:val="center"/>
          </w:tcPr>
          <w:p w14:paraId="0CA6BD0F">
            <w:pPr>
              <w:jc w:val="center"/>
              <w:rPr>
                <w:rFonts w:hint="default" w:ascii="Times New Roman" w:hAnsi="Times New Roman" w:cs="Times New Roman"/>
                <w:szCs w:val="21"/>
              </w:rPr>
            </w:pPr>
            <w:r>
              <w:rPr>
                <w:rFonts w:hint="default" w:ascii="Times New Roman" w:hAnsi="Times New Roman" w:cs="Times New Roman"/>
                <w:szCs w:val="21"/>
              </w:rPr>
              <w:t>33496 kJ/kg</w:t>
            </w:r>
          </w:p>
        </w:tc>
        <w:tc>
          <w:tcPr>
            <w:tcW w:w="2067" w:type="pct"/>
            <w:tcBorders>
              <w:right w:val="single" w:color="auto" w:sz="4" w:space="0"/>
            </w:tcBorders>
            <w:vAlign w:val="center"/>
          </w:tcPr>
          <w:p w14:paraId="6CED0B4C">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1.1429 kgce/kg</w:t>
            </w:r>
          </w:p>
        </w:tc>
      </w:tr>
      <w:tr w14:paraId="22A202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6B713E19">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 xml:space="preserve">重油 </w:t>
            </w:r>
          </w:p>
        </w:tc>
        <w:tc>
          <w:tcPr>
            <w:tcW w:w="1698" w:type="pct"/>
            <w:vAlign w:val="center"/>
          </w:tcPr>
          <w:p w14:paraId="382BFBB4">
            <w:pPr>
              <w:jc w:val="center"/>
              <w:rPr>
                <w:rFonts w:hint="default" w:ascii="Times New Roman" w:hAnsi="Times New Roman" w:cs="Times New Roman"/>
                <w:szCs w:val="21"/>
              </w:rPr>
            </w:pPr>
            <w:r>
              <w:rPr>
                <w:rFonts w:hint="default" w:ascii="Times New Roman" w:hAnsi="Times New Roman" w:cs="Times New Roman"/>
                <w:szCs w:val="21"/>
              </w:rPr>
              <w:t>41869 kJ/kg</w:t>
            </w:r>
          </w:p>
        </w:tc>
        <w:tc>
          <w:tcPr>
            <w:tcW w:w="2067" w:type="pct"/>
            <w:tcBorders>
              <w:right w:val="single" w:color="auto" w:sz="4" w:space="0"/>
            </w:tcBorders>
            <w:vAlign w:val="center"/>
          </w:tcPr>
          <w:p w14:paraId="5FECA971">
            <w:pPr>
              <w:pStyle w:val="33"/>
              <w:spacing w:before="0" w:beforeAutospacing="0" w:after="0" w:afterAutospacing="0" w:line="290" w:lineRule="atLeast"/>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1.4286 kgce/kg</w:t>
            </w:r>
          </w:p>
        </w:tc>
      </w:tr>
      <w:tr w14:paraId="0BCB3B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4" w:type="pct"/>
            <w:tcBorders>
              <w:left w:val="single" w:color="auto" w:sz="4" w:space="0"/>
            </w:tcBorders>
            <w:vAlign w:val="center"/>
          </w:tcPr>
          <w:p w14:paraId="45B14A0E">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天然气</w:t>
            </w:r>
          </w:p>
        </w:tc>
        <w:tc>
          <w:tcPr>
            <w:tcW w:w="1698" w:type="pct"/>
            <w:vAlign w:val="center"/>
          </w:tcPr>
          <w:p w14:paraId="1CB6581D">
            <w:pPr>
              <w:jc w:val="center"/>
              <w:rPr>
                <w:rFonts w:hint="default" w:ascii="Times New Roman" w:hAnsi="Times New Roman" w:cs="Times New Roman"/>
                <w:szCs w:val="21"/>
              </w:rPr>
            </w:pPr>
            <w:r>
              <w:rPr>
                <w:rFonts w:hint="default" w:ascii="Times New Roman" w:hAnsi="Times New Roman" w:cs="Times New Roman"/>
                <w:szCs w:val="21"/>
              </w:rPr>
              <w:t>35588 kJ/m</w:t>
            </w:r>
            <w:r>
              <w:rPr>
                <w:rFonts w:hint="default" w:ascii="Times New Roman" w:hAnsi="Times New Roman" w:cs="Times New Roman"/>
                <w:szCs w:val="21"/>
                <w:vertAlign w:val="superscript"/>
              </w:rPr>
              <w:t>3</w:t>
            </w:r>
          </w:p>
        </w:tc>
        <w:tc>
          <w:tcPr>
            <w:tcW w:w="2067" w:type="pct"/>
            <w:tcBorders>
              <w:right w:val="single" w:color="auto" w:sz="4" w:space="0"/>
            </w:tcBorders>
            <w:vAlign w:val="center"/>
          </w:tcPr>
          <w:p w14:paraId="44FE606F">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1.2143 kgce/</w:t>
            </w:r>
            <w:r>
              <w:rPr>
                <w:rFonts w:hint="default" w:ascii="Times New Roman" w:hAnsi="Times New Roman" w:cs="Times New Roman"/>
                <w:sz w:val="21"/>
                <w:szCs w:val="21"/>
              </w:rPr>
              <w:t xml:space="preserve"> m</w:t>
            </w:r>
            <w:r>
              <w:rPr>
                <w:rFonts w:hint="default" w:ascii="Times New Roman" w:hAnsi="Times New Roman" w:cs="Times New Roman"/>
                <w:sz w:val="21"/>
                <w:szCs w:val="21"/>
                <w:vertAlign w:val="superscript"/>
              </w:rPr>
              <w:t>3</w:t>
            </w:r>
          </w:p>
        </w:tc>
      </w:tr>
      <w:tr w14:paraId="06601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5A86A476">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焦炉煤气</w:t>
            </w:r>
          </w:p>
        </w:tc>
        <w:tc>
          <w:tcPr>
            <w:tcW w:w="1698" w:type="pct"/>
            <w:vAlign w:val="center"/>
          </w:tcPr>
          <w:p w14:paraId="1B178323">
            <w:pPr>
              <w:jc w:val="center"/>
              <w:rPr>
                <w:rFonts w:hint="default" w:ascii="Times New Roman" w:hAnsi="Times New Roman" w:cs="Times New Roman"/>
                <w:szCs w:val="21"/>
              </w:rPr>
            </w:pPr>
            <w:r>
              <w:rPr>
                <w:rFonts w:hint="default" w:ascii="Times New Roman" w:hAnsi="Times New Roman" w:cs="Times New Roman"/>
                <w:szCs w:val="21"/>
              </w:rPr>
              <w:t>16746 kJ/m</w:t>
            </w:r>
            <w:r>
              <w:rPr>
                <w:rFonts w:hint="default" w:ascii="Times New Roman" w:hAnsi="Times New Roman" w:cs="Times New Roman"/>
                <w:szCs w:val="21"/>
                <w:vertAlign w:val="superscript"/>
              </w:rPr>
              <w:t>3</w:t>
            </w:r>
          </w:p>
        </w:tc>
        <w:tc>
          <w:tcPr>
            <w:tcW w:w="2067" w:type="pct"/>
            <w:tcBorders>
              <w:right w:val="single" w:color="auto" w:sz="4" w:space="0"/>
            </w:tcBorders>
            <w:vAlign w:val="center"/>
          </w:tcPr>
          <w:p w14:paraId="74BED0C5">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0.5714 kgce/</w:t>
            </w:r>
            <w:r>
              <w:rPr>
                <w:rFonts w:hint="default" w:ascii="Times New Roman" w:hAnsi="Times New Roman" w:cs="Times New Roman"/>
                <w:sz w:val="21"/>
                <w:szCs w:val="21"/>
              </w:rPr>
              <w:t xml:space="preserve"> m</w:t>
            </w:r>
            <w:r>
              <w:rPr>
                <w:rFonts w:hint="default" w:ascii="Times New Roman" w:hAnsi="Times New Roman" w:cs="Times New Roman"/>
                <w:sz w:val="21"/>
                <w:szCs w:val="21"/>
                <w:vertAlign w:val="superscript"/>
              </w:rPr>
              <w:t>3</w:t>
            </w:r>
          </w:p>
        </w:tc>
      </w:tr>
      <w:tr w14:paraId="7AE715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359EDB59">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高炉煤气</w:t>
            </w:r>
          </w:p>
        </w:tc>
        <w:tc>
          <w:tcPr>
            <w:tcW w:w="1698" w:type="pct"/>
            <w:vAlign w:val="center"/>
          </w:tcPr>
          <w:p w14:paraId="56991102">
            <w:pPr>
              <w:jc w:val="center"/>
              <w:rPr>
                <w:rFonts w:hint="default" w:ascii="Times New Roman" w:hAnsi="Times New Roman" w:cs="Times New Roman"/>
                <w:szCs w:val="21"/>
              </w:rPr>
            </w:pPr>
            <w:r>
              <w:rPr>
                <w:rFonts w:hint="default" w:ascii="Times New Roman" w:hAnsi="Times New Roman" w:cs="Times New Roman"/>
                <w:szCs w:val="21"/>
              </w:rPr>
              <w:t>3139 kJ/m</w:t>
            </w:r>
            <w:r>
              <w:rPr>
                <w:rFonts w:hint="default" w:ascii="Times New Roman" w:hAnsi="Times New Roman" w:cs="Times New Roman"/>
                <w:szCs w:val="21"/>
                <w:vertAlign w:val="superscript"/>
              </w:rPr>
              <w:t>3</w:t>
            </w:r>
          </w:p>
        </w:tc>
        <w:tc>
          <w:tcPr>
            <w:tcW w:w="2067" w:type="pct"/>
            <w:tcBorders>
              <w:right w:val="single" w:color="auto" w:sz="4" w:space="0"/>
            </w:tcBorders>
            <w:vAlign w:val="center"/>
          </w:tcPr>
          <w:p w14:paraId="3D3EB283">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0.1071 kgce/</w:t>
            </w:r>
            <w:r>
              <w:rPr>
                <w:rFonts w:hint="default" w:ascii="Times New Roman" w:hAnsi="Times New Roman" w:cs="Times New Roman"/>
                <w:sz w:val="21"/>
                <w:szCs w:val="21"/>
              </w:rPr>
              <w:t xml:space="preserve"> m</w:t>
            </w:r>
            <w:r>
              <w:rPr>
                <w:rFonts w:hint="default" w:ascii="Times New Roman" w:hAnsi="Times New Roman" w:cs="Times New Roman"/>
                <w:sz w:val="21"/>
                <w:szCs w:val="21"/>
                <w:vertAlign w:val="superscript"/>
              </w:rPr>
              <w:t>3</w:t>
            </w:r>
          </w:p>
        </w:tc>
      </w:tr>
      <w:tr w14:paraId="74B225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1EAB7FD3">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转炉煤气</w:t>
            </w:r>
          </w:p>
        </w:tc>
        <w:tc>
          <w:tcPr>
            <w:tcW w:w="1698" w:type="pct"/>
            <w:vAlign w:val="center"/>
          </w:tcPr>
          <w:p w14:paraId="37150D2D">
            <w:pPr>
              <w:jc w:val="center"/>
              <w:rPr>
                <w:rFonts w:hint="default" w:ascii="Times New Roman" w:hAnsi="Times New Roman" w:cs="Times New Roman"/>
                <w:szCs w:val="21"/>
              </w:rPr>
            </w:pPr>
            <w:r>
              <w:rPr>
                <w:rFonts w:hint="default" w:ascii="Times New Roman" w:hAnsi="Times New Roman" w:cs="Times New Roman"/>
                <w:szCs w:val="21"/>
              </w:rPr>
              <w:t>7327 kJ/m</w:t>
            </w:r>
            <w:r>
              <w:rPr>
                <w:rFonts w:hint="default" w:ascii="Times New Roman" w:hAnsi="Times New Roman" w:cs="Times New Roman"/>
                <w:szCs w:val="21"/>
                <w:vertAlign w:val="superscript"/>
              </w:rPr>
              <w:t>3</w:t>
            </w:r>
          </w:p>
        </w:tc>
        <w:tc>
          <w:tcPr>
            <w:tcW w:w="2067" w:type="pct"/>
            <w:tcBorders>
              <w:right w:val="single" w:color="auto" w:sz="4" w:space="0"/>
            </w:tcBorders>
            <w:vAlign w:val="center"/>
          </w:tcPr>
          <w:p w14:paraId="1D697A02">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0.2500 kgce/</w:t>
            </w:r>
            <w:r>
              <w:rPr>
                <w:rFonts w:hint="default" w:ascii="Times New Roman" w:hAnsi="Times New Roman" w:cs="Times New Roman"/>
                <w:sz w:val="21"/>
                <w:szCs w:val="21"/>
              </w:rPr>
              <w:t xml:space="preserve"> m</w:t>
            </w:r>
            <w:r>
              <w:rPr>
                <w:rFonts w:hint="default" w:ascii="Times New Roman" w:hAnsi="Times New Roman" w:cs="Times New Roman"/>
                <w:sz w:val="21"/>
                <w:szCs w:val="21"/>
                <w:vertAlign w:val="superscript"/>
              </w:rPr>
              <w:t>3</w:t>
            </w:r>
          </w:p>
        </w:tc>
      </w:tr>
      <w:tr w14:paraId="0E2B82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7C012780">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 xml:space="preserve">重油催化裂解气 </w:t>
            </w:r>
          </w:p>
        </w:tc>
        <w:tc>
          <w:tcPr>
            <w:tcW w:w="1698" w:type="pct"/>
            <w:vAlign w:val="center"/>
          </w:tcPr>
          <w:p w14:paraId="2EDF63A1">
            <w:pPr>
              <w:jc w:val="center"/>
              <w:rPr>
                <w:rFonts w:hint="default" w:ascii="Times New Roman" w:hAnsi="Times New Roman" w:cs="Times New Roman"/>
                <w:szCs w:val="21"/>
              </w:rPr>
            </w:pPr>
            <w:r>
              <w:rPr>
                <w:rFonts w:hint="default" w:ascii="Times New Roman" w:hAnsi="Times New Roman" w:cs="Times New Roman"/>
                <w:szCs w:val="21"/>
              </w:rPr>
              <w:t>3769 kJ/m</w:t>
            </w:r>
            <w:r>
              <w:rPr>
                <w:rFonts w:hint="default" w:ascii="Times New Roman" w:hAnsi="Times New Roman" w:cs="Times New Roman"/>
                <w:szCs w:val="21"/>
                <w:vertAlign w:val="superscript"/>
              </w:rPr>
              <w:t>3</w:t>
            </w:r>
          </w:p>
        </w:tc>
        <w:tc>
          <w:tcPr>
            <w:tcW w:w="2067" w:type="pct"/>
            <w:tcBorders>
              <w:right w:val="single" w:color="auto" w:sz="4" w:space="0"/>
            </w:tcBorders>
            <w:vAlign w:val="center"/>
          </w:tcPr>
          <w:p w14:paraId="3034A31F">
            <w:pPr>
              <w:pStyle w:val="33"/>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bCs/>
                <w:kern w:val="24"/>
                <w:sz w:val="21"/>
                <w:szCs w:val="21"/>
              </w:rPr>
              <w:t>0.1286 kgce/</w:t>
            </w:r>
            <w:r>
              <w:rPr>
                <w:rFonts w:hint="default" w:ascii="Times New Roman" w:hAnsi="Times New Roman" w:cs="Times New Roman"/>
                <w:sz w:val="21"/>
                <w:szCs w:val="21"/>
              </w:rPr>
              <w:t xml:space="preserve"> m</w:t>
            </w:r>
            <w:r>
              <w:rPr>
                <w:rFonts w:hint="default" w:ascii="Times New Roman" w:hAnsi="Times New Roman" w:cs="Times New Roman"/>
                <w:sz w:val="21"/>
                <w:szCs w:val="21"/>
                <w:vertAlign w:val="superscript"/>
              </w:rPr>
              <w:t>3</w:t>
            </w:r>
          </w:p>
        </w:tc>
      </w:tr>
      <w:tr w14:paraId="62ABEC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337AE0D2">
            <w:pPr>
              <w:spacing w:line="300" w:lineRule="exact"/>
              <w:jc w:val="center"/>
              <w:rPr>
                <w:rFonts w:hint="default" w:ascii="Times New Roman" w:hAnsi="Times New Roman" w:cs="Times New Roman"/>
                <w:szCs w:val="21"/>
              </w:rPr>
            </w:pPr>
            <w:r>
              <w:rPr>
                <w:rFonts w:hint="default" w:ascii="Times New Roman" w:hAnsi="Times New Roman" w:cs="Times New Roman"/>
                <w:szCs w:val="21"/>
              </w:rPr>
              <w:t>蒸汽（中压）</w:t>
            </w:r>
          </w:p>
        </w:tc>
        <w:tc>
          <w:tcPr>
            <w:tcW w:w="1698" w:type="pct"/>
            <w:vAlign w:val="center"/>
          </w:tcPr>
          <w:p w14:paraId="24087092">
            <w:pPr>
              <w:spacing w:line="300" w:lineRule="exact"/>
              <w:jc w:val="center"/>
              <w:rPr>
                <w:rFonts w:hint="default" w:ascii="Times New Roman" w:hAnsi="Times New Roman" w:cs="Times New Roman"/>
                <w:szCs w:val="21"/>
              </w:rPr>
            </w:pPr>
            <w:r>
              <w:rPr>
                <w:rFonts w:hint="default" w:ascii="Times New Roman" w:hAnsi="Times New Roman" w:cs="Times New Roman"/>
                <w:szCs w:val="21"/>
              </w:rPr>
              <w:t>3042 kJ/kg</w:t>
            </w:r>
          </w:p>
        </w:tc>
        <w:tc>
          <w:tcPr>
            <w:tcW w:w="2067" w:type="pct"/>
            <w:tcBorders>
              <w:right w:val="single" w:color="auto" w:sz="4" w:space="0"/>
            </w:tcBorders>
            <w:vAlign w:val="center"/>
          </w:tcPr>
          <w:p w14:paraId="101CC8CB">
            <w:pPr>
              <w:spacing w:line="300" w:lineRule="exact"/>
              <w:jc w:val="center"/>
              <w:rPr>
                <w:rFonts w:hint="default" w:ascii="Times New Roman" w:hAnsi="Times New Roman" w:cs="Times New Roman"/>
                <w:szCs w:val="21"/>
              </w:rPr>
            </w:pPr>
            <w:r>
              <w:rPr>
                <w:rFonts w:hint="default" w:ascii="Times New Roman" w:hAnsi="Times New Roman" w:cs="Times New Roman"/>
                <w:szCs w:val="21"/>
              </w:rPr>
              <w:t>0.1038 kgce/kg</w:t>
            </w:r>
          </w:p>
        </w:tc>
      </w:tr>
      <w:tr w14:paraId="59E88B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2457E042">
            <w:pPr>
              <w:spacing w:line="300" w:lineRule="exact"/>
              <w:jc w:val="center"/>
              <w:rPr>
                <w:rFonts w:hint="default" w:ascii="Times New Roman" w:hAnsi="Times New Roman" w:cs="Times New Roman"/>
                <w:szCs w:val="21"/>
              </w:rPr>
            </w:pPr>
            <w:r>
              <w:rPr>
                <w:rFonts w:hint="default" w:ascii="Times New Roman" w:hAnsi="Times New Roman" w:cs="Times New Roman"/>
                <w:szCs w:val="21"/>
              </w:rPr>
              <w:t>蒸汽（低压）</w:t>
            </w:r>
          </w:p>
        </w:tc>
        <w:tc>
          <w:tcPr>
            <w:tcW w:w="1698" w:type="pct"/>
            <w:vAlign w:val="center"/>
          </w:tcPr>
          <w:p w14:paraId="66DEC562">
            <w:pPr>
              <w:spacing w:line="300" w:lineRule="exact"/>
              <w:jc w:val="center"/>
              <w:rPr>
                <w:rFonts w:hint="default" w:ascii="Times New Roman" w:hAnsi="Times New Roman" w:cs="Times New Roman"/>
                <w:szCs w:val="21"/>
              </w:rPr>
            </w:pPr>
            <w:r>
              <w:rPr>
                <w:rFonts w:hint="default" w:ascii="Times New Roman" w:hAnsi="Times New Roman" w:cs="Times New Roman"/>
                <w:szCs w:val="21"/>
              </w:rPr>
              <w:t>2866 kJ/kg</w:t>
            </w:r>
          </w:p>
        </w:tc>
        <w:tc>
          <w:tcPr>
            <w:tcW w:w="2067" w:type="pct"/>
            <w:tcBorders>
              <w:right w:val="single" w:color="auto" w:sz="4" w:space="0"/>
            </w:tcBorders>
            <w:vAlign w:val="center"/>
          </w:tcPr>
          <w:p w14:paraId="2E470C3F">
            <w:pPr>
              <w:spacing w:line="300" w:lineRule="exact"/>
              <w:jc w:val="center"/>
              <w:rPr>
                <w:rFonts w:hint="default" w:ascii="Times New Roman" w:hAnsi="Times New Roman" w:cs="Times New Roman"/>
                <w:szCs w:val="21"/>
              </w:rPr>
            </w:pPr>
            <w:r>
              <w:rPr>
                <w:rFonts w:hint="default" w:ascii="Times New Roman" w:hAnsi="Times New Roman" w:cs="Times New Roman"/>
                <w:szCs w:val="21"/>
              </w:rPr>
              <w:t>0.0978 kgce/kg</w:t>
            </w:r>
          </w:p>
        </w:tc>
      </w:tr>
      <w:tr w14:paraId="500350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0571C6C1">
            <w:pPr>
              <w:pStyle w:val="14"/>
              <w:jc w:val="center"/>
              <w:rPr>
                <w:rFonts w:hint="default" w:ascii="Times New Roman" w:hAnsi="Times New Roman" w:cs="Times New Roman"/>
                <w:lang w:val="en-US" w:eastAsia="zh-CN"/>
              </w:rPr>
            </w:pPr>
            <w:r>
              <w:rPr>
                <w:rFonts w:hint="default" w:ascii="Times New Roman" w:hAnsi="Times New Roman" w:cs="Times New Roman"/>
                <w:bCs/>
                <w:kern w:val="24"/>
                <w:lang w:val="en-US" w:eastAsia="zh-CN"/>
              </w:rPr>
              <w:t>电力（当量）</w:t>
            </w:r>
          </w:p>
        </w:tc>
        <w:tc>
          <w:tcPr>
            <w:tcW w:w="1698" w:type="pct"/>
            <w:vAlign w:val="center"/>
          </w:tcPr>
          <w:p w14:paraId="65AD4ED8">
            <w:pPr>
              <w:jc w:val="center"/>
              <w:rPr>
                <w:rFonts w:hint="default" w:ascii="Times New Roman" w:hAnsi="Times New Roman" w:cs="Times New Roman"/>
                <w:szCs w:val="21"/>
              </w:rPr>
            </w:pPr>
            <w:r>
              <w:rPr>
                <w:rFonts w:hint="default" w:ascii="Times New Roman" w:hAnsi="Times New Roman" w:cs="Times New Roman"/>
                <w:szCs w:val="21"/>
              </w:rPr>
              <w:t>3602 kJ/(kW·h)</w:t>
            </w:r>
          </w:p>
        </w:tc>
        <w:tc>
          <w:tcPr>
            <w:tcW w:w="2067" w:type="pct"/>
            <w:tcBorders>
              <w:right w:val="single" w:color="auto" w:sz="4" w:space="0"/>
            </w:tcBorders>
            <w:vAlign w:val="center"/>
          </w:tcPr>
          <w:p w14:paraId="56BF8ABE">
            <w:pPr>
              <w:pStyle w:val="33"/>
              <w:spacing w:before="0" w:beforeAutospacing="0" w:after="0" w:afterAutospacing="0"/>
              <w:jc w:val="center"/>
              <w:textAlignment w:val="baseline"/>
              <w:rPr>
                <w:rFonts w:hint="default" w:ascii="Times New Roman" w:hAnsi="Times New Roman" w:cs="Times New Roman"/>
                <w:bCs/>
                <w:kern w:val="24"/>
                <w:sz w:val="21"/>
                <w:szCs w:val="21"/>
              </w:rPr>
            </w:pPr>
            <w:r>
              <w:rPr>
                <w:rFonts w:hint="default" w:ascii="Times New Roman" w:hAnsi="Times New Roman" w:cs="Times New Roman"/>
                <w:bCs/>
                <w:kern w:val="24"/>
                <w:sz w:val="21"/>
                <w:szCs w:val="21"/>
              </w:rPr>
              <w:t>0.1229 kgce/(kW·h)</w:t>
            </w:r>
          </w:p>
        </w:tc>
      </w:tr>
      <w:tr w14:paraId="4A4258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4" w:type="pct"/>
            <w:tcBorders>
              <w:left w:val="single" w:color="auto" w:sz="4" w:space="0"/>
            </w:tcBorders>
            <w:vAlign w:val="center"/>
          </w:tcPr>
          <w:p w14:paraId="26A022CD">
            <w:pPr>
              <w:pStyle w:val="14"/>
              <w:jc w:val="center"/>
              <w:rPr>
                <w:rFonts w:hint="default" w:ascii="Times New Roman" w:hAnsi="Times New Roman" w:cs="Times New Roman"/>
                <w:bCs/>
                <w:kern w:val="24"/>
                <w:lang w:val="en-US" w:eastAsia="zh-CN"/>
              </w:rPr>
            </w:pPr>
            <w:r>
              <w:rPr>
                <w:rFonts w:hint="eastAsia" w:ascii="Times New Roman" w:hAnsi="Times New Roman" w:cs="Times New Roman"/>
                <w:bCs/>
                <w:kern w:val="24"/>
                <w:highlight w:val="none"/>
                <w:lang w:val="en-US" w:eastAsia="zh-CN"/>
              </w:rPr>
              <w:t>生物质能</w:t>
            </w:r>
          </w:p>
        </w:tc>
        <w:tc>
          <w:tcPr>
            <w:tcW w:w="1698" w:type="pct"/>
            <w:vAlign w:val="center"/>
          </w:tcPr>
          <w:p w14:paraId="023A1B82">
            <w:pPr>
              <w:jc w:val="center"/>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2067" w:type="pct"/>
            <w:tcBorders>
              <w:right w:val="single" w:color="auto" w:sz="4" w:space="0"/>
            </w:tcBorders>
            <w:vAlign w:val="center"/>
          </w:tcPr>
          <w:p w14:paraId="40011976">
            <w:pPr>
              <w:pStyle w:val="33"/>
              <w:spacing w:before="0" w:beforeAutospacing="0" w:after="0" w:afterAutospacing="0"/>
              <w:jc w:val="center"/>
              <w:textAlignment w:val="baseline"/>
              <w:rPr>
                <w:rFonts w:hint="default" w:ascii="Times New Roman" w:hAnsi="Times New Roman" w:eastAsia="宋体" w:cs="Times New Roman"/>
                <w:bCs/>
                <w:kern w:val="24"/>
                <w:sz w:val="21"/>
                <w:szCs w:val="21"/>
                <w:lang w:val="en-US" w:eastAsia="zh-CN"/>
              </w:rPr>
            </w:pPr>
            <w:r>
              <w:rPr>
                <w:rFonts w:hint="eastAsia" w:cs="Times New Roman"/>
                <w:bCs/>
                <w:kern w:val="24"/>
                <w:sz w:val="21"/>
                <w:szCs w:val="21"/>
                <w:lang w:val="en-US" w:eastAsia="zh-CN"/>
              </w:rPr>
              <w:t>1kgce/kg</w:t>
            </w:r>
          </w:p>
        </w:tc>
      </w:tr>
      <w:tr w14:paraId="2B0D7C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000" w:type="pct"/>
            <w:gridSpan w:val="3"/>
            <w:tcBorders>
              <w:left w:val="single" w:color="auto" w:sz="4" w:space="0"/>
              <w:right w:val="single" w:color="auto" w:sz="4" w:space="0"/>
            </w:tcBorders>
            <w:vAlign w:val="center"/>
          </w:tcPr>
          <w:p w14:paraId="5A559690">
            <w:pPr>
              <w:widowControl/>
              <w:jc w:val="left"/>
              <w:rPr>
                <w:rFonts w:hint="default" w:ascii="Times New Roman" w:hAnsi="Times New Roman" w:cs="Times New Roman"/>
                <w:szCs w:val="21"/>
              </w:rPr>
            </w:pPr>
            <w:r>
              <w:rPr>
                <w:rFonts w:hint="default" w:ascii="Times New Roman" w:hAnsi="Times New Roman" w:cs="Times New Roman"/>
                <w:bCs/>
                <w:szCs w:val="21"/>
              </w:rPr>
              <w:t>注1：</w:t>
            </w:r>
            <w:r>
              <w:rPr>
                <w:rFonts w:hint="default" w:ascii="Times New Roman" w:hAnsi="Times New Roman" w:cs="Times New Roman"/>
                <w:szCs w:val="21"/>
              </w:rPr>
              <w:t>kgce与kJ的转换系数为29307.6，即1kgce=29307.6kJ</w:t>
            </w:r>
          </w:p>
          <w:p w14:paraId="6DD49D24">
            <w:pPr>
              <w:widowControl/>
              <w:jc w:val="left"/>
              <w:rPr>
                <w:rFonts w:hint="default" w:ascii="Times New Roman" w:hAnsi="Times New Roman" w:cs="Times New Roman"/>
                <w:bCs/>
                <w:kern w:val="24"/>
                <w:szCs w:val="21"/>
              </w:rPr>
            </w:pPr>
            <w:r>
              <w:rPr>
                <w:rFonts w:hint="default" w:ascii="Times New Roman" w:hAnsi="Times New Roman" w:cs="Times New Roman"/>
                <w:bCs/>
                <w:kern w:val="24"/>
                <w:szCs w:val="21"/>
              </w:rPr>
              <w:t>注2：洗精煤或焦炭灰分每增加1%，热值相应减少334kJ/kg</w:t>
            </w:r>
          </w:p>
        </w:tc>
      </w:tr>
    </w:tbl>
    <w:p w14:paraId="5B3A4CFF">
      <w:pPr>
        <w:pStyle w:val="127"/>
        <w:numPr>
          <w:ilvl w:val="0"/>
          <w:numId w:val="0"/>
        </w:numPr>
        <w:spacing w:before="312" w:after="312"/>
        <w:jc w:val="both"/>
        <w:rPr>
          <w:rFonts w:hint="eastAsia" w:ascii="Times New Roman" w:cs="Times New Roman"/>
          <w:bCs/>
          <w:kern w:val="24"/>
          <w:sz w:val="21"/>
          <w:szCs w:val="21"/>
          <w:lang w:val="en-US" w:eastAsia="zh-CN"/>
        </w:rPr>
      </w:pPr>
      <w:r>
        <w:rPr>
          <w:rFonts w:hint="eastAsia" w:ascii="Times New Roman" w:eastAsia="宋体" w:cs="Times New Roman"/>
          <w:color w:val="000000"/>
          <w:szCs w:val="21"/>
          <w:lang w:val="en-US" w:eastAsia="zh-CN"/>
        </w:rPr>
        <w:t>B</w:t>
      </w:r>
      <w:r>
        <w:rPr>
          <w:rFonts w:hint="eastAsia" w:ascii="Times New Roman" w:hAnsi="Times New Roman" w:eastAsia="宋体" w:cs="Times New Roman"/>
          <w:color w:val="000000"/>
          <w:szCs w:val="21"/>
          <w:lang w:val="en-US" w:eastAsia="zh-CN"/>
        </w:rPr>
        <w:t>.</w:t>
      </w:r>
      <w:r>
        <w:rPr>
          <w:rFonts w:hint="eastAsia" w:ascii="Times New Roman" w:hAnsi="Times New Roman" w:eastAsia="宋体" w:cs="Times New Roman"/>
          <w:bCs/>
          <w:kern w:val="24"/>
          <w:sz w:val="21"/>
          <w:szCs w:val="21"/>
          <w:lang w:val="en-US" w:eastAsia="zh-CN"/>
        </w:rPr>
        <w:t>2</w:t>
      </w:r>
      <w:r>
        <w:rPr>
          <w:rFonts w:hint="eastAsia" w:ascii="Times New Roman" w:cs="Times New Roman"/>
          <w:bCs/>
          <w:kern w:val="24"/>
          <w:sz w:val="21"/>
          <w:szCs w:val="21"/>
          <w:lang w:val="en-US" w:eastAsia="zh-CN"/>
        </w:rPr>
        <w:t xml:space="preserve"> 主要耗能工质折算系数推荐值</w:t>
      </w:r>
    </w:p>
    <w:p w14:paraId="6BA51980">
      <w:pPr>
        <w:pStyle w:val="25"/>
        <w:rPr>
          <w:rFonts w:hint="default" w:ascii="Times New Roman" w:hAnsi="Times New Roman" w:eastAsia="宋体" w:cs="Times New Roman"/>
          <w:bCs/>
          <w:kern w:val="24"/>
          <w:sz w:val="21"/>
          <w:szCs w:val="21"/>
          <w:lang w:val="en-US" w:eastAsia="zh-CN"/>
        </w:rPr>
      </w:pPr>
      <w:r>
        <w:rPr>
          <w:rFonts w:hint="eastAsia" w:ascii="Times New Roman" w:hAnsi="Times New Roman" w:eastAsia="宋体" w:cs="Times New Roman"/>
          <w:bCs/>
          <w:kern w:val="24"/>
          <w:sz w:val="21"/>
          <w:szCs w:val="21"/>
          <w:lang w:val="en-US" w:eastAsia="zh-CN"/>
        </w:rPr>
        <w:t>主要耗能工质折算系数推荐值见表B.2。</w:t>
      </w:r>
    </w:p>
    <w:p w14:paraId="04FA1952">
      <w:pPr>
        <w:pStyle w:val="33"/>
        <w:widowControl/>
        <w:spacing w:before="156" w:beforeLines="50" w:after="156" w:afterLines="50"/>
        <w:jc w:val="center"/>
        <w:outlineLvl w:val="2"/>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表B.2  </w:t>
      </w:r>
      <w:r>
        <w:rPr>
          <w:rFonts w:hint="default" w:ascii="Times New Roman" w:hAnsi="Times New Roman" w:eastAsia="宋体" w:cs="Times New Roman"/>
          <w:b/>
          <w:bCs/>
          <w:sz w:val="21"/>
          <w:szCs w:val="21"/>
          <w:lang w:val="en-US" w:eastAsia="zh-CN"/>
        </w:rPr>
        <w:t>主要耗能工质折算系数推荐值</w:t>
      </w:r>
    </w:p>
    <w:tbl>
      <w:tblPr>
        <w:tblStyle w:val="36"/>
        <w:tblW w:w="478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3198"/>
        <w:gridCol w:w="3632"/>
      </w:tblGrid>
      <w:tr w14:paraId="484519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73" w:type="pct"/>
            <w:vMerge w:val="restart"/>
            <w:tcBorders>
              <w:left w:val="single" w:color="auto" w:sz="4" w:space="0"/>
            </w:tcBorders>
            <w:vAlign w:val="center"/>
          </w:tcPr>
          <w:p w14:paraId="0D033A92">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耗能工质名称</w:t>
            </w:r>
          </w:p>
        </w:tc>
        <w:tc>
          <w:tcPr>
            <w:tcW w:w="3727" w:type="pct"/>
            <w:gridSpan w:val="2"/>
            <w:tcBorders>
              <w:right w:val="single" w:color="auto" w:sz="4" w:space="0"/>
            </w:tcBorders>
            <w:vAlign w:val="center"/>
          </w:tcPr>
          <w:p w14:paraId="04FAD166">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电力折算系数取当量值</w:t>
            </w:r>
          </w:p>
        </w:tc>
      </w:tr>
      <w:tr w14:paraId="34D83D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3" w:type="pct"/>
            <w:vMerge w:val="continue"/>
            <w:tcBorders>
              <w:left w:val="single" w:color="auto" w:sz="4" w:space="0"/>
            </w:tcBorders>
            <w:vAlign w:val="center"/>
          </w:tcPr>
          <w:p w14:paraId="4AFC070B">
            <w:pPr>
              <w:pStyle w:val="10"/>
              <w:ind w:firstLine="0"/>
              <w:jc w:val="center"/>
              <w:rPr>
                <w:rFonts w:hint="default" w:ascii="Times New Roman" w:hAnsi="Times New Roman" w:cs="Times New Roman"/>
                <w:b/>
                <w:bCs w:val="0"/>
                <w:color w:val="auto"/>
                <w:szCs w:val="21"/>
              </w:rPr>
            </w:pPr>
          </w:p>
        </w:tc>
        <w:tc>
          <w:tcPr>
            <w:tcW w:w="1745" w:type="pct"/>
            <w:vAlign w:val="center"/>
          </w:tcPr>
          <w:p w14:paraId="19F5D37D">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国际单位制下的</w:t>
            </w:r>
          </w:p>
          <w:p w14:paraId="25B84F60">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折算系数</w:t>
            </w:r>
          </w:p>
        </w:tc>
        <w:tc>
          <w:tcPr>
            <w:tcW w:w="1982" w:type="pct"/>
            <w:tcBorders>
              <w:right w:val="single" w:color="auto" w:sz="4" w:space="0"/>
            </w:tcBorders>
            <w:vAlign w:val="center"/>
          </w:tcPr>
          <w:p w14:paraId="1878B6D6">
            <w:pPr>
              <w:pStyle w:val="14"/>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折标准煤系数</w:t>
            </w:r>
          </w:p>
        </w:tc>
      </w:tr>
      <w:tr w14:paraId="2F8F06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51CC6822">
            <w:pPr>
              <w:spacing w:line="300" w:lineRule="exact"/>
              <w:jc w:val="center"/>
              <w:rPr>
                <w:rFonts w:hint="default" w:ascii="Times New Roman" w:hAnsi="Times New Roman" w:cs="Times New Roman"/>
                <w:szCs w:val="21"/>
              </w:rPr>
            </w:pPr>
            <w:r>
              <w:rPr>
                <w:rFonts w:hint="default" w:ascii="Times New Roman" w:hAnsi="Times New Roman" w:cs="Times New Roman"/>
                <w:szCs w:val="21"/>
              </w:rPr>
              <w:t>新水</w:t>
            </w:r>
          </w:p>
        </w:tc>
        <w:tc>
          <w:tcPr>
            <w:tcW w:w="1745" w:type="pct"/>
            <w:vAlign w:val="center"/>
          </w:tcPr>
          <w:p w14:paraId="05FA6B46">
            <w:pPr>
              <w:jc w:val="center"/>
              <w:rPr>
                <w:rFonts w:hint="default" w:ascii="Times New Roman" w:hAnsi="Times New Roman" w:cs="Times New Roman"/>
                <w:szCs w:val="21"/>
              </w:rPr>
            </w:pPr>
            <w:r>
              <w:rPr>
                <w:rFonts w:hint="default" w:ascii="Times New Roman" w:hAnsi="Times New Roman" w:cs="Times New Roman"/>
                <w:szCs w:val="21"/>
              </w:rPr>
              <w:t>1213 kJ/t</w:t>
            </w:r>
          </w:p>
        </w:tc>
        <w:tc>
          <w:tcPr>
            <w:tcW w:w="1982" w:type="pct"/>
            <w:tcBorders>
              <w:right w:val="single" w:color="auto" w:sz="4" w:space="0"/>
            </w:tcBorders>
            <w:vAlign w:val="center"/>
          </w:tcPr>
          <w:p w14:paraId="03E809F6">
            <w:pPr>
              <w:pStyle w:val="33"/>
              <w:spacing w:before="0" w:beforeAutospacing="0" w:after="0" w:afterAutospacing="0" w:line="320" w:lineRule="atLeast"/>
              <w:jc w:val="center"/>
              <w:textAlignment w:val="baseline"/>
              <w:rPr>
                <w:rFonts w:hint="default" w:ascii="Times New Roman" w:hAnsi="Times New Roman" w:cs="Times New Roman"/>
                <w:bCs/>
                <w:sz w:val="21"/>
                <w:szCs w:val="21"/>
              </w:rPr>
            </w:pPr>
            <w:r>
              <w:rPr>
                <w:rFonts w:hint="default" w:ascii="Times New Roman" w:hAnsi="Times New Roman" w:cs="Times New Roman"/>
                <w:bCs/>
                <w:sz w:val="21"/>
                <w:szCs w:val="21"/>
              </w:rPr>
              <w:t>0.0414 kgce/</w:t>
            </w:r>
            <w:r>
              <w:rPr>
                <w:rFonts w:hint="default" w:ascii="Times New Roman" w:hAnsi="Times New Roman" w:cs="Times New Roman"/>
                <w:sz w:val="21"/>
                <w:szCs w:val="21"/>
              </w:rPr>
              <w:t>t</w:t>
            </w:r>
          </w:p>
        </w:tc>
      </w:tr>
      <w:tr w14:paraId="171DF4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20342C49">
            <w:pPr>
              <w:spacing w:line="300" w:lineRule="exact"/>
              <w:jc w:val="center"/>
              <w:rPr>
                <w:rFonts w:hint="default" w:ascii="Times New Roman" w:hAnsi="Times New Roman" w:cs="Times New Roman"/>
                <w:szCs w:val="21"/>
              </w:rPr>
            </w:pPr>
            <w:r>
              <w:rPr>
                <w:rFonts w:hint="default" w:ascii="Times New Roman" w:hAnsi="Times New Roman" w:cs="Times New Roman"/>
                <w:szCs w:val="21"/>
              </w:rPr>
              <w:t>工业水</w:t>
            </w:r>
          </w:p>
        </w:tc>
        <w:tc>
          <w:tcPr>
            <w:tcW w:w="1745" w:type="pct"/>
            <w:vAlign w:val="center"/>
          </w:tcPr>
          <w:p w14:paraId="1B321562">
            <w:pPr>
              <w:jc w:val="center"/>
              <w:rPr>
                <w:rFonts w:hint="default" w:ascii="Times New Roman" w:hAnsi="Times New Roman" w:cs="Times New Roman"/>
                <w:szCs w:val="21"/>
              </w:rPr>
            </w:pPr>
            <w:r>
              <w:rPr>
                <w:rFonts w:hint="default" w:ascii="Times New Roman" w:hAnsi="Times New Roman" w:cs="Times New Roman"/>
                <w:szCs w:val="21"/>
              </w:rPr>
              <w:t>1392 kJ/t</w:t>
            </w:r>
          </w:p>
        </w:tc>
        <w:tc>
          <w:tcPr>
            <w:tcW w:w="1982" w:type="pct"/>
            <w:tcBorders>
              <w:right w:val="single" w:color="auto" w:sz="4" w:space="0"/>
            </w:tcBorders>
            <w:vAlign w:val="center"/>
          </w:tcPr>
          <w:p w14:paraId="0506B016">
            <w:pPr>
              <w:pStyle w:val="10"/>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0.0475 kgce/t</w:t>
            </w:r>
          </w:p>
        </w:tc>
      </w:tr>
      <w:tr w14:paraId="6B1A5E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09DBAFE4">
            <w:pPr>
              <w:spacing w:line="300" w:lineRule="exact"/>
              <w:jc w:val="center"/>
              <w:rPr>
                <w:rFonts w:hint="default" w:ascii="Times New Roman" w:hAnsi="Times New Roman" w:cs="Times New Roman"/>
                <w:szCs w:val="21"/>
              </w:rPr>
            </w:pPr>
            <w:r>
              <w:rPr>
                <w:rFonts w:hint="default" w:ascii="Times New Roman" w:hAnsi="Times New Roman" w:cs="Times New Roman"/>
                <w:szCs w:val="21"/>
              </w:rPr>
              <w:t>软水</w:t>
            </w:r>
          </w:p>
        </w:tc>
        <w:tc>
          <w:tcPr>
            <w:tcW w:w="1745" w:type="pct"/>
            <w:vAlign w:val="center"/>
          </w:tcPr>
          <w:p w14:paraId="29DF381C">
            <w:pPr>
              <w:jc w:val="center"/>
              <w:rPr>
                <w:rFonts w:hint="default" w:ascii="Times New Roman" w:hAnsi="Times New Roman" w:cs="Times New Roman"/>
                <w:szCs w:val="21"/>
              </w:rPr>
            </w:pPr>
            <w:r>
              <w:rPr>
                <w:rFonts w:hint="default" w:ascii="Times New Roman" w:hAnsi="Times New Roman" w:cs="Times New Roman"/>
                <w:szCs w:val="21"/>
              </w:rPr>
              <w:t>5539 kJ/t</w:t>
            </w:r>
          </w:p>
        </w:tc>
        <w:tc>
          <w:tcPr>
            <w:tcW w:w="1982" w:type="pct"/>
            <w:tcBorders>
              <w:right w:val="single" w:color="auto" w:sz="4" w:space="0"/>
            </w:tcBorders>
            <w:vAlign w:val="center"/>
          </w:tcPr>
          <w:p w14:paraId="57645AA9">
            <w:pPr>
              <w:pStyle w:val="10"/>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0.1890 kgce/t</w:t>
            </w:r>
          </w:p>
        </w:tc>
      </w:tr>
      <w:tr w14:paraId="78D2AF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6D3B0CE0">
            <w:pPr>
              <w:spacing w:line="300" w:lineRule="exact"/>
              <w:jc w:val="center"/>
              <w:rPr>
                <w:rFonts w:hint="default" w:ascii="Times New Roman" w:hAnsi="Times New Roman" w:cs="Times New Roman"/>
                <w:szCs w:val="21"/>
              </w:rPr>
            </w:pPr>
            <w:r>
              <w:rPr>
                <w:rFonts w:hint="default" w:ascii="Times New Roman" w:hAnsi="Times New Roman" w:cs="Times New Roman"/>
                <w:szCs w:val="21"/>
              </w:rPr>
              <w:t>压缩空气</w:t>
            </w:r>
          </w:p>
        </w:tc>
        <w:tc>
          <w:tcPr>
            <w:tcW w:w="1745" w:type="pct"/>
            <w:vAlign w:val="center"/>
          </w:tcPr>
          <w:p w14:paraId="76344EE7">
            <w:pPr>
              <w:jc w:val="center"/>
              <w:rPr>
                <w:rFonts w:hint="default" w:ascii="Times New Roman" w:hAnsi="Times New Roman" w:cs="Times New Roman"/>
                <w:szCs w:val="21"/>
              </w:rPr>
            </w:pPr>
            <w:r>
              <w:rPr>
                <w:rFonts w:hint="default" w:ascii="Times New Roman" w:hAnsi="Times New Roman" w:cs="Times New Roman"/>
                <w:szCs w:val="21"/>
              </w:rPr>
              <w:t>445 kJ/</w:t>
            </w: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1982" w:type="pct"/>
            <w:tcBorders>
              <w:right w:val="single" w:color="auto" w:sz="4" w:space="0"/>
            </w:tcBorders>
            <w:vAlign w:val="center"/>
          </w:tcPr>
          <w:p w14:paraId="30639CB5">
            <w:pPr>
              <w:pStyle w:val="10"/>
              <w:ind w:firstLine="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0.0152 kgce/m</w:t>
            </w:r>
            <w:r>
              <w:rPr>
                <w:rFonts w:hint="default" w:ascii="Times New Roman" w:hAnsi="Times New Roman" w:cs="Times New Roman"/>
                <w:bCs/>
                <w:color w:val="auto"/>
                <w:sz w:val="21"/>
                <w:szCs w:val="21"/>
                <w:vertAlign w:val="superscript"/>
              </w:rPr>
              <w:t>3</w:t>
            </w:r>
          </w:p>
        </w:tc>
      </w:tr>
      <w:tr w14:paraId="3341FD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41A8EF27">
            <w:pPr>
              <w:spacing w:line="300" w:lineRule="exact"/>
              <w:jc w:val="center"/>
              <w:rPr>
                <w:rFonts w:hint="default" w:ascii="Times New Roman" w:hAnsi="Times New Roman" w:cs="Times New Roman"/>
                <w:szCs w:val="21"/>
              </w:rPr>
            </w:pPr>
            <w:r>
              <w:rPr>
                <w:rFonts w:hint="default" w:ascii="Times New Roman" w:hAnsi="Times New Roman" w:cs="Times New Roman"/>
                <w:szCs w:val="21"/>
              </w:rPr>
              <w:t>氧气</w:t>
            </w:r>
          </w:p>
        </w:tc>
        <w:tc>
          <w:tcPr>
            <w:tcW w:w="1745" w:type="pct"/>
            <w:vAlign w:val="center"/>
          </w:tcPr>
          <w:p w14:paraId="0C72517A">
            <w:pPr>
              <w:jc w:val="center"/>
              <w:rPr>
                <w:rFonts w:hint="default" w:ascii="Times New Roman" w:hAnsi="Times New Roman" w:cs="Times New Roman"/>
                <w:szCs w:val="21"/>
              </w:rPr>
            </w:pPr>
            <w:r>
              <w:rPr>
                <w:rFonts w:hint="default" w:ascii="Times New Roman" w:hAnsi="Times New Roman" w:cs="Times New Roman"/>
                <w:szCs w:val="21"/>
              </w:rPr>
              <w:t>2350 kJ/</w:t>
            </w: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1982" w:type="pct"/>
            <w:tcBorders>
              <w:right w:val="single" w:color="auto" w:sz="4" w:space="0"/>
            </w:tcBorders>
            <w:vAlign w:val="center"/>
          </w:tcPr>
          <w:p w14:paraId="4CEEE1DB">
            <w:pPr>
              <w:pStyle w:val="10"/>
              <w:ind w:firstLine="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0.0802 kgce/m</w:t>
            </w:r>
            <w:r>
              <w:rPr>
                <w:rFonts w:hint="default" w:ascii="Times New Roman" w:hAnsi="Times New Roman" w:cs="Times New Roman"/>
                <w:bCs/>
                <w:color w:val="auto"/>
                <w:sz w:val="21"/>
                <w:szCs w:val="21"/>
                <w:vertAlign w:val="superscript"/>
              </w:rPr>
              <w:t>3</w:t>
            </w:r>
          </w:p>
        </w:tc>
      </w:tr>
      <w:tr w14:paraId="5F619F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7D8B642A">
            <w:pPr>
              <w:spacing w:line="300" w:lineRule="exact"/>
              <w:jc w:val="center"/>
              <w:rPr>
                <w:rFonts w:hint="default" w:ascii="Times New Roman" w:hAnsi="Times New Roman" w:cs="Times New Roman"/>
                <w:szCs w:val="21"/>
              </w:rPr>
            </w:pPr>
            <w:r>
              <w:rPr>
                <w:rFonts w:hint="default" w:ascii="Times New Roman" w:hAnsi="Times New Roman" w:cs="Times New Roman"/>
                <w:szCs w:val="21"/>
              </w:rPr>
              <w:t>氮气</w:t>
            </w:r>
          </w:p>
        </w:tc>
        <w:tc>
          <w:tcPr>
            <w:tcW w:w="1745" w:type="pct"/>
            <w:vAlign w:val="center"/>
          </w:tcPr>
          <w:p w14:paraId="008087EC">
            <w:pPr>
              <w:jc w:val="center"/>
              <w:rPr>
                <w:rFonts w:hint="default" w:ascii="Times New Roman" w:hAnsi="Times New Roman" w:cs="Times New Roman"/>
                <w:szCs w:val="21"/>
              </w:rPr>
            </w:pPr>
            <w:r>
              <w:rPr>
                <w:rFonts w:hint="default" w:ascii="Times New Roman" w:hAnsi="Times New Roman" w:cs="Times New Roman"/>
                <w:szCs w:val="21"/>
              </w:rPr>
              <w:t>495 kJ/</w:t>
            </w: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1982" w:type="pct"/>
            <w:tcBorders>
              <w:right w:val="single" w:color="auto" w:sz="4" w:space="0"/>
            </w:tcBorders>
            <w:vAlign w:val="center"/>
          </w:tcPr>
          <w:p w14:paraId="054813BD">
            <w:pPr>
              <w:pStyle w:val="10"/>
              <w:ind w:firstLine="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0.0169 kgce/m</w:t>
            </w:r>
            <w:r>
              <w:rPr>
                <w:rFonts w:hint="default" w:ascii="Times New Roman" w:hAnsi="Times New Roman" w:cs="Times New Roman"/>
                <w:bCs/>
                <w:color w:val="auto"/>
                <w:sz w:val="21"/>
                <w:szCs w:val="21"/>
                <w:vertAlign w:val="superscript"/>
              </w:rPr>
              <w:t>3</w:t>
            </w:r>
          </w:p>
        </w:tc>
      </w:tr>
      <w:tr w14:paraId="5CD0C3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452F2881">
            <w:pPr>
              <w:spacing w:line="300" w:lineRule="exact"/>
              <w:jc w:val="center"/>
              <w:rPr>
                <w:rFonts w:hint="default" w:ascii="Times New Roman" w:hAnsi="Times New Roman" w:cs="Times New Roman"/>
                <w:szCs w:val="21"/>
              </w:rPr>
            </w:pPr>
            <w:r>
              <w:rPr>
                <w:rFonts w:hint="default" w:ascii="Times New Roman" w:hAnsi="Times New Roman" w:cs="Times New Roman"/>
                <w:szCs w:val="21"/>
              </w:rPr>
              <w:t>氩气</w:t>
            </w:r>
          </w:p>
        </w:tc>
        <w:tc>
          <w:tcPr>
            <w:tcW w:w="1745" w:type="pct"/>
            <w:vAlign w:val="center"/>
          </w:tcPr>
          <w:p w14:paraId="55A3AD4B">
            <w:pPr>
              <w:jc w:val="center"/>
              <w:rPr>
                <w:rFonts w:hint="default" w:ascii="Times New Roman" w:hAnsi="Times New Roman" w:cs="Times New Roman"/>
                <w:szCs w:val="21"/>
              </w:rPr>
            </w:pPr>
            <w:r>
              <w:rPr>
                <w:rFonts w:hint="default" w:ascii="Times New Roman" w:hAnsi="Times New Roman" w:cs="Times New Roman"/>
                <w:szCs w:val="21"/>
              </w:rPr>
              <w:t>26002 kJ/</w:t>
            </w: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1982" w:type="pct"/>
            <w:tcBorders>
              <w:right w:val="single" w:color="auto" w:sz="4" w:space="0"/>
            </w:tcBorders>
            <w:vAlign w:val="center"/>
          </w:tcPr>
          <w:p w14:paraId="17A37539">
            <w:pPr>
              <w:pStyle w:val="33"/>
              <w:spacing w:before="0" w:beforeAutospacing="0" w:after="0" w:afterAutospacing="0" w:line="320" w:lineRule="atLeast"/>
              <w:jc w:val="center"/>
              <w:textAlignment w:val="baseline"/>
              <w:rPr>
                <w:rFonts w:hint="default" w:ascii="Times New Roman" w:hAnsi="Times New Roman" w:cs="Times New Roman"/>
                <w:sz w:val="21"/>
                <w:szCs w:val="21"/>
              </w:rPr>
            </w:pPr>
            <w:r>
              <w:rPr>
                <w:rFonts w:hint="default" w:ascii="Times New Roman" w:hAnsi="Times New Roman" w:eastAsia="仿宋_GB2312" w:cs="Times New Roman"/>
                <w:bCs/>
                <w:kern w:val="24"/>
                <w:sz w:val="21"/>
                <w:szCs w:val="21"/>
              </w:rPr>
              <w:t xml:space="preserve">0.8872 </w:t>
            </w:r>
            <w:r>
              <w:rPr>
                <w:rFonts w:hint="default" w:ascii="Times New Roman" w:hAnsi="Times New Roman" w:cs="Times New Roman"/>
                <w:bCs/>
                <w:sz w:val="21"/>
                <w:szCs w:val="21"/>
              </w:rPr>
              <w:t>kgce/m</w:t>
            </w:r>
            <w:r>
              <w:rPr>
                <w:rFonts w:hint="default" w:ascii="Times New Roman" w:hAnsi="Times New Roman" w:cs="Times New Roman"/>
                <w:bCs/>
                <w:sz w:val="21"/>
                <w:szCs w:val="21"/>
                <w:vertAlign w:val="superscript"/>
              </w:rPr>
              <w:t>3</w:t>
            </w:r>
          </w:p>
        </w:tc>
      </w:tr>
      <w:tr w14:paraId="4E989E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095CAFB9">
            <w:pPr>
              <w:spacing w:line="300" w:lineRule="exact"/>
              <w:jc w:val="center"/>
              <w:rPr>
                <w:rFonts w:hint="default" w:ascii="Times New Roman" w:hAnsi="Times New Roman" w:cs="Times New Roman"/>
                <w:szCs w:val="21"/>
              </w:rPr>
            </w:pPr>
            <w:r>
              <w:rPr>
                <w:rFonts w:hint="default" w:ascii="Times New Roman" w:hAnsi="Times New Roman" w:cs="Times New Roman"/>
                <w:szCs w:val="21"/>
              </w:rPr>
              <w:t>氢气</w:t>
            </w:r>
          </w:p>
        </w:tc>
        <w:tc>
          <w:tcPr>
            <w:tcW w:w="1745" w:type="pct"/>
            <w:vAlign w:val="center"/>
          </w:tcPr>
          <w:p w14:paraId="7E3C1FC8">
            <w:pPr>
              <w:jc w:val="center"/>
              <w:rPr>
                <w:rFonts w:hint="default" w:ascii="Times New Roman" w:hAnsi="Times New Roman" w:cs="Times New Roman"/>
                <w:szCs w:val="21"/>
              </w:rPr>
            </w:pPr>
            <w:r>
              <w:rPr>
                <w:rFonts w:hint="default" w:ascii="Times New Roman" w:hAnsi="Times New Roman" w:cs="Times New Roman"/>
                <w:szCs w:val="21"/>
              </w:rPr>
              <w:t>10299 kJ/</w:t>
            </w: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1982" w:type="pct"/>
            <w:tcBorders>
              <w:right w:val="single" w:color="auto" w:sz="4" w:space="0"/>
            </w:tcBorders>
            <w:vAlign w:val="center"/>
          </w:tcPr>
          <w:p w14:paraId="130F4C9C">
            <w:pPr>
              <w:pStyle w:val="33"/>
              <w:spacing w:before="0" w:beforeAutospacing="0" w:after="0" w:afterAutospacing="0" w:line="320" w:lineRule="atLeast"/>
              <w:jc w:val="center"/>
              <w:textAlignment w:val="baseline"/>
              <w:rPr>
                <w:rFonts w:hint="default" w:ascii="Times New Roman" w:hAnsi="Times New Roman" w:cs="Times New Roman"/>
                <w:sz w:val="21"/>
                <w:szCs w:val="21"/>
              </w:rPr>
            </w:pPr>
            <w:r>
              <w:rPr>
                <w:rFonts w:hint="default" w:ascii="Times New Roman" w:hAnsi="Times New Roman" w:eastAsia="仿宋_GB2312" w:cs="Times New Roman"/>
                <w:bCs/>
                <w:kern w:val="24"/>
                <w:sz w:val="21"/>
                <w:szCs w:val="21"/>
              </w:rPr>
              <w:t xml:space="preserve">0.3514 </w:t>
            </w:r>
            <w:r>
              <w:rPr>
                <w:rFonts w:hint="default" w:ascii="Times New Roman" w:hAnsi="Times New Roman" w:cs="Times New Roman"/>
                <w:bCs/>
                <w:sz w:val="21"/>
                <w:szCs w:val="21"/>
              </w:rPr>
              <w:t>kgce/m</w:t>
            </w:r>
            <w:r>
              <w:rPr>
                <w:rFonts w:hint="default" w:ascii="Times New Roman" w:hAnsi="Times New Roman" w:cs="Times New Roman"/>
                <w:bCs/>
                <w:sz w:val="21"/>
                <w:szCs w:val="21"/>
                <w:vertAlign w:val="superscript"/>
              </w:rPr>
              <w:t>3</w:t>
            </w:r>
          </w:p>
        </w:tc>
      </w:tr>
      <w:tr w14:paraId="009C6C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3" w:type="pct"/>
            <w:tcBorders>
              <w:left w:val="single" w:color="auto" w:sz="4" w:space="0"/>
            </w:tcBorders>
            <w:vAlign w:val="center"/>
          </w:tcPr>
          <w:p w14:paraId="2EA163D2">
            <w:pPr>
              <w:spacing w:line="300" w:lineRule="exact"/>
              <w:jc w:val="center"/>
              <w:rPr>
                <w:rFonts w:hint="default" w:ascii="Times New Roman" w:hAnsi="Times New Roman" w:cs="Times New Roman"/>
                <w:szCs w:val="21"/>
              </w:rPr>
            </w:pPr>
            <w:r>
              <w:rPr>
                <w:rFonts w:hint="default" w:ascii="Times New Roman" w:hAnsi="Times New Roman" w:cs="Times New Roman"/>
                <w:szCs w:val="21"/>
              </w:rPr>
              <w:t>鼓风</w:t>
            </w:r>
          </w:p>
        </w:tc>
        <w:tc>
          <w:tcPr>
            <w:tcW w:w="1745" w:type="pct"/>
            <w:vAlign w:val="center"/>
          </w:tcPr>
          <w:p w14:paraId="60B94D1A">
            <w:pPr>
              <w:jc w:val="center"/>
              <w:rPr>
                <w:rFonts w:hint="default" w:ascii="Times New Roman" w:hAnsi="Times New Roman" w:cs="Times New Roman"/>
                <w:szCs w:val="21"/>
              </w:rPr>
            </w:pPr>
            <w:r>
              <w:rPr>
                <w:rFonts w:hint="default" w:ascii="Times New Roman" w:hAnsi="Times New Roman" w:cs="Times New Roman"/>
                <w:szCs w:val="21"/>
              </w:rPr>
              <w:t>258 kJ/</w:t>
            </w: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1982" w:type="pct"/>
            <w:tcBorders>
              <w:right w:val="single" w:color="auto" w:sz="4" w:space="0"/>
            </w:tcBorders>
            <w:vAlign w:val="center"/>
          </w:tcPr>
          <w:p w14:paraId="6A768328">
            <w:pPr>
              <w:pStyle w:val="33"/>
              <w:spacing w:before="0" w:beforeAutospacing="0" w:after="0" w:afterAutospacing="0" w:line="320" w:lineRule="atLeast"/>
              <w:jc w:val="center"/>
              <w:textAlignment w:val="baseline"/>
              <w:rPr>
                <w:rFonts w:hint="default" w:ascii="Times New Roman" w:hAnsi="Times New Roman" w:cs="Times New Roman"/>
                <w:sz w:val="21"/>
                <w:szCs w:val="21"/>
              </w:rPr>
            </w:pPr>
            <w:r>
              <w:rPr>
                <w:rFonts w:hint="default" w:ascii="Times New Roman" w:hAnsi="Times New Roman" w:eastAsia="仿宋_GB2312" w:cs="Times New Roman"/>
                <w:bCs/>
                <w:kern w:val="24"/>
                <w:sz w:val="21"/>
                <w:szCs w:val="21"/>
              </w:rPr>
              <w:t xml:space="preserve">0.0088 </w:t>
            </w:r>
            <w:r>
              <w:rPr>
                <w:rFonts w:hint="default" w:ascii="Times New Roman" w:hAnsi="Times New Roman" w:cs="Times New Roman"/>
                <w:bCs/>
                <w:sz w:val="21"/>
                <w:szCs w:val="21"/>
              </w:rPr>
              <w:t>kgce/m</w:t>
            </w:r>
            <w:r>
              <w:rPr>
                <w:rFonts w:hint="default" w:ascii="Times New Roman" w:hAnsi="Times New Roman" w:cs="Times New Roman"/>
                <w:bCs/>
                <w:sz w:val="21"/>
                <w:szCs w:val="21"/>
                <w:vertAlign w:val="superscript"/>
              </w:rPr>
              <w:t>3</w:t>
            </w:r>
          </w:p>
        </w:tc>
      </w:tr>
      <w:tr w14:paraId="24A6F3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3"/>
            <w:tcBorders>
              <w:left w:val="single" w:color="auto" w:sz="4" w:space="0"/>
              <w:right w:val="single" w:color="auto" w:sz="4" w:space="0"/>
            </w:tcBorders>
            <w:vAlign w:val="center"/>
          </w:tcPr>
          <w:p w14:paraId="63E03DA0">
            <w:pPr>
              <w:widowControl/>
              <w:jc w:val="left"/>
              <w:rPr>
                <w:rFonts w:hint="default" w:ascii="Times New Roman" w:hAnsi="Times New Roman" w:eastAsia="仿宋_GB2312" w:cs="Times New Roman"/>
                <w:bCs/>
                <w:kern w:val="24"/>
                <w:szCs w:val="21"/>
              </w:rPr>
            </w:pPr>
            <w:r>
              <w:rPr>
                <w:rFonts w:hint="default" w:ascii="Times New Roman" w:hAnsi="Times New Roman" w:cs="Times New Roman"/>
                <w:bCs/>
                <w:szCs w:val="21"/>
              </w:rPr>
              <w:t>注：</w:t>
            </w:r>
            <w:r>
              <w:rPr>
                <w:rFonts w:hint="default" w:ascii="Times New Roman" w:hAnsi="Times New Roman" w:cs="Times New Roman"/>
                <w:szCs w:val="21"/>
              </w:rPr>
              <w:t>kgce与kJ的转换系数为29307.6，即1kgce=29307.6kJ</w:t>
            </w:r>
          </w:p>
        </w:tc>
      </w:tr>
    </w:tbl>
    <w:p w14:paraId="4128108C">
      <w:pPr>
        <w:pStyle w:val="33"/>
        <w:widowControl/>
        <w:spacing w:before="156" w:beforeLines="50" w:after="156" w:afterLines="50"/>
        <w:ind w:firstLine="420" w:firstLineChars="200"/>
        <w:jc w:val="left"/>
        <w:outlineLvl w:val="2"/>
        <w:rPr>
          <w:rFonts w:hint="default"/>
          <w:sz w:val="21"/>
          <w:szCs w:val="21"/>
          <w:lang w:val="en-US" w:eastAsia="zh-CN"/>
        </w:rPr>
      </w:pPr>
    </w:p>
    <w:p w14:paraId="4FDF5774">
      <w:pPr>
        <w:pStyle w:val="164"/>
        <w:numPr>
          <w:ilvl w:val="1"/>
          <w:numId w:val="0"/>
        </w:numPr>
        <w:bidi w:val="0"/>
        <w:ind w:leftChars="0"/>
        <w:jc w:val="center"/>
        <w:rPr>
          <w:rFonts w:hint="default"/>
          <w:lang w:val="en-US" w:eastAsia="zh-CN"/>
        </w:rPr>
      </w:pP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1887855</wp:posOffset>
                </wp:positionH>
                <wp:positionV relativeFrom="paragraph">
                  <wp:posOffset>3378835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48.65pt;margin-top:266.05pt;height:0pt;width:151.5pt;z-index:251660288;mso-width-relative:page;mso-height-relative:page;" filled="f" stroked="t" coordsize="21600,21600" o:gfxdata="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lo5G2AAAAAsBAAAPAAAAAAAA&#10;AAEAIAAAACIAAABkcnMvZG93bnJldi54bWxQSwECFAAUAAAACACHTuJAs4mv/NkBAADAAwAADgAA&#10;AAAAAAABACAAAAAnAQAAZHJzL2Uyb0RvYy54bWxQSwUGAAAAAAYABgBZAQAAcgU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FA80B">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1E13">
    <w:pPr>
      <w:pStyle w:val="6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1ED18">
                          <w:pPr>
                            <w:pStyle w:val="68"/>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14:paraId="5A31ED18">
                    <w:pPr>
                      <w:pStyle w:val="6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777954"/>
    </w:sdtPr>
    <w:sdtContent>
      <w:p w14:paraId="1C617162">
        <w:pPr>
          <w:pStyle w:val="19"/>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D78">
    <w:pPr>
      <w:pStyle w:val="20"/>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4DCC">
    <w:pPr>
      <w:pStyle w:val="65"/>
      <w:spacing w:before="120" w:after="120"/>
      <w:rPr>
        <w:rFonts w:hint="eastAsia" w:eastAsia="黑体"/>
        <w:color w:val="000000"/>
        <w:lang w:eastAsia="zh-CN"/>
      </w:rPr>
    </w:pPr>
    <w:r>
      <w:t>T/SSEA XXXX-</w:t>
    </w:r>
    <w:r>
      <w:rPr>
        <w:rFonts w:hint="eastAsia"/>
        <w:color w:val="000000"/>
      </w:rPr>
      <w:t>202</w:t>
    </w:r>
    <w:r>
      <w:rPr>
        <w:rFonts w:hint="eastAsia"/>
        <w:color w:val="000000"/>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8F86">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200E5"/>
    <w:multiLevelType w:val="multilevel"/>
    <w:tmpl w:val="F00200E5"/>
    <w:lvl w:ilvl="0" w:tentative="0">
      <w:start w:val="1"/>
      <w:numFmt w:val="decimal"/>
      <w:pStyle w:val="163"/>
      <w:suff w:val="nothing"/>
      <w:lvlText w:val="A.%1　"/>
      <w:lvlJc w:val="left"/>
      <w:pPr>
        <w:tabs>
          <w:tab w:val="left" w:pos="0"/>
        </w:tabs>
        <w:ind w:left="0" w:firstLine="0"/>
      </w:pPr>
      <w:rPr>
        <w:rFonts w:hint="default"/>
      </w:rPr>
    </w:lvl>
    <w:lvl w:ilvl="1" w:tentative="0">
      <w:start w:val="1"/>
      <w:numFmt w:val="decimal"/>
      <w:pStyle w:val="164"/>
      <w:suff w:val="nothing"/>
      <w:lvlText w:val="A.%1.%2　"/>
      <w:lvlJc w:val="left"/>
      <w:pPr>
        <w:tabs>
          <w:tab w:val="left" w:pos="0"/>
        </w:tabs>
        <w:ind w:left="0" w:firstLine="0"/>
      </w:pPr>
      <w:rPr>
        <w:rFonts w:hint="default" w:ascii="黑体" w:eastAsia="黑体"/>
        <w:b w:val="0"/>
        <w:i w:val="0"/>
        <w:sz w:val="21"/>
      </w:rPr>
    </w:lvl>
    <w:lvl w:ilvl="2" w:tentative="0">
      <w:start w:val="1"/>
      <w:numFmt w:val="decimal"/>
      <w:pStyle w:val="165"/>
      <w:suff w:val="nothing"/>
      <w:lvlText w:val="A.%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6"/>
      <w:suff w:val="nothing"/>
      <w:lvlText w:val="A.%1%2.%3.%4　"/>
      <w:lvlJc w:val="left"/>
      <w:pPr>
        <w:ind w:left="0" w:firstLine="0"/>
      </w:pPr>
      <w:rPr>
        <w:rFonts w:hint="default" w:ascii="黑体" w:eastAsia="黑体"/>
        <w:b w:val="0"/>
        <w:i w:val="0"/>
        <w:sz w:val="21"/>
      </w:rPr>
    </w:lvl>
    <w:lvl w:ilvl="4" w:tentative="0">
      <w:start w:val="1"/>
      <w:numFmt w:val="decimal"/>
      <w:pStyle w:val="167"/>
      <w:suff w:val="nothing"/>
      <w:lvlText w:val="A.%1%2.%3.%4.%5　"/>
      <w:lvlJc w:val="left"/>
      <w:pPr>
        <w:ind w:left="0" w:firstLine="0"/>
      </w:pPr>
      <w:rPr>
        <w:rFonts w:hint="default" w:ascii="黑体" w:eastAsia="黑体"/>
        <w:b w:val="0"/>
        <w:i w:val="0"/>
        <w:sz w:val="21"/>
      </w:rPr>
    </w:lvl>
    <w:lvl w:ilvl="5" w:tentative="0">
      <w:start w:val="1"/>
      <w:numFmt w:val="decimal"/>
      <w:pStyle w:val="168"/>
      <w:suff w:val="nothing"/>
      <w:lvlText w:val="C.%1%2.%3.%4.%5.%6　"/>
      <w:lvlJc w:val="left"/>
      <w:pPr>
        <w:ind w:left="0" w:firstLine="0"/>
      </w:pPr>
      <w:rPr>
        <w:rFonts w:hint="default" w:ascii="黑体" w:eastAsia="黑体"/>
        <w:b w:val="0"/>
        <w:i w:val="0"/>
        <w:sz w:val="21"/>
      </w:rPr>
    </w:lvl>
    <w:lvl w:ilvl="6" w:tentative="0">
      <w:start w:val="1"/>
      <w:numFmt w:val="decimal"/>
      <w:pStyle w:val="16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9102AD"/>
    <w:multiLevelType w:val="multilevel"/>
    <w:tmpl w:val="079102AD"/>
    <w:lvl w:ilvl="0" w:tentative="0">
      <w:start w:val="1"/>
      <w:numFmt w:val="decimal"/>
      <w:pStyle w:val="15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4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tentative="0">
      <w:start w:val="1"/>
      <w:numFmt w:val="upperLetter"/>
      <w:pStyle w:val="129"/>
      <w:suff w:val="space"/>
      <w:lvlText w:val="%1"/>
      <w:lvlJc w:val="left"/>
      <w:pPr>
        <w:ind w:left="623" w:hanging="425"/>
      </w:pPr>
      <w:rPr>
        <w:rFonts w:hint="eastAsia"/>
      </w:rPr>
    </w:lvl>
    <w:lvl w:ilvl="1" w:tentative="0">
      <w:start w:val="1"/>
      <w:numFmt w:val="decimal"/>
      <w:pStyle w:val="1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7"/>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3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3"/>
      <w:lvlText w:val="%2)"/>
      <w:lvlJc w:val="left"/>
      <w:pPr>
        <w:tabs>
          <w:tab w:val="left" w:pos="1260"/>
        </w:tabs>
        <w:ind w:left="1259" w:hanging="419"/>
      </w:pPr>
      <w:rPr>
        <w:rFonts w:hint="eastAsia"/>
      </w:rPr>
    </w:lvl>
    <w:lvl w:ilvl="2" w:tentative="0">
      <w:start w:val="1"/>
      <w:numFmt w:val="decimal"/>
      <w:pStyle w:val="11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9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F4BEEEC"/>
    <w:multiLevelType w:val="multilevel"/>
    <w:tmpl w:val="5F4BEEEC"/>
    <w:lvl w:ilvl="0" w:tentative="0">
      <w:start w:val="1"/>
      <w:numFmt w:val="decimal"/>
      <w:pStyle w:val="55"/>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7"/>
      <w:suff w:val="nothing"/>
      <w:lvlText w:val="%1.%2　"/>
      <w:lvlJc w:val="left"/>
      <w:pPr>
        <w:ind w:left="5953"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9"/>
      <w:suff w:val="nothing"/>
      <w:lvlText w:val="%1.%2.%3　"/>
      <w:lvlJc w:val="left"/>
      <w:pPr>
        <w:ind w:left="567" w:firstLine="0"/>
      </w:pPr>
      <w:rPr>
        <w:rFonts w:hint="default" w:ascii="Times New Roman" w:hAnsi="Times New Roman" w:eastAsia="黑体" w:cs="Times New Roman"/>
        <w:b w:val="0"/>
        <w:i w:val="0"/>
        <w:sz w:val="21"/>
        <w:szCs w:val="21"/>
        <w:highlight w:val="none"/>
      </w:rPr>
    </w:lvl>
    <w:lvl w:ilvl="3" w:tentative="0">
      <w:start w:val="1"/>
      <w:numFmt w:val="decimal"/>
      <w:pStyle w:val="81"/>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10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75"/>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11"/>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2"/>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b w:val="0"/>
        <w:i w:val="0"/>
        <w:sz w:val="21"/>
      </w:rPr>
    </w:lvl>
    <w:lvl w:ilvl="1" w:tentative="0">
      <w:start w:val="1"/>
      <w:numFmt w:val="decimal"/>
      <w:pStyle w:val="14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4"/>
  </w:num>
  <w:num w:numId="3">
    <w:abstractNumId w:val="12"/>
  </w:num>
  <w:num w:numId="4">
    <w:abstractNumId w:val="2"/>
  </w:num>
  <w:num w:numId="5">
    <w:abstractNumId w:val="7"/>
  </w:num>
  <w:num w:numId="6">
    <w:abstractNumId w:val="13"/>
  </w:num>
  <w:num w:numId="7">
    <w:abstractNumId w:val="15"/>
  </w:num>
  <w:num w:numId="8">
    <w:abstractNumId w:val="10"/>
  </w:num>
  <w:num w:numId="9">
    <w:abstractNumId w:val="11"/>
  </w:num>
  <w:num w:numId="10">
    <w:abstractNumId w:val="9"/>
  </w:num>
  <w:num w:numId="11">
    <w:abstractNumId w:val="14"/>
  </w:num>
  <w:num w:numId="12">
    <w:abstractNumId w:val="17"/>
  </w:num>
  <w:num w:numId="13">
    <w:abstractNumId w:val="16"/>
  </w:num>
  <w:num w:numId="14">
    <w:abstractNumId w:val="6"/>
  </w:num>
  <w:num w:numId="15">
    <w:abstractNumId w:val="3"/>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GJiZTY3ZDA1YTE3MjE0NWYzZmUwOGY3M2RiNDUifQ=="/>
  </w:docVars>
  <w:rsids>
    <w:rsidRoot w:val="00172A27"/>
    <w:rsid w:val="00000244"/>
    <w:rsid w:val="0000185F"/>
    <w:rsid w:val="0000377A"/>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41127"/>
    <w:rsid w:val="00042078"/>
    <w:rsid w:val="00045C9B"/>
    <w:rsid w:val="000466F7"/>
    <w:rsid w:val="00055534"/>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3EC7"/>
    <w:rsid w:val="000F030C"/>
    <w:rsid w:val="000F04B4"/>
    <w:rsid w:val="000F129C"/>
    <w:rsid w:val="001056DE"/>
    <w:rsid w:val="00107602"/>
    <w:rsid w:val="00111863"/>
    <w:rsid w:val="001124C0"/>
    <w:rsid w:val="0012026D"/>
    <w:rsid w:val="00125647"/>
    <w:rsid w:val="001278EF"/>
    <w:rsid w:val="0013175F"/>
    <w:rsid w:val="001512B4"/>
    <w:rsid w:val="00152179"/>
    <w:rsid w:val="00156D41"/>
    <w:rsid w:val="0016056B"/>
    <w:rsid w:val="001620A5"/>
    <w:rsid w:val="00164E53"/>
    <w:rsid w:val="0016699D"/>
    <w:rsid w:val="0016789C"/>
    <w:rsid w:val="00167AF6"/>
    <w:rsid w:val="001701E9"/>
    <w:rsid w:val="00170F6D"/>
    <w:rsid w:val="0017259F"/>
    <w:rsid w:val="00172A27"/>
    <w:rsid w:val="00175159"/>
    <w:rsid w:val="00176208"/>
    <w:rsid w:val="0018211B"/>
    <w:rsid w:val="00182D67"/>
    <w:rsid w:val="001830E2"/>
    <w:rsid w:val="001840D3"/>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59EA"/>
    <w:rsid w:val="001D406C"/>
    <w:rsid w:val="001D41EE"/>
    <w:rsid w:val="001E0380"/>
    <w:rsid w:val="001E13B1"/>
    <w:rsid w:val="001E55B7"/>
    <w:rsid w:val="001E69DB"/>
    <w:rsid w:val="001F22E7"/>
    <w:rsid w:val="001F3A19"/>
    <w:rsid w:val="00210BFB"/>
    <w:rsid w:val="002120CE"/>
    <w:rsid w:val="0021521D"/>
    <w:rsid w:val="0022046A"/>
    <w:rsid w:val="00220F92"/>
    <w:rsid w:val="00231142"/>
    <w:rsid w:val="00231970"/>
    <w:rsid w:val="002332A1"/>
    <w:rsid w:val="0023428E"/>
    <w:rsid w:val="00234467"/>
    <w:rsid w:val="00237D8D"/>
    <w:rsid w:val="00240FE6"/>
    <w:rsid w:val="00241DA2"/>
    <w:rsid w:val="00245B95"/>
    <w:rsid w:val="00247FEE"/>
    <w:rsid w:val="00250E7D"/>
    <w:rsid w:val="002565D5"/>
    <w:rsid w:val="00257449"/>
    <w:rsid w:val="00257C39"/>
    <w:rsid w:val="002622C0"/>
    <w:rsid w:val="00262D2E"/>
    <w:rsid w:val="002665C3"/>
    <w:rsid w:val="00276B08"/>
    <w:rsid w:val="002778AE"/>
    <w:rsid w:val="00281919"/>
    <w:rsid w:val="002824CB"/>
    <w:rsid w:val="0028269A"/>
    <w:rsid w:val="00283590"/>
    <w:rsid w:val="00286973"/>
    <w:rsid w:val="002904AF"/>
    <w:rsid w:val="00290F60"/>
    <w:rsid w:val="00292E83"/>
    <w:rsid w:val="00294E70"/>
    <w:rsid w:val="00295B84"/>
    <w:rsid w:val="00296FB8"/>
    <w:rsid w:val="0029702A"/>
    <w:rsid w:val="002A06B3"/>
    <w:rsid w:val="002A1924"/>
    <w:rsid w:val="002A7420"/>
    <w:rsid w:val="002B0F12"/>
    <w:rsid w:val="002B1308"/>
    <w:rsid w:val="002B4554"/>
    <w:rsid w:val="002C2696"/>
    <w:rsid w:val="002C42FF"/>
    <w:rsid w:val="002C72D8"/>
    <w:rsid w:val="002D11FA"/>
    <w:rsid w:val="002D47DF"/>
    <w:rsid w:val="002D6AF5"/>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5926"/>
    <w:rsid w:val="00327A8A"/>
    <w:rsid w:val="003316E6"/>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F39D9"/>
    <w:rsid w:val="003F4EE0"/>
    <w:rsid w:val="004009E5"/>
    <w:rsid w:val="00400C28"/>
    <w:rsid w:val="00402153"/>
    <w:rsid w:val="00402FC1"/>
    <w:rsid w:val="0040593D"/>
    <w:rsid w:val="004134DD"/>
    <w:rsid w:val="00413E75"/>
    <w:rsid w:val="00415CE8"/>
    <w:rsid w:val="004166CD"/>
    <w:rsid w:val="0041793A"/>
    <w:rsid w:val="00423779"/>
    <w:rsid w:val="004239C2"/>
    <w:rsid w:val="00423DBC"/>
    <w:rsid w:val="00425082"/>
    <w:rsid w:val="00431DEB"/>
    <w:rsid w:val="00446B29"/>
    <w:rsid w:val="004500A5"/>
    <w:rsid w:val="00453F9A"/>
    <w:rsid w:val="0045659F"/>
    <w:rsid w:val="00462311"/>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DE4"/>
    <w:rsid w:val="004C292F"/>
    <w:rsid w:val="004C52B4"/>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26C90"/>
    <w:rsid w:val="00534C02"/>
    <w:rsid w:val="00534D29"/>
    <w:rsid w:val="00534EC9"/>
    <w:rsid w:val="0053668C"/>
    <w:rsid w:val="0054264B"/>
    <w:rsid w:val="00543786"/>
    <w:rsid w:val="00550AC2"/>
    <w:rsid w:val="005521BC"/>
    <w:rsid w:val="005533D7"/>
    <w:rsid w:val="005703DE"/>
    <w:rsid w:val="00575169"/>
    <w:rsid w:val="005828EB"/>
    <w:rsid w:val="0058464E"/>
    <w:rsid w:val="00587FD0"/>
    <w:rsid w:val="00592C13"/>
    <w:rsid w:val="0059333D"/>
    <w:rsid w:val="00594AEB"/>
    <w:rsid w:val="005A01CB"/>
    <w:rsid w:val="005A58FF"/>
    <w:rsid w:val="005A5EAF"/>
    <w:rsid w:val="005A64C0"/>
    <w:rsid w:val="005B0682"/>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105"/>
    <w:rsid w:val="005E6661"/>
    <w:rsid w:val="005E71F4"/>
    <w:rsid w:val="005F1913"/>
    <w:rsid w:val="005F2504"/>
    <w:rsid w:val="005F350E"/>
    <w:rsid w:val="005F7EFC"/>
    <w:rsid w:val="00603CAD"/>
    <w:rsid w:val="0061716C"/>
    <w:rsid w:val="006243A1"/>
    <w:rsid w:val="0062500E"/>
    <w:rsid w:val="0063099E"/>
    <w:rsid w:val="0063111E"/>
    <w:rsid w:val="00632E56"/>
    <w:rsid w:val="00635CBA"/>
    <w:rsid w:val="006409FF"/>
    <w:rsid w:val="00641A9B"/>
    <w:rsid w:val="00641C62"/>
    <w:rsid w:val="006423A6"/>
    <w:rsid w:val="0064338B"/>
    <w:rsid w:val="00646542"/>
    <w:rsid w:val="00646A44"/>
    <w:rsid w:val="00646A5E"/>
    <w:rsid w:val="006471BF"/>
    <w:rsid w:val="006504F4"/>
    <w:rsid w:val="00651D37"/>
    <w:rsid w:val="00652A8E"/>
    <w:rsid w:val="00652D81"/>
    <w:rsid w:val="00654BC9"/>
    <w:rsid w:val="006552FD"/>
    <w:rsid w:val="006554A5"/>
    <w:rsid w:val="00663AF3"/>
    <w:rsid w:val="00666B6C"/>
    <w:rsid w:val="006721D1"/>
    <w:rsid w:val="00676D9C"/>
    <w:rsid w:val="0067773B"/>
    <w:rsid w:val="00682682"/>
    <w:rsid w:val="00682702"/>
    <w:rsid w:val="006862EB"/>
    <w:rsid w:val="00692368"/>
    <w:rsid w:val="00692D89"/>
    <w:rsid w:val="006A2EBC"/>
    <w:rsid w:val="006A5EA0"/>
    <w:rsid w:val="006A70C5"/>
    <w:rsid w:val="006A783B"/>
    <w:rsid w:val="006A7AEB"/>
    <w:rsid w:val="006A7B33"/>
    <w:rsid w:val="006B0009"/>
    <w:rsid w:val="006B4E13"/>
    <w:rsid w:val="006B75DD"/>
    <w:rsid w:val="006C3EC4"/>
    <w:rsid w:val="006C41F1"/>
    <w:rsid w:val="006C4C67"/>
    <w:rsid w:val="006C558C"/>
    <w:rsid w:val="006C5EC8"/>
    <w:rsid w:val="006C67E0"/>
    <w:rsid w:val="006C7ABA"/>
    <w:rsid w:val="006D08F4"/>
    <w:rsid w:val="006D0D60"/>
    <w:rsid w:val="006D1122"/>
    <w:rsid w:val="006D3C00"/>
    <w:rsid w:val="006D4D2E"/>
    <w:rsid w:val="006D4D40"/>
    <w:rsid w:val="006E1903"/>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6F5"/>
    <w:rsid w:val="00727F16"/>
    <w:rsid w:val="00732949"/>
    <w:rsid w:val="007410DC"/>
    <w:rsid w:val="007419C3"/>
    <w:rsid w:val="00743B4A"/>
    <w:rsid w:val="007467A7"/>
    <w:rsid w:val="007469DD"/>
    <w:rsid w:val="00746B3C"/>
    <w:rsid w:val="00747275"/>
    <w:rsid w:val="0074741B"/>
    <w:rsid w:val="0074759E"/>
    <w:rsid w:val="007478EA"/>
    <w:rsid w:val="00750DC8"/>
    <w:rsid w:val="00753E0E"/>
    <w:rsid w:val="0075415C"/>
    <w:rsid w:val="007567F4"/>
    <w:rsid w:val="00763502"/>
    <w:rsid w:val="00764C9D"/>
    <w:rsid w:val="00765463"/>
    <w:rsid w:val="00767D83"/>
    <w:rsid w:val="00774E9B"/>
    <w:rsid w:val="00776E00"/>
    <w:rsid w:val="00777400"/>
    <w:rsid w:val="00777C1C"/>
    <w:rsid w:val="00781926"/>
    <w:rsid w:val="007848C5"/>
    <w:rsid w:val="00784DB9"/>
    <w:rsid w:val="007913AB"/>
    <w:rsid w:val="007914F7"/>
    <w:rsid w:val="0079230D"/>
    <w:rsid w:val="007930AA"/>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21D1"/>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024D"/>
    <w:rsid w:val="0083410A"/>
    <w:rsid w:val="008346A9"/>
    <w:rsid w:val="00835742"/>
    <w:rsid w:val="00835DB3"/>
    <w:rsid w:val="0083617B"/>
    <w:rsid w:val="008371BD"/>
    <w:rsid w:val="008504A8"/>
    <w:rsid w:val="0085282E"/>
    <w:rsid w:val="008533B6"/>
    <w:rsid w:val="00862151"/>
    <w:rsid w:val="00864FB4"/>
    <w:rsid w:val="0087198C"/>
    <w:rsid w:val="00872C1F"/>
    <w:rsid w:val="00873B42"/>
    <w:rsid w:val="00874A40"/>
    <w:rsid w:val="00875A74"/>
    <w:rsid w:val="008770F5"/>
    <w:rsid w:val="00877177"/>
    <w:rsid w:val="0087773E"/>
    <w:rsid w:val="00877910"/>
    <w:rsid w:val="00882D2B"/>
    <w:rsid w:val="008856D8"/>
    <w:rsid w:val="00892E82"/>
    <w:rsid w:val="008949A7"/>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D8B"/>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6007"/>
    <w:rsid w:val="009363F2"/>
    <w:rsid w:val="0093742D"/>
    <w:rsid w:val="00937569"/>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0B67"/>
    <w:rsid w:val="00994E8F"/>
    <w:rsid w:val="009951DC"/>
    <w:rsid w:val="009959BB"/>
    <w:rsid w:val="00996669"/>
    <w:rsid w:val="00997158"/>
    <w:rsid w:val="009A3A7C"/>
    <w:rsid w:val="009A65E2"/>
    <w:rsid w:val="009B184F"/>
    <w:rsid w:val="009B2ADB"/>
    <w:rsid w:val="009B603A"/>
    <w:rsid w:val="009B7BD0"/>
    <w:rsid w:val="009C0F68"/>
    <w:rsid w:val="009C2D0E"/>
    <w:rsid w:val="009C3DAC"/>
    <w:rsid w:val="009C42E0"/>
    <w:rsid w:val="009C4EEC"/>
    <w:rsid w:val="009C7DCB"/>
    <w:rsid w:val="009D28B6"/>
    <w:rsid w:val="009D2B49"/>
    <w:rsid w:val="009D5362"/>
    <w:rsid w:val="009E09B4"/>
    <w:rsid w:val="009E1415"/>
    <w:rsid w:val="009E5754"/>
    <w:rsid w:val="009E6116"/>
    <w:rsid w:val="009F11B8"/>
    <w:rsid w:val="009F1B15"/>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71A9"/>
    <w:rsid w:val="00A6730D"/>
    <w:rsid w:val="00A6746D"/>
    <w:rsid w:val="00A71625"/>
    <w:rsid w:val="00A71B9B"/>
    <w:rsid w:val="00A751C7"/>
    <w:rsid w:val="00A77851"/>
    <w:rsid w:val="00A80C88"/>
    <w:rsid w:val="00A828DE"/>
    <w:rsid w:val="00A8492D"/>
    <w:rsid w:val="00A86759"/>
    <w:rsid w:val="00A87844"/>
    <w:rsid w:val="00A9269C"/>
    <w:rsid w:val="00A92ADF"/>
    <w:rsid w:val="00A94C41"/>
    <w:rsid w:val="00AA038C"/>
    <w:rsid w:val="00AA1737"/>
    <w:rsid w:val="00AA296A"/>
    <w:rsid w:val="00AA5EC2"/>
    <w:rsid w:val="00AA7A09"/>
    <w:rsid w:val="00AB2498"/>
    <w:rsid w:val="00AB2D90"/>
    <w:rsid w:val="00AB3B50"/>
    <w:rsid w:val="00AB3C6A"/>
    <w:rsid w:val="00AC05B1"/>
    <w:rsid w:val="00AC6F5A"/>
    <w:rsid w:val="00AD1C43"/>
    <w:rsid w:val="00AD356C"/>
    <w:rsid w:val="00AD6C43"/>
    <w:rsid w:val="00AE2914"/>
    <w:rsid w:val="00AE42A9"/>
    <w:rsid w:val="00AE6D15"/>
    <w:rsid w:val="00AE7BBA"/>
    <w:rsid w:val="00AF3BED"/>
    <w:rsid w:val="00AF4D12"/>
    <w:rsid w:val="00AF5F62"/>
    <w:rsid w:val="00B01D5B"/>
    <w:rsid w:val="00B01FF6"/>
    <w:rsid w:val="00B04182"/>
    <w:rsid w:val="00B07AE3"/>
    <w:rsid w:val="00B11430"/>
    <w:rsid w:val="00B157F4"/>
    <w:rsid w:val="00B3081E"/>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B65EB"/>
    <w:rsid w:val="00BC18E2"/>
    <w:rsid w:val="00BD00D3"/>
    <w:rsid w:val="00BD1659"/>
    <w:rsid w:val="00BD3AA9"/>
    <w:rsid w:val="00BD4A18"/>
    <w:rsid w:val="00BD6DB2"/>
    <w:rsid w:val="00BE042B"/>
    <w:rsid w:val="00BE11CF"/>
    <w:rsid w:val="00BE21AB"/>
    <w:rsid w:val="00BE2E40"/>
    <w:rsid w:val="00BE4E0E"/>
    <w:rsid w:val="00BE55CB"/>
    <w:rsid w:val="00BF101B"/>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368A9"/>
    <w:rsid w:val="00C4095D"/>
    <w:rsid w:val="00C446D1"/>
    <w:rsid w:val="00C458E9"/>
    <w:rsid w:val="00C45A5A"/>
    <w:rsid w:val="00C50805"/>
    <w:rsid w:val="00C50BA5"/>
    <w:rsid w:val="00C543C0"/>
    <w:rsid w:val="00C55F2B"/>
    <w:rsid w:val="00C56DF0"/>
    <w:rsid w:val="00C601D2"/>
    <w:rsid w:val="00C613DE"/>
    <w:rsid w:val="00C61CA0"/>
    <w:rsid w:val="00C636F9"/>
    <w:rsid w:val="00C657AB"/>
    <w:rsid w:val="00C65BCC"/>
    <w:rsid w:val="00C66970"/>
    <w:rsid w:val="00C67EE6"/>
    <w:rsid w:val="00C71397"/>
    <w:rsid w:val="00C73BC7"/>
    <w:rsid w:val="00C7467B"/>
    <w:rsid w:val="00C7740A"/>
    <w:rsid w:val="00C778A9"/>
    <w:rsid w:val="00C8585D"/>
    <w:rsid w:val="00C8691C"/>
    <w:rsid w:val="00C86A9E"/>
    <w:rsid w:val="00C90606"/>
    <w:rsid w:val="00C95B40"/>
    <w:rsid w:val="00CA168A"/>
    <w:rsid w:val="00CA2A1D"/>
    <w:rsid w:val="00CA34B5"/>
    <w:rsid w:val="00CA357E"/>
    <w:rsid w:val="00CA4088"/>
    <w:rsid w:val="00CA44F9"/>
    <w:rsid w:val="00CA4A69"/>
    <w:rsid w:val="00CA7857"/>
    <w:rsid w:val="00CB2D67"/>
    <w:rsid w:val="00CC3E0C"/>
    <w:rsid w:val="00CC58D3"/>
    <w:rsid w:val="00CC784D"/>
    <w:rsid w:val="00CC7E72"/>
    <w:rsid w:val="00CD08A9"/>
    <w:rsid w:val="00CD10D1"/>
    <w:rsid w:val="00CD1342"/>
    <w:rsid w:val="00CD2F47"/>
    <w:rsid w:val="00CD6628"/>
    <w:rsid w:val="00CD6B91"/>
    <w:rsid w:val="00CE107C"/>
    <w:rsid w:val="00CE2006"/>
    <w:rsid w:val="00CE51F5"/>
    <w:rsid w:val="00CE51F7"/>
    <w:rsid w:val="00CF15CF"/>
    <w:rsid w:val="00CF1A06"/>
    <w:rsid w:val="00CF29DE"/>
    <w:rsid w:val="00D0337B"/>
    <w:rsid w:val="00D0412E"/>
    <w:rsid w:val="00D04F64"/>
    <w:rsid w:val="00D05B87"/>
    <w:rsid w:val="00D079B2"/>
    <w:rsid w:val="00D114E9"/>
    <w:rsid w:val="00D11A67"/>
    <w:rsid w:val="00D11FDA"/>
    <w:rsid w:val="00D12894"/>
    <w:rsid w:val="00D13087"/>
    <w:rsid w:val="00D2393C"/>
    <w:rsid w:val="00D242F8"/>
    <w:rsid w:val="00D25665"/>
    <w:rsid w:val="00D36516"/>
    <w:rsid w:val="00D37A4C"/>
    <w:rsid w:val="00D41BB5"/>
    <w:rsid w:val="00D429C6"/>
    <w:rsid w:val="00D45385"/>
    <w:rsid w:val="00D45825"/>
    <w:rsid w:val="00D47748"/>
    <w:rsid w:val="00D54CC3"/>
    <w:rsid w:val="00D567B0"/>
    <w:rsid w:val="00D6041A"/>
    <w:rsid w:val="00D633EB"/>
    <w:rsid w:val="00D71C2B"/>
    <w:rsid w:val="00D72991"/>
    <w:rsid w:val="00D77C58"/>
    <w:rsid w:val="00D827AB"/>
    <w:rsid w:val="00D82FF7"/>
    <w:rsid w:val="00D83842"/>
    <w:rsid w:val="00D847FE"/>
    <w:rsid w:val="00D85F8E"/>
    <w:rsid w:val="00D86EC2"/>
    <w:rsid w:val="00D9561C"/>
    <w:rsid w:val="00D964EA"/>
    <w:rsid w:val="00D966D0"/>
    <w:rsid w:val="00DA0C59"/>
    <w:rsid w:val="00DA1E1B"/>
    <w:rsid w:val="00DA3991"/>
    <w:rsid w:val="00DA3A00"/>
    <w:rsid w:val="00DB1642"/>
    <w:rsid w:val="00DB5F1D"/>
    <w:rsid w:val="00DB7566"/>
    <w:rsid w:val="00DB7E6C"/>
    <w:rsid w:val="00DC1267"/>
    <w:rsid w:val="00DC3B61"/>
    <w:rsid w:val="00DC6475"/>
    <w:rsid w:val="00DC68C1"/>
    <w:rsid w:val="00DD5A29"/>
    <w:rsid w:val="00DD5D9D"/>
    <w:rsid w:val="00DD62AF"/>
    <w:rsid w:val="00DE1E8C"/>
    <w:rsid w:val="00DE35CB"/>
    <w:rsid w:val="00DE3CC6"/>
    <w:rsid w:val="00DE3E01"/>
    <w:rsid w:val="00DE54C0"/>
    <w:rsid w:val="00DF1769"/>
    <w:rsid w:val="00DF21E9"/>
    <w:rsid w:val="00DF3835"/>
    <w:rsid w:val="00DF4689"/>
    <w:rsid w:val="00DF7839"/>
    <w:rsid w:val="00E00F14"/>
    <w:rsid w:val="00E014DB"/>
    <w:rsid w:val="00E01E2C"/>
    <w:rsid w:val="00E06386"/>
    <w:rsid w:val="00E06724"/>
    <w:rsid w:val="00E1121D"/>
    <w:rsid w:val="00E12991"/>
    <w:rsid w:val="00E13AFD"/>
    <w:rsid w:val="00E24EB4"/>
    <w:rsid w:val="00E308A1"/>
    <w:rsid w:val="00E320ED"/>
    <w:rsid w:val="00E32DF6"/>
    <w:rsid w:val="00E33AFB"/>
    <w:rsid w:val="00E34218"/>
    <w:rsid w:val="00E36B6A"/>
    <w:rsid w:val="00E46282"/>
    <w:rsid w:val="00E47E10"/>
    <w:rsid w:val="00E51468"/>
    <w:rsid w:val="00E5216E"/>
    <w:rsid w:val="00E562FC"/>
    <w:rsid w:val="00E57BBB"/>
    <w:rsid w:val="00E608D9"/>
    <w:rsid w:val="00E60B84"/>
    <w:rsid w:val="00E70631"/>
    <w:rsid w:val="00E72A9E"/>
    <w:rsid w:val="00E76C52"/>
    <w:rsid w:val="00E82344"/>
    <w:rsid w:val="00E84C82"/>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19DB"/>
    <w:rsid w:val="00EF3D77"/>
    <w:rsid w:val="00EF58BA"/>
    <w:rsid w:val="00EF7629"/>
    <w:rsid w:val="00F01332"/>
    <w:rsid w:val="00F04C3F"/>
    <w:rsid w:val="00F11BB5"/>
    <w:rsid w:val="00F1417B"/>
    <w:rsid w:val="00F1787C"/>
    <w:rsid w:val="00F27FF2"/>
    <w:rsid w:val="00F34B99"/>
    <w:rsid w:val="00F37A7F"/>
    <w:rsid w:val="00F43145"/>
    <w:rsid w:val="00F510E6"/>
    <w:rsid w:val="00F52DAB"/>
    <w:rsid w:val="00F543F0"/>
    <w:rsid w:val="00F6373D"/>
    <w:rsid w:val="00F67206"/>
    <w:rsid w:val="00F72314"/>
    <w:rsid w:val="00F737AD"/>
    <w:rsid w:val="00F7488F"/>
    <w:rsid w:val="00F77AD4"/>
    <w:rsid w:val="00F81158"/>
    <w:rsid w:val="00F81D29"/>
    <w:rsid w:val="00F81D61"/>
    <w:rsid w:val="00F81DC8"/>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C4823"/>
    <w:rsid w:val="00FC6358"/>
    <w:rsid w:val="00FC6C90"/>
    <w:rsid w:val="00FC73CB"/>
    <w:rsid w:val="00FD04BB"/>
    <w:rsid w:val="00FD320D"/>
    <w:rsid w:val="00FD570D"/>
    <w:rsid w:val="00FD5950"/>
    <w:rsid w:val="00FE23DE"/>
    <w:rsid w:val="00FE773B"/>
    <w:rsid w:val="01B62B99"/>
    <w:rsid w:val="01CC50FF"/>
    <w:rsid w:val="026C4589"/>
    <w:rsid w:val="02C31E14"/>
    <w:rsid w:val="03563CE3"/>
    <w:rsid w:val="041A1188"/>
    <w:rsid w:val="04AF42EF"/>
    <w:rsid w:val="05C14567"/>
    <w:rsid w:val="05FF07B5"/>
    <w:rsid w:val="0644652B"/>
    <w:rsid w:val="075F6EB2"/>
    <w:rsid w:val="08C75728"/>
    <w:rsid w:val="08E55DE7"/>
    <w:rsid w:val="090A5B34"/>
    <w:rsid w:val="0A6C5668"/>
    <w:rsid w:val="0A842761"/>
    <w:rsid w:val="0B7274F3"/>
    <w:rsid w:val="0BAC32E0"/>
    <w:rsid w:val="0BC67500"/>
    <w:rsid w:val="0C68411F"/>
    <w:rsid w:val="0C6C6950"/>
    <w:rsid w:val="0DD7773F"/>
    <w:rsid w:val="0E27175D"/>
    <w:rsid w:val="0E8D76BF"/>
    <w:rsid w:val="0F073C55"/>
    <w:rsid w:val="0F0C7D92"/>
    <w:rsid w:val="0F6945CC"/>
    <w:rsid w:val="0FCF7D15"/>
    <w:rsid w:val="0FE467C4"/>
    <w:rsid w:val="114805EC"/>
    <w:rsid w:val="11E164E5"/>
    <w:rsid w:val="11F85CBA"/>
    <w:rsid w:val="12463E5D"/>
    <w:rsid w:val="128A1009"/>
    <w:rsid w:val="129A6EDF"/>
    <w:rsid w:val="134A1835"/>
    <w:rsid w:val="13794378"/>
    <w:rsid w:val="144A3BC7"/>
    <w:rsid w:val="14987CE5"/>
    <w:rsid w:val="14EA2A7E"/>
    <w:rsid w:val="15BB490A"/>
    <w:rsid w:val="17176377"/>
    <w:rsid w:val="180B12B5"/>
    <w:rsid w:val="18185587"/>
    <w:rsid w:val="19382624"/>
    <w:rsid w:val="19A5475F"/>
    <w:rsid w:val="1A6C06DB"/>
    <w:rsid w:val="1AAE65BB"/>
    <w:rsid w:val="1B56145F"/>
    <w:rsid w:val="1C275D99"/>
    <w:rsid w:val="1C2A2576"/>
    <w:rsid w:val="1D781DF9"/>
    <w:rsid w:val="1E49210B"/>
    <w:rsid w:val="1EBA3B86"/>
    <w:rsid w:val="1F3E57F5"/>
    <w:rsid w:val="20236CFE"/>
    <w:rsid w:val="202E6203"/>
    <w:rsid w:val="208F11E7"/>
    <w:rsid w:val="215C14F1"/>
    <w:rsid w:val="23671F2C"/>
    <w:rsid w:val="23C82C4D"/>
    <w:rsid w:val="23CA246C"/>
    <w:rsid w:val="24191DC1"/>
    <w:rsid w:val="24642242"/>
    <w:rsid w:val="24767468"/>
    <w:rsid w:val="26615569"/>
    <w:rsid w:val="26834513"/>
    <w:rsid w:val="274A5AC6"/>
    <w:rsid w:val="28170CF2"/>
    <w:rsid w:val="28752F46"/>
    <w:rsid w:val="28CA71A5"/>
    <w:rsid w:val="2AE93DA7"/>
    <w:rsid w:val="2B6D248E"/>
    <w:rsid w:val="2B8B7DC3"/>
    <w:rsid w:val="2BD650E5"/>
    <w:rsid w:val="2C2D37D2"/>
    <w:rsid w:val="2D1F1D65"/>
    <w:rsid w:val="2DAC5F75"/>
    <w:rsid w:val="2E1C1A4E"/>
    <w:rsid w:val="2E5D1AEE"/>
    <w:rsid w:val="2E6B6A0F"/>
    <w:rsid w:val="2F062103"/>
    <w:rsid w:val="2F2F5238"/>
    <w:rsid w:val="301C5852"/>
    <w:rsid w:val="31C60554"/>
    <w:rsid w:val="31F01FE0"/>
    <w:rsid w:val="321A12C0"/>
    <w:rsid w:val="324B7B8D"/>
    <w:rsid w:val="33587D9B"/>
    <w:rsid w:val="3410010D"/>
    <w:rsid w:val="34851BA6"/>
    <w:rsid w:val="35155A35"/>
    <w:rsid w:val="35DB4005"/>
    <w:rsid w:val="369260AD"/>
    <w:rsid w:val="36980177"/>
    <w:rsid w:val="38675EDD"/>
    <w:rsid w:val="3871021D"/>
    <w:rsid w:val="38BA5276"/>
    <w:rsid w:val="38D26EC8"/>
    <w:rsid w:val="39CC502E"/>
    <w:rsid w:val="39DC01DA"/>
    <w:rsid w:val="3A2C035C"/>
    <w:rsid w:val="3A7466AB"/>
    <w:rsid w:val="3A8D375B"/>
    <w:rsid w:val="3AAA4F85"/>
    <w:rsid w:val="3AB00829"/>
    <w:rsid w:val="3C6F43DB"/>
    <w:rsid w:val="3CE2056B"/>
    <w:rsid w:val="3D2148FA"/>
    <w:rsid w:val="3DDE678C"/>
    <w:rsid w:val="3E4A00F3"/>
    <w:rsid w:val="3E517F07"/>
    <w:rsid w:val="3F2C098B"/>
    <w:rsid w:val="3F615412"/>
    <w:rsid w:val="40321118"/>
    <w:rsid w:val="40540B76"/>
    <w:rsid w:val="40B51706"/>
    <w:rsid w:val="40EE303B"/>
    <w:rsid w:val="41572058"/>
    <w:rsid w:val="41695BCD"/>
    <w:rsid w:val="41B778CF"/>
    <w:rsid w:val="41E27C26"/>
    <w:rsid w:val="4234324C"/>
    <w:rsid w:val="42357B15"/>
    <w:rsid w:val="433C4671"/>
    <w:rsid w:val="4383564A"/>
    <w:rsid w:val="451C3C40"/>
    <w:rsid w:val="45B03890"/>
    <w:rsid w:val="45C00343"/>
    <w:rsid w:val="469C2D08"/>
    <w:rsid w:val="47932DEB"/>
    <w:rsid w:val="479D0403"/>
    <w:rsid w:val="487C0474"/>
    <w:rsid w:val="488A12D3"/>
    <w:rsid w:val="489B5047"/>
    <w:rsid w:val="494914DD"/>
    <w:rsid w:val="49FA4C9F"/>
    <w:rsid w:val="4BE148C2"/>
    <w:rsid w:val="4DA353B5"/>
    <w:rsid w:val="4DC024C2"/>
    <w:rsid w:val="4E1C0C26"/>
    <w:rsid w:val="4F98252E"/>
    <w:rsid w:val="4FFE506F"/>
    <w:rsid w:val="512C1180"/>
    <w:rsid w:val="51A45239"/>
    <w:rsid w:val="51B63A66"/>
    <w:rsid w:val="51C508AC"/>
    <w:rsid w:val="51D33F98"/>
    <w:rsid w:val="528829AB"/>
    <w:rsid w:val="529A51A6"/>
    <w:rsid w:val="544A055A"/>
    <w:rsid w:val="54677F4B"/>
    <w:rsid w:val="54AB45BB"/>
    <w:rsid w:val="54FC279E"/>
    <w:rsid w:val="55A72A15"/>
    <w:rsid w:val="56963C59"/>
    <w:rsid w:val="56AA3B7A"/>
    <w:rsid w:val="56D94B3D"/>
    <w:rsid w:val="58036951"/>
    <w:rsid w:val="58094B8B"/>
    <w:rsid w:val="587614A3"/>
    <w:rsid w:val="58777528"/>
    <w:rsid w:val="595C5808"/>
    <w:rsid w:val="5AE12A2F"/>
    <w:rsid w:val="5B28681C"/>
    <w:rsid w:val="5B47245F"/>
    <w:rsid w:val="5C227DDB"/>
    <w:rsid w:val="5C366724"/>
    <w:rsid w:val="5C7A3515"/>
    <w:rsid w:val="5D5C64B2"/>
    <w:rsid w:val="5E2B2A21"/>
    <w:rsid w:val="5E3C3679"/>
    <w:rsid w:val="5E6B18C8"/>
    <w:rsid w:val="5ED03B01"/>
    <w:rsid w:val="5F20741E"/>
    <w:rsid w:val="5F47332B"/>
    <w:rsid w:val="5F7B5377"/>
    <w:rsid w:val="602F098A"/>
    <w:rsid w:val="605E3245"/>
    <w:rsid w:val="60807A01"/>
    <w:rsid w:val="616151C6"/>
    <w:rsid w:val="616803F8"/>
    <w:rsid w:val="622E7C4D"/>
    <w:rsid w:val="62301BA8"/>
    <w:rsid w:val="624B4DA8"/>
    <w:rsid w:val="627B408D"/>
    <w:rsid w:val="63686AFB"/>
    <w:rsid w:val="645665EB"/>
    <w:rsid w:val="645D5F22"/>
    <w:rsid w:val="64B670D4"/>
    <w:rsid w:val="651340F7"/>
    <w:rsid w:val="6568477B"/>
    <w:rsid w:val="65B66E42"/>
    <w:rsid w:val="66013CB9"/>
    <w:rsid w:val="66E7353A"/>
    <w:rsid w:val="674B0307"/>
    <w:rsid w:val="684D3A5E"/>
    <w:rsid w:val="68BF20CA"/>
    <w:rsid w:val="68D52A0C"/>
    <w:rsid w:val="6948200E"/>
    <w:rsid w:val="6A5C1C31"/>
    <w:rsid w:val="6AFD18D3"/>
    <w:rsid w:val="6B037447"/>
    <w:rsid w:val="6B204668"/>
    <w:rsid w:val="6C1C43D4"/>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42A28ED"/>
    <w:rsid w:val="759D1D4D"/>
    <w:rsid w:val="767B1592"/>
    <w:rsid w:val="76FB321F"/>
    <w:rsid w:val="770807A4"/>
    <w:rsid w:val="77CA3CE3"/>
    <w:rsid w:val="77E61714"/>
    <w:rsid w:val="77EB02B8"/>
    <w:rsid w:val="78A92C80"/>
    <w:rsid w:val="7904183A"/>
    <w:rsid w:val="7996388B"/>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8">
    <w:name w:val="Default Paragraph Font"/>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ind w:left="300" w:leftChars="300" w:firstLine="643" w:firstLineChars="200"/>
    </w:pPr>
  </w:style>
  <w:style w:type="paragraph" w:styleId="3">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45"/>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Indent"/>
    <w:basedOn w:val="1"/>
    <w:qFormat/>
    <w:uiPriority w:val="0"/>
    <w:pPr>
      <w:spacing w:line="500" w:lineRule="exact"/>
      <w:ind w:firstLine="540"/>
    </w:pPr>
    <w:rPr>
      <w:color w:val="FF6600"/>
      <w:sz w:val="24"/>
      <w:szCs w:val="20"/>
    </w:r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Plain Text"/>
    <w:basedOn w:val="1"/>
    <w:qFormat/>
    <w:uiPriority w:val="0"/>
    <w:rPr>
      <w:rFonts w:ascii="宋体" w:hAnsi="Courier New"/>
      <w:szCs w:val="21"/>
      <w:lang w:val="zh-CN" w:eastAsia="zh-CN"/>
    </w:rPr>
  </w:style>
  <w:style w:type="paragraph" w:styleId="1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endnote text"/>
    <w:basedOn w:val="1"/>
    <w:autoRedefine/>
    <w:semiHidden/>
    <w:qFormat/>
    <w:uiPriority w:val="0"/>
    <w:pPr>
      <w:snapToGrid w:val="0"/>
      <w:jc w:val="left"/>
    </w:pPr>
  </w:style>
  <w:style w:type="paragraph" w:styleId="18">
    <w:name w:val="Balloon Text"/>
    <w:basedOn w:val="1"/>
    <w:link w:val="46"/>
    <w:autoRedefine/>
    <w:qFormat/>
    <w:uiPriority w:val="0"/>
    <w:rPr>
      <w:sz w:val="18"/>
      <w:szCs w:val="18"/>
    </w:rPr>
  </w:style>
  <w:style w:type="paragraph" w:styleId="19">
    <w:name w:val="footer"/>
    <w:basedOn w:val="1"/>
    <w:link w:val="47"/>
    <w:autoRedefine/>
    <w:qFormat/>
    <w:uiPriority w:val="99"/>
    <w:pPr>
      <w:snapToGrid w:val="0"/>
      <w:ind w:right="210" w:rightChars="100"/>
      <w:jc w:val="right"/>
    </w:pPr>
    <w:rPr>
      <w:sz w:val="18"/>
      <w:szCs w:val="18"/>
    </w:rPr>
  </w:style>
  <w:style w:type="paragraph" w:styleId="20">
    <w:name w:val="header"/>
    <w:basedOn w:val="1"/>
    <w:link w:val="48"/>
    <w:autoRedefine/>
    <w:qFormat/>
    <w:uiPriority w:val="99"/>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Body Text Indent 3"/>
    <w:basedOn w:val="1"/>
    <w:autoRedefine/>
    <w:qFormat/>
    <w:uiPriority w:val="99"/>
    <w:pPr>
      <w:spacing w:after="120"/>
      <w:ind w:left="420" w:leftChars="200"/>
    </w:pPr>
    <w:rPr>
      <w:sz w:val="16"/>
      <w:szCs w:val="16"/>
    </w:rPr>
  </w:style>
  <w:style w:type="paragraph" w:styleId="29">
    <w:name w:val="index 7"/>
    <w:basedOn w:val="1"/>
    <w:next w:val="1"/>
    <w:autoRedefine/>
    <w:qFormat/>
    <w:uiPriority w:val="0"/>
    <w:pPr>
      <w:ind w:left="1470" w:hanging="210"/>
      <w:jc w:val="left"/>
    </w:pPr>
    <w:rPr>
      <w:rFonts w:ascii="Calibri" w:hAnsi="Calibri"/>
      <w:sz w:val="20"/>
      <w:szCs w:val="20"/>
    </w:rPr>
  </w:style>
  <w:style w:type="paragraph" w:styleId="30">
    <w:name w:val="index 9"/>
    <w:basedOn w:val="1"/>
    <w:next w:val="1"/>
    <w:autoRedefine/>
    <w:qFormat/>
    <w:uiPriority w:val="0"/>
    <w:pPr>
      <w:ind w:left="1890" w:hanging="210"/>
      <w:jc w:val="left"/>
    </w:pPr>
    <w:rPr>
      <w:rFonts w:ascii="Calibri" w:hAnsi="Calibri"/>
      <w:sz w:val="20"/>
      <w:szCs w:val="20"/>
    </w:rPr>
  </w:style>
  <w:style w:type="paragraph" w:styleId="31">
    <w:name w:val="toc 2"/>
    <w:basedOn w:val="1"/>
    <w:next w:val="1"/>
    <w:autoRedefine/>
    <w:semiHidden/>
    <w:qFormat/>
    <w:uiPriority w:val="0"/>
    <w:pPr>
      <w:tabs>
        <w:tab w:val="right" w:leader="dot" w:pos="9242"/>
      </w:tabs>
    </w:pPr>
    <w:rPr>
      <w:rFonts w:ascii="宋体"/>
      <w:szCs w:val="21"/>
    </w:rPr>
  </w:style>
  <w:style w:type="paragraph" w:styleId="32">
    <w:name w:val="toc 9"/>
    <w:basedOn w:val="1"/>
    <w:next w:val="1"/>
    <w:autoRedefine/>
    <w:semiHidden/>
    <w:qFormat/>
    <w:uiPriority w:val="0"/>
    <w:pPr>
      <w:ind w:left="1470"/>
      <w:jc w:val="left"/>
    </w:pPr>
    <w:rPr>
      <w:sz w:val="20"/>
      <w:szCs w:val="20"/>
    </w:rPr>
  </w:style>
  <w:style w:type="paragraph" w:styleId="33">
    <w:name w:val="Normal (Web)"/>
    <w:basedOn w:val="1"/>
    <w:autoRedefine/>
    <w:qFormat/>
    <w:uiPriority w:val="0"/>
    <w:rPr>
      <w:sz w:val="24"/>
    </w:rPr>
  </w:style>
  <w:style w:type="paragraph" w:styleId="34">
    <w:name w:val="index 2"/>
    <w:basedOn w:val="1"/>
    <w:next w:val="1"/>
    <w:autoRedefine/>
    <w:qFormat/>
    <w:uiPriority w:val="0"/>
    <w:pPr>
      <w:ind w:left="420" w:hanging="210"/>
      <w:jc w:val="left"/>
    </w:pPr>
    <w:rPr>
      <w:rFonts w:ascii="Calibri" w:hAnsi="Calibri"/>
      <w:sz w:val="20"/>
      <w:szCs w:val="20"/>
    </w:rPr>
  </w:style>
  <w:style w:type="paragraph" w:styleId="35">
    <w:name w:val="annotation subject"/>
    <w:basedOn w:val="8"/>
    <w:next w:val="8"/>
    <w:link w:val="50"/>
    <w:autoRedefine/>
    <w:qFormat/>
    <w:uiPriority w:val="0"/>
    <w:rPr>
      <w:b/>
      <w:bCs/>
    </w:rPr>
  </w:style>
  <w:style w:type="table" w:styleId="37">
    <w:name w:val="Table Grid"/>
    <w:basedOn w:val="36"/>
    <w:autoRedefine/>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autoRedefine/>
    <w:semiHidden/>
    <w:qFormat/>
    <w:uiPriority w:val="0"/>
    <w:rPr>
      <w:vertAlign w:val="superscript"/>
    </w:rPr>
  </w:style>
  <w:style w:type="character" w:styleId="40">
    <w:name w:val="page number"/>
    <w:autoRedefine/>
    <w:qFormat/>
    <w:uiPriority w:val="0"/>
    <w:rPr>
      <w:rFonts w:ascii="Times New Roman" w:hAnsi="Times New Roman" w:eastAsia="宋体"/>
      <w:sz w:val="18"/>
    </w:rPr>
  </w:style>
  <w:style w:type="character" w:styleId="41">
    <w:name w:val="FollowedHyperlink"/>
    <w:autoRedefine/>
    <w:qFormat/>
    <w:uiPriority w:val="0"/>
    <w:rPr>
      <w:color w:val="800080"/>
      <w:u w:val="single"/>
    </w:rPr>
  </w:style>
  <w:style w:type="character" w:styleId="42">
    <w:name w:val="Hyperlink"/>
    <w:autoRedefine/>
    <w:qFormat/>
    <w:uiPriority w:val="0"/>
    <w:rPr>
      <w:color w:val="0000FF"/>
      <w:spacing w:val="0"/>
      <w:w w:val="100"/>
      <w:szCs w:val="21"/>
      <w:u w:val="single"/>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批注文字 字符"/>
    <w:link w:val="8"/>
    <w:autoRedefine/>
    <w:qFormat/>
    <w:uiPriority w:val="0"/>
    <w:rPr>
      <w:kern w:val="2"/>
      <w:sz w:val="21"/>
      <w:szCs w:val="24"/>
    </w:rPr>
  </w:style>
  <w:style w:type="character" w:customStyle="1" w:styleId="46">
    <w:name w:val="批注框文本 字符"/>
    <w:link w:val="18"/>
    <w:autoRedefine/>
    <w:qFormat/>
    <w:uiPriority w:val="0"/>
    <w:rPr>
      <w:kern w:val="2"/>
      <w:sz w:val="18"/>
      <w:szCs w:val="18"/>
    </w:rPr>
  </w:style>
  <w:style w:type="character" w:customStyle="1" w:styleId="47">
    <w:name w:val="页脚 字符"/>
    <w:link w:val="19"/>
    <w:autoRedefine/>
    <w:qFormat/>
    <w:locked/>
    <w:uiPriority w:val="99"/>
    <w:rPr>
      <w:kern w:val="2"/>
      <w:sz w:val="18"/>
      <w:szCs w:val="18"/>
    </w:rPr>
  </w:style>
  <w:style w:type="character" w:customStyle="1" w:styleId="48">
    <w:name w:val="页眉 字符"/>
    <w:link w:val="20"/>
    <w:autoRedefine/>
    <w:qFormat/>
    <w:locked/>
    <w:uiPriority w:val="99"/>
    <w:rPr>
      <w:kern w:val="2"/>
      <w:sz w:val="18"/>
      <w:szCs w:val="18"/>
    </w:rPr>
  </w:style>
  <w:style w:type="character" w:customStyle="1" w:styleId="49">
    <w:name w:val="段 Char"/>
    <w:link w:val="25"/>
    <w:autoRedefine/>
    <w:qFormat/>
    <w:uiPriority w:val="0"/>
    <w:rPr>
      <w:rFonts w:ascii="宋体"/>
      <w:sz w:val="21"/>
      <w:lang w:val="en-US" w:eastAsia="zh-CN" w:bidi="ar-SA"/>
    </w:rPr>
  </w:style>
  <w:style w:type="character" w:customStyle="1" w:styleId="50">
    <w:name w:val="批注主题 字符"/>
    <w:link w:val="35"/>
    <w:autoRedefine/>
    <w:qFormat/>
    <w:uiPriority w:val="0"/>
    <w:rPr>
      <w:b/>
      <w:bCs/>
      <w:kern w:val="2"/>
      <w:sz w:val="21"/>
      <w:szCs w:val="24"/>
    </w:rPr>
  </w:style>
  <w:style w:type="character" w:customStyle="1" w:styleId="51">
    <w:name w:val="发布"/>
    <w:autoRedefine/>
    <w:qFormat/>
    <w:uiPriority w:val="0"/>
    <w:rPr>
      <w:rFonts w:ascii="黑体" w:eastAsia="黑体"/>
      <w:spacing w:val="85"/>
      <w:w w:val="100"/>
      <w:position w:val="3"/>
      <w:sz w:val="28"/>
      <w:szCs w:val="28"/>
    </w:rPr>
  </w:style>
  <w:style w:type="character" w:customStyle="1" w:styleId="52">
    <w:name w:val="附录公式 Char"/>
    <w:link w:val="53"/>
    <w:autoRedefine/>
    <w:qFormat/>
    <w:uiPriority w:val="0"/>
    <w:rPr>
      <w:lang w:val="en-US" w:eastAsia="zh-CN" w:bidi="ar-SA"/>
    </w:rPr>
  </w:style>
  <w:style w:type="paragraph" w:customStyle="1" w:styleId="53">
    <w:name w:val="附录公式"/>
    <w:basedOn w:val="25"/>
    <w:next w:val="25"/>
    <w:link w:val="52"/>
    <w:autoRedefine/>
    <w:qFormat/>
    <w:uiPriority w:val="0"/>
    <w:rPr>
      <w:rFonts w:ascii="Times New Roman"/>
      <w:sz w:val="20"/>
    </w:rPr>
  </w:style>
  <w:style w:type="character" w:customStyle="1" w:styleId="54">
    <w:name w:val="章标题 Char"/>
    <w:link w:val="55"/>
    <w:autoRedefine/>
    <w:qFormat/>
    <w:locked/>
    <w:uiPriority w:val="0"/>
    <w:rPr>
      <w:rFonts w:ascii="黑体" w:eastAsia="黑体"/>
      <w:sz w:val="21"/>
      <w:lang w:val="en-US" w:eastAsia="zh-CN" w:bidi="ar-SA"/>
    </w:rPr>
  </w:style>
  <w:style w:type="paragraph" w:customStyle="1" w:styleId="55">
    <w:name w:val="章标题"/>
    <w:next w:val="25"/>
    <w:link w:val="54"/>
    <w:autoRedefine/>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6">
    <w:name w:val="一级条标题 Char"/>
    <w:link w:val="57"/>
    <w:autoRedefine/>
    <w:qFormat/>
    <w:locked/>
    <w:uiPriority w:val="0"/>
    <w:rPr>
      <w:rFonts w:ascii="黑体" w:eastAsia="黑体"/>
      <w:sz w:val="21"/>
      <w:szCs w:val="21"/>
      <w:lang w:val="en-US" w:eastAsia="zh-CN" w:bidi="ar-SA"/>
    </w:rPr>
  </w:style>
  <w:style w:type="paragraph" w:customStyle="1" w:styleId="57">
    <w:name w:val="一级条标题"/>
    <w:next w:val="25"/>
    <w:link w:val="56"/>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8">
    <w:name w:val="二级条标题 Char"/>
    <w:link w:val="59"/>
    <w:autoRedefine/>
    <w:qFormat/>
    <w:locked/>
    <w:uiPriority w:val="0"/>
    <w:rPr>
      <w:rFonts w:ascii="黑体" w:eastAsia="黑体"/>
      <w:sz w:val="21"/>
      <w:szCs w:val="21"/>
    </w:rPr>
  </w:style>
  <w:style w:type="paragraph" w:customStyle="1" w:styleId="59">
    <w:name w:val="二级条标题"/>
    <w:basedOn w:val="57"/>
    <w:next w:val="25"/>
    <w:link w:val="58"/>
    <w:autoRedefine/>
    <w:qFormat/>
    <w:uiPriority w:val="0"/>
    <w:pPr>
      <w:numPr>
        <w:ilvl w:val="2"/>
      </w:numPr>
      <w:spacing w:before="50" w:after="50"/>
      <w:outlineLvl w:val="3"/>
    </w:pPr>
  </w:style>
  <w:style w:type="character" w:customStyle="1" w:styleId="60">
    <w:name w:val="首示例 Char"/>
    <w:link w:val="61"/>
    <w:autoRedefine/>
    <w:qFormat/>
    <w:uiPriority w:val="0"/>
    <w:rPr>
      <w:rFonts w:ascii="宋体" w:hAnsi="宋体"/>
      <w:kern w:val="2"/>
      <w:sz w:val="18"/>
      <w:szCs w:val="18"/>
      <w:lang w:val="en-US" w:eastAsia="zh-CN" w:bidi="ar-SA"/>
    </w:rPr>
  </w:style>
  <w:style w:type="paragraph" w:customStyle="1" w:styleId="61">
    <w:name w:val="首示例"/>
    <w:next w:val="25"/>
    <w:link w:val="60"/>
    <w:autoRedefine/>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62">
    <w:name w:val="二级无 Char"/>
    <w:link w:val="63"/>
    <w:autoRedefine/>
    <w:qFormat/>
    <w:locked/>
    <w:uiPriority w:val="0"/>
    <w:rPr>
      <w:rFonts w:ascii="宋体"/>
      <w:sz w:val="21"/>
      <w:szCs w:val="21"/>
    </w:rPr>
  </w:style>
  <w:style w:type="paragraph" w:customStyle="1" w:styleId="63">
    <w:name w:val="二级无"/>
    <w:basedOn w:val="59"/>
    <w:link w:val="62"/>
    <w:autoRedefine/>
    <w:qFormat/>
    <w:uiPriority w:val="0"/>
    <w:pPr>
      <w:spacing w:before="0" w:beforeLines="0" w:after="0" w:afterLines="0"/>
    </w:pPr>
    <w:rPr>
      <w:rFonts w:ascii="宋体" w:eastAsia="宋体"/>
    </w:rPr>
  </w:style>
  <w:style w:type="paragraph" w:customStyle="1" w:styleId="64">
    <w:name w:val="列项◆（三级）"/>
    <w:basedOn w:val="1"/>
    <w:autoRedefine/>
    <w:qFormat/>
    <w:uiPriority w:val="0"/>
    <w:pPr>
      <w:numPr>
        <w:ilvl w:val="2"/>
        <w:numId w:val="5"/>
      </w:numPr>
    </w:pPr>
    <w:rPr>
      <w:rFonts w:ascii="宋体"/>
      <w:szCs w:val="21"/>
    </w:rPr>
  </w:style>
  <w:style w:type="paragraph" w:customStyle="1" w:styleId="6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条文脚注"/>
    <w:basedOn w:val="26"/>
    <w:autoRedefine/>
    <w:qFormat/>
    <w:uiPriority w:val="0"/>
    <w:pPr>
      <w:numPr>
        <w:numId w:val="0"/>
      </w:numPr>
      <w:jc w:val="both"/>
    </w:pPr>
  </w:style>
  <w:style w:type="paragraph" w:customStyle="1" w:styleId="67">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0">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封面标准文稿类别"/>
    <w:basedOn w:val="72"/>
    <w:autoRedefine/>
    <w:qFormat/>
    <w:uiPriority w:val="0"/>
    <w:pPr>
      <w:framePr w:wrap="around"/>
      <w:spacing w:after="160" w:line="240" w:lineRule="auto"/>
    </w:pPr>
    <w:rPr>
      <w:sz w:val="24"/>
    </w:rPr>
  </w:style>
  <w:style w:type="paragraph" w:customStyle="1" w:styleId="72">
    <w:name w:val="封面一致性程度标识"/>
    <w:basedOn w:val="73"/>
    <w:autoRedefine/>
    <w:qFormat/>
    <w:uiPriority w:val="99"/>
    <w:pPr>
      <w:framePr w:wrap="around"/>
      <w:spacing w:before="440"/>
    </w:pPr>
    <w:rPr>
      <w:rFonts w:ascii="宋体" w:eastAsia="宋体"/>
    </w:rPr>
  </w:style>
  <w:style w:type="paragraph" w:customStyle="1" w:styleId="73">
    <w:name w:val="封面标准英文名称"/>
    <w:basedOn w:val="74"/>
    <w:autoRedefine/>
    <w:qFormat/>
    <w:uiPriority w:val="0"/>
    <w:pPr>
      <w:framePr w:wrap="around"/>
      <w:spacing w:before="370" w:line="400" w:lineRule="exact"/>
    </w:pPr>
    <w:rPr>
      <w:rFonts w:ascii="Times New Roman"/>
      <w:sz w:val="28"/>
      <w:szCs w:val="28"/>
    </w:rPr>
  </w:style>
  <w:style w:type="paragraph" w:customStyle="1" w:styleId="7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附录表标号"/>
    <w:basedOn w:val="1"/>
    <w:next w:val="25"/>
    <w:autoRedefine/>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6">
    <w:name w:val="标准书眉一"/>
    <w:autoRedefine/>
    <w:qFormat/>
    <w:uiPriority w:val="0"/>
    <w:pPr>
      <w:jc w:val="both"/>
    </w:pPr>
    <w:rPr>
      <w:rFonts w:ascii="Times New Roman" w:hAnsi="Times New Roman" w:eastAsia="宋体" w:cs="Times New Roman"/>
      <w:lang w:val="en-US" w:eastAsia="zh-CN" w:bidi="ar-SA"/>
    </w:rPr>
  </w:style>
  <w:style w:type="paragraph" w:customStyle="1" w:styleId="77">
    <w:name w:val="附录四级无"/>
    <w:basedOn w:val="78"/>
    <w:autoRedefine/>
    <w:qFormat/>
    <w:uiPriority w:val="0"/>
    <w:pPr>
      <w:tabs>
        <w:tab w:val="left" w:pos="360"/>
      </w:tabs>
      <w:spacing w:before="0" w:beforeLines="0" w:after="0" w:afterLines="0"/>
    </w:pPr>
    <w:rPr>
      <w:rFonts w:ascii="宋体" w:eastAsia="宋体"/>
      <w:szCs w:val="21"/>
    </w:rPr>
  </w:style>
  <w:style w:type="paragraph" w:customStyle="1" w:styleId="78">
    <w:name w:val="附录四级条标题"/>
    <w:basedOn w:val="79"/>
    <w:next w:val="25"/>
    <w:autoRedefine/>
    <w:qFormat/>
    <w:uiPriority w:val="0"/>
    <w:pPr>
      <w:numPr>
        <w:ilvl w:val="5"/>
      </w:numPr>
      <w:tabs>
        <w:tab w:val="left" w:pos="360"/>
      </w:tabs>
      <w:outlineLvl w:val="5"/>
    </w:pPr>
  </w:style>
  <w:style w:type="paragraph" w:customStyle="1" w:styleId="79">
    <w:name w:val="附录三级条标题"/>
    <w:basedOn w:val="80"/>
    <w:next w:val="25"/>
    <w:autoRedefine/>
    <w:qFormat/>
    <w:uiPriority w:val="0"/>
    <w:pPr>
      <w:numPr>
        <w:ilvl w:val="4"/>
      </w:numPr>
      <w:tabs>
        <w:tab w:val="left" w:pos="360"/>
      </w:tabs>
      <w:outlineLvl w:val="4"/>
    </w:pPr>
  </w:style>
  <w:style w:type="paragraph" w:customStyle="1" w:styleId="80">
    <w:name w:val="附录二级条标题"/>
    <w:basedOn w:val="1"/>
    <w:next w:val="25"/>
    <w:autoRedefine/>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三级条标题"/>
    <w:basedOn w:val="59"/>
    <w:next w:val="25"/>
    <w:autoRedefine/>
    <w:qFormat/>
    <w:uiPriority w:val="0"/>
    <w:pPr>
      <w:numPr>
        <w:ilvl w:val="3"/>
      </w:numPr>
      <w:outlineLvl w:val="4"/>
    </w:pPr>
  </w:style>
  <w:style w:type="paragraph" w:customStyle="1" w:styleId="82">
    <w:name w:val="四级条标题"/>
    <w:basedOn w:val="81"/>
    <w:next w:val="25"/>
    <w:autoRedefine/>
    <w:qFormat/>
    <w:uiPriority w:val="0"/>
    <w:pPr>
      <w:numPr>
        <w:ilvl w:val="4"/>
      </w:numPr>
      <w:outlineLvl w:val="5"/>
    </w:pPr>
  </w:style>
  <w:style w:type="paragraph" w:customStyle="1" w:styleId="83">
    <w:name w:val="示例×："/>
    <w:basedOn w:val="55"/>
    <w:autoRedefine/>
    <w:qFormat/>
    <w:uiPriority w:val="0"/>
    <w:pPr>
      <w:numPr>
        <w:numId w:val="8"/>
      </w:numPr>
      <w:spacing w:before="0" w:beforeLines="0" w:after="0" w:afterLines="0"/>
      <w:outlineLvl w:val="9"/>
    </w:pPr>
    <w:rPr>
      <w:rFonts w:ascii="宋体" w:eastAsia="宋体"/>
      <w:sz w:val="18"/>
      <w:szCs w:val="18"/>
    </w:rPr>
  </w:style>
  <w:style w:type="paragraph" w:customStyle="1" w:styleId="84">
    <w:name w:val="其他标准标志"/>
    <w:basedOn w:val="85"/>
    <w:autoRedefine/>
    <w:qFormat/>
    <w:uiPriority w:val="0"/>
    <w:pPr>
      <w:framePr w:w="6101" w:wrap="around" w:vAnchor="page" w:hAnchor="page" w:x="4673" w:y="942"/>
    </w:pPr>
    <w:rPr>
      <w:w w:val="130"/>
    </w:rPr>
  </w:style>
  <w:style w:type="paragraph" w:customStyle="1" w:styleId="8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7">
    <w:name w:val="附录标识"/>
    <w:basedOn w:val="1"/>
    <w:next w:val="25"/>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封面标准文稿编辑信息2"/>
    <w:basedOn w:val="90"/>
    <w:autoRedefine/>
    <w:qFormat/>
    <w:uiPriority w:val="0"/>
    <w:pPr>
      <w:framePr w:wrap="around" w:y="4469"/>
    </w:pPr>
  </w:style>
  <w:style w:type="paragraph" w:customStyle="1" w:styleId="90">
    <w:name w:val="封面标准文稿编辑信息"/>
    <w:basedOn w:val="71"/>
    <w:autoRedefine/>
    <w:qFormat/>
    <w:uiPriority w:val="0"/>
    <w:pPr>
      <w:framePr w:wrap="around"/>
      <w:spacing w:before="180" w:line="180" w:lineRule="exact"/>
    </w:pPr>
    <w:rPr>
      <w:sz w:val="21"/>
    </w:rPr>
  </w:style>
  <w:style w:type="paragraph" w:customStyle="1" w:styleId="91">
    <w:name w:val="封面标准英文名称2"/>
    <w:basedOn w:val="73"/>
    <w:autoRedefine/>
    <w:qFormat/>
    <w:uiPriority w:val="0"/>
    <w:pPr>
      <w:framePr w:wrap="around" w:y="4469"/>
    </w:pPr>
  </w:style>
  <w:style w:type="paragraph" w:customStyle="1" w:styleId="92">
    <w:name w:val="封面一致性程度标识2"/>
    <w:basedOn w:val="72"/>
    <w:autoRedefine/>
    <w:qFormat/>
    <w:uiPriority w:val="0"/>
    <w:pPr>
      <w:framePr w:wrap="around" w:y="4469"/>
    </w:pPr>
  </w:style>
  <w:style w:type="paragraph" w:customStyle="1" w:styleId="93">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4">
    <w:name w:val="正文图标题"/>
    <w:next w:val="25"/>
    <w:autoRedefine/>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5">
    <w:name w:val="其他实施日期"/>
    <w:basedOn w:val="96"/>
    <w:autoRedefine/>
    <w:qFormat/>
    <w:uiPriority w:val="99"/>
    <w:pPr>
      <w:framePr w:wrap="around"/>
    </w:pPr>
  </w:style>
  <w:style w:type="paragraph" w:customStyle="1" w:styleId="96">
    <w:name w:val="实施日期"/>
    <w:basedOn w:val="69"/>
    <w:autoRedefine/>
    <w:qFormat/>
    <w:uiPriority w:val="0"/>
    <w:pPr>
      <w:framePr w:wrap="around" w:vAnchor="page" w:hAnchor="text"/>
      <w:jc w:val="right"/>
    </w:pPr>
  </w:style>
  <w:style w:type="paragraph" w:customStyle="1" w:styleId="97">
    <w:name w:val="附录表标题"/>
    <w:basedOn w:val="1"/>
    <w:next w:val="25"/>
    <w:autoRedefine/>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1">
    <w:name w:val="示例后文字"/>
    <w:basedOn w:val="25"/>
    <w:next w:val="25"/>
    <w:autoRedefine/>
    <w:qFormat/>
    <w:uiPriority w:val="0"/>
    <w:pPr>
      <w:ind w:firstLine="360"/>
    </w:pPr>
    <w:rPr>
      <w:sz w:val="18"/>
    </w:rPr>
  </w:style>
  <w:style w:type="paragraph" w:customStyle="1" w:styleId="10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3">
    <w:name w:val="数字编号列项（二级）"/>
    <w:autoRedefine/>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4">
    <w:name w:val="附录五级条标题"/>
    <w:basedOn w:val="78"/>
    <w:next w:val="25"/>
    <w:autoRedefine/>
    <w:qFormat/>
    <w:uiPriority w:val="0"/>
    <w:pPr>
      <w:numPr>
        <w:ilvl w:val="6"/>
      </w:numPr>
      <w:outlineLvl w:val="6"/>
    </w:pPr>
  </w:style>
  <w:style w:type="paragraph" w:customStyle="1" w:styleId="10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6">
    <w:name w:val="附录三级无"/>
    <w:basedOn w:val="79"/>
    <w:autoRedefine/>
    <w:qFormat/>
    <w:uiPriority w:val="0"/>
    <w:pPr>
      <w:tabs>
        <w:tab w:val="clear" w:pos="360"/>
      </w:tabs>
      <w:spacing w:before="0" w:beforeLines="0" w:after="0" w:afterLines="0"/>
    </w:pPr>
    <w:rPr>
      <w:rFonts w:ascii="宋体" w:eastAsia="宋体"/>
      <w:szCs w:val="21"/>
    </w:rPr>
  </w:style>
  <w:style w:type="paragraph" w:customStyle="1" w:styleId="107">
    <w:name w:val="五级条标题"/>
    <w:basedOn w:val="82"/>
    <w:next w:val="25"/>
    <w:autoRedefine/>
    <w:qFormat/>
    <w:uiPriority w:val="0"/>
    <w:pPr>
      <w:numPr>
        <w:ilvl w:val="5"/>
      </w:numPr>
      <w:outlineLvl w:val="6"/>
    </w:pPr>
  </w:style>
  <w:style w:type="paragraph" w:customStyle="1" w:styleId="108">
    <w:name w:val="发布部门"/>
    <w:next w:val="25"/>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目次、标准名称标题"/>
    <w:basedOn w:val="1"/>
    <w:next w:val="25"/>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0">
    <w:name w:val="编号列项（三级）"/>
    <w:autoRedefine/>
    <w:qFormat/>
    <w:uiPriority w:val="0"/>
    <w:pPr>
      <w:numPr>
        <w:ilvl w:val="2"/>
        <w:numId w:val="10"/>
      </w:numPr>
    </w:pPr>
    <w:rPr>
      <w:rFonts w:ascii="宋体" w:hAnsi="Times New Roman" w:eastAsia="宋体" w:cs="Times New Roman"/>
      <w:sz w:val="21"/>
      <w:lang w:val="en-US" w:eastAsia="zh-CN" w:bidi="ar-SA"/>
    </w:rPr>
  </w:style>
  <w:style w:type="paragraph" w:customStyle="1" w:styleId="111">
    <w:name w:val="正文表标题"/>
    <w:next w:val="25"/>
    <w:autoRedefine/>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2">
    <w:name w:val="终结线"/>
    <w:basedOn w:val="1"/>
    <w:autoRedefine/>
    <w:qFormat/>
    <w:uiPriority w:val="0"/>
    <w:pPr>
      <w:framePr w:hSpace="181" w:vSpace="181" w:wrap="around" w:vAnchor="text" w:hAnchor="margin" w:xAlign="center" w:y="285"/>
    </w:pPr>
  </w:style>
  <w:style w:type="paragraph" w:customStyle="1" w:styleId="113">
    <w:name w:val="其他发布部门"/>
    <w:basedOn w:val="108"/>
    <w:autoRedefine/>
    <w:qFormat/>
    <w:uiPriority w:val="0"/>
    <w:pPr>
      <w:framePr w:wrap="around" w:y="15310"/>
      <w:spacing w:line="0" w:lineRule="atLeast"/>
    </w:pPr>
    <w:rPr>
      <w:rFonts w:ascii="黑体" w:eastAsia="黑体"/>
      <w:b w:val="0"/>
    </w:rPr>
  </w:style>
  <w:style w:type="paragraph" w:styleId="114">
    <w:name w:val="List Paragraph"/>
    <w:basedOn w:val="1"/>
    <w:autoRedefine/>
    <w:qFormat/>
    <w:uiPriority w:val="34"/>
    <w:pPr>
      <w:ind w:firstLine="420" w:firstLineChars="200"/>
    </w:pPr>
    <w:rPr>
      <w:rFonts w:ascii="Calibri" w:hAnsi="Calibri"/>
      <w:szCs w:val="22"/>
    </w:rPr>
  </w:style>
  <w:style w:type="paragraph" w:customStyle="1" w:styleId="115">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6">
    <w:name w:val="其他发布日期"/>
    <w:basedOn w:val="69"/>
    <w:autoRedefine/>
    <w:qFormat/>
    <w:uiPriority w:val="99"/>
    <w:pPr>
      <w:framePr w:wrap="around" w:vAnchor="page" w:hAnchor="text" w:x="1419"/>
    </w:pPr>
  </w:style>
  <w:style w:type="paragraph" w:customStyle="1" w:styleId="11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8">
    <w:name w:val="一级无"/>
    <w:basedOn w:val="57"/>
    <w:autoRedefine/>
    <w:qFormat/>
    <w:uiPriority w:val="0"/>
    <w:pPr>
      <w:spacing w:before="0" w:beforeLines="0" w:after="0" w:afterLines="0"/>
    </w:pPr>
    <w:rPr>
      <w:rFonts w:ascii="宋体" w:eastAsia="宋体"/>
    </w:rPr>
  </w:style>
  <w:style w:type="paragraph" w:customStyle="1" w:styleId="119">
    <w:name w:val="三级无"/>
    <w:basedOn w:val="81"/>
    <w:autoRedefine/>
    <w:qFormat/>
    <w:uiPriority w:val="0"/>
    <w:pPr>
      <w:spacing w:before="0" w:beforeLines="0" w:after="0" w:afterLines="0"/>
    </w:pPr>
    <w:rPr>
      <w:rFonts w:ascii="宋体" w:eastAsia="宋体"/>
    </w:rPr>
  </w:style>
  <w:style w:type="paragraph" w:customStyle="1" w:styleId="120">
    <w:name w:val="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21">
    <w:name w:val="注："/>
    <w:next w:val="25"/>
    <w:autoRedefine/>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22">
    <w:name w:val="封面标准文稿类别2"/>
    <w:basedOn w:val="71"/>
    <w:autoRedefine/>
    <w:qFormat/>
    <w:uiPriority w:val="0"/>
    <w:pPr>
      <w:framePr w:wrap="around" w:y="4469"/>
    </w:pPr>
  </w:style>
  <w:style w:type="paragraph" w:customStyle="1" w:styleId="123">
    <w:name w:val="五级无"/>
    <w:basedOn w:val="107"/>
    <w:autoRedefine/>
    <w:qFormat/>
    <w:uiPriority w:val="0"/>
    <w:pPr>
      <w:spacing w:before="0" w:beforeLines="0" w:after="0" w:afterLines="0"/>
    </w:pPr>
    <w:rPr>
      <w:rFonts w:ascii="宋体" w:eastAsia="宋体"/>
    </w:rPr>
  </w:style>
  <w:style w:type="paragraph" w:customStyle="1" w:styleId="124">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5">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附录章标题"/>
    <w:next w:val="25"/>
    <w:autoRedefine/>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封面标准名称2"/>
    <w:basedOn w:val="74"/>
    <w:autoRedefine/>
    <w:qFormat/>
    <w:uiPriority w:val="0"/>
    <w:pPr>
      <w:framePr w:wrap="around" w:y="4469"/>
      <w:spacing w:before="630" w:beforeLines="630"/>
    </w:pPr>
  </w:style>
  <w:style w:type="paragraph" w:customStyle="1" w:styleId="129">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30">
    <w:name w:val="四级无"/>
    <w:basedOn w:val="82"/>
    <w:autoRedefine/>
    <w:qFormat/>
    <w:uiPriority w:val="0"/>
    <w:pPr>
      <w:spacing w:before="0" w:beforeLines="0" w:after="0" w:afterLines="0"/>
    </w:pPr>
    <w:rPr>
      <w:rFonts w:ascii="宋体" w:eastAsia="宋体"/>
    </w:rPr>
  </w:style>
  <w:style w:type="paragraph" w:customStyle="1" w:styleId="13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2">
    <w:name w:val="附录一级条标题"/>
    <w:basedOn w:val="127"/>
    <w:next w:val="25"/>
    <w:autoRedefine/>
    <w:qFormat/>
    <w:uiPriority w:val="0"/>
    <w:pPr>
      <w:numPr>
        <w:ilvl w:val="2"/>
      </w:numPr>
      <w:autoSpaceDN w:val="0"/>
      <w:spacing w:before="50" w:beforeLines="50" w:after="50" w:afterLines="50"/>
      <w:outlineLvl w:val="2"/>
    </w:pPr>
  </w:style>
  <w:style w:type="paragraph" w:customStyle="1" w:styleId="133">
    <w:name w:val="附录标题"/>
    <w:basedOn w:val="25"/>
    <w:next w:val="25"/>
    <w:autoRedefine/>
    <w:qFormat/>
    <w:uiPriority w:val="0"/>
    <w:pPr>
      <w:ind w:firstLine="0" w:firstLineChars="0"/>
      <w:jc w:val="center"/>
    </w:pPr>
    <w:rPr>
      <w:rFonts w:ascii="黑体" w:eastAsia="黑体"/>
    </w:rPr>
  </w:style>
  <w:style w:type="paragraph" w:customStyle="1" w:styleId="134">
    <w:name w:val="标准书眉_偶数页"/>
    <w:basedOn w:val="65"/>
    <w:next w:val="1"/>
    <w:autoRedefine/>
    <w:qFormat/>
    <w:uiPriority w:val="0"/>
    <w:pPr>
      <w:jc w:val="left"/>
    </w:pPr>
  </w:style>
  <w:style w:type="paragraph" w:customStyle="1" w:styleId="13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6">
    <w:name w:val="注：（正文）"/>
    <w:basedOn w:val="121"/>
    <w:next w:val="25"/>
    <w:autoRedefine/>
    <w:qFormat/>
    <w:uiPriority w:val="0"/>
  </w:style>
  <w:style w:type="paragraph" w:customStyle="1" w:styleId="137">
    <w:name w:val="附录图标题"/>
    <w:basedOn w:val="1"/>
    <w:next w:val="25"/>
    <w:autoRedefine/>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8">
    <w:name w:val="字母编号列项（一级）"/>
    <w:autoRedefine/>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9">
    <w:name w:val="示例"/>
    <w:next w:val="99"/>
    <w:autoRedefine/>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40">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41">
    <w:name w:val="封面正文"/>
    <w:autoRedefine/>
    <w:qFormat/>
    <w:uiPriority w:val="0"/>
    <w:pPr>
      <w:jc w:val="both"/>
    </w:pPr>
    <w:rPr>
      <w:rFonts w:ascii="Times New Roman" w:hAnsi="Times New Roman" w:eastAsia="宋体" w:cs="Times New Roman"/>
      <w:lang w:val="en-US" w:eastAsia="zh-CN" w:bidi="ar-SA"/>
    </w:rPr>
  </w:style>
  <w:style w:type="paragraph" w:customStyle="1" w:styleId="142">
    <w:name w:val="附录一级无"/>
    <w:basedOn w:val="132"/>
    <w:autoRedefine/>
    <w:qFormat/>
    <w:uiPriority w:val="0"/>
    <w:pPr>
      <w:tabs>
        <w:tab w:val="clear" w:pos="360"/>
      </w:tabs>
      <w:spacing w:before="0" w:beforeLines="0" w:after="0" w:afterLines="0"/>
    </w:pPr>
    <w:rPr>
      <w:rFonts w:ascii="宋体" w:eastAsia="宋体"/>
      <w:szCs w:val="21"/>
    </w:rPr>
  </w:style>
  <w:style w:type="paragraph" w:customStyle="1" w:styleId="143">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44">
    <w:name w:val="附录五级无"/>
    <w:basedOn w:val="104"/>
    <w:autoRedefine/>
    <w:qFormat/>
    <w:uiPriority w:val="0"/>
    <w:pPr>
      <w:tabs>
        <w:tab w:val="clear" w:pos="360"/>
      </w:tabs>
      <w:spacing w:before="0" w:beforeLines="0" w:after="0" w:afterLines="0"/>
    </w:pPr>
    <w:rPr>
      <w:rFonts w:ascii="宋体" w:eastAsia="宋体"/>
      <w:szCs w:val="21"/>
    </w:rPr>
  </w:style>
  <w:style w:type="paragraph" w:customStyle="1" w:styleId="145">
    <w:name w:val="Char Char Char Char"/>
    <w:basedOn w:val="1"/>
    <w:autoRedefine/>
    <w:qFormat/>
    <w:uiPriority w:val="0"/>
    <w:pPr>
      <w:adjustRightInd w:val="0"/>
      <w:spacing w:line="360" w:lineRule="auto"/>
    </w:pPr>
    <w:rPr>
      <w:kern w:val="0"/>
      <w:sz w:val="24"/>
      <w:szCs w:val="20"/>
    </w:rPr>
  </w:style>
  <w:style w:type="paragraph" w:customStyle="1" w:styleId="146">
    <w:name w:val="图表脚注说明"/>
    <w:basedOn w:val="1"/>
    <w:autoRedefine/>
    <w:qFormat/>
    <w:uiPriority w:val="0"/>
    <w:pPr>
      <w:numPr>
        <w:ilvl w:val="0"/>
        <w:numId w:val="2"/>
      </w:numPr>
    </w:pPr>
    <w:rPr>
      <w:rFonts w:ascii="宋体"/>
      <w:sz w:val="18"/>
      <w:szCs w:val="18"/>
    </w:rPr>
  </w:style>
  <w:style w:type="paragraph" w:customStyle="1" w:styleId="147">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8">
    <w:name w:val="图标脚注说明"/>
    <w:basedOn w:val="25"/>
    <w:autoRedefine/>
    <w:qFormat/>
    <w:uiPriority w:val="0"/>
    <w:pPr>
      <w:ind w:left="840" w:hanging="420" w:firstLineChars="0"/>
    </w:pPr>
    <w:rPr>
      <w:sz w:val="18"/>
      <w:szCs w:val="18"/>
    </w:rPr>
  </w:style>
  <w:style w:type="paragraph" w:customStyle="1" w:styleId="149">
    <w:name w:val="附录二级无"/>
    <w:basedOn w:val="80"/>
    <w:autoRedefine/>
    <w:qFormat/>
    <w:uiPriority w:val="0"/>
    <w:pPr>
      <w:tabs>
        <w:tab w:val="clear" w:pos="360"/>
      </w:tabs>
      <w:spacing w:before="0" w:beforeLines="0" w:after="0" w:afterLines="0"/>
    </w:pPr>
    <w:rPr>
      <w:rFonts w:ascii="宋体" w:eastAsia="宋体"/>
      <w:szCs w:val="21"/>
    </w:rPr>
  </w:style>
  <w:style w:type="paragraph" w:customStyle="1" w:styleId="150">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1">
    <w:name w:val="注×："/>
    <w:autoRedefine/>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52">
    <w:name w:val="正文公式编号制表符"/>
    <w:basedOn w:val="25"/>
    <w:next w:val="25"/>
    <w:autoRedefine/>
    <w:qFormat/>
    <w:uiPriority w:val="0"/>
    <w:pPr>
      <w:ind w:firstLine="0" w:firstLineChars="0"/>
    </w:pPr>
  </w:style>
  <w:style w:type="character" w:customStyle="1" w:styleId="153">
    <w:name w:val="font41"/>
    <w:autoRedefine/>
    <w:qFormat/>
    <w:uiPriority w:val="0"/>
    <w:rPr>
      <w:rFonts w:hint="eastAsia" w:ascii="黑体" w:hAnsi="宋体" w:eastAsia="黑体" w:cs="黑体"/>
      <w:b/>
      <w:bCs/>
      <w:color w:val="000000"/>
      <w:sz w:val="24"/>
      <w:szCs w:val="24"/>
      <w:u w:val="none"/>
    </w:rPr>
  </w:style>
  <w:style w:type="character" w:customStyle="1" w:styleId="154">
    <w:name w:val="font31"/>
    <w:autoRedefine/>
    <w:qFormat/>
    <w:uiPriority w:val="0"/>
    <w:rPr>
      <w:rFonts w:hint="eastAsia" w:ascii="黑体" w:hAnsi="宋体" w:eastAsia="黑体" w:cs="黑体"/>
      <w:color w:val="000000"/>
      <w:sz w:val="22"/>
      <w:szCs w:val="22"/>
      <w:u w:val="none"/>
    </w:rPr>
  </w:style>
  <w:style w:type="character" w:customStyle="1" w:styleId="155">
    <w:name w:val="font01"/>
    <w:autoRedefine/>
    <w:qFormat/>
    <w:uiPriority w:val="0"/>
    <w:rPr>
      <w:rFonts w:hint="eastAsia" w:ascii="宋体" w:hAnsi="宋体" w:eastAsia="宋体" w:cs="宋体"/>
      <w:color w:val="000000"/>
      <w:sz w:val="22"/>
      <w:szCs w:val="22"/>
      <w:u w:val="none"/>
    </w:rPr>
  </w:style>
  <w:style w:type="paragraph" w:customStyle="1" w:styleId="15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57">
    <w:name w:val="_Style 15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58">
    <w:name w:val="fontstyle01"/>
    <w:autoRedefine/>
    <w:qFormat/>
    <w:uiPriority w:val="0"/>
    <w:rPr>
      <w:rFonts w:hint="eastAsia" w:ascii="宋体" w:hAnsi="宋体" w:eastAsia="宋体"/>
      <w:color w:val="000000"/>
      <w:sz w:val="22"/>
      <w:szCs w:val="22"/>
    </w:rPr>
  </w:style>
  <w:style w:type="character" w:customStyle="1" w:styleId="159">
    <w:name w:val="fontstyle21"/>
    <w:autoRedefine/>
    <w:qFormat/>
    <w:uiPriority w:val="0"/>
    <w:rPr>
      <w:rFonts w:hint="eastAsia" w:ascii="黑体" w:hAnsi="黑体" w:eastAsia="黑体"/>
      <w:color w:val="000000"/>
      <w:sz w:val="22"/>
      <w:szCs w:val="22"/>
    </w:rPr>
  </w:style>
  <w:style w:type="paragraph" w:customStyle="1" w:styleId="160">
    <w:name w:val="msolistparagraph"/>
    <w:basedOn w:val="1"/>
    <w:autoRedefine/>
    <w:qFormat/>
    <w:uiPriority w:val="0"/>
    <w:pPr>
      <w:ind w:firstLine="420" w:firstLineChars="200"/>
    </w:pPr>
  </w:style>
  <w:style w:type="paragraph" w:customStyle="1" w:styleId="161">
    <w:name w:val="表格标题 (2)"/>
    <w:basedOn w:val="1"/>
    <w:qFormat/>
    <w:uiPriority w:val="0"/>
    <w:pPr>
      <w:shd w:val="clear" w:color="auto" w:fill="FFFFFF"/>
      <w:spacing w:line="0" w:lineRule="atLeast"/>
      <w:jc w:val="distribute"/>
    </w:pPr>
    <w:rPr>
      <w:rFonts w:ascii="MingLiU" w:hAnsi="MingLiU" w:eastAsia="MingLiU" w:cs="MingLiU"/>
      <w:b/>
      <w:bCs/>
      <w:kern w:val="0"/>
      <w:sz w:val="20"/>
      <w:szCs w:val="20"/>
    </w:rPr>
  </w:style>
  <w:style w:type="paragraph" w:customStyle="1" w:styleId="162">
    <w:name w:val="正文文本 (2)"/>
    <w:basedOn w:val="1"/>
    <w:qFormat/>
    <w:uiPriority w:val="0"/>
    <w:pPr>
      <w:shd w:val="clear" w:color="auto" w:fill="FFFFFF"/>
      <w:spacing w:after="1200" w:line="240" w:lineRule="exact"/>
      <w:jc w:val="left"/>
    </w:pPr>
    <w:rPr>
      <w:rFonts w:ascii="MingLiU" w:hAnsi="MingLiU" w:eastAsia="MingLiU" w:cs="MingLiU"/>
      <w:kern w:val="0"/>
      <w:sz w:val="20"/>
      <w:szCs w:val="20"/>
    </w:rPr>
  </w:style>
  <w:style w:type="paragraph" w:customStyle="1" w:styleId="163">
    <w:name w:val="前言标题"/>
    <w:basedOn w:val="1"/>
    <w:uiPriority w:val="0"/>
    <w:pPr>
      <w:numPr>
        <w:ilvl w:val="0"/>
        <w:numId w:val="18"/>
      </w:numPr>
    </w:pPr>
  </w:style>
  <w:style w:type="paragraph" w:customStyle="1" w:styleId="164">
    <w:name w:val="标准文件_章标题"/>
    <w:basedOn w:val="1"/>
    <w:uiPriority w:val="0"/>
    <w:pPr>
      <w:numPr>
        <w:ilvl w:val="1"/>
        <w:numId w:val="18"/>
      </w:numPr>
    </w:pPr>
  </w:style>
  <w:style w:type="paragraph" w:customStyle="1" w:styleId="165">
    <w:name w:val="标准文件_一级条标题"/>
    <w:basedOn w:val="1"/>
    <w:uiPriority w:val="0"/>
    <w:pPr>
      <w:numPr>
        <w:ilvl w:val="2"/>
        <w:numId w:val="18"/>
      </w:numPr>
      <w:tabs>
        <w:tab w:val="left" w:pos="0"/>
      </w:tabs>
    </w:pPr>
  </w:style>
  <w:style w:type="paragraph" w:customStyle="1" w:styleId="166">
    <w:name w:val="标准文件_二级条标题"/>
    <w:basedOn w:val="1"/>
    <w:uiPriority w:val="0"/>
    <w:pPr>
      <w:numPr>
        <w:ilvl w:val="3"/>
        <w:numId w:val="18"/>
      </w:numPr>
    </w:pPr>
  </w:style>
  <w:style w:type="paragraph" w:customStyle="1" w:styleId="167">
    <w:name w:val="标准文件_三级条标题"/>
    <w:basedOn w:val="1"/>
    <w:uiPriority w:val="0"/>
    <w:pPr>
      <w:numPr>
        <w:ilvl w:val="4"/>
        <w:numId w:val="18"/>
      </w:numPr>
    </w:pPr>
  </w:style>
  <w:style w:type="paragraph" w:customStyle="1" w:styleId="168">
    <w:name w:val="标准文件_四级条标题"/>
    <w:basedOn w:val="1"/>
    <w:uiPriority w:val="0"/>
    <w:pPr>
      <w:numPr>
        <w:ilvl w:val="5"/>
        <w:numId w:val="18"/>
      </w:numPr>
    </w:pPr>
  </w:style>
  <w:style w:type="paragraph" w:customStyle="1" w:styleId="169">
    <w:name w:val="标准文件_五级条标题"/>
    <w:basedOn w:val="1"/>
    <w:uiPriority w:val="0"/>
    <w:pPr>
      <w:numPr>
        <w:ilvl w:val="6"/>
        <w:numId w:val="18"/>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2751</Words>
  <Characters>3787</Characters>
  <Lines>22</Lines>
  <Paragraphs>6</Paragraphs>
  <TotalTime>39</TotalTime>
  <ScaleCrop>false</ScaleCrop>
  <LinksUpToDate>false</LinksUpToDate>
  <CharactersWithSpaces>3949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2023-12-05T06:04:00Z</cp:lastPrinted>
  <dcterms:modified xsi:type="dcterms:W3CDTF">2025-02-24T02:26:17Z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2A20A5A0282B49B5A7FC1EEBF4227A34_13</vt:lpwstr>
  </property>
  <property fmtid="{D5CDD505-2E9C-101B-9397-08002B2CF9AE}" pid="4" name="KSOTemplateDocerSaveRecord">
    <vt:lpwstr>eyJoZGlkIjoiNzRlMGJiZTY3ZDA1YTE3MjE0NWYzZmUwOGY3M2RiNDUiLCJ1c2VySWQiOiIyODU3NzIwNjYifQ==</vt:lpwstr>
  </property>
</Properties>
</file>