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57479">
      <w:pPr>
        <w:pStyle w:val="2"/>
        <w:spacing w:line="520" w:lineRule="exact"/>
        <w:jc w:val="center"/>
        <w:rPr>
          <w:rFonts w:ascii="Times New Roman" w:hAnsi="Times New Roman" w:eastAsia="黑体"/>
          <w:sz w:val="30"/>
          <w:szCs w:val="30"/>
        </w:rPr>
      </w:pPr>
      <w:bookmarkStart w:id="0" w:name="_Toc384593522"/>
      <w:bookmarkStart w:id="1" w:name="_Toc421543628"/>
      <w:r>
        <w:rPr>
          <w:rFonts w:hint="eastAsia" w:ascii="Times New Roman" w:hAnsi="Times New Roman" w:eastAsia="黑体"/>
          <w:sz w:val="30"/>
          <w:szCs w:val="30"/>
        </w:rPr>
        <w:t>《</w:t>
      </w:r>
      <w:r>
        <w:rPr>
          <w:rFonts w:hint="eastAsia" w:ascii="Times New Roman" w:hAnsi="Times New Roman" w:eastAsia="黑体"/>
          <w:sz w:val="30"/>
          <w:szCs w:val="30"/>
          <w:lang w:val="en-US" w:eastAsia="zh-CN"/>
        </w:rPr>
        <w:t>中成药中添加溴己新药物的检测方法—拉曼光谱法</w:t>
      </w:r>
      <w:r>
        <w:rPr>
          <w:rFonts w:hint="eastAsia" w:ascii="Times New Roman" w:hAnsi="Times New Roman" w:eastAsia="黑体"/>
          <w:sz w:val="30"/>
          <w:szCs w:val="30"/>
        </w:rPr>
        <w:t>》</w:t>
      </w:r>
    </w:p>
    <w:p w14:paraId="48C21C59">
      <w:pPr>
        <w:pStyle w:val="2"/>
        <w:spacing w:line="520" w:lineRule="exact"/>
        <w:jc w:val="center"/>
        <w:rPr>
          <w:rFonts w:ascii="Times New Roman" w:hAnsi="Times New Roman" w:eastAsia="黑体"/>
          <w:sz w:val="30"/>
          <w:szCs w:val="30"/>
        </w:rPr>
      </w:pPr>
      <w:r>
        <w:rPr>
          <w:rFonts w:hint="eastAsia" w:ascii="Times New Roman" w:hAnsi="Times New Roman" w:eastAsia="黑体"/>
          <w:sz w:val="30"/>
          <w:szCs w:val="30"/>
        </w:rPr>
        <w:t>征求意见稿</w:t>
      </w:r>
      <w:r>
        <w:rPr>
          <w:rFonts w:ascii="Times New Roman" w:hAnsi="Times New Roman" w:eastAsia="黑体"/>
          <w:sz w:val="30"/>
          <w:szCs w:val="30"/>
        </w:rPr>
        <w:t xml:space="preserve"> </w:t>
      </w:r>
      <w:r>
        <w:rPr>
          <w:rFonts w:hint="eastAsia" w:ascii="Times New Roman" w:hAnsi="Times New Roman" w:eastAsia="黑体"/>
          <w:sz w:val="30"/>
          <w:szCs w:val="30"/>
        </w:rPr>
        <w:t>编制说明</w:t>
      </w:r>
    </w:p>
    <w:bookmarkEnd w:id="0"/>
    <w:bookmarkEnd w:id="1"/>
    <w:p w14:paraId="59C66CBB">
      <w:pPr>
        <w:spacing w:before="312" w:beforeLines="100" w:after="124" w:afterLines="40" w:line="520" w:lineRule="exact"/>
        <w:ind w:firstLine="482" w:firstLineChars="200"/>
        <w:rPr>
          <w:rFonts w:ascii="Times New Roman" w:hAnsi="Times New Roman" w:eastAsia="黑体"/>
          <w:b/>
          <w:bCs/>
          <w:sz w:val="24"/>
          <w:szCs w:val="24"/>
        </w:rPr>
      </w:pPr>
      <w:r>
        <w:rPr>
          <w:rFonts w:hint="eastAsia" w:ascii="Times New Roman" w:hAnsi="Times New Roman" w:eastAsia="黑体"/>
          <w:b/>
          <w:bCs/>
          <w:sz w:val="24"/>
          <w:szCs w:val="24"/>
        </w:rPr>
        <w:t>一、工作简况</w:t>
      </w:r>
    </w:p>
    <w:p w14:paraId="2C461914">
      <w:pPr>
        <w:spacing w:line="520" w:lineRule="exact"/>
        <w:ind w:firstLine="482" w:firstLineChars="200"/>
        <w:rPr>
          <w:rFonts w:ascii="Times New Roman" w:hAnsi="Times New Roman" w:eastAsia="黑体"/>
          <w:b/>
          <w:bCs/>
          <w:sz w:val="24"/>
          <w:szCs w:val="24"/>
        </w:rPr>
      </w:pPr>
      <w:r>
        <w:rPr>
          <w:rFonts w:hint="eastAsia" w:ascii="Times New Roman" w:hAnsi="Times New Roman" w:eastAsia="黑体"/>
          <w:b/>
          <w:bCs/>
          <w:sz w:val="24"/>
          <w:szCs w:val="24"/>
        </w:rPr>
        <w:t>（一）任务来源</w:t>
      </w:r>
    </w:p>
    <w:p w14:paraId="183CD143">
      <w:pPr>
        <w:pStyle w:val="4"/>
        <w:spacing w:line="520" w:lineRule="exact"/>
        <w:ind w:firstLine="480" w:firstLineChars="200"/>
        <w:rPr>
          <w:rFonts w:ascii="Times New Roman" w:hAnsi="Times New Roman" w:cs="Times New Roman"/>
          <w:sz w:val="24"/>
        </w:rPr>
      </w:pPr>
      <w:r>
        <w:rPr>
          <w:rFonts w:hint="eastAsia" w:ascii="Times New Roman" w:hAnsi="Times New Roman" w:cs="Times New Roman" w:eastAsiaTheme="minorEastAsia"/>
          <w:sz w:val="24"/>
          <w:szCs w:val="24"/>
          <w:lang w:val="en-US" w:bidi="ar-SA"/>
        </w:rPr>
        <w:t>按照《中国食品药品企业质量安全促进会团体标准管理办法（试行）》的有关规定和要求，由</w:t>
      </w:r>
      <w:r>
        <w:rPr>
          <w:rFonts w:hint="eastAsia" w:ascii="Times New Roman" w:hAnsi="Times New Roman" w:cs="Times New Roman" w:eastAsiaTheme="minorEastAsia"/>
          <w:sz w:val="24"/>
          <w:szCs w:val="24"/>
          <w:lang w:val="en-US" w:eastAsia="zh-CN" w:bidi="ar-SA"/>
        </w:rPr>
        <w:t>河北省药品医疗器械检验研究院</w:t>
      </w:r>
      <w:r>
        <w:rPr>
          <w:rFonts w:hint="eastAsia" w:ascii="Times New Roman" w:hAnsi="Times New Roman" w:cs="Times New Roman"/>
          <w:sz w:val="24"/>
        </w:rPr>
        <w:t>提出</w:t>
      </w:r>
      <w:r>
        <w:rPr>
          <w:rFonts w:hint="eastAsia" w:ascii="Times New Roman" w:hAnsi="Times New Roman" w:cs="Times New Roman" w:eastAsiaTheme="minorEastAsia"/>
          <w:sz w:val="24"/>
          <w:szCs w:val="24"/>
          <w:lang w:val="en-US" w:bidi="ar-SA"/>
        </w:rPr>
        <w:t>《</w:t>
      </w:r>
      <w:r>
        <w:rPr>
          <w:rFonts w:hint="eastAsia" w:ascii="Times New Roman" w:hAnsi="Times New Roman" w:cs="Times New Roman" w:eastAsiaTheme="minorEastAsia"/>
          <w:sz w:val="24"/>
          <w:szCs w:val="24"/>
          <w:lang w:val="en-US" w:eastAsia="zh-CN" w:bidi="ar-SA"/>
        </w:rPr>
        <w:t>中成药中添加溴己新药物的检测方法—拉曼光谱法</w:t>
      </w:r>
      <w:r>
        <w:rPr>
          <w:rFonts w:hint="eastAsia" w:ascii="Times New Roman" w:hAnsi="Times New Roman" w:cs="Times New Roman" w:eastAsiaTheme="minorEastAsia"/>
          <w:sz w:val="24"/>
          <w:szCs w:val="24"/>
          <w:lang w:val="en-US" w:bidi="ar-SA"/>
        </w:rPr>
        <w:t>》</w:t>
      </w:r>
      <w:r>
        <w:rPr>
          <w:rFonts w:hint="eastAsia" w:ascii="Times New Roman" w:hAnsi="Times New Roman" w:cs="Times New Roman"/>
          <w:sz w:val="24"/>
        </w:rPr>
        <w:t>立项申请，</w:t>
      </w:r>
      <w:r>
        <w:rPr>
          <w:rFonts w:hint="eastAsia" w:ascii="Times New Roman" w:hAnsi="Times New Roman" w:cs="Times New Roman" w:eastAsiaTheme="minorEastAsia"/>
          <w:sz w:val="24"/>
          <w:szCs w:val="24"/>
          <w:lang w:val="en-US" w:bidi="ar-SA"/>
        </w:rPr>
        <w:t>中国食品药品企业质量安全促进会于</w:t>
      </w:r>
      <w:r>
        <w:rPr>
          <w:rFonts w:ascii="Times New Roman" w:hAnsi="Times New Roman" w:cs="Times New Roman" w:eastAsiaTheme="minorEastAsia"/>
          <w:sz w:val="24"/>
          <w:szCs w:val="24"/>
          <w:lang w:val="en-US" w:bidi="ar-SA"/>
        </w:rPr>
        <w:t>202</w:t>
      </w:r>
      <w:r>
        <w:rPr>
          <w:rFonts w:hint="eastAsia" w:ascii="Times New Roman" w:hAnsi="Times New Roman" w:cs="Times New Roman" w:eastAsiaTheme="minorEastAsia"/>
          <w:sz w:val="24"/>
          <w:szCs w:val="24"/>
          <w:lang w:val="en-US" w:eastAsia="zh-CN" w:bidi="ar-SA"/>
        </w:rPr>
        <w:t>4</w:t>
      </w:r>
      <w:r>
        <w:rPr>
          <w:rFonts w:hint="eastAsia" w:ascii="Times New Roman" w:hAnsi="Times New Roman" w:cs="Times New Roman" w:eastAsiaTheme="minorEastAsia"/>
          <w:sz w:val="24"/>
          <w:szCs w:val="24"/>
          <w:lang w:val="en-US" w:bidi="ar-SA"/>
        </w:rPr>
        <w:t>年</w:t>
      </w:r>
      <w:r>
        <w:rPr>
          <w:rFonts w:ascii="Times New Roman" w:hAnsi="Times New Roman" w:cs="Times New Roman" w:eastAsiaTheme="minorEastAsia"/>
          <w:sz w:val="24"/>
          <w:szCs w:val="24"/>
          <w:lang w:val="en-US" w:bidi="ar-SA"/>
        </w:rPr>
        <w:t>1</w:t>
      </w:r>
      <w:r>
        <w:rPr>
          <w:rFonts w:hint="eastAsia" w:ascii="Times New Roman" w:hAnsi="Times New Roman" w:cs="Times New Roman" w:eastAsiaTheme="minorEastAsia"/>
          <w:sz w:val="24"/>
          <w:szCs w:val="24"/>
          <w:lang w:val="en-US" w:eastAsia="zh-CN" w:bidi="ar-SA"/>
        </w:rPr>
        <w:t>2</w:t>
      </w:r>
      <w:r>
        <w:rPr>
          <w:rFonts w:hint="eastAsia" w:ascii="Times New Roman" w:hAnsi="Times New Roman" w:cs="Times New Roman" w:eastAsiaTheme="minorEastAsia"/>
          <w:sz w:val="24"/>
          <w:szCs w:val="24"/>
          <w:lang w:val="en-US" w:bidi="ar-SA"/>
        </w:rPr>
        <w:t>月</w:t>
      </w:r>
      <w:r>
        <w:rPr>
          <w:rFonts w:hint="eastAsia" w:ascii="Times New Roman" w:hAnsi="Times New Roman" w:cs="Times New Roman"/>
          <w:sz w:val="24"/>
        </w:rPr>
        <w:t>组织专家按程序审议后予以立项。</w:t>
      </w:r>
    </w:p>
    <w:p w14:paraId="2EB52F2B">
      <w:pPr>
        <w:numPr>
          <w:ilvl w:val="0"/>
          <w:numId w:val="5"/>
        </w:numPr>
        <w:spacing w:line="520" w:lineRule="exact"/>
        <w:ind w:firstLine="482" w:firstLineChars="200"/>
        <w:rPr>
          <w:rFonts w:hint="eastAsia" w:ascii="Times New Roman" w:hAnsi="Times New Roman" w:eastAsia="黑体"/>
          <w:b/>
          <w:bCs/>
          <w:color w:val="4F81BD" w:themeColor="accent1"/>
          <w:sz w:val="24"/>
          <w:szCs w:val="24"/>
          <w14:textFill>
            <w14:solidFill>
              <w14:schemeClr w14:val="accent1"/>
            </w14:solidFill>
          </w14:textFill>
        </w:rPr>
      </w:pPr>
      <w:r>
        <w:rPr>
          <w:rFonts w:hint="eastAsia" w:ascii="Times New Roman" w:hAnsi="Times New Roman" w:eastAsia="黑体"/>
          <w:b/>
          <w:bCs/>
          <w:color w:val="4F81BD" w:themeColor="accent1"/>
          <w:sz w:val="24"/>
          <w:szCs w:val="24"/>
          <w14:textFill>
            <w14:solidFill>
              <w14:schemeClr w14:val="accent1"/>
            </w14:solidFill>
          </w14:textFill>
        </w:rPr>
        <w:t>目的、意义及必要性</w:t>
      </w:r>
    </w:p>
    <w:p w14:paraId="447EB340">
      <w:pPr>
        <w:pStyle w:val="4"/>
        <w:spacing w:line="520" w:lineRule="exact"/>
        <w:ind w:firstLine="480" w:firstLineChars="200"/>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慢性支气管炎、肺气肿、支气管扩张等慢性阻塞性肺疾病（慢阻肺，chronic obstructive pulmonary disease，COPD）是一种具有气流阻塞特征的慢性支气管炎和（或）肺气肿，可进一步发展为肺心病和呼吸衰竭的常见慢性疾病。与有害气体及有害颗粒的异常炎症反应有关，致残率和病死率很高，全球40岁以上发病率已高达9%～10%。慢性阻塞性肺病是全球第四大死因，2021年造成350万人死亡，约占全球死亡总数的5%，慢性阻塞性肺病是全球健康状况不佳的第八大原因（以残疾调整生命年衡量）。</w:t>
      </w:r>
    </w:p>
    <w:p w14:paraId="19A099F8">
      <w:pPr>
        <w:pStyle w:val="4"/>
        <w:spacing w:line="520" w:lineRule="exact"/>
        <w:ind w:firstLine="480" w:firstLineChars="200"/>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中成药是以中药材为原料，在中医药理论指导下，为了预防及治疗疾病的需要，按规定的处方和制剂工艺将其加工制成一定剂型的中药制品，是经国家药品监督管理部门批准的商品化的一类中药制剂。</w:t>
      </w:r>
    </w:p>
    <w:p w14:paraId="0D917490">
      <w:pPr>
        <w:pStyle w:val="4"/>
        <w:spacing w:line="520" w:lineRule="exact"/>
        <w:ind w:firstLine="480" w:firstLineChars="200"/>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2023年第二季度，等级医院中成药销售额470.2亿元，较去年同期大幅增长31.2%。与化学药和生物药相比，中成药在等级医院药品销售额中的占比也得到明显提升，今年二季度较去年同期增长1.7个百分点。药融云数据显示，在我国零售和等级医院终端市场，儿科中成药2023年上半年销售额近233亿元，预计全年将突破100亿元，达到2013年以来的销售峰值。</w:t>
      </w:r>
    </w:p>
    <w:p w14:paraId="2487979A">
      <w:pPr>
        <w:pStyle w:val="4"/>
        <w:spacing w:line="520" w:lineRule="exact"/>
        <w:ind w:firstLine="480" w:firstLineChars="200"/>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中成药具有性质稳定、疗效确切、毒副作用相对较小，服用、携带、贮藏保管方便等特点。但是由于中成药治疗见效慢，需要一定服用疗程，有少数不法分子为增强其产品的功效、快速治疗、牟取暴利,在中成药中非法添加化学药品,严重危害患者的身体健康和药品安全。患者在不知情时服用了这些食品，可能会对生命健康造成严重危害。在高收益的驱使下，近年中成药中添加西药成分违法犯罪活动日益猖獗，是目前我国药品安全领域的巨大挑战。</w:t>
      </w:r>
    </w:p>
    <w:p w14:paraId="2BC817A6">
      <w:pPr>
        <w:pStyle w:val="4"/>
        <w:spacing w:line="520" w:lineRule="exact"/>
        <w:ind w:firstLine="480" w:firstLineChars="200"/>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溴己新，分子式为C</w:t>
      </w:r>
      <w:r>
        <w:rPr>
          <w:rFonts w:hint="eastAsia" w:ascii="Times New Roman" w:hAnsi="Times New Roman" w:cs="Times New Roman" w:eastAsiaTheme="minorEastAsia"/>
          <w:sz w:val="24"/>
          <w:szCs w:val="24"/>
          <w:vertAlign w:val="subscript"/>
          <w:lang w:val="en-US" w:eastAsia="zh-CN" w:bidi="ar-SA"/>
        </w:rPr>
        <w:t>14</w:t>
      </w:r>
      <w:r>
        <w:rPr>
          <w:rFonts w:hint="eastAsia" w:ascii="Times New Roman" w:hAnsi="Times New Roman" w:cs="Times New Roman" w:eastAsiaTheme="minorEastAsia"/>
          <w:sz w:val="24"/>
          <w:szCs w:val="24"/>
          <w:lang w:val="en-US" w:eastAsia="zh-CN" w:bidi="ar-SA"/>
        </w:rPr>
        <w:t>H</w:t>
      </w:r>
      <w:r>
        <w:rPr>
          <w:rFonts w:hint="eastAsia" w:ascii="Times New Roman" w:hAnsi="Times New Roman" w:cs="Times New Roman" w:eastAsiaTheme="minorEastAsia"/>
          <w:sz w:val="24"/>
          <w:szCs w:val="24"/>
          <w:vertAlign w:val="subscript"/>
          <w:lang w:val="en-US" w:eastAsia="zh-CN" w:bidi="ar-SA"/>
        </w:rPr>
        <w:t>20</w:t>
      </w:r>
      <w:r>
        <w:rPr>
          <w:rFonts w:hint="eastAsia" w:ascii="Times New Roman" w:hAnsi="Times New Roman" w:cs="Times New Roman" w:eastAsiaTheme="minorEastAsia"/>
          <w:sz w:val="24"/>
          <w:szCs w:val="24"/>
          <w:lang w:val="en-US" w:eastAsia="zh-CN" w:bidi="ar-SA"/>
        </w:rPr>
        <w:t>Br</w:t>
      </w:r>
      <w:r>
        <w:rPr>
          <w:rFonts w:hint="eastAsia" w:ascii="Times New Roman" w:hAnsi="Times New Roman" w:cs="Times New Roman" w:eastAsiaTheme="minorEastAsia"/>
          <w:sz w:val="24"/>
          <w:szCs w:val="24"/>
          <w:vertAlign w:val="subscript"/>
          <w:lang w:val="en-US" w:eastAsia="zh-CN" w:bidi="ar-SA"/>
        </w:rPr>
        <w:t>2</w:t>
      </w:r>
      <w:r>
        <w:rPr>
          <w:rFonts w:hint="eastAsia" w:ascii="Times New Roman" w:hAnsi="Times New Roman" w:cs="Times New Roman" w:eastAsiaTheme="minorEastAsia"/>
          <w:sz w:val="24"/>
          <w:szCs w:val="24"/>
          <w:lang w:val="en-US" w:eastAsia="zh-CN" w:bidi="ar-SA"/>
        </w:rPr>
        <w:t>N</w:t>
      </w:r>
      <w:r>
        <w:rPr>
          <w:rFonts w:hint="eastAsia" w:ascii="Times New Roman" w:hAnsi="Times New Roman" w:cs="Times New Roman" w:eastAsiaTheme="minorEastAsia"/>
          <w:sz w:val="24"/>
          <w:szCs w:val="24"/>
          <w:vertAlign w:val="subscript"/>
          <w:lang w:val="en-US" w:eastAsia="zh-CN" w:bidi="ar-SA"/>
        </w:rPr>
        <w:t>2</w:t>
      </w:r>
      <w:r>
        <w:rPr>
          <w:rFonts w:hint="eastAsia" w:ascii="Times New Roman" w:hAnsi="Times New Roman" w:cs="Times New Roman" w:eastAsiaTheme="minorEastAsia"/>
          <w:sz w:val="24"/>
          <w:szCs w:val="24"/>
          <w:lang w:val="en-US" w:eastAsia="zh-CN" w:bidi="ar-SA"/>
        </w:rPr>
        <w:t>，CAS号：3572-43-8，结构式见下图1，是一种祛痰药。在临床应用中，溴己新具有较强的溶解粘痰的作用，可使痰中的多糖纤维素裂解，稀化痰液。抑制杯状细胞和粘液腺体合成糖蛋白，使痰液中的唾液酸减少，减低痰粘度，利于排出。因此，溴己新对慢性支气管炎、肺气肿、支气管扩张等慢性阻塞性肺疾病，有黏痰不易咳出者较适用。常见的祛痰类中成药中就可能会非法添加溴己新来达到快速起效的目的，这种新型非法添加的行为不仅造成消费者和合法生产企业的经济损失、扰乱正常的市场经济秩序，甚至会引发全社会的广泛关注负面情绪，严重损害党和政府国家机关的公信力。</w:t>
      </w:r>
    </w:p>
    <w:p w14:paraId="3073E18C">
      <w:pPr>
        <w:jc w:val="center"/>
        <w:rPr>
          <w:rFonts w:hint="eastAsia" w:eastAsia="宋体"/>
          <w:lang w:eastAsia="zh-CN"/>
        </w:rPr>
      </w:pPr>
      <w:r>
        <w:rPr>
          <w:rFonts w:hint="eastAsia" w:eastAsia="宋体"/>
          <w:lang w:eastAsia="zh-CN"/>
        </w:rPr>
        <w:drawing>
          <wp:inline distT="0" distB="0" distL="114300" distR="114300">
            <wp:extent cx="2441575" cy="1603375"/>
            <wp:effectExtent l="0" t="0" r="15875" b="15875"/>
            <wp:docPr id="1" name="图片 1" descr="1742893547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2893547717"/>
                    <pic:cNvPicPr>
                      <a:picLocks noChangeAspect="1"/>
                    </pic:cNvPicPr>
                  </pic:nvPicPr>
                  <pic:blipFill>
                    <a:blip r:embed="rId6"/>
                    <a:srcRect l="6493"/>
                    <a:stretch>
                      <a:fillRect/>
                    </a:stretch>
                  </pic:blipFill>
                  <pic:spPr>
                    <a:xfrm>
                      <a:off x="0" y="0"/>
                      <a:ext cx="2441575" cy="1603375"/>
                    </a:xfrm>
                    <a:prstGeom prst="rect">
                      <a:avLst/>
                    </a:prstGeom>
                    <a:noFill/>
                    <a:ln>
                      <a:noFill/>
                    </a:ln>
                  </pic:spPr>
                </pic:pic>
              </a:graphicData>
            </a:graphic>
          </wp:inline>
        </w:drawing>
      </w:r>
    </w:p>
    <w:p w14:paraId="270D2083">
      <w:pPr>
        <w:pStyle w:val="4"/>
        <w:spacing w:line="520" w:lineRule="exact"/>
        <w:ind w:firstLine="480" w:firstLineChars="200"/>
        <w:jc w:val="center"/>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图1 溴己新分子结构</w:t>
      </w:r>
    </w:p>
    <w:p w14:paraId="71B6047B">
      <w:pPr>
        <w:pStyle w:val="4"/>
        <w:spacing w:line="520" w:lineRule="exact"/>
        <w:ind w:firstLine="480" w:firstLineChars="200"/>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目前，针对溴己新的检验标准及方法相对滞后，尤其是缺乏现场快速筛查的技术手段。目前实验室的技术手段主要是高效液相色谱法。针对化学药物溴己新的检测方法报道较少，多以实验分析方法为主：刘素英等用高效液相色谱法测定</w:t>
      </w:r>
      <w:bookmarkStart w:id="3" w:name="_GoBack"/>
      <w:bookmarkEnd w:id="3"/>
      <w:r>
        <w:rPr>
          <w:rFonts w:hint="eastAsia" w:ascii="Times New Roman" w:hAnsi="Times New Roman" w:cs="Times New Roman" w:eastAsiaTheme="minorEastAsia"/>
          <w:sz w:val="24"/>
          <w:szCs w:val="24"/>
          <w:lang w:val="en-US" w:eastAsia="zh-CN" w:bidi="ar-SA"/>
        </w:rPr>
        <w:t>盐酸溴已新片的含量；殷国真等采用高效液相色谱法测定定喘止咳胶囊中三组分的含量；此外邹定等和叶隽等分别采用</w:t>
      </w:r>
      <w:r>
        <w:rPr>
          <w:rFonts w:hint="default" w:ascii="Times New Roman" w:hAnsi="Times New Roman" w:cs="Times New Roman" w:eastAsiaTheme="minorEastAsia"/>
          <w:sz w:val="24"/>
          <w:szCs w:val="24"/>
          <w:lang w:val="en-US" w:eastAsia="zh-CN" w:bidi="ar-SA"/>
        </w:rPr>
        <w:t>毛细管区带电泳测定复方氯丙那林片中3种药物含量</w:t>
      </w:r>
      <w:r>
        <w:rPr>
          <w:rFonts w:hint="eastAsia" w:ascii="Times New Roman" w:hAnsi="Times New Roman" w:cs="Times New Roman" w:eastAsiaTheme="minorEastAsia"/>
          <w:sz w:val="24"/>
          <w:szCs w:val="24"/>
          <w:lang w:val="en-US" w:eastAsia="zh-CN" w:bidi="ar-SA"/>
        </w:rPr>
        <w:t>和</w:t>
      </w:r>
      <w:r>
        <w:rPr>
          <w:rFonts w:hint="default" w:ascii="Times New Roman" w:hAnsi="Times New Roman" w:cs="Times New Roman" w:eastAsiaTheme="minorEastAsia"/>
          <w:sz w:val="24"/>
          <w:szCs w:val="24"/>
          <w:lang w:val="en-US" w:eastAsia="zh-CN" w:bidi="ar-SA"/>
        </w:rPr>
        <w:t>HPLC法测定盐酸溴已新片的含量及溶出度</w:t>
      </w:r>
      <w:r>
        <w:rPr>
          <w:rFonts w:hint="eastAsia" w:ascii="Times New Roman" w:hAnsi="Times New Roman" w:cs="Times New Roman" w:eastAsiaTheme="minorEastAsia"/>
          <w:sz w:val="24"/>
          <w:szCs w:val="24"/>
          <w:lang w:val="en-US" w:eastAsia="zh-CN" w:bidi="ar-SA"/>
        </w:rPr>
        <w:t>。高效液相色谱法虽然准确度较高，但存在着耗时、成本高、专业性强、操作难度大等缺点。因此亟需开发针对中成药中非法添加溴己新药物的现场快速检测方法。</w:t>
      </w:r>
    </w:p>
    <w:p w14:paraId="048953A6">
      <w:pPr>
        <w:spacing w:line="520" w:lineRule="exact"/>
        <w:ind w:firstLine="482" w:firstLineChars="200"/>
        <w:rPr>
          <w:rFonts w:ascii="Times New Roman" w:hAnsi="Times New Roman" w:eastAsia="黑体"/>
          <w:b/>
          <w:bCs/>
          <w:sz w:val="24"/>
          <w:szCs w:val="24"/>
        </w:rPr>
      </w:pPr>
      <w:r>
        <w:rPr>
          <w:rFonts w:hint="eastAsia" w:ascii="Times New Roman" w:hAnsi="Times New Roman" w:eastAsia="黑体"/>
          <w:b/>
          <w:bCs/>
          <w:sz w:val="24"/>
          <w:szCs w:val="24"/>
        </w:rPr>
        <w:t>（三）团体标准起草单位和主要起草人</w:t>
      </w:r>
    </w:p>
    <w:p w14:paraId="235ACB91">
      <w:pPr>
        <w:spacing w:line="520" w:lineRule="exact"/>
        <w:ind w:firstLine="480" w:firstLineChars="200"/>
        <w:rPr>
          <w:rFonts w:ascii="Times New Roman" w:hAnsi="Times New Roman" w:eastAsiaTheme="minorEastAsia"/>
          <w:sz w:val="24"/>
          <w:szCs w:val="24"/>
        </w:rPr>
      </w:pPr>
      <w:r>
        <w:rPr>
          <w:rFonts w:hint="eastAsia" w:ascii="Times New Roman" w:hAnsi="Times New Roman"/>
          <w:sz w:val="24"/>
        </w:rPr>
        <w:t>立项申请</w:t>
      </w:r>
      <w:r>
        <w:rPr>
          <w:rFonts w:hint="eastAsia" w:ascii="Times New Roman" w:hAnsi="Times New Roman" w:eastAsiaTheme="minorEastAsia"/>
          <w:sz w:val="24"/>
          <w:szCs w:val="24"/>
        </w:rPr>
        <w:t>单位：</w:t>
      </w:r>
      <w:r>
        <w:rPr>
          <w:rFonts w:hint="eastAsia" w:ascii="Times New Roman" w:hAnsi="Times New Roman" w:cs="Times New Roman" w:eastAsiaTheme="minorEastAsia"/>
          <w:sz w:val="24"/>
          <w:szCs w:val="24"/>
          <w:lang w:val="en-US" w:eastAsia="zh-CN" w:bidi="ar-SA"/>
        </w:rPr>
        <w:t>河北省药品医疗器械检验研究院</w:t>
      </w:r>
      <w:r>
        <w:rPr>
          <w:rFonts w:hint="eastAsia" w:ascii="Times New Roman" w:hAnsi="Times New Roman" w:eastAsiaTheme="minorEastAsia"/>
          <w:sz w:val="24"/>
          <w:szCs w:val="24"/>
        </w:rPr>
        <w:t>。</w:t>
      </w:r>
    </w:p>
    <w:p w14:paraId="54CB836A">
      <w:pPr>
        <w:spacing w:line="52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本标准牵头起草人：。</w:t>
      </w:r>
    </w:p>
    <w:p w14:paraId="1E7D4F01">
      <w:pPr>
        <w:spacing w:line="520" w:lineRule="exact"/>
        <w:ind w:firstLine="482" w:firstLineChars="200"/>
        <w:rPr>
          <w:rFonts w:ascii="Times New Roman" w:hAnsi="Times New Roman" w:eastAsia="黑体"/>
          <w:b/>
          <w:bCs/>
          <w:sz w:val="24"/>
          <w:szCs w:val="24"/>
        </w:rPr>
      </w:pPr>
      <w:r>
        <w:rPr>
          <w:rFonts w:hint="eastAsia" w:ascii="Times New Roman" w:hAnsi="Times New Roman" w:eastAsia="黑体"/>
          <w:b/>
          <w:bCs/>
          <w:sz w:val="24"/>
          <w:szCs w:val="24"/>
        </w:rPr>
        <w:t>（四）参与单位</w:t>
      </w:r>
    </w:p>
    <w:p w14:paraId="3D36B518">
      <w:pPr>
        <w:spacing w:line="520" w:lineRule="exact"/>
        <w:ind w:firstLine="482" w:firstLineChars="200"/>
        <w:rPr>
          <w:rFonts w:ascii="Times New Roman" w:hAnsi="Times New Roman" w:eastAsia="黑体"/>
          <w:b/>
          <w:bCs/>
          <w:sz w:val="24"/>
          <w:szCs w:val="24"/>
        </w:rPr>
      </w:pPr>
      <w:r>
        <w:rPr>
          <w:rFonts w:hint="eastAsia" w:ascii="Times New Roman" w:hAnsi="Times New Roman" w:eastAsia="黑体"/>
          <w:b/>
          <w:bCs/>
          <w:sz w:val="24"/>
          <w:szCs w:val="24"/>
        </w:rPr>
        <w:t>（五）主要工作</w:t>
      </w:r>
    </w:p>
    <w:p w14:paraId="76CE3893">
      <w:pPr>
        <w:spacing w:line="520" w:lineRule="exact"/>
        <w:ind w:firstLine="482" w:firstLineChars="200"/>
        <w:rPr>
          <w:rFonts w:ascii="Times New Roman" w:hAnsi="Times New Roman" w:eastAsiaTheme="minorEastAsia"/>
          <w:b/>
          <w:bCs/>
          <w:sz w:val="24"/>
          <w:szCs w:val="24"/>
        </w:rPr>
      </w:pPr>
      <w:r>
        <w:rPr>
          <w:rFonts w:ascii="Times New Roman" w:hAnsi="Times New Roman" w:eastAsiaTheme="minorEastAsia"/>
          <w:b/>
          <w:bCs/>
          <w:sz w:val="24"/>
          <w:szCs w:val="24"/>
        </w:rPr>
        <w:t>1.</w:t>
      </w:r>
      <w:r>
        <w:rPr>
          <w:rFonts w:hint="eastAsia" w:ascii="Times New Roman" w:hAnsi="Times New Roman" w:eastAsiaTheme="minorEastAsia"/>
          <w:b/>
          <w:bCs/>
          <w:sz w:val="24"/>
          <w:szCs w:val="24"/>
        </w:rPr>
        <w:t>起草阶段：</w:t>
      </w:r>
    </w:p>
    <w:p w14:paraId="7893C8FE">
      <w:pPr>
        <w:spacing w:line="52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1</w:t>
      </w:r>
      <w:r>
        <w:rPr>
          <w:rFonts w:hint="eastAsia" w:ascii="Times New Roman" w:hAnsi="Times New Roman" w:eastAsiaTheme="minorEastAsia"/>
          <w:sz w:val="24"/>
          <w:szCs w:val="24"/>
        </w:rPr>
        <w:t>）本标准于</w:t>
      </w:r>
      <w:r>
        <w:rPr>
          <w:rFonts w:ascii="Times New Roman" w:hAnsi="Times New Roman" w:eastAsiaTheme="minorEastAsia"/>
          <w:sz w:val="24"/>
          <w:szCs w:val="24"/>
        </w:rPr>
        <w:t>202</w:t>
      </w:r>
      <w:r>
        <w:rPr>
          <w:rFonts w:hint="eastAsia" w:ascii="Times New Roman" w:hAnsi="Times New Roman" w:eastAsiaTheme="minorEastAsia"/>
          <w:sz w:val="24"/>
          <w:szCs w:val="24"/>
          <w:lang w:val="en-US" w:eastAsia="zh-CN"/>
        </w:rPr>
        <w:t>4</w:t>
      </w:r>
      <w:r>
        <w:rPr>
          <w:rFonts w:hint="eastAsia" w:ascii="Times New Roman" w:hAnsi="Times New Roman" w:eastAsiaTheme="minorEastAsia"/>
          <w:sz w:val="24"/>
          <w:szCs w:val="24"/>
        </w:rPr>
        <w:t>年</w:t>
      </w:r>
      <w:r>
        <w:rPr>
          <w:rFonts w:hint="eastAsia" w:ascii="Times New Roman" w:hAnsi="Times New Roman" w:eastAsiaTheme="minorEastAsia"/>
          <w:sz w:val="24"/>
          <w:szCs w:val="24"/>
          <w:lang w:val="en-US" w:eastAsia="zh-CN"/>
        </w:rPr>
        <w:t>12</w:t>
      </w:r>
      <w:r>
        <w:rPr>
          <w:rFonts w:hint="eastAsia" w:ascii="Times New Roman" w:hAnsi="Times New Roman" w:eastAsiaTheme="minorEastAsia"/>
          <w:sz w:val="24"/>
          <w:szCs w:val="24"/>
        </w:rPr>
        <w:t>月</w:t>
      </w:r>
      <w:r>
        <w:rPr>
          <w:rFonts w:hint="eastAsia" w:ascii="Times New Roman" w:hAnsi="Times New Roman" w:eastAsiaTheme="minorEastAsia"/>
          <w:sz w:val="24"/>
          <w:szCs w:val="24"/>
          <w:lang w:val="en-US" w:eastAsia="zh-CN"/>
        </w:rPr>
        <w:t>2</w:t>
      </w:r>
      <w:r>
        <w:rPr>
          <w:rFonts w:hint="eastAsia" w:ascii="Times New Roman" w:hAnsi="Times New Roman" w:eastAsiaTheme="minorEastAsia"/>
          <w:sz w:val="24"/>
          <w:szCs w:val="24"/>
        </w:rPr>
        <w:t>日成功立项。根据各专家建议，</w:t>
      </w:r>
      <w:r>
        <w:rPr>
          <w:rFonts w:hint="eastAsia" w:ascii="Times New Roman" w:hAnsi="Times New Roman" w:eastAsiaTheme="minorEastAsia"/>
          <w:sz w:val="24"/>
          <w:szCs w:val="24"/>
          <w:lang w:val="en-US" w:eastAsia="zh-CN"/>
        </w:rPr>
        <w:t>对标准进行修改</w:t>
      </w:r>
      <w:r>
        <w:rPr>
          <w:rFonts w:hint="eastAsia" w:ascii="Times New Roman" w:hAnsi="Times New Roman" w:eastAsiaTheme="minorEastAsia"/>
          <w:sz w:val="24"/>
          <w:szCs w:val="24"/>
        </w:rPr>
        <w:t>，以确保本标准内容的完整性和实用性。</w:t>
      </w:r>
    </w:p>
    <w:p w14:paraId="2FF8D88F">
      <w:pPr>
        <w:spacing w:line="52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2</w:t>
      </w:r>
      <w:r>
        <w:rPr>
          <w:rFonts w:hint="eastAsia" w:ascii="Times New Roman" w:hAnsi="Times New Roman" w:eastAsiaTheme="minorEastAsia"/>
          <w:sz w:val="24"/>
          <w:szCs w:val="24"/>
        </w:rPr>
        <w:t>）</w:t>
      </w:r>
      <w:r>
        <w:rPr>
          <w:rFonts w:ascii="Times New Roman" w:hAnsi="Times New Roman" w:eastAsiaTheme="minorEastAsia"/>
          <w:sz w:val="24"/>
          <w:szCs w:val="24"/>
        </w:rPr>
        <w:t>202</w:t>
      </w:r>
      <w:r>
        <w:rPr>
          <w:rFonts w:hint="eastAsia" w:ascii="Times New Roman" w:hAnsi="Times New Roman" w:eastAsiaTheme="minorEastAsia"/>
          <w:sz w:val="24"/>
          <w:szCs w:val="24"/>
          <w:lang w:val="en-US" w:eastAsia="zh-CN"/>
        </w:rPr>
        <w:t>4</w:t>
      </w:r>
      <w:r>
        <w:rPr>
          <w:rFonts w:hint="eastAsia" w:ascii="Times New Roman" w:hAnsi="Times New Roman" w:eastAsiaTheme="minorEastAsia"/>
          <w:sz w:val="24"/>
          <w:szCs w:val="24"/>
        </w:rPr>
        <w:t>年</w:t>
      </w:r>
      <w:r>
        <w:rPr>
          <w:rFonts w:hint="eastAsia" w:ascii="Times New Roman" w:hAnsi="Times New Roman" w:eastAsiaTheme="minorEastAsia"/>
          <w:sz w:val="24"/>
          <w:szCs w:val="24"/>
          <w:lang w:val="en-US" w:eastAsia="zh-CN"/>
        </w:rPr>
        <w:t>12</w:t>
      </w:r>
      <w:r>
        <w:rPr>
          <w:rFonts w:hint="eastAsia" w:ascii="Times New Roman" w:hAnsi="Times New Roman" w:eastAsiaTheme="minorEastAsia"/>
          <w:sz w:val="24"/>
          <w:szCs w:val="24"/>
        </w:rPr>
        <w:t>月，由参编单位共同成立标准制定工作组，制定《起草工作协同规范》，明确各小组的职责和任务，确定决策流程、沟通机制和会议日程</w:t>
      </w:r>
      <w:r>
        <w:rPr>
          <w:rFonts w:hint="eastAsia" w:ascii="Times New Roman" w:hAnsi="Times New Roman" w:eastAsiaTheme="minorEastAsia"/>
          <w:sz w:val="24"/>
          <w:szCs w:val="24"/>
          <w:lang w:eastAsia="zh-CN"/>
        </w:rPr>
        <w:t>。</w:t>
      </w:r>
      <w:r>
        <w:rPr>
          <w:rFonts w:hint="eastAsia" w:ascii="Times New Roman" w:hAnsi="Times New Roman" w:eastAsiaTheme="minorEastAsia"/>
          <w:sz w:val="24"/>
          <w:szCs w:val="24"/>
        </w:rPr>
        <w:t>确定工作计划。制定时间表，设定起草流程的时间线，包括初稿完成、征求意见、审查、公示等关键时间点。</w:t>
      </w:r>
    </w:p>
    <w:p w14:paraId="5630FD4C">
      <w:pPr>
        <w:spacing w:line="520" w:lineRule="exact"/>
        <w:ind w:firstLine="480" w:firstLineChars="200"/>
        <w:rPr>
          <w:rFonts w:hint="eastAsia" w:ascii="Times New Roman" w:hAnsi="Times New Roman" w:eastAsiaTheme="minorEastAsia"/>
          <w:sz w:val="24"/>
          <w:szCs w:val="24"/>
        </w:rPr>
      </w:pPr>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3</w:t>
      </w:r>
      <w:r>
        <w:rPr>
          <w:rFonts w:hint="eastAsia" w:ascii="Times New Roman" w:hAnsi="Times New Roman" w:eastAsiaTheme="minorEastAsia"/>
          <w:sz w:val="24"/>
          <w:szCs w:val="24"/>
        </w:rPr>
        <w:t>）</w:t>
      </w:r>
      <w:r>
        <w:rPr>
          <w:rFonts w:ascii="Times New Roman" w:hAnsi="Times New Roman" w:eastAsiaTheme="minorEastAsia"/>
          <w:sz w:val="24"/>
          <w:szCs w:val="24"/>
        </w:rPr>
        <w:t>202</w:t>
      </w:r>
      <w:r>
        <w:rPr>
          <w:rFonts w:hint="eastAsia" w:ascii="Times New Roman" w:hAnsi="Times New Roman" w:eastAsiaTheme="minorEastAsia"/>
          <w:sz w:val="24"/>
          <w:szCs w:val="24"/>
          <w:lang w:val="en-US" w:eastAsia="zh-CN"/>
        </w:rPr>
        <w:t>4</w:t>
      </w:r>
      <w:r>
        <w:rPr>
          <w:rFonts w:hint="eastAsia" w:ascii="Times New Roman" w:hAnsi="Times New Roman" w:eastAsiaTheme="minorEastAsia"/>
          <w:sz w:val="24"/>
          <w:szCs w:val="24"/>
        </w:rPr>
        <w:t>年</w:t>
      </w:r>
      <w:r>
        <w:rPr>
          <w:rFonts w:hint="eastAsia" w:ascii="Times New Roman" w:hAnsi="Times New Roman" w:eastAsiaTheme="minorEastAsia"/>
          <w:sz w:val="24"/>
          <w:szCs w:val="24"/>
          <w:lang w:val="en-US" w:eastAsia="zh-CN"/>
        </w:rPr>
        <w:t>12</w:t>
      </w:r>
      <w:r>
        <w:rPr>
          <w:rFonts w:hint="eastAsia" w:ascii="Times New Roman" w:hAnsi="Times New Roman" w:eastAsiaTheme="minorEastAsia"/>
          <w:sz w:val="24"/>
          <w:szCs w:val="24"/>
        </w:rPr>
        <w:t>月</w:t>
      </w:r>
      <w:r>
        <w:rPr>
          <w:rFonts w:hint="eastAsia" w:ascii="Times New Roman" w:hAnsi="Times New Roman" w:eastAsiaTheme="minorEastAsia"/>
          <w:sz w:val="24"/>
          <w:szCs w:val="24"/>
          <w:lang w:val="en-US" w:eastAsia="zh-CN"/>
        </w:rPr>
        <w:t>-2025年1</w:t>
      </w:r>
      <w:r>
        <w:rPr>
          <w:rFonts w:hint="eastAsia" w:ascii="Times New Roman" w:hAnsi="Times New Roman" w:eastAsiaTheme="minorEastAsia"/>
          <w:sz w:val="24"/>
          <w:szCs w:val="24"/>
        </w:rPr>
        <w:t>月，完成第一稿。</w:t>
      </w:r>
    </w:p>
    <w:p w14:paraId="0B96BD08">
      <w:pPr>
        <w:spacing w:line="52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4</w:t>
      </w:r>
      <w:r>
        <w:rPr>
          <w:rFonts w:hint="eastAsia" w:ascii="Times New Roman" w:hAnsi="Times New Roman" w:eastAsiaTheme="minorEastAsia"/>
          <w:sz w:val="24"/>
          <w:szCs w:val="24"/>
        </w:rPr>
        <w:t>）</w:t>
      </w:r>
      <w:r>
        <w:rPr>
          <w:rFonts w:ascii="Times New Roman" w:hAnsi="Times New Roman" w:eastAsiaTheme="minorEastAsia"/>
          <w:sz w:val="24"/>
          <w:szCs w:val="24"/>
        </w:rPr>
        <w:t>2024</w:t>
      </w:r>
      <w:r>
        <w:rPr>
          <w:rFonts w:hint="eastAsia" w:ascii="Times New Roman" w:hAnsi="Times New Roman" w:eastAsiaTheme="minorEastAsia"/>
          <w:sz w:val="24"/>
          <w:szCs w:val="24"/>
        </w:rPr>
        <w:t>年</w:t>
      </w:r>
      <w:r>
        <w:rPr>
          <w:rFonts w:hint="eastAsia" w:ascii="Times New Roman" w:hAnsi="Times New Roman" w:eastAsiaTheme="minorEastAsia"/>
          <w:sz w:val="24"/>
          <w:szCs w:val="24"/>
          <w:lang w:val="en-US" w:eastAsia="zh-CN"/>
        </w:rPr>
        <w:t>1</w:t>
      </w:r>
      <w:r>
        <w:rPr>
          <w:rFonts w:hint="eastAsia" w:ascii="Times New Roman" w:hAnsi="Times New Roman" w:eastAsiaTheme="minorEastAsia"/>
          <w:sz w:val="24"/>
          <w:szCs w:val="24"/>
        </w:rPr>
        <w:t>月，进入草案的修订完善阶段。一是</w:t>
      </w:r>
      <w:bookmarkStart w:id="2" w:name="_Hlk168042316"/>
      <w:r>
        <w:rPr>
          <w:rFonts w:hint="eastAsia" w:ascii="Times New Roman" w:hAnsi="Times New Roman" w:eastAsiaTheme="minorEastAsia"/>
          <w:sz w:val="24"/>
          <w:szCs w:val="24"/>
        </w:rPr>
        <w:t>组织各起草单位对第一稿进行意见征集，</w:t>
      </w:r>
      <w:bookmarkEnd w:id="2"/>
      <w:r>
        <w:rPr>
          <w:rFonts w:hint="eastAsia" w:ascii="Times New Roman" w:hAnsi="Times New Roman" w:eastAsiaTheme="minorEastAsia"/>
          <w:sz w:val="24"/>
          <w:szCs w:val="24"/>
        </w:rPr>
        <w:t>识别其中可能存在的问题或不足之处；二是根据收集的专业意见和建议，对标准草案进行修订和完善，形成第二稿；三是组织开展第二稿的技术审查，确保草案的准确性、完整性和一致性。最终，经过多次修订和讨论，形成标准草案。</w:t>
      </w:r>
      <w:r>
        <w:rPr>
          <w:rFonts w:hint="eastAsia" w:ascii="Times New Roman" w:hAnsi="Times New Roman" w:eastAsiaTheme="minorEastAsia"/>
          <w:sz w:val="24"/>
          <w:szCs w:val="24"/>
          <w:lang w:val="en-US" w:eastAsia="zh-CN"/>
        </w:rPr>
        <w:t>并召开</w:t>
      </w:r>
      <w:r>
        <w:rPr>
          <w:rFonts w:hint="eastAsia" w:ascii="Times New Roman" w:hAnsi="Times New Roman" w:eastAsiaTheme="minorEastAsia"/>
          <w:sz w:val="24"/>
          <w:szCs w:val="24"/>
        </w:rPr>
        <w:t>专家</w:t>
      </w:r>
      <w:r>
        <w:rPr>
          <w:rFonts w:hint="eastAsia" w:ascii="Times New Roman" w:hAnsi="Times New Roman" w:eastAsiaTheme="minorEastAsia"/>
          <w:sz w:val="24"/>
          <w:szCs w:val="24"/>
          <w:lang w:val="en-US" w:eastAsia="zh-CN"/>
        </w:rPr>
        <w:t>立项</w:t>
      </w:r>
      <w:r>
        <w:rPr>
          <w:rFonts w:hint="eastAsia" w:ascii="Times New Roman" w:hAnsi="Times New Roman" w:eastAsiaTheme="minorEastAsia"/>
          <w:sz w:val="24"/>
          <w:szCs w:val="24"/>
        </w:rPr>
        <w:t>评审。特邀行业内的资深专家以及国家标准制定的资深专家，对草案进行专业评审，以确保草案在内容上的准确性、结构上的完整性以及标准上的一致性。</w:t>
      </w:r>
    </w:p>
    <w:p w14:paraId="18608754">
      <w:pPr>
        <w:spacing w:line="52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7</w:t>
      </w:r>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2025年2月</w:t>
      </w:r>
      <w:r>
        <w:rPr>
          <w:rFonts w:hint="eastAsia" w:ascii="Times New Roman" w:hAnsi="Times New Roman" w:eastAsiaTheme="minorEastAsia"/>
          <w:sz w:val="24"/>
          <w:szCs w:val="24"/>
        </w:rPr>
        <w:t>在专家评审意见的基础上，对标准框架和主要技术内容进行了再次讨论与修改，并进一步规范标准文本格式，形成标准征求意见稿与编制说明。</w:t>
      </w:r>
    </w:p>
    <w:p w14:paraId="4A3462ED">
      <w:pPr>
        <w:spacing w:line="520" w:lineRule="exact"/>
        <w:ind w:firstLine="482" w:firstLineChars="200"/>
        <w:rPr>
          <w:rFonts w:ascii="Times New Roman" w:hAnsi="Times New Roman" w:eastAsiaTheme="minorEastAsia"/>
          <w:b/>
          <w:bCs/>
          <w:sz w:val="24"/>
          <w:szCs w:val="24"/>
        </w:rPr>
      </w:pPr>
      <w:r>
        <w:rPr>
          <w:rFonts w:ascii="Times New Roman" w:hAnsi="Times New Roman" w:eastAsiaTheme="minorEastAsia"/>
          <w:b/>
          <w:bCs/>
          <w:sz w:val="24"/>
          <w:szCs w:val="24"/>
        </w:rPr>
        <w:t>2.</w:t>
      </w:r>
      <w:r>
        <w:rPr>
          <w:rFonts w:hint="eastAsia" w:ascii="Times New Roman" w:hAnsi="Times New Roman" w:eastAsiaTheme="minorEastAsia"/>
          <w:b/>
          <w:bCs/>
          <w:sz w:val="24"/>
          <w:szCs w:val="24"/>
        </w:rPr>
        <w:t>征求意见阶段：</w:t>
      </w:r>
    </w:p>
    <w:p w14:paraId="06659A48">
      <w:pPr>
        <w:pStyle w:val="4"/>
        <w:spacing w:line="520" w:lineRule="exact"/>
        <w:ind w:firstLine="480" w:firstLineChars="200"/>
      </w:pPr>
      <w:r>
        <w:rPr>
          <w:rFonts w:ascii="Times New Roman" w:hAnsi="Times New Roman" w:eastAsiaTheme="minorEastAsia"/>
          <w:sz w:val="24"/>
          <w:szCs w:val="24"/>
        </w:rPr>
        <w:t>202</w:t>
      </w:r>
      <w:r>
        <w:rPr>
          <w:rFonts w:hint="eastAsia" w:ascii="Times New Roman" w:hAnsi="Times New Roman" w:eastAsiaTheme="minorEastAsia"/>
          <w:sz w:val="24"/>
          <w:szCs w:val="24"/>
          <w:lang w:val="en-US" w:eastAsia="zh-CN"/>
        </w:rPr>
        <w:t>5</w:t>
      </w:r>
      <w:r>
        <w:rPr>
          <w:rFonts w:hint="eastAsia" w:ascii="Times New Roman" w:hAnsi="Times New Roman" w:eastAsiaTheme="minorEastAsia"/>
          <w:sz w:val="24"/>
          <w:szCs w:val="24"/>
        </w:rPr>
        <w:t>年</w:t>
      </w:r>
      <w:r>
        <w:rPr>
          <w:rFonts w:hint="eastAsia" w:ascii="Times New Roman" w:hAnsi="Times New Roman" w:eastAsiaTheme="minorEastAsia"/>
          <w:sz w:val="24"/>
          <w:szCs w:val="24"/>
          <w:lang w:val="en-US" w:eastAsia="zh-CN"/>
        </w:rPr>
        <w:t>3</w:t>
      </w:r>
      <w:r>
        <w:rPr>
          <w:rFonts w:hint="eastAsia" w:ascii="Times New Roman" w:hAnsi="Times New Roman" w:eastAsiaTheme="minorEastAsia"/>
          <w:sz w:val="24"/>
          <w:szCs w:val="24"/>
        </w:rPr>
        <w:t>月</w:t>
      </w:r>
      <w:r>
        <w:rPr>
          <w:rFonts w:ascii="Times New Roman" w:hAnsi="Times New Roman" w:eastAsiaTheme="minorEastAsia"/>
          <w:sz w:val="24"/>
          <w:szCs w:val="24"/>
        </w:rPr>
        <w:t>-202</w:t>
      </w:r>
      <w:r>
        <w:rPr>
          <w:rFonts w:hint="eastAsia" w:ascii="Times New Roman" w:hAnsi="Times New Roman" w:eastAsiaTheme="minorEastAsia"/>
          <w:sz w:val="24"/>
          <w:szCs w:val="24"/>
          <w:lang w:val="en-US" w:eastAsia="zh-CN"/>
        </w:rPr>
        <w:t>5</w:t>
      </w:r>
      <w:r>
        <w:rPr>
          <w:rFonts w:hint="eastAsia" w:ascii="Times New Roman" w:hAnsi="Times New Roman" w:eastAsiaTheme="minorEastAsia"/>
          <w:sz w:val="24"/>
          <w:szCs w:val="24"/>
        </w:rPr>
        <w:t>年</w:t>
      </w:r>
      <w:r>
        <w:rPr>
          <w:rFonts w:hint="eastAsia" w:ascii="Times New Roman" w:hAnsi="Times New Roman" w:eastAsiaTheme="minorEastAsia"/>
          <w:sz w:val="24"/>
          <w:szCs w:val="24"/>
          <w:lang w:val="en-US" w:eastAsia="zh-CN"/>
        </w:rPr>
        <w:t>4</w:t>
      </w:r>
      <w:r>
        <w:rPr>
          <w:rFonts w:hint="eastAsia" w:ascii="Times New Roman" w:hAnsi="Times New Roman" w:eastAsiaTheme="minorEastAsia"/>
          <w:sz w:val="24"/>
          <w:szCs w:val="24"/>
        </w:rPr>
        <w:t>月</w:t>
      </w:r>
      <w:r>
        <w:rPr>
          <w:rFonts w:hint="eastAsia" w:ascii="Times New Roman" w:hAnsi="Times New Roman" w:cs="Times New Roman" w:eastAsiaTheme="minorEastAsia"/>
          <w:sz w:val="24"/>
          <w:szCs w:val="24"/>
          <w:lang w:val="en-US" w:bidi="ar-SA"/>
        </w:rPr>
        <w:t>，</w:t>
      </w:r>
      <w:r>
        <w:rPr>
          <w:rFonts w:hint="eastAsia" w:ascii="Times New Roman" w:hAnsi="Times New Roman" w:eastAsiaTheme="minorEastAsia"/>
          <w:sz w:val="24"/>
          <w:szCs w:val="24"/>
        </w:rPr>
        <w:t>公开征集意见</w:t>
      </w:r>
      <w:r>
        <w:rPr>
          <w:rFonts w:hint="eastAsia" w:ascii="Times New Roman" w:hAnsi="Times New Roman" w:cs="Times New Roman" w:eastAsiaTheme="minorEastAsia"/>
          <w:sz w:val="24"/>
          <w:szCs w:val="24"/>
          <w:lang w:val="en-US" w:bidi="ar-SA"/>
        </w:rPr>
        <w:t>。</w:t>
      </w:r>
    </w:p>
    <w:p w14:paraId="01D82981">
      <w:pPr>
        <w:spacing w:line="520" w:lineRule="exact"/>
        <w:ind w:firstLine="482" w:firstLineChars="200"/>
        <w:rPr>
          <w:rFonts w:ascii="Times New Roman" w:hAnsi="Times New Roman" w:eastAsia="黑体"/>
          <w:b/>
          <w:bCs/>
          <w:sz w:val="24"/>
          <w:szCs w:val="24"/>
        </w:rPr>
      </w:pPr>
      <w:r>
        <w:rPr>
          <w:rFonts w:hint="eastAsia" w:ascii="Times New Roman" w:hAnsi="Times New Roman" w:eastAsia="黑体"/>
          <w:b/>
          <w:bCs/>
          <w:sz w:val="24"/>
          <w:szCs w:val="24"/>
          <w:lang w:val="en-US" w:eastAsia="zh-CN"/>
        </w:rPr>
        <w:t>二</w:t>
      </w:r>
      <w:r>
        <w:rPr>
          <w:rFonts w:hint="eastAsia" w:ascii="Times New Roman" w:hAnsi="Times New Roman" w:eastAsia="黑体"/>
          <w:b/>
          <w:bCs/>
          <w:sz w:val="24"/>
          <w:szCs w:val="24"/>
        </w:rPr>
        <w:t>、重大分歧意见的处理结果和依据。</w:t>
      </w:r>
    </w:p>
    <w:p w14:paraId="5CBCFDE6">
      <w:pPr>
        <w:snapToGrid w:val="0"/>
        <w:spacing w:line="52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本标准制定过程中无重大分歧意见。</w:t>
      </w:r>
    </w:p>
    <w:p w14:paraId="596537B3">
      <w:pPr>
        <w:spacing w:line="520" w:lineRule="exact"/>
        <w:ind w:firstLine="482" w:firstLineChars="200"/>
        <w:rPr>
          <w:rFonts w:ascii="Times New Roman" w:hAnsi="Times New Roman" w:eastAsia="黑体"/>
          <w:b/>
          <w:bCs/>
          <w:sz w:val="24"/>
          <w:szCs w:val="24"/>
        </w:rPr>
      </w:pPr>
      <w:r>
        <w:rPr>
          <w:rFonts w:hint="eastAsia" w:ascii="Times New Roman" w:hAnsi="Times New Roman" w:eastAsia="黑体"/>
          <w:b/>
          <w:bCs/>
          <w:sz w:val="24"/>
          <w:szCs w:val="24"/>
          <w:lang w:val="en-US" w:eastAsia="zh-CN"/>
        </w:rPr>
        <w:t>三</w:t>
      </w:r>
      <w:r>
        <w:rPr>
          <w:rFonts w:hint="eastAsia" w:ascii="Times New Roman" w:hAnsi="Times New Roman" w:eastAsia="黑体"/>
          <w:b/>
          <w:bCs/>
          <w:sz w:val="24"/>
          <w:szCs w:val="24"/>
        </w:rPr>
        <w:t>、贯彻促进会标准的要求和措施建议（包括组织措施、技术措施、过渡办法等内容）</w:t>
      </w:r>
    </w:p>
    <w:p w14:paraId="1B16A206">
      <w:pPr>
        <w:snapToGrid w:val="0"/>
        <w:spacing w:line="52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1.</w:t>
      </w:r>
      <w:r>
        <w:rPr>
          <w:rFonts w:hint="eastAsia" w:ascii="Times New Roman" w:hAnsi="Times New Roman" w:eastAsiaTheme="minorEastAsia"/>
          <w:sz w:val="24"/>
          <w:szCs w:val="24"/>
        </w:rPr>
        <w:t>标准发布后</w:t>
      </w:r>
      <w:r>
        <w:rPr>
          <w:rFonts w:ascii="Times New Roman" w:hAnsi="Times New Roman" w:eastAsiaTheme="minorEastAsia"/>
          <w:sz w:val="24"/>
          <w:szCs w:val="24"/>
        </w:rPr>
        <w:t>1年内，将根据各方反馈意见择期召开标准宣贯会议。向业内标准使用单位发放标准宣贯资料，并解答标准中相关技术难点和疑点。</w:t>
      </w:r>
    </w:p>
    <w:p w14:paraId="4E528B68">
      <w:pPr>
        <w:snapToGrid w:val="0"/>
        <w:spacing w:line="52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2.</w:t>
      </w:r>
      <w:r>
        <w:rPr>
          <w:rFonts w:hint="eastAsia" w:ascii="Times New Roman" w:hAnsi="Times New Roman" w:eastAsiaTheme="minorEastAsia"/>
          <w:sz w:val="24"/>
          <w:szCs w:val="24"/>
        </w:rPr>
        <w:t>在</w:t>
      </w:r>
      <w:r>
        <w:rPr>
          <w:rFonts w:hint="eastAsia" w:ascii="Times New Roman" w:hAnsi="Times New Roman" w:eastAsiaTheme="minorEastAsia"/>
          <w:sz w:val="24"/>
          <w:szCs w:val="24"/>
          <w:lang w:val="en-US" w:eastAsia="zh-CN"/>
        </w:rPr>
        <w:t>检测</w:t>
      </w:r>
      <w:r>
        <w:rPr>
          <w:rFonts w:hint="eastAsia" w:ascii="Times New Roman" w:hAnsi="Times New Roman" w:eastAsiaTheme="minorEastAsia"/>
          <w:sz w:val="24"/>
          <w:szCs w:val="24"/>
        </w:rPr>
        <w:t>领域行政主管部门、行业协会、各级各类医疗卫生机构、企事业单位内部，以及媒体等渠道宣传本标准的作用、意义和内容，建立标准宣传员制度和宣贯方案，明确目标和进度要求，组织开展宣贯活动，加深社会各界对本标准的认识和信任。</w:t>
      </w:r>
    </w:p>
    <w:p w14:paraId="4FBAFCB5">
      <w:pPr>
        <w:snapToGrid w:val="0"/>
        <w:spacing w:line="52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3.</w:t>
      </w:r>
      <w:r>
        <w:rPr>
          <w:rFonts w:hint="eastAsia" w:ascii="Times New Roman" w:hAnsi="Times New Roman" w:eastAsiaTheme="minorEastAsia"/>
          <w:sz w:val="24"/>
          <w:szCs w:val="24"/>
        </w:rPr>
        <w:t>通过宣传推广、会议培训、现场交流学习等方式，促进相关企事业单位有序实施本标准，发挥标准在</w:t>
      </w:r>
      <w:r>
        <w:rPr>
          <w:rFonts w:hint="eastAsia" w:ascii="Times New Roman" w:hAnsi="Times New Roman" w:eastAsiaTheme="minorEastAsia"/>
          <w:sz w:val="24"/>
          <w:szCs w:val="24"/>
          <w:lang w:val="en-US" w:eastAsia="zh-CN"/>
        </w:rPr>
        <w:t>检测</w:t>
      </w:r>
      <w:r>
        <w:rPr>
          <w:rFonts w:hint="eastAsia" w:ascii="Times New Roman" w:hAnsi="Times New Roman" w:eastAsiaTheme="minorEastAsia"/>
          <w:sz w:val="24"/>
          <w:szCs w:val="24"/>
        </w:rPr>
        <w:t>方面的引导作用，促进行业高质量发展。</w:t>
      </w:r>
    </w:p>
    <w:p w14:paraId="537D831F">
      <w:pPr>
        <w:snapToGrid w:val="0"/>
        <w:spacing w:line="52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4.</w:t>
      </w:r>
      <w:r>
        <w:rPr>
          <w:rFonts w:hint="eastAsia" w:ascii="Times New Roman" w:hAnsi="Times New Roman" w:eastAsiaTheme="minorEastAsia"/>
          <w:sz w:val="24"/>
          <w:szCs w:val="24"/>
        </w:rPr>
        <w:t>及时推动解决标准宣贯过程中存在的问题，确保标准宣贯工作顺利推进并取得实效。</w:t>
      </w:r>
    </w:p>
    <w:p w14:paraId="111C0E29">
      <w:pPr>
        <w:snapToGrid w:val="0"/>
        <w:spacing w:line="52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5.</w:t>
      </w:r>
      <w:r>
        <w:rPr>
          <w:rFonts w:hint="eastAsia" w:ascii="Times New Roman" w:hAnsi="Times New Roman" w:eastAsiaTheme="minorEastAsia"/>
          <w:sz w:val="24"/>
          <w:szCs w:val="24"/>
        </w:rPr>
        <w:t>总结推广，对贯标前后有关单位在</w:t>
      </w:r>
      <w:r>
        <w:rPr>
          <w:rFonts w:hint="eastAsia" w:ascii="Times New Roman" w:hAnsi="Times New Roman" w:eastAsiaTheme="minorEastAsia"/>
          <w:sz w:val="24"/>
          <w:szCs w:val="24"/>
          <w:lang w:val="en-US" w:eastAsia="zh-CN"/>
        </w:rPr>
        <w:t>相关领域</w:t>
      </w:r>
      <w:r>
        <w:rPr>
          <w:rFonts w:hint="eastAsia" w:ascii="Times New Roman" w:hAnsi="Times New Roman" w:eastAsiaTheme="minorEastAsia"/>
          <w:sz w:val="24"/>
          <w:szCs w:val="24"/>
        </w:rPr>
        <w:t>进行效果评估，总结提炼典型经验做法，逐步完善、细化与修订本标准。</w:t>
      </w:r>
    </w:p>
    <w:p w14:paraId="7C5802D3">
      <w:pPr>
        <w:spacing w:line="520" w:lineRule="exact"/>
        <w:ind w:firstLine="482" w:firstLineChars="200"/>
        <w:rPr>
          <w:rFonts w:ascii="Times New Roman" w:hAnsi="Times New Roman" w:eastAsia="黑体"/>
          <w:b/>
          <w:bCs/>
          <w:sz w:val="24"/>
          <w:szCs w:val="24"/>
        </w:rPr>
      </w:pPr>
      <w:r>
        <w:rPr>
          <w:rFonts w:hint="eastAsia" w:ascii="Times New Roman" w:hAnsi="Times New Roman" w:eastAsia="黑体"/>
          <w:b/>
          <w:bCs/>
          <w:sz w:val="24"/>
          <w:szCs w:val="24"/>
          <w:lang w:val="en-US" w:eastAsia="zh-CN"/>
        </w:rPr>
        <w:t>四</w:t>
      </w:r>
      <w:r>
        <w:rPr>
          <w:rFonts w:hint="eastAsia" w:ascii="Times New Roman" w:hAnsi="Times New Roman" w:eastAsia="黑体"/>
          <w:b/>
          <w:bCs/>
          <w:sz w:val="24"/>
          <w:szCs w:val="24"/>
        </w:rPr>
        <w:t>、其他应予说明的事项。</w:t>
      </w:r>
    </w:p>
    <w:p w14:paraId="577140E0">
      <w:pPr>
        <w:pStyle w:val="21"/>
        <w:spacing w:line="520" w:lineRule="exact"/>
        <w:ind w:firstLine="480"/>
        <w:rPr>
          <w:rFonts w:ascii="Times New Roman" w:hAnsi="Times New Roman" w:eastAsiaTheme="minorEastAsia"/>
          <w:color w:val="auto"/>
          <w:sz w:val="24"/>
          <w:szCs w:val="24"/>
          <w:lang w:val="en-US"/>
        </w:rPr>
      </w:pPr>
      <w:r>
        <w:rPr>
          <w:rFonts w:hint="eastAsia" w:ascii="Times New Roman" w:hAnsi="Times New Roman" w:eastAsiaTheme="minorEastAsia"/>
          <w:color w:val="auto"/>
          <w:sz w:val="24"/>
          <w:szCs w:val="24"/>
          <w:lang w:val="en-US"/>
        </w:rPr>
        <w:t>本标准不涉及专利。</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11088">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31470" cy="302260"/>
              <wp:effectExtent l="0" t="0" r="0" b="0"/>
              <wp:wrapNone/>
              <wp:docPr id="473654577"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331470" cy="302260"/>
                      </a:xfrm>
                      <a:prstGeom prst="rect">
                        <a:avLst/>
                      </a:prstGeom>
                      <a:noFill/>
                      <a:ln>
                        <a:noFill/>
                      </a:ln>
                    </wps:spPr>
                    <wps:txbx>
                      <w:txbxContent>
                        <w:sdt>
                          <w:sdtPr>
                            <w:id w:val="105621605"/>
                          </w:sdtPr>
                          <w:sdtContent>
                            <w:sdt>
                              <w:sdtPr>
                                <w:id w:val="-1705238520"/>
                              </w:sdtPr>
                              <w:sdtContent>
                                <w:p w14:paraId="46047E8F">
                                  <w:pPr>
                                    <w:pStyle w:val="6"/>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p>
                              </w:sdtContent>
                            </w:sdt>
                          </w:sdtContent>
                        </w:sdt>
                        <w:p w14:paraId="35781BF3"/>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23.8pt;width:26.1pt;mso-position-horizontal:center;mso-position-horizontal-relative:margin;mso-wrap-style:none;z-index:251659264;mso-width-relative:page;mso-height-relative:page;" filled="f" stroked="f" coordsize="21600,21600" o:gfxdata="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Om9tj0gAAAAMBAAAPAAAAAAAAAAEAIAAAACIAAABkcnMvZG93bnJl&#10;di54bWxQSwECFAAUAAAACACHTuJA/IvF7wMCAAAMBAAADgAAAAAAAAABACAAAAAhAQAAZHJzL2Uy&#10;b0RvYy54bWxQSwUGAAAAAAYABgBZAQAAlgUAAAAA&#10;">
              <v:fill on="f" focussize="0,0"/>
              <v:stroke on="f"/>
              <v:imagedata o:title=""/>
              <o:lock v:ext="edit" aspectratio="f"/>
              <v:textbox inset="0mm,0mm,0mm,0mm" style="mso-fit-shape-to-text:t;">
                <w:txbxContent>
                  <w:sdt>
                    <w:sdtPr>
                      <w:id w:val="105621605"/>
                    </w:sdtPr>
                    <w:sdtContent>
                      <w:sdt>
                        <w:sdtPr>
                          <w:id w:val="-1705238520"/>
                        </w:sdtPr>
                        <w:sdtContent>
                          <w:p w14:paraId="46047E8F">
                            <w:pPr>
                              <w:pStyle w:val="6"/>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p>
                        </w:sdtContent>
                      </w:sdt>
                    </w:sdtContent>
                  </w:sdt>
                  <w:p w14:paraId="35781BF3"/>
                </w:txbxContent>
              </v:textbox>
            </v:shape>
          </w:pict>
        </mc:Fallback>
      </mc:AlternateContent>
    </w:r>
  </w:p>
  <w:p w14:paraId="5BD5179C">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30A06">
    <w:pPr>
      <w:pStyle w:val="7"/>
      <w:pBdr>
        <w:top w:val="none" w:color="auto" w:sz="0" w:space="1"/>
        <w:left w:val="none" w:color="auto" w:sz="0" w:space="4"/>
        <w:bottom w:val="none" w:color="auto" w:sz="0" w:space="1"/>
        <w:right w:val="none" w:color="auto" w:sz="0" w:space="4"/>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C2409"/>
    <w:multiLevelType w:val="multilevel"/>
    <w:tmpl w:val="1E3C2409"/>
    <w:lvl w:ilvl="0" w:tentative="0">
      <w:start w:val="1"/>
      <w:numFmt w:val="lowerLetter"/>
      <w:pStyle w:val="48"/>
      <w:lvlText w:val="%1)"/>
      <w:lvlJc w:val="left"/>
      <w:pPr>
        <w:ind w:left="780" w:hanging="360"/>
      </w:pPr>
      <w:rPr>
        <w:rFonts w:hint="default"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E32610F"/>
    <w:multiLevelType w:val="multilevel"/>
    <w:tmpl w:val="2E32610F"/>
    <w:lvl w:ilvl="0" w:tentative="0">
      <w:start w:val="1"/>
      <w:numFmt w:val="decimal"/>
      <w:pStyle w:val="42"/>
      <w:lvlText w:val="图%1 "/>
      <w:lvlJc w:val="left"/>
      <w:pPr>
        <w:ind w:left="220" w:hanging="420"/>
      </w:pPr>
      <w:rPr>
        <w:rFonts w:hint="default" w:ascii="Times New Roman" w:hAnsi="Times New Roman" w:eastAsia="黑体"/>
        <w:sz w:val="21"/>
      </w:rPr>
    </w:lvl>
    <w:lvl w:ilvl="1" w:tentative="0">
      <w:start w:val="1"/>
      <w:numFmt w:val="lowerLetter"/>
      <w:lvlText w:val="%2)"/>
      <w:lvlJc w:val="left"/>
      <w:pPr>
        <w:ind w:left="640" w:hanging="420"/>
      </w:pPr>
    </w:lvl>
    <w:lvl w:ilvl="2" w:tentative="0">
      <w:start w:val="1"/>
      <w:numFmt w:val="lowerRoman"/>
      <w:lvlText w:val="%3."/>
      <w:lvlJc w:val="right"/>
      <w:pPr>
        <w:ind w:left="1060" w:hanging="420"/>
      </w:pPr>
    </w:lvl>
    <w:lvl w:ilvl="3" w:tentative="0">
      <w:start w:val="1"/>
      <w:numFmt w:val="decimal"/>
      <w:lvlText w:val="%4."/>
      <w:lvlJc w:val="left"/>
      <w:pPr>
        <w:ind w:left="1480" w:hanging="420"/>
      </w:pPr>
    </w:lvl>
    <w:lvl w:ilvl="4" w:tentative="0">
      <w:start w:val="1"/>
      <w:numFmt w:val="lowerLetter"/>
      <w:lvlText w:val="%5)"/>
      <w:lvlJc w:val="left"/>
      <w:pPr>
        <w:ind w:left="1900" w:hanging="420"/>
      </w:pPr>
    </w:lvl>
    <w:lvl w:ilvl="5" w:tentative="0">
      <w:start w:val="1"/>
      <w:numFmt w:val="lowerRoman"/>
      <w:lvlText w:val="%6."/>
      <w:lvlJc w:val="right"/>
      <w:pPr>
        <w:ind w:left="2320" w:hanging="420"/>
      </w:pPr>
    </w:lvl>
    <w:lvl w:ilvl="6" w:tentative="0">
      <w:start w:val="1"/>
      <w:numFmt w:val="decimal"/>
      <w:lvlText w:val="%7."/>
      <w:lvlJc w:val="left"/>
      <w:pPr>
        <w:ind w:left="2740" w:hanging="420"/>
      </w:pPr>
    </w:lvl>
    <w:lvl w:ilvl="7" w:tentative="0">
      <w:start w:val="1"/>
      <w:numFmt w:val="lowerLetter"/>
      <w:lvlText w:val="%8)"/>
      <w:lvlJc w:val="left"/>
      <w:pPr>
        <w:ind w:left="3160" w:hanging="420"/>
      </w:pPr>
    </w:lvl>
    <w:lvl w:ilvl="8" w:tentative="0">
      <w:start w:val="1"/>
      <w:numFmt w:val="lowerRoman"/>
      <w:lvlText w:val="%9."/>
      <w:lvlJc w:val="right"/>
      <w:pPr>
        <w:ind w:left="3580" w:hanging="420"/>
      </w:pPr>
    </w:lvl>
  </w:abstractNum>
  <w:abstractNum w:abstractNumId="2">
    <w:nsid w:val="3D1C17D8"/>
    <w:multiLevelType w:val="multilevel"/>
    <w:tmpl w:val="3D1C17D8"/>
    <w:lvl w:ilvl="0" w:tentative="0">
      <w:start w:val="1"/>
      <w:numFmt w:val="decimal"/>
      <w:pStyle w:val="41"/>
      <w:lvlText w:val="表%1 "/>
      <w:lvlJc w:val="left"/>
      <w:pPr>
        <w:ind w:left="1890" w:hanging="420"/>
      </w:pPr>
      <w:rPr>
        <w:rFonts w:hint="default" w:ascii="黑体" w:hAnsi="黑体" w:eastAsia="黑体" w:cs="黑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7F316FF"/>
    <w:multiLevelType w:val="singleLevel"/>
    <w:tmpl w:val="67F316FF"/>
    <w:lvl w:ilvl="0" w:tentative="0">
      <w:start w:val="2"/>
      <w:numFmt w:val="chineseCounting"/>
      <w:suff w:val="nothing"/>
      <w:lvlText w:val="（%1）"/>
      <w:lvlJc w:val="left"/>
      <w:rPr>
        <w:rFonts w:hint="eastAsia"/>
      </w:rPr>
    </w:lvl>
  </w:abstractNum>
  <w:abstractNum w:abstractNumId="4">
    <w:nsid w:val="6CEA2025"/>
    <w:multiLevelType w:val="multilevel"/>
    <w:tmpl w:val="6CEA2025"/>
    <w:lvl w:ilvl="0" w:tentative="0">
      <w:start w:val="1"/>
      <w:numFmt w:val="none"/>
      <w:pStyle w:val="34"/>
      <w:suff w:val="nothing"/>
      <w:lvlText w:val="%1"/>
      <w:lvlJc w:val="left"/>
      <w:pPr>
        <w:ind w:left="0" w:firstLine="0"/>
      </w:pPr>
      <w:rPr>
        <w:rFonts w:hint="default" w:ascii="Times New Roman" w:hAnsi="Times New Roman" w:cs="Times New Roman"/>
        <w:b/>
        <w:bCs/>
        <w:i w:val="0"/>
        <w:iCs w:val="0"/>
        <w:sz w:val="21"/>
        <w:szCs w:val="21"/>
      </w:rPr>
    </w:lvl>
    <w:lvl w:ilvl="1" w:tentative="0">
      <w:start w:val="1"/>
      <w:numFmt w:val="decimal"/>
      <w:pStyle w:val="28"/>
      <w:suff w:val="nothing"/>
      <w:lvlText w:val="%1%2　"/>
      <w:lvlJc w:val="left"/>
      <w:pPr>
        <w:ind w:left="0" w:firstLine="0"/>
      </w:pPr>
      <w:rPr>
        <w:rFonts w:hint="eastAsia" w:ascii="黑体" w:hAnsi="Times New Roman" w:eastAsia="黑体"/>
        <w:b w:val="0"/>
        <w:bCs w:val="0"/>
        <w:i w:val="0"/>
        <w:iCs w:val="0"/>
        <w:sz w:val="21"/>
        <w:szCs w:val="21"/>
      </w:rPr>
    </w:lvl>
    <w:lvl w:ilvl="2" w:tentative="0">
      <w:start w:val="1"/>
      <w:numFmt w:val="decimal"/>
      <w:pStyle w:val="33"/>
      <w:suff w:val="nothing"/>
      <w:lvlText w:val="（%3)"/>
      <w:lvlJc w:val="left"/>
      <w:pPr>
        <w:ind w:left="1577" w:hanging="442"/>
      </w:pPr>
      <w:rPr>
        <w:rFonts w:hint="eastAsia"/>
      </w:rPr>
    </w:lvl>
    <w:lvl w:ilvl="3" w:tentative="0">
      <w:start w:val="1"/>
      <w:numFmt w:val="lowerLetter"/>
      <w:pStyle w:val="29"/>
      <w:lvlText w:val="%4)"/>
      <w:lvlJc w:val="left"/>
      <w:pPr>
        <w:ind w:left="440" w:hanging="440"/>
      </w:pPr>
    </w:lvl>
    <w:lvl w:ilvl="4" w:tentative="0">
      <w:start w:val="1"/>
      <w:numFmt w:val="decimal"/>
      <w:pStyle w:val="30"/>
      <w:suff w:val="nothing"/>
      <w:lvlText w:val="%1%2.%3.%4.%5　"/>
      <w:lvlJc w:val="left"/>
      <w:pPr>
        <w:ind w:left="0" w:firstLine="0"/>
      </w:pPr>
      <w:rPr>
        <w:rFonts w:hint="eastAsia" w:ascii="黑体" w:hAnsi="Times New Roman" w:eastAsia="黑体"/>
        <w:b w:val="0"/>
        <w:bCs w:val="0"/>
        <w:i w:val="0"/>
        <w:iCs w:val="0"/>
        <w:sz w:val="21"/>
        <w:szCs w:val="21"/>
      </w:rPr>
    </w:lvl>
    <w:lvl w:ilvl="5" w:tentative="0">
      <w:start w:val="1"/>
      <w:numFmt w:val="decimal"/>
      <w:pStyle w:val="31"/>
      <w:suff w:val="nothing"/>
      <w:lvlText w:val="%1%2.%3.%4.%5.%6　"/>
      <w:lvlJc w:val="left"/>
      <w:pPr>
        <w:ind w:left="0" w:firstLine="0"/>
      </w:pPr>
      <w:rPr>
        <w:rFonts w:hint="eastAsia" w:ascii="黑体" w:hAnsi="Times New Roman" w:eastAsia="黑体"/>
        <w:b w:val="0"/>
        <w:bCs w:val="0"/>
        <w:i w:val="0"/>
        <w:iCs w:val="0"/>
        <w:sz w:val="21"/>
        <w:szCs w:val="21"/>
      </w:rPr>
    </w:lvl>
    <w:lvl w:ilvl="6" w:tentative="0">
      <w:start w:val="1"/>
      <w:numFmt w:val="decimal"/>
      <w:pStyle w:val="32"/>
      <w:suff w:val="nothing"/>
      <w:lvlText w:val="%1%2.%3.%4.%5.%6.%7　"/>
      <w:lvlJc w:val="left"/>
      <w:pPr>
        <w:ind w:left="0" w:firstLine="0"/>
      </w:pPr>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wZGNiMTVjYTUyMGE2NDk4YTc0N2E5MTVlODY3NWEifQ=="/>
  </w:docVars>
  <w:rsids>
    <w:rsidRoot w:val="00980DE8"/>
    <w:rsid w:val="000107D9"/>
    <w:rsid w:val="00010C9E"/>
    <w:rsid w:val="000219C3"/>
    <w:rsid w:val="000341D3"/>
    <w:rsid w:val="00040181"/>
    <w:rsid w:val="000901BB"/>
    <w:rsid w:val="00091033"/>
    <w:rsid w:val="00096CEA"/>
    <w:rsid w:val="000C790B"/>
    <w:rsid w:val="000C7F94"/>
    <w:rsid w:val="000D4C18"/>
    <w:rsid w:val="000E283A"/>
    <w:rsid w:val="000E41A4"/>
    <w:rsid w:val="000F3F68"/>
    <w:rsid w:val="0010002D"/>
    <w:rsid w:val="00100F25"/>
    <w:rsid w:val="001137FE"/>
    <w:rsid w:val="00120755"/>
    <w:rsid w:val="00124FCD"/>
    <w:rsid w:val="00127E0F"/>
    <w:rsid w:val="00131AF5"/>
    <w:rsid w:val="00140600"/>
    <w:rsid w:val="00142B05"/>
    <w:rsid w:val="00143547"/>
    <w:rsid w:val="00143DE2"/>
    <w:rsid w:val="001501D6"/>
    <w:rsid w:val="001607B7"/>
    <w:rsid w:val="0016429B"/>
    <w:rsid w:val="00172642"/>
    <w:rsid w:val="001A4469"/>
    <w:rsid w:val="001C0BDF"/>
    <w:rsid w:val="001C2F2B"/>
    <w:rsid w:val="001E01D2"/>
    <w:rsid w:val="001E0F25"/>
    <w:rsid w:val="002138A1"/>
    <w:rsid w:val="00217F23"/>
    <w:rsid w:val="00221302"/>
    <w:rsid w:val="00222139"/>
    <w:rsid w:val="002263CA"/>
    <w:rsid w:val="0023063D"/>
    <w:rsid w:val="00267E3B"/>
    <w:rsid w:val="00275370"/>
    <w:rsid w:val="00276E73"/>
    <w:rsid w:val="0028611F"/>
    <w:rsid w:val="00297D61"/>
    <w:rsid w:val="002A0C2B"/>
    <w:rsid w:val="002A32C8"/>
    <w:rsid w:val="002B04D3"/>
    <w:rsid w:val="002D35F5"/>
    <w:rsid w:val="002D7507"/>
    <w:rsid w:val="002E3388"/>
    <w:rsid w:val="002E529D"/>
    <w:rsid w:val="002E62F8"/>
    <w:rsid w:val="002F5AAE"/>
    <w:rsid w:val="003058DD"/>
    <w:rsid w:val="00306598"/>
    <w:rsid w:val="00307295"/>
    <w:rsid w:val="00314089"/>
    <w:rsid w:val="00315224"/>
    <w:rsid w:val="003168F1"/>
    <w:rsid w:val="00317CA2"/>
    <w:rsid w:val="00331F51"/>
    <w:rsid w:val="00344A3A"/>
    <w:rsid w:val="00344A68"/>
    <w:rsid w:val="003558E6"/>
    <w:rsid w:val="003618C2"/>
    <w:rsid w:val="00363CFE"/>
    <w:rsid w:val="00377DBB"/>
    <w:rsid w:val="00393E67"/>
    <w:rsid w:val="003A31A9"/>
    <w:rsid w:val="003A7B5B"/>
    <w:rsid w:val="003B3867"/>
    <w:rsid w:val="003B460D"/>
    <w:rsid w:val="003C6C0E"/>
    <w:rsid w:val="003E009C"/>
    <w:rsid w:val="003E13A4"/>
    <w:rsid w:val="003E607C"/>
    <w:rsid w:val="00400568"/>
    <w:rsid w:val="00405B98"/>
    <w:rsid w:val="00412591"/>
    <w:rsid w:val="00417C7E"/>
    <w:rsid w:val="004606D7"/>
    <w:rsid w:val="00465B9E"/>
    <w:rsid w:val="00484AC4"/>
    <w:rsid w:val="004A2DAF"/>
    <w:rsid w:val="004A4E76"/>
    <w:rsid w:val="004A630D"/>
    <w:rsid w:val="004B4483"/>
    <w:rsid w:val="004B75D7"/>
    <w:rsid w:val="004D677C"/>
    <w:rsid w:val="004E189C"/>
    <w:rsid w:val="004E4598"/>
    <w:rsid w:val="004E7F67"/>
    <w:rsid w:val="004F100D"/>
    <w:rsid w:val="004F7647"/>
    <w:rsid w:val="00500442"/>
    <w:rsid w:val="00541BDC"/>
    <w:rsid w:val="00554F5A"/>
    <w:rsid w:val="00560F9F"/>
    <w:rsid w:val="005674C8"/>
    <w:rsid w:val="0056750E"/>
    <w:rsid w:val="005713C9"/>
    <w:rsid w:val="005726EB"/>
    <w:rsid w:val="00572EB2"/>
    <w:rsid w:val="005770CF"/>
    <w:rsid w:val="005810E2"/>
    <w:rsid w:val="00582631"/>
    <w:rsid w:val="00586D2B"/>
    <w:rsid w:val="00591A5E"/>
    <w:rsid w:val="005922F7"/>
    <w:rsid w:val="00595DD0"/>
    <w:rsid w:val="005A45E2"/>
    <w:rsid w:val="005A6EE5"/>
    <w:rsid w:val="005C3B7B"/>
    <w:rsid w:val="005E0BB4"/>
    <w:rsid w:val="005F21A1"/>
    <w:rsid w:val="005F7ABE"/>
    <w:rsid w:val="00610310"/>
    <w:rsid w:val="00613838"/>
    <w:rsid w:val="00614B47"/>
    <w:rsid w:val="006153B8"/>
    <w:rsid w:val="00616A9A"/>
    <w:rsid w:val="006215EE"/>
    <w:rsid w:val="006325E9"/>
    <w:rsid w:val="006448D2"/>
    <w:rsid w:val="00652591"/>
    <w:rsid w:val="00654360"/>
    <w:rsid w:val="00661108"/>
    <w:rsid w:val="00665E25"/>
    <w:rsid w:val="00682291"/>
    <w:rsid w:val="00682F0E"/>
    <w:rsid w:val="00683929"/>
    <w:rsid w:val="00685571"/>
    <w:rsid w:val="00691DE5"/>
    <w:rsid w:val="006C38F8"/>
    <w:rsid w:val="006C5A45"/>
    <w:rsid w:val="006C6CDB"/>
    <w:rsid w:val="006E5C6B"/>
    <w:rsid w:val="006E75BD"/>
    <w:rsid w:val="0070085F"/>
    <w:rsid w:val="00710B9F"/>
    <w:rsid w:val="00711015"/>
    <w:rsid w:val="00713660"/>
    <w:rsid w:val="007264C8"/>
    <w:rsid w:val="0074317C"/>
    <w:rsid w:val="00751FAA"/>
    <w:rsid w:val="00766A2F"/>
    <w:rsid w:val="00777709"/>
    <w:rsid w:val="0079726E"/>
    <w:rsid w:val="007A0069"/>
    <w:rsid w:val="007A3486"/>
    <w:rsid w:val="007A71BA"/>
    <w:rsid w:val="007C65C0"/>
    <w:rsid w:val="007D1267"/>
    <w:rsid w:val="007E63B0"/>
    <w:rsid w:val="007F065B"/>
    <w:rsid w:val="007F6168"/>
    <w:rsid w:val="00800810"/>
    <w:rsid w:val="00825F7C"/>
    <w:rsid w:val="008319E1"/>
    <w:rsid w:val="0083311F"/>
    <w:rsid w:val="00856ADE"/>
    <w:rsid w:val="00862794"/>
    <w:rsid w:val="00870587"/>
    <w:rsid w:val="008739CA"/>
    <w:rsid w:val="00875879"/>
    <w:rsid w:val="008B7E06"/>
    <w:rsid w:val="008C7CC2"/>
    <w:rsid w:val="008E03DC"/>
    <w:rsid w:val="008E482B"/>
    <w:rsid w:val="009041A5"/>
    <w:rsid w:val="00913407"/>
    <w:rsid w:val="00913F25"/>
    <w:rsid w:val="00915BAB"/>
    <w:rsid w:val="0092246D"/>
    <w:rsid w:val="00933B59"/>
    <w:rsid w:val="00950023"/>
    <w:rsid w:val="009535E2"/>
    <w:rsid w:val="0095627D"/>
    <w:rsid w:val="00974B39"/>
    <w:rsid w:val="00980DE8"/>
    <w:rsid w:val="009824FC"/>
    <w:rsid w:val="00992C2E"/>
    <w:rsid w:val="00992E41"/>
    <w:rsid w:val="009A3606"/>
    <w:rsid w:val="009C10F4"/>
    <w:rsid w:val="009F4306"/>
    <w:rsid w:val="00A06782"/>
    <w:rsid w:val="00A170C2"/>
    <w:rsid w:val="00A2227A"/>
    <w:rsid w:val="00A23A99"/>
    <w:rsid w:val="00A2494A"/>
    <w:rsid w:val="00A24AEA"/>
    <w:rsid w:val="00A26BC6"/>
    <w:rsid w:val="00A4005A"/>
    <w:rsid w:val="00A425F0"/>
    <w:rsid w:val="00A430F9"/>
    <w:rsid w:val="00A463E5"/>
    <w:rsid w:val="00A566B5"/>
    <w:rsid w:val="00A6002B"/>
    <w:rsid w:val="00A616FE"/>
    <w:rsid w:val="00A76BF3"/>
    <w:rsid w:val="00A90101"/>
    <w:rsid w:val="00A9037A"/>
    <w:rsid w:val="00A92578"/>
    <w:rsid w:val="00A93A9E"/>
    <w:rsid w:val="00AC3256"/>
    <w:rsid w:val="00AC5DCE"/>
    <w:rsid w:val="00AF0EFD"/>
    <w:rsid w:val="00AF6299"/>
    <w:rsid w:val="00B00528"/>
    <w:rsid w:val="00B00E10"/>
    <w:rsid w:val="00B04CBB"/>
    <w:rsid w:val="00B1226B"/>
    <w:rsid w:val="00B16CF2"/>
    <w:rsid w:val="00B17AC8"/>
    <w:rsid w:val="00B2460B"/>
    <w:rsid w:val="00B427FE"/>
    <w:rsid w:val="00B64AF0"/>
    <w:rsid w:val="00B64BA8"/>
    <w:rsid w:val="00B7375D"/>
    <w:rsid w:val="00B761C8"/>
    <w:rsid w:val="00B7691D"/>
    <w:rsid w:val="00B84DE8"/>
    <w:rsid w:val="00B855BC"/>
    <w:rsid w:val="00B85917"/>
    <w:rsid w:val="00B86018"/>
    <w:rsid w:val="00B92B29"/>
    <w:rsid w:val="00BA7214"/>
    <w:rsid w:val="00BB09F4"/>
    <w:rsid w:val="00BB0DD5"/>
    <w:rsid w:val="00BB166F"/>
    <w:rsid w:val="00BD2D73"/>
    <w:rsid w:val="00BE1535"/>
    <w:rsid w:val="00BF0118"/>
    <w:rsid w:val="00BF2A07"/>
    <w:rsid w:val="00BF6BC0"/>
    <w:rsid w:val="00C1698F"/>
    <w:rsid w:val="00C236A3"/>
    <w:rsid w:val="00C43F81"/>
    <w:rsid w:val="00C44FC9"/>
    <w:rsid w:val="00C54038"/>
    <w:rsid w:val="00C57AE6"/>
    <w:rsid w:val="00C603B9"/>
    <w:rsid w:val="00C732BC"/>
    <w:rsid w:val="00C801D9"/>
    <w:rsid w:val="00C817B9"/>
    <w:rsid w:val="00C81A27"/>
    <w:rsid w:val="00C82D59"/>
    <w:rsid w:val="00C843C0"/>
    <w:rsid w:val="00CA2AAF"/>
    <w:rsid w:val="00CA63C6"/>
    <w:rsid w:val="00CE0936"/>
    <w:rsid w:val="00CE3729"/>
    <w:rsid w:val="00CE5BBF"/>
    <w:rsid w:val="00CE7A4B"/>
    <w:rsid w:val="00CE7D88"/>
    <w:rsid w:val="00CF77A2"/>
    <w:rsid w:val="00D0296C"/>
    <w:rsid w:val="00D30A7C"/>
    <w:rsid w:val="00D3727D"/>
    <w:rsid w:val="00D40595"/>
    <w:rsid w:val="00D43FA1"/>
    <w:rsid w:val="00D51A56"/>
    <w:rsid w:val="00D51C58"/>
    <w:rsid w:val="00D72D78"/>
    <w:rsid w:val="00D86041"/>
    <w:rsid w:val="00D87B65"/>
    <w:rsid w:val="00D90ABC"/>
    <w:rsid w:val="00DB3395"/>
    <w:rsid w:val="00DC3647"/>
    <w:rsid w:val="00DD0BBE"/>
    <w:rsid w:val="00DD62B8"/>
    <w:rsid w:val="00DE0D7C"/>
    <w:rsid w:val="00DF4933"/>
    <w:rsid w:val="00DF5FC3"/>
    <w:rsid w:val="00DF711B"/>
    <w:rsid w:val="00E04574"/>
    <w:rsid w:val="00E147E8"/>
    <w:rsid w:val="00E14BD6"/>
    <w:rsid w:val="00E23074"/>
    <w:rsid w:val="00E2734D"/>
    <w:rsid w:val="00E27410"/>
    <w:rsid w:val="00E32B9E"/>
    <w:rsid w:val="00E35FF9"/>
    <w:rsid w:val="00E36A9B"/>
    <w:rsid w:val="00E44777"/>
    <w:rsid w:val="00E45382"/>
    <w:rsid w:val="00E67BB6"/>
    <w:rsid w:val="00E75AAD"/>
    <w:rsid w:val="00E82092"/>
    <w:rsid w:val="00E86CCF"/>
    <w:rsid w:val="00EA720D"/>
    <w:rsid w:val="00EB4187"/>
    <w:rsid w:val="00EB556E"/>
    <w:rsid w:val="00EC3770"/>
    <w:rsid w:val="00EC6122"/>
    <w:rsid w:val="00EC7B55"/>
    <w:rsid w:val="00ED1931"/>
    <w:rsid w:val="00EE17DE"/>
    <w:rsid w:val="00EF100D"/>
    <w:rsid w:val="00EF24B3"/>
    <w:rsid w:val="00EF5177"/>
    <w:rsid w:val="00EF5B04"/>
    <w:rsid w:val="00F03B9C"/>
    <w:rsid w:val="00F12EEA"/>
    <w:rsid w:val="00F16D65"/>
    <w:rsid w:val="00F20D9C"/>
    <w:rsid w:val="00F215C9"/>
    <w:rsid w:val="00F31FBC"/>
    <w:rsid w:val="00F33F82"/>
    <w:rsid w:val="00F3512B"/>
    <w:rsid w:val="00F45786"/>
    <w:rsid w:val="00F56417"/>
    <w:rsid w:val="00F61032"/>
    <w:rsid w:val="00F614CD"/>
    <w:rsid w:val="00F706D4"/>
    <w:rsid w:val="00F74128"/>
    <w:rsid w:val="00F7711F"/>
    <w:rsid w:val="00F80398"/>
    <w:rsid w:val="00F808E1"/>
    <w:rsid w:val="00F80CDD"/>
    <w:rsid w:val="00F87C53"/>
    <w:rsid w:val="00F9141C"/>
    <w:rsid w:val="00F9354A"/>
    <w:rsid w:val="00F94570"/>
    <w:rsid w:val="00F965D6"/>
    <w:rsid w:val="00FB3AA3"/>
    <w:rsid w:val="00FB6169"/>
    <w:rsid w:val="00FC00BB"/>
    <w:rsid w:val="00FC12B7"/>
    <w:rsid w:val="00FD1398"/>
    <w:rsid w:val="00FD33F3"/>
    <w:rsid w:val="00FD55FA"/>
    <w:rsid w:val="00FD7E33"/>
    <w:rsid w:val="00FE01E4"/>
    <w:rsid w:val="00FF5BB0"/>
    <w:rsid w:val="0322279A"/>
    <w:rsid w:val="035739D3"/>
    <w:rsid w:val="03817919"/>
    <w:rsid w:val="0551681E"/>
    <w:rsid w:val="05887152"/>
    <w:rsid w:val="06BC532B"/>
    <w:rsid w:val="09E64526"/>
    <w:rsid w:val="0CD604FB"/>
    <w:rsid w:val="0D051A70"/>
    <w:rsid w:val="10B5717D"/>
    <w:rsid w:val="1134754D"/>
    <w:rsid w:val="12CD6FEE"/>
    <w:rsid w:val="14990670"/>
    <w:rsid w:val="1726454E"/>
    <w:rsid w:val="17326629"/>
    <w:rsid w:val="17365EA8"/>
    <w:rsid w:val="17D9107A"/>
    <w:rsid w:val="186336D8"/>
    <w:rsid w:val="1C843955"/>
    <w:rsid w:val="1C9A7366"/>
    <w:rsid w:val="1E3C3081"/>
    <w:rsid w:val="20522232"/>
    <w:rsid w:val="21FF6A62"/>
    <w:rsid w:val="22DC6175"/>
    <w:rsid w:val="24254BA9"/>
    <w:rsid w:val="2A63473C"/>
    <w:rsid w:val="2B760E79"/>
    <w:rsid w:val="316B79E6"/>
    <w:rsid w:val="34A525D4"/>
    <w:rsid w:val="34D63D90"/>
    <w:rsid w:val="34DB2A67"/>
    <w:rsid w:val="35820E6C"/>
    <w:rsid w:val="35F72828"/>
    <w:rsid w:val="3701586F"/>
    <w:rsid w:val="3A653607"/>
    <w:rsid w:val="3B972E61"/>
    <w:rsid w:val="3C9B1A25"/>
    <w:rsid w:val="3DA22677"/>
    <w:rsid w:val="3DE91BEB"/>
    <w:rsid w:val="3E13087D"/>
    <w:rsid w:val="3EEA56BA"/>
    <w:rsid w:val="3F227E5E"/>
    <w:rsid w:val="467328A4"/>
    <w:rsid w:val="47FC6ED2"/>
    <w:rsid w:val="49161FED"/>
    <w:rsid w:val="49BF4380"/>
    <w:rsid w:val="4D4D7562"/>
    <w:rsid w:val="4E3B1335"/>
    <w:rsid w:val="4E5726DB"/>
    <w:rsid w:val="4F8B21D5"/>
    <w:rsid w:val="51012E61"/>
    <w:rsid w:val="51DD16A7"/>
    <w:rsid w:val="554B49EA"/>
    <w:rsid w:val="574551BC"/>
    <w:rsid w:val="57D840BE"/>
    <w:rsid w:val="5ABC0073"/>
    <w:rsid w:val="5CB07542"/>
    <w:rsid w:val="5CD31D13"/>
    <w:rsid w:val="5ECD6079"/>
    <w:rsid w:val="5FC01DF9"/>
    <w:rsid w:val="62BB6678"/>
    <w:rsid w:val="69841F9B"/>
    <w:rsid w:val="6A8D17F9"/>
    <w:rsid w:val="6D403BF1"/>
    <w:rsid w:val="6EFC30C9"/>
    <w:rsid w:val="6F1B41FB"/>
    <w:rsid w:val="70CF0B30"/>
    <w:rsid w:val="712F4E89"/>
    <w:rsid w:val="7148382D"/>
    <w:rsid w:val="744163C8"/>
    <w:rsid w:val="75A80FE7"/>
    <w:rsid w:val="76F033C8"/>
    <w:rsid w:val="7AD86FC8"/>
    <w:rsid w:val="7C317DEB"/>
    <w:rsid w:val="7C5F1B5A"/>
    <w:rsid w:val="7FE64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6"/>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49"/>
    <w:semiHidden/>
    <w:unhideWhenUsed/>
    <w:qFormat/>
    <w:uiPriority w:val="99"/>
    <w:pPr>
      <w:jc w:val="left"/>
    </w:pPr>
  </w:style>
  <w:style w:type="paragraph" w:styleId="4">
    <w:name w:val="Body Text"/>
    <w:basedOn w:val="1"/>
    <w:next w:val="1"/>
    <w:qFormat/>
    <w:uiPriority w:val="1"/>
    <w:rPr>
      <w:rFonts w:cs="宋体"/>
      <w:lang w:val="zh-CN" w:bidi="zh-CN"/>
    </w:rPr>
  </w:style>
  <w:style w:type="paragraph" w:styleId="5">
    <w:name w:val="Balloon Text"/>
    <w:basedOn w:val="1"/>
    <w:link w:val="23"/>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able of figures"/>
    <w:basedOn w:val="1"/>
    <w:next w:val="1"/>
    <w:semiHidden/>
    <w:unhideWhenUsed/>
    <w:qFormat/>
    <w:uiPriority w:val="99"/>
    <w:pPr>
      <w:adjustRightInd w:val="0"/>
      <w:spacing w:line="400" w:lineRule="exact"/>
      <w:ind w:left="200" w:leftChars="200" w:hanging="200" w:hangingChars="200"/>
    </w:pPr>
    <w:rPr>
      <w:rFonts w:cs="Calibri"/>
      <w:szCs w:val="21"/>
    </w:rPr>
  </w:style>
  <w:style w:type="paragraph" w:styleId="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0">
    <w:name w:val="annotation subject"/>
    <w:basedOn w:val="3"/>
    <w:next w:val="3"/>
    <w:link w:val="50"/>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character" w:styleId="15">
    <w:name w:val="annotation reference"/>
    <w:basedOn w:val="13"/>
    <w:semiHidden/>
    <w:unhideWhenUsed/>
    <w:qFormat/>
    <w:uiPriority w:val="99"/>
    <w:rPr>
      <w:sz w:val="21"/>
      <w:szCs w:val="21"/>
    </w:rPr>
  </w:style>
  <w:style w:type="character" w:customStyle="1" w:styleId="16">
    <w:name w:val="标题 3 字符"/>
    <w:basedOn w:val="13"/>
    <w:link w:val="2"/>
    <w:qFormat/>
    <w:uiPriority w:val="9"/>
    <w:rPr>
      <w:rFonts w:ascii="Calibri" w:hAnsi="Calibri" w:eastAsia="宋体" w:cs="Times New Roman"/>
      <w:b/>
      <w:bCs/>
      <w:sz w:val="32"/>
      <w:szCs w:val="32"/>
    </w:rPr>
  </w:style>
  <w:style w:type="character" w:customStyle="1" w:styleId="17">
    <w:name w:val="页眉 字符"/>
    <w:basedOn w:val="13"/>
    <w:link w:val="7"/>
    <w:qFormat/>
    <w:uiPriority w:val="99"/>
    <w:rPr>
      <w:rFonts w:ascii="Calibri" w:hAnsi="Calibri" w:eastAsia="宋体" w:cs="Times New Roman"/>
      <w:sz w:val="18"/>
      <w:szCs w:val="18"/>
    </w:rPr>
  </w:style>
  <w:style w:type="character" w:customStyle="1" w:styleId="18">
    <w:name w:val="页脚 字符"/>
    <w:basedOn w:val="13"/>
    <w:link w:val="6"/>
    <w:qFormat/>
    <w:uiPriority w:val="99"/>
    <w:rPr>
      <w:rFonts w:ascii="Calibri" w:hAnsi="Calibri" w:eastAsia="宋体" w:cs="Times New Roman"/>
      <w:sz w:val="18"/>
      <w:szCs w:val="18"/>
    </w:rPr>
  </w:style>
  <w:style w:type="paragraph" w:customStyle="1" w:styleId="19">
    <w:name w:val="段"/>
    <w:link w:val="2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0">
    <w:name w:val="段 Char"/>
    <w:link w:val="19"/>
    <w:qFormat/>
    <w:uiPriority w:val="0"/>
    <w:rPr>
      <w:rFonts w:ascii="宋体" w:hAnsi="Times New Roman" w:eastAsia="宋体" w:cs="Times New Roman"/>
      <w:kern w:val="0"/>
      <w:szCs w:val="20"/>
    </w:rPr>
  </w:style>
  <w:style w:type="paragraph" w:customStyle="1" w:styleId="21">
    <w:name w:val="文章正文"/>
    <w:basedOn w:val="1"/>
    <w:link w:val="22"/>
    <w:qFormat/>
    <w:uiPriority w:val="0"/>
    <w:pPr>
      <w:ind w:firstLine="560" w:firstLineChars="200"/>
    </w:pPr>
    <w:rPr>
      <w:rFonts w:ascii="宋体" w:hAnsi="宋体"/>
      <w:color w:val="000000"/>
      <w:kern w:val="28"/>
      <w:sz w:val="28"/>
      <w:szCs w:val="28"/>
      <w:lang w:val="zh-CN"/>
    </w:rPr>
  </w:style>
  <w:style w:type="character" w:customStyle="1" w:styleId="22">
    <w:name w:val="文章正文 Char"/>
    <w:link w:val="21"/>
    <w:qFormat/>
    <w:uiPriority w:val="0"/>
    <w:rPr>
      <w:rFonts w:ascii="宋体" w:hAnsi="宋体" w:eastAsia="宋体" w:cs="Times New Roman"/>
      <w:color w:val="000000"/>
      <w:kern w:val="28"/>
      <w:sz w:val="28"/>
      <w:szCs w:val="28"/>
      <w:lang w:val="zh-CN" w:eastAsia="zh-CN"/>
    </w:rPr>
  </w:style>
  <w:style w:type="character" w:customStyle="1" w:styleId="23">
    <w:name w:val="批注框文本 字符"/>
    <w:basedOn w:val="13"/>
    <w:link w:val="5"/>
    <w:semiHidden/>
    <w:qFormat/>
    <w:uiPriority w:val="99"/>
    <w:rPr>
      <w:rFonts w:ascii="Calibri" w:hAnsi="Calibri" w:eastAsia="宋体" w:cs="Times New Roman"/>
      <w:sz w:val="18"/>
      <w:szCs w:val="18"/>
    </w:rPr>
  </w:style>
  <w:style w:type="paragraph" w:styleId="24">
    <w:name w:val="List Paragraph"/>
    <w:basedOn w:val="1"/>
    <w:qFormat/>
    <w:uiPriority w:val="34"/>
    <w:pPr>
      <w:ind w:firstLine="420" w:firstLineChars="200"/>
    </w:pPr>
  </w:style>
  <w:style w:type="character" w:customStyle="1" w:styleId="25">
    <w:name w:val="段 字符"/>
    <w:basedOn w:val="13"/>
    <w:qFormat/>
    <w:uiPriority w:val="0"/>
    <w:rPr>
      <w:rFonts w:ascii="Times New Roman" w:hAnsi="Times New Roman" w:eastAsia="宋体" w:cs="Calibri"/>
      <w:szCs w:val="21"/>
    </w:rPr>
  </w:style>
  <w:style w:type="paragraph" w:customStyle="1" w:styleId="26">
    <w:name w:val="术语"/>
    <w:basedOn w:val="19"/>
    <w:next w:val="19"/>
    <w:link w:val="27"/>
    <w:qFormat/>
    <w:uiPriority w:val="0"/>
    <w:pPr>
      <w:widowControl w:val="0"/>
      <w:autoSpaceDE/>
      <w:autoSpaceDN/>
      <w:adjustRightInd w:val="0"/>
      <w:ind w:firstLine="420"/>
    </w:pPr>
    <w:rPr>
      <w:rFonts w:ascii="Times New Roman" w:eastAsia="黑体" w:cs="Calibri"/>
      <w:kern w:val="2"/>
      <w:szCs w:val="21"/>
    </w:rPr>
  </w:style>
  <w:style w:type="character" w:customStyle="1" w:styleId="27">
    <w:name w:val="术语 字符"/>
    <w:basedOn w:val="25"/>
    <w:link w:val="26"/>
    <w:qFormat/>
    <w:uiPriority w:val="0"/>
    <w:rPr>
      <w:rFonts w:ascii="Times New Roman" w:hAnsi="Times New Roman" w:eastAsia="黑体" w:cs="Calibri"/>
      <w:szCs w:val="21"/>
    </w:rPr>
  </w:style>
  <w:style w:type="paragraph" w:customStyle="1" w:styleId="28">
    <w:name w:val="1章标题"/>
    <w:next w:val="1"/>
    <w:qFormat/>
    <w:uiPriority w:val="99"/>
    <w:pPr>
      <w:numPr>
        <w:ilvl w:val="1"/>
        <w:numId w:val="1"/>
      </w:numPr>
      <w:spacing w:beforeLines="50" w:afterLines="50"/>
      <w:jc w:val="both"/>
      <w:outlineLvl w:val="0"/>
    </w:pPr>
    <w:rPr>
      <w:rFonts w:ascii="黑体" w:hAnsi="Times New Roman" w:eastAsia="黑体" w:cs="黑体"/>
      <w:sz w:val="21"/>
      <w:szCs w:val="21"/>
      <w:lang w:val="en-US" w:eastAsia="zh-CN" w:bidi="ar-SA"/>
    </w:rPr>
  </w:style>
  <w:style w:type="paragraph" w:customStyle="1" w:styleId="29">
    <w:name w:val="标准文件_二级条标题"/>
    <w:next w:val="1"/>
    <w:qFormat/>
    <w:uiPriority w:val="99"/>
    <w:pPr>
      <w:widowControl w:val="0"/>
      <w:numPr>
        <w:ilvl w:val="3"/>
        <w:numId w:val="1"/>
      </w:numPr>
      <w:jc w:val="both"/>
      <w:outlineLvl w:val="2"/>
    </w:pPr>
    <w:rPr>
      <w:rFonts w:ascii="黑体" w:hAnsi="Times New Roman" w:eastAsia="黑体" w:cs="黑体"/>
      <w:sz w:val="21"/>
      <w:szCs w:val="21"/>
      <w:lang w:val="en-US" w:eastAsia="zh-CN" w:bidi="ar-SA"/>
    </w:rPr>
  </w:style>
  <w:style w:type="paragraph" w:customStyle="1" w:styleId="30">
    <w:name w:val="标准文件_三级条标题"/>
    <w:basedOn w:val="29"/>
    <w:next w:val="1"/>
    <w:qFormat/>
    <w:uiPriority w:val="99"/>
    <w:pPr>
      <w:widowControl/>
      <w:numPr>
        <w:ilvl w:val="4"/>
      </w:numPr>
      <w:outlineLvl w:val="3"/>
    </w:pPr>
  </w:style>
  <w:style w:type="paragraph" w:customStyle="1" w:styleId="31">
    <w:name w:val="标准文件_四级条标题"/>
    <w:next w:val="1"/>
    <w:qFormat/>
    <w:uiPriority w:val="99"/>
    <w:pPr>
      <w:widowControl w:val="0"/>
      <w:numPr>
        <w:ilvl w:val="5"/>
        <w:numId w:val="1"/>
      </w:numPr>
      <w:jc w:val="both"/>
      <w:outlineLvl w:val="4"/>
    </w:pPr>
    <w:rPr>
      <w:rFonts w:ascii="黑体" w:hAnsi="Times New Roman" w:eastAsia="黑体" w:cs="黑体"/>
      <w:sz w:val="21"/>
      <w:szCs w:val="21"/>
      <w:lang w:val="en-US" w:eastAsia="zh-CN" w:bidi="ar-SA"/>
    </w:rPr>
  </w:style>
  <w:style w:type="paragraph" w:customStyle="1" w:styleId="32">
    <w:name w:val="标准文件_五级条标题"/>
    <w:next w:val="1"/>
    <w:qFormat/>
    <w:uiPriority w:val="99"/>
    <w:pPr>
      <w:widowControl w:val="0"/>
      <w:numPr>
        <w:ilvl w:val="6"/>
        <w:numId w:val="1"/>
      </w:numPr>
      <w:jc w:val="both"/>
      <w:outlineLvl w:val="5"/>
    </w:pPr>
    <w:rPr>
      <w:rFonts w:ascii="黑体" w:hAnsi="Times New Roman" w:eastAsia="黑体" w:cs="黑体"/>
      <w:sz w:val="21"/>
      <w:szCs w:val="21"/>
      <w:lang w:val="en-US" w:eastAsia="zh-CN" w:bidi="ar-SA"/>
    </w:rPr>
  </w:style>
  <w:style w:type="paragraph" w:customStyle="1" w:styleId="33">
    <w:name w:val="标准文件_一级条标题"/>
    <w:basedOn w:val="28"/>
    <w:next w:val="1"/>
    <w:qFormat/>
    <w:uiPriority w:val="99"/>
    <w:pPr>
      <w:numPr>
        <w:ilvl w:val="2"/>
      </w:numPr>
      <w:spacing w:beforeLines="0" w:afterLines="0"/>
      <w:outlineLvl w:val="1"/>
    </w:pPr>
  </w:style>
  <w:style w:type="paragraph" w:customStyle="1" w:styleId="34">
    <w:name w:val="前言标题"/>
    <w:next w:val="1"/>
    <w:qFormat/>
    <w:uiPriority w:val="99"/>
    <w:pPr>
      <w:numPr>
        <w:ilvl w:val="0"/>
        <w:numId w:val="1"/>
      </w:numPr>
      <w:shd w:val="clear" w:color="FFFFFF" w:fill="FFFFFF"/>
      <w:spacing w:before="540"/>
      <w:jc w:val="center"/>
      <w:outlineLvl w:val="0"/>
    </w:pPr>
    <w:rPr>
      <w:rFonts w:ascii="黑体" w:hAnsi="Times New Roman" w:eastAsia="黑体" w:cs="黑体"/>
      <w:sz w:val="32"/>
      <w:szCs w:val="32"/>
      <w:lang w:val="en-US" w:eastAsia="zh-CN" w:bidi="ar-SA"/>
    </w:rPr>
  </w:style>
  <w:style w:type="paragraph" w:customStyle="1" w:styleId="35">
    <w:name w:val="二级条标题"/>
    <w:basedOn w:val="29"/>
    <w:next w:val="19"/>
    <w:link w:val="36"/>
    <w:qFormat/>
    <w:uiPriority w:val="0"/>
    <w:pPr>
      <w:spacing w:before="50" w:beforeLines="50" w:after="50" w:afterLines="50"/>
    </w:pPr>
    <w:rPr>
      <w:rFonts w:ascii="Times New Roman"/>
    </w:rPr>
  </w:style>
  <w:style w:type="character" w:customStyle="1" w:styleId="36">
    <w:name w:val="二级条标题 字符"/>
    <w:basedOn w:val="13"/>
    <w:link w:val="35"/>
    <w:qFormat/>
    <w:uiPriority w:val="0"/>
    <w:rPr>
      <w:rFonts w:ascii="Times New Roman" w:hAnsi="Times New Roman" w:eastAsia="黑体" w:cs="黑体"/>
      <w:kern w:val="0"/>
      <w:szCs w:val="21"/>
    </w:rPr>
  </w:style>
  <w:style w:type="character" w:customStyle="1" w:styleId="37">
    <w:name w:val="font11"/>
    <w:basedOn w:val="13"/>
    <w:qFormat/>
    <w:uiPriority w:val="0"/>
    <w:rPr>
      <w:rFonts w:hint="eastAsia" w:ascii="宋体" w:hAnsi="宋体" w:eastAsia="宋体" w:cs="宋体"/>
      <w:color w:val="000000"/>
      <w:sz w:val="22"/>
      <w:szCs w:val="22"/>
      <w:u w:val="none"/>
    </w:rPr>
  </w:style>
  <w:style w:type="character" w:customStyle="1" w:styleId="38">
    <w:name w:val="HTML 预设格式 字符"/>
    <w:basedOn w:val="13"/>
    <w:link w:val="9"/>
    <w:semiHidden/>
    <w:qFormat/>
    <w:uiPriority w:val="99"/>
    <w:rPr>
      <w:rFonts w:ascii="宋体" w:hAnsi="宋体" w:cs="宋体"/>
      <w:sz w:val="24"/>
      <w:szCs w:val="24"/>
    </w:rPr>
  </w:style>
  <w:style w:type="paragraph" w:customStyle="1" w:styleId="39">
    <w:name w:val="一级条标题"/>
    <w:basedOn w:val="33"/>
    <w:next w:val="19"/>
    <w:link w:val="47"/>
    <w:qFormat/>
    <w:uiPriority w:val="0"/>
    <w:pPr>
      <w:spacing w:before="156" w:beforeLines="50" w:after="156" w:afterLines="50"/>
    </w:pPr>
  </w:style>
  <w:style w:type="paragraph" w:customStyle="1" w:styleId="40">
    <w:name w:val="标准文件_段"/>
    <w:qFormat/>
    <w:uiPriority w:val="99"/>
    <w:pPr>
      <w:widowControl w:val="0"/>
      <w:ind w:firstLine="198" w:firstLineChars="200"/>
      <w:jc w:val="both"/>
    </w:pPr>
    <w:rPr>
      <w:rFonts w:ascii="宋体" w:hAnsi="宋体" w:eastAsia="宋体" w:cs="宋体"/>
      <w:kern w:val="2"/>
      <w:sz w:val="21"/>
      <w:szCs w:val="21"/>
      <w:lang w:val="en-US" w:eastAsia="zh-CN" w:bidi="ar-SA"/>
    </w:rPr>
  </w:style>
  <w:style w:type="paragraph" w:customStyle="1" w:styleId="41">
    <w:name w:val="正文表标题"/>
    <w:basedOn w:val="42"/>
    <w:next w:val="19"/>
    <w:qFormat/>
    <w:uiPriority w:val="0"/>
    <w:pPr>
      <w:numPr>
        <w:numId w:val="2"/>
      </w:numPr>
    </w:pPr>
  </w:style>
  <w:style w:type="paragraph" w:customStyle="1" w:styleId="42">
    <w:name w:val="正文图题"/>
    <w:basedOn w:val="8"/>
    <w:next w:val="19"/>
    <w:qFormat/>
    <w:uiPriority w:val="0"/>
    <w:pPr>
      <w:numPr>
        <w:ilvl w:val="0"/>
        <w:numId w:val="3"/>
      </w:numPr>
      <w:spacing w:before="50" w:beforeLines="50" w:after="50" w:afterLines="50" w:line="240" w:lineRule="auto"/>
      <w:ind w:left="0" w:leftChars="0" w:firstLine="0" w:firstLineChars="0"/>
      <w:jc w:val="center"/>
    </w:pPr>
    <w:rPr>
      <w:rFonts w:eastAsia="黑体"/>
    </w:rPr>
  </w:style>
  <w:style w:type="paragraph" w:customStyle="1" w:styleId="43">
    <w:name w:val="三级条标题"/>
    <w:basedOn w:val="30"/>
    <w:next w:val="19"/>
    <w:qFormat/>
    <w:uiPriority w:val="0"/>
    <w:pPr>
      <w:spacing w:before="156" w:beforeLines="50" w:after="156" w:afterLines="50"/>
    </w:pPr>
  </w:style>
  <w:style w:type="paragraph" w:customStyle="1" w:styleId="44">
    <w:name w:val="修订1"/>
    <w:hidden/>
    <w:unhideWhenUsed/>
    <w:qFormat/>
    <w:uiPriority w:val="99"/>
    <w:rPr>
      <w:rFonts w:ascii="Calibri" w:hAnsi="Calibri" w:eastAsia="宋体" w:cs="Times New Roman"/>
      <w:kern w:val="2"/>
      <w:sz w:val="21"/>
      <w:szCs w:val="22"/>
      <w:lang w:val="en-US" w:eastAsia="zh-CN" w:bidi="ar-SA"/>
    </w:rPr>
  </w:style>
  <w:style w:type="paragraph" w:customStyle="1" w:styleId="45">
    <w:name w:val="章标题"/>
    <w:basedOn w:val="28"/>
    <w:next w:val="19"/>
    <w:link w:val="46"/>
    <w:qFormat/>
    <w:uiPriority w:val="0"/>
    <w:pPr>
      <w:spacing w:before="312" w:beforeLines="100" w:after="312" w:afterLines="100"/>
    </w:pPr>
  </w:style>
  <w:style w:type="character" w:customStyle="1" w:styleId="46">
    <w:name w:val="章标题 字符"/>
    <w:basedOn w:val="13"/>
    <w:link w:val="45"/>
    <w:qFormat/>
    <w:uiPriority w:val="0"/>
    <w:rPr>
      <w:rFonts w:ascii="黑体" w:eastAsia="黑体" w:cs="黑体"/>
      <w:sz w:val="21"/>
      <w:szCs w:val="21"/>
    </w:rPr>
  </w:style>
  <w:style w:type="character" w:customStyle="1" w:styleId="47">
    <w:name w:val="一级条标题 字符"/>
    <w:basedOn w:val="13"/>
    <w:link w:val="39"/>
    <w:qFormat/>
    <w:uiPriority w:val="0"/>
    <w:rPr>
      <w:rFonts w:ascii="黑体" w:eastAsia="黑体" w:cs="黑体"/>
      <w:sz w:val="21"/>
      <w:szCs w:val="21"/>
    </w:rPr>
  </w:style>
  <w:style w:type="paragraph" w:customStyle="1" w:styleId="48">
    <w:name w:val="字母列项"/>
    <w:basedOn w:val="24"/>
    <w:next w:val="19"/>
    <w:qFormat/>
    <w:uiPriority w:val="0"/>
    <w:pPr>
      <w:numPr>
        <w:ilvl w:val="0"/>
        <w:numId w:val="4"/>
      </w:numPr>
      <w:ind w:left="777" w:hanging="357" w:firstLineChars="0"/>
      <w:jc w:val="left"/>
    </w:pPr>
    <w:rPr>
      <w:rFonts w:cs="宋体"/>
      <w:szCs w:val="21"/>
    </w:rPr>
  </w:style>
  <w:style w:type="character" w:customStyle="1" w:styleId="49">
    <w:name w:val="批注文字 字符"/>
    <w:basedOn w:val="13"/>
    <w:link w:val="3"/>
    <w:semiHidden/>
    <w:qFormat/>
    <w:uiPriority w:val="99"/>
    <w:rPr>
      <w:rFonts w:ascii="Calibri" w:hAnsi="Calibri"/>
      <w:kern w:val="2"/>
      <w:sz w:val="21"/>
      <w:szCs w:val="22"/>
    </w:rPr>
  </w:style>
  <w:style w:type="character" w:customStyle="1" w:styleId="50">
    <w:name w:val="批注主题 字符"/>
    <w:basedOn w:val="49"/>
    <w:link w:val="10"/>
    <w:semiHidden/>
    <w:qFormat/>
    <w:uiPriority w:val="99"/>
    <w:rPr>
      <w:rFonts w:ascii="Calibri" w:hAnsi="Calibri"/>
      <w:b/>
      <w:bCs/>
      <w:kern w:val="2"/>
      <w:sz w:val="21"/>
      <w:szCs w:val="22"/>
    </w:rPr>
  </w:style>
  <w:style w:type="paragraph" w:customStyle="1" w:styleId="51">
    <w:name w:val="6 段"/>
    <w:basedOn w:val="1"/>
    <w:link w:val="52"/>
    <w:qFormat/>
    <w:uiPriority w:val="0"/>
    <w:pPr>
      <w:adjustRightInd w:val="0"/>
      <w:ind w:firstLine="420" w:firstLineChars="200"/>
    </w:pPr>
    <w:rPr>
      <w:rFonts w:ascii="Times New Roman" w:hAnsi="Times New Roman" w:cs="Calibri"/>
      <w:szCs w:val="21"/>
    </w:rPr>
  </w:style>
  <w:style w:type="character" w:customStyle="1" w:styleId="52">
    <w:name w:val="6 段 字符"/>
    <w:basedOn w:val="13"/>
    <w:link w:val="51"/>
    <w:qFormat/>
    <w:uiPriority w:val="0"/>
    <w:rPr>
      <w:rFonts w:cs="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5EB09A-AA5E-46E7-B52F-3176BD003B62}">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4</Pages>
  <Words>2342</Words>
  <Characters>2471</Characters>
  <Lines>108</Lines>
  <Paragraphs>30</Paragraphs>
  <TotalTime>0</TotalTime>
  <ScaleCrop>false</ScaleCrop>
  <LinksUpToDate>false</LinksUpToDate>
  <CharactersWithSpaces>2476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2024-05-30T14:49:00Z</dcterms:created>
  <dc:creator>叶宇翔</dc:creator>
  <cp:lastModifiedBy>lee2015</cp:lastModifiedBy>
  <cp:lastPrinted>2024-01-22T08:37:00Z</cp:lastPrinted>
  <dcterms:modified xsi:type="dcterms:W3CDTF">2025-03-27T08:48:30Z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65EEB3614E4540E18C9403203E9F2DD4_13</vt:lpwstr>
  </property>
  <property fmtid="{D5CDD505-2E9C-101B-9397-08002B2CF9AE}" pid="4" name="KSOTemplateDocerSaveRecord">
    <vt:lpwstr>eyJoZGlkIjoiZmM3ZGQ5MTY4MTY1NDgwNjlmZjMxMWRiYjk5OGU5YzYiLCJ1c2VySWQiOiIxNTg1ODE1MzM5In0=</vt:lpwstr>
  </property>
</Properties>
</file>