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649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7D1392">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464B390">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91.010.01"/>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91.010.01</w:t>
            </w:r>
            <w:r>
              <w:rPr>
                <w:rFonts w:ascii="宋体" w:hAnsi="宋体"/>
                <w:sz w:val="21"/>
                <w:szCs w:val="21"/>
              </w:rPr>
              <w:fldChar w:fldCharType="end"/>
            </w:r>
            <w:bookmarkEnd w:id="0"/>
          </w:p>
        </w:tc>
      </w:tr>
      <w:tr w14:paraId="0779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264199">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7D6997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BAF86E3">
                  <w:pPr>
                    <w:pStyle w:val="49"/>
                    <w:framePr w:wrap="notBeside" w:vAnchor="page" w:hAnchor="page" w:x="1372" w:y="568"/>
                    <w:ind w:left="420" w:right="624"/>
                    <w:rPr>
                      <w:rFonts w:ascii="宋体" w:hAnsi="宋体"/>
                      <w:sz w:val="28"/>
                      <w:szCs w:val="28"/>
                    </w:rPr>
                  </w:pPr>
                </w:p>
              </w:tc>
            </w:tr>
          </w:tbl>
          <w:p w14:paraId="6ECB473E">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P 02"/>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P 02</w:t>
            </w:r>
            <w:r>
              <w:rPr>
                <w:rFonts w:ascii="宋体" w:hAnsi="宋体"/>
                <w:sz w:val="21"/>
                <w:szCs w:val="21"/>
              </w:rPr>
              <w:fldChar w:fldCharType="end"/>
            </w:r>
            <w:bookmarkEnd w:id="1"/>
          </w:p>
        </w:tc>
      </w:tr>
    </w:tbl>
    <w:p w14:paraId="4BBC0CE3">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8472D32">
      <w:pPr>
        <w:pStyle w:val="195"/>
        <w:rPr>
          <w:rFonts w:ascii="宋体" w:hAnsi="宋体" w:eastAsia="宋体"/>
          <w:sz w:val="21"/>
          <w:szCs w:val="21"/>
        </w:rPr>
      </w:pPr>
      <w:r>
        <w:rPr>
          <w:rFonts w:ascii="宋体" w:hAnsi="宋体" w:eastAsia="宋体"/>
          <w:sz w:val="21"/>
          <w:szCs w:val="21"/>
        </w:rPr>
        <w:t>T/</w:t>
      </w:r>
      <w:r>
        <w:rPr>
          <w:rFonts w:ascii="宋体" w:hAnsi="宋体" w:eastAsia="宋体"/>
          <w:sz w:val="21"/>
          <w:szCs w:val="21"/>
        </w:rPr>
        <w:fldChar w:fldCharType="begin">
          <w:ffData>
            <w:name w:val="文字1"/>
            <w:enabled/>
            <w:calcOnExit w:val="0"/>
            <w:textInput>
              <w:default w:val="XZBX"/>
            </w:textInput>
          </w:ffData>
        </w:fldChar>
      </w:r>
      <w:bookmarkStart w:id="3" w:name="文字1"/>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XZBX</w:t>
      </w:r>
      <w:r>
        <w:rPr>
          <w:rFonts w:ascii="宋体" w:hAnsi="宋体" w:eastAsia="宋体"/>
          <w:sz w:val="21"/>
          <w:szCs w:val="21"/>
        </w:rPr>
        <w:fldChar w:fldCharType="end"/>
      </w:r>
      <w:bookmarkEnd w:id="3"/>
      <w:r>
        <w:rPr>
          <w:rFonts w:ascii="宋体" w:hAnsi="宋体" w:eastAsia="宋体"/>
          <w:sz w:val="21"/>
          <w:szCs w:val="21"/>
        </w:rPr>
        <w:t xml:space="preserve"> </w:t>
      </w:r>
      <w:bookmarkStart w:id="4" w:name="NSTD_CODE_F"/>
      <w:r>
        <w:rPr>
          <w:rFonts w:ascii="宋体" w:hAnsi="宋体" w:eastAsia="宋体" w:cs="Times New Roman"/>
          <w:bCs/>
          <w:sz w:val="21"/>
          <w:szCs w:val="21"/>
          <w:lang w:val="en-US" w:eastAsia="zh-CN" w:bidi="ar-SA"/>
        </w:rPr>
        <w:fldChar w:fldCharType="begin">
          <w:ffData>
            <w:name w:val="NSTD_CODE_F"/>
            <w:enabled/>
            <w:calcOnExit w:val="0"/>
            <w:textInput>
              <w:default w:val="0015"/>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0015</w:t>
      </w:r>
      <w:r>
        <w:rPr>
          <w:rFonts w:ascii="宋体" w:hAnsi="宋体" w:eastAsia="宋体" w:cs="Times New Roman"/>
          <w:bCs/>
          <w:sz w:val="21"/>
          <w:szCs w:val="21"/>
          <w:lang w:val="en-US" w:eastAsia="zh-CN" w:bidi="ar-SA"/>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2D9D8AA4">
      <w:pPr>
        <w:pStyle w:val="196"/>
        <w:rPr>
          <w:rFonts w:ascii="宋体" w:hAnsi="宋体" w:eastAsia="宋体"/>
          <w:szCs w:val="21"/>
        </w:rPr>
      </w:pPr>
      <w:r>
        <w:rPr>
          <w:rFonts w:ascii="宋体" w:hAnsi="宋体" w:eastAsia="宋体"/>
          <w:szCs w:val="21"/>
        </w:rPr>
        <w:fldChar w:fldCharType="begin">
          <w:ffData>
            <w:name w:val="OSTD_CODE"/>
            <w:enabled/>
            <w:calcOnExit w:val="0"/>
            <w:textInput/>
          </w:ffData>
        </w:fldChar>
      </w:r>
      <w:bookmarkStart w:id="6" w:name="OSTD_CODE"/>
      <w:r>
        <w:rPr>
          <w:rFonts w:ascii="宋体" w:hAnsi="宋体" w:eastAsia="宋体"/>
          <w:szCs w:val="21"/>
        </w:rPr>
        <w:instrText xml:space="preserve"> FORMTEXT </w:instrText>
      </w:r>
      <w:r>
        <w:rPr>
          <w:rFonts w:ascii="宋体" w:hAnsi="宋体" w:eastAsia="宋体"/>
          <w:szCs w:val="21"/>
        </w:rPr>
        <w:fldChar w:fldCharType="separate"/>
      </w:r>
      <w:r>
        <w:rPr>
          <w:rFonts w:ascii="宋体" w:hAnsi="宋体" w:eastAsia="宋体"/>
          <w:szCs w:val="21"/>
        </w:rPr>
        <w:t>     </w:t>
      </w:r>
      <w:r>
        <w:rPr>
          <w:rFonts w:ascii="宋体" w:hAnsi="宋体" w:eastAsia="宋体"/>
          <w:szCs w:val="21"/>
        </w:rPr>
        <w:fldChar w:fldCharType="end"/>
      </w:r>
      <w:bookmarkEnd w:id="6"/>
    </w:p>
    <w:p w14:paraId="0FDC874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1A3D7BA4">
      <w:pPr>
        <w:pStyle w:val="50"/>
        <w:framePr w:w="9639" w:h="6976" w:hRule="exact" w:hSpace="0" w:vSpace="0" w:wrap="around" w:hAnchor="page" w:y="6408"/>
        <w:jc w:val="center"/>
        <w:rPr>
          <w:rFonts w:ascii="黑体" w:hAnsi="黑体" w:eastAsia="黑体"/>
          <w:b w:val="0"/>
          <w:bCs w:val="0"/>
          <w:w w:val="100"/>
        </w:rPr>
      </w:pPr>
    </w:p>
    <w:p w14:paraId="43BD10CE">
      <w:pPr>
        <w:pStyle w:val="197"/>
        <w:framePr w:h="6974" w:hRule="exact" w:wrap="around" w:x="1419" w:anchorLock="1"/>
        <w:rPr>
          <w:sz w:val="48"/>
          <w:szCs w:val="48"/>
        </w:rPr>
      </w:pPr>
      <w:r>
        <w:rPr>
          <w:sz w:val="48"/>
          <w:szCs w:val="48"/>
        </w:rPr>
        <w:fldChar w:fldCharType="begin">
          <w:ffData>
            <w:name w:val="CSTD_NAME"/>
            <w:enabled/>
            <w:calcOnExit w:val="0"/>
            <w:textInput>
              <w:default w:val="建筑装饰工程造价核算规范"/>
            </w:textInput>
          </w:ffData>
        </w:fldChar>
      </w:r>
      <w:bookmarkStart w:id="7" w:name="CSTD_NAME"/>
      <w:r>
        <w:rPr>
          <w:sz w:val="48"/>
          <w:szCs w:val="48"/>
        </w:rPr>
        <w:instrText xml:space="preserve"> FORMTEXT </w:instrText>
      </w:r>
      <w:r>
        <w:rPr>
          <w:sz w:val="48"/>
          <w:szCs w:val="48"/>
        </w:rPr>
        <w:fldChar w:fldCharType="separate"/>
      </w:r>
      <w:r>
        <w:rPr>
          <w:sz w:val="48"/>
          <w:szCs w:val="48"/>
        </w:rPr>
        <w:t>建筑装饰工程造价核算规范</w:t>
      </w:r>
      <w:r>
        <w:rPr>
          <w:sz w:val="48"/>
          <w:szCs w:val="48"/>
        </w:rPr>
        <w:fldChar w:fldCharType="end"/>
      </w:r>
      <w:bookmarkEnd w:id="7"/>
    </w:p>
    <w:p w14:paraId="473A7A97">
      <w:pPr>
        <w:framePr w:w="9639" w:h="6974" w:hRule="exact" w:wrap="around" w:vAnchor="page" w:hAnchor="page" w:x="1419" w:y="6408" w:anchorLock="1"/>
        <w:ind w:left="-1418"/>
      </w:pPr>
    </w:p>
    <w:p w14:paraId="297DBED6">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pecification for cost accounting of building decoration projects"/>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Specification for cost accounting of building decoration projects</w:t>
      </w:r>
      <w:r>
        <w:rPr>
          <w:rFonts w:ascii="黑体" w:hAnsi="黑体" w:eastAsia="黑体"/>
          <w:sz w:val="36"/>
          <w:szCs w:val="36"/>
        </w:rPr>
        <w:fldChar w:fldCharType="end"/>
      </w:r>
      <w:bookmarkEnd w:id="8"/>
    </w:p>
    <w:p w14:paraId="580ED243">
      <w:pPr>
        <w:framePr w:w="9639" w:h="6974" w:hRule="exact" w:wrap="around" w:vAnchor="page" w:hAnchor="page" w:x="1419" w:y="6408" w:anchorLock="1"/>
        <w:spacing w:line="760" w:lineRule="exact"/>
        <w:ind w:left="-1418"/>
      </w:pPr>
    </w:p>
    <w:p w14:paraId="4BA528DC">
      <w:pPr>
        <w:pStyle w:val="125"/>
        <w:framePr w:w="9639" w:h="6974" w:hRule="exact" w:wrap="around" w:vAnchor="page" w:hAnchor="page" w:x="1419" w:y="6408" w:anchorLock="1"/>
        <w:textAlignment w:val="bottom"/>
        <w:rPr>
          <w:rFonts w:eastAsia="黑体"/>
          <w:szCs w:val="28"/>
        </w:rPr>
      </w:pPr>
    </w:p>
    <w:p w14:paraId="1A1D559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bookmarkStart w:id="57" w:name="_GoBack"/>
      <w:bookmarkEnd w:id="57"/>
    </w:p>
    <w:p w14:paraId="726866C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2A3AD41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2DE7C921">
      <w:pPr>
        <w:pStyle w:val="193"/>
        <w:framePr w:wrap="around" w:y="14176"/>
        <w:rPr>
          <w:sz w:val="30"/>
          <w:szCs w:val="30"/>
        </w:rPr>
      </w:pPr>
      <w:r>
        <w:rPr>
          <w:sz w:val="30"/>
          <w:szCs w:val="30"/>
        </w:rPr>
        <w:fldChar w:fldCharType="begin">
          <w:ffData>
            <w:name w:val="PLSH_DATE_Y"/>
            <w:enabled/>
            <w:calcOnExit w:val="0"/>
            <w:textInput>
              <w:default w:val="XXXX"/>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XXXX</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发布</w:t>
      </w:r>
    </w:p>
    <w:p w14:paraId="301BCF1B">
      <w:pPr>
        <w:pStyle w:val="194"/>
        <w:framePr w:wrap="around" w:y="14176"/>
        <w:rPr>
          <w:sz w:val="30"/>
          <w:szCs w:val="30"/>
        </w:rPr>
      </w:pPr>
      <w:r>
        <w:rPr>
          <w:sz w:val="30"/>
          <w:szCs w:val="30"/>
        </w:rPr>
        <w:fldChar w:fldCharType="begin">
          <w:ffData>
            <w:name w:val="CROT_DATE_Y"/>
            <w:enabled/>
            <w:calcOnExit w:val="0"/>
            <w:textInput>
              <w:default w:val="XXXX"/>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XXXX</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实施</w:t>
      </w:r>
    </w:p>
    <w:p w14:paraId="35E509AA">
      <w:pPr>
        <w:pStyle w:val="151"/>
        <w:framePr w:h="584" w:hRule="exact" w:hSpace="181" w:vSpace="181" w:wrap="around" w:y="14800"/>
        <w:rPr>
          <w:rFonts w:hAnsi="黑体"/>
          <w:sz w:val="30"/>
          <w:szCs w:val="30"/>
        </w:rPr>
      </w:pPr>
      <w:r>
        <w:rPr>
          <w:rFonts w:ascii="宋体" w:hAnsi="宋体" w:eastAsia="宋体"/>
          <w:w w:val="100"/>
          <w:sz w:val="30"/>
          <w:szCs w:val="30"/>
        </w:rPr>
        <w:fldChar w:fldCharType="begin">
          <w:ffData>
            <w:name w:val="fm"/>
            <w:enabled/>
            <w:calcOnExit w:val="0"/>
            <w:textInput>
              <w:default w:val="西安市质量与标准化协会 "/>
            </w:textInput>
          </w:ffData>
        </w:fldChar>
      </w:r>
      <w:bookmarkStart w:id="18" w:name="fm"/>
      <w:r>
        <w:rPr>
          <w:rFonts w:ascii="宋体" w:hAnsi="宋体" w:eastAsia="宋体"/>
          <w:w w:val="100"/>
          <w:sz w:val="30"/>
          <w:szCs w:val="30"/>
        </w:rPr>
        <w:instrText xml:space="preserve"> FORMTEXT </w:instrText>
      </w:r>
      <w:r>
        <w:rPr>
          <w:rFonts w:ascii="宋体" w:hAnsi="宋体" w:eastAsia="宋体"/>
          <w:w w:val="100"/>
          <w:sz w:val="30"/>
          <w:szCs w:val="30"/>
        </w:rPr>
        <w:fldChar w:fldCharType="separate"/>
      </w:r>
      <w:r>
        <w:rPr>
          <w:rFonts w:ascii="宋体" w:hAnsi="宋体" w:eastAsia="宋体"/>
          <w:w w:val="100"/>
          <w:sz w:val="30"/>
          <w:szCs w:val="30"/>
        </w:rPr>
        <w:t xml:space="preserve">西安市质量与标准化协会 </w:t>
      </w:r>
      <w:r>
        <w:rPr>
          <w:rFonts w:ascii="宋体" w:hAnsi="宋体" w:eastAsia="宋体"/>
          <w:w w:val="100"/>
          <w:sz w:val="30"/>
          <w:szCs w:val="30"/>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EB083D8">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58B9B251">
      <w:pPr>
        <w:pStyle w:val="91"/>
        <w:spacing w:after="360"/>
      </w:pPr>
      <w:bookmarkStart w:id="19" w:name="BookMark1"/>
      <w:r>
        <w:rPr>
          <w:rFonts w:hint="eastAsia"/>
          <w:spacing w:val="320"/>
        </w:rPr>
        <w:t>目</w:t>
      </w:r>
      <w:r>
        <w:rPr>
          <w:rFonts w:hint="eastAsia"/>
        </w:rPr>
        <w:t>次</w:t>
      </w:r>
    </w:p>
    <w:p w14:paraId="36B27DFC">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"_Toc193047154" </w:instrText>
      </w:r>
      <w:r>
        <w:fldChar w:fldCharType="separate"/>
      </w:r>
      <w:r>
        <w:rPr>
          <w:rStyle w:val="32"/>
        </w:rPr>
        <w:t>前言</w:t>
      </w:r>
      <w:r>
        <w:tab/>
      </w:r>
      <w:r>
        <w:fldChar w:fldCharType="begin"/>
      </w:r>
      <w:r>
        <w:instrText xml:space="preserve"> PAGEREF _Toc193047154 \h </w:instrText>
      </w:r>
      <w:r>
        <w:fldChar w:fldCharType="separate"/>
      </w:r>
      <w:r>
        <w:t>III</w:t>
      </w:r>
      <w:r>
        <w:fldChar w:fldCharType="end"/>
      </w:r>
      <w:r>
        <w:fldChar w:fldCharType="end"/>
      </w:r>
    </w:p>
    <w:p w14:paraId="789803FC">
      <w:pPr>
        <w:pStyle w:val="19"/>
        <w:tabs>
          <w:tab w:val="right" w:leader="dot" w:pos="9344"/>
        </w:tabs>
        <w:rPr>
          <w:rFonts w:asciiTheme="minorHAnsi" w:hAnsiTheme="minorHAnsi" w:eastAsiaTheme="minorEastAsia" w:cstheme="minorBidi"/>
          <w:szCs w:val="22"/>
        </w:rPr>
      </w:pPr>
      <w:r>
        <w:fldChar w:fldCharType="begin"/>
      </w:r>
      <w:r>
        <w:instrText xml:space="preserve"> HYPERLINK \l "_Toc193047155" </w:instrText>
      </w:r>
      <w:r>
        <w:fldChar w:fldCharType="separate"/>
      </w:r>
      <w:r>
        <w:rPr>
          <w:rStyle w:val="32"/>
        </w:rPr>
        <w:t>引言</w:t>
      </w:r>
      <w:r>
        <w:tab/>
      </w:r>
      <w:r>
        <w:fldChar w:fldCharType="begin"/>
      </w:r>
      <w:r>
        <w:instrText xml:space="preserve"> PAGEREF _Toc193047155 \h </w:instrText>
      </w:r>
      <w:r>
        <w:fldChar w:fldCharType="separate"/>
      </w:r>
      <w:r>
        <w:t>V</w:t>
      </w:r>
      <w:r>
        <w:fldChar w:fldCharType="end"/>
      </w:r>
      <w:r>
        <w:fldChar w:fldCharType="end"/>
      </w:r>
    </w:p>
    <w:p w14:paraId="7ADDD9C6">
      <w:pPr>
        <w:pStyle w:val="19"/>
        <w:tabs>
          <w:tab w:val="right" w:leader="dot" w:pos="9344"/>
        </w:tabs>
        <w:rPr>
          <w:rFonts w:asciiTheme="minorHAnsi" w:hAnsiTheme="minorHAnsi" w:eastAsiaTheme="minorEastAsia" w:cstheme="minorBidi"/>
          <w:szCs w:val="22"/>
        </w:rPr>
      </w:pPr>
      <w:r>
        <w:fldChar w:fldCharType="begin"/>
      </w:r>
      <w:r>
        <w:instrText xml:space="preserve"> HYPERLINK \l "_Toc193047156" </w:instrText>
      </w:r>
      <w:r>
        <w:fldChar w:fldCharType="separate"/>
      </w:r>
      <w:r>
        <w:rPr>
          <w:rStyle w:val="32"/>
        </w:rPr>
        <w:t>1  范围</w:t>
      </w:r>
      <w:r>
        <w:tab/>
      </w:r>
      <w:r>
        <w:fldChar w:fldCharType="begin"/>
      </w:r>
      <w:r>
        <w:instrText xml:space="preserve"> PAGEREF _Toc193047156 \h </w:instrText>
      </w:r>
      <w:r>
        <w:fldChar w:fldCharType="separate"/>
      </w:r>
      <w:r>
        <w:t>1</w:t>
      </w:r>
      <w:r>
        <w:fldChar w:fldCharType="end"/>
      </w:r>
      <w:r>
        <w:fldChar w:fldCharType="end"/>
      </w:r>
    </w:p>
    <w:p w14:paraId="2BF86B41">
      <w:pPr>
        <w:pStyle w:val="19"/>
        <w:tabs>
          <w:tab w:val="right" w:leader="dot" w:pos="9344"/>
        </w:tabs>
        <w:rPr>
          <w:rFonts w:asciiTheme="minorHAnsi" w:hAnsiTheme="minorHAnsi" w:eastAsiaTheme="minorEastAsia" w:cstheme="minorBidi"/>
          <w:szCs w:val="22"/>
        </w:rPr>
      </w:pPr>
      <w:r>
        <w:fldChar w:fldCharType="begin"/>
      </w:r>
      <w:r>
        <w:instrText xml:space="preserve"> HYPERLINK \l "_Toc193047157" </w:instrText>
      </w:r>
      <w:r>
        <w:fldChar w:fldCharType="separate"/>
      </w:r>
      <w:r>
        <w:rPr>
          <w:rStyle w:val="32"/>
        </w:rPr>
        <w:t>2  规范性引用文件</w:t>
      </w:r>
      <w:r>
        <w:tab/>
      </w:r>
      <w:r>
        <w:fldChar w:fldCharType="begin"/>
      </w:r>
      <w:r>
        <w:instrText xml:space="preserve"> PAGEREF _Toc193047157 \h </w:instrText>
      </w:r>
      <w:r>
        <w:fldChar w:fldCharType="separate"/>
      </w:r>
      <w:r>
        <w:t>1</w:t>
      </w:r>
      <w:r>
        <w:fldChar w:fldCharType="end"/>
      </w:r>
      <w:r>
        <w:fldChar w:fldCharType="end"/>
      </w:r>
    </w:p>
    <w:p w14:paraId="74376CDC">
      <w:pPr>
        <w:pStyle w:val="19"/>
        <w:tabs>
          <w:tab w:val="right" w:leader="dot" w:pos="9344"/>
        </w:tabs>
        <w:rPr>
          <w:rFonts w:asciiTheme="minorHAnsi" w:hAnsiTheme="minorHAnsi" w:eastAsiaTheme="minorEastAsia" w:cstheme="minorBidi"/>
          <w:szCs w:val="22"/>
        </w:rPr>
      </w:pPr>
      <w:r>
        <w:fldChar w:fldCharType="begin"/>
      </w:r>
      <w:r>
        <w:instrText xml:space="preserve"> HYPERLINK \l "_Toc193047158" </w:instrText>
      </w:r>
      <w:r>
        <w:fldChar w:fldCharType="separate"/>
      </w:r>
      <w:r>
        <w:rPr>
          <w:rStyle w:val="32"/>
        </w:rPr>
        <w:t>3  术语和定义</w:t>
      </w:r>
      <w:r>
        <w:tab/>
      </w:r>
      <w:r>
        <w:fldChar w:fldCharType="begin"/>
      </w:r>
      <w:r>
        <w:instrText xml:space="preserve"> PAGEREF _Toc193047158 \h </w:instrText>
      </w:r>
      <w:r>
        <w:fldChar w:fldCharType="separate"/>
      </w:r>
      <w:r>
        <w:t>1</w:t>
      </w:r>
      <w:r>
        <w:fldChar w:fldCharType="end"/>
      </w:r>
      <w:r>
        <w:fldChar w:fldCharType="end"/>
      </w:r>
    </w:p>
    <w:p w14:paraId="0D58225F">
      <w:pPr>
        <w:pStyle w:val="19"/>
        <w:tabs>
          <w:tab w:val="right" w:leader="dot" w:pos="9344"/>
        </w:tabs>
        <w:rPr>
          <w:rFonts w:asciiTheme="minorHAnsi" w:hAnsiTheme="minorHAnsi" w:eastAsiaTheme="minorEastAsia" w:cstheme="minorBidi"/>
          <w:szCs w:val="22"/>
        </w:rPr>
      </w:pPr>
      <w:r>
        <w:fldChar w:fldCharType="begin"/>
      </w:r>
      <w:r>
        <w:instrText xml:space="preserve"> HYPERLINK \l "_Toc193047159" </w:instrText>
      </w:r>
      <w:r>
        <w:fldChar w:fldCharType="separate"/>
      </w:r>
      <w:r>
        <w:rPr>
          <w:rStyle w:val="32"/>
        </w:rPr>
        <w:t>4  基本规定</w:t>
      </w:r>
      <w:r>
        <w:tab/>
      </w:r>
      <w:r>
        <w:fldChar w:fldCharType="begin"/>
      </w:r>
      <w:r>
        <w:instrText xml:space="preserve"> PAGEREF _Toc193047159 \h </w:instrText>
      </w:r>
      <w:r>
        <w:fldChar w:fldCharType="separate"/>
      </w:r>
      <w:r>
        <w:t>1</w:t>
      </w:r>
      <w:r>
        <w:fldChar w:fldCharType="end"/>
      </w:r>
      <w:r>
        <w:fldChar w:fldCharType="end"/>
      </w:r>
    </w:p>
    <w:p w14:paraId="092B401A">
      <w:pPr>
        <w:pStyle w:val="19"/>
        <w:tabs>
          <w:tab w:val="right" w:leader="dot" w:pos="9344"/>
        </w:tabs>
        <w:rPr>
          <w:rFonts w:asciiTheme="minorHAnsi" w:hAnsiTheme="minorHAnsi" w:eastAsiaTheme="minorEastAsia" w:cstheme="minorBidi"/>
          <w:szCs w:val="22"/>
        </w:rPr>
      </w:pPr>
      <w:r>
        <w:fldChar w:fldCharType="begin"/>
      </w:r>
      <w:r>
        <w:instrText xml:space="preserve"> HYPERLINK \l "_Toc193047160" </w:instrText>
      </w:r>
      <w:r>
        <w:fldChar w:fldCharType="separate"/>
      </w:r>
      <w:r>
        <w:rPr>
          <w:rStyle w:val="32"/>
        </w:rPr>
        <w:t>5  造价构成</w:t>
      </w:r>
      <w:r>
        <w:tab/>
      </w:r>
      <w:r>
        <w:fldChar w:fldCharType="begin"/>
      </w:r>
      <w:r>
        <w:instrText xml:space="preserve"> PAGEREF _Toc193047160 \h </w:instrText>
      </w:r>
      <w:r>
        <w:fldChar w:fldCharType="separate"/>
      </w:r>
      <w:r>
        <w:t>2</w:t>
      </w:r>
      <w:r>
        <w:fldChar w:fldCharType="end"/>
      </w:r>
      <w:r>
        <w:fldChar w:fldCharType="end"/>
      </w:r>
    </w:p>
    <w:p w14:paraId="5B46D1A7">
      <w:pPr>
        <w:pStyle w:val="19"/>
        <w:tabs>
          <w:tab w:val="right" w:leader="dot" w:pos="9344"/>
        </w:tabs>
        <w:rPr>
          <w:rFonts w:asciiTheme="minorHAnsi" w:hAnsiTheme="minorHAnsi" w:eastAsiaTheme="minorEastAsia" w:cstheme="minorBidi"/>
          <w:szCs w:val="22"/>
        </w:rPr>
      </w:pPr>
      <w:r>
        <w:fldChar w:fldCharType="begin"/>
      </w:r>
      <w:r>
        <w:instrText xml:space="preserve"> HYPERLINK \l "_Toc193047161" </w:instrText>
      </w:r>
      <w:r>
        <w:fldChar w:fldCharType="separate"/>
      </w:r>
      <w:r>
        <w:rPr>
          <w:rStyle w:val="32"/>
        </w:rPr>
        <w:t>6  核算方法深化</w:t>
      </w:r>
      <w:r>
        <w:tab/>
      </w:r>
      <w:r>
        <w:fldChar w:fldCharType="begin"/>
      </w:r>
      <w:r>
        <w:instrText xml:space="preserve"> PAGEREF _Toc193047161 \h </w:instrText>
      </w:r>
      <w:r>
        <w:fldChar w:fldCharType="separate"/>
      </w:r>
      <w:r>
        <w:t>2</w:t>
      </w:r>
      <w:r>
        <w:fldChar w:fldCharType="end"/>
      </w:r>
      <w:r>
        <w:fldChar w:fldCharType="end"/>
      </w:r>
    </w:p>
    <w:p w14:paraId="46E5D3F3">
      <w:pPr>
        <w:pStyle w:val="19"/>
        <w:tabs>
          <w:tab w:val="right" w:leader="dot" w:pos="9344"/>
        </w:tabs>
        <w:rPr>
          <w:rFonts w:asciiTheme="minorHAnsi" w:hAnsiTheme="minorHAnsi" w:eastAsiaTheme="minorEastAsia" w:cstheme="minorBidi"/>
          <w:szCs w:val="22"/>
        </w:rPr>
      </w:pPr>
      <w:r>
        <w:fldChar w:fldCharType="begin"/>
      </w:r>
      <w:r>
        <w:instrText xml:space="preserve"> HYPERLINK \l "_Toc193047162" </w:instrText>
      </w:r>
      <w:r>
        <w:fldChar w:fldCharType="separate"/>
      </w:r>
      <w:r>
        <w:rPr>
          <w:rStyle w:val="32"/>
        </w:rPr>
        <w:t>7  造价文件编制标准升级</w:t>
      </w:r>
      <w:r>
        <w:tab/>
      </w:r>
      <w:r>
        <w:fldChar w:fldCharType="begin"/>
      </w:r>
      <w:r>
        <w:instrText xml:space="preserve"> PAGEREF _Toc193047162 \h </w:instrText>
      </w:r>
      <w:r>
        <w:fldChar w:fldCharType="separate"/>
      </w:r>
      <w:r>
        <w:t>3</w:t>
      </w:r>
      <w:r>
        <w:fldChar w:fldCharType="end"/>
      </w:r>
      <w:r>
        <w:fldChar w:fldCharType="end"/>
      </w:r>
    </w:p>
    <w:p w14:paraId="7A00FAC6">
      <w:pPr>
        <w:pStyle w:val="19"/>
        <w:tabs>
          <w:tab w:val="right" w:leader="dot" w:pos="9344"/>
        </w:tabs>
        <w:rPr>
          <w:rFonts w:asciiTheme="minorHAnsi" w:hAnsiTheme="minorHAnsi" w:eastAsiaTheme="minorEastAsia" w:cstheme="minorBidi"/>
          <w:szCs w:val="22"/>
        </w:rPr>
      </w:pPr>
      <w:r>
        <w:fldChar w:fldCharType="begin"/>
      </w:r>
      <w:r>
        <w:instrText xml:space="preserve"> HYPERLINK \l "_Toc193047163" </w:instrText>
      </w:r>
      <w:r>
        <w:fldChar w:fldCharType="separate"/>
      </w:r>
      <w:r>
        <w:rPr>
          <w:rStyle w:val="32"/>
        </w:rPr>
        <w:t>8  审核与监督强化</w:t>
      </w:r>
      <w:r>
        <w:tab/>
      </w:r>
      <w:r>
        <w:fldChar w:fldCharType="begin"/>
      </w:r>
      <w:r>
        <w:instrText xml:space="preserve"> PAGEREF _Toc193047163 \h </w:instrText>
      </w:r>
      <w:r>
        <w:fldChar w:fldCharType="separate"/>
      </w:r>
      <w:r>
        <w:t>3</w:t>
      </w:r>
      <w:r>
        <w:fldChar w:fldCharType="end"/>
      </w:r>
      <w:r>
        <w:fldChar w:fldCharType="end"/>
      </w:r>
    </w:p>
    <w:p w14:paraId="12A1748B">
      <w:pPr>
        <w:pStyle w:val="19"/>
        <w:tabs>
          <w:tab w:val="right" w:leader="dot" w:pos="9344"/>
        </w:tabs>
        <w:rPr>
          <w:rFonts w:asciiTheme="minorHAnsi" w:hAnsiTheme="minorHAnsi" w:eastAsiaTheme="minorEastAsia" w:cstheme="minorBidi"/>
          <w:szCs w:val="22"/>
        </w:rPr>
      </w:pPr>
      <w:r>
        <w:fldChar w:fldCharType="begin"/>
      </w:r>
      <w:r>
        <w:instrText xml:space="preserve"> HYPERLINK \l "_Toc193047164" </w:instrText>
      </w:r>
      <w:r>
        <w:fldChar w:fldCharType="separate"/>
      </w:r>
      <w:r>
        <w:rPr>
          <w:rStyle w:val="32"/>
        </w:rPr>
        <w:t>9  争议解决机制</w:t>
      </w:r>
      <w:r>
        <w:tab/>
      </w:r>
      <w:r>
        <w:fldChar w:fldCharType="begin"/>
      </w:r>
      <w:r>
        <w:instrText xml:space="preserve"> PAGEREF _Toc193047164 \h </w:instrText>
      </w:r>
      <w:r>
        <w:fldChar w:fldCharType="separate"/>
      </w:r>
      <w:r>
        <w:t>3</w:t>
      </w:r>
      <w:r>
        <w:fldChar w:fldCharType="end"/>
      </w:r>
      <w:r>
        <w:fldChar w:fldCharType="end"/>
      </w:r>
    </w:p>
    <w:p w14:paraId="39208C8B">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68209176">
      <w:pPr>
        <w:pStyle w:val="89"/>
        <w:spacing w:before="900" w:after="360"/>
      </w:pPr>
      <w:bookmarkStart w:id="20" w:name="_Toc193047154"/>
      <w:bookmarkStart w:id="21" w:name="BookMark2"/>
      <w:r>
        <w:rPr>
          <w:spacing w:val="320"/>
        </w:rPr>
        <w:t>前</w:t>
      </w:r>
      <w:r>
        <w:t>言</w:t>
      </w:r>
      <w:bookmarkEnd w:id="20"/>
    </w:p>
    <w:p w14:paraId="6A7116D4">
      <w:pPr>
        <w:pStyle w:val="56"/>
        <w:spacing w:line="360" w:lineRule="auto"/>
        <w:ind w:firstLine="420"/>
      </w:pPr>
      <w:r>
        <w:rPr>
          <w:rFonts w:hint="eastAsia"/>
        </w:rPr>
        <w:t>本文件按照GB/T 1.1—2020《标准化工作导则  第1部分：标准化文件的结构和起草规则》的规定起草。</w:t>
      </w:r>
    </w:p>
    <w:p w14:paraId="6B50501D">
      <w:pPr>
        <w:pStyle w:val="56"/>
        <w:spacing w:line="360" w:lineRule="auto"/>
        <w:ind w:firstLine="420"/>
      </w:pPr>
      <w:r>
        <w:rPr>
          <w:rFonts w:hint="eastAsia"/>
        </w:rPr>
        <w:t>请注意本文件的某些内容可能涉及专利。本文件的发布机构不承担识别专利的责任。</w:t>
      </w:r>
    </w:p>
    <w:p w14:paraId="17E460EF">
      <w:pPr>
        <w:pStyle w:val="56"/>
        <w:spacing w:line="360" w:lineRule="auto"/>
        <w:ind w:firstLine="420"/>
      </w:pPr>
      <w:r>
        <w:rPr>
          <w:rFonts w:hint="eastAsia"/>
        </w:rPr>
        <w:t>本文件由西安市质量与标准化协会提出并归口。</w:t>
      </w:r>
    </w:p>
    <w:p w14:paraId="7EC04795">
      <w:pPr>
        <w:pStyle w:val="56"/>
        <w:spacing w:line="360" w:lineRule="auto"/>
        <w:ind w:firstLine="420"/>
      </w:pPr>
      <w:r>
        <w:rPr>
          <w:rFonts w:hint="eastAsia"/>
        </w:rPr>
        <w:t>本文件起草单位：</w:t>
      </w:r>
      <w:bookmarkStart w:id="22" w:name="_Hlk193147622"/>
      <w:r>
        <w:rPr>
          <w:rFonts w:hint="eastAsia"/>
        </w:rPr>
        <w:t>中国国检测试控股集团股份有限公司、杭州智城产业运营管理有限公司、江苏玖鼎工程咨询管理有限公司、江苏天业工程咨询房地产估价有限责任公司无锡分公司、上海富艺幕墙工程有限公司沈阳分公司、大学士工程管理有限公司。</w:t>
      </w:r>
      <w:bookmarkEnd w:id="22"/>
    </w:p>
    <w:p w14:paraId="4BDE09F9">
      <w:pPr>
        <w:pStyle w:val="56"/>
        <w:spacing w:line="360" w:lineRule="auto"/>
        <w:ind w:firstLine="420"/>
      </w:pPr>
      <w:r>
        <w:rPr>
          <w:rFonts w:hint="eastAsia"/>
        </w:rPr>
        <w:t>本文件主要起草人：金伟、张小龙、刘敏、沙银强、赵辉、周义开。</w:t>
      </w:r>
    </w:p>
    <w:p w14:paraId="768E5E15">
      <w:pPr>
        <w:rPr>
          <w:rFonts w:ascii="宋体" w:hAnsi="Times New Roman"/>
          <w:kern w:val="0"/>
          <w:szCs w:val="20"/>
        </w:rPr>
      </w:pPr>
    </w:p>
    <w:p w14:paraId="734A8CB6">
      <w:p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1"/>
    <w:p w14:paraId="430E281B">
      <w:pPr>
        <w:pStyle w:val="89"/>
        <w:spacing w:after="360"/>
      </w:pPr>
      <w:bookmarkStart w:id="23" w:name="_Toc193047155"/>
      <w:bookmarkStart w:id="24" w:name="BookMark3"/>
      <w:r>
        <w:rPr>
          <w:spacing w:val="320"/>
        </w:rPr>
        <w:t>引</w:t>
      </w:r>
      <w:r>
        <w:t>言</w:t>
      </w:r>
      <w:bookmarkEnd w:id="23"/>
    </w:p>
    <w:p w14:paraId="5CD79A20">
      <w:pPr>
        <w:pStyle w:val="56"/>
        <w:spacing w:line="360" w:lineRule="auto"/>
        <w:ind w:firstLine="420"/>
      </w:pPr>
      <w:r>
        <w:rPr>
          <w:rFonts w:hint="eastAsia"/>
        </w:rPr>
        <w:t>随着我国建筑装饰行业的快速发展，工程造价核算作为工程管理的核心环节，直接影响项目投资效益与市场秩序。当前，行业内普遍存在核算依据不统一、计价方法差异大、材料价格波动管理缺失等问题，导致工程纠纷频发、成本管控失效，制约了行业的高质量发展。</w:t>
      </w:r>
    </w:p>
    <w:p w14:paraId="22545DC7">
      <w:pPr>
        <w:pStyle w:val="56"/>
        <w:spacing w:line="360" w:lineRule="auto"/>
        <w:ind w:firstLine="420"/>
      </w:pPr>
      <w:r>
        <w:rPr>
          <w:rFonts w:hint="eastAsia"/>
        </w:rPr>
        <w:t>本文件适用于建筑装饰工程各阶段的造价管理工作，包括投资估算、招标控制价编制、中期付款审核及竣工结算等环节，为建设单位、施工企业、咨询机构提供权威操作指引。通过本文件的实施，预期将降低工程争议率，推动行业从“经验式粗放管理”向“数据化精细管控”转型，助力“双碳”目标下的绿色装饰产业升级。</w:t>
      </w:r>
    </w:p>
    <w:p w14:paraId="6D1E4D82">
      <w:pPr>
        <w:rPr>
          <w:rFonts w:ascii="宋体" w:hAnsi="Times New Roman"/>
          <w:kern w:val="0"/>
          <w:szCs w:val="20"/>
        </w:rPr>
      </w:pPr>
    </w:p>
    <w:p w14:paraId="05ECBDDF">
      <w:pPr>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4"/>
    <w:p w14:paraId="44BEBB14">
      <w:pPr>
        <w:spacing w:line="20" w:lineRule="exact"/>
        <w:jc w:val="center"/>
        <w:rPr>
          <w:rFonts w:ascii="黑体" w:hAnsi="黑体" w:eastAsia="黑体"/>
          <w:sz w:val="32"/>
          <w:szCs w:val="32"/>
        </w:rPr>
      </w:pPr>
      <w:bookmarkStart w:id="25" w:name="BookMark4"/>
    </w:p>
    <w:p w14:paraId="641BBE4A">
      <w:pPr>
        <w:spacing w:line="20" w:lineRule="exact"/>
        <w:jc w:val="center"/>
        <w:rPr>
          <w:rFonts w:ascii="黑体" w:hAnsi="黑体" w:eastAsia="黑体"/>
          <w:sz w:val="32"/>
          <w:szCs w:val="32"/>
        </w:rPr>
      </w:pPr>
    </w:p>
    <w:sdt>
      <w:sdtPr>
        <w:tag w:val="NEW_STAND_NAME"/>
        <w:id w:val="595910757"/>
        <w:lock w:val="sdtLocked"/>
        <w:placeholder>
          <w:docPart w:val="78765A4FEAD642B3AA52C79A0BC942E7"/>
        </w:placeholder>
      </w:sdtPr>
      <w:sdtContent>
        <w:p w14:paraId="175FF66D">
          <w:pPr>
            <w:pStyle w:val="177"/>
          </w:pPr>
          <w:bookmarkStart w:id="26" w:name="NEW_STAND_NAME"/>
          <w:r>
            <w:rPr>
              <w:rFonts w:hint="eastAsia"/>
            </w:rPr>
            <w:t>建筑装饰工程造价核算规范</w:t>
          </w:r>
        </w:p>
      </w:sdtContent>
    </w:sdt>
    <w:bookmarkEnd w:id="26"/>
    <w:p w14:paraId="577D6965">
      <w:pPr>
        <w:pStyle w:val="104"/>
        <w:spacing w:before="240" w:after="240" w:line="360" w:lineRule="auto"/>
      </w:pPr>
      <w:bookmarkStart w:id="27" w:name="_Toc26986530"/>
      <w:bookmarkStart w:id="28" w:name="_Toc26986771"/>
      <w:bookmarkStart w:id="29" w:name="_Toc97192964"/>
      <w:bookmarkStart w:id="30" w:name="_Toc24884218"/>
      <w:bookmarkStart w:id="31" w:name="_Toc26648465"/>
      <w:bookmarkStart w:id="32" w:name="_Toc26718930"/>
      <w:bookmarkStart w:id="33" w:name="_Toc17233325"/>
      <w:bookmarkStart w:id="34" w:name="_Toc193047156"/>
      <w:bookmarkStart w:id="35" w:name="_Toc17233333"/>
      <w:bookmarkStart w:id="36" w:name="_Toc24884211"/>
      <w:r>
        <w:rPr>
          <w:rFonts w:hint="eastAsia"/>
        </w:rPr>
        <w:t>范围</w:t>
      </w:r>
      <w:bookmarkEnd w:id="27"/>
      <w:bookmarkEnd w:id="28"/>
      <w:bookmarkEnd w:id="29"/>
      <w:bookmarkEnd w:id="30"/>
      <w:bookmarkEnd w:id="31"/>
      <w:bookmarkEnd w:id="32"/>
      <w:bookmarkEnd w:id="33"/>
      <w:bookmarkEnd w:id="34"/>
      <w:bookmarkEnd w:id="35"/>
      <w:bookmarkEnd w:id="36"/>
    </w:p>
    <w:p w14:paraId="40394731">
      <w:pPr>
        <w:pStyle w:val="56"/>
        <w:spacing w:line="360" w:lineRule="auto"/>
        <w:ind w:firstLine="420"/>
      </w:pPr>
      <w:bookmarkStart w:id="37" w:name="_Toc17233326"/>
      <w:bookmarkStart w:id="38" w:name="_Toc24884219"/>
      <w:bookmarkStart w:id="39" w:name="_Toc26648466"/>
      <w:bookmarkStart w:id="40" w:name="_Toc24884212"/>
      <w:bookmarkStart w:id="41" w:name="_Toc17233334"/>
      <w:r>
        <w:rPr>
          <w:rFonts w:hint="eastAsia"/>
        </w:rPr>
        <w:t>本文件规定了建筑装饰工程造价核算中的基本规定、造价构成、核算方法深化、造价文件编制标准升级、审核与监督强化及争议解决机制内容。</w:t>
      </w:r>
    </w:p>
    <w:p w14:paraId="706CF093">
      <w:pPr>
        <w:pStyle w:val="56"/>
        <w:spacing w:line="360" w:lineRule="auto"/>
        <w:ind w:firstLine="420"/>
      </w:pPr>
      <w:r>
        <w:rPr>
          <w:rFonts w:hint="eastAsia"/>
        </w:rPr>
        <w:t>本文件适用于住宅、公共建筑、商业空间等各类建筑装饰工程的预算编制、过程结算及竣工决算。</w:t>
      </w:r>
    </w:p>
    <w:p w14:paraId="3D175467">
      <w:pPr>
        <w:pStyle w:val="104"/>
        <w:spacing w:before="240" w:after="240" w:line="360" w:lineRule="auto"/>
      </w:pPr>
      <w:bookmarkStart w:id="42" w:name="_Toc26986531"/>
      <w:bookmarkStart w:id="43" w:name="_Toc26986772"/>
      <w:bookmarkStart w:id="44" w:name="_Toc26718931"/>
      <w:bookmarkStart w:id="45" w:name="_Toc193047157"/>
      <w:bookmarkStart w:id="46" w:name="_Toc97192965"/>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EAF888B4AB0B40A0810257FEFD6332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30DCD42">
          <w:pPr>
            <w:pStyle w:val="56"/>
            <w:spacing w:line="360" w:lineRule="auto"/>
            <w:ind w:firstLine="420"/>
          </w:pPr>
          <w:r>
            <w:rPr>
              <w:rFonts w:hint="eastAsia"/>
            </w:rPr>
            <w:t>本文件没有规范性引用文件。</w:t>
          </w:r>
        </w:p>
      </w:sdtContent>
    </w:sdt>
    <w:p w14:paraId="1C2A3BE9">
      <w:pPr>
        <w:pStyle w:val="104"/>
        <w:spacing w:before="240" w:after="240" w:line="360" w:lineRule="auto"/>
      </w:pPr>
      <w:bookmarkStart w:id="47" w:name="_Toc97192966"/>
      <w:bookmarkStart w:id="48" w:name="_Toc193047158"/>
      <w:r>
        <w:rPr>
          <w:rFonts w:hint="eastAsia"/>
          <w:szCs w:val="21"/>
        </w:rPr>
        <w:t>术语和定义</w:t>
      </w:r>
      <w:bookmarkEnd w:id="47"/>
      <w:bookmarkEnd w:id="48"/>
    </w:p>
    <w:sdt>
      <w:sdtPr>
        <w:id w:val="-1909835108"/>
        <w:placeholder>
          <w:docPart w:val="647740FC4962444495E29952A55D0E2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B49172A">
          <w:pPr>
            <w:pStyle w:val="56"/>
            <w:spacing w:line="360" w:lineRule="auto"/>
            <w:ind w:firstLine="420"/>
          </w:pPr>
          <w:bookmarkStart w:id="49" w:name="_Toc26986532"/>
          <w:bookmarkEnd w:id="49"/>
          <w:r>
            <w:t>下列术语和定义适用于本文件。</w:t>
          </w:r>
        </w:p>
      </w:sdtContent>
    </w:sdt>
    <w:p w14:paraId="35BEA5B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工程变更签证 </w:t>
      </w:r>
      <w:r>
        <w:rPr>
          <w:rFonts w:ascii="黑体" w:hAnsi="黑体" w:eastAsia="黑体"/>
        </w:rPr>
        <w:t>engineering change visa</w:t>
      </w:r>
    </w:p>
    <w:p w14:paraId="6DE7D5E9">
      <w:pPr>
        <w:pStyle w:val="56"/>
        <w:spacing w:line="360" w:lineRule="auto"/>
        <w:ind w:firstLine="420"/>
      </w:pPr>
      <w:r>
        <w:rPr>
          <w:rFonts w:hint="eastAsia"/>
        </w:rPr>
        <w:t>施工过程中因设计调整、业主需求变化导致的工程量增减及费用调整的书面确认文件。</w:t>
      </w:r>
    </w:p>
    <w:p w14:paraId="72063E9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暂列金额 </w:t>
      </w:r>
      <w:r>
        <w:rPr>
          <w:rFonts w:ascii="黑体" w:hAnsi="黑体" w:eastAsia="黑体"/>
        </w:rPr>
        <w:t>provisional amount</w:t>
      </w:r>
    </w:p>
    <w:p w14:paraId="749BCC8B">
      <w:pPr>
        <w:pStyle w:val="56"/>
        <w:spacing w:line="360" w:lineRule="auto"/>
        <w:ind w:firstLine="420"/>
      </w:pPr>
      <w:r>
        <w:rPr>
          <w:rFonts w:hint="eastAsia"/>
        </w:rPr>
        <w:t>招标文件中预留的用于工程不可预见费用的专项资金，不超过合同总价的10%。</w:t>
      </w:r>
    </w:p>
    <w:p w14:paraId="1802D86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材料价差调整 </w:t>
      </w:r>
      <w:r>
        <w:rPr>
          <w:rFonts w:ascii="黑体" w:hAnsi="黑体" w:eastAsia="黑体"/>
        </w:rPr>
        <w:t>material spread adjustments</w:t>
      </w:r>
    </w:p>
    <w:p w14:paraId="40357EAD">
      <w:pPr>
        <w:pStyle w:val="56"/>
        <w:spacing w:line="360" w:lineRule="auto"/>
        <w:ind w:firstLine="420"/>
      </w:pPr>
      <w:r>
        <w:rPr>
          <w:rFonts w:hint="eastAsia"/>
        </w:rPr>
        <w:t>施工期间因市场价格波动超过5%时，发承包双方按约定调整材料费用的机制。</w:t>
      </w:r>
    </w:p>
    <w:p w14:paraId="2381AF4B">
      <w:pPr>
        <w:pStyle w:val="104"/>
        <w:spacing w:before="240" w:after="240" w:line="360" w:lineRule="auto"/>
      </w:pPr>
      <w:bookmarkStart w:id="50" w:name="_Toc193047159"/>
      <w:r>
        <w:rPr>
          <w:rFonts w:hint="eastAsia"/>
        </w:rPr>
        <w:t>基本规定</w:t>
      </w:r>
      <w:bookmarkEnd w:id="50"/>
    </w:p>
    <w:p w14:paraId="412E927C">
      <w:pPr>
        <w:pStyle w:val="105"/>
        <w:spacing w:before="120" w:after="120" w:line="360" w:lineRule="auto"/>
      </w:pPr>
      <w:r>
        <w:rPr>
          <w:rFonts w:hint="eastAsia"/>
        </w:rPr>
        <w:t>核算依据扩展</w:t>
      </w:r>
    </w:p>
    <w:p w14:paraId="1AD00A97">
      <w:pPr>
        <w:pStyle w:val="56"/>
        <w:spacing w:line="360" w:lineRule="auto"/>
        <w:ind w:firstLine="420"/>
      </w:pPr>
      <w:r>
        <w:rPr>
          <w:rFonts w:hint="eastAsia"/>
        </w:rPr>
        <w:t>设计文件：包括效果图、施工图、节点大样图及BIM模型。</w:t>
      </w:r>
    </w:p>
    <w:p w14:paraId="3A330E29">
      <w:pPr>
        <w:pStyle w:val="56"/>
        <w:spacing w:line="360" w:lineRule="auto"/>
        <w:ind w:firstLine="420"/>
      </w:pPr>
      <w:r>
        <w:rPr>
          <w:rFonts w:hint="eastAsia"/>
        </w:rPr>
        <w:t>合同条款：明确计价模式、变更处理程序、索赔时限（建议≤28天）。</w:t>
      </w:r>
    </w:p>
    <w:p w14:paraId="53B3036D">
      <w:pPr>
        <w:pStyle w:val="56"/>
        <w:spacing w:line="360" w:lineRule="auto"/>
        <w:ind w:firstLine="420"/>
      </w:pPr>
      <w:r>
        <w:rPr>
          <w:rFonts w:hint="eastAsia"/>
        </w:rPr>
        <w:t>材料标准：环保等级（如E0级板材）、防火性能（A级/B1级）。</w:t>
      </w:r>
    </w:p>
    <w:p w14:paraId="15973FD9">
      <w:pPr>
        <w:pStyle w:val="105"/>
        <w:spacing w:before="120" w:after="120" w:line="360" w:lineRule="auto"/>
      </w:pPr>
      <w:r>
        <w:rPr>
          <w:rFonts w:hint="eastAsia"/>
        </w:rPr>
        <w:t>核算流程细化</w:t>
      </w:r>
    </w:p>
    <w:p w14:paraId="301A0B40">
      <w:pPr>
        <w:pStyle w:val="56"/>
        <w:spacing w:line="360" w:lineRule="auto"/>
        <w:ind w:firstLine="420"/>
      </w:pPr>
      <w:r>
        <w:rPr>
          <w:rFonts w:hint="eastAsia"/>
        </w:rPr>
        <w:t>可通过建立表格细化核算流程，各阶段核算内容见表1。</w:t>
      </w:r>
    </w:p>
    <w:p w14:paraId="24615506">
      <w:pPr>
        <w:pStyle w:val="56"/>
        <w:spacing w:line="360" w:lineRule="auto"/>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核算流程细化</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4"/>
        <w:gridCol w:w="3115"/>
        <w:gridCol w:w="3115"/>
      </w:tblGrid>
      <w:tr w14:paraId="336245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4" w:type="dxa"/>
            <w:tcBorders>
              <w:top w:val="single" w:color="auto" w:sz="8" w:space="0"/>
              <w:bottom w:val="single" w:color="auto" w:sz="8" w:space="0"/>
            </w:tcBorders>
            <w:shd w:val="clear" w:color="auto" w:fill="auto"/>
            <w:vAlign w:val="center"/>
          </w:tcPr>
          <w:p w14:paraId="62AE0366">
            <w:pPr>
              <w:pStyle w:val="178"/>
            </w:pPr>
            <w:r>
              <w:rPr>
                <w:rFonts w:hint="eastAsia"/>
              </w:rPr>
              <w:t>阶段</w:t>
            </w:r>
          </w:p>
        </w:tc>
        <w:tc>
          <w:tcPr>
            <w:tcW w:w="3115" w:type="dxa"/>
            <w:tcBorders>
              <w:top w:val="single" w:color="auto" w:sz="8" w:space="0"/>
              <w:bottom w:val="single" w:color="auto" w:sz="8" w:space="0"/>
            </w:tcBorders>
            <w:shd w:val="clear" w:color="auto" w:fill="auto"/>
            <w:vAlign w:val="center"/>
          </w:tcPr>
          <w:p w14:paraId="48C53D31">
            <w:pPr>
              <w:pStyle w:val="178"/>
            </w:pPr>
            <w:r>
              <w:rPr>
                <w:rFonts w:hint="eastAsia"/>
              </w:rPr>
              <w:t>工作内容</w:t>
            </w:r>
          </w:p>
        </w:tc>
        <w:tc>
          <w:tcPr>
            <w:tcW w:w="3115" w:type="dxa"/>
            <w:tcBorders>
              <w:top w:val="single" w:color="auto" w:sz="8" w:space="0"/>
              <w:bottom w:val="single" w:color="auto" w:sz="8" w:space="0"/>
            </w:tcBorders>
            <w:shd w:val="clear" w:color="auto" w:fill="auto"/>
            <w:vAlign w:val="center"/>
          </w:tcPr>
          <w:p w14:paraId="51C9522C">
            <w:pPr>
              <w:pStyle w:val="178"/>
            </w:pPr>
            <w:r>
              <w:rPr>
                <w:rFonts w:hint="eastAsia"/>
              </w:rPr>
              <w:t>输出成果</w:t>
            </w:r>
          </w:p>
        </w:tc>
      </w:tr>
      <w:tr w14:paraId="3DA9C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tcBorders>
              <w:top w:val="single" w:color="auto" w:sz="8" w:space="0"/>
            </w:tcBorders>
            <w:shd w:val="clear" w:color="auto" w:fill="auto"/>
            <w:vAlign w:val="center"/>
          </w:tcPr>
          <w:p w14:paraId="5C1F0DFE">
            <w:pPr>
              <w:pStyle w:val="178"/>
            </w:pPr>
            <w:r>
              <w:rPr>
                <w:rFonts w:hint="eastAsia"/>
              </w:rPr>
              <w:t>前期</w:t>
            </w:r>
          </w:p>
        </w:tc>
        <w:tc>
          <w:tcPr>
            <w:tcW w:w="3115" w:type="dxa"/>
            <w:tcBorders>
              <w:top w:val="single" w:color="auto" w:sz="8" w:space="0"/>
            </w:tcBorders>
            <w:shd w:val="clear" w:color="auto" w:fill="auto"/>
            <w:vAlign w:val="center"/>
          </w:tcPr>
          <w:p w14:paraId="2E68B9E4">
            <w:pPr>
              <w:pStyle w:val="178"/>
            </w:pPr>
            <w:r>
              <w:rPr>
                <w:rFonts w:hint="eastAsia"/>
              </w:rPr>
              <w:t>现场勘测、图纸会审、材料选型</w:t>
            </w:r>
          </w:p>
        </w:tc>
        <w:tc>
          <w:tcPr>
            <w:tcW w:w="3115" w:type="dxa"/>
            <w:tcBorders>
              <w:top w:val="single" w:color="auto" w:sz="8" w:space="0"/>
            </w:tcBorders>
            <w:shd w:val="clear" w:color="auto" w:fill="auto"/>
            <w:vAlign w:val="center"/>
          </w:tcPr>
          <w:p w14:paraId="02B039E5">
            <w:pPr>
              <w:pStyle w:val="178"/>
            </w:pPr>
            <w:r>
              <w:rPr>
                <w:rFonts w:hint="eastAsia"/>
              </w:rPr>
              <w:t>《工程量清单编制说明》</w:t>
            </w:r>
          </w:p>
        </w:tc>
      </w:tr>
      <w:tr w14:paraId="79B8B1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352D50D0">
            <w:pPr>
              <w:pStyle w:val="178"/>
            </w:pPr>
            <w:r>
              <w:rPr>
                <w:rFonts w:hint="eastAsia"/>
              </w:rPr>
              <w:t>中期</w:t>
            </w:r>
          </w:p>
        </w:tc>
        <w:tc>
          <w:tcPr>
            <w:tcW w:w="3115" w:type="dxa"/>
            <w:shd w:val="clear" w:color="auto" w:fill="auto"/>
            <w:vAlign w:val="center"/>
          </w:tcPr>
          <w:p w14:paraId="2681FB8E">
            <w:pPr>
              <w:pStyle w:val="178"/>
            </w:pPr>
            <w:r>
              <w:rPr>
                <w:rFonts w:hint="eastAsia"/>
              </w:rPr>
              <w:t>进度款申报、变更签证审核</w:t>
            </w:r>
          </w:p>
        </w:tc>
        <w:tc>
          <w:tcPr>
            <w:tcW w:w="3115" w:type="dxa"/>
            <w:shd w:val="clear" w:color="auto" w:fill="auto"/>
            <w:vAlign w:val="center"/>
          </w:tcPr>
          <w:p w14:paraId="639C2EB5">
            <w:pPr>
              <w:pStyle w:val="178"/>
            </w:pPr>
            <w:r>
              <w:rPr>
                <w:rFonts w:hint="eastAsia"/>
              </w:rPr>
              <w:t>《月度产值审核报告》</w:t>
            </w:r>
          </w:p>
        </w:tc>
      </w:tr>
      <w:tr w14:paraId="61BD4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3D7D08A8">
            <w:pPr>
              <w:pStyle w:val="178"/>
            </w:pPr>
            <w:r>
              <w:rPr>
                <w:rFonts w:hint="eastAsia"/>
              </w:rPr>
              <w:t>后期</w:t>
            </w:r>
          </w:p>
        </w:tc>
        <w:tc>
          <w:tcPr>
            <w:tcW w:w="3115" w:type="dxa"/>
            <w:shd w:val="clear" w:color="auto" w:fill="auto"/>
            <w:vAlign w:val="center"/>
          </w:tcPr>
          <w:p w14:paraId="00C1FA90">
            <w:pPr>
              <w:pStyle w:val="178"/>
            </w:pPr>
            <w:r>
              <w:rPr>
                <w:rFonts w:hint="eastAsia"/>
              </w:rPr>
              <w:t>竣工图核对、质量保证金计算</w:t>
            </w:r>
          </w:p>
        </w:tc>
        <w:tc>
          <w:tcPr>
            <w:tcW w:w="3115" w:type="dxa"/>
            <w:shd w:val="clear" w:color="auto" w:fill="auto"/>
            <w:vAlign w:val="center"/>
          </w:tcPr>
          <w:p w14:paraId="2CB61E83">
            <w:pPr>
              <w:pStyle w:val="178"/>
            </w:pPr>
            <w:r>
              <w:rPr>
                <w:rFonts w:hint="eastAsia"/>
              </w:rPr>
              <w:t>《竣工结算书》</w:t>
            </w:r>
          </w:p>
        </w:tc>
      </w:tr>
    </w:tbl>
    <w:p w14:paraId="39E1DB97">
      <w:pPr>
        <w:pStyle w:val="104"/>
        <w:spacing w:before="240" w:after="240" w:line="360" w:lineRule="auto"/>
      </w:pPr>
      <w:bookmarkStart w:id="51" w:name="_Toc193047160"/>
      <w:r>
        <w:rPr>
          <w:rFonts w:hint="eastAsia"/>
        </w:rPr>
        <w:t>造价构成</w:t>
      </w:r>
      <w:bookmarkEnd w:id="51"/>
    </w:p>
    <w:p w14:paraId="28B2135D">
      <w:pPr>
        <w:pStyle w:val="105"/>
        <w:spacing w:before="120" w:after="120" w:line="360" w:lineRule="auto"/>
      </w:pPr>
      <w:r>
        <w:rPr>
          <w:rFonts w:hint="eastAsia"/>
        </w:rPr>
        <w:t>直接费用细化</w:t>
      </w:r>
    </w:p>
    <w:p w14:paraId="5BF5E5D2">
      <w:pPr>
        <w:pStyle w:val="56"/>
        <w:spacing w:line="360" w:lineRule="auto"/>
        <w:ind w:firstLine="0" w:firstLineChars="0"/>
      </w:pPr>
      <w:r>
        <w:rPr>
          <w:rFonts w:hint="eastAsia"/>
        </w:rPr>
        <w:t>直接费用细化要求见表2。</w:t>
      </w:r>
    </w:p>
    <w:p w14:paraId="372731F8">
      <w:pPr>
        <w:pStyle w:val="56"/>
        <w:spacing w:line="360" w:lineRule="auto"/>
        <w:ind w:firstLine="0" w:firstLineChars="0"/>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直接费用细化表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1F6F0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14:paraId="7D76FF1D">
            <w:pPr>
              <w:pStyle w:val="178"/>
              <w:rPr>
                <w:rFonts w:hAnsi="宋体"/>
              </w:rPr>
            </w:pPr>
            <w:r>
              <w:rPr>
                <w:rFonts w:hAnsi="宋体"/>
              </w:rPr>
              <w:t>类别</w:t>
            </w:r>
          </w:p>
        </w:tc>
        <w:tc>
          <w:tcPr>
            <w:tcW w:w="3112" w:type="dxa"/>
            <w:tcBorders>
              <w:top w:val="single" w:color="auto" w:sz="8" w:space="0"/>
              <w:bottom w:val="single" w:color="auto" w:sz="8" w:space="0"/>
            </w:tcBorders>
            <w:shd w:val="clear" w:color="auto" w:fill="auto"/>
            <w:vAlign w:val="center"/>
          </w:tcPr>
          <w:p w14:paraId="5926016E">
            <w:pPr>
              <w:pStyle w:val="178"/>
              <w:rPr>
                <w:rFonts w:hAnsi="宋体"/>
              </w:rPr>
            </w:pPr>
            <w:r>
              <w:rPr>
                <w:rFonts w:hAnsi="宋体"/>
              </w:rPr>
              <w:t>细分项</w:t>
            </w:r>
          </w:p>
        </w:tc>
        <w:tc>
          <w:tcPr>
            <w:tcW w:w="3112" w:type="dxa"/>
            <w:tcBorders>
              <w:top w:val="single" w:color="auto" w:sz="8" w:space="0"/>
              <w:bottom w:val="single" w:color="auto" w:sz="8" w:space="0"/>
            </w:tcBorders>
            <w:shd w:val="clear" w:color="auto" w:fill="auto"/>
            <w:vAlign w:val="center"/>
          </w:tcPr>
          <w:p w14:paraId="2211C995">
            <w:pPr>
              <w:pStyle w:val="178"/>
              <w:rPr>
                <w:rFonts w:hAnsi="宋体"/>
              </w:rPr>
            </w:pPr>
            <w:r>
              <w:rPr>
                <w:rFonts w:hAnsi="宋体"/>
              </w:rPr>
              <w:t>计算规则</w:t>
            </w:r>
          </w:p>
        </w:tc>
      </w:tr>
      <w:tr w14:paraId="74D29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top w:val="single" w:color="auto" w:sz="8" w:space="0"/>
            </w:tcBorders>
            <w:shd w:val="clear" w:color="auto" w:fill="auto"/>
            <w:vAlign w:val="center"/>
          </w:tcPr>
          <w:p w14:paraId="024C0799">
            <w:pPr>
              <w:pStyle w:val="178"/>
              <w:rPr>
                <w:rFonts w:hAnsi="宋体"/>
              </w:rPr>
            </w:pPr>
            <w:r>
              <w:rPr>
                <w:rFonts w:hint="eastAsia" w:hAnsi="宋体"/>
              </w:rPr>
              <w:t>材料费</w:t>
            </w:r>
          </w:p>
        </w:tc>
        <w:tc>
          <w:tcPr>
            <w:tcW w:w="3112" w:type="dxa"/>
            <w:tcBorders>
              <w:top w:val="single" w:color="auto" w:sz="8" w:space="0"/>
            </w:tcBorders>
            <w:shd w:val="clear" w:color="auto" w:fill="auto"/>
            <w:vAlign w:val="center"/>
          </w:tcPr>
          <w:p w14:paraId="39CC1F3F">
            <w:pPr>
              <w:pStyle w:val="178"/>
              <w:rPr>
                <w:rFonts w:hAnsi="宋体"/>
              </w:rPr>
            </w:pPr>
            <w:r>
              <w:rPr>
                <w:rFonts w:hAnsi="宋体"/>
              </w:rPr>
              <w:t>主材（如瓷砖、石材）</w:t>
            </w:r>
          </w:p>
        </w:tc>
        <w:tc>
          <w:tcPr>
            <w:tcW w:w="3112" w:type="dxa"/>
            <w:tcBorders>
              <w:top w:val="single" w:color="auto" w:sz="8" w:space="0"/>
            </w:tcBorders>
            <w:shd w:val="clear" w:color="auto" w:fill="auto"/>
            <w:vAlign w:val="center"/>
          </w:tcPr>
          <w:p w14:paraId="66D7833C">
            <w:pPr>
              <w:pStyle w:val="178"/>
              <w:rPr>
                <w:rFonts w:hAnsi="宋体"/>
              </w:rPr>
            </w:pPr>
            <w:r>
              <w:rPr>
                <w:rFonts w:hAnsi="宋体"/>
              </w:rPr>
              <w:t>按实际用量×（1+损耗率）计价</w:t>
            </w:r>
          </w:p>
        </w:tc>
      </w:tr>
      <w:tr w14:paraId="48607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14:paraId="4D6BB584">
            <w:pPr>
              <w:pStyle w:val="178"/>
              <w:rPr>
                <w:rFonts w:hAnsi="宋体"/>
              </w:rPr>
            </w:pPr>
          </w:p>
        </w:tc>
        <w:tc>
          <w:tcPr>
            <w:tcW w:w="3112" w:type="dxa"/>
            <w:shd w:val="clear" w:color="auto" w:fill="auto"/>
            <w:vAlign w:val="center"/>
          </w:tcPr>
          <w:p w14:paraId="381F7048">
            <w:pPr>
              <w:pStyle w:val="178"/>
              <w:rPr>
                <w:rFonts w:hAnsi="宋体"/>
              </w:rPr>
            </w:pPr>
            <w:r>
              <w:rPr>
                <w:rFonts w:hAnsi="宋体"/>
              </w:rPr>
              <w:t>辅材（如胶水、钉子）</w:t>
            </w:r>
          </w:p>
        </w:tc>
        <w:tc>
          <w:tcPr>
            <w:tcW w:w="3112" w:type="dxa"/>
            <w:shd w:val="clear" w:color="auto" w:fill="auto"/>
            <w:vAlign w:val="center"/>
          </w:tcPr>
          <w:p w14:paraId="29234024">
            <w:pPr>
              <w:pStyle w:val="178"/>
              <w:rPr>
                <w:rFonts w:hAnsi="宋体"/>
              </w:rPr>
            </w:pPr>
            <w:r>
              <w:rPr>
                <w:rFonts w:hAnsi="宋体"/>
              </w:rPr>
              <w:t>按定额包干或按实结算</w:t>
            </w:r>
          </w:p>
        </w:tc>
      </w:tr>
      <w:tr w14:paraId="4936B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shd w:val="clear" w:color="auto" w:fill="auto"/>
            <w:vAlign w:val="center"/>
          </w:tcPr>
          <w:p w14:paraId="36F22610">
            <w:pPr>
              <w:pStyle w:val="178"/>
              <w:rPr>
                <w:rFonts w:hAnsi="宋体"/>
              </w:rPr>
            </w:pPr>
            <w:r>
              <w:rPr>
                <w:rFonts w:hAnsi="宋体"/>
              </w:rPr>
              <w:t>人工费</w:t>
            </w:r>
          </w:p>
        </w:tc>
        <w:tc>
          <w:tcPr>
            <w:tcW w:w="3112" w:type="dxa"/>
            <w:shd w:val="clear" w:color="auto" w:fill="auto"/>
            <w:vAlign w:val="center"/>
          </w:tcPr>
          <w:p w14:paraId="02AB11DA">
            <w:pPr>
              <w:pStyle w:val="178"/>
              <w:rPr>
                <w:rFonts w:hAnsi="宋体"/>
              </w:rPr>
            </w:pPr>
            <w:r>
              <w:rPr>
                <w:rFonts w:hAnsi="宋体"/>
              </w:rPr>
              <w:t>技工（电工、木工）</w:t>
            </w:r>
          </w:p>
        </w:tc>
        <w:tc>
          <w:tcPr>
            <w:tcW w:w="3112" w:type="dxa"/>
            <w:shd w:val="clear" w:color="auto" w:fill="auto"/>
            <w:vAlign w:val="center"/>
          </w:tcPr>
          <w:p w14:paraId="77D88A18">
            <w:pPr>
              <w:pStyle w:val="178"/>
              <w:rPr>
                <w:rFonts w:hAnsi="宋体"/>
              </w:rPr>
            </w:pPr>
            <w:r>
              <w:rPr>
                <w:rFonts w:hAnsi="宋体"/>
              </w:rPr>
              <w:t>按《地区装饰工种日工资指导价》</w:t>
            </w:r>
          </w:p>
        </w:tc>
      </w:tr>
      <w:tr w14:paraId="76704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14:paraId="53859A38">
            <w:pPr>
              <w:pStyle w:val="178"/>
              <w:rPr>
                <w:rFonts w:hAnsi="宋体"/>
              </w:rPr>
            </w:pPr>
          </w:p>
        </w:tc>
        <w:tc>
          <w:tcPr>
            <w:tcW w:w="3112" w:type="dxa"/>
            <w:shd w:val="clear" w:color="auto" w:fill="auto"/>
            <w:vAlign w:val="center"/>
          </w:tcPr>
          <w:p w14:paraId="477A3A00">
            <w:pPr>
              <w:pStyle w:val="178"/>
              <w:rPr>
                <w:rFonts w:hAnsi="宋体"/>
              </w:rPr>
            </w:pPr>
            <w:r>
              <w:rPr>
                <w:rFonts w:hAnsi="宋体"/>
              </w:rPr>
              <w:t>普工（搬运、清洁）</w:t>
            </w:r>
          </w:p>
        </w:tc>
        <w:tc>
          <w:tcPr>
            <w:tcW w:w="3112" w:type="dxa"/>
            <w:shd w:val="clear" w:color="auto" w:fill="auto"/>
            <w:vAlign w:val="center"/>
          </w:tcPr>
          <w:p w14:paraId="370FDBCE">
            <w:pPr>
              <w:pStyle w:val="178"/>
              <w:rPr>
                <w:rFonts w:hAnsi="宋体"/>
              </w:rPr>
            </w:pPr>
            <w:r>
              <w:rPr>
                <w:rFonts w:hAnsi="宋体"/>
              </w:rPr>
              <w:t>按实际工日×市场单价</w:t>
            </w:r>
          </w:p>
        </w:tc>
      </w:tr>
    </w:tbl>
    <w:p w14:paraId="0DE00686">
      <w:pPr>
        <w:pStyle w:val="105"/>
        <w:spacing w:before="120" w:after="120" w:line="360" w:lineRule="auto"/>
      </w:pPr>
      <w:r>
        <w:rPr>
          <w:rFonts w:hint="eastAsia"/>
        </w:rPr>
        <w:t>间接费用补充</w:t>
      </w:r>
    </w:p>
    <w:p w14:paraId="19991034">
      <w:pPr>
        <w:pStyle w:val="56"/>
        <w:spacing w:line="360" w:lineRule="auto"/>
        <w:ind w:firstLine="420"/>
      </w:pPr>
      <w:r>
        <w:rPr>
          <w:rFonts w:hint="eastAsia"/>
        </w:rPr>
        <w:t>安全文明施工费：不低于工程总造价的1.2%。</w:t>
      </w:r>
    </w:p>
    <w:p w14:paraId="200F50EB">
      <w:pPr>
        <w:pStyle w:val="56"/>
        <w:spacing w:line="360" w:lineRule="auto"/>
        <w:ind w:firstLine="420"/>
      </w:pPr>
      <w:r>
        <w:rPr>
          <w:rFonts w:hint="eastAsia"/>
        </w:rPr>
        <w:t>冬雨季施工增加费：按实际发生工期×0.5‰/天计取。</w:t>
      </w:r>
    </w:p>
    <w:p w14:paraId="069FF96D">
      <w:pPr>
        <w:pStyle w:val="56"/>
        <w:spacing w:line="360" w:lineRule="auto"/>
        <w:ind w:firstLine="420"/>
      </w:pPr>
      <w:r>
        <w:rPr>
          <w:rFonts w:hint="eastAsia"/>
        </w:rPr>
        <w:t>BIM技术应用费：单独列项，按模型面积3-8元/㎡计算。</w:t>
      </w:r>
    </w:p>
    <w:p w14:paraId="42308AF6">
      <w:pPr>
        <w:pStyle w:val="105"/>
        <w:spacing w:before="120" w:after="120" w:line="360" w:lineRule="auto"/>
      </w:pPr>
      <w:r>
        <w:rPr>
          <w:rFonts w:hint="eastAsia"/>
        </w:rPr>
        <w:t>其他费用增补</w:t>
      </w:r>
    </w:p>
    <w:p w14:paraId="2177B5FD">
      <w:pPr>
        <w:pStyle w:val="56"/>
        <w:spacing w:line="360" w:lineRule="auto"/>
        <w:ind w:firstLine="420"/>
      </w:pPr>
      <w:r>
        <w:rPr>
          <w:rFonts w:hint="eastAsia"/>
        </w:rPr>
        <w:t>垃圾清运费：按建筑面积×15-30元/㎡（含外运）。</w:t>
      </w:r>
    </w:p>
    <w:p w14:paraId="088D6CDA">
      <w:pPr>
        <w:pStyle w:val="56"/>
        <w:spacing w:line="360" w:lineRule="auto"/>
        <w:ind w:firstLine="420"/>
      </w:pPr>
      <w:r>
        <w:rPr>
          <w:rFonts w:hint="eastAsia"/>
        </w:rPr>
        <w:t>成品保护费：按分项工程造价的0.3%-0.8%计取。</w:t>
      </w:r>
    </w:p>
    <w:p w14:paraId="349594AE">
      <w:pPr>
        <w:pStyle w:val="104"/>
        <w:spacing w:before="240" w:after="240" w:line="360" w:lineRule="auto"/>
      </w:pPr>
      <w:bookmarkStart w:id="52" w:name="_Toc193047161"/>
      <w:r>
        <w:rPr>
          <w:rFonts w:hint="eastAsia"/>
        </w:rPr>
        <w:t>核算方法深化</w:t>
      </w:r>
      <w:bookmarkEnd w:id="52"/>
    </w:p>
    <w:p w14:paraId="69759480">
      <w:pPr>
        <w:pStyle w:val="105"/>
        <w:spacing w:before="120" w:after="120" w:line="360" w:lineRule="auto"/>
      </w:pPr>
      <w:r>
        <w:rPr>
          <w:rFonts w:hint="eastAsia"/>
        </w:rPr>
        <w:t>工程量计算规则扩展</w:t>
      </w:r>
    </w:p>
    <w:p w14:paraId="41DA90BD">
      <w:pPr>
        <w:pStyle w:val="56"/>
        <w:spacing w:line="360" w:lineRule="auto"/>
        <w:ind w:firstLine="420"/>
      </w:pPr>
      <w:r>
        <w:rPr>
          <w:rFonts w:hint="eastAsia"/>
        </w:rPr>
        <w:t>墙面面积：门窗洞口减半扣除，高度≥2.1m按全面积计算。</w:t>
      </w:r>
    </w:p>
    <w:p w14:paraId="78EF7B99">
      <w:pPr>
        <w:pStyle w:val="56"/>
        <w:spacing w:line="360" w:lineRule="auto"/>
        <w:ind w:firstLine="420"/>
      </w:pPr>
      <w:r>
        <w:rPr>
          <w:rFonts w:hint="eastAsia"/>
        </w:rPr>
        <w:t>异形吊顶：按展开面积计算，弧度部分增加15%人工系数。</w:t>
      </w:r>
    </w:p>
    <w:p w14:paraId="16658DBA">
      <w:pPr>
        <w:pStyle w:val="105"/>
        <w:spacing w:before="120" w:after="120" w:line="360" w:lineRule="auto"/>
      </w:pPr>
      <w:r>
        <w:rPr>
          <w:rFonts w:hint="eastAsia"/>
        </w:rPr>
        <w:t>材料价格确定机制</w:t>
      </w:r>
    </w:p>
    <w:p w14:paraId="4210A769">
      <w:pPr>
        <w:pStyle w:val="56"/>
        <w:spacing w:line="360" w:lineRule="auto"/>
        <w:ind w:firstLine="420"/>
      </w:pPr>
      <w:r>
        <w:rPr>
          <w:rFonts w:hint="eastAsia"/>
        </w:rPr>
        <w:t>信息价：采用工程所在地造价管理部门发布的季度指导价。</w:t>
      </w:r>
    </w:p>
    <w:p w14:paraId="13F32E8E">
      <w:pPr>
        <w:pStyle w:val="56"/>
        <w:spacing w:line="360" w:lineRule="auto"/>
        <w:ind w:firstLine="420"/>
      </w:pPr>
      <w:r>
        <w:rPr>
          <w:rFonts w:hint="eastAsia"/>
        </w:rPr>
        <w:t>市场询价：大宗材料（如石材、不锈钢）需提供至少</w:t>
      </w:r>
      <w:r>
        <w:t>3</w:t>
      </w:r>
      <w:r>
        <w:rPr>
          <w:rFonts w:hint="eastAsia"/>
        </w:rPr>
        <w:t>家供应商盖章报价单。</w:t>
      </w:r>
    </w:p>
    <w:p w14:paraId="734DB508">
      <w:pPr>
        <w:pStyle w:val="56"/>
        <w:spacing w:line="360" w:lineRule="auto"/>
        <w:ind w:firstLine="420"/>
      </w:pPr>
      <w:r>
        <w:rPr>
          <w:rFonts w:hint="eastAsia"/>
        </w:rPr>
        <w:t>甲供材料：按采购价×（</w:t>
      </w:r>
      <w:r>
        <w:t>1+3%</w:t>
      </w:r>
      <w:r>
        <w:rPr>
          <w:rFonts w:hint="eastAsia"/>
        </w:rPr>
        <w:t>采保费）计入工程总价。</w:t>
      </w:r>
    </w:p>
    <w:p w14:paraId="0726DDA2">
      <w:pPr>
        <w:pStyle w:val="105"/>
        <w:spacing w:before="120" w:after="120" w:line="360" w:lineRule="auto"/>
      </w:pPr>
      <w:r>
        <w:rPr>
          <w:rFonts w:hint="eastAsia"/>
        </w:rPr>
        <w:t>风险管控条款</w:t>
      </w:r>
    </w:p>
    <w:p w14:paraId="2805AB88">
      <w:pPr>
        <w:pStyle w:val="56"/>
        <w:spacing w:line="360" w:lineRule="auto"/>
        <w:ind w:firstLine="420"/>
      </w:pPr>
      <w:r>
        <w:rPr>
          <w:rFonts w:hint="eastAsia"/>
        </w:rPr>
        <w:t>价格波动：钢材、铜材等大宗材料可约定±5%以内不调整。</w:t>
      </w:r>
    </w:p>
    <w:p w14:paraId="7C924D5B">
      <w:pPr>
        <w:pStyle w:val="56"/>
        <w:spacing w:line="360" w:lineRule="auto"/>
        <w:ind w:firstLine="420"/>
      </w:pPr>
      <w:r>
        <w:rPr>
          <w:rFonts w:hint="eastAsia"/>
        </w:rPr>
        <w:t>设计变更：单项变更超合同价2%时启动重计量程序。</w:t>
      </w:r>
    </w:p>
    <w:p w14:paraId="13AE8ACE">
      <w:pPr>
        <w:pStyle w:val="104"/>
        <w:spacing w:before="240" w:after="240" w:line="360" w:lineRule="auto"/>
      </w:pPr>
      <w:bookmarkStart w:id="53" w:name="_Toc193047162"/>
      <w:r>
        <w:rPr>
          <w:rFonts w:hint="eastAsia"/>
        </w:rPr>
        <w:t>造价文件编制标准升级</w:t>
      </w:r>
      <w:bookmarkEnd w:id="53"/>
    </w:p>
    <w:p w14:paraId="2A0FC64C">
      <w:pPr>
        <w:pStyle w:val="105"/>
        <w:spacing w:before="120" w:after="120" w:line="360" w:lineRule="auto"/>
      </w:pPr>
      <w:r>
        <w:rPr>
          <w:rFonts w:hint="eastAsia"/>
        </w:rPr>
        <w:t>文件组成细化</w:t>
      </w:r>
    </w:p>
    <w:p w14:paraId="3F1569DD">
      <w:pPr>
        <w:pStyle w:val="56"/>
        <w:spacing w:line="360" w:lineRule="auto"/>
        <w:ind w:firstLine="420"/>
      </w:pPr>
      <w:r>
        <w:t>文件组成细化要求见表3。</w:t>
      </w:r>
    </w:p>
    <w:p w14:paraId="273D30D3">
      <w:pPr>
        <w:pStyle w:val="56"/>
        <w:spacing w:line="360" w:lineRule="auto"/>
        <w:ind w:firstLine="0" w:firstLineChars="0"/>
        <w:jc w:val="center"/>
        <w:rPr>
          <w:rFonts w:ascii="黑体" w:hAnsi="黑体" w:eastAsia="黑体"/>
        </w:rPr>
      </w:pPr>
      <w:r>
        <w:rPr>
          <w:rFonts w:ascii="黑体" w:hAnsi="黑体" w:eastAsia="黑体"/>
        </w:rPr>
        <w:t>表3 文件组成细化</w:t>
      </w:r>
    </w:p>
    <w:tbl>
      <w:tblPr>
        <w:tblStyle w:val="2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65142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vAlign w:val="center"/>
          </w:tcPr>
          <w:p w14:paraId="6397FA17">
            <w:pPr>
              <w:pStyle w:val="178"/>
            </w:pPr>
            <w:r>
              <w:t>文件类型</w:t>
            </w:r>
          </w:p>
        </w:tc>
        <w:tc>
          <w:tcPr>
            <w:tcW w:w="4667" w:type="dxa"/>
            <w:tcBorders>
              <w:top w:val="single" w:color="auto" w:sz="8" w:space="0"/>
              <w:bottom w:val="single" w:color="auto" w:sz="8" w:space="0"/>
            </w:tcBorders>
            <w:vAlign w:val="center"/>
          </w:tcPr>
          <w:p w14:paraId="58622144">
            <w:pPr>
              <w:pStyle w:val="178"/>
            </w:pPr>
            <w:r>
              <w:t>必含内容</w:t>
            </w:r>
          </w:p>
        </w:tc>
      </w:tr>
      <w:tr w14:paraId="50823A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vAlign w:val="center"/>
          </w:tcPr>
          <w:p w14:paraId="55BE21A6">
            <w:pPr>
              <w:pStyle w:val="178"/>
            </w:pPr>
            <w:r>
              <w:t>预算书</w:t>
            </w:r>
          </w:p>
        </w:tc>
        <w:tc>
          <w:tcPr>
            <w:tcW w:w="4667" w:type="dxa"/>
            <w:tcBorders>
              <w:top w:val="single" w:color="auto" w:sz="8" w:space="0"/>
            </w:tcBorders>
            <w:vAlign w:val="center"/>
          </w:tcPr>
          <w:p w14:paraId="7A1DBAE3">
            <w:pPr>
              <w:pStyle w:val="178"/>
            </w:pPr>
            <w:r>
              <w:t>人工/材料分析表、措施项目清单</w:t>
            </w:r>
          </w:p>
        </w:tc>
      </w:tr>
      <w:tr w14:paraId="2B14C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0EBB5876">
            <w:pPr>
              <w:pStyle w:val="178"/>
            </w:pPr>
            <w:r>
              <w:t>结算书</w:t>
            </w:r>
          </w:p>
        </w:tc>
        <w:tc>
          <w:tcPr>
            <w:tcW w:w="4667" w:type="dxa"/>
            <w:vAlign w:val="center"/>
          </w:tcPr>
          <w:p w14:paraId="443D6176">
            <w:pPr>
              <w:pStyle w:val="178"/>
            </w:pPr>
            <w:r>
              <w:t>变更签证汇总表、扣款明细表</w:t>
            </w:r>
          </w:p>
        </w:tc>
      </w:tr>
      <w:tr w14:paraId="6048C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417CBF95">
            <w:pPr>
              <w:pStyle w:val="178"/>
            </w:pPr>
            <w:r>
              <w:t>审核报告</w:t>
            </w:r>
          </w:p>
        </w:tc>
        <w:tc>
          <w:tcPr>
            <w:tcW w:w="4667" w:type="dxa"/>
            <w:vAlign w:val="center"/>
          </w:tcPr>
          <w:p w14:paraId="69CE8295">
            <w:pPr>
              <w:pStyle w:val="178"/>
            </w:pPr>
            <w:r>
              <w:t>争议问题说明、专家意见签字页</w:t>
            </w:r>
          </w:p>
        </w:tc>
      </w:tr>
    </w:tbl>
    <w:p w14:paraId="5AE0C920">
      <w:pPr>
        <w:pStyle w:val="105"/>
        <w:spacing w:before="120" w:after="120" w:line="360" w:lineRule="auto"/>
      </w:pPr>
      <w:r>
        <w:rPr>
          <w:rFonts w:hint="eastAsia"/>
        </w:rPr>
        <w:t>数字化要求</w:t>
      </w:r>
    </w:p>
    <w:p w14:paraId="58F61A37">
      <w:pPr>
        <w:pStyle w:val="56"/>
        <w:spacing w:line="360" w:lineRule="auto"/>
        <w:ind w:firstLine="420"/>
      </w:pPr>
      <w:r>
        <w:rPr>
          <w:rFonts w:hint="eastAsia"/>
        </w:rPr>
        <w:t>采用统一电子表格格式（提供模板下载）。</w:t>
      </w:r>
    </w:p>
    <w:p w14:paraId="745891E9">
      <w:pPr>
        <w:pStyle w:val="56"/>
        <w:spacing w:line="360" w:lineRule="auto"/>
        <w:ind w:firstLine="420"/>
      </w:pPr>
      <w:r>
        <w:rPr>
          <w:rFonts w:hint="eastAsia"/>
        </w:rPr>
        <w:t>BIM模型需关联工程量数据（IFC标准格式）。</w:t>
      </w:r>
    </w:p>
    <w:p w14:paraId="04E280FF">
      <w:pPr>
        <w:pStyle w:val="104"/>
        <w:spacing w:before="240" w:after="240" w:line="360" w:lineRule="auto"/>
      </w:pPr>
      <w:bookmarkStart w:id="54" w:name="_Toc193047163"/>
      <w:r>
        <w:rPr>
          <w:rFonts w:hint="eastAsia"/>
        </w:rPr>
        <w:t>审核与监督强化</w:t>
      </w:r>
      <w:bookmarkEnd w:id="54"/>
    </w:p>
    <w:p w14:paraId="007B791A">
      <w:pPr>
        <w:pStyle w:val="105"/>
        <w:spacing w:before="120" w:after="120" w:line="360" w:lineRule="auto"/>
      </w:pPr>
      <w:r>
        <w:rPr>
          <w:rFonts w:hint="eastAsia"/>
        </w:rPr>
        <w:t>三级审核制度</w:t>
      </w:r>
    </w:p>
    <w:p w14:paraId="37B800C7">
      <w:pPr>
        <w:pStyle w:val="56"/>
        <w:spacing w:line="360" w:lineRule="auto"/>
        <w:ind w:firstLine="420"/>
      </w:pPr>
      <w:r>
        <w:rPr>
          <w:rFonts w:hint="eastAsia"/>
        </w:rPr>
        <w:t>初审：项目造价员自查（24小时内完成）。</w:t>
      </w:r>
    </w:p>
    <w:p w14:paraId="2902AA39">
      <w:pPr>
        <w:pStyle w:val="56"/>
        <w:spacing w:line="360" w:lineRule="auto"/>
        <w:ind w:firstLine="420"/>
      </w:pPr>
      <w:r>
        <w:rPr>
          <w:rFonts w:hint="eastAsia"/>
        </w:rPr>
        <w:t>复审：企业成本部抽审（抽检率≥30%）。</w:t>
      </w:r>
    </w:p>
    <w:p w14:paraId="66491948">
      <w:pPr>
        <w:pStyle w:val="56"/>
        <w:spacing w:line="360" w:lineRule="auto"/>
        <w:ind w:firstLine="420"/>
      </w:pPr>
      <w:r>
        <w:rPr>
          <w:rFonts w:hint="eastAsia"/>
        </w:rPr>
        <w:t>终审：外聘专家重点审核（争议项100%覆盖）。</w:t>
      </w:r>
    </w:p>
    <w:p w14:paraId="1D5BD16D">
      <w:pPr>
        <w:pStyle w:val="105"/>
        <w:spacing w:before="120" w:after="120" w:line="360" w:lineRule="auto"/>
      </w:pPr>
      <w:r>
        <w:rPr>
          <w:rFonts w:hint="eastAsia"/>
        </w:rPr>
        <w:t>质量评价体系</w:t>
      </w:r>
    </w:p>
    <w:p w14:paraId="34DA2225">
      <w:pPr>
        <w:pStyle w:val="56"/>
        <w:spacing w:line="360" w:lineRule="auto"/>
        <w:ind w:firstLine="420"/>
      </w:pPr>
      <w:r>
        <w:t>质量评价体系要求见表4。</w:t>
      </w:r>
    </w:p>
    <w:p w14:paraId="491E8680">
      <w:pPr>
        <w:pStyle w:val="56"/>
        <w:spacing w:line="360" w:lineRule="auto"/>
        <w:ind w:firstLine="0" w:firstLineChars="0"/>
        <w:jc w:val="center"/>
        <w:rPr>
          <w:rFonts w:ascii="黑体" w:hAnsi="黑体" w:eastAsia="黑体"/>
        </w:rPr>
      </w:pPr>
      <w:r>
        <w:rPr>
          <w:rFonts w:ascii="黑体" w:hAnsi="黑体" w:eastAsia="黑体"/>
        </w:rPr>
        <w:t>表4 质量评价体系</w:t>
      </w:r>
    </w:p>
    <w:tbl>
      <w:tblPr>
        <w:tblStyle w:val="2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2ABF5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667" w:type="dxa"/>
            <w:tcBorders>
              <w:top w:val="single" w:color="auto" w:sz="8" w:space="0"/>
              <w:bottom w:val="single" w:color="auto" w:sz="8" w:space="0"/>
            </w:tcBorders>
            <w:vAlign w:val="center"/>
          </w:tcPr>
          <w:p w14:paraId="4B1DF21B">
            <w:pPr>
              <w:pStyle w:val="178"/>
              <w:rPr>
                <w:rFonts w:hAnsi="宋体"/>
              </w:rPr>
            </w:pPr>
            <w:r>
              <w:rPr>
                <w:rFonts w:hAnsi="宋体"/>
              </w:rPr>
              <w:t>评价指标</w:t>
            </w:r>
          </w:p>
        </w:tc>
        <w:tc>
          <w:tcPr>
            <w:tcW w:w="4667" w:type="dxa"/>
            <w:tcBorders>
              <w:top w:val="single" w:color="auto" w:sz="8" w:space="0"/>
              <w:bottom w:val="single" w:color="auto" w:sz="8" w:space="0"/>
            </w:tcBorders>
            <w:vAlign w:val="center"/>
          </w:tcPr>
          <w:p w14:paraId="56DDD770">
            <w:pPr>
              <w:pStyle w:val="178"/>
              <w:rPr>
                <w:rFonts w:hAnsi="宋体"/>
              </w:rPr>
            </w:pPr>
            <w:r>
              <w:rPr>
                <w:rFonts w:hAnsi="宋体"/>
              </w:rPr>
              <w:t>合格标准</w:t>
            </w:r>
          </w:p>
        </w:tc>
      </w:tr>
      <w:tr w14:paraId="55FEA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vAlign w:val="center"/>
          </w:tcPr>
          <w:p w14:paraId="43BF28D7">
            <w:pPr>
              <w:pStyle w:val="178"/>
              <w:rPr>
                <w:rFonts w:hAnsi="宋体"/>
              </w:rPr>
            </w:pPr>
            <w:r>
              <w:rPr>
                <w:rFonts w:hAnsi="宋体"/>
              </w:rPr>
              <w:t>工程量误差率</w:t>
            </w:r>
          </w:p>
        </w:tc>
        <w:tc>
          <w:tcPr>
            <w:tcW w:w="4667" w:type="dxa"/>
            <w:tcBorders>
              <w:top w:val="single" w:color="auto" w:sz="8" w:space="0"/>
            </w:tcBorders>
            <w:vAlign w:val="center"/>
          </w:tcPr>
          <w:p w14:paraId="178E8EEF">
            <w:pPr>
              <w:pStyle w:val="178"/>
              <w:rPr>
                <w:rFonts w:hAnsi="宋体"/>
              </w:rPr>
            </w:pPr>
            <w:r>
              <w:rPr>
                <w:rFonts w:hAnsi="宋体"/>
              </w:rPr>
              <w:t>≤1%</w:t>
            </w:r>
          </w:p>
        </w:tc>
      </w:tr>
      <w:tr w14:paraId="7C7FB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5F9247F4">
            <w:pPr>
              <w:pStyle w:val="178"/>
              <w:rPr>
                <w:rFonts w:hAnsi="宋体"/>
              </w:rPr>
            </w:pPr>
            <w:r>
              <w:rPr>
                <w:rFonts w:hAnsi="宋体"/>
              </w:rPr>
              <w:t>单价偏离度</w:t>
            </w:r>
          </w:p>
        </w:tc>
        <w:tc>
          <w:tcPr>
            <w:tcW w:w="4667" w:type="dxa"/>
            <w:vAlign w:val="center"/>
          </w:tcPr>
          <w:p w14:paraId="09DF3F86">
            <w:pPr>
              <w:pStyle w:val="178"/>
              <w:rPr>
                <w:rFonts w:hAnsi="宋体"/>
              </w:rPr>
            </w:pPr>
            <w:r>
              <w:rPr>
                <w:rFonts w:hAnsi="宋体"/>
              </w:rPr>
              <w:t>≤±3%</w:t>
            </w:r>
          </w:p>
        </w:tc>
      </w:tr>
      <w:tr w14:paraId="179B8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6731C6CB">
            <w:pPr>
              <w:pStyle w:val="178"/>
              <w:rPr>
                <w:rFonts w:hAnsi="宋体"/>
              </w:rPr>
            </w:pPr>
            <w:r>
              <w:rPr>
                <w:rFonts w:hAnsi="宋体"/>
              </w:rPr>
              <w:t>文件完整性</w:t>
            </w:r>
          </w:p>
        </w:tc>
        <w:tc>
          <w:tcPr>
            <w:tcW w:w="4667" w:type="dxa"/>
            <w:vAlign w:val="center"/>
          </w:tcPr>
          <w:p w14:paraId="7BA45A2B">
            <w:pPr>
              <w:pStyle w:val="178"/>
              <w:rPr>
                <w:rFonts w:hAnsi="宋体"/>
              </w:rPr>
            </w:pPr>
            <w:r>
              <w:rPr>
                <w:rFonts w:hAnsi="宋体"/>
              </w:rPr>
              <w:t>必填项100%覆盖</w:t>
            </w:r>
          </w:p>
        </w:tc>
      </w:tr>
    </w:tbl>
    <w:p w14:paraId="1CFEFB81">
      <w:pPr>
        <w:pStyle w:val="104"/>
        <w:spacing w:before="240" w:after="240" w:line="360" w:lineRule="auto"/>
      </w:pPr>
      <w:bookmarkStart w:id="55" w:name="_Toc193047164"/>
      <w:r>
        <w:rPr>
          <w:rFonts w:hint="eastAsia"/>
        </w:rPr>
        <w:t>争议解决机制</w:t>
      </w:r>
      <w:bookmarkEnd w:id="55"/>
    </w:p>
    <w:p w14:paraId="7D034041">
      <w:pPr>
        <w:pStyle w:val="105"/>
        <w:spacing w:before="120" w:after="120" w:line="360" w:lineRule="auto"/>
      </w:pPr>
      <w:r>
        <w:rPr>
          <w:rFonts w:hint="eastAsia"/>
        </w:rPr>
        <w:t>争议处理流程</w:t>
      </w:r>
    </w:p>
    <w:p w14:paraId="1CDA7440">
      <w:pPr>
        <w:pStyle w:val="56"/>
        <w:spacing w:line="360" w:lineRule="auto"/>
        <w:ind w:firstLine="420"/>
      </w:pPr>
      <w:r>
        <w:rPr>
          <w:rFonts w:hint="eastAsia"/>
        </w:rPr>
        <w:t>双方协商（7个工作日内）。</w:t>
      </w:r>
    </w:p>
    <w:p w14:paraId="03AA704E">
      <w:pPr>
        <w:pStyle w:val="56"/>
        <w:spacing w:line="360" w:lineRule="auto"/>
        <w:ind w:firstLine="420"/>
      </w:pPr>
      <w:r>
        <w:rPr>
          <w:rFonts w:hint="eastAsia"/>
        </w:rPr>
        <w:t>行业协会调解（提交《争议调解申请书》）。</w:t>
      </w:r>
    </w:p>
    <w:p w14:paraId="3CA31007">
      <w:pPr>
        <w:pStyle w:val="56"/>
        <w:spacing w:line="360" w:lineRule="auto"/>
        <w:ind w:firstLine="420"/>
      </w:pPr>
      <w:r>
        <w:rPr>
          <w:rFonts w:hint="eastAsia"/>
        </w:rPr>
        <w:t>仲裁/诉讼（按合同约定执行）。</w:t>
      </w:r>
    </w:p>
    <w:p w14:paraId="56AABAC4">
      <w:pPr>
        <w:pStyle w:val="105"/>
        <w:spacing w:before="120" w:after="120" w:line="360" w:lineRule="auto"/>
      </w:pPr>
      <w:r>
        <w:rPr>
          <w:rFonts w:hint="eastAsia"/>
        </w:rPr>
        <w:t>专家库管理</w:t>
      </w:r>
    </w:p>
    <w:p w14:paraId="1AB7DC7D">
      <w:pPr>
        <w:pStyle w:val="56"/>
        <w:spacing w:line="360" w:lineRule="auto"/>
        <w:ind w:firstLine="420"/>
      </w:pPr>
      <w:r>
        <w:rPr>
          <w:rFonts w:hint="eastAsia"/>
        </w:rPr>
        <w:t>建立200人以上专家库（高级职称占比≥60%）。</w:t>
      </w:r>
    </w:p>
    <w:p w14:paraId="4EDC2A90">
      <w:pPr>
        <w:pStyle w:val="56"/>
        <w:spacing w:line="360" w:lineRule="auto"/>
        <w:ind w:firstLine="420"/>
      </w:pPr>
      <w:r>
        <w:rPr>
          <w:rFonts w:hint="eastAsia"/>
        </w:rPr>
        <w:t>实行回避制度（与项目相关专家不得参与评审）。</w:t>
      </w:r>
    </w:p>
    <w:bookmarkEnd w:id="25"/>
    <w:p w14:paraId="7F45D0CE">
      <w:pPr>
        <w:pStyle w:val="56"/>
        <w:ind w:firstLine="0" w:firstLineChars="0"/>
        <w:jc w:val="center"/>
      </w:pPr>
      <w:bookmarkStart w:id="56" w:name="BookMark8"/>
      <w:r>
        <w:drawing>
          <wp:inline distT="0" distB="0" distL="0" distR="0">
            <wp:extent cx="1485900" cy="317500"/>
            <wp:effectExtent l="0" t="0" r="0" b="6350"/>
            <wp:docPr id="519991550" name="图片 5"/>
            <wp:cNvGraphicFramePr/>
            <a:graphic xmlns:a="http://schemas.openxmlformats.org/drawingml/2006/main">
              <a:graphicData uri="http://schemas.openxmlformats.org/drawingml/2006/picture">
                <pic:pic xmlns:pic="http://schemas.openxmlformats.org/drawingml/2006/picture">
                  <pic:nvPicPr>
                    <pic:cNvPr id="519991550" name="图片 5"/>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CB1E">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453D3">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130A2">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4D36">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269AF">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AAFC2">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0C42D">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9E05">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99F2">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B0BA">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9082">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C445">
    <w:pPr>
      <w:pStyle w:val="62"/>
    </w:pPr>
    <w:r>
      <w:fldChar w:fldCharType="begin"/>
    </w:r>
    <w:r>
      <w:instrText xml:space="preserve"> STYLEREF  标准文件_文件编号 \* MERGEFORMAT </w:instrText>
    </w:r>
    <w:r>
      <w:fldChar w:fldCharType="separate"/>
    </w:r>
    <w:r>
      <w:t>T/XZBX 0015—2025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7758">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3C5DA">
    <w:pPr>
      <w:pStyle w:val="61"/>
    </w:pPr>
    <w:r>
      <w:fldChar w:fldCharType="begin"/>
    </w:r>
    <w:r>
      <w:instrText xml:space="preserve"> STYLEREF  标准文件_文件编号  \* MERGEFORMAT </w:instrText>
    </w:r>
    <w:r>
      <w:fldChar w:fldCharType="separate"/>
    </w:r>
    <w:r>
      <w:t>T/XZBX 0015—2025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D084">
    <w:pPr>
      <w:pStyle w:val="62"/>
    </w:pPr>
    <w:r>
      <w:fldChar w:fldCharType="begin"/>
    </w:r>
    <w:r>
      <w:instrText xml:space="preserve"> STYLEREF  标准文件_文件编号 \* MERGEFORMAT </w:instrText>
    </w:r>
    <w:r>
      <w:fldChar w:fldCharType="separate"/>
    </w:r>
    <w:r>
      <w:t>T/XZBX 0015—2025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F64A7">
    <w:pPr>
      <w:pStyle w:val="61"/>
    </w:pPr>
    <w:r>
      <w:fldChar w:fldCharType="begin"/>
    </w:r>
    <w:r>
      <w:instrText xml:space="preserve"> STYLEREF  标准文件_文件编号  \* MERGEFORMAT </w:instrText>
    </w:r>
    <w:r>
      <w:fldChar w:fldCharType="separate"/>
    </w:r>
    <w:r>
      <w:t>T/XZBX 0015—2025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784B">
    <w:pPr>
      <w:pStyle w:val="62"/>
    </w:pPr>
    <w:r>
      <w:fldChar w:fldCharType="begin"/>
    </w:r>
    <w:r>
      <w:instrText xml:space="preserve"> STYLEREF  标准文件_文件编号 \* MERGEFORMAT </w:instrText>
    </w:r>
    <w:r>
      <w:fldChar w:fldCharType="separate"/>
    </w:r>
    <w:r>
      <w:t>T/XZBX 0015—2025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BD3E5">
    <w:pPr>
      <w:pStyle w:val="61"/>
    </w:pPr>
    <w:r>
      <w:fldChar w:fldCharType="begin"/>
    </w:r>
    <w:r>
      <w:instrText xml:space="preserve"> STYLEREF  标准文件_文件编号  \* MERGEFORMAT </w:instrText>
    </w:r>
    <w:r>
      <w:fldChar w:fldCharType="separate"/>
    </w:r>
    <w:r>
      <w:t>T/XZBX 0015—2025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C951">
    <w:pPr>
      <w:pStyle w:val="62"/>
    </w:pPr>
    <w:r>
      <w:fldChar w:fldCharType="begin"/>
    </w:r>
    <w:r>
      <w:instrText xml:space="preserve"> STYLEREF  标准文件_文件编号 \* MERGEFORMAT </w:instrText>
    </w:r>
    <w:r>
      <w:fldChar w:fldCharType="separate"/>
    </w:r>
    <w:r>
      <w:t>T/XZBX 0015—2025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03DF">
    <w:pPr>
      <w:pStyle w:val="61"/>
    </w:pPr>
    <w:r>
      <w:fldChar w:fldCharType="begin"/>
    </w:r>
    <w:r>
      <w:instrText xml:space="preserve"> STYLEREF  标准文件_文件编号  \* MERGEFORMAT </w:instrText>
    </w:r>
    <w:r>
      <w:fldChar w:fldCharType="separate"/>
    </w:r>
    <w:r>
      <w:t>T/XZBX 0015—2025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O1sDQyMTAyNLQ0MDNW0lEKTi0uzszPAykwqwUAqwekMCwAAAA="/>
  </w:docVars>
  <w:rsids>
    <w:rsidRoot w:val="00FA0E3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F63"/>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20B"/>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16E"/>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2B3A"/>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58F"/>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C85"/>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937"/>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8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E5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034"/>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67D"/>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880"/>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6D4"/>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9BF"/>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7D48"/>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E3A"/>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31B"/>
    <w:rsid w:val="00FE3901"/>
    <w:rsid w:val="00FE39D3"/>
    <w:rsid w:val="00FE4BCE"/>
    <w:rsid w:val="00FE54AE"/>
    <w:rsid w:val="00FE576A"/>
    <w:rsid w:val="00FE7E79"/>
    <w:rsid w:val="00FF3E7D"/>
    <w:rsid w:val="00FF5B99"/>
    <w:rsid w:val="00FF730C"/>
    <w:rsid w:val="00FF73F4"/>
    <w:rsid w:val="00FF7CE4"/>
    <w:rsid w:val="00FF7E39"/>
    <w:rsid w:val="0542536E"/>
    <w:rsid w:val="1C073588"/>
    <w:rsid w:val="7AB4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765A4FEAD642B3AA52C79A0BC942E7"/>
        <w:style w:val=""/>
        <w:category>
          <w:name w:val="常规"/>
          <w:gallery w:val="placeholder"/>
        </w:category>
        <w:types>
          <w:type w:val="bbPlcHdr"/>
        </w:types>
        <w:behaviors>
          <w:behavior w:val="content"/>
        </w:behaviors>
        <w:description w:val=""/>
        <w:guid w:val="{15CE031F-4754-4A47-86B0-F46EB2EA2FAC}"/>
      </w:docPartPr>
      <w:docPartBody>
        <w:p w14:paraId="0690CBD2">
          <w:pPr>
            <w:pStyle w:val="5"/>
          </w:pPr>
          <w:r>
            <w:rPr>
              <w:rStyle w:val="4"/>
              <w:rFonts w:hint="eastAsia"/>
            </w:rPr>
            <w:t>单击或点击此处输入文字。</w:t>
          </w:r>
        </w:p>
      </w:docPartBody>
    </w:docPart>
    <w:docPart>
      <w:docPartPr>
        <w:name w:val="EAF888B4AB0B40A0810257FEFD6332D7"/>
        <w:style w:val=""/>
        <w:category>
          <w:name w:val="常规"/>
          <w:gallery w:val="placeholder"/>
        </w:category>
        <w:types>
          <w:type w:val="bbPlcHdr"/>
        </w:types>
        <w:behaviors>
          <w:behavior w:val="content"/>
        </w:behaviors>
        <w:description w:val=""/>
        <w:guid w:val="{618134DB-A5E6-41C3-9D12-CDA38D008F63}"/>
      </w:docPartPr>
      <w:docPartBody>
        <w:p w14:paraId="72F8405F">
          <w:pPr>
            <w:pStyle w:val="6"/>
          </w:pPr>
          <w:r>
            <w:rPr>
              <w:rStyle w:val="4"/>
              <w:rFonts w:hint="eastAsia"/>
            </w:rPr>
            <w:t>选择一项。</w:t>
          </w:r>
        </w:p>
      </w:docPartBody>
    </w:docPart>
    <w:docPart>
      <w:docPartPr>
        <w:name w:val="647740FC4962444495E29952A55D0E2B"/>
        <w:style w:val=""/>
        <w:category>
          <w:name w:val="常规"/>
          <w:gallery w:val="placeholder"/>
        </w:category>
        <w:types>
          <w:type w:val="bbPlcHdr"/>
        </w:types>
        <w:behaviors>
          <w:behavior w:val="content"/>
        </w:behaviors>
        <w:description w:val=""/>
        <w:guid w:val="{BA18DAC6-1406-4F94-B9F6-59BDB796FEA3}"/>
      </w:docPartPr>
      <w:docPartBody>
        <w:p w14:paraId="546A695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25"/>
    <w:rsid w:val="00125E25"/>
    <w:rsid w:val="003A3812"/>
    <w:rsid w:val="00481B41"/>
    <w:rsid w:val="00956722"/>
    <w:rsid w:val="00A66588"/>
    <w:rsid w:val="00DE0F02"/>
    <w:rsid w:val="00EF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8765A4FEAD642B3AA52C79A0BC942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AF888B4AB0B40A0810257FEFD6332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47740FC4962444495E29952A55D0E2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1990</Words>
  <Characters>2208</Characters>
  <Lines>24</Lines>
  <Paragraphs>6</Paragraphs>
  <TotalTime>61</TotalTime>
  <ScaleCrop>false</ScaleCrop>
  <LinksUpToDate>false</LinksUpToDate>
  <CharactersWithSpaces>2274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2025-03-16T09:14:00Z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2025-03-19T02:02:49Z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6331CEA7F69C4FC092F06782699B321E_12</vt:lpwstr>
  </property>
</Properties>
</file>