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49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777D1392">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464B390">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65.020.2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65.020.20</w:t>
            </w:r>
            <w:r>
              <w:rPr>
                <w:rFonts w:ascii="宋体" w:hAnsi="宋体"/>
                <w:sz w:val="21"/>
                <w:szCs w:val="21"/>
              </w:rPr>
              <w:fldChar w:fldCharType="end"/>
            </w:r>
            <w:bookmarkEnd w:id="0"/>
          </w:p>
        </w:tc>
      </w:tr>
      <w:tr w14:paraId="0779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264199">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7D699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BAF86E3">
                  <w:pPr>
                    <w:pStyle w:val="49"/>
                    <w:framePr w:wrap="notBeside" w:vAnchor="page" w:hAnchor="page" w:x="1372" w:y="568"/>
                    <w:ind w:left="420" w:right="624"/>
                    <w:rPr>
                      <w:rFonts w:ascii="宋体" w:hAnsi="宋体"/>
                      <w:sz w:val="28"/>
                      <w:szCs w:val="28"/>
                    </w:rPr>
                  </w:pPr>
                </w:p>
              </w:tc>
            </w:tr>
          </w:tbl>
          <w:p w14:paraId="6ECB473E">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B 05"/>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B 05</w:t>
            </w:r>
            <w:r>
              <w:rPr>
                <w:rFonts w:ascii="宋体" w:hAnsi="宋体"/>
                <w:sz w:val="21"/>
                <w:szCs w:val="21"/>
              </w:rPr>
              <w:fldChar w:fldCharType="end"/>
            </w:r>
            <w:bookmarkEnd w:id="1"/>
          </w:p>
        </w:tc>
      </w:tr>
    </w:tbl>
    <w:p w14:paraId="4BBC0CE3">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8472D32">
      <w:pPr>
        <w:pStyle w:val="195"/>
        <w:framePr/>
        <w:rPr>
          <w:rFonts w:ascii="宋体" w:hAnsi="宋体" w:eastAsia="宋体"/>
          <w:sz w:val="21"/>
          <w:szCs w:val="21"/>
        </w:rPr>
      </w:pPr>
      <w:r>
        <w:rPr>
          <w:rFonts w:ascii="宋体" w:hAnsi="宋体" w:eastAsia="宋体"/>
          <w:sz w:val="21"/>
          <w:szCs w:val="21"/>
        </w:rPr>
        <w:t>T/</w:t>
      </w:r>
      <w:r>
        <w:rPr>
          <w:rFonts w:ascii="宋体" w:hAnsi="宋体" w:eastAsia="宋体"/>
          <w:sz w:val="21"/>
          <w:szCs w:val="21"/>
        </w:rPr>
        <w:fldChar w:fldCharType="begin">
          <w:ffData>
            <w:name w:val="文字1"/>
            <w:enabled/>
            <w:calcOnExit w:val="0"/>
            <w:textInput>
              <w:default w:val="XZBX"/>
            </w:textInput>
          </w:ffData>
        </w:fldChar>
      </w:r>
      <w:bookmarkStart w:id="3" w:name="文字1"/>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XZBX</w:t>
      </w:r>
      <w:r>
        <w:rPr>
          <w:rFonts w:ascii="宋体" w:hAnsi="宋体" w:eastAsia="宋体"/>
          <w:sz w:val="21"/>
          <w:szCs w:val="21"/>
        </w:rPr>
        <w:fldChar w:fldCharType="end"/>
      </w:r>
      <w:bookmarkEnd w:id="3"/>
      <w:r>
        <w:rPr>
          <w:rFonts w:ascii="宋体" w:hAnsi="宋体" w:eastAsia="宋体"/>
          <w:sz w:val="21"/>
          <w:szCs w:val="21"/>
        </w:rPr>
        <w:t xml:space="preserve"> </w:t>
      </w:r>
      <w:bookmarkStart w:id="56" w:name="_GoBack"/>
      <w:bookmarkStart w:id="4" w:name="NSTD_CODE_F"/>
      <w:r>
        <w:rPr>
          <w:rFonts w:ascii="宋体" w:hAnsi="宋体" w:eastAsia="宋体" w:cs="Times New Roman"/>
          <w:bCs/>
          <w:sz w:val="21"/>
          <w:szCs w:val="21"/>
          <w:lang w:val="en-US" w:eastAsia="zh-CN" w:bidi="ar-SA"/>
        </w:rPr>
        <w:fldChar w:fldCharType="begin">
          <w:ffData>
            <w:name w:val="NSTD_CODE_F"/>
            <w:enabled/>
            <w:calcOnExit w:val="0"/>
            <w:textInput>
              <w:default w:val="0018"/>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0018</w:t>
      </w:r>
      <w:r>
        <w:rPr>
          <w:rFonts w:ascii="宋体" w:hAnsi="宋体" w:eastAsia="宋体" w:cs="Times New Roman"/>
          <w:bCs/>
          <w:sz w:val="21"/>
          <w:szCs w:val="21"/>
          <w:lang w:val="en-US" w:eastAsia="zh-CN" w:bidi="ar-SA"/>
        </w:rPr>
        <w:fldChar w:fldCharType="end"/>
      </w:r>
      <w:bookmarkEnd w:id="4"/>
      <w:bookmarkEnd w:id="56"/>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2D9D8AA4">
      <w:pPr>
        <w:pStyle w:val="196"/>
        <w:framePr/>
        <w:rPr>
          <w:rFonts w:ascii="宋体" w:hAnsi="宋体" w:eastAsia="宋体"/>
          <w:szCs w:val="21"/>
        </w:rPr>
      </w:pPr>
      <w:r>
        <w:rPr>
          <w:rFonts w:ascii="宋体" w:hAnsi="宋体" w:eastAsia="宋体"/>
          <w:szCs w:val="21"/>
        </w:rPr>
        <w:fldChar w:fldCharType="begin">
          <w:ffData>
            <w:name w:val="OSTD_CODE"/>
            <w:enabled/>
            <w:calcOnExit w:val="0"/>
            <w:textInput/>
          </w:ffData>
        </w:fldChar>
      </w:r>
      <w:bookmarkStart w:id="6" w:name="OSTD_CODE"/>
      <w:r>
        <w:rPr>
          <w:rFonts w:ascii="宋体" w:hAnsi="宋体" w:eastAsia="宋体"/>
          <w:szCs w:val="21"/>
        </w:rPr>
        <w:instrText xml:space="preserve"> FORMTEXT </w:instrText>
      </w:r>
      <w:r>
        <w:rPr>
          <w:rFonts w:ascii="宋体" w:hAnsi="宋体" w:eastAsia="宋体"/>
          <w:szCs w:val="21"/>
        </w:rPr>
        <w:fldChar w:fldCharType="separate"/>
      </w:r>
      <w:r>
        <w:rPr>
          <w:rFonts w:ascii="宋体" w:hAnsi="宋体" w:eastAsia="宋体"/>
          <w:szCs w:val="21"/>
        </w:rPr>
        <w:t>     </w:t>
      </w:r>
      <w:r>
        <w:rPr>
          <w:rFonts w:ascii="宋体" w:hAnsi="宋体" w:eastAsia="宋体"/>
          <w:szCs w:val="21"/>
        </w:rPr>
        <w:fldChar w:fldCharType="end"/>
      </w:r>
      <w:bookmarkEnd w:id="6"/>
    </w:p>
    <w:p w14:paraId="0FDC874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1A3D7BA4">
      <w:pPr>
        <w:pStyle w:val="50"/>
        <w:framePr w:w="9639" w:h="6976" w:hRule="exact" w:hSpace="0" w:vSpace="0" w:wrap="around" w:hAnchor="page" w:y="6408"/>
        <w:jc w:val="center"/>
        <w:rPr>
          <w:rFonts w:ascii="黑体" w:hAnsi="黑体" w:eastAsia="黑体"/>
          <w:b w:val="0"/>
          <w:bCs w:val="0"/>
          <w:w w:val="100"/>
        </w:rPr>
      </w:pPr>
    </w:p>
    <w:p w14:paraId="43BD10CE">
      <w:pPr>
        <w:pStyle w:val="197"/>
        <w:framePr w:h="6974" w:hRule="exact" w:wrap="around" w:x="1419" w:anchorLock="1"/>
        <w:rPr>
          <w:sz w:val="48"/>
          <w:szCs w:val="48"/>
        </w:rPr>
      </w:pPr>
      <w:r>
        <w:rPr>
          <w:sz w:val="48"/>
          <w:szCs w:val="48"/>
        </w:rPr>
        <w:fldChar w:fldCharType="begin">
          <w:ffData>
            <w:name w:val="CSTD_NAME"/>
            <w:enabled/>
            <w:calcOnExit w:val="0"/>
            <w:textInput>
              <w:default w:val="生态茶园建设与管理技术规范"/>
            </w:textInput>
          </w:ffData>
        </w:fldChar>
      </w:r>
      <w:bookmarkStart w:id="7" w:name="CSTD_NAME"/>
      <w:r>
        <w:rPr>
          <w:sz w:val="48"/>
          <w:szCs w:val="48"/>
        </w:rPr>
        <w:instrText xml:space="preserve"> FORMTEXT </w:instrText>
      </w:r>
      <w:r>
        <w:rPr>
          <w:sz w:val="48"/>
          <w:szCs w:val="48"/>
        </w:rPr>
        <w:fldChar w:fldCharType="separate"/>
      </w:r>
      <w:r>
        <w:rPr>
          <w:sz w:val="48"/>
          <w:szCs w:val="48"/>
        </w:rPr>
        <w:t>生态茶园建设与管理技术规范</w:t>
      </w:r>
      <w:r>
        <w:rPr>
          <w:sz w:val="48"/>
          <w:szCs w:val="48"/>
        </w:rPr>
        <w:fldChar w:fldCharType="end"/>
      </w:r>
      <w:bookmarkEnd w:id="7"/>
    </w:p>
    <w:p w14:paraId="473A7A97">
      <w:pPr>
        <w:framePr w:w="9639" w:h="6974" w:hRule="exact" w:wrap="around" w:vAnchor="page" w:hAnchor="page" w:x="1419" w:y="6408" w:anchorLock="1"/>
        <w:ind w:left="-1418"/>
      </w:pPr>
    </w:p>
    <w:p w14:paraId="297DBED6">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construction and management technology of ecological tea garden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construction and management technology of ecological tea gardens</w:t>
      </w:r>
      <w:r>
        <w:rPr>
          <w:rFonts w:ascii="黑体" w:hAnsi="黑体" w:eastAsia="黑体"/>
          <w:sz w:val="36"/>
          <w:szCs w:val="36"/>
        </w:rPr>
        <w:fldChar w:fldCharType="end"/>
      </w:r>
      <w:bookmarkEnd w:id="8"/>
    </w:p>
    <w:p w14:paraId="580ED243">
      <w:pPr>
        <w:framePr w:w="9639" w:h="6974" w:hRule="exact" w:wrap="around" w:vAnchor="page" w:hAnchor="page" w:x="1419" w:y="6408" w:anchorLock="1"/>
        <w:spacing w:line="760" w:lineRule="exact"/>
        <w:ind w:left="-1418"/>
      </w:pPr>
    </w:p>
    <w:p w14:paraId="4BA528DC">
      <w:pPr>
        <w:pStyle w:val="125"/>
        <w:framePr w:w="9639" w:h="6974" w:hRule="exact" w:wrap="around" w:vAnchor="page" w:hAnchor="page" w:x="1419" w:y="6408" w:anchorLock="1"/>
        <w:textAlignment w:val="bottom"/>
        <w:rPr>
          <w:rFonts w:eastAsia="黑体"/>
          <w:szCs w:val="28"/>
        </w:rPr>
      </w:pPr>
    </w:p>
    <w:p w14:paraId="1A1D559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726866C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A3AD41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2DE7C921">
      <w:pPr>
        <w:pStyle w:val="193"/>
        <w:framePr w:wrap="around" w:y="14176"/>
        <w:rPr>
          <w:sz w:val="30"/>
          <w:szCs w:val="30"/>
        </w:rPr>
      </w:pPr>
      <w:r>
        <w:rPr>
          <w:sz w:val="30"/>
          <w:szCs w:val="30"/>
        </w:rPr>
        <w:fldChar w:fldCharType="begin">
          <w:ffData>
            <w:name w:val="PLSH_DATE_Y"/>
            <w:enabled/>
            <w:calcOnExit w:val="0"/>
            <w:textInput>
              <w:default w:val="XXXX"/>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301BCF1B">
      <w:pPr>
        <w:pStyle w:val="194"/>
        <w:framePr w:wrap="around" w:y="14176"/>
        <w:rPr>
          <w:sz w:val="30"/>
          <w:szCs w:val="30"/>
        </w:rPr>
      </w:pPr>
      <w:r>
        <w:rPr>
          <w:sz w:val="30"/>
          <w:szCs w:val="30"/>
        </w:rPr>
        <w:fldChar w:fldCharType="begin">
          <w:ffData>
            <w:name w:val="CROT_DATE_Y"/>
            <w:enabled/>
            <w:calcOnExit w:val="0"/>
            <w:textInput>
              <w:default w:val="XXXX"/>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35E509AA">
      <w:pPr>
        <w:pStyle w:val="151"/>
        <w:framePr w:h="584" w:hRule="exact" w:hSpace="181" w:vSpace="181" w:wrap="around" w:y="14800"/>
        <w:rPr>
          <w:rFonts w:hAnsi="黑体"/>
          <w:sz w:val="30"/>
          <w:szCs w:val="30"/>
        </w:rPr>
      </w:pPr>
      <w:r>
        <w:rPr>
          <w:rFonts w:ascii="宋体" w:hAnsi="宋体" w:eastAsia="宋体"/>
          <w:w w:val="100"/>
          <w:sz w:val="30"/>
          <w:szCs w:val="30"/>
        </w:rPr>
        <w:fldChar w:fldCharType="begin">
          <w:ffData>
            <w:name w:val="fm"/>
            <w:enabled/>
            <w:calcOnExit w:val="0"/>
            <w:textInput>
              <w:default w:val="西安市质量与标准化协会 "/>
            </w:textInput>
          </w:ffData>
        </w:fldChar>
      </w:r>
      <w:bookmarkStart w:id="18" w:name="fm"/>
      <w:r>
        <w:rPr>
          <w:rFonts w:ascii="宋体" w:hAnsi="宋体" w:eastAsia="宋体"/>
          <w:w w:val="100"/>
          <w:sz w:val="30"/>
          <w:szCs w:val="30"/>
        </w:rPr>
        <w:instrText xml:space="preserve"> FORMTEXT </w:instrText>
      </w:r>
      <w:r>
        <w:rPr>
          <w:rFonts w:ascii="宋体" w:hAnsi="宋体" w:eastAsia="宋体"/>
          <w:w w:val="100"/>
          <w:sz w:val="30"/>
          <w:szCs w:val="30"/>
        </w:rPr>
        <w:fldChar w:fldCharType="separate"/>
      </w:r>
      <w:r>
        <w:rPr>
          <w:rFonts w:ascii="宋体" w:hAnsi="宋体" w:eastAsia="宋体"/>
          <w:w w:val="100"/>
          <w:sz w:val="30"/>
          <w:szCs w:val="30"/>
        </w:rPr>
        <w:t xml:space="preserve">西安市质量与标准化协会 </w:t>
      </w:r>
      <w:r>
        <w:rPr>
          <w:rFonts w:ascii="宋体" w:hAnsi="宋体" w:eastAsia="宋体"/>
          <w:w w:val="100"/>
          <w:sz w:val="30"/>
          <w:szCs w:val="30"/>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EB083D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148589A">
      <w:pPr>
        <w:pStyle w:val="91"/>
        <w:spacing w:after="360"/>
        <w:rPr>
          <w:rFonts w:hint="eastAsia"/>
        </w:rPr>
      </w:pPr>
      <w:bookmarkStart w:id="19" w:name="BookMark1"/>
      <w:r>
        <w:rPr>
          <w:rFonts w:hint="eastAsia"/>
          <w:spacing w:val="320"/>
        </w:rPr>
        <w:t>目</w:t>
      </w:r>
      <w:r>
        <w:rPr>
          <w:rFonts w:hint="eastAsia"/>
        </w:rPr>
        <w:t>次</w:t>
      </w:r>
    </w:p>
    <w:p w14:paraId="15677D1D">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"_Toc193122365" </w:instrText>
      </w:r>
      <w:r>
        <w:fldChar w:fldCharType="separate"/>
      </w:r>
      <w:r>
        <w:rPr>
          <w:rStyle w:val="32"/>
        </w:rPr>
        <w:t>前言</w:t>
      </w:r>
      <w:r>
        <w:tab/>
      </w:r>
      <w:r>
        <w:fldChar w:fldCharType="begin"/>
      </w:r>
      <w:r>
        <w:instrText xml:space="preserve"> PAGEREF _Toc193122365 \h </w:instrText>
      </w:r>
      <w:r>
        <w:fldChar w:fldCharType="separate"/>
      </w:r>
      <w:r>
        <w:t>III</w:t>
      </w:r>
      <w:r>
        <w:fldChar w:fldCharType="end"/>
      </w:r>
      <w:r>
        <w:fldChar w:fldCharType="end"/>
      </w:r>
    </w:p>
    <w:p w14:paraId="3E377802">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"_Toc193122366" </w:instrText>
      </w:r>
      <w:r>
        <w:fldChar w:fldCharType="separate"/>
      </w:r>
      <w:r>
        <w:rPr>
          <w:rStyle w:val="32"/>
        </w:rPr>
        <w:t>引言</w:t>
      </w:r>
      <w:r>
        <w:tab/>
      </w:r>
      <w:r>
        <w:fldChar w:fldCharType="begin"/>
      </w:r>
      <w:r>
        <w:instrText xml:space="preserve"> PAGEREF _Toc193122366 \h </w:instrText>
      </w:r>
      <w:r>
        <w:fldChar w:fldCharType="separate"/>
      </w:r>
      <w:r>
        <w:t>V</w:t>
      </w:r>
      <w:r>
        <w:fldChar w:fldCharType="end"/>
      </w:r>
      <w:r>
        <w:fldChar w:fldCharType="end"/>
      </w:r>
    </w:p>
    <w:p w14:paraId="7103C096">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"_Toc193122367" </w:instrText>
      </w:r>
      <w:r>
        <w:fldChar w:fldCharType="separate"/>
      </w:r>
      <w:r>
        <w:rPr>
          <w:rStyle w:val="32"/>
        </w:rPr>
        <w:t>1  范围</w:t>
      </w:r>
      <w:r>
        <w:tab/>
      </w:r>
      <w:r>
        <w:fldChar w:fldCharType="begin"/>
      </w:r>
      <w:r>
        <w:instrText xml:space="preserve"> PAGEREF _Toc193122367 \h </w:instrText>
      </w:r>
      <w:r>
        <w:fldChar w:fldCharType="separate"/>
      </w:r>
      <w:r>
        <w:t>1</w:t>
      </w:r>
      <w:r>
        <w:fldChar w:fldCharType="end"/>
      </w:r>
      <w:r>
        <w:fldChar w:fldCharType="end"/>
      </w:r>
    </w:p>
    <w:p w14:paraId="38002EDB">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"_Toc193122368" </w:instrText>
      </w:r>
      <w:r>
        <w:fldChar w:fldCharType="separate"/>
      </w:r>
      <w:r>
        <w:rPr>
          <w:rStyle w:val="32"/>
        </w:rPr>
        <w:t>2  规范性引用文件</w:t>
      </w:r>
      <w:r>
        <w:tab/>
      </w:r>
      <w:r>
        <w:fldChar w:fldCharType="begin"/>
      </w:r>
      <w:r>
        <w:instrText xml:space="preserve"> PAGEREF _Toc193122368 \h </w:instrText>
      </w:r>
      <w:r>
        <w:fldChar w:fldCharType="separate"/>
      </w:r>
      <w:r>
        <w:t>1</w:t>
      </w:r>
      <w:r>
        <w:fldChar w:fldCharType="end"/>
      </w:r>
      <w:r>
        <w:fldChar w:fldCharType="end"/>
      </w:r>
    </w:p>
    <w:p w14:paraId="7A1264D7">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"_Toc193122369" </w:instrText>
      </w:r>
      <w:r>
        <w:fldChar w:fldCharType="separate"/>
      </w:r>
      <w:r>
        <w:rPr>
          <w:rStyle w:val="32"/>
        </w:rPr>
        <w:t>3  术语和定义</w:t>
      </w:r>
      <w:r>
        <w:tab/>
      </w:r>
      <w:r>
        <w:fldChar w:fldCharType="begin"/>
      </w:r>
      <w:r>
        <w:instrText xml:space="preserve"> PAGEREF _Toc193122369 \h </w:instrText>
      </w:r>
      <w:r>
        <w:fldChar w:fldCharType="separate"/>
      </w:r>
      <w:r>
        <w:t>1</w:t>
      </w:r>
      <w:r>
        <w:fldChar w:fldCharType="end"/>
      </w:r>
      <w:r>
        <w:fldChar w:fldCharType="end"/>
      </w:r>
    </w:p>
    <w:p w14:paraId="2EB391C7">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"_Toc193122370" </w:instrText>
      </w:r>
      <w:r>
        <w:fldChar w:fldCharType="separate"/>
      </w:r>
      <w:r>
        <w:rPr>
          <w:rStyle w:val="32"/>
        </w:rPr>
        <w:t>4  总体要求</w:t>
      </w:r>
      <w:r>
        <w:tab/>
      </w:r>
      <w:r>
        <w:fldChar w:fldCharType="begin"/>
      </w:r>
      <w:r>
        <w:instrText xml:space="preserve"> PAGEREF _Toc193122370 \h </w:instrText>
      </w:r>
      <w:r>
        <w:fldChar w:fldCharType="separate"/>
      </w:r>
      <w:r>
        <w:t>1</w:t>
      </w:r>
      <w:r>
        <w:fldChar w:fldCharType="end"/>
      </w:r>
      <w:r>
        <w:fldChar w:fldCharType="end"/>
      </w:r>
    </w:p>
    <w:p w14:paraId="39EC5AEE">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"_Toc193122371" </w:instrText>
      </w:r>
      <w:r>
        <w:fldChar w:fldCharType="separate"/>
      </w:r>
      <w:r>
        <w:rPr>
          <w:rStyle w:val="32"/>
        </w:rPr>
        <w:t>5  生态茶园建设技术</w:t>
      </w:r>
      <w:r>
        <w:tab/>
      </w:r>
      <w:r>
        <w:fldChar w:fldCharType="begin"/>
      </w:r>
      <w:r>
        <w:instrText xml:space="preserve"> PAGEREF _Toc193122371 \h </w:instrText>
      </w:r>
      <w:r>
        <w:fldChar w:fldCharType="separate"/>
      </w:r>
      <w:r>
        <w:t>2</w:t>
      </w:r>
      <w:r>
        <w:fldChar w:fldCharType="end"/>
      </w:r>
      <w:r>
        <w:fldChar w:fldCharType="end"/>
      </w:r>
    </w:p>
    <w:p w14:paraId="3B693BEC">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"_Toc193122372" </w:instrText>
      </w:r>
      <w:r>
        <w:fldChar w:fldCharType="separate"/>
      </w:r>
      <w:r>
        <w:rPr>
          <w:rStyle w:val="32"/>
        </w:rPr>
        <w:t>6  茶园管理技术</w:t>
      </w:r>
      <w:r>
        <w:tab/>
      </w:r>
      <w:r>
        <w:fldChar w:fldCharType="begin"/>
      </w:r>
      <w:r>
        <w:instrText xml:space="preserve"> PAGEREF _Toc193122372 \h </w:instrText>
      </w:r>
      <w:r>
        <w:fldChar w:fldCharType="separate"/>
      </w:r>
      <w:r>
        <w:t>2</w:t>
      </w:r>
      <w:r>
        <w:fldChar w:fldCharType="end"/>
      </w:r>
      <w:r>
        <w:fldChar w:fldCharType="end"/>
      </w:r>
    </w:p>
    <w:p w14:paraId="4F2C8FF2">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"_Toc193122373" </w:instrText>
      </w:r>
      <w:r>
        <w:fldChar w:fldCharType="separate"/>
      </w:r>
      <w:r>
        <w:rPr>
          <w:rStyle w:val="32"/>
        </w:rPr>
        <w:t>7  环境保护与资源利用</w:t>
      </w:r>
      <w:r>
        <w:tab/>
      </w:r>
      <w:r>
        <w:fldChar w:fldCharType="begin"/>
      </w:r>
      <w:r>
        <w:instrText xml:space="preserve"> PAGEREF _Toc193122373 \h </w:instrText>
      </w:r>
      <w:r>
        <w:fldChar w:fldCharType="separate"/>
      </w:r>
      <w:r>
        <w:t>3</w:t>
      </w:r>
      <w:r>
        <w:fldChar w:fldCharType="end"/>
      </w:r>
      <w:r>
        <w:fldChar w:fldCharType="end"/>
      </w:r>
    </w:p>
    <w:p w14:paraId="7B9B0E21">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"_Toc193122374" </w:instrText>
      </w:r>
      <w:r>
        <w:fldChar w:fldCharType="separate"/>
      </w:r>
      <w:r>
        <w:rPr>
          <w:rStyle w:val="32"/>
        </w:rPr>
        <w:t>8  质量控制与认证</w:t>
      </w:r>
      <w:r>
        <w:tab/>
      </w:r>
      <w:r>
        <w:fldChar w:fldCharType="begin"/>
      </w:r>
      <w:r>
        <w:instrText xml:space="preserve"> PAGEREF _Toc193122374 \h </w:instrText>
      </w:r>
      <w:r>
        <w:fldChar w:fldCharType="separate"/>
      </w:r>
      <w:r>
        <w:t>3</w:t>
      </w:r>
      <w:r>
        <w:fldChar w:fldCharType="end"/>
      </w:r>
      <w:r>
        <w:fldChar w:fldCharType="end"/>
      </w:r>
    </w:p>
    <w:p w14:paraId="0679F251">
      <w:pPr>
        <w:pStyle w:val="19"/>
        <w:tabs>
          <w:tab w:val="right" w:leader="dot" w:pos="9344"/>
        </w:tabs>
        <w:rPr>
          <w:rFonts w:asciiTheme="minorHAnsi" w:hAnsiTheme="minorHAnsi" w:eastAsiaTheme="minorEastAsia" w:cstheme="minorBidi"/>
          <w:szCs w:val="22"/>
        </w:rPr>
      </w:pPr>
      <w:r>
        <w:fldChar w:fldCharType="begin"/>
      </w:r>
      <w:r>
        <w:instrText xml:space="preserve"> HYPERLINK \l "_Toc193122375" </w:instrText>
      </w:r>
      <w:r>
        <w:fldChar w:fldCharType="separate"/>
      </w:r>
      <w:r>
        <w:rPr>
          <w:rStyle w:val="32"/>
        </w:rPr>
        <w:t>9  监督与改进</w:t>
      </w:r>
      <w:r>
        <w:tab/>
      </w:r>
      <w:r>
        <w:fldChar w:fldCharType="begin"/>
      </w:r>
      <w:r>
        <w:instrText xml:space="preserve"> PAGEREF _Toc193122375 \h </w:instrText>
      </w:r>
      <w:r>
        <w:fldChar w:fldCharType="separate"/>
      </w:r>
      <w:r>
        <w:t>3</w:t>
      </w:r>
      <w:r>
        <w:fldChar w:fldCharType="end"/>
      </w:r>
      <w:r>
        <w:fldChar w:fldCharType="end"/>
      </w:r>
    </w:p>
    <w:p w14:paraId="432F8FC1">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68209176">
      <w:pPr>
        <w:pStyle w:val="89"/>
        <w:spacing w:before="900" w:after="360"/>
      </w:pPr>
      <w:bookmarkStart w:id="20" w:name="_Toc193122365"/>
      <w:bookmarkStart w:id="21" w:name="BookMark2"/>
      <w:r>
        <w:rPr>
          <w:spacing w:val="320"/>
        </w:rPr>
        <w:t>前</w:t>
      </w:r>
      <w:r>
        <w:t>言</w:t>
      </w:r>
      <w:bookmarkEnd w:id="20"/>
    </w:p>
    <w:p w14:paraId="6A7116D4">
      <w:pPr>
        <w:pStyle w:val="56"/>
        <w:spacing w:line="360" w:lineRule="auto"/>
        <w:ind w:firstLine="420"/>
      </w:pPr>
      <w:r>
        <w:rPr>
          <w:rFonts w:hint="eastAsia"/>
        </w:rPr>
        <w:t>本文件按照GB/T 1.1—2020《标准化工作导则  第1部分：标准化文件的结构和起草规则》的规定起草。</w:t>
      </w:r>
    </w:p>
    <w:p w14:paraId="6B50501D">
      <w:pPr>
        <w:pStyle w:val="56"/>
        <w:spacing w:line="360" w:lineRule="auto"/>
        <w:ind w:firstLine="420"/>
      </w:pPr>
      <w:r>
        <w:rPr>
          <w:rFonts w:hint="eastAsia"/>
        </w:rPr>
        <w:t>请注意本文件的某些内容可能涉及专利。本文件的发布机构不承担识别专利的责任。</w:t>
      </w:r>
    </w:p>
    <w:p w14:paraId="17E460EF">
      <w:pPr>
        <w:pStyle w:val="56"/>
        <w:spacing w:line="360" w:lineRule="auto"/>
        <w:ind w:firstLine="420"/>
      </w:pPr>
      <w:r>
        <w:rPr>
          <w:rFonts w:hint="eastAsia"/>
        </w:rPr>
        <w:t>本文件由西安市质量与标准化协会提出并归口。</w:t>
      </w:r>
    </w:p>
    <w:p w14:paraId="7EC04795">
      <w:pPr>
        <w:pStyle w:val="56"/>
        <w:spacing w:line="360" w:lineRule="auto"/>
        <w:ind w:firstLine="420"/>
      </w:pPr>
      <w:r>
        <w:rPr>
          <w:rFonts w:hint="eastAsia"/>
        </w:rPr>
        <w:t>本文件起草单位：杭州堇荼如饴生态开发有限公司、杭州新宏生态农业发展有限公司、杭州品茗家庭农场、杭州西湖龙井茶叶有限公司、杭州富阳亚鹏家庭农场有限公司、杭州萧山技师学院、杭州凤晴医疗器械有限公司、杭州恩卓农业开发有限公司、杭州远鸿花卉园艺有限公司、杭州富阳矮子鲜桃专业合作社、杭州桥头堡开发管理有限公司。</w:t>
      </w:r>
    </w:p>
    <w:p w14:paraId="4BDE09F9">
      <w:pPr>
        <w:pStyle w:val="56"/>
        <w:spacing w:line="360" w:lineRule="auto"/>
        <w:ind w:firstLine="420"/>
      </w:pPr>
      <w:r>
        <w:rPr>
          <w:rFonts w:hint="eastAsia"/>
        </w:rPr>
        <w:t>本文件主要起草人：孙志民、巴玉金、朱栩平、陈晓洋、陈里鹏、周洋、施佳佳、金晶、范鸿耀、何叶丹、沈卫军。</w:t>
      </w:r>
    </w:p>
    <w:p w14:paraId="1C1A2B6E">
      <w:pPr>
        <w:pStyle w:val="56"/>
        <w:ind w:firstLine="420"/>
      </w:pPr>
    </w:p>
    <w:p w14:paraId="734A8CB6">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1"/>
    <w:p w14:paraId="430E281B">
      <w:pPr>
        <w:pStyle w:val="89"/>
        <w:spacing w:after="360"/>
      </w:pPr>
      <w:bookmarkStart w:id="22" w:name="_Toc193122366"/>
      <w:bookmarkStart w:id="23" w:name="BookMark3"/>
      <w:r>
        <w:rPr>
          <w:spacing w:val="320"/>
        </w:rPr>
        <w:t>引</w:t>
      </w:r>
      <w:r>
        <w:t>言</w:t>
      </w:r>
      <w:bookmarkEnd w:id="22"/>
    </w:p>
    <w:p w14:paraId="476DEF8E">
      <w:pPr>
        <w:pStyle w:val="56"/>
        <w:spacing w:line="360" w:lineRule="auto"/>
        <w:ind w:firstLine="420"/>
        <w:rPr>
          <w:rFonts w:hint="eastAsia"/>
        </w:rPr>
      </w:pPr>
      <w:r>
        <w:rPr>
          <w:rFonts w:hint="eastAsia"/>
        </w:rPr>
        <w:t>随着生态环境保护意识的不断增强和绿色消费需求的日益提升，茶产业的发展逐步从传统的规模扩张向生态化、高质量、可持续方向转型。茶园作为重要的农业生态系统，不仅承担着茶叶生产的经济功能，还在水土保持、生物多样性保护、景观营造等方面发挥着关键作用。然而，在实际生产过程中，部分地区仍存在过度使用化学投入品、土壤结构退化、生物多样性下降等问题，亟待通过规范化的技术标准加以引导和改善。</w:t>
      </w:r>
    </w:p>
    <w:p w14:paraId="55098634">
      <w:pPr>
        <w:pStyle w:val="56"/>
        <w:spacing w:line="360" w:lineRule="auto"/>
        <w:ind w:firstLine="420"/>
        <w:rPr>
          <w:rFonts w:hint="eastAsia"/>
        </w:rPr>
      </w:pPr>
      <w:r>
        <w:rPr>
          <w:rFonts w:hint="eastAsia"/>
        </w:rPr>
        <w:t>本文件的制定有利于在茶园规划、土壤培肥、病虫害绿色防控、生物多样性保护等方面实现技术和管理的统一与规范；促进茶园在整个生长周期内合理利用资源、保护生态环境；为相关从业人员、科研机构和监管部门提供系统性指导，进而提升茶产业整体的生态价值与经济效益。本文件在综合国内外先进经验和相关研究成果的基础上，立足于我国不同茶区的自然条件与生产现状，兼顾地域差异与可操作性，旨在为推动生态茶园科学建设、健康管理和可持续发展提供系统化的技术支撑。</w:t>
      </w:r>
    </w:p>
    <w:p w14:paraId="073007D9">
      <w:pPr>
        <w:rPr>
          <w:rFonts w:ascii="宋体" w:hAnsi="Times New Roman"/>
          <w:kern w:val="0"/>
          <w:szCs w:val="20"/>
        </w:rPr>
      </w:pPr>
    </w:p>
    <w:p w14:paraId="05ECBDDF">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44BEBB14">
      <w:pPr>
        <w:spacing w:line="20" w:lineRule="exact"/>
        <w:jc w:val="center"/>
        <w:rPr>
          <w:rFonts w:ascii="黑体" w:hAnsi="黑体" w:eastAsia="黑体"/>
          <w:sz w:val="32"/>
          <w:szCs w:val="32"/>
        </w:rPr>
      </w:pPr>
      <w:bookmarkStart w:id="24" w:name="BookMark4"/>
    </w:p>
    <w:p w14:paraId="641BBE4A">
      <w:pPr>
        <w:spacing w:line="20" w:lineRule="exact"/>
        <w:jc w:val="center"/>
        <w:rPr>
          <w:rFonts w:ascii="黑体" w:hAnsi="黑体" w:eastAsia="黑体"/>
          <w:sz w:val="32"/>
          <w:szCs w:val="32"/>
        </w:rPr>
      </w:pPr>
    </w:p>
    <w:sdt>
      <w:sdtPr>
        <w:tag w:val="NEW_STAND_NAME"/>
        <w:id w:val="595910757"/>
        <w:lock w:val="sdtLocked"/>
        <w:placeholder>
          <w:docPart w:val="78765A4FEAD642B3AA52C79A0BC942E7"/>
        </w:placeholder>
      </w:sdtPr>
      <w:sdtContent>
        <w:p w14:paraId="175FF66D">
          <w:pPr>
            <w:pStyle w:val="177"/>
          </w:pPr>
          <w:bookmarkStart w:id="25" w:name="NEW_STAND_NAME"/>
          <w:r>
            <w:rPr>
              <w:rFonts w:hint="eastAsia"/>
            </w:rPr>
            <w:t>生态茶园建设与管理技术规范</w:t>
          </w:r>
        </w:p>
      </w:sdtContent>
    </w:sdt>
    <w:bookmarkEnd w:id="25"/>
    <w:p w14:paraId="577D6965">
      <w:pPr>
        <w:pStyle w:val="104"/>
        <w:spacing w:before="240" w:after="240" w:line="360" w:lineRule="auto"/>
      </w:pPr>
      <w:bookmarkStart w:id="26" w:name="_Toc24884218"/>
      <w:bookmarkStart w:id="27" w:name="_Toc26648465"/>
      <w:bookmarkStart w:id="28" w:name="_Toc17233325"/>
      <w:bookmarkStart w:id="29" w:name="_Toc26718930"/>
      <w:bookmarkStart w:id="30" w:name="_Toc26986530"/>
      <w:bookmarkStart w:id="31" w:name="_Toc26986771"/>
      <w:bookmarkStart w:id="32" w:name="_Toc97192964"/>
      <w:bookmarkStart w:id="33" w:name="_Toc193122367"/>
      <w:bookmarkStart w:id="34" w:name="_Toc17233333"/>
      <w:bookmarkStart w:id="35" w:name="_Toc24884211"/>
      <w:r>
        <w:rPr>
          <w:rFonts w:hint="eastAsia"/>
        </w:rPr>
        <w:t>范围</w:t>
      </w:r>
      <w:bookmarkEnd w:id="26"/>
      <w:bookmarkEnd w:id="27"/>
      <w:bookmarkEnd w:id="28"/>
      <w:bookmarkEnd w:id="29"/>
      <w:bookmarkEnd w:id="30"/>
      <w:bookmarkEnd w:id="31"/>
      <w:bookmarkEnd w:id="32"/>
      <w:bookmarkEnd w:id="33"/>
      <w:bookmarkEnd w:id="34"/>
      <w:bookmarkEnd w:id="35"/>
    </w:p>
    <w:p w14:paraId="0292E572">
      <w:pPr>
        <w:pStyle w:val="56"/>
        <w:spacing w:line="360" w:lineRule="auto"/>
        <w:ind w:firstLine="420"/>
        <w:rPr>
          <w:rFonts w:hint="eastAsia"/>
        </w:rPr>
      </w:pPr>
      <w:bookmarkStart w:id="36" w:name="_Toc24884219"/>
      <w:bookmarkStart w:id="37" w:name="_Toc26648466"/>
      <w:bookmarkStart w:id="38" w:name="_Toc17233334"/>
      <w:bookmarkStart w:id="39" w:name="_Toc24884212"/>
      <w:bookmarkStart w:id="40" w:name="_Toc17233326"/>
      <w:r>
        <w:rPr>
          <w:rFonts w:hint="eastAsia"/>
        </w:rPr>
        <w:t>本文件规定了生态茶园的总体要求、生态茶园建设技术、茶园管理技术、环境保护与资源利用、质量控制与认证以及监督与改进等内容。</w:t>
      </w:r>
    </w:p>
    <w:p w14:paraId="01413192">
      <w:pPr>
        <w:pStyle w:val="56"/>
        <w:spacing w:line="360" w:lineRule="auto"/>
        <w:ind w:firstLine="420"/>
      </w:pPr>
      <w:r>
        <w:rPr>
          <w:rFonts w:hint="eastAsia"/>
        </w:rPr>
        <w:t>本文件适用于生态茶园的选址规划、种植管理、加工流通及全产业链可持续发展。</w:t>
      </w:r>
    </w:p>
    <w:p w14:paraId="3D175467">
      <w:pPr>
        <w:pStyle w:val="104"/>
        <w:spacing w:before="240" w:after="240" w:line="360" w:lineRule="auto"/>
      </w:pPr>
      <w:bookmarkStart w:id="41" w:name="_Toc26986531"/>
      <w:bookmarkStart w:id="42" w:name="_Toc26986772"/>
      <w:bookmarkStart w:id="43" w:name="_Toc26718931"/>
      <w:bookmarkStart w:id="44" w:name="_Toc97192965"/>
      <w:bookmarkStart w:id="45" w:name="_Toc193122368"/>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AF888B4AB0B40A0810257FEFD633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52B19A">
          <w:pPr>
            <w:pStyle w:val="56"/>
            <w:spacing w:line="360" w:lineRule="auto"/>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4EFA34">
      <w:pPr>
        <w:pStyle w:val="56"/>
        <w:spacing w:line="360" w:lineRule="auto"/>
        <w:ind w:firstLine="420"/>
        <w:rPr>
          <w:rFonts w:hint="eastAsia"/>
        </w:rPr>
      </w:pPr>
      <w:bookmarkStart w:id="46" w:name="_Toc97192966"/>
      <w:r>
        <w:t xml:space="preserve">GB 15618 </w:t>
      </w:r>
      <w:r>
        <w:rPr>
          <w:rFonts w:hint="eastAsia"/>
        </w:rPr>
        <w:t>土壤环境质量农用地土壤污染风险管控标准</w:t>
      </w:r>
    </w:p>
    <w:p w14:paraId="1C2A3BE9">
      <w:pPr>
        <w:pStyle w:val="104"/>
        <w:spacing w:before="240" w:after="240" w:line="360" w:lineRule="auto"/>
      </w:pPr>
      <w:bookmarkStart w:id="47" w:name="_Toc193122369"/>
      <w:r>
        <w:rPr>
          <w:rFonts w:hint="eastAsia"/>
        </w:rPr>
        <w:t>术语和定义</w:t>
      </w:r>
      <w:bookmarkEnd w:id="46"/>
      <w:bookmarkEnd w:id="47"/>
    </w:p>
    <w:sdt>
      <w:sdtPr>
        <w:id w:val="-1909835108"/>
        <w:placeholder>
          <w:docPart w:val="647740FC4962444495E29952A55D0E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49172A">
          <w:pPr>
            <w:pStyle w:val="56"/>
            <w:spacing w:line="360" w:lineRule="auto"/>
            <w:ind w:firstLine="420"/>
          </w:pPr>
          <w:bookmarkStart w:id="48" w:name="_Toc26986532"/>
          <w:bookmarkEnd w:id="48"/>
          <w:r>
            <w:t>GB 15618界定的以及下列术语和定义适用于本文件。</w:t>
          </w:r>
        </w:p>
      </w:sdtContent>
    </w:sdt>
    <w:p w14:paraId="24E5FCE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生态茶园 </w:t>
      </w:r>
      <w:r>
        <w:rPr>
          <w:rFonts w:ascii="黑体" w:hAnsi="黑体" w:eastAsia="黑体"/>
        </w:rPr>
        <w:t>ecological tea garden</w:t>
      </w:r>
    </w:p>
    <w:p w14:paraId="2FC69526">
      <w:pPr>
        <w:pStyle w:val="56"/>
        <w:spacing w:line="360" w:lineRule="auto"/>
        <w:ind w:firstLine="420"/>
      </w:pPr>
      <w:r>
        <w:rPr>
          <w:rFonts w:hint="eastAsia"/>
        </w:rPr>
        <w:t>以生态学原理为指导，通过科学规划、系统设计和全过程管理，构建茶树生长与自然环境的协同共生体系，实现资源高效循环、生物多样性保育、化学投入品减量的茶园生产模式。</w:t>
      </w:r>
    </w:p>
    <w:p w14:paraId="70549A35">
      <w:pPr>
        <w:pStyle w:val="104"/>
        <w:spacing w:before="240" w:after="240" w:line="360" w:lineRule="auto"/>
      </w:pPr>
      <w:bookmarkStart w:id="49" w:name="_Toc193122370"/>
      <w:r>
        <w:rPr>
          <w:rFonts w:hint="eastAsia"/>
        </w:rPr>
        <w:t>总体要求</w:t>
      </w:r>
      <w:bookmarkEnd w:id="49"/>
    </w:p>
    <w:p w14:paraId="78ACE76D">
      <w:pPr>
        <w:pStyle w:val="105"/>
        <w:spacing w:before="120" w:after="120" w:line="360" w:lineRule="auto"/>
      </w:pPr>
      <w:r>
        <w:rPr>
          <w:rFonts w:hint="eastAsia"/>
        </w:rPr>
        <w:t>基本原则</w:t>
      </w:r>
    </w:p>
    <w:p w14:paraId="1C372A53">
      <w:pPr>
        <w:pStyle w:val="56"/>
        <w:spacing w:line="360" w:lineRule="auto"/>
        <w:ind w:firstLine="420"/>
      </w:pPr>
      <w:r>
        <w:rPr>
          <w:rFonts w:hint="eastAsia"/>
        </w:rPr>
        <w:t>生态优先：禁止毁林开垦，茶园开发需保留≥</w:t>
      </w:r>
      <w:r>
        <w:t>10%</w:t>
      </w:r>
      <w:r>
        <w:rPr>
          <w:rFonts w:hint="eastAsia"/>
        </w:rPr>
        <w:t>的原生植被作为生态岛。</w:t>
      </w:r>
    </w:p>
    <w:p w14:paraId="0B5F7105">
      <w:pPr>
        <w:pStyle w:val="56"/>
        <w:spacing w:line="360" w:lineRule="auto"/>
        <w:ind w:firstLine="420"/>
      </w:pPr>
      <w:r>
        <w:rPr>
          <w:rFonts w:hint="eastAsia"/>
        </w:rPr>
        <w:t>循环利用：茶枝、茶渣等加工废弃物资源化利用率≥</w:t>
      </w:r>
      <w:r>
        <w:t>90%</w:t>
      </w:r>
      <w:r>
        <w:rPr>
          <w:rFonts w:hint="eastAsia"/>
        </w:rPr>
        <w:t>。</w:t>
      </w:r>
    </w:p>
    <w:p w14:paraId="677F8F80">
      <w:pPr>
        <w:pStyle w:val="56"/>
        <w:spacing w:line="360" w:lineRule="auto"/>
        <w:ind w:firstLine="420"/>
      </w:pPr>
      <w:r>
        <w:rPr>
          <w:rFonts w:hint="eastAsia"/>
        </w:rPr>
        <w:t>社区参与：鼓励与当地社区共建，优先雇佣周边农户，提供生态种植培训。</w:t>
      </w:r>
    </w:p>
    <w:p w14:paraId="23B114AB">
      <w:pPr>
        <w:pStyle w:val="105"/>
        <w:spacing w:before="120" w:after="120" w:line="360" w:lineRule="auto"/>
      </w:pPr>
      <w:r>
        <w:rPr>
          <w:rFonts w:hint="eastAsia"/>
        </w:rPr>
        <w:t>分级管理</w:t>
      </w:r>
    </w:p>
    <w:p w14:paraId="5B729E90">
      <w:pPr>
        <w:pStyle w:val="56"/>
        <w:spacing w:line="360" w:lineRule="auto"/>
        <w:ind w:firstLine="420"/>
        <w:rPr>
          <w:rFonts w:hint="eastAsia"/>
        </w:rPr>
      </w:pPr>
      <w:r>
        <w:rPr>
          <w:rFonts w:hint="eastAsia"/>
        </w:rPr>
        <w:t>按生态化程度分为三级：</w:t>
      </w:r>
    </w:p>
    <w:p w14:paraId="647500D5">
      <w:pPr>
        <w:pStyle w:val="132"/>
        <w:spacing w:line="360" w:lineRule="auto"/>
      </w:pPr>
      <w:r>
        <w:rPr>
          <w:rFonts w:hint="eastAsia"/>
        </w:rPr>
        <w:t>基础级：符合绿色食品标准（</w:t>
      </w:r>
      <w:r>
        <w:t>NY/T 288</w:t>
      </w:r>
      <w:r>
        <w:rPr>
          <w:rFonts w:hint="eastAsia"/>
        </w:rPr>
        <w:t>），化学农药使用量减少</w:t>
      </w:r>
      <w:r>
        <w:t>30%</w:t>
      </w:r>
      <w:r>
        <w:rPr>
          <w:rFonts w:hint="eastAsia"/>
        </w:rPr>
        <w:t>；</w:t>
      </w:r>
    </w:p>
    <w:p w14:paraId="77ADDC71">
      <w:pPr>
        <w:pStyle w:val="132"/>
        <w:spacing w:line="360" w:lineRule="auto"/>
      </w:pPr>
      <w:r>
        <w:rPr>
          <w:rFonts w:hint="eastAsia"/>
        </w:rPr>
        <w:t>进阶级：达到有机转换标准（</w:t>
      </w:r>
      <w:r>
        <w:t>GB/T 19630</w:t>
      </w:r>
      <w:r>
        <w:rPr>
          <w:rFonts w:hint="eastAsia"/>
        </w:rPr>
        <w:t>），化学农药零使用；</w:t>
      </w:r>
    </w:p>
    <w:p w14:paraId="63EEDEEC">
      <w:pPr>
        <w:pStyle w:val="132"/>
        <w:spacing w:line="360" w:lineRule="auto"/>
      </w:pPr>
      <w:r>
        <w:rPr>
          <w:rFonts w:hint="eastAsia"/>
        </w:rPr>
        <w:t>示范级：通过碳足迹认证，生物多样性增加</w:t>
      </w:r>
      <w:r>
        <w:t>20%</w:t>
      </w:r>
      <w:r>
        <w:rPr>
          <w:rFonts w:hint="eastAsia"/>
        </w:rPr>
        <w:t>以上。</w:t>
      </w:r>
    </w:p>
    <w:p w14:paraId="5DEAF7F2">
      <w:pPr>
        <w:pStyle w:val="104"/>
        <w:spacing w:before="240" w:after="240" w:line="360" w:lineRule="auto"/>
      </w:pPr>
      <w:bookmarkStart w:id="50" w:name="_Toc193122371"/>
      <w:r>
        <w:rPr>
          <w:rFonts w:hint="eastAsia"/>
        </w:rPr>
        <w:t>生态茶园建设技术</w:t>
      </w:r>
      <w:bookmarkEnd w:id="50"/>
    </w:p>
    <w:p w14:paraId="1A36F48E">
      <w:pPr>
        <w:pStyle w:val="105"/>
        <w:spacing w:before="120" w:after="120" w:line="360" w:lineRule="auto"/>
      </w:pPr>
      <w:r>
        <w:rPr>
          <w:rFonts w:hint="eastAsia"/>
        </w:rPr>
        <w:t>选址与规划</w:t>
      </w:r>
    </w:p>
    <w:p w14:paraId="4950A5CE">
      <w:pPr>
        <w:pStyle w:val="56"/>
        <w:spacing w:line="360" w:lineRule="auto"/>
        <w:ind w:firstLine="420"/>
      </w:pPr>
      <w:r>
        <w:rPr>
          <w:rFonts w:hint="eastAsia"/>
        </w:rPr>
        <w:t>建园前需检测土壤重金属（镉、铅、汞等）及</w:t>
      </w:r>
      <w:r>
        <w:t>pH</w:t>
      </w:r>
      <w:r>
        <w:rPr>
          <w:rFonts w:hint="eastAsia"/>
        </w:rPr>
        <w:t>值（适宜范围</w:t>
      </w:r>
      <w:r>
        <w:t>5.5-6.5</w:t>
      </w:r>
      <w:r>
        <w:rPr>
          <w:rFonts w:hint="eastAsia"/>
        </w:rPr>
        <w:t>），不符合</w:t>
      </w:r>
      <w:r>
        <w:t>GB 15618</w:t>
      </w:r>
      <w:r>
        <w:rPr>
          <w:rFonts w:hint="eastAsia"/>
        </w:rPr>
        <w:t>的区域需进行修复。</w:t>
      </w:r>
    </w:p>
    <w:p w14:paraId="35F5AED9">
      <w:pPr>
        <w:pStyle w:val="56"/>
        <w:spacing w:line="360" w:lineRule="auto"/>
        <w:ind w:firstLine="420"/>
      </w:pPr>
      <w:r>
        <w:rPr>
          <w:rFonts w:hint="eastAsia"/>
        </w:rPr>
        <w:t>微气候设计要求如下：</w:t>
      </w:r>
    </w:p>
    <w:p w14:paraId="2D417A99">
      <w:pPr>
        <w:pStyle w:val="132"/>
        <w:spacing w:line="360" w:lineRule="auto"/>
        <w:rPr>
          <w:rFonts w:hint="eastAsia"/>
        </w:rPr>
      </w:pPr>
      <w:r>
        <w:rPr>
          <w:rFonts w:hint="eastAsia"/>
        </w:rPr>
        <w:t>坡地茶园沿等高线种植，每隔50米设置截水沟；</w:t>
      </w:r>
    </w:p>
    <w:p w14:paraId="44090929">
      <w:pPr>
        <w:pStyle w:val="132"/>
        <w:spacing w:line="360" w:lineRule="auto"/>
        <w:rPr>
          <w:rFonts w:hint="eastAsia"/>
        </w:rPr>
      </w:pPr>
      <w:r>
        <w:rPr>
          <w:rFonts w:hint="eastAsia"/>
        </w:rPr>
        <w:t>平地茶园采用“田-林-路-渠”网格化布局，主风向种植防风林带（宽度≥8米）。</w:t>
      </w:r>
    </w:p>
    <w:p w14:paraId="29B151F9">
      <w:pPr>
        <w:pStyle w:val="105"/>
        <w:spacing w:before="120" w:after="120" w:line="360" w:lineRule="auto"/>
      </w:pPr>
      <w:r>
        <w:rPr>
          <w:rFonts w:hint="eastAsia"/>
        </w:rPr>
        <w:t>生态建设</w:t>
      </w:r>
    </w:p>
    <w:p w14:paraId="12A27C66">
      <w:pPr>
        <w:pStyle w:val="56"/>
        <w:spacing w:line="360" w:lineRule="auto"/>
        <w:ind w:firstLine="420"/>
      </w:pPr>
      <w:r>
        <w:rPr>
          <w:rFonts w:hint="eastAsia"/>
        </w:rPr>
        <w:t>防护林配置：</w:t>
      </w:r>
    </w:p>
    <w:p w14:paraId="7E8B1EB5">
      <w:pPr>
        <w:pStyle w:val="132"/>
        <w:spacing w:line="360" w:lineRule="auto"/>
        <w:rPr>
          <w:rFonts w:hint="eastAsia"/>
        </w:rPr>
      </w:pPr>
      <w:r>
        <w:rPr>
          <w:rFonts w:hint="eastAsia"/>
        </w:rPr>
        <w:t>乔木层：香樟、楠木（占比60%）；</w:t>
      </w:r>
    </w:p>
    <w:p w14:paraId="3A25F4CC">
      <w:pPr>
        <w:pStyle w:val="132"/>
        <w:spacing w:line="360" w:lineRule="auto"/>
        <w:rPr>
          <w:rFonts w:hint="eastAsia"/>
        </w:rPr>
      </w:pPr>
      <w:r>
        <w:rPr>
          <w:rFonts w:hint="eastAsia"/>
        </w:rPr>
        <w:t>灌木层：山苍子、茶梅（占比30%）；</w:t>
      </w:r>
    </w:p>
    <w:p w14:paraId="5D2D1771">
      <w:pPr>
        <w:pStyle w:val="132"/>
        <w:spacing w:line="360" w:lineRule="auto"/>
        <w:rPr>
          <w:rFonts w:hint="eastAsia"/>
        </w:rPr>
      </w:pPr>
      <w:r>
        <w:rPr>
          <w:rFonts w:hint="eastAsia"/>
        </w:rPr>
        <w:t>草本层：紫花苜蓿、白三叶（占比10%）。</w:t>
      </w:r>
    </w:p>
    <w:p w14:paraId="25E92205">
      <w:pPr>
        <w:pStyle w:val="56"/>
        <w:spacing w:line="360" w:lineRule="auto"/>
        <w:ind w:firstLine="420"/>
      </w:pPr>
      <w:r>
        <w:rPr>
          <w:rFonts w:hint="eastAsia"/>
        </w:rPr>
        <w:t>生态沟渠：</w:t>
      </w:r>
    </w:p>
    <w:p w14:paraId="7BCAD6BB">
      <w:pPr>
        <w:pStyle w:val="132"/>
        <w:spacing w:line="360" w:lineRule="auto"/>
        <w:rPr>
          <w:rFonts w:hint="eastAsia"/>
        </w:rPr>
      </w:pPr>
      <w:r>
        <w:rPr>
          <w:rFonts w:hint="eastAsia"/>
        </w:rPr>
        <w:t>沟底种植芦苇、菖蒲等净水植物；</w:t>
      </w:r>
    </w:p>
    <w:p w14:paraId="2F9CB7A0">
      <w:pPr>
        <w:pStyle w:val="132"/>
        <w:spacing w:line="360" w:lineRule="auto"/>
        <w:rPr>
          <w:rFonts w:hint="eastAsia"/>
        </w:rPr>
      </w:pPr>
      <w:r>
        <w:rPr>
          <w:rFonts w:hint="eastAsia"/>
        </w:rPr>
        <w:t>沟壁采用植草砖或竹木编织固坡。</w:t>
      </w:r>
    </w:p>
    <w:p w14:paraId="2A3D39FC">
      <w:pPr>
        <w:pStyle w:val="104"/>
        <w:spacing w:before="240" w:after="240" w:line="360" w:lineRule="auto"/>
      </w:pPr>
      <w:bookmarkStart w:id="51" w:name="_Toc193122372"/>
      <w:r>
        <w:rPr>
          <w:rFonts w:hint="eastAsia"/>
        </w:rPr>
        <w:t>茶园管理技术</w:t>
      </w:r>
      <w:bookmarkEnd w:id="51"/>
    </w:p>
    <w:p w14:paraId="09E64F9E">
      <w:pPr>
        <w:pStyle w:val="105"/>
        <w:spacing w:before="120" w:after="120" w:line="360" w:lineRule="auto"/>
      </w:pPr>
      <w:r>
        <w:rPr>
          <w:rFonts w:hint="eastAsia"/>
        </w:rPr>
        <w:t>土壤管理</w:t>
      </w:r>
    </w:p>
    <w:p w14:paraId="6389166B">
      <w:pPr>
        <w:pStyle w:val="56"/>
        <w:spacing w:line="360" w:lineRule="auto"/>
        <w:ind w:firstLine="420"/>
      </w:pPr>
      <w:r>
        <w:rPr>
          <w:rFonts w:hint="eastAsia"/>
        </w:rPr>
        <w:t>绿肥轮作：</w:t>
      </w:r>
    </w:p>
    <w:p w14:paraId="1D2E05A7">
      <w:pPr>
        <w:pStyle w:val="132"/>
        <w:spacing w:line="360" w:lineRule="auto"/>
        <w:rPr>
          <w:rFonts w:hint="eastAsia"/>
        </w:rPr>
      </w:pPr>
      <w:r>
        <w:rPr>
          <w:rFonts w:hint="eastAsia"/>
        </w:rPr>
        <w:t>春夏季：种植田菁、箭筈豌豆（亩播种量2-3 kg）；</w:t>
      </w:r>
    </w:p>
    <w:p w14:paraId="099B9809">
      <w:pPr>
        <w:pStyle w:val="132"/>
        <w:spacing w:line="360" w:lineRule="auto"/>
        <w:rPr>
          <w:rFonts w:hint="eastAsia"/>
        </w:rPr>
      </w:pPr>
      <w:r>
        <w:rPr>
          <w:rFonts w:hint="eastAsia"/>
        </w:rPr>
        <w:t>秋冬季：翻压黑麦草、紫云英（亩产鲜草3000 kg以上）。</w:t>
      </w:r>
    </w:p>
    <w:p w14:paraId="312445DF">
      <w:pPr>
        <w:pStyle w:val="132"/>
        <w:numPr>
          <w:ilvl w:val="0"/>
          <w:numId w:val="0"/>
        </w:numPr>
        <w:spacing w:line="360" w:lineRule="auto"/>
        <w:ind w:left="425"/>
      </w:pPr>
      <w:r>
        <w:rPr>
          <w:rFonts w:hint="eastAsia"/>
        </w:rPr>
        <w:t>免耕覆盖：茶树行间铺设秸秆、竹屑等覆盖物（厚度≥</w:t>
      </w:r>
      <w:r>
        <w:t>5 cm</w:t>
      </w:r>
      <w:r>
        <w:rPr>
          <w:rFonts w:hint="eastAsia"/>
        </w:rPr>
        <w:t>），每</w:t>
      </w:r>
      <w:r>
        <w:t>3</w:t>
      </w:r>
      <w:r>
        <w:rPr>
          <w:rFonts w:hint="eastAsia"/>
        </w:rPr>
        <w:t>年深翻一次。</w:t>
      </w:r>
    </w:p>
    <w:p w14:paraId="5799431E">
      <w:pPr>
        <w:pStyle w:val="105"/>
        <w:spacing w:before="120" w:after="120" w:line="360" w:lineRule="auto"/>
      </w:pPr>
      <w:r>
        <w:rPr>
          <w:rFonts w:hint="eastAsia"/>
        </w:rPr>
        <w:t>病虫害防控</w:t>
      </w:r>
    </w:p>
    <w:p w14:paraId="2DB0BE33">
      <w:pPr>
        <w:pStyle w:val="56"/>
        <w:spacing w:line="360" w:lineRule="auto"/>
        <w:ind w:firstLine="420"/>
      </w:pPr>
      <w:r>
        <w:rPr>
          <w:rFonts w:hint="eastAsia"/>
        </w:rPr>
        <w:t>天敌保育：</w:t>
      </w:r>
    </w:p>
    <w:p w14:paraId="707D7E5F">
      <w:pPr>
        <w:pStyle w:val="132"/>
        <w:spacing w:line="360" w:lineRule="auto"/>
        <w:rPr>
          <w:rFonts w:hint="eastAsia"/>
        </w:rPr>
      </w:pPr>
      <w:r>
        <w:rPr>
          <w:rFonts w:hint="eastAsia"/>
        </w:rPr>
        <w:t>每5亩茶园设置1个天敌栖息岛（保留杂草、放置昆虫旅馆）；</w:t>
      </w:r>
    </w:p>
    <w:p w14:paraId="1965E62B">
      <w:pPr>
        <w:pStyle w:val="132"/>
        <w:spacing w:line="360" w:lineRule="auto"/>
        <w:rPr>
          <w:rFonts w:hint="eastAsia"/>
        </w:rPr>
      </w:pPr>
      <w:r>
        <w:rPr>
          <w:rFonts w:hint="eastAsia"/>
        </w:rPr>
        <w:t>禁用广谱杀虫剂，选择性使用印楝素、苦参碱等植物源农药（安全间隔期≥7天）。</w:t>
      </w:r>
    </w:p>
    <w:p w14:paraId="753BC993">
      <w:pPr>
        <w:pStyle w:val="56"/>
        <w:spacing w:line="360" w:lineRule="auto"/>
        <w:ind w:firstLine="420"/>
      </w:pPr>
      <w:r>
        <w:rPr>
          <w:rFonts w:hint="eastAsia"/>
        </w:rPr>
        <w:t>预警系统：</w:t>
      </w:r>
    </w:p>
    <w:p w14:paraId="11B0F0F6">
      <w:pPr>
        <w:pStyle w:val="132"/>
        <w:spacing w:line="360" w:lineRule="auto"/>
        <w:rPr>
          <w:rFonts w:hint="eastAsia"/>
        </w:rPr>
      </w:pPr>
      <w:r>
        <w:rPr>
          <w:rFonts w:hint="eastAsia"/>
        </w:rPr>
        <w:t>安装物联网虫情测报灯，实时监测茶小绿叶蝉、茶尺蠖等靶标害虫；</w:t>
      </w:r>
    </w:p>
    <w:p w14:paraId="4C18B7DA">
      <w:pPr>
        <w:pStyle w:val="132"/>
        <w:spacing w:line="360" w:lineRule="auto"/>
        <w:rPr>
          <w:rFonts w:hint="eastAsia"/>
        </w:rPr>
      </w:pPr>
      <w:r>
        <w:rPr>
          <w:rFonts w:hint="eastAsia"/>
        </w:rPr>
        <w:t>虫口密度超过阈值时启动应急防控预案。</w:t>
      </w:r>
    </w:p>
    <w:p w14:paraId="6B51FFA8">
      <w:pPr>
        <w:pStyle w:val="105"/>
        <w:spacing w:before="120" w:after="120" w:line="360" w:lineRule="auto"/>
      </w:pPr>
      <w:r>
        <w:rPr>
          <w:rFonts w:hint="eastAsia"/>
        </w:rPr>
        <w:t>采摘与加工</w:t>
      </w:r>
    </w:p>
    <w:p w14:paraId="43C9CB97">
      <w:pPr>
        <w:pStyle w:val="56"/>
        <w:spacing w:line="360" w:lineRule="auto"/>
        <w:ind w:firstLine="420"/>
      </w:pPr>
      <w:r>
        <w:rPr>
          <w:rFonts w:hint="eastAsia"/>
        </w:rPr>
        <w:t>智能分级：</w:t>
      </w:r>
    </w:p>
    <w:p w14:paraId="2F942790">
      <w:pPr>
        <w:pStyle w:val="132"/>
        <w:spacing w:line="360" w:lineRule="auto"/>
        <w:rPr>
          <w:rFonts w:hint="eastAsia"/>
        </w:rPr>
      </w:pPr>
      <w:r>
        <w:rPr>
          <w:rFonts w:hint="eastAsia"/>
        </w:rPr>
        <w:t>推广光谱分选技术，按一芽一叶、一芽二叶自动分拣；</w:t>
      </w:r>
    </w:p>
    <w:p w14:paraId="61BE92A2">
      <w:pPr>
        <w:pStyle w:val="132"/>
        <w:spacing w:line="360" w:lineRule="auto"/>
        <w:rPr>
          <w:rFonts w:hint="eastAsia"/>
        </w:rPr>
      </w:pPr>
      <w:r>
        <w:rPr>
          <w:rFonts w:hint="eastAsia"/>
        </w:rPr>
        <w:t>鲜叶运输全程冷链（温度4-8℃，湿度85%-90%）。</w:t>
      </w:r>
    </w:p>
    <w:p w14:paraId="670C2A17">
      <w:pPr>
        <w:pStyle w:val="56"/>
        <w:spacing w:line="360" w:lineRule="auto"/>
        <w:ind w:firstLine="420"/>
      </w:pPr>
      <w:r>
        <w:rPr>
          <w:rFonts w:hint="eastAsia"/>
        </w:rPr>
        <w:t>低碳加工：</w:t>
      </w:r>
    </w:p>
    <w:p w14:paraId="58B79B02">
      <w:pPr>
        <w:pStyle w:val="132"/>
        <w:spacing w:line="360" w:lineRule="auto"/>
        <w:rPr>
          <w:rFonts w:hint="eastAsia"/>
        </w:rPr>
      </w:pPr>
      <w:r>
        <w:rPr>
          <w:rFonts w:hint="eastAsia"/>
        </w:rPr>
        <w:t>萎凋环节采用空气能热泵替代燃煤；</w:t>
      </w:r>
    </w:p>
    <w:p w14:paraId="16C26FB9">
      <w:pPr>
        <w:pStyle w:val="132"/>
        <w:spacing w:line="360" w:lineRule="auto"/>
        <w:rPr>
          <w:rFonts w:hint="eastAsia"/>
        </w:rPr>
      </w:pPr>
      <w:r>
        <w:rPr>
          <w:rFonts w:hint="eastAsia"/>
        </w:rPr>
        <w:t>干燥尾气经活性炭吸附处理后方可排放。</w:t>
      </w:r>
    </w:p>
    <w:p w14:paraId="3C44D770">
      <w:pPr>
        <w:pStyle w:val="104"/>
        <w:spacing w:before="240" w:after="240" w:line="360" w:lineRule="auto"/>
      </w:pPr>
      <w:bookmarkStart w:id="52" w:name="_Toc193122373"/>
      <w:r>
        <w:rPr>
          <w:rFonts w:hint="eastAsia"/>
        </w:rPr>
        <w:t>环境保护与资源利用</w:t>
      </w:r>
      <w:bookmarkEnd w:id="52"/>
    </w:p>
    <w:p w14:paraId="3809A540">
      <w:pPr>
        <w:pStyle w:val="56"/>
        <w:spacing w:line="360" w:lineRule="auto"/>
        <w:ind w:firstLine="420"/>
      </w:pPr>
      <w:r>
        <w:rPr>
          <w:rFonts w:hint="eastAsia"/>
        </w:rPr>
        <w:t>碳汇管理：</w:t>
      </w:r>
    </w:p>
    <w:p w14:paraId="65155F9D">
      <w:pPr>
        <w:pStyle w:val="132"/>
        <w:spacing w:line="360" w:lineRule="auto"/>
        <w:rPr>
          <w:rFonts w:hint="eastAsia"/>
        </w:rPr>
      </w:pPr>
      <w:r>
        <w:rPr>
          <w:rFonts w:hint="eastAsia"/>
        </w:rPr>
        <w:t>茶树年固碳量≥0.5 t/亩，鼓励参与碳交易；</w:t>
      </w:r>
    </w:p>
    <w:p w14:paraId="0002024D">
      <w:pPr>
        <w:pStyle w:val="132"/>
        <w:spacing w:line="360" w:lineRule="auto"/>
        <w:rPr>
          <w:rFonts w:hint="eastAsia"/>
        </w:rPr>
      </w:pPr>
      <w:r>
        <w:rPr>
          <w:rFonts w:hint="eastAsia"/>
        </w:rPr>
        <w:t>加工环节单位产品综合能耗≤120 kWh/吨干茶。</w:t>
      </w:r>
    </w:p>
    <w:p w14:paraId="681EE58A">
      <w:pPr>
        <w:pStyle w:val="56"/>
        <w:spacing w:line="360" w:lineRule="auto"/>
        <w:ind w:firstLine="420"/>
      </w:pPr>
      <w:r>
        <w:rPr>
          <w:rFonts w:hint="eastAsia"/>
        </w:rPr>
        <w:t>水资源循环：</w:t>
      </w:r>
    </w:p>
    <w:p w14:paraId="0458C75D">
      <w:pPr>
        <w:pStyle w:val="132"/>
        <w:spacing w:line="360" w:lineRule="auto"/>
        <w:rPr>
          <w:rFonts w:hint="eastAsia"/>
        </w:rPr>
      </w:pPr>
      <w:r>
        <w:rPr>
          <w:rFonts w:hint="eastAsia"/>
        </w:rPr>
        <w:t>建设雨水收集系统（蓄水池容积≥50 m³/公顷）；</w:t>
      </w:r>
    </w:p>
    <w:p w14:paraId="5CE4EF29">
      <w:pPr>
        <w:pStyle w:val="132"/>
        <w:spacing w:line="360" w:lineRule="auto"/>
        <w:rPr>
          <w:rFonts w:hint="eastAsia"/>
        </w:rPr>
      </w:pPr>
      <w:r>
        <w:rPr>
          <w:rFonts w:hint="eastAsia"/>
        </w:rPr>
        <w:t>加工废水经沉淀-厌氧发酵-人工湿地处理后回用。</w:t>
      </w:r>
    </w:p>
    <w:p w14:paraId="55B7D075">
      <w:pPr>
        <w:pStyle w:val="104"/>
        <w:spacing w:before="240" w:after="240" w:line="360" w:lineRule="auto"/>
      </w:pPr>
      <w:bookmarkStart w:id="53" w:name="_Toc193122374"/>
      <w:r>
        <w:rPr>
          <w:rFonts w:hint="eastAsia"/>
        </w:rPr>
        <w:t>质量控制与认证</w:t>
      </w:r>
      <w:bookmarkEnd w:id="53"/>
    </w:p>
    <w:p w14:paraId="07C50D2C">
      <w:pPr>
        <w:pStyle w:val="105"/>
        <w:spacing w:before="120" w:after="120" w:line="360" w:lineRule="auto"/>
      </w:pPr>
      <w:r>
        <w:rPr>
          <w:rFonts w:hint="eastAsia"/>
        </w:rPr>
        <w:t>质量检测</w:t>
      </w:r>
    </w:p>
    <w:p w14:paraId="2D96FD58">
      <w:pPr>
        <w:pStyle w:val="56"/>
        <w:spacing w:line="360" w:lineRule="auto"/>
        <w:ind w:firstLine="420"/>
      </w:pPr>
      <w:r>
        <w:rPr>
          <w:rFonts w:hint="eastAsia"/>
        </w:rPr>
        <w:t>快速检测：每批次鲜叶需通过酶抑制法进行农残初筛（抑制率≤</w:t>
      </w:r>
      <w:r>
        <w:t>30%</w:t>
      </w:r>
      <w:r>
        <w:rPr>
          <w:rFonts w:hint="eastAsia"/>
        </w:rPr>
        <w:t>为合格）。</w:t>
      </w:r>
    </w:p>
    <w:p w14:paraId="1481E0D4">
      <w:pPr>
        <w:pStyle w:val="56"/>
        <w:spacing w:line="360" w:lineRule="auto"/>
        <w:ind w:firstLine="420"/>
      </w:pPr>
      <w:r>
        <w:rPr>
          <w:rFonts w:hint="eastAsia"/>
        </w:rPr>
        <w:t>第三方检测：每年委托</w:t>
      </w:r>
      <w:r>
        <w:t>CMA</w:t>
      </w:r>
      <w:r>
        <w:rPr>
          <w:rFonts w:hint="eastAsia"/>
        </w:rPr>
        <w:t>认证机构检测一次，出具全项污染物报告。</w:t>
      </w:r>
    </w:p>
    <w:p w14:paraId="559ADFE9">
      <w:pPr>
        <w:pStyle w:val="105"/>
        <w:spacing w:before="120" w:after="120" w:line="360" w:lineRule="auto"/>
      </w:pPr>
      <w:r>
        <w:rPr>
          <w:rFonts w:hint="eastAsia"/>
        </w:rPr>
        <w:t>认证流程</w:t>
      </w:r>
    </w:p>
    <w:p w14:paraId="70BABA3B">
      <w:pPr>
        <w:pStyle w:val="56"/>
        <w:spacing w:line="360" w:lineRule="auto"/>
        <w:ind w:firstLine="420"/>
        <w:rPr>
          <w:rFonts w:hint="eastAsia"/>
        </w:rPr>
      </w:pPr>
      <w:r>
        <w:rPr>
          <w:rFonts w:hint="eastAsia"/>
        </w:rPr>
        <w:t>认证流程如下：</w:t>
      </w:r>
    </w:p>
    <w:p w14:paraId="318CBEA5">
      <w:pPr>
        <w:pStyle w:val="132"/>
        <w:spacing w:line="360" w:lineRule="auto"/>
        <w:rPr>
          <w:rFonts w:hint="eastAsia"/>
        </w:rPr>
      </w:pPr>
      <w:r>
        <w:rPr>
          <w:rFonts w:hint="eastAsia"/>
        </w:rPr>
        <w:t>申请：向认证机构提交茶园平面图、管理体系文件；</w:t>
      </w:r>
    </w:p>
    <w:p w14:paraId="7F7A80FA">
      <w:pPr>
        <w:pStyle w:val="132"/>
        <w:spacing w:line="360" w:lineRule="auto"/>
        <w:rPr>
          <w:rFonts w:hint="eastAsia"/>
        </w:rPr>
      </w:pPr>
      <w:r>
        <w:rPr>
          <w:rFonts w:hint="eastAsia"/>
        </w:rPr>
        <w:t>现场审核：核查生态措施落实情况，抽样送检；</w:t>
      </w:r>
    </w:p>
    <w:p w14:paraId="19B2EA23">
      <w:pPr>
        <w:pStyle w:val="132"/>
        <w:spacing w:line="360" w:lineRule="auto"/>
        <w:rPr>
          <w:rFonts w:hint="eastAsia"/>
        </w:rPr>
      </w:pPr>
      <w:r>
        <w:rPr>
          <w:rFonts w:hint="eastAsia"/>
        </w:rPr>
        <w:t>证书发放：符合要求者颁发“生态茶园”标识（有效期2年）。</w:t>
      </w:r>
    </w:p>
    <w:p w14:paraId="7FCD092B">
      <w:pPr>
        <w:pStyle w:val="104"/>
        <w:spacing w:before="240" w:after="240" w:line="360" w:lineRule="auto"/>
      </w:pPr>
      <w:bookmarkStart w:id="54" w:name="_Toc193122375"/>
      <w:r>
        <w:rPr>
          <w:rFonts w:hint="eastAsia"/>
        </w:rPr>
        <w:t>监督与改进</w:t>
      </w:r>
      <w:bookmarkEnd w:id="54"/>
    </w:p>
    <w:p w14:paraId="1FD4C126">
      <w:pPr>
        <w:pStyle w:val="56"/>
        <w:spacing w:line="360" w:lineRule="auto"/>
        <w:ind w:firstLine="420"/>
        <w:rPr>
          <w:rFonts w:hint="eastAsia"/>
        </w:rPr>
      </w:pPr>
      <w:r>
        <w:rPr>
          <w:rFonts w:hint="eastAsia"/>
        </w:rPr>
        <w:t>内部审核：每年开展一次生态绩效评估，重点包括生物多样性指数（采用Shannon-Wiener指数评估）与土壤健康指标（有机质、微生物菌群数量）。</w:t>
      </w:r>
    </w:p>
    <w:p w14:paraId="4EDC2A90">
      <w:pPr>
        <w:pStyle w:val="56"/>
        <w:spacing w:line="360" w:lineRule="auto"/>
        <w:ind w:firstLine="420"/>
        <w:rPr>
          <w:rFonts w:hint="eastAsia"/>
        </w:rPr>
      </w:pPr>
      <w:r>
        <w:rPr>
          <w:rFonts w:hint="eastAsia"/>
        </w:rPr>
        <w:t>持续改进：对未达标项制定整改计划，并向行业协会提交年度报告。</w:t>
      </w:r>
    </w:p>
    <w:bookmarkEnd w:id="24"/>
    <w:p w14:paraId="5029D511">
      <w:pPr>
        <w:pStyle w:val="56"/>
        <w:ind w:firstLine="0" w:firstLineChars="0"/>
        <w:jc w:val="center"/>
      </w:pPr>
      <w:bookmarkStart w:id="55" w:name="BookMark8"/>
      <w:r>
        <w:drawing>
          <wp:inline distT="0" distB="0" distL="0" distR="0">
            <wp:extent cx="1485900" cy="317500"/>
            <wp:effectExtent l="0" t="0" r="0" b="6350"/>
            <wp:docPr id="1176302463" name="图片 1"/>
            <wp:cNvGraphicFramePr/>
            <a:graphic xmlns:a="http://schemas.openxmlformats.org/drawingml/2006/main">
              <a:graphicData uri="http://schemas.openxmlformats.org/drawingml/2006/picture">
                <pic:pic xmlns:pic="http://schemas.openxmlformats.org/drawingml/2006/picture">
                  <pic:nvPicPr>
                    <pic:cNvPr id="1176302463"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CB1E">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297D9">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30A2">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4D36">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DF29">
    <w:pPr>
      <w:pStyle w:val="51"/>
    </w:pPr>
    <w:r>
      <w:fldChar w:fldCharType="begin"/>
    </w:r>
    <w:r>
      <w:instrText xml:space="preserve"> PAGE   \* MERGEFORMAT \* MERGEFORMAT </w:instrText>
    </w:r>
    <w:r>
      <w:fldChar w:fldCharType="separate"/>
    </w:r>
    <w: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76EB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69F6">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6B49">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4B76">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A25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908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4DB6">
    <w:pPr>
      <w:pStyle w:val="62"/>
    </w:pPr>
    <w:r>
      <w:fldChar w:fldCharType="begin"/>
    </w:r>
    <w:r>
      <w:instrText xml:space="preserve"> STYLEREF  标准文件_文件编号 \* MERGEFORMAT </w:instrText>
    </w:r>
    <w:r>
      <w:fldChar w:fldCharType="separate"/>
    </w:r>
    <w:r>
      <w:t>T/XZBX 0018—2025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775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C5DA">
    <w:pPr>
      <w:pStyle w:val="61"/>
    </w:pPr>
    <w:r>
      <w:fldChar w:fldCharType="begin"/>
    </w:r>
    <w:r>
      <w:instrText xml:space="preserve"> STYLEREF  标准文件_文件编号  \* MERGEFORMAT </w:instrText>
    </w:r>
    <w:r>
      <w:fldChar w:fldCharType="separate"/>
    </w:r>
    <w:r>
      <w:t>T/XZBX 0018—2025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D084">
    <w:pPr>
      <w:pStyle w:val="62"/>
    </w:pPr>
    <w:r>
      <w:fldChar w:fldCharType="begin"/>
    </w:r>
    <w:r>
      <w:instrText xml:space="preserve"> STYLEREF  标准文件_文件编号 \* MERGEFORMAT </w:instrText>
    </w:r>
    <w:r>
      <w:fldChar w:fldCharType="separate"/>
    </w:r>
    <w:r>
      <w:t>T/XZBX 0018—2025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3ADA4">
    <w:pPr>
      <w:pStyle w:val="61"/>
    </w:pPr>
    <w:r>
      <w:fldChar w:fldCharType="begin"/>
    </w:r>
    <w:r>
      <w:instrText xml:space="preserve"> STYLEREF  标准文件_文件编号  \* MERGEFORMAT </w:instrText>
    </w:r>
    <w:r>
      <w:fldChar w:fldCharType="separate"/>
    </w:r>
    <w:r>
      <w:t>T/XZBX 0018—2025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CC18">
    <w:pPr>
      <w:pStyle w:val="62"/>
    </w:pPr>
    <w:r>
      <w:fldChar w:fldCharType="begin"/>
    </w:r>
    <w:r>
      <w:instrText xml:space="preserve"> STYLEREF  标准文件_文件编号 \* MERGEFORMAT </w:instrText>
    </w:r>
    <w:r>
      <w:fldChar w:fldCharType="separate"/>
    </w:r>
    <w:r>
      <w:t>T/XZBX 0018—2025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7568">
    <w:pPr>
      <w:pStyle w:val="61"/>
    </w:pPr>
    <w:r>
      <w:fldChar w:fldCharType="begin"/>
    </w:r>
    <w:r>
      <w:instrText xml:space="preserve"> STYLEREF  标准文件_文件编号  \* MERGEFORMAT </w:instrText>
    </w:r>
    <w:r>
      <w:fldChar w:fldCharType="separate"/>
    </w:r>
    <w:r>
      <w:t>T/XZBX 0018—2025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9DE9">
    <w:pPr>
      <w:pStyle w:val="62"/>
    </w:pPr>
    <w:r>
      <w:fldChar w:fldCharType="begin"/>
    </w:r>
    <w:r>
      <w:instrText xml:space="preserve"> STYLEREF  标准文件_文件编号 \* MERGEFORMAT </w:instrText>
    </w:r>
    <w:r>
      <w:fldChar w:fldCharType="separate"/>
    </w:r>
    <w:r>
      <w:t>T/XZBX 0018—2025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072F">
    <w:pPr>
      <w:pStyle w:val="61"/>
    </w:pPr>
    <w:r>
      <w:fldChar w:fldCharType="begin"/>
    </w:r>
    <w:r>
      <w:instrText xml:space="preserve"> STYLEREF  标准文件_文件编号  \* MERGEFORMAT </w:instrText>
    </w:r>
    <w:r>
      <w:fldChar w:fldCharType="separate"/>
    </w:r>
    <w:r>
      <w:t>T/XZBX 0018—2025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O1sDQyMTAyNLQ0MDNW0lEKTi0uzszPAykwqgUAr8LIVCwAAAA="/>
  </w:docVars>
  <w:rsids>
    <w:rsidRoot w:val="00FA0E3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F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98D"/>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07AF"/>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72F"/>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B16"/>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1D5"/>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245"/>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213"/>
    <w:rsid w:val="00D4162B"/>
    <w:rsid w:val="00D4514F"/>
    <w:rsid w:val="00D451E2"/>
    <w:rsid w:val="00D45E89"/>
    <w:rsid w:val="00D45E8D"/>
    <w:rsid w:val="00D466AE"/>
    <w:rsid w:val="00D4734F"/>
    <w:rsid w:val="00D51BF3"/>
    <w:rsid w:val="00D66846"/>
    <w:rsid w:val="00D675FB"/>
    <w:rsid w:val="00D71F25"/>
    <w:rsid w:val="00D72A9C"/>
    <w:rsid w:val="00D77031"/>
    <w:rsid w:val="00D84180"/>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36A"/>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985"/>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27D"/>
    <w:rsid w:val="00F157A9"/>
    <w:rsid w:val="00F16F00"/>
    <w:rsid w:val="00F22E8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E3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F8F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765A4FEAD642B3AA52C79A0BC942E7"/>
        <w:style w:val=""/>
        <w:category>
          <w:name w:val="常规"/>
          <w:gallery w:val="placeholder"/>
        </w:category>
        <w:types>
          <w:type w:val="bbPlcHdr"/>
        </w:types>
        <w:behaviors>
          <w:behavior w:val="content"/>
        </w:behaviors>
        <w:description w:val=""/>
        <w:guid w:val="{15CE031F-4754-4A47-86B0-F46EB2EA2FAC}"/>
      </w:docPartPr>
      <w:docPartBody>
        <w:p w14:paraId="4063AC6E">
          <w:pPr>
            <w:pStyle w:val="5"/>
          </w:pPr>
          <w:r>
            <w:rPr>
              <w:rStyle w:val="4"/>
              <w:rFonts w:hint="eastAsia"/>
            </w:rPr>
            <w:t>单击或点击此处输入文字。</w:t>
          </w:r>
        </w:p>
      </w:docPartBody>
    </w:docPart>
    <w:docPart>
      <w:docPartPr>
        <w:name w:val="EAF888B4AB0B40A0810257FEFD6332D7"/>
        <w:style w:val=""/>
        <w:category>
          <w:name w:val="常规"/>
          <w:gallery w:val="placeholder"/>
        </w:category>
        <w:types>
          <w:type w:val="bbPlcHdr"/>
        </w:types>
        <w:behaviors>
          <w:behavior w:val="content"/>
        </w:behaviors>
        <w:description w:val=""/>
        <w:guid w:val="{618134DB-A5E6-41C3-9D12-CDA38D008F63}"/>
      </w:docPartPr>
      <w:docPartBody>
        <w:p w14:paraId="7CECA81B">
          <w:pPr>
            <w:pStyle w:val="6"/>
          </w:pPr>
          <w:r>
            <w:rPr>
              <w:rStyle w:val="4"/>
              <w:rFonts w:hint="eastAsia"/>
            </w:rPr>
            <w:t>选择一项。</w:t>
          </w:r>
        </w:p>
      </w:docPartBody>
    </w:docPart>
    <w:docPart>
      <w:docPartPr>
        <w:name w:val="647740FC4962444495E29952A55D0E2B"/>
        <w:style w:val=""/>
        <w:category>
          <w:name w:val="常规"/>
          <w:gallery w:val="placeholder"/>
        </w:category>
        <w:types>
          <w:type w:val="bbPlcHdr"/>
        </w:types>
        <w:behaviors>
          <w:behavior w:val="content"/>
        </w:behaviors>
        <w:description w:val=""/>
        <w:guid w:val="{BA18DAC6-1406-4F94-B9F6-59BDB796FEA3}"/>
      </w:docPartPr>
      <w:docPartBody>
        <w:p w14:paraId="65D7E25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0E"/>
    <w:rsid w:val="003A51B9"/>
    <w:rsid w:val="00450005"/>
    <w:rsid w:val="0089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8765A4FEAD642B3AA52C79A0BC942E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F888B4AB0B40A0810257FEFD6332D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47740FC4962444495E29952A55D0E2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2276</Words>
  <Characters>2501</Characters>
  <Lines>26</Lines>
  <Paragraphs>7</Paragraphs>
  <TotalTime>83</TotalTime>
  <ScaleCrop>false</ScaleCrop>
  <LinksUpToDate>false</LinksUpToDate>
  <CharactersWithSpaces>2572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2025-03-17T04:16:00Z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2025-03-19T02:03:45Z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3343D73DF6EF4210818DEEB6E74A2DBD_12</vt:lpwstr>
  </property>
</Properties>
</file>