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649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777D1392">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1464B390">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13.040.2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13.040.20</w:t>
            </w:r>
            <w:r>
              <w:rPr>
                <w:rFonts w:ascii="宋体" w:hAnsi="宋体"/>
                <w:sz w:val="21"/>
                <w:szCs w:val="21"/>
              </w:rPr>
              <w:fldChar w:fldCharType="end"/>
            </w:r>
            <w:bookmarkEnd w:id="0"/>
          </w:p>
        </w:tc>
      </w:tr>
      <w:tr w14:paraId="0779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264199">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7D6997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4BAF86E3">
                  <w:pPr>
                    <w:pStyle w:val="49"/>
                    <w:framePr w:wrap="notBeside" w:vAnchor="page" w:hAnchor="page" w:x="1372" w:y="568"/>
                    <w:ind w:left="420" w:right="624"/>
                    <w:rPr>
                      <w:rFonts w:ascii="宋体" w:hAnsi="宋体"/>
                      <w:sz w:val="28"/>
                      <w:szCs w:val="28"/>
                    </w:rPr>
                  </w:pPr>
                </w:p>
              </w:tc>
            </w:tr>
          </w:tbl>
          <w:p w14:paraId="6ECB473E">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Z 50"/>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Z 50</w:t>
            </w:r>
            <w:r>
              <w:rPr>
                <w:rFonts w:ascii="宋体" w:hAnsi="宋体"/>
                <w:sz w:val="21"/>
                <w:szCs w:val="21"/>
              </w:rPr>
              <w:fldChar w:fldCharType="end"/>
            </w:r>
            <w:bookmarkEnd w:id="1"/>
          </w:p>
        </w:tc>
      </w:tr>
    </w:tbl>
    <w:p w14:paraId="4BBC0CE3">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08472D32">
      <w:pPr>
        <w:pStyle w:val="195"/>
        <w:rPr>
          <w:rFonts w:ascii="宋体" w:hAnsi="宋体" w:eastAsia="宋体"/>
          <w:sz w:val="21"/>
          <w:szCs w:val="21"/>
        </w:rPr>
      </w:pPr>
      <w:r>
        <w:rPr>
          <w:rFonts w:ascii="宋体" w:hAnsi="宋体" w:eastAsia="宋体"/>
          <w:sz w:val="21"/>
          <w:szCs w:val="21"/>
        </w:rPr>
        <w:t>T/</w:t>
      </w:r>
      <w:r>
        <w:rPr>
          <w:rFonts w:ascii="宋体" w:hAnsi="宋体" w:eastAsia="宋体"/>
          <w:sz w:val="21"/>
          <w:szCs w:val="21"/>
        </w:rPr>
        <w:fldChar w:fldCharType="begin">
          <w:ffData>
            <w:name w:val="文字1"/>
            <w:enabled/>
            <w:calcOnExit w:val="0"/>
            <w:textInput>
              <w:default w:val="XZBX"/>
            </w:textInput>
          </w:ffData>
        </w:fldChar>
      </w:r>
      <w:bookmarkStart w:id="3" w:name="文字1"/>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XZBX</w:t>
      </w:r>
      <w:r>
        <w:rPr>
          <w:rFonts w:ascii="宋体" w:hAnsi="宋体" w:eastAsia="宋体"/>
          <w:sz w:val="21"/>
          <w:szCs w:val="21"/>
        </w:rPr>
        <w:fldChar w:fldCharType="end"/>
      </w:r>
      <w:bookmarkEnd w:id="3"/>
      <w:r>
        <w:rPr>
          <w:rFonts w:ascii="宋体" w:hAnsi="宋体" w:eastAsia="宋体"/>
          <w:sz w:val="21"/>
          <w:szCs w:val="21"/>
        </w:rPr>
        <w:t xml:space="preserve"> </w:t>
      </w:r>
      <w:bookmarkStart w:id="4" w:name="NSTD_CODE_F"/>
      <w:r>
        <w:rPr>
          <w:rFonts w:ascii="宋体" w:hAnsi="宋体" w:eastAsia="宋体" w:cs="Times New Roman"/>
          <w:bCs/>
          <w:sz w:val="21"/>
          <w:szCs w:val="21"/>
          <w:lang w:val="en-US" w:eastAsia="zh-CN" w:bidi="ar-SA"/>
        </w:rPr>
        <w:fldChar w:fldCharType="begin">
          <w:ffData>
            <w:name w:val="NSTD_CODE_F"/>
            <w:enabled/>
            <w:calcOnExit w:val="0"/>
            <w:textInput>
              <w:default w:val="0016"/>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0016</w:t>
      </w:r>
      <w:r>
        <w:rPr>
          <w:rFonts w:ascii="宋体" w:hAnsi="宋体" w:eastAsia="宋体" w:cs="Times New Roman"/>
          <w:bCs/>
          <w:sz w:val="21"/>
          <w:szCs w:val="21"/>
          <w:lang w:val="en-US" w:eastAsia="zh-CN" w:bidi="ar-SA"/>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2D9D8AA4">
      <w:pPr>
        <w:pStyle w:val="196"/>
        <w:rPr>
          <w:rFonts w:ascii="宋体" w:hAnsi="宋体" w:eastAsia="宋体"/>
          <w:szCs w:val="21"/>
        </w:rPr>
      </w:pPr>
      <w:r>
        <w:rPr>
          <w:rFonts w:ascii="宋体" w:hAnsi="宋体" w:eastAsia="宋体"/>
          <w:szCs w:val="21"/>
        </w:rPr>
        <w:fldChar w:fldCharType="begin">
          <w:ffData>
            <w:name w:val="OSTD_CODE"/>
            <w:enabled/>
            <w:calcOnExit w:val="0"/>
            <w:textInput/>
          </w:ffData>
        </w:fldChar>
      </w:r>
      <w:bookmarkStart w:id="6" w:name="OSTD_CODE"/>
      <w:r>
        <w:rPr>
          <w:rFonts w:ascii="宋体" w:hAnsi="宋体" w:eastAsia="宋体"/>
          <w:szCs w:val="21"/>
        </w:rPr>
        <w:instrText xml:space="preserve"> FORMTEXT </w:instrText>
      </w:r>
      <w:r>
        <w:rPr>
          <w:rFonts w:ascii="宋体" w:hAnsi="宋体" w:eastAsia="宋体"/>
          <w:szCs w:val="21"/>
        </w:rPr>
        <w:fldChar w:fldCharType="separate"/>
      </w:r>
      <w:r>
        <w:rPr>
          <w:rFonts w:ascii="宋体" w:hAnsi="宋体" w:eastAsia="宋体"/>
          <w:szCs w:val="21"/>
        </w:rPr>
        <w:t>     </w:t>
      </w:r>
      <w:r>
        <w:rPr>
          <w:rFonts w:ascii="宋体" w:hAnsi="宋体" w:eastAsia="宋体"/>
          <w:szCs w:val="21"/>
        </w:rPr>
        <w:fldChar w:fldCharType="end"/>
      </w:r>
      <w:bookmarkEnd w:id="6"/>
    </w:p>
    <w:p w14:paraId="0FDC874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1A3D7BA4">
      <w:pPr>
        <w:pStyle w:val="50"/>
        <w:framePr w:w="9639" w:h="6976" w:hRule="exact" w:hSpace="0" w:vSpace="0" w:wrap="around" w:hAnchor="page" w:y="6408"/>
        <w:jc w:val="center"/>
        <w:rPr>
          <w:rFonts w:ascii="黑体" w:hAnsi="黑体" w:eastAsia="黑体"/>
          <w:b w:val="0"/>
          <w:bCs w:val="0"/>
          <w:w w:val="100"/>
        </w:rPr>
      </w:pPr>
    </w:p>
    <w:p w14:paraId="43BD10CE">
      <w:pPr>
        <w:pStyle w:val="197"/>
        <w:framePr w:h="6974" w:hRule="exact" w:wrap="around" w:x="1419" w:anchorLock="1"/>
        <w:rPr>
          <w:sz w:val="48"/>
          <w:szCs w:val="48"/>
        </w:rPr>
      </w:pPr>
      <w:r>
        <w:rPr>
          <w:sz w:val="48"/>
          <w:szCs w:val="48"/>
        </w:rPr>
        <w:fldChar w:fldCharType="begin">
          <w:ffData>
            <w:name w:val="CSTD_NAME"/>
            <w:enabled/>
            <w:calcOnExit w:val="0"/>
            <w:textInput>
              <w:default w:val="环境空气污染物便携式快速检测技术规范"/>
            </w:textInput>
          </w:ffData>
        </w:fldChar>
      </w:r>
      <w:bookmarkStart w:id="7" w:name="CSTD_NAME"/>
      <w:r>
        <w:rPr>
          <w:sz w:val="48"/>
          <w:szCs w:val="48"/>
        </w:rPr>
        <w:instrText xml:space="preserve"> FORMTEXT </w:instrText>
      </w:r>
      <w:r>
        <w:rPr>
          <w:sz w:val="48"/>
          <w:szCs w:val="48"/>
        </w:rPr>
        <w:fldChar w:fldCharType="separate"/>
      </w:r>
      <w:r>
        <w:rPr>
          <w:sz w:val="48"/>
          <w:szCs w:val="48"/>
        </w:rPr>
        <w:t>环境空气污染物便携式快速检测技术规范</w:t>
      </w:r>
      <w:r>
        <w:rPr>
          <w:sz w:val="48"/>
          <w:szCs w:val="48"/>
        </w:rPr>
        <w:fldChar w:fldCharType="end"/>
      </w:r>
      <w:bookmarkEnd w:id="7"/>
    </w:p>
    <w:p w14:paraId="473A7A97">
      <w:pPr>
        <w:framePr w:w="9639" w:h="6974" w:hRule="exact" w:wrap="around" w:vAnchor="page" w:hAnchor="page" w:x="1419" w:y="6408" w:anchorLock="1"/>
        <w:ind w:left="-1418"/>
      </w:pPr>
    </w:p>
    <w:p w14:paraId="297DBED6">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Specification for portable rapid detection technology of ambient air pollutants"/>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Specification for portable rapid detection technology of ambient air pollutants</w:t>
      </w:r>
      <w:r>
        <w:rPr>
          <w:rFonts w:ascii="黑体" w:hAnsi="黑体" w:eastAsia="黑体"/>
          <w:sz w:val="36"/>
          <w:szCs w:val="36"/>
        </w:rPr>
        <w:fldChar w:fldCharType="end"/>
      </w:r>
      <w:bookmarkEnd w:id="8"/>
    </w:p>
    <w:p w14:paraId="580ED243">
      <w:pPr>
        <w:framePr w:w="9639" w:h="6974" w:hRule="exact" w:wrap="around" w:vAnchor="page" w:hAnchor="page" w:x="1419" w:y="6408" w:anchorLock="1"/>
        <w:spacing w:line="760" w:lineRule="exact"/>
        <w:ind w:left="-1418"/>
      </w:pPr>
    </w:p>
    <w:p w14:paraId="4BA528DC">
      <w:pPr>
        <w:pStyle w:val="125"/>
        <w:framePr w:w="9639" w:h="6974" w:hRule="exact" w:wrap="around" w:vAnchor="page" w:hAnchor="page" w:x="1419" w:y="6408" w:anchorLock="1"/>
        <w:textAlignment w:val="bottom"/>
        <w:rPr>
          <w:rFonts w:eastAsia="黑体"/>
          <w:szCs w:val="28"/>
        </w:rPr>
      </w:pPr>
    </w:p>
    <w:p w14:paraId="1A1D559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bookmarkStart w:id="55" w:name="_GoBack"/>
      <w:bookmarkEnd w:id="55"/>
    </w:p>
    <w:p w14:paraId="726866C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2A3AD41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2DE7C921">
      <w:pPr>
        <w:pStyle w:val="193"/>
        <w:framePr w:wrap="around" w:y="14176"/>
        <w:rPr>
          <w:sz w:val="30"/>
          <w:szCs w:val="30"/>
        </w:rPr>
      </w:pPr>
      <w:r>
        <w:rPr>
          <w:sz w:val="30"/>
          <w:szCs w:val="30"/>
        </w:rPr>
        <w:fldChar w:fldCharType="begin">
          <w:ffData>
            <w:name w:val="PLSH_DATE_Y"/>
            <w:enabled/>
            <w:calcOnExit w:val="0"/>
            <w:textInput>
              <w:default w:val="XXXX"/>
              <w:maxLength w:val="4"/>
            </w:textInput>
          </w:ffData>
        </w:fldChar>
      </w:r>
      <w:bookmarkStart w:id="12" w:name="PLSH_DATE_Y"/>
      <w:r>
        <w:rPr>
          <w:sz w:val="30"/>
          <w:szCs w:val="30"/>
        </w:rPr>
        <w:instrText xml:space="preserve"> FORMTEXT </w:instrText>
      </w:r>
      <w:r>
        <w:rPr>
          <w:sz w:val="30"/>
          <w:szCs w:val="30"/>
        </w:rPr>
        <w:fldChar w:fldCharType="separate"/>
      </w:r>
      <w:r>
        <w:rPr>
          <w:sz w:val="30"/>
          <w:szCs w:val="30"/>
        </w:rPr>
        <w:t>XXXX</w:t>
      </w:r>
      <w:r>
        <w:rPr>
          <w:sz w:val="30"/>
          <w:szCs w:val="30"/>
        </w:rPr>
        <w:fldChar w:fldCharType="end"/>
      </w:r>
      <w:bookmarkEnd w:id="12"/>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3"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4"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4"/>
      <w:r>
        <w:rPr>
          <w:sz w:val="30"/>
          <w:szCs w:val="30"/>
        </w:rPr>
        <w:t>发布</w:t>
      </w:r>
    </w:p>
    <w:p w14:paraId="301BCF1B">
      <w:pPr>
        <w:pStyle w:val="194"/>
        <w:framePr w:wrap="around" w:y="14176"/>
        <w:rPr>
          <w:sz w:val="30"/>
          <w:szCs w:val="30"/>
        </w:rPr>
      </w:pPr>
      <w:r>
        <w:rPr>
          <w:sz w:val="30"/>
          <w:szCs w:val="30"/>
        </w:rPr>
        <w:fldChar w:fldCharType="begin">
          <w:ffData>
            <w:name w:val="CROT_DATE_Y"/>
            <w:enabled/>
            <w:calcOnExit w:val="0"/>
            <w:textInput>
              <w:default w:val="XXXX"/>
              <w:maxLength w:val="4"/>
            </w:textInput>
          </w:ffData>
        </w:fldChar>
      </w:r>
      <w:bookmarkStart w:id="15" w:name="CROT_DATE_Y"/>
      <w:r>
        <w:rPr>
          <w:sz w:val="30"/>
          <w:szCs w:val="30"/>
        </w:rPr>
        <w:instrText xml:space="preserve"> FORMTEXT </w:instrText>
      </w:r>
      <w:r>
        <w:rPr>
          <w:sz w:val="30"/>
          <w:szCs w:val="30"/>
        </w:rPr>
        <w:fldChar w:fldCharType="separate"/>
      </w:r>
      <w:r>
        <w:rPr>
          <w:sz w:val="30"/>
          <w:szCs w:val="30"/>
        </w:rPr>
        <w:t>XXXX</w:t>
      </w:r>
      <w:r>
        <w:rPr>
          <w:sz w:val="30"/>
          <w:szCs w:val="30"/>
        </w:rPr>
        <w:fldChar w:fldCharType="end"/>
      </w:r>
      <w:bookmarkEnd w:id="15"/>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6"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7"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7"/>
      <w:r>
        <w:rPr>
          <w:sz w:val="30"/>
          <w:szCs w:val="30"/>
        </w:rPr>
        <w:t>实施</w:t>
      </w:r>
    </w:p>
    <w:p w14:paraId="35E509AA">
      <w:pPr>
        <w:pStyle w:val="151"/>
        <w:framePr w:h="584" w:hRule="exact" w:hSpace="181" w:vSpace="181" w:wrap="around" w:y="14800"/>
        <w:rPr>
          <w:rFonts w:hAnsi="黑体"/>
          <w:sz w:val="30"/>
          <w:szCs w:val="30"/>
        </w:rPr>
      </w:pPr>
      <w:r>
        <w:rPr>
          <w:rFonts w:ascii="宋体" w:hAnsi="宋体" w:eastAsia="宋体"/>
          <w:w w:val="100"/>
          <w:sz w:val="30"/>
          <w:szCs w:val="30"/>
        </w:rPr>
        <w:fldChar w:fldCharType="begin">
          <w:ffData>
            <w:name w:val="fm"/>
            <w:enabled/>
            <w:calcOnExit w:val="0"/>
            <w:textInput>
              <w:default w:val="西安市质量与标准化协会 "/>
            </w:textInput>
          </w:ffData>
        </w:fldChar>
      </w:r>
      <w:bookmarkStart w:id="18" w:name="fm"/>
      <w:r>
        <w:rPr>
          <w:rFonts w:ascii="宋体" w:hAnsi="宋体" w:eastAsia="宋体"/>
          <w:w w:val="100"/>
          <w:sz w:val="30"/>
          <w:szCs w:val="30"/>
        </w:rPr>
        <w:instrText xml:space="preserve"> FORMTEXT </w:instrText>
      </w:r>
      <w:r>
        <w:rPr>
          <w:rFonts w:ascii="宋体" w:hAnsi="宋体" w:eastAsia="宋体"/>
          <w:w w:val="100"/>
          <w:sz w:val="30"/>
          <w:szCs w:val="30"/>
        </w:rPr>
        <w:fldChar w:fldCharType="separate"/>
      </w:r>
      <w:r>
        <w:rPr>
          <w:rFonts w:ascii="宋体" w:hAnsi="宋体" w:eastAsia="宋体"/>
          <w:w w:val="100"/>
          <w:sz w:val="30"/>
          <w:szCs w:val="30"/>
        </w:rPr>
        <w:t xml:space="preserve">西安市质量与标准化协会 </w:t>
      </w:r>
      <w:r>
        <w:rPr>
          <w:rFonts w:ascii="宋体" w:hAnsi="宋体" w:eastAsia="宋体"/>
          <w:w w:val="100"/>
          <w:sz w:val="30"/>
          <w:szCs w:val="30"/>
        </w:rPr>
        <w:fldChar w:fldCharType="end"/>
      </w:r>
      <w:bookmarkEnd w:id="18"/>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2EB083D8">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E106D72">
      <w:pPr>
        <w:pStyle w:val="91"/>
        <w:spacing w:after="360"/>
      </w:pPr>
      <w:bookmarkStart w:id="19" w:name="BookMark1"/>
      <w:r>
        <w:rPr>
          <w:rFonts w:hint="eastAsia"/>
          <w:spacing w:val="320"/>
        </w:rPr>
        <w:t>目</w:t>
      </w:r>
      <w:r>
        <w:rPr>
          <w:rFonts w:hint="eastAsia"/>
        </w:rPr>
        <w:t>次</w:t>
      </w:r>
    </w:p>
    <w:p w14:paraId="547CCA83">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"_Toc193098569" </w:instrText>
      </w:r>
      <w:r>
        <w:fldChar w:fldCharType="separate"/>
      </w:r>
      <w:r>
        <w:rPr>
          <w:rStyle w:val="32"/>
        </w:rPr>
        <w:t>前言</w:t>
      </w:r>
      <w:r>
        <w:tab/>
      </w:r>
      <w:r>
        <w:fldChar w:fldCharType="begin"/>
      </w:r>
      <w:r>
        <w:instrText xml:space="preserve"> PAGEREF _Toc193098569 \h </w:instrText>
      </w:r>
      <w:r>
        <w:fldChar w:fldCharType="separate"/>
      </w:r>
      <w:r>
        <w:t>III</w:t>
      </w:r>
      <w:r>
        <w:fldChar w:fldCharType="end"/>
      </w:r>
      <w:r>
        <w:fldChar w:fldCharType="end"/>
      </w:r>
    </w:p>
    <w:p w14:paraId="5271DD5A">
      <w:pPr>
        <w:pStyle w:val="19"/>
        <w:tabs>
          <w:tab w:val="right" w:leader="dot" w:pos="9344"/>
        </w:tabs>
        <w:rPr>
          <w:rFonts w:asciiTheme="minorHAnsi" w:hAnsiTheme="minorHAnsi" w:eastAsiaTheme="minorEastAsia" w:cstheme="minorBidi"/>
          <w:szCs w:val="22"/>
        </w:rPr>
      </w:pPr>
      <w:r>
        <w:fldChar w:fldCharType="begin"/>
      </w:r>
      <w:r>
        <w:instrText xml:space="preserve"> HYPERLINK \l "_Toc193098570" </w:instrText>
      </w:r>
      <w:r>
        <w:fldChar w:fldCharType="separate"/>
      </w:r>
      <w:r>
        <w:rPr>
          <w:rStyle w:val="32"/>
        </w:rPr>
        <w:t>引言</w:t>
      </w:r>
      <w:r>
        <w:tab/>
      </w:r>
      <w:r>
        <w:fldChar w:fldCharType="begin"/>
      </w:r>
      <w:r>
        <w:instrText xml:space="preserve"> PAGEREF _Toc193098570 \h </w:instrText>
      </w:r>
      <w:r>
        <w:fldChar w:fldCharType="separate"/>
      </w:r>
      <w:r>
        <w:t>V</w:t>
      </w:r>
      <w:r>
        <w:fldChar w:fldCharType="end"/>
      </w:r>
      <w:r>
        <w:fldChar w:fldCharType="end"/>
      </w:r>
    </w:p>
    <w:p w14:paraId="7545B6C2">
      <w:pPr>
        <w:pStyle w:val="19"/>
        <w:tabs>
          <w:tab w:val="right" w:leader="dot" w:pos="9344"/>
        </w:tabs>
        <w:rPr>
          <w:rFonts w:asciiTheme="minorHAnsi" w:hAnsiTheme="minorHAnsi" w:eastAsiaTheme="minorEastAsia" w:cstheme="minorBidi"/>
          <w:szCs w:val="22"/>
        </w:rPr>
      </w:pPr>
      <w:r>
        <w:fldChar w:fldCharType="begin"/>
      </w:r>
      <w:r>
        <w:instrText xml:space="preserve"> HYPERLINK \l "_Toc193098571" </w:instrText>
      </w:r>
      <w:r>
        <w:fldChar w:fldCharType="separate"/>
      </w:r>
      <w:r>
        <w:rPr>
          <w:rStyle w:val="32"/>
        </w:rPr>
        <w:t>1  范围</w:t>
      </w:r>
      <w:r>
        <w:tab/>
      </w:r>
      <w:r>
        <w:fldChar w:fldCharType="begin"/>
      </w:r>
      <w:r>
        <w:instrText xml:space="preserve"> PAGEREF _Toc193098571 \h </w:instrText>
      </w:r>
      <w:r>
        <w:fldChar w:fldCharType="separate"/>
      </w:r>
      <w:r>
        <w:t>1</w:t>
      </w:r>
      <w:r>
        <w:fldChar w:fldCharType="end"/>
      </w:r>
      <w:r>
        <w:fldChar w:fldCharType="end"/>
      </w:r>
    </w:p>
    <w:p w14:paraId="0E81345B">
      <w:pPr>
        <w:pStyle w:val="19"/>
        <w:tabs>
          <w:tab w:val="right" w:leader="dot" w:pos="9344"/>
        </w:tabs>
        <w:rPr>
          <w:rFonts w:asciiTheme="minorHAnsi" w:hAnsiTheme="minorHAnsi" w:eastAsiaTheme="minorEastAsia" w:cstheme="minorBidi"/>
          <w:szCs w:val="22"/>
        </w:rPr>
      </w:pPr>
      <w:r>
        <w:fldChar w:fldCharType="begin"/>
      </w:r>
      <w:r>
        <w:instrText xml:space="preserve"> HYPERLINK \l "_Toc193098572" </w:instrText>
      </w:r>
      <w:r>
        <w:fldChar w:fldCharType="separate"/>
      </w:r>
      <w:r>
        <w:rPr>
          <w:rStyle w:val="32"/>
        </w:rPr>
        <w:t>2  规范性引用文件</w:t>
      </w:r>
      <w:r>
        <w:tab/>
      </w:r>
      <w:r>
        <w:fldChar w:fldCharType="begin"/>
      </w:r>
      <w:r>
        <w:instrText xml:space="preserve"> PAGEREF _Toc193098572 \h </w:instrText>
      </w:r>
      <w:r>
        <w:fldChar w:fldCharType="separate"/>
      </w:r>
      <w:r>
        <w:t>1</w:t>
      </w:r>
      <w:r>
        <w:fldChar w:fldCharType="end"/>
      </w:r>
      <w:r>
        <w:fldChar w:fldCharType="end"/>
      </w:r>
    </w:p>
    <w:p w14:paraId="0DC22E8D">
      <w:pPr>
        <w:pStyle w:val="19"/>
        <w:tabs>
          <w:tab w:val="right" w:leader="dot" w:pos="9344"/>
        </w:tabs>
        <w:rPr>
          <w:rFonts w:asciiTheme="minorHAnsi" w:hAnsiTheme="minorHAnsi" w:eastAsiaTheme="minorEastAsia" w:cstheme="minorBidi"/>
          <w:szCs w:val="22"/>
        </w:rPr>
      </w:pPr>
      <w:r>
        <w:fldChar w:fldCharType="begin"/>
      </w:r>
      <w:r>
        <w:instrText xml:space="preserve"> HYPERLINK \l "_Toc193098573" </w:instrText>
      </w:r>
      <w:r>
        <w:fldChar w:fldCharType="separate"/>
      </w:r>
      <w:r>
        <w:rPr>
          <w:rStyle w:val="32"/>
        </w:rPr>
        <w:t>3  术语和定义</w:t>
      </w:r>
      <w:r>
        <w:tab/>
      </w:r>
      <w:r>
        <w:fldChar w:fldCharType="begin"/>
      </w:r>
      <w:r>
        <w:instrText xml:space="preserve"> PAGEREF _Toc193098573 \h </w:instrText>
      </w:r>
      <w:r>
        <w:fldChar w:fldCharType="separate"/>
      </w:r>
      <w:r>
        <w:t>1</w:t>
      </w:r>
      <w:r>
        <w:fldChar w:fldCharType="end"/>
      </w:r>
      <w:r>
        <w:fldChar w:fldCharType="end"/>
      </w:r>
    </w:p>
    <w:p w14:paraId="6D808022">
      <w:pPr>
        <w:pStyle w:val="19"/>
        <w:tabs>
          <w:tab w:val="right" w:leader="dot" w:pos="9344"/>
        </w:tabs>
        <w:rPr>
          <w:rFonts w:asciiTheme="minorHAnsi" w:hAnsiTheme="minorHAnsi" w:eastAsiaTheme="minorEastAsia" w:cstheme="minorBidi"/>
          <w:szCs w:val="22"/>
        </w:rPr>
      </w:pPr>
      <w:r>
        <w:fldChar w:fldCharType="begin"/>
      </w:r>
      <w:r>
        <w:instrText xml:space="preserve"> HYPERLINK \l "_Toc193098574" </w:instrText>
      </w:r>
      <w:r>
        <w:fldChar w:fldCharType="separate"/>
      </w:r>
      <w:r>
        <w:rPr>
          <w:rStyle w:val="32"/>
        </w:rPr>
        <w:t>4  技术要求</w:t>
      </w:r>
      <w:r>
        <w:tab/>
      </w:r>
      <w:r>
        <w:fldChar w:fldCharType="begin"/>
      </w:r>
      <w:r>
        <w:instrText xml:space="preserve"> PAGEREF _Toc193098574 \h </w:instrText>
      </w:r>
      <w:r>
        <w:fldChar w:fldCharType="separate"/>
      </w:r>
      <w:r>
        <w:t>1</w:t>
      </w:r>
      <w:r>
        <w:fldChar w:fldCharType="end"/>
      </w:r>
      <w:r>
        <w:fldChar w:fldCharType="end"/>
      </w:r>
    </w:p>
    <w:p w14:paraId="75C078EE">
      <w:pPr>
        <w:pStyle w:val="19"/>
        <w:tabs>
          <w:tab w:val="right" w:leader="dot" w:pos="9344"/>
        </w:tabs>
        <w:rPr>
          <w:rFonts w:asciiTheme="minorHAnsi" w:hAnsiTheme="minorHAnsi" w:eastAsiaTheme="minorEastAsia" w:cstheme="minorBidi"/>
          <w:szCs w:val="22"/>
        </w:rPr>
      </w:pPr>
      <w:r>
        <w:fldChar w:fldCharType="begin"/>
      </w:r>
      <w:r>
        <w:instrText xml:space="preserve"> HYPERLINK \l "_Toc193098575" </w:instrText>
      </w:r>
      <w:r>
        <w:fldChar w:fldCharType="separate"/>
      </w:r>
      <w:r>
        <w:rPr>
          <w:rStyle w:val="32"/>
        </w:rPr>
        <w:t>5  检测方法</w:t>
      </w:r>
      <w:r>
        <w:tab/>
      </w:r>
      <w:r>
        <w:fldChar w:fldCharType="begin"/>
      </w:r>
      <w:r>
        <w:instrText xml:space="preserve"> PAGEREF _Toc193098575 \h </w:instrText>
      </w:r>
      <w:r>
        <w:fldChar w:fldCharType="separate"/>
      </w:r>
      <w:r>
        <w:t>2</w:t>
      </w:r>
      <w:r>
        <w:fldChar w:fldCharType="end"/>
      </w:r>
      <w:r>
        <w:fldChar w:fldCharType="end"/>
      </w:r>
    </w:p>
    <w:p w14:paraId="73EC47E8">
      <w:pPr>
        <w:pStyle w:val="19"/>
        <w:tabs>
          <w:tab w:val="right" w:leader="dot" w:pos="9344"/>
        </w:tabs>
        <w:rPr>
          <w:rFonts w:asciiTheme="minorHAnsi" w:hAnsiTheme="minorHAnsi" w:eastAsiaTheme="minorEastAsia" w:cstheme="minorBidi"/>
          <w:szCs w:val="22"/>
        </w:rPr>
      </w:pPr>
      <w:r>
        <w:fldChar w:fldCharType="begin"/>
      </w:r>
      <w:r>
        <w:instrText xml:space="preserve"> HYPERLINK \l "_Toc193098576" </w:instrText>
      </w:r>
      <w:r>
        <w:fldChar w:fldCharType="separate"/>
      </w:r>
      <w:r>
        <w:rPr>
          <w:rStyle w:val="32"/>
        </w:rPr>
        <w:t>6  质量控制</w:t>
      </w:r>
      <w:r>
        <w:tab/>
      </w:r>
      <w:r>
        <w:fldChar w:fldCharType="begin"/>
      </w:r>
      <w:r>
        <w:instrText xml:space="preserve"> PAGEREF _Toc193098576 \h </w:instrText>
      </w:r>
      <w:r>
        <w:fldChar w:fldCharType="separate"/>
      </w:r>
      <w:r>
        <w:t>2</w:t>
      </w:r>
      <w:r>
        <w:fldChar w:fldCharType="end"/>
      </w:r>
      <w:r>
        <w:fldChar w:fldCharType="end"/>
      </w:r>
    </w:p>
    <w:p w14:paraId="4A8F7C74">
      <w:pPr>
        <w:pStyle w:val="19"/>
        <w:tabs>
          <w:tab w:val="right" w:leader="dot" w:pos="9344"/>
        </w:tabs>
        <w:rPr>
          <w:rFonts w:asciiTheme="minorHAnsi" w:hAnsiTheme="minorHAnsi" w:eastAsiaTheme="minorEastAsia" w:cstheme="minorBidi"/>
          <w:szCs w:val="22"/>
        </w:rPr>
      </w:pPr>
      <w:r>
        <w:fldChar w:fldCharType="begin"/>
      </w:r>
      <w:r>
        <w:instrText xml:space="preserve"> HYPERLINK \l "_Toc193098577" </w:instrText>
      </w:r>
      <w:r>
        <w:fldChar w:fldCharType="separate"/>
      </w:r>
      <w:r>
        <w:rPr>
          <w:rStyle w:val="32"/>
        </w:rPr>
        <w:t>7  数据管理与报告</w:t>
      </w:r>
      <w:r>
        <w:tab/>
      </w:r>
      <w:r>
        <w:fldChar w:fldCharType="begin"/>
      </w:r>
      <w:r>
        <w:instrText xml:space="preserve"> PAGEREF _Toc193098577 \h </w:instrText>
      </w:r>
      <w:r>
        <w:fldChar w:fldCharType="separate"/>
      </w:r>
      <w:r>
        <w:t>3</w:t>
      </w:r>
      <w:r>
        <w:fldChar w:fldCharType="end"/>
      </w:r>
      <w:r>
        <w:fldChar w:fldCharType="end"/>
      </w:r>
    </w:p>
    <w:p w14:paraId="7DA63AA4">
      <w:pPr>
        <w:pStyle w:val="19"/>
        <w:tabs>
          <w:tab w:val="right" w:leader="dot" w:pos="9344"/>
        </w:tabs>
        <w:rPr>
          <w:rFonts w:asciiTheme="minorHAnsi" w:hAnsiTheme="minorHAnsi" w:eastAsiaTheme="minorEastAsia" w:cstheme="minorBidi"/>
          <w:szCs w:val="22"/>
        </w:rPr>
      </w:pPr>
      <w:r>
        <w:fldChar w:fldCharType="begin"/>
      </w:r>
      <w:r>
        <w:instrText xml:space="preserve"> HYPERLINK \l "_Toc193098578" </w:instrText>
      </w:r>
      <w:r>
        <w:fldChar w:fldCharType="separate"/>
      </w:r>
      <w:r>
        <w:rPr>
          <w:rStyle w:val="32"/>
        </w:rPr>
        <w:t>8  安全要求</w:t>
      </w:r>
      <w:r>
        <w:tab/>
      </w:r>
      <w:r>
        <w:fldChar w:fldCharType="begin"/>
      </w:r>
      <w:r>
        <w:instrText xml:space="preserve"> PAGEREF _Toc193098578 \h </w:instrText>
      </w:r>
      <w:r>
        <w:fldChar w:fldCharType="separate"/>
      </w:r>
      <w:r>
        <w:t>3</w:t>
      </w:r>
      <w:r>
        <w:fldChar w:fldCharType="end"/>
      </w:r>
      <w:r>
        <w:fldChar w:fldCharType="end"/>
      </w:r>
    </w:p>
    <w:p w14:paraId="5D442497">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68209176">
      <w:pPr>
        <w:pStyle w:val="89"/>
        <w:spacing w:before="900" w:after="360"/>
      </w:pPr>
      <w:bookmarkStart w:id="20" w:name="_Toc193098569"/>
      <w:bookmarkStart w:id="21" w:name="BookMark2"/>
      <w:r>
        <w:rPr>
          <w:spacing w:val="320"/>
        </w:rPr>
        <w:t>前</w:t>
      </w:r>
      <w:r>
        <w:t>言</w:t>
      </w:r>
      <w:bookmarkEnd w:id="20"/>
    </w:p>
    <w:p w14:paraId="6A7116D4">
      <w:pPr>
        <w:pStyle w:val="56"/>
        <w:spacing w:line="360" w:lineRule="auto"/>
        <w:ind w:firstLine="420"/>
      </w:pPr>
      <w:r>
        <w:rPr>
          <w:rFonts w:hint="eastAsia"/>
        </w:rPr>
        <w:t>本文件按照GB/T 1.1—2020《标准化工作导则  第1部分：标准化文件的结构和起草规则》的规定起草。</w:t>
      </w:r>
    </w:p>
    <w:p w14:paraId="6B50501D">
      <w:pPr>
        <w:pStyle w:val="56"/>
        <w:spacing w:line="360" w:lineRule="auto"/>
        <w:ind w:firstLine="420"/>
      </w:pPr>
      <w:r>
        <w:rPr>
          <w:rFonts w:hint="eastAsia"/>
        </w:rPr>
        <w:t>请注意本文件的某些内容可能涉及专利。本文件的发布机构不承担识别专利的责任。</w:t>
      </w:r>
    </w:p>
    <w:p w14:paraId="17E460EF">
      <w:pPr>
        <w:pStyle w:val="56"/>
        <w:spacing w:line="360" w:lineRule="auto"/>
        <w:ind w:firstLine="420"/>
      </w:pPr>
      <w:r>
        <w:rPr>
          <w:rFonts w:hint="eastAsia"/>
        </w:rPr>
        <w:t>本文件由西安市质量与标准化协会提出并归口。</w:t>
      </w:r>
    </w:p>
    <w:p w14:paraId="7EC04795">
      <w:pPr>
        <w:pStyle w:val="56"/>
        <w:spacing w:line="360" w:lineRule="auto"/>
        <w:ind w:firstLine="420"/>
      </w:pPr>
      <w:r>
        <w:rPr>
          <w:rFonts w:hint="eastAsia"/>
        </w:rPr>
        <w:t>本文件起草单位：葫芦岛市生态环境保障服务中心、山东朗晖石油化学股份有限公司、苏州克兰茨环境科技有限公司、红河绿盾环境监测有限公司、重庆市南岸区生态环境监测站、河北省沧州生态环境监测中心、成都市污染源监测中心锦江监测站、邹城市畜牧兽医事业发展中心。</w:t>
      </w:r>
    </w:p>
    <w:p w14:paraId="4BDE09F9">
      <w:pPr>
        <w:pStyle w:val="56"/>
        <w:spacing w:line="360" w:lineRule="auto"/>
        <w:ind w:firstLine="420"/>
      </w:pPr>
      <w:r>
        <w:rPr>
          <w:rFonts w:hint="eastAsia"/>
        </w:rPr>
        <w:t>本文件主要起草人：吴锡、乔红娟、李浩、赵义珍、许安全、孙志洪、卢文治、张冬梅。</w:t>
      </w:r>
    </w:p>
    <w:p w14:paraId="1C1A2B6E">
      <w:pPr>
        <w:pStyle w:val="56"/>
        <w:ind w:firstLine="420"/>
      </w:pPr>
    </w:p>
    <w:p w14:paraId="734A8CB6">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p>
    <w:bookmarkEnd w:id="21"/>
    <w:p w14:paraId="430E281B">
      <w:pPr>
        <w:pStyle w:val="89"/>
        <w:spacing w:after="360"/>
      </w:pPr>
      <w:bookmarkStart w:id="22" w:name="_Toc193098570"/>
      <w:bookmarkStart w:id="23" w:name="BookMark3"/>
      <w:r>
        <w:rPr>
          <w:spacing w:val="320"/>
        </w:rPr>
        <w:t>引</w:t>
      </w:r>
      <w:r>
        <w:t>言</w:t>
      </w:r>
      <w:bookmarkEnd w:id="22"/>
    </w:p>
    <w:p w14:paraId="22545DC7">
      <w:pPr>
        <w:pStyle w:val="56"/>
        <w:spacing w:line="360" w:lineRule="auto"/>
        <w:ind w:firstLine="420"/>
      </w:pPr>
      <w:r>
        <w:rPr>
          <w:rFonts w:hint="eastAsia"/>
        </w:rPr>
        <w:t>随着我国大气污染防治攻坚战的深入推进，环境空气质量监测需求从固定站点的长期观测向污染源快速识别、应急响应和精细化管控延伸。传统实验室分析方法虽精度高，但存在采样周期长、设备笨重、无法实时反馈等局限，难以满足突发污染事件处置、移动污染源追踪及工业园区无组织排放监测等场景的迫切需求。近年来，基于光学传感、微流控芯片、物联网等技术的便携式快速检测设备快速发展，其响应速度快、操作灵活、成本可控的优势显著，但市场上设备性能参差不齐，检测方法缺乏统一规范，导致数据可比性差、质控体系缺失，严重制约了监测数据的执法效力与科研价值。</w:t>
      </w:r>
    </w:p>
    <w:p w14:paraId="090DAEC8">
      <w:pPr>
        <w:pStyle w:val="56"/>
        <w:spacing w:line="360" w:lineRule="auto"/>
        <w:ind w:firstLine="420"/>
      </w:pPr>
      <w:r>
        <w:rPr>
          <w:rFonts w:hint="eastAsia"/>
        </w:rPr>
        <w:t>本文件结合我国典型区域污染特征和监测实践经验，系统整合了传感器技术、质量控制及大数据应用的最新成果，为便携式设备的研发、选型、应用及监管提供技术依据。本文件的实施将推动环境监测从“事后监管”向“过程防控”转型，助力实现“精准治污、科学治污、依法治污”的治理目标，为打赢蓝天保卫战提供关键技术支撑。</w:t>
      </w:r>
    </w:p>
    <w:p w14:paraId="177F7D76">
      <w:pPr>
        <w:pStyle w:val="56"/>
        <w:ind w:firstLine="420"/>
      </w:pPr>
    </w:p>
    <w:p w14:paraId="05ECBDDF">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3"/>
    <w:p w14:paraId="44BEBB14">
      <w:pPr>
        <w:spacing w:line="20" w:lineRule="exact"/>
        <w:jc w:val="center"/>
        <w:rPr>
          <w:rFonts w:ascii="黑体" w:hAnsi="黑体" w:eastAsia="黑体"/>
          <w:sz w:val="32"/>
          <w:szCs w:val="32"/>
        </w:rPr>
      </w:pPr>
      <w:bookmarkStart w:id="24" w:name="BookMark4"/>
    </w:p>
    <w:p w14:paraId="641BBE4A">
      <w:pPr>
        <w:spacing w:line="20" w:lineRule="exact"/>
        <w:jc w:val="center"/>
        <w:rPr>
          <w:rFonts w:ascii="黑体" w:hAnsi="黑体" w:eastAsia="黑体"/>
          <w:sz w:val="32"/>
          <w:szCs w:val="32"/>
        </w:rPr>
      </w:pPr>
    </w:p>
    <w:sdt>
      <w:sdtPr>
        <w:tag w:val="NEW_STAND_NAME"/>
        <w:id w:val="595910757"/>
        <w:lock w:val="sdtLocked"/>
        <w:placeholder>
          <w:docPart w:val="78765A4FEAD642B3AA52C79A0BC942E7"/>
        </w:placeholder>
      </w:sdtPr>
      <w:sdtContent>
        <w:p w14:paraId="175FF66D">
          <w:pPr>
            <w:pStyle w:val="177"/>
            <w:rPr>
              <w:b/>
              <w:bCs/>
            </w:rPr>
          </w:pPr>
          <w:bookmarkStart w:id="25" w:name="NEW_STAND_NAME"/>
          <w:r>
            <w:t>环境空气污染物便携式快速检测技术规范</w:t>
          </w:r>
        </w:p>
      </w:sdtContent>
    </w:sdt>
    <w:bookmarkEnd w:id="25"/>
    <w:p w14:paraId="577D6965">
      <w:pPr>
        <w:pStyle w:val="104"/>
        <w:spacing w:before="240" w:after="240" w:line="360" w:lineRule="auto"/>
      </w:pPr>
      <w:bookmarkStart w:id="26" w:name="_Toc24884211"/>
      <w:bookmarkStart w:id="27" w:name="_Toc24884218"/>
      <w:bookmarkStart w:id="28" w:name="_Toc26648465"/>
      <w:bookmarkStart w:id="29" w:name="_Toc26718930"/>
      <w:bookmarkStart w:id="30" w:name="_Toc26986771"/>
      <w:bookmarkStart w:id="31" w:name="_Toc26986530"/>
      <w:bookmarkStart w:id="32" w:name="_Toc97192964"/>
      <w:bookmarkStart w:id="33" w:name="_Toc17233325"/>
      <w:bookmarkStart w:id="34" w:name="_Toc17233333"/>
      <w:bookmarkStart w:id="35" w:name="_Toc193098571"/>
      <w:r>
        <w:rPr>
          <w:rFonts w:hint="eastAsia"/>
        </w:rPr>
        <w:t>范围</w:t>
      </w:r>
      <w:bookmarkEnd w:id="26"/>
      <w:bookmarkEnd w:id="27"/>
      <w:bookmarkEnd w:id="28"/>
      <w:bookmarkEnd w:id="29"/>
      <w:bookmarkEnd w:id="30"/>
      <w:bookmarkEnd w:id="31"/>
      <w:bookmarkEnd w:id="32"/>
      <w:bookmarkEnd w:id="33"/>
      <w:bookmarkEnd w:id="34"/>
      <w:bookmarkEnd w:id="35"/>
    </w:p>
    <w:p w14:paraId="0EA41A6C">
      <w:pPr>
        <w:pStyle w:val="56"/>
        <w:spacing w:line="360" w:lineRule="auto"/>
        <w:ind w:firstLine="420"/>
      </w:pPr>
      <w:bookmarkStart w:id="36" w:name="_Toc17233326"/>
      <w:bookmarkStart w:id="37" w:name="_Toc17233334"/>
      <w:bookmarkStart w:id="38" w:name="_Toc24884212"/>
      <w:bookmarkStart w:id="39" w:name="_Toc24884219"/>
      <w:bookmarkStart w:id="40" w:name="_Toc26648466"/>
      <w:r>
        <w:rPr>
          <w:rFonts w:hint="eastAsia"/>
        </w:rPr>
        <w:t>本文件规定了便携式快速检测设备对环境空气污染物（包括但不限于</w:t>
      </w:r>
      <w:r>
        <w:t>PM2.5</w:t>
      </w:r>
      <w:r>
        <w:rPr>
          <w:rFonts w:hint="eastAsia"/>
        </w:rPr>
        <w:t>、</w:t>
      </w:r>
      <w:r>
        <w:t>PM10</w:t>
      </w:r>
      <w:r>
        <w:rPr>
          <w:rFonts w:hint="eastAsia"/>
        </w:rPr>
        <w:t>、</w:t>
      </w:r>
      <w:r>
        <w:t>SO₂</w:t>
      </w:r>
      <w:r>
        <w:rPr>
          <w:rFonts w:hint="eastAsia"/>
        </w:rPr>
        <w:t>、</w:t>
      </w:r>
      <w:r>
        <w:t>NO₂</w:t>
      </w:r>
      <w:r>
        <w:rPr>
          <w:rFonts w:hint="eastAsia"/>
        </w:rPr>
        <w:t>、</w:t>
      </w:r>
      <w:r>
        <w:t>CO</w:t>
      </w:r>
      <w:r>
        <w:rPr>
          <w:rFonts w:hint="eastAsia"/>
        </w:rPr>
        <w:t>检测</w:t>
      </w:r>
      <w:r>
        <w:t>O₃</w:t>
      </w:r>
      <w:r>
        <w:rPr>
          <w:rFonts w:hint="eastAsia"/>
        </w:rPr>
        <w:t>、</w:t>
      </w:r>
      <w:r>
        <w:t>VOCs</w:t>
      </w:r>
      <w:r>
        <w:rPr>
          <w:rFonts w:hint="eastAsia"/>
        </w:rPr>
        <w:t>、</w:t>
      </w:r>
      <w:r>
        <w:t>NH₃</w:t>
      </w:r>
      <w:r>
        <w:rPr>
          <w:rFonts w:hint="eastAsia"/>
        </w:rPr>
        <w:t>、</w:t>
      </w:r>
      <w:r>
        <w:t>H₂S</w:t>
      </w:r>
      <w:r>
        <w:rPr>
          <w:rFonts w:hint="eastAsia"/>
        </w:rPr>
        <w:t>等）现场快速监的技术要求、检测方法、质量控制、数据管理与报告及安全要求内容。</w:t>
      </w:r>
    </w:p>
    <w:p w14:paraId="01413192">
      <w:pPr>
        <w:pStyle w:val="56"/>
        <w:spacing w:line="360" w:lineRule="auto"/>
        <w:ind w:firstLine="420"/>
      </w:pPr>
      <w:r>
        <w:rPr>
          <w:rFonts w:hint="eastAsia"/>
        </w:rPr>
        <w:t>本文件涵盖设备性能、检测方法、质控流程、数据管理及安全操作等全环节技术要求，适用于环境应急监测、污染源定位、移动巡检及科研场景。</w:t>
      </w:r>
    </w:p>
    <w:p w14:paraId="3D175467">
      <w:pPr>
        <w:pStyle w:val="104"/>
        <w:spacing w:before="240" w:after="240" w:line="360" w:lineRule="auto"/>
      </w:pPr>
      <w:bookmarkStart w:id="41" w:name="_Toc26986772"/>
      <w:bookmarkStart w:id="42" w:name="_Toc97192965"/>
      <w:bookmarkStart w:id="43" w:name="_Toc193098572"/>
      <w:bookmarkStart w:id="44" w:name="_Toc26986531"/>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EAF888B4AB0B40A0810257FEFD6332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30DCD42">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3883A1E">
      <w:pPr>
        <w:pStyle w:val="56"/>
        <w:spacing w:line="360" w:lineRule="auto"/>
        <w:ind w:firstLine="420"/>
      </w:pPr>
      <w:r>
        <w:t>GB 3095</w:t>
      </w:r>
      <w:r>
        <w:rPr>
          <w:rFonts w:hint="eastAsia"/>
        </w:rPr>
        <w:t>—</w:t>
      </w:r>
      <w:r>
        <w:t>20</w:t>
      </w:r>
      <w:r>
        <w:rPr>
          <w:rFonts w:hint="eastAsia"/>
        </w:rPr>
        <w:t>12</w:t>
      </w:r>
      <w:r>
        <w:t xml:space="preserve"> </w:t>
      </w:r>
      <w:r>
        <w:rPr>
          <w:rFonts w:hint="eastAsia"/>
        </w:rPr>
        <w:t>环境空气质量标准</w:t>
      </w:r>
    </w:p>
    <w:p w14:paraId="1C2A3BE9">
      <w:pPr>
        <w:pStyle w:val="104"/>
        <w:spacing w:before="240" w:after="240" w:line="360" w:lineRule="auto"/>
      </w:pPr>
      <w:bookmarkStart w:id="46" w:name="_Toc97192966"/>
      <w:bookmarkStart w:id="47" w:name="_Toc193098573"/>
      <w:r>
        <w:rPr>
          <w:rFonts w:hint="eastAsia"/>
          <w:szCs w:val="21"/>
        </w:rPr>
        <w:t>术语和定义</w:t>
      </w:r>
      <w:bookmarkEnd w:id="46"/>
      <w:bookmarkEnd w:id="47"/>
    </w:p>
    <w:sdt>
      <w:sdtPr>
        <w:id w:val="-1909835108"/>
        <w:placeholder>
          <w:docPart w:val="647740FC4962444495E29952A55D0E2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B49172A">
          <w:pPr>
            <w:pStyle w:val="56"/>
            <w:spacing w:line="360" w:lineRule="auto"/>
            <w:ind w:firstLine="420"/>
          </w:pPr>
          <w:bookmarkStart w:id="48" w:name="_Toc26986532"/>
          <w:bookmarkEnd w:id="48"/>
          <w:r>
            <w:t>GB 3095—2012界定的以及下列术语和定义适用于本文件。</w:t>
          </w:r>
        </w:p>
      </w:sdtContent>
    </w:sdt>
    <w:p w14:paraId="498CCB4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交叉敏感性 </w:t>
      </w:r>
      <w:r>
        <w:rPr>
          <w:rFonts w:ascii="黑体" w:hAnsi="黑体" w:eastAsia="黑体"/>
        </w:rPr>
        <w:t xml:space="preserve">cross </w:t>
      </w:r>
      <w:r>
        <w:rPr>
          <w:rFonts w:hint="eastAsia" w:ascii="黑体" w:hAnsi="黑体" w:eastAsia="黑体"/>
        </w:rPr>
        <w:t>s</w:t>
      </w:r>
      <w:r>
        <w:rPr>
          <w:rFonts w:ascii="黑体" w:hAnsi="黑体" w:eastAsia="黑体"/>
        </w:rPr>
        <w:t>ensitivity</w:t>
      </w:r>
    </w:p>
    <w:p w14:paraId="396039AA">
      <w:pPr>
        <w:pStyle w:val="56"/>
        <w:spacing w:line="360" w:lineRule="auto"/>
        <w:ind w:firstLine="420"/>
      </w:pPr>
      <w:r>
        <w:rPr>
          <w:rFonts w:hint="eastAsia"/>
        </w:rPr>
        <w:t>非目标污染物（如</w:t>
      </w:r>
      <w:r>
        <w:t>CO</w:t>
      </w:r>
      <w:r>
        <w:rPr>
          <w:rFonts w:hint="eastAsia"/>
        </w:rPr>
        <w:t>对</w:t>
      </w:r>
      <w:r>
        <w:t>NO₂</w:t>
      </w:r>
      <w:r>
        <w:rPr>
          <w:rFonts w:hint="eastAsia"/>
        </w:rPr>
        <w:t>传感器的干扰）引起的检测偏差。</w:t>
      </w:r>
    </w:p>
    <w:p w14:paraId="47179AD7">
      <w:pPr>
        <w:pStyle w:val="104"/>
        <w:spacing w:before="240" w:after="240" w:line="360" w:lineRule="auto"/>
      </w:pPr>
      <w:bookmarkStart w:id="49" w:name="_Toc193098574"/>
      <w:r>
        <w:rPr>
          <w:rFonts w:hint="eastAsia"/>
        </w:rPr>
        <w:t>技术要求</w:t>
      </w:r>
      <w:bookmarkEnd w:id="49"/>
    </w:p>
    <w:p w14:paraId="5D6C1A77">
      <w:pPr>
        <w:pStyle w:val="105"/>
        <w:spacing w:before="120" w:after="120" w:line="360" w:lineRule="auto"/>
      </w:pPr>
      <w:r>
        <w:rPr>
          <w:rFonts w:hint="eastAsia"/>
        </w:rPr>
        <w:t>设备性能指标</w:t>
      </w:r>
    </w:p>
    <w:p w14:paraId="56CD13C8">
      <w:pPr>
        <w:pStyle w:val="56"/>
        <w:spacing w:line="360" w:lineRule="auto"/>
        <w:ind w:firstLine="420"/>
      </w:pPr>
      <w:r>
        <w:rPr>
          <w:rFonts w:hint="eastAsia"/>
        </w:rPr>
        <w:t>设备性能相关指标见表1。</w:t>
      </w:r>
    </w:p>
    <w:p w14:paraId="448385B9">
      <w:pPr>
        <w:pStyle w:val="56"/>
        <w:spacing w:line="360" w:lineRule="auto"/>
        <w:ind w:firstLine="0" w:firstLineChars="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设备性能指标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723DA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vAlign w:val="center"/>
          </w:tcPr>
          <w:p w14:paraId="157E55D8">
            <w:pPr>
              <w:pStyle w:val="178"/>
              <w:rPr>
                <w:rFonts w:hAnsi="宋体"/>
              </w:rPr>
            </w:pPr>
            <w:r>
              <w:rPr>
                <w:rFonts w:hAnsi="宋体"/>
              </w:rPr>
              <w:t>污染物</w:t>
            </w:r>
          </w:p>
        </w:tc>
        <w:tc>
          <w:tcPr>
            <w:tcW w:w="2333" w:type="dxa"/>
            <w:tcBorders>
              <w:top w:val="single" w:color="auto" w:sz="8" w:space="0"/>
              <w:bottom w:val="single" w:color="auto" w:sz="8" w:space="0"/>
            </w:tcBorders>
            <w:shd w:val="clear" w:color="auto" w:fill="auto"/>
            <w:vAlign w:val="center"/>
          </w:tcPr>
          <w:p w14:paraId="2AAFF44B">
            <w:pPr>
              <w:pStyle w:val="178"/>
              <w:rPr>
                <w:rFonts w:hAnsi="宋体"/>
              </w:rPr>
            </w:pPr>
            <w:r>
              <w:rPr>
                <w:rFonts w:hAnsi="宋体"/>
              </w:rPr>
              <w:t>检出限（LOD）</w:t>
            </w:r>
          </w:p>
        </w:tc>
        <w:tc>
          <w:tcPr>
            <w:tcW w:w="2333" w:type="dxa"/>
            <w:tcBorders>
              <w:top w:val="single" w:color="auto" w:sz="8" w:space="0"/>
              <w:bottom w:val="single" w:color="auto" w:sz="8" w:space="0"/>
            </w:tcBorders>
            <w:shd w:val="clear" w:color="auto" w:fill="auto"/>
            <w:vAlign w:val="center"/>
          </w:tcPr>
          <w:p w14:paraId="3B3BBD42">
            <w:pPr>
              <w:pStyle w:val="178"/>
              <w:rPr>
                <w:rFonts w:hAnsi="宋体"/>
              </w:rPr>
            </w:pPr>
            <w:r>
              <w:rPr>
                <w:rFonts w:hAnsi="宋体"/>
              </w:rPr>
              <w:t>量程范围</w:t>
            </w:r>
          </w:p>
        </w:tc>
        <w:tc>
          <w:tcPr>
            <w:tcW w:w="2334" w:type="dxa"/>
            <w:tcBorders>
              <w:top w:val="single" w:color="auto" w:sz="8" w:space="0"/>
              <w:bottom w:val="single" w:color="auto" w:sz="8" w:space="0"/>
            </w:tcBorders>
            <w:shd w:val="clear" w:color="auto" w:fill="auto"/>
            <w:vAlign w:val="center"/>
          </w:tcPr>
          <w:p w14:paraId="7DD868E9">
            <w:pPr>
              <w:pStyle w:val="178"/>
              <w:rPr>
                <w:rFonts w:hAnsi="宋体"/>
              </w:rPr>
            </w:pPr>
            <w:r>
              <w:rPr>
                <w:rFonts w:hAnsi="宋体"/>
              </w:rPr>
              <w:t>响应时间（T90）</w:t>
            </w:r>
          </w:p>
        </w:tc>
      </w:tr>
      <w:tr w14:paraId="46E6E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vAlign w:val="center"/>
          </w:tcPr>
          <w:p w14:paraId="4348290F">
            <w:pPr>
              <w:pStyle w:val="178"/>
              <w:rPr>
                <w:rFonts w:hAnsi="宋体"/>
              </w:rPr>
            </w:pPr>
            <w:r>
              <w:rPr>
                <w:rFonts w:hAnsi="宋体"/>
              </w:rPr>
              <w:t>PM2.5</w:t>
            </w:r>
          </w:p>
        </w:tc>
        <w:tc>
          <w:tcPr>
            <w:tcW w:w="2333" w:type="dxa"/>
            <w:tcBorders>
              <w:top w:val="single" w:color="auto" w:sz="8" w:space="0"/>
            </w:tcBorders>
            <w:shd w:val="clear" w:color="auto" w:fill="auto"/>
            <w:vAlign w:val="center"/>
          </w:tcPr>
          <w:p w14:paraId="425C0B2D">
            <w:pPr>
              <w:pStyle w:val="178"/>
              <w:rPr>
                <w:rFonts w:hAnsi="宋体"/>
              </w:rPr>
            </w:pPr>
            <w:r>
              <w:rPr>
                <w:rFonts w:hAnsi="宋体"/>
              </w:rPr>
              <w:t>≤1 μg/m</w:t>
            </w:r>
            <w:r>
              <w:rPr>
                <w:rFonts w:hAnsi="宋体" w:cs="Calibri"/>
              </w:rPr>
              <w:t>³</w:t>
            </w:r>
          </w:p>
        </w:tc>
        <w:tc>
          <w:tcPr>
            <w:tcW w:w="2333" w:type="dxa"/>
            <w:tcBorders>
              <w:top w:val="single" w:color="auto" w:sz="8" w:space="0"/>
            </w:tcBorders>
            <w:shd w:val="clear" w:color="auto" w:fill="auto"/>
            <w:vAlign w:val="center"/>
          </w:tcPr>
          <w:p w14:paraId="6025984F">
            <w:pPr>
              <w:pStyle w:val="178"/>
              <w:rPr>
                <w:rFonts w:hAnsi="宋体"/>
              </w:rPr>
            </w:pPr>
            <w:r>
              <w:rPr>
                <w:rFonts w:hAnsi="宋体"/>
              </w:rPr>
              <w:t>0</w:t>
            </w:r>
            <w:r>
              <w:rPr>
                <w:rFonts w:hint="eastAsia" w:hAnsi="宋体"/>
              </w:rPr>
              <w:t>～</w:t>
            </w:r>
            <w:r>
              <w:rPr>
                <w:rFonts w:hAnsi="宋体"/>
              </w:rPr>
              <w:t>1000 μg/m</w:t>
            </w:r>
            <w:r>
              <w:rPr>
                <w:rFonts w:hAnsi="宋体" w:cs="Calibri"/>
              </w:rPr>
              <w:t>³</w:t>
            </w:r>
          </w:p>
        </w:tc>
        <w:tc>
          <w:tcPr>
            <w:tcW w:w="2334" w:type="dxa"/>
            <w:tcBorders>
              <w:top w:val="single" w:color="auto" w:sz="8" w:space="0"/>
            </w:tcBorders>
            <w:shd w:val="clear" w:color="auto" w:fill="auto"/>
            <w:vAlign w:val="center"/>
          </w:tcPr>
          <w:p w14:paraId="1D50FC2C">
            <w:pPr>
              <w:pStyle w:val="178"/>
              <w:rPr>
                <w:rFonts w:hAnsi="宋体"/>
              </w:rPr>
            </w:pPr>
            <w:r>
              <w:rPr>
                <w:rFonts w:hAnsi="宋体"/>
              </w:rPr>
              <w:t>≤60 s</w:t>
            </w:r>
          </w:p>
        </w:tc>
      </w:tr>
      <w:tr w14:paraId="04988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230F6295">
            <w:pPr>
              <w:pStyle w:val="178"/>
              <w:rPr>
                <w:rFonts w:hAnsi="宋体"/>
              </w:rPr>
            </w:pPr>
            <w:r>
              <w:rPr>
                <w:rFonts w:hAnsi="宋体"/>
              </w:rPr>
              <w:t>NO</w:t>
            </w:r>
            <w:r>
              <w:rPr>
                <w:rFonts w:ascii="Times New Roman"/>
              </w:rPr>
              <w:t>₂</w:t>
            </w:r>
          </w:p>
        </w:tc>
        <w:tc>
          <w:tcPr>
            <w:tcW w:w="2333" w:type="dxa"/>
            <w:shd w:val="clear" w:color="auto" w:fill="auto"/>
            <w:vAlign w:val="center"/>
          </w:tcPr>
          <w:p w14:paraId="2045AB6C">
            <w:pPr>
              <w:pStyle w:val="178"/>
              <w:rPr>
                <w:rFonts w:hAnsi="宋体"/>
              </w:rPr>
            </w:pPr>
            <w:r>
              <w:rPr>
                <w:rFonts w:hAnsi="宋体"/>
              </w:rPr>
              <w:t>≤2 ppb</w:t>
            </w:r>
          </w:p>
        </w:tc>
        <w:tc>
          <w:tcPr>
            <w:tcW w:w="2333" w:type="dxa"/>
            <w:shd w:val="clear" w:color="auto" w:fill="auto"/>
            <w:vAlign w:val="center"/>
          </w:tcPr>
          <w:p w14:paraId="2BCE180A">
            <w:pPr>
              <w:pStyle w:val="178"/>
              <w:rPr>
                <w:rFonts w:hAnsi="宋体"/>
              </w:rPr>
            </w:pPr>
            <w:r>
              <w:rPr>
                <w:rFonts w:hAnsi="宋体"/>
              </w:rPr>
              <w:t>0</w:t>
            </w:r>
            <w:r>
              <w:rPr>
                <w:rFonts w:hint="eastAsia" w:hAnsi="宋体"/>
              </w:rPr>
              <w:t>～</w:t>
            </w:r>
            <w:r>
              <w:rPr>
                <w:rFonts w:hAnsi="宋体"/>
              </w:rPr>
              <w:t>500 ppb</w:t>
            </w:r>
          </w:p>
        </w:tc>
        <w:tc>
          <w:tcPr>
            <w:tcW w:w="2334" w:type="dxa"/>
            <w:shd w:val="clear" w:color="auto" w:fill="auto"/>
            <w:vAlign w:val="center"/>
          </w:tcPr>
          <w:p w14:paraId="1C7D0E41">
            <w:pPr>
              <w:pStyle w:val="178"/>
              <w:rPr>
                <w:rFonts w:hAnsi="宋体"/>
              </w:rPr>
            </w:pPr>
            <w:r>
              <w:rPr>
                <w:rFonts w:hAnsi="宋体"/>
              </w:rPr>
              <w:t>≤120 s</w:t>
            </w:r>
          </w:p>
        </w:tc>
      </w:tr>
      <w:tr w14:paraId="659CC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bottom w:val="single" w:color="auto" w:sz="8" w:space="0"/>
            </w:tcBorders>
            <w:shd w:val="clear" w:color="auto" w:fill="auto"/>
            <w:vAlign w:val="center"/>
          </w:tcPr>
          <w:p w14:paraId="6A60D094">
            <w:pPr>
              <w:pStyle w:val="178"/>
              <w:rPr>
                <w:rFonts w:hAnsi="宋体"/>
              </w:rPr>
            </w:pPr>
            <w:r>
              <w:rPr>
                <w:rFonts w:hAnsi="宋体"/>
              </w:rPr>
              <w:t>VOCs</w:t>
            </w:r>
          </w:p>
        </w:tc>
        <w:tc>
          <w:tcPr>
            <w:tcW w:w="2333" w:type="dxa"/>
            <w:tcBorders>
              <w:bottom w:val="single" w:color="auto" w:sz="8" w:space="0"/>
            </w:tcBorders>
            <w:shd w:val="clear" w:color="auto" w:fill="auto"/>
            <w:vAlign w:val="center"/>
          </w:tcPr>
          <w:p w14:paraId="1F2EA23F">
            <w:pPr>
              <w:pStyle w:val="178"/>
              <w:rPr>
                <w:rFonts w:hAnsi="宋体"/>
              </w:rPr>
            </w:pPr>
            <w:r>
              <w:rPr>
                <w:rFonts w:hAnsi="宋体"/>
              </w:rPr>
              <w:t>≤10 μg/m</w:t>
            </w:r>
            <w:r>
              <w:rPr>
                <w:rFonts w:hAnsi="宋体" w:cs="Calibri"/>
              </w:rPr>
              <w:t>³</w:t>
            </w:r>
            <w:r>
              <w:rPr>
                <w:rFonts w:hAnsi="宋体"/>
              </w:rPr>
              <w:t>（以苯计）</w:t>
            </w:r>
          </w:p>
        </w:tc>
        <w:tc>
          <w:tcPr>
            <w:tcW w:w="2333" w:type="dxa"/>
            <w:tcBorders>
              <w:bottom w:val="single" w:color="auto" w:sz="8" w:space="0"/>
            </w:tcBorders>
            <w:shd w:val="clear" w:color="auto" w:fill="auto"/>
            <w:vAlign w:val="center"/>
          </w:tcPr>
          <w:p w14:paraId="5B13149D">
            <w:pPr>
              <w:pStyle w:val="178"/>
              <w:rPr>
                <w:rFonts w:hAnsi="宋体"/>
              </w:rPr>
            </w:pPr>
            <w:r>
              <w:rPr>
                <w:rFonts w:hAnsi="宋体"/>
              </w:rPr>
              <w:t>0</w:t>
            </w:r>
            <w:r>
              <w:rPr>
                <w:rFonts w:hint="eastAsia" w:hAnsi="宋体"/>
              </w:rPr>
              <w:t>～</w:t>
            </w:r>
            <w:r>
              <w:rPr>
                <w:rFonts w:hAnsi="宋体"/>
              </w:rPr>
              <w:t>10 mg/m</w:t>
            </w:r>
            <w:r>
              <w:rPr>
                <w:rFonts w:hAnsi="宋体" w:cs="Calibri"/>
              </w:rPr>
              <w:t>³</w:t>
            </w:r>
          </w:p>
        </w:tc>
        <w:tc>
          <w:tcPr>
            <w:tcW w:w="2334" w:type="dxa"/>
            <w:tcBorders>
              <w:bottom w:val="single" w:color="auto" w:sz="8" w:space="0"/>
            </w:tcBorders>
            <w:shd w:val="clear" w:color="auto" w:fill="auto"/>
            <w:vAlign w:val="center"/>
          </w:tcPr>
          <w:p w14:paraId="060AC10D">
            <w:pPr>
              <w:pStyle w:val="178"/>
              <w:rPr>
                <w:rFonts w:hAnsi="宋体"/>
              </w:rPr>
            </w:pPr>
            <w:r>
              <w:rPr>
                <w:rFonts w:hAnsi="宋体"/>
              </w:rPr>
              <w:t>≤30 s</w:t>
            </w:r>
          </w:p>
        </w:tc>
      </w:tr>
      <w:tr w14:paraId="57AD7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shd w:val="clear" w:color="auto" w:fill="auto"/>
            <w:vAlign w:val="center"/>
          </w:tcPr>
          <w:p w14:paraId="0CBD5D35">
            <w:pPr>
              <w:pStyle w:val="178"/>
              <w:rPr>
                <w:rFonts w:hAnsi="宋体"/>
              </w:rPr>
            </w:pPr>
            <w:r>
              <w:rPr>
                <w:rFonts w:hint="eastAsia" w:ascii="黑体" w:hAnsi="黑体" w:eastAsia="黑体"/>
              </w:rPr>
              <w:t>注：</w:t>
            </w:r>
            <w:r>
              <w:rPr>
                <w:rFonts w:hAnsi="宋体"/>
              </w:rPr>
              <w:t>通用要求：温度补偿范围-20℃~50℃，湿度补偿范围10%</w:t>
            </w:r>
            <w:r>
              <w:rPr>
                <w:rFonts w:hint="eastAsia" w:hAnsi="宋体"/>
              </w:rPr>
              <w:t>～</w:t>
            </w:r>
            <w:r>
              <w:rPr>
                <w:rFonts w:hAnsi="宋体"/>
              </w:rPr>
              <w:t>95% RH，防护等级≥IP65。</w:t>
            </w:r>
          </w:p>
        </w:tc>
      </w:tr>
    </w:tbl>
    <w:p w14:paraId="6A89713C">
      <w:pPr>
        <w:pStyle w:val="105"/>
        <w:spacing w:before="120" w:after="120" w:line="360" w:lineRule="auto"/>
      </w:pPr>
      <w:r>
        <w:rPr>
          <w:rFonts w:hint="eastAsia"/>
        </w:rPr>
        <w:t>校准与溯源</w:t>
      </w:r>
    </w:p>
    <w:p w14:paraId="35CA0D19">
      <w:pPr>
        <w:pStyle w:val="56"/>
        <w:spacing w:line="360" w:lineRule="auto"/>
        <w:ind w:firstLine="420"/>
      </w:pPr>
      <w:r>
        <w:rPr>
          <w:rFonts w:hint="eastAsia"/>
        </w:rPr>
        <w:t>初始校准：出厂前需通过</w:t>
      </w:r>
      <w:r>
        <w:t>CNAS</w:t>
      </w:r>
      <w:r>
        <w:rPr>
          <w:rFonts w:hint="eastAsia"/>
        </w:rPr>
        <w:t>认可实验室的全程多点校准（至少</w:t>
      </w:r>
      <w:r>
        <w:t>5</w:t>
      </w:r>
      <w:r>
        <w:rPr>
          <w:rFonts w:hint="eastAsia"/>
        </w:rPr>
        <w:t>个浓度点）；</w:t>
      </w:r>
    </w:p>
    <w:p w14:paraId="23654D0E">
      <w:pPr>
        <w:pStyle w:val="56"/>
        <w:spacing w:line="360" w:lineRule="auto"/>
        <w:ind w:firstLine="420"/>
      </w:pPr>
      <w:r>
        <w:rPr>
          <w:rFonts w:hint="eastAsia"/>
        </w:rPr>
        <w:t>现场校准：每日开机后执行零点</w:t>
      </w:r>
      <w:r>
        <w:t>/</w:t>
      </w:r>
      <w:r>
        <w:rPr>
          <w:rFonts w:hint="eastAsia"/>
        </w:rPr>
        <w:t>跨度校准，使用</w:t>
      </w:r>
      <w:r>
        <w:t>NIST</w:t>
      </w:r>
      <w:r>
        <w:rPr>
          <w:rFonts w:hint="eastAsia"/>
        </w:rPr>
        <w:t>或</w:t>
      </w:r>
      <w:r>
        <w:t>CRM</w:t>
      </w:r>
      <w:r>
        <w:rPr>
          <w:rFonts w:hint="eastAsia"/>
        </w:rPr>
        <w:t>标准气体（不确定度≤</w:t>
      </w:r>
      <w:r>
        <w:t>2%</w:t>
      </w:r>
      <w:r>
        <w:rPr>
          <w:rFonts w:hint="eastAsia"/>
        </w:rPr>
        <w:t>）；</w:t>
      </w:r>
    </w:p>
    <w:p w14:paraId="0049C4D1">
      <w:pPr>
        <w:pStyle w:val="56"/>
        <w:spacing w:line="360" w:lineRule="auto"/>
        <w:ind w:firstLine="420"/>
      </w:pPr>
      <w:r>
        <w:rPr>
          <w:rFonts w:hint="eastAsia"/>
        </w:rPr>
        <w:t>量值溯源：传感器需每年返厂进行光谱</w:t>
      </w:r>
      <w:r>
        <w:t>/</w:t>
      </w:r>
      <w:r>
        <w:rPr>
          <w:rFonts w:hint="eastAsia"/>
        </w:rPr>
        <w:t>电化学基准标定，校准记录保存≥</w:t>
      </w:r>
      <w:r>
        <w:t>5</w:t>
      </w:r>
      <w:r>
        <w:rPr>
          <w:rFonts w:hint="eastAsia"/>
        </w:rPr>
        <w:t>年。</w:t>
      </w:r>
    </w:p>
    <w:p w14:paraId="29103848">
      <w:pPr>
        <w:pStyle w:val="105"/>
        <w:spacing w:before="120" w:after="120" w:line="360" w:lineRule="auto"/>
      </w:pPr>
      <w:r>
        <w:rPr>
          <w:rFonts w:hint="eastAsia"/>
        </w:rPr>
        <w:t>数据采集与传输</w:t>
      </w:r>
    </w:p>
    <w:p w14:paraId="6E4BD807">
      <w:pPr>
        <w:pStyle w:val="56"/>
        <w:spacing w:line="360" w:lineRule="auto"/>
        <w:ind w:firstLine="420"/>
      </w:pPr>
      <w:r>
        <w:rPr>
          <w:rFonts w:hint="eastAsia"/>
        </w:rPr>
        <w:t>设备内置GPS定位及气象参数（温湿度、气压）同步采集模块。</w:t>
      </w:r>
    </w:p>
    <w:p w14:paraId="6EAB83C5">
      <w:pPr>
        <w:pStyle w:val="56"/>
        <w:spacing w:line="360" w:lineRule="auto"/>
        <w:ind w:firstLine="420"/>
      </w:pPr>
      <w:r>
        <w:rPr>
          <w:rFonts w:hint="eastAsia"/>
        </w:rPr>
        <w:t>数据存储容量≥10万组，支持蓝牙/WiFi/4G实时传输，符合Modbus或HJ 212协议。</w:t>
      </w:r>
    </w:p>
    <w:p w14:paraId="44EB06E4">
      <w:pPr>
        <w:pStyle w:val="56"/>
        <w:spacing w:line="360" w:lineRule="auto"/>
        <w:ind w:firstLine="420"/>
      </w:pPr>
      <w:r>
        <w:rPr>
          <w:rFonts w:hint="eastAsia"/>
        </w:rPr>
        <w:t>原始数据文件加密，防篡改设计（哈希算法校验）。</w:t>
      </w:r>
    </w:p>
    <w:p w14:paraId="07742915">
      <w:pPr>
        <w:pStyle w:val="104"/>
        <w:spacing w:before="240" w:after="240" w:line="360" w:lineRule="auto"/>
      </w:pPr>
      <w:bookmarkStart w:id="50" w:name="_Toc193098575"/>
      <w:r>
        <w:rPr>
          <w:rFonts w:hint="eastAsia"/>
        </w:rPr>
        <w:t>检测方法</w:t>
      </w:r>
      <w:bookmarkEnd w:id="50"/>
    </w:p>
    <w:p w14:paraId="0E58AC5A">
      <w:pPr>
        <w:pStyle w:val="105"/>
        <w:spacing w:before="120" w:after="120" w:line="360" w:lineRule="auto"/>
      </w:pPr>
      <w:r>
        <w:rPr>
          <w:rFonts w:hint="eastAsia"/>
        </w:rPr>
        <w:t>检测模式选择</w:t>
      </w:r>
    </w:p>
    <w:p w14:paraId="7AD8A221">
      <w:pPr>
        <w:pStyle w:val="56"/>
        <w:spacing w:line="360" w:lineRule="auto"/>
        <w:ind w:firstLine="420"/>
      </w:pPr>
      <w:r>
        <w:rPr>
          <w:rFonts w:hint="eastAsia"/>
        </w:rPr>
        <w:t>瞬时检测模式：适用于污染源快速筛查（如</w:t>
      </w:r>
      <w:r>
        <w:t>PID</w:t>
      </w:r>
      <w:r>
        <w:rPr>
          <w:rFonts w:hint="eastAsia"/>
        </w:rPr>
        <w:t>法测</w:t>
      </w:r>
      <w:r>
        <w:t>VOCs</w:t>
      </w:r>
      <w:r>
        <w:rPr>
          <w:rFonts w:hint="eastAsia"/>
        </w:rPr>
        <w:t>）。</w:t>
      </w:r>
    </w:p>
    <w:p w14:paraId="63D0B6FC">
      <w:pPr>
        <w:pStyle w:val="56"/>
        <w:spacing w:line="360" w:lineRule="auto"/>
        <w:ind w:firstLine="420"/>
      </w:pPr>
      <w:r>
        <w:rPr>
          <w:rFonts w:hint="eastAsia"/>
        </w:rPr>
        <w:t>连续监测模式：最小积分时间≤</w:t>
      </w:r>
      <w:r>
        <w:t>1 min</w:t>
      </w:r>
      <w:r>
        <w:rPr>
          <w:rFonts w:hint="eastAsia"/>
        </w:rPr>
        <w:t>，用于趋势分析。</w:t>
      </w:r>
    </w:p>
    <w:p w14:paraId="5908CA12">
      <w:pPr>
        <w:pStyle w:val="105"/>
        <w:spacing w:before="120" w:after="120" w:line="360" w:lineRule="auto"/>
      </w:pPr>
      <w:r>
        <w:rPr>
          <w:rFonts w:hint="eastAsia"/>
        </w:rPr>
        <w:t>采样系统</w:t>
      </w:r>
    </w:p>
    <w:p w14:paraId="413CFD4A">
      <w:pPr>
        <w:pStyle w:val="56"/>
        <w:spacing w:line="360" w:lineRule="auto"/>
        <w:ind w:firstLine="420"/>
      </w:pPr>
      <w:r>
        <w:rPr>
          <w:rFonts w:hint="eastAsia"/>
        </w:rPr>
        <w:t>颗粒物采样：采用动态加热（</w:t>
      </w:r>
      <w:r>
        <w:t>50</w:t>
      </w:r>
      <w:r>
        <w:rPr>
          <w:rFonts w:hint="eastAsia"/>
        </w:rPr>
        <w:t>℃）稀释通道，消除湿度干扰。</w:t>
      </w:r>
    </w:p>
    <w:p w14:paraId="5BCDD72C">
      <w:pPr>
        <w:pStyle w:val="56"/>
        <w:spacing w:line="360" w:lineRule="auto"/>
        <w:ind w:firstLine="420"/>
      </w:pPr>
      <w:r>
        <w:rPr>
          <w:rFonts w:hint="eastAsia"/>
        </w:rPr>
        <w:t>气态污染物采样：配置聚四氟乙烯滤膜（孔径≤</w:t>
      </w:r>
      <w:r>
        <w:t>0.45 μm</w:t>
      </w:r>
      <w:r>
        <w:rPr>
          <w:rFonts w:hint="eastAsia"/>
        </w:rPr>
        <w:t>）及疏水膜，防止颗粒物及水汽干扰。</w:t>
      </w:r>
    </w:p>
    <w:p w14:paraId="02C4A448">
      <w:pPr>
        <w:pStyle w:val="105"/>
        <w:spacing w:before="120" w:after="120" w:line="360" w:lineRule="auto"/>
      </w:pPr>
      <w:r>
        <w:rPr>
          <w:rFonts w:hint="eastAsia"/>
        </w:rPr>
        <w:t>操作流程</w:t>
      </w:r>
    </w:p>
    <w:p w14:paraId="6023C8A4">
      <w:pPr>
        <w:pStyle w:val="56"/>
        <w:spacing w:line="360" w:lineRule="auto"/>
        <w:ind w:firstLine="420"/>
      </w:pPr>
      <w:r>
        <w:rPr>
          <w:rFonts w:hint="eastAsia"/>
        </w:rPr>
        <w:t>操作流程如下：</w:t>
      </w:r>
    </w:p>
    <w:p w14:paraId="4CDF03D8">
      <w:pPr>
        <w:pStyle w:val="174"/>
        <w:spacing w:line="360" w:lineRule="auto"/>
      </w:pPr>
      <w:r>
        <w:rPr>
          <w:rFonts w:hint="eastAsia"/>
        </w:rPr>
        <w:t>预操作检查：电池电量、传感器寿命、存储空间状态；</w:t>
      </w:r>
    </w:p>
    <w:p w14:paraId="22A35D53">
      <w:pPr>
        <w:pStyle w:val="174"/>
        <w:spacing w:line="360" w:lineRule="auto"/>
      </w:pPr>
      <w:r>
        <w:rPr>
          <w:rFonts w:hint="eastAsia"/>
        </w:rPr>
        <w:t>背景值测定：上风向或清洁区采集本底值，扣除背景干扰；</w:t>
      </w:r>
    </w:p>
    <w:p w14:paraId="703FFA30">
      <w:pPr>
        <w:pStyle w:val="174"/>
        <w:spacing w:line="360" w:lineRule="auto"/>
      </w:pPr>
      <w:r>
        <w:rPr>
          <w:rFonts w:hint="eastAsia"/>
        </w:rPr>
        <w:t>现场检测：</w:t>
      </w:r>
    </w:p>
    <w:p w14:paraId="616DF6C0">
      <w:pPr>
        <w:pStyle w:val="187"/>
        <w:spacing w:line="360" w:lineRule="auto"/>
      </w:pPr>
      <w:r>
        <w:rPr>
          <w:rFonts w:hint="eastAsia"/>
        </w:rPr>
        <w:t>固定点监测：采样高度1.5±0.2 m，避开障碍物≥1 m；</w:t>
      </w:r>
    </w:p>
    <w:p w14:paraId="52A01291">
      <w:pPr>
        <w:pStyle w:val="187"/>
        <w:spacing w:line="360" w:lineRule="auto"/>
      </w:pPr>
      <w:r>
        <w:rPr>
          <w:rFonts w:hint="eastAsia"/>
        </w:rPr>
        <w:t>移动监测：匀速行走（≤5 km/h），每10秒记录1组数据；</w:t>
      </w:r>
    </w:p>
    <w:p w14:paraId="61F53750">
      <w:pPr>
        <w:pStyle w:val="187"/>
        <w:spacing w:line="360" w:lineRule="auto"/>
      </w:pPr>
      <w:r>
        <w:rPr>
          <w:rFonts w:hint="eastAsia"/>
        </w:rPr>
        <w:t>异常处理：数据突变（如浓度梯度＞</w:t>
      </w:r>
      <w:r>
        <w:t>50%</w:t>
      </w:r>
      <w:r>
        <w:rPr>
          <w:rFonts w:hint="eastAsia"/>
        </w:rPr>
        <w:t>）时，重新定位采样并记录工况。</w:t>
      </w:r>
    </w:p>
    <w:p w14:paraId="1757F4D2">
      <w:pPr>
        <w:pStyle w:val="104"/>
        <w:spacing w:before="240" w:after="240" w:line="360" w:lineRule="auto"/>
      </w:pPr>
      <w:bookmarkStart w:id="51" w:name="_Toc193098576"/>
      <w:r>
        <w:rPr>
          <w:rFonts w:hint="eastAsia"/>
        </w:rPr>
        <w:t>质量控制</w:t>
      </w:r>
      <w:bookmarkEnd w:id="51"/>
    </w:p>
    <w:p w14:paraId="2457E053">
      <w:pPr>
        <w:pStyle w:val="105"/>
        <w:spacing w:before="120" w:after="120" w:line="360" w:lineRule="auto"/>
      </w:pPr>
      <w:r>
        <w:rPr>
          <w:rFonts w:hint="eastAsia"/>
        </w:rPr>
        <w:t>实验室比对</w:t>
      </w:r>
    </w:p>
    <w:p w14:paraId="5A45A74B">
      <w:pPr>
        <w:pStyle w:val="56"/>
        <w:spacing w:line="360" w:lineRule="auto"/>
        <w:ind w:firstLine="420"/>
      </w:pPr>
      <w:r>
        <w:rPr>
          <w:rFonts w:hint="eastAsia"/>
        </w:rPr>
        <w:t>每月抽取10%现场数据，与GC-MS/FID（VOCs）、β射线法（PM2.5）等实验室方法比对，相对偏差应≤25%；</w:t>
      </w:r>
    </w:p>
    <w:p w14:paraId="3D2FCB9A">
      <w:pPr>
        <w:pStyle w:val="56"/>
        <w:spacing w:line="360" w:lineRule="auto"/>
        <w:ind w:firstLine="420"/>
      </w:pPr>
      <w:r>
        <w:rPr>
          <w:rFonts w:hint="eastAsia"/>
        </w:rPr>
        <w:t>使用Bland-Altman分析评估设备一致性。</w:t>
      </w:r>
    </w:p>
    <w:p w14:paraId="6DA2A73D">
      <w:pPr>
        <w:pStyle w:val="105"/>
        <w:spacing w:before="120" w:after="120" w:line="360" w:lineRule="auto"/>
      </w:pPr>
      <w:r>
        <w:rPr>
          <w:rFonts w:hint="eastAsia"/>
        </w:rPr>
        <w:t>现场质控措施</w:t>
      </w:r>
    </w:p>
    <w:p w14:paraId="13F6B644">
      <w:pPr>
        <w:pStyle w:val="56"/>
        <w:spacing w:line="360" w:lineRule="auto"/>
        <w:ind w:firstLine="420"/>
      </w:pPr>
      <w:r>
        <w:rPr>
          <w:rFonts w:hint="eastAsia"/>
        </w:rPr>
        <w:t>平行样检测：同一点位两台设备同步采样，相对标准偏差（</w:t>
      </w:r>
      <w:r>
        <w:t>RSD</w:t>
      </w:r>
      <w:r>
        <w:rPr>
          <w:rFonts w:hint="eastAsia"/>
        </w:rPr>
        <w:t>）≤</w:t>
      </w:r>
      <w:r>
        <w:t>15%</w:t>
      </w:r>
      <w:r>
        <w:rPr>
          <w:rFonts w:hint="eastAsia"/>
        </w:rPr>
        <w:t>；</w:t>
      </w:r>
    </w:p>
    <w:p w14:paraId="7ABAFFC7">
      <w:pPr>
        <w:pStyle w:val="56"/>
        <w:spacing w:line="360" w:lineRule="auto"/>
        <w:ind w:firstLine="420"/>
      </w:pPr>
      <w:r>
        <w:rPr>
          <w:rFonts w:hint="eastAsia"/>
        </w:rPr>
        <w:t>加标回收率：注入标准气体，回收率控制在</w:t>
      </w:r>
      <w:r>
        <w:t>80%~120%</w:t>
      </w:r>
      <w:r>
        <w:rPr>
          <w:rFonts w:hint="eastAsia"/>
        </w:rPr>
        <w:t>。</w:t>
      </w:r>
    </w:p>
    <w:p w14:paraId="72F37485">
      <w:pPr>
        <w:pStyle w:val="105"/>
        <w:spacing w:before="120" w:after="120" w:line="360" w:lineRule="auto"/>
      </w:pPr>
      <w:r>
        <w:rPr>
          <w:rFonts w:hint="eastAsia"/>
        </w:rPr>
        <w:t>干扰排除</w:t>
      </w:r>
    </w:p>
    <w:p w14:paraId="00C9FCA5">
      <w:pPr>
        <w:pStyle w:val="56"/>
        <w:spacing w:line="360" w:lineRule="auto"/>
        <w:ind w:firstLine="420"/>
      </w:pPr>
      <w:r>
        <w:rPr>
          <w:rFonts w:hint="eastAsia"/>
        </w:rPr>
        <w:t>温湿度修正：内置补偿算法或查表法修正非标准状态数据；</w:t>
      </w:r>
    </w:p>
    <w:p w14:paraId="5FEDEFD3">
      <w:pPr>
        <w:pStyle w:val="56"/>
        <w:spacing w:line="360" w:lineRule="auto"/>
        <w:ind w:firstLine="420"/>
      </w:pPr>
      <w:r>
        <w:rPr>
          <w:rFonts w:hint="eastAsia"/>
        </w:rPr>
        <w:t>多传感器融合：采用</w:t>
      </w:r>
      <w:r>
        <w:t>PCA</w:t>
      </w:r>
      <w:r>
        <w:rPr>
          <w:rFonts w:hint="eastAsia"/>
        </w:rPr>
        <w:t>或</w:t>
      </w:r>
      <w:r>
        <w:t>PLS</w:t>
      </w:r>
      <w:r>
        <w:rPr>
          <w:rFonts w:hint="eastAsia"/>
        </w:rPr>
        <w:t>算法降低交叉敏感性。</w:t>
      </w:r>
    </w:p>
    <w:p w14:paraId="46166019">
      <w:pPr>
        <w:pStyle w:val="104"/>
        <w:spacing w:before="240" w:after="240" w:line="360" w:lineRule="auto"/>
      </w:pPr>
      <w:bookmarkStart w:id="52" w:name="_Toc193098577"/>
      <w:r>
        <w:rPr>
          <w:rFonts w:hint="eastAsia"/>
        </w:rPr>
        <w:t>数据管理与报告</w:t>
      </w:r>
      <w:bookmarkEnd w:id="52"/>
    </w:p>
    <w:p w14:paraId="63717A58">
      <w:pPr>
        <w:pStyle w:val="105"/>
        <w:spacing w:before="120" w:after="120" w:line="360" w:lineRule="auto"/>
      </w:pPr>
      <w:r>
        <w:rPr>
          <w:rFonts w:hint="eastAsia"/>
        </w:rPr>
        <w:t>数据记录</w:t>
      </w:r>
    </w:p>
    <w:p w14:paraId="136F64F4">
      <w:pPr>
        <w:pStyle w:val="56"/>
        <w:spacing w:line="360" w:lineRule="auto"/>
        <w:ind w:firstLine="420"/>
      </w:pPr>
      <w:r>
        <w:rPr>
          <w:rFonts w:hint="eastAsia"/>
        </w:rPr>
        <w:t>元数据包括：经纬度、海拔、检测时间、气象参数、设备序列号、操作者；</w:t>
      </w:r>
    </w:p>
    <w:p w14:paraId="33809618">
      <w:pPr>
        <w:pStyle w:val="56"/>
        <w:spacing w:line="360" w:lineRule="auto"/>
        <w:ind w:firstLine="420"/>
      </w:pPr>
      <w:r>
        <w:rPr>
          <w:rFonts w:hint="eastAsia"/>
        </w:rPr>
        <w:t>原始数据保留全量波动曲线，不得仅记录平均值。</w:t>
      </w:r>
    </w:p>
    <w:p w14:paraId="670AEC0F">
      <w:pPr>
        <w:pStyle w:val="105"/>
        <w:spacing w:before="120" w:after="120" w:line="360" w:lineRule="auto"/>
      </w:pPr>
      <w:r>
        <w:rPr>
          <w:rFonts w:hint="eastAsia"/>
        </w:rPr>
        <w:t>数据处理</w:t>
      </w:r>
    </w:p>
    <w:p w14:paraId="290EF762">
      <w:pPr>
        <w:pStyle w:val="56"/>
        <w:spacing w:line="360" w:lineRule="auto"/>
        <w:ind w:firstLine="420"/>
      </w:pPr>
      <w:r>
        <w:rPr>
          <w:rFonts w:hint="eastAsia"/>
        </w:rPr>
        <w:t>异常值剔除：采用</w:t>
      </w:r>
      <w:r>
        <w:t>Grubbs</w:t>
      </w:r>
      <w:r>
        <w:rPr>
          <w:rFonts w:hint="eastAsia"/>
        </w:rPr>
        <w:t>检验法（α</w:t>
      </w:r>
      <w:r>
        <w:t>=0.05</w:t>
      </w:r>
      <w:r>
        <w:rPr>
          <w:rFonts w:hint="eastAsia"/>
        </w:rPr>
        <w:t>）排除离群值；</w:t>
      </w:r>
    </w:p>
    <w:p w14:paraId="3E352EB6">
      <w:pPr>
        <w:pStyle w:val="56"/>
        <w:spacing w:line="360" w:lineRule="auto"/>
        <w:ind w:firstLine="420"/>
      </w:pPr>
      <w:r>
        <w:rPr>
          <w:rFonts w:hint="eastAsia"/>
        </w:rPr>
        <w:t>数据修约：浓度值修约至小数点后</w:t>
      </w:r>
      <w:r>
        <w:t>1</w:t>
      </w:r>
      <w:r>
        <w:rPr>
          <w:rFonts w:hint="eastAsia"/>
        </w:rPr>
        <w:t>位（</w:t>
      </w:r>
      <w:r>
        <w:t>PM2.5</w:t>
      </w:r>
      <w:r>
        <w:rPr>
          <w:rFonts w:hint="eastAsia"/>
        </w:rPr>
        <w:t>为整数）。</w:t>
      </w:r>
    </w:p>
    <w:p w14:paraId="194DDA3B">
      <w:pPr>
        <w:pStyle w:val="105"/>
        <w:spacing w:before="120" w:after="120" w:line="360" w:lineRule="auto"/>
      </w:pPr>
      <w:r>
        <w:rPr>
          <w:rFonts w:hint="eastAsia"/>
        </w:rPr>
        <w:t>报告编制</w:t>
      </w:r>
    </w:p>
    <w:p w14:paraId="5AB9C24E">
      <w:pPr>
        <w:pStyle w:val="56"/>
        <w:spacing w:line="360" w:lineRule="auto"/>
        <w:ind w:firstLine="420"/>
      </w:pPr>
      <w:r>
        <w:rPr>
          <w:rFonts w:hint="eastAsia"/>
        </w:rPr>
        <w:t>需包含污染时空分布图、超标倍数计算、不确定度评估（参考GUM方法）；</w:t>
      </w:r>
    </w:p>
    <w:p w14:paraId="235FFF02">
      <w:pPr>
        <w:pStyle w:val="56"/>
        <w:spacing w:line="360" w:lineRule="auto"/>
        <w:ind w:firstLine="420"/>
      </w:pPr>
      <w:r>
        <w:rPr>
          <w:rFonts w:hint="eastAsia"/>
        </w:rPr>
        <w:t>电子报告按HJ 630要求存档，纸质报告签字盖章。</w:t>
      </w:r>
    </w:p>
    <w:p w14:paraId="34C6ACF2">
      <w:pPr>
        <w:pStyle w:val="104"/>
        <w:spacing w:before="240" w:after="240" w:line="360" w:lineRule="auto"/>
      </w:pPr>
      <w:bookmarkStart w:id="53" w:name="_Toc193098578"/>
      <w:r>
        <w:rPr>
          <w:rFonts w:hint="eastAsia"/>
        </w:rPr>
        <w:t>安全要求</w:t>
      </w:r>
      <w:bookmarkEnd w:id="53"/>
    </w:p>
    <w:p w14:paraId="44E582C0">
      <w:pPr>
        <w:pStyle w:val="105"/>
        <w:spacing w:before="120" w:after="120" w:line="360" w:lineRule="auto"/>
      </w:pPr>
      <w:r>
        <w:rPr>
          <w:rFonts w:hint="eastAsia"/>
        </w:rPr>
        <w:t>设备安全</w:t>
      </w:r>
    </w:p>
    <w:p w14:paraId="33D5DA7D">
      <w:pPr>
        <w:pStyle w:val="56"/>
        <w:spacing w:line="360" w:lineRule="auto"/>
        <w:ind w:firstLine="420"/>
      </w:pPr>
      <w:r>
        <w:rPr>
          <w:rFonts w:hint="eastAsia"/>
        </w:rPr>
        <w:t>防爆认证：在易燃易爆环境（如石化园区）使用的设备需符合ATEX/IECEx认证；</w:t>
      </w:r>
    </w:p>
    <w:p w14:paraId="2E2BC5FA">
      <w:pPr>
        <w:pStyle w:val="56"/>
        <w:spacing w:line="360" w:lineRule="auto"/>
        <w:ind w:firstLine="420"/>
      </w:pPr>
      <w:r>
        <w:rPr>
          <w:rFonts w:hint="eastAsia"/>
        </w:rPr>
        <w:t>电磁兼容：通过GB/T 18268.1-2010测试，抗干扰强度≥3 V/m。</w:t>
      </w:r>
    </w:p>
    <w:p w14:paraId="6056D61E">
      <w:pPr>
        <w:pStyle w:val="105"/>
        <w:spacing w:before="120" w:after="120" w:line="360" w:lineRule="auto"/>
      </w:pPr>
      <w:r>
        <w:rPr>
          <w:rFonts w:hint="eastAsia"/>
        </w:rPr>
        <w:t>人员防护</w:t>
      </w:r>
    </w:p>
    <w:p w14:paraId="7E6135FB">
      <w:pPr>
        <w:pStyle w:val="56"/>
        <w:spacing w:line="360" w:lineRule="auto"/>
        <w:ind w:firstLine="420"/>
      </w:pPr>
      <w:r>
        <w:rPr>
          <w:rFonts w:hint="eastAsia"/>
        </w:rPr>
        <w:t>在</w:t>
      </w:r>
      <w:r>
        <w:t>CO</w:t>
      </w:r>
      <w:r>
        <w:rPr>
          <w:rFonts w:hint="eastAsia"/>
        </w:rPr>
        <w:t>＞</w:t>
      </w:r>
      <w:r>
        <w:t>50 ppm</w:t>
      </w:r>
      <w:r>
        <w:rPr>
          <w:rFonts w:hint="eastAsia"/>
        </w:rPr>
        <w:t>或</w:t>
      </w:r>
      <w:r>
        <w:t>H₂S</w:t>
      </w:r>
      <w:r>
        <w:rPr>
          <w:rFonts w:hint="eastAsia"/>
        </w:rPr>
        <w:t>＞</w:t>
      </w:r>
      <w:r>
        <w:t>10 ppm</w:t>
      </w:r>
      <w:r>
        <w:rPr>
          <w:rFonts w:hint="eastAsia"/>
        </w:rPr>
        <w:t>环境中，需配备复合式气体报警仪及正压式呼吸器；</w:t>
      </w:r>
    </w:p>
    <w:p w14:paraId="7260CC66">
      <w:pPr>
        <w:pStyle w:val="56"/>
        <w:spacing w:line="360" w:lineRule="auto"/>
        <w:ind w:firstLine="420"/>
      </w:pPr>
      <w:r>
        <w:rPr>
          <w:rFonts w:hint="eastAsia"/>
        </w:rPr>
        <w:t>操作后消毒：接触生物气溶胶（如污水处理厂）时，设备表面需用75%乙醇擦拭。</w:t>
      </w:r>
    </w:p>
    <w:p w14:paraId="068E6CC1">
      <w:pPr>
        <w:pStyle w:val="105"/>
        <w:spacing w:before="120" w:after="120" w:line="360" w:lineRule="auto"/>
      </w:pPr>
      <w:r>
        <w:rPr>
          <w:rFonts w:hint="eastAsia"/>
        </w:rPr>
        <w:t>应急响应</w:t>
      </w:r>
    </w:p>
    <w:p w14:paraId="20EED9CB">
      <w:pPr>
        <w:pStyle w:val="56"/>
        <w:spacing w:line="360" w:lineRule="auto"/>
        <w:ind w:firstLine="420"/>
      </w:pPr>
      <w:r>
        <w:rPr>
          <w:rFonts w:hint="eastAsia"/>
        </w:rPr>
        <w:t>触发浓度阈值（如</w:t>
      </w:r>
      <w:r>
        <w:t>O₃</w:t>
      </w:r>
      <w:r>
        <w:rPr>
          <w:rFonts w:hint="eastAsia"/>
        </w:rPr>
        <w:t>＞</w:t>
      </w:r>
      <w:r>
        <w:t>500 μg/m³</w:t>
      </w:r>
      <w:r>
        <w:rPr>
          <w:rFonts w:hint="eastAsia"/>
        </w:rPr>
        <w:t>）时自动启动声光报警，并推送信息至监管平台；</w:t>
      </w:r>
    </w:p>
    <w:p w14:paraId="4EDC2A90">
      <w:pPr>
        <w:pStyle w:val="56"/>
        <w:spacing w:line="360" w:lineRule="auto"/>
        <w:ind w:firstLine="420"/>
        <w:rPr>
          <w:rFonts w:hint="eastAsia"/>
        </w:rPr>
      </w:pPr>
      <w:r>
        <w:rPr>
          <w:rFonts w:hint="eastAsia"/>
        </w:rPr>
        <w:t>设备故障代码实时显示（如E01：传感器失效，E02：流量异常）。</w:t>
      </w:r>
    </w:p>
    <w:bookmarkEnd w:id="24"/>
    <w:p w14:paraId="2C4FE27D">
      <w:pPr>
        <w:pStyle w:val="56"/>
        <w:ind w:firstLine="0" w:firstLineChars="0"/>
        <w:jc w:val="center"/>
      </w:pPr>
      <w:bookmarkStart w:id="54" w:name="BookMark8"/>
      <w:r>
        <w:drawing>
          <wp:inline distT="0" distB="0" distL="0" distR="0">
            <wp:extent cx="1485900" cy="317500"/>
            <wp:effectExtent l="0" t="0" r="0" b="6350"/>
            <wp:docPr id="1632726728" name="图片 1"/>
            <wp:cNvGraphicFramePr/>
            <a:graphic xmlns:a="http://schemas.openxmlformats.org/drawingml/2006/main">
              <a:graphicData uri="http://schemas.openxmlformats.org/drawingml/2006/picture">
                <pic:pic xmlns:pic="http://schemas.openxmlformats.org/drawingml/2006/picture">
                  <pic:nvPicPr>
                    <pic:cNvPr id="1632726728"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CB1E">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D1662">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130A2">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4D36">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605B">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AA07F">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0B3C1">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8D32">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F9D26">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A7245">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9082">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DFA8">
    <w:pPr>
      <w:pStyle w:val="62"/>
    </w:pPr>
    <w:r>
      <w:fldChar w:fldCharType="begin"/>
    </w:r>
    <w:r>
      <w:instrText xml:space="preserve"> STYLEREF  标准文件_文件编号 \* MERGEFORMAT </w:instrText>
    </w:r>
    <w:r>
      <w:fldChar w:fldCharType="separate"/>
    </w:r>
    <w:r>
      <w:t>T/XZBX 0016—2025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7758">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3C5DA">
    <w:pPr>
      <w:pStyle w:val="61"/>
    </w:pPr>
    <w:r>
      <w:fldChar w:fldCharType="begin"/>
    </w:r>
    <w:r>
      <w:instrText xml:space="preserve"> STYLEREF  标准文件_文件编号  \* MERGEFORMAT </w:instrText>
    </w:r>
    <w:r>
      <w:fldChar w:fldCharType="separate"/>
    </w:r>
    <w:r>
      <w:t>T/XZBX 0016—2025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D084">
    <w:pPr>
      <w:pStyle w:val="62"/>
    </w:pPr>
    <w:r>
      <w:fldChar w:fldCharType="begin"/>
    </w:r>
    <w:r>
      <w:instrText xml:space="preserve"> STYLEREF  标准文件_文件编号 \* MERGEFORMAT </w:instrText>
    </w:r>
    <w:r>
      <w:fldChar w:fldCharType="separate"/>
    </w:r>
    <w:r>
      <w:t>T/XZBX 0016—2025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5B1F1">
    <w:pPr>
      <w:pStyle w:val="61"/>
    </w:pPr>
    <w:r>
      <w:fldChar w:fldCharType="begin"/>
    </w:r>
    <w:r>
      <w:instrText xml:space="preserve"> STYLEREF  标准文件_文件编号  \* MERGEFORMAT </w:instrText>
    </w:r>
    <w:r>
      <w:fldChar w:fldCharType="separate"/>
    </w:r>
    <w:r>
      <w:t>T/XZBX 0016—2025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62B7">
    <w:pPr>
      <w:pStyle w:val="62"/>
    </w:pPr>
    <w:r>
      <w:fldChar w:fldCharType="begin"/>
    </w:r>
    <w:r>
      <w:instrText xml:space="preserve"> STYLEREF  标准文件_文件编号 \* MERGEFORMAT </w:instrText>
    </w:r>
    <w:r>
      <w:fldChar w:fldCharType="separate"/>
    </w:r>
    <w:r>
      <w:t>T/XZBX 0016—2025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2993C">
    <w:pPr>
      <w:pStyle w:val="61"/>
    </w:pPr>
    <w:r>
      <w:fldChar w:fldCharType="begin"/>
    </w:r>
    <w:r>
      <w:instrText xml:space="preserve"> STYLEREF  标准文件_文件编号  \* MERGEFORMAT </w:instrText>
    </w:r>
    <w:r>
      <w:fldChar w:fldCharType="separate"/>
    </w:r>
    <w:r>
      <w:t>T/XZBX 0016—2025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2693D">
    <w:pPr>
      <w:pStyle w:val="62"/>
    </w:pPr>
    <w:r>
      <w:fldChar w:fldCharType="begin"/>
    </w:r>
    <w:r>
      <w:instrText xml:space="preserve"> STYLEREF  标准文件_文件编号 \* MERGEFORMAT </w:instrText>
    </w:r>
    <w:r>
      <w:fldChar w:fldCharType="separate"/>
    </w:r>
    <w:r>
      <w:t>T/XZBX 0016—2025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0115">
    <w:pPr>
      <w:pStyle w:val="61"/>
    </w:pPr>
    <w:r>
      <w:fldChar w:fldCharType="begin"/>
    </w:r>
    <w:r>
      <w:instrText xml:space="preserve"> STYLEREF  标准文件_文件编号  \* MERGEFORMAT </w:instrText>
    </w:r>
    <w:r>
      <w:fldChar w:fldCharType="separate"/>
    </w:r>
    <w:r>
      <w:t>T/XZBX 0016—2025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O1sDQyMTAyNLQ0MDNW0lEKTi0uzszPAykwrgUA7vPTTSwAAAA="/>
  </w:docVars>
  <w:rsids>
    <w:rsidRoot w:val="00FA0E3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097"/>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1F7"/>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37B2A"/>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0B0"/>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178A"/>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740"/>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33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10AF"/>
    <w:rsid w:val="008620FC"/>
    <w:rsid w:val="008627A5"/>
    <w:rsid w:val="00863E05"/>
    <w:rsid w:val="008657BA"/>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78C0"/>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4FA1"/>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0982"/>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E3A"/>
    <w:rsid w:val="00FA662D"/>
    <w:rsid w:val="00FA73B1"/>
    <w:rsid w:val="00FB0CB9"/>
    <w:rsid w:val="00FB231D"/>
    <w:rsid w:val="00FB45F1"/>
    <w:rsid w:val="00FB4A72"/>
    <w:rsid w:val="00FB54E8"/>
    <w:rsid w:val="00FB6327"/>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75D358B"/>
    <w:rsid w:val="1F667C26"/>
    <w:rsid w:val="443B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765A4FEAD642B3AA52C79A0BC942E7"/>
        <w:style w:val=""/>
        <w:category>
          <w:name w:val="常规"/>
          <w:gallery w:val="placeholder"/>
        </w:category>
        <w:types>
          <w:type w:val="bbPlcHdr"/>
        </w:types>
        <w:behaviors>
          <w:behavior w:val="content"/>
        </w:behaviors>
        <w:description w:val=""/>
        <w:guid w:val="{15CE031F-4754-4A47-86B0-F46EB2EA2FAC}"/>
      </w:docPartPr>
      <w:docPartBody>
        <w:p w14:paraId="42D5929D">
          <w:pPr>
            <w:pStyle w:val="5"/>
          </w:pPr>
          <w:r>
            <w:rPr>
              <w:rStyle w:val="4"/>
              <w:rFonts w:hint="eastAsia"/>
            </w:rPr>
            <w:t>单击或点击此处输入文字。</w:t>
          </w:r>
        </w:p>
      </w:docPartBody>
    </w:docPart>
    <w:docPart>
      <w:docPartPr>
        <w:name w:val="EAF888B4AB0B40A0810257FEFD6332D7"/>
        <w:style w:val=""/>
        <w:category>
          <w:name w:val="常规"/>
          <w:gallery w:val="placeholder"/>
        </w:category>
        <w:types>
          <w:type w:val="bbPlcHdr"/>
        </w:types>
        <w:behaviors>
          <w:behavior w:val="content"/>
        </w:behaviors>
        <w:description w:val=""/>
        <w:guid w:val="{618134DB-A5E6-41C3-9D12-CDA38D008F63}"/>
      </w:docPartPr>
      <w:docPartBody>
        <w:p w14:paraId="3088498F">
          <w:pPr>
            <w:pStyle w:val="6"/>
          </w:pPr>
          <w:r>
            <w:rPr>
              <w:rStyle w:val="4"/>
              <w:rFonts w:hint="eastAsia"/>
            </w:rPr>
            <w:t>选择一项。</w:t>
          </w:r>
        </w:p>
      </w:docPartBody>
    </w:docPart>
    <w:docPart>
      <w:docPartPr>
        <w:name w:val="647740FC4962444495E29952A55D0E2B"/>
        <w:style w:val=""/>
        <w:category>
          <w:name w:val="常规"/>
          <w:gallery w:val="placeholder"/>
        </w:category>
        <w:types>
          <w:type w:val="bbPlcHdr"/>
        </w:types>
        <w:behaviors>
          <w:behavior w:val="content"/>
        </w:behaviors>
        <w:description w:val=""/>
        <w:guid w:val="{BA18DAC6-1406-4F94-B9F6-59BDB796FEA3}"/>
      </w:docPartPr>
      <w:docPartBody>
        <w:p w14:paraId="0545616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0E"/>
    <w:rsid w:val="00035DB8"/>
    <w:rsid w:val="006D40FC"/>
    <w:rsid w:val="00894D0E"/>
    <w:rsid w:val="009F181D"/>
    <w:rsid w:val="00D3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78765A4FEAD642B3AA52C79A0BC942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AF888B4AB0B40A0810257FEFD6332D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47740FC4962444495E29952A55D0E2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2290</Words>
  <Characters>2672</Characters>
  <Lines>26</Lines>
  <Paragraphs>7</Paragraphs>
  <TotalTime>95</TotalTime>
  <ScaleCrop>false</ScaleCrop>
  <LinksUpToDate>false</LinksUpToDate>
  <CharactersWithSpaces>2753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2025-03-16T12:08:00Z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2025-03-19T02:03:12Z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45073B8533594E22B67EBB6EC07B1DDD_12</vt:lpwstr>
  </property>
</Properties>
</file>