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0A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44C863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6C5E31F">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13.040.01"/>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13.040.01</w:t>
            </w:r>
            <w:r>
              <w:rPr>
                <w:rFonts w:ascii="宋体" w:hAnsi="宋体"/>
                <w:sz w:val="21"/>
                <w:szCs w:val="21"/>
              </w:rPr>
              <w:fldChar w:fldCharType="end"/>
            </w:r>
            <w:bookmarkEnd w:id="0"/>
          </w:p>
        </w:tc>
      </w:tr>
      <w:tr w14:paraId="30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62A40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4B3E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83AA7FC">
                  <w:pPr>
                    <w:pStyle w:val="49"/>
                    <w:framePr w:wrap="notBeside" w:vAnchor="page" w:hAnchor="page" w:x="1372" w:y="568"/>
                    <w:ind w:left="420" w:right="624"/>
                    <w:rPr>
                      <w:rFonts w:ascii="宋体" w:hAnsi="宋体"/>
                      <w:sz w:val="28"/>
                      <w:szCs w:val="28"/>
                    </w:rPr>
                  </w:pPr>
                </w:p>
              </w:tc>
            </w:tr>
          </w:tbl>
          <w:p w14:paraId="0AA680D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Z 1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Z 10</w:t>
            </w:r>
            <w:r>
              <w:rPr>
                <w:rFonts w:ascii="宋体" w:hAnsi="宋体"/>
                <w:sz w:val="21"/>
                <w:szCs w:val="21"/>
              </w:rPr>
              <w:fldChar w:fldCharType="end"/>
            </w:r>
            <w:bookmarkEnd w:id="1"/>
          </w:p>
        </w:tc>
      </w:tr>
    </w:tbl>
    <w:p w14:paraId="7026529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93A58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10"/>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0010</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E5FEA41">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0AA751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065BA78A">
      <w:pPr>
        <w:pStyle w:val="50"/>
        <w:framePr w:w="9639" w:h="6976" w:hRule="exact" w:hSpace="0" w:vSpace="0" w:wrap="around" w:hAnchor="page" w:y="6408"/>
        <w:jc w:val="center"/>
        <w:rPr>
          <w:rFonts w:ascii="黑体" w:hAnsi="黑体" w:eastAsia="黑体"/>
          <w:b w:val="0"/>
          <w:bCs w:val="0"/>
          <w:w w:val="100"/>
        </w:rPr>
      </w:pPr>
    </w:p>
    <w:p w14:paraId="1806153F">
      <w:pPr>
        <w:pStyle w:val="197"/>
        <w:framePr w:h="6974" w:hRule="exact" w:wrap="around" w:x="1419" w:anchorLock="1"/>
        <w:rPr>
          <w:sz w:val="48"/>
          <w:szCs w:val="48"/>
        </w:rPr>
      </w:pPr>
      <w:r>
        <w:rPr>
          <w:sz w:val="48"/>
          <w:szCs w:val="48"/>
        </w:rPr>
        <w:fldChar w:fldCharType="begin">
          <w:ffData>
            <w:name w:val="CSTD_NAME"/>
            <w:enabled/>
            <w:calcOnExit w:val="0"/>
            <w:textInput>
              <w:default w:val="环境监测中大气污染物实时监测与数据分析规范"/>
            </w:textInput>
          </w:ffData>
        </w:fldChar>
      </w:r>
      <w:bookmarkStart w:id="7" w:name="CSTD_NAME"/>
      <w:r>
        <w:rPr>
          <w:sz w:val="48"/>
          <w:szCs w:val="48"/>
        </w:rPr>
        <w:instrText xml:space="preserve"> FORMTEXT </w:instrText>
      </w:r>
      <w:r>
        <w:rPr>
          <w:sz w:val="48"/>
          <w:szCs w:val="48"/>
        </w:rPr>
        <w:fldChar w:fldCharType="separate"/>
      </w:r>
      <w:r>
        <w:rPr>
          <w:sz w:val="48"/>
          <w:szCs w:val="48"/>
        </w:rPr>
        <w:t>环境监测中大气污染物实时监测</w:t>
      </w:r>
    </w:p>
    <w:p w14:paraId="05370FFC">
      <w:pPr>
        <w:pStyle w:val="197"/>
        <w:framePr w:h="6974" w:hRule="exact" w:wrap="around" w:x="1419" w:anchorLock="1"/>
        <w:rPr>
          <w:sz w:val="48"/>
          <w:szCs w:val="48"/>
        </w:rPr>
      </w:pPr>
      <w:r>
        <w:rPr>
          <w:sz w:val="48"/>
          <w:szCs w:val="48"/>
        </w:rPr>
        <w:t>与数据分析规范</w:t>
      </w:r>
      <w:r>
        <w:rPr>
          <w:sz w:val="48"/>
          <w:szCs w:val="48"/>
        </w:rPr>
        <w:fldChar w:fldCharType="end"/>
      </w:r>
      <w:bookmarkEnd w:id="7"/>
    </w:p>
    <w:p w14:paraId="2C6CE887">
      <w:pPr>
        <w:framePr w:w="9639" w:h="6974" w:hRule="exact" w:wrap="around" w:vAnchor="page" w:hAnchor="page" w:x="1419" w:y="6408" w:anchorLock="1"/>
        <w:ind w:left="-1418"/>
      </w:pPr>
    </w:p>
    <w:p w14:paraId="69213C70">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real-time monitoring and data analysis of atmospheric pollutants in environmental monitoring"/>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real-time monitoring and data analysis of atmospheric pollutants in environmental monitoring</w:t>
      </w:r>
      <w:r>
        <w:rPr>
          <w:rFonts w:ascii="黑体" w:hAnsi="黑体" w:eastAsia="黑体"/>
          <w:sz w:val="36"/>
          <w:szCs w:val="36"/>
        </w:rPr>
        <w:fldChar w:fldCharType="end"/>
      </w:r>
      <w:bookmarkEnd w:id="8"/>
    </w:p>
    <w:p w14:paraId="3B1873C6">
      <w:pPr>
        <w:framePr w:w="9639" w:h="6974" w:hRule="exact" w:wrap="around" w:vAnchor="page" w:hAnchor="page" w:x="1419" w:y="6408" w:anchorLock="1"/>
        <w:spacing w:line="760" w:lineRule="exact"/>
        <w:ind w:left="-1418"/>
      </w:pPr>
    </w:p>
    <w:p w14:paraId="341E39AA">
      <w:pPr>
        <w:pStyle w:val="125"/>
        <w:framePr w:w="9639" w:h="6974" w:hRule="exact" w:wrap="around" w:vAnchor="page" w:hAnchor="page" w:x="1419" w:y="6408" w:anchorLock="1"/>
        <w:textAlignment w:val="bottom"/>
        <w:rPr>
          <w:rFonts w:eastAsia="黑体"/>
          <w:szCs w:val="28"/>
        </w:rPr>
      </w:pPr>
    </w:p>
    <w:p w14:paraId="0696F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823CA6E">
      <w:pPr>
        <w:pStyle w:val="125"/>
        <w:framePr w:w="9639" w:h="6974" w:hRule="exact" w:wrap="around" w:vAnchor="page" w:hAnchor="page" w:x="1419" w:y="6408" w:anchorLock="1"/>
        <w:spacing w:before="180" w:line="240" w:lineRule="atLeast"/>
        <w:textAlignment w:val="bottom"/>
        <w:rPr>
          <w:sz w:val="21"/>
          <w:szCs w:val="28"/>
        </w:rPr>
      </w:pPr>
    </w:p>
    <w:p w14:paraId="4019BF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36DDB770">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1"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1"/>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2"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2"/>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3"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发布</w:t>
      </w:r>
    </w:p>
    <w:p w14:paraId="72D30E3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4"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4"/>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5"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5"/>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6"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实施</w:t>
      </w:r>
    </w:p>
    <w:p w14:paraId="25D63019">
      <w:pPr>
        <w:pStyle w:val="151"/>
        <w:framePr w:h="584" w:hRule="exact" w:hSpace="181" w:vSpace="181" w:wrap="around" w:y="14800"/>
        <w:rPr>
          <w:rFonts w:hAnsi="黑体"/>
          <w:sz w:val="30"/>
          <w:szCs w:val="30"/>
        </w:rPr>
      </w:pPr>
      <w:bookmarkStart w:id="17"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7"/>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00055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bookmarkStart w:id="55" w:name="_GoBack"/>
      <w:bookmarkEnd w:id="55"/>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814DB09">
      <w:pPr>
        <w:pStyle w:val="91"/>
        <w:spacing w:after="360"/>
      </w:pPr>
      <w:bookmarkStart w:id="18" w:name="BookMark1"/>
      <w:r>
        <w:rPr>
          <w:rFonts w:hint="eastAsia"/>
          <w:spacing w:val="320"/>
        </w:rPr>
        <w:t>目</w:t>
      </w:r>
      <w:r>
        <w:rPr>
          <w:rFonts w:hint="eastAsia"/>
        </w:rPr>
        <w:t>次</w:t>
      </w:r>
    </w:p>
    <w:p w14:paraId="70872FE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"_Toc192685921" </w:instrText>
      </w:r>
      <w:r>
        <w:fldChar w:fldCharType="separate"/>
      </w:r>
      <w:r>
        <w:rPr>
          <w:rStyle w:val="32"/>
        </w:rPr>
        <w:t>前言</w:t>
      </w:r>
      <w:r>
        <w:tab/>
      </w:r>
      <w:r>
        <w:fldChar w:fldCharType="begin"/>
      </w:r>
      <w:r>
        <w:instrText xml:space="preserve"> PAGEREF _Toc192685921 \h </w:instrText>
      </w:r>
      <w:r>
        <w:fldChar w:fldCharType="separate"/>
      </w:r>
      <w:r>
        <w:t>III</w:t>
      </w:r>
      <w:r>
        <w:fldChar w:fldCharType="end"/>
      </w:r>
      <w:r>
        <w:fldChar w:fldCharType="end"/>
      </w:r>
    </w:p>
    <w:p w14:paraId="0D466CAB">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"_Toc192685922" </w:instrText>
      </w:r>
      <w:r>
        <w:fldChar w:fldCharType="separate"/>
      </w:r>
      <w:r>
        <w:rPr>
          <w:rStyle w:val="32"/>
        </w:rPr>
        <w:t>引言</w:t>
      </w:r>
      <w:r>
        <w:tab/>
      </w:r>
      <w:r>
        <w:fldChar w:fldCharType="begin"/>
      </w:r>
      <w:r>
        <w:instrText xml:space="preserve"> PAGEREF _Toc192685922 \h </w:instrText>
      </w:r>
      <w:r>
        <w:fldChar w:fldCharType="separate"/>
      </w:r>
      <w:r>
        <w:t>V</w:t>
      </w:r>
      <w:r>
        <w:fldChar w:fldCharType="end"/>
      </w:r>
      <w:r>
        <w:fldChar w:fldCharType="end"/>
      </w:r>
    </w:p>
    <w:p w14:paraId="61C3A061">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"_Toc192685923" </w:instrText>
      </w:r>
      <w:r>
        <w:fldChar w:fldCharType="separate"/>
      </w:r>
      <w:r>
        <w:rPr>
          <w:rStyle w:val="32"/>
        </w:rPr>
        <w:t>1  范围</w:t>
      </w:r>
      <w:r>
        <w:tab/>
      </w:r>
      <w:r>
        <w:fldChar w:fldCharType="begin"/>
      </w:r>
      <w:r>
        <w:instrText xml:space="preserve"> PAGEREF _Toc192685923 \h </w:instrText>
      </w:r>
      <w:r>
        <w:fldChar w:fldCharType="separate"/>
      </w:r>
      <w:r>
        <w:t>1</w:t>
      </w:r>
      <w:r>
        <w:fldChar w:fldCharType="end"/>
      </w:r>
      <w:r>
        <w:fldChar w:fldCharType="end"/>
      </w:r>
    </w:p>
    <w:p w14:paraId="28EC9549">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"_Toc192685924" </w:instrText>
      </w:r>
      <w:r>
        <w:fldChar w:fldCharType="separate"/>
      </w:r>
      <w:r>
        <w:rPr>
          <w:rStyle w:val="32"/>
        </w:rPr>
        <w:t>2  规范性引用文件</w:t>
      </w:r>
      <w:r>
        <w:tab/>
      </w:r>
      <w:r>
        <w:fldChar w:fldCharType="begin"/>
      </w:r>
      <w:r>
        <w:instrText xml:space="preserve"> PAGEREF _Toc192685924 \h </w:instrText>
      </w:r>
      <w:r>
        <w:fldChar w:fldCharType="separate"/>
      </w:r>
      <w:r>
        <w:t>1</w:t>
      </w:r>
      <w:r>
        <w:fldChar w:fldCharType="end"/>
      </w:r>
      <w:r>
        <w:fldChar w:fldCharType="end"/>
      </w:r>
    </w:p>
    <w:p w14:paraId="1727E884">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"_Toc192685925" </w:instrText>
      </w:r>
      <w:r>
        <w:fldChar w:fldCharType="separate"/>
      </w:r>
      <w:r>
        <w:rPr>
          <w:rStyle w:val="32"/>
        </w:rPr>
        <w:t>3  术语和定义</w:t>
      </w:r>
      <w:r>
        <w:tab/>
      </w:r>
      <w:r>
        <w:fldChar w:fldCharType="begin"/>
      </w:r>
      <w:r>
        <w:instrText xml:space="preserve"> PAGEREF _Toc192685925 \h </w:instrText>
      </w:r>
      <w:r>
        <w:fldChar w:fldCharType="separate"/>
      </w:r>
      <w:r>
        <w:t>1</w:t>
      </w:r>
      <w:r>
        <w:fldChar w:fldCharType="end"/>
      </w:r>
      <w:r>
        <w:fldChar w:fldCharType="end"/>
      </w:r>
    </w:p>
    <w:p w14:paraId="710FBF01">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"_Toc192685926" </w:instrText>
      </w:r>
      <w:r>
        <w:fldChar w:fldCharType="separate"/>
      </w:r>
      <w:r>
        <w:rPr>
          <w:rStyle w:val="32"/>
        </w:rPr>
        <w:t>4  总体要求</w:t>
      </w:r>
      <w:r>
        <w:tab/>
      </w:r>
      <w:r>
        <w:fldChar w:fldCharType="begin"/>
      </w:r>
      <w:r>
        <w:instrText xml:space="preserve"> PAGEREF _Toc192685926 \h </w:instrText>
      </w:r>
      <w:r>
        <w:fldChar w:fldCharType="separate"/>
      </w:r>
      <w:r>
        <w:t>1</w:t>
      </w:r>
      <w:r>
        <w:fldChar w:fldCharType="end"/>
      </w:r>
      <w:r>
        <w:fldChar w:fldCharType="end"/>
      </w:r>
    </w:p>
    <w:p w14:paraId="041F8C44">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"_Toc192685927" </w:instrText>
      </w:r>
      <w:r>
        <w:fldChar w:fldCharType="separate"/>
      </w:r>
      <w:r>
        <w:rPr>
          <w:rStyle w:val="32"/>
        </w:rPr>
        <w:t>5  监测技术要求</w:t>
      </w:r>
      <w:r>
        <w:tab/>
      </w:r>
      <w:r>
        <w:fldChar w:fldCharType="begin"/>
      </w:r>
      <w:r>
        <w:instrText xml:space="preserve"> PAGEREF _Toc192685927 \h </w:instrText>
      </w:r>
      <w:r>
        <w:fldChar w:fldCharType="separate"/>
      </w:r>
      <w:r>
        <w:t>2</w:t>
      </w:r>
      <w:r>
        <w:fldChar w:fldCharType="end"/>
      </w:r>
      <w:r>
        <w:fldChar w:fldCharType="end"/>
      </w:r>
    </w:p>
    <w:p w14:paraId="4954CCC4">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"_Toc192685928" </w:instrText>
      </w:r>
      <w:r>
        <w:fldChar w:fldCharType="separate"/>
      </w:r>
      <w:r>
        <w:rPr>
          <w:rStyle w:val="32"/>
        </w:rPr>
        <w:t>6  数据采集与传输</w:t>
      </w:r>
      <w:r>
        <w:tab/>
      </w:r>
      <w:r>
        <w:fldChar w:fldCharType="begin"/>
      </w:r>
      <w:r>
        <w:instrText xml:space="preserve"> PAGEREF _Toc192685928 \h </w:instrText>
      </w:r>
      <w:r>
        <w:fldChar w:fldCharType="separate"/>
      </w:r>
      <w:r>
        <w:t>2</w:t>
      </w:r>
      <w:r>
        <w:fldChar w:fldCharType="end"/>
      </w:r>
      <w:r>
        <w:fldChar w:fldCharType="end"/>
      </w:r>
    </w:p>
    <w:p w14:paraId="554060A8">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"_Toc192685929" </w:instrText>
      </w:r>
      <w:r>
        <w:fldChar w:fldCharType="separate"/>
      </w:r>
      <w:r>
        <w:rPr>
          <w:rStyle w:val="32"/>
        </w:rPr>
        <w:t>7  数据处理与分析</w:t>
      </w:r>
      <w:r>
        <w:tab/>
      </w:r>
      <w:r>
        <w:fldChar w:fldCharType="begin"/>
      </w:r>
      <w:r>
        <w:instrText xml:space="preserve"> PAGEREF _Toc192685929 \h </w:instrText>
      </w:r>
      <w:r>
        <w:fldChar w:fldCharType="separate"/>
      </w:r>
      <w:r>
        <w:t>3</w:t>
      </w:r>
      <w:r>
        <w:fldChar w:fldCharType="end"/>
      </w:r>
      <w:r>
        <w:fldChar w:fldCharType="end"/>
      </w:r>
    </w:p>
    <w:p w14:paraId="21C8E4A0">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"_Toc192685930" </w:instrText>
      </w:r>
      <w:r>
        <w:fldChar w:fldCharType="separate"/>
      </w:r>
      <w:r>
        <w:rPr>
          <w:rStyle w:val="32"/>
        </w:rPr>
        <w:t>8  质量控制</w:t>
      </w:r>
      <w:r>
        <w:tab/>
      </w:r>
      <w:r>
        <w:fldChar w:fldCharType="begin"/>
      </w:r>
      <w:r>
        <w:instrText xml:space="preserve"> PAGEREF _Toc192685930 \h </w:instrText>
      </w:r>
      <w:r>
        <w:fldChar w:fldCharType="separate"/>
      </w:r>
      <w:r>
        <w:t>3</w:t>
      </w:r>
      <w:r>
        <w:fldChar w:fldCharType="end"/>
      </w:r>
      <w:r>
        <w:fldChar w:fldCharType="end"/>
      </w:r>
    </w:p>
    <w:p w14:paraId="32F78E91">
      <w:pPr>
        <w:pStyle w:val="19"/>
        <w:tabs>
          <w:tab w:val="right" w:leader="dot" w:pos="9344"/>
        </w:tabs>
        <w:rPr>
          <w:rFonts w:asciiTheme="minorHAnsi" w:hAnsiTheme="minorHAnsi" w:eastAsiaTheme="minorEastAsia" w:cstheme="minorBidi"/>
          <w:szCs w:val="22"/>
        </w:rPr>
      </w:pPr>
      <w:r>
        <w:fldChar w:fldCharType="begin"/>
      </w:r>
      <w:r>
        <w:instrText xml:space="preserve"> HYPERLINK \l "_Toc192685931" </w:instrText>
      </w:r>
      <w:r>
        <w:fldChar w:fldCharType="separate"/>
      </w:r>
      <w:r>
        <w:rPr>
          <w:rStyle w:val="32"/>
        </w:rPr>
        <w:t>9  数据应用</w:t>
      </w:r>
      <w:r>
        <w:tab/>
      </w:r>
      <w:r>
        <w:fldChar w:fldCharType="begin"/>
      </w:r>
      <w:r>
        <w:instrText xml:space="preserve"> PAGEREF _Toc192685931 \h </w:instrText>
      </w:r>
      <w:r>
        <w:fldChar w:fldCharType="separate"/>
      </w:r>
      <w:r>
        <w:t>4</w:t>
      </w:r>
      <w:r>
        <w:fldChar w:fldCharType="end"/>
      </w:r>
      <w:r>
        <w:fldChar w:fldCharType="end"/>
      </w:r>
    </w:p>
    <w:p w14:paraId="4DCF5901">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1313AC79">
      <w:pPr>
        <w:pStyle w:val="89"/>
        <w:spacing w:before="900" w:after="360"/>
      </w:pPr>
      <w:bookmarkStart w:id="19" w:name="_Toc192685921"/>
      <w:bookmarkStart w:id="20" w:name="BookMark2"/>
      <w:r>
        <w:rPr>
          <w:spacing w:val="320"/>
        </w:rPr>
        <w:t>前</w:t>
      </w:r>
      <w:r>
        <w:t>言</w:t>
      </w:r>
      <w:bookmarkEnd w:id="19"/>
    </w:p>
    <w:p w14:paraId="2F3B5592">
      <w:pPr>
        <w:pStyle w:val="56"/>
        <w:spacing w:line="360" w:lineRule="auto"/>
        <w:ind w:firstLine="420"/>
      </w:pPr>
      <w:r>
        <w:rPr>
          <w:rFonts w:hint="eastAsia"/>
        </w:rPr>
        <w:t>本文件按照GB/T 1.1—2020《标准化工作导则  第1部分：标准化文件的结构和起草规则》的规定起草。</w:t>
      </w:r>
    </w:p>
    <w:p w14:paraId="2C87ACC5">
      <w:pPr>
        <w:pStyle w:val="56"/>
        <w:spacing w:line="360" w:lineRule="auto"/>
        <w:ind w:firstLine="420"/>
      </w:pPr>
      <w:r>
        <w:rPr>
          <w:rFonts w:hint="eastAsia"/>
        </w:rPr>
        <w:t>请注意本文件的某些内容可能涉及专利。本文件的发布机构不承担识别专利的责任。</w:t>
      </w:r>
    </w:p>
    <w:p w14:paraId="6BFBB989">
      <w:pPr>
        <w:pStyle w:val="56"/>
        <w:spacing w:line="360" w:lineRule="auto"/>
        <w:ind w:firstLine="420"/>
      </w:pPr>
      <w:r>
        <w:rPr>
          <w:rFonts w:hint="eastAsia"/>
        </w:rPr>
        <w:t>本文件由西安市质量与标准化协会提出并归口。</w:t>
      </w:r>
    </w:p>
    <w:p w14:paraId="2436619F">
      <w:pPr>
        <w:pStyle w:val="56"/>
        <w:spacing w:line="360" w:lineRule="auto"/>
        <w:ind w:firstLine="420"/>
      </w:pPr>
      <w:r>
        <w:rPr>
          <w:rFonts w:hint="eastAsia"/>
        </w:rPr>
        <w:t>本文件起草单位：湖南省长沙生态环境监测中心、中国石油集团安全环保技术研究院有限公司、无锡市生态环境监测监控中心新吴分中心、郑州源致和环保科技有限公司、河北省水利水电勘测设计研究院集团有限公司、苏州克兰茨环境科技有限公司、成都市污染源监测中心锦江监测站、邹城市畜牧兽医事业发展中心。</w:t>
      </w:r>
    </w:p>
    <w:p w14:paraId="4D06B505">
      <w:pPr>
        <w:pStyle w:val="56"/>
        <w:spacing w:line="360" w:lineRule="auto"/>
        <w:ind w:firstLine="420"/>
      </w:pPr>
      <w:r>
        <w:rPr>
          <w:rFonts w:hint="eastAsia"/>
        </w:rPr>
        <w:t>本文件主要起草人：范茂清、杨川箬、邵云刚、薛航、刘葳、刘杰、李浩、卢文治、张冬梅。</w:t>
      </w:r>
    </w:p>
    <w:p w14:paraId="7890DFCF">
      <w:pPr>
        <w:pStyle w:val="56"/>
        <w:spacing w:line="360" w:lineRule="auto"/>
        <w:ind w:firstLine="420"/>
      </w:pPr>
    </w:p>
    <w:p w14:paraId="4823F1D0">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0"/>
    <w:p w14:paraId="45F4493B">
      <w:pPr>
        <w:pStyle w:val="89"/>
        <w:spacing w:after="360"/>
      </w:pPr>
      <w:bookmarkStart w:id="21" w:name="_Toc192685922"/>
      <w:bookmarkStart w:id="22" w:name="BookMark3"/>
      <w:r>
        <w:rPr>
          <w:spacing w:val="320"/>
        </w:rPr>
        <w:t>引</w:t>
      </w:r>
      <w:r>
        <w:t>言</w:t>
      </w:r>
      <w:bookmarkEnd w:id="21"/>
    </w:p>
    <w:p w14:paraId="3D0F9ED7">
      <w:pPr>
        <w:pStyle w:val="56"/>
        <w:spacing w:line="360" w:lineRule="auto"/>
        <w:ind w:firstLine="420"/>
      </w:pPr>
      <w:r>
        <w:rPr>
          <w:rFonts w:hint="eastAsia"/>
        </w:rPr>
        <w:t>随着我国工业化与城镇化的快速发展，大气污染问题已成为影响生态环境质量、公众健康和社会可持续发展的重要因素。传统的大气污染物监测方法存在数据时效性不足、分析维度单一等问题，难以满足污染精准防控和快速响应的需求。近年来，光学传感、物联网、大数据分析等技术的进步为大气污染物实时监测与数据深度挖掘提供了新的解决方案。然而，由于缺乏统一的技术规范，不同监测主体在设备选型、数据处理、质量控制等方面存在差异，导致监测数据可比性差、应用价值受限，制约了环境管理决策的科学性。</w:t>
      </w:r>
    </w:p>
    <w:p w14:paraId="7D677DF3">
      <w:pPr>
        <w:pStyle w:val="56"/>
        <w:spacing w:line="360" w:lineRule="auto"/>
        <w:ind w:firstLine="420"/>
      </w:pPr>
      <w:r>
        <w:rPr>
          <w:rFonts w:hint="eastAsia"/>
        </w:rPr>
        <w:t>为规范大气污染物实时监测系统的建设与运行，提升数据采集、分析和应用的标准化水平，推动环境监测技术向智能化、精细化方向发展，特制定本文件。本文件的制定与实施，可为环境监测机构、第三方服务商及监管部门提供技术依据，助力实现大气污染“测-管-治”联动，为打赢蓝天保卫战和推动智慧环保体系建设提供支撑。</w:t>
      </w:r>
    </w:p>
    <w:p w14:paraId="616B2FE7">
      <w:pPr>
        <w:pStyle w:val="56"/>
        <w:ind w:firstLine="420"/>
      </w:pPr>
    </w:p>
    <w:p w14:paraId="36B16AFA">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2"/>
    <w:p w14:paraId="0CD91D9E">
      <w:pPr>
        <w:spacing w:line="20" w:lineRule="exact"/>
        <w:jc w:val="center"/>
        <w:rPr>
          <w:rFonts w:ascii="黑体" w:hAnsi="黑体" w:eastAsia="黑体"/>
          <w:sz w:val="32"/>
          <w:szCs w:val="32"/>
        </w:rPr>
      </w:pPr>
      <w:bookmarkStart w:id="23" w:name="BookMark4"/>
    </w:p>
    <w:p w14:paraId="0051EF6C">
      <w:pPr>
        <w:spacing w:line="20" w:lineRule="exact"/>
        <w:jc w:val="center"/>
        <w:rPr>
          <w:rFonts w:ascii="黑体" w:hAnsi="黑体" w:eastAsia="黑体"/>
          <w:sz w:val="32"/>
          <w:szCs w:val="32"/>
        </w:rPr>
      </w:pPr>
    </w:p>
    <w:sdt>
      <w:sdtPr>
        <w:tag w:val="NEW_STAND_NAME"/>
        <w:id w:val="595910757"/>
        <w:lock w:val="sdtLocked"/>
        <w:placeholder>
          <w:docPart w:val="1437603E3A1E4534A739F551F8E61E56"/>
        </w:placeholder>
      </w:sdtPr>
      <w:sdtContent>
        <w:p w14:paraId="7DD90DDB">
          <w:pPr>
            <w:pStyle w:val="177"/>
            <w:spacing w:after="0"/>
          </w:pPr>
          <w:bookmarkStart w:id="24" w:name="NEW_STAND_NAME"/>
          <w:r>
            <w:rPr>
              <w:rFonts w:hint="eastAsia"/>
            </w:rPr>
            <w:t>环境监测中大气污染物实时监测</w:t>
          </w:r>
        </w:p>
        <w:p w14:paraId="625ABE7A">
          <w:pPr>
            <w:pStyle w:val="177"/>
            <w:spacing w:before="0"/>
          </w:pPr>
          <w:r>
            <w:rPr>
              <w:rFonts w:hint="eastAsia"/>
            </w:rPr>
            <w:t>与数据分析规范</w:t>
          </w:r>
        </w:p>
      </w:sdtContent>
    </w:sdt>
    <w:bookmarkEnd w:id="24"/>
    <w:p w14:paraId="4E4A29A9">
      <w:pPr>
        <w:pStyle w:val="104"/>
        <w:spacing w:before="240" w:after="240" w:line="360" w:lineRule="auto"/>
      </w:pPr>
      <w:bookmarkStart w:id="25" w:name="_Toc17233333"/>
      <w:bookmarkStart w:id="26" w:name="_Toc26986530"/>
      <w:bookmarkStart w:id="27" w:name="_Toc26986771"/>
      <w:bookmarkStart w:id="28" w:name="_Toc192685923"/>
      <w:bookmarkStart w:id="29" w:name="_Toc17233325"/>
      <w:bookmarkStart w:id="30" w:name="_Toc26648465"/>
      <w:bookmarkStart w:id="31" w:name="_Toc24884211"/>
      <w:bookmarkStart w:id="32" w:name="_Toc26718930"/>
      <w:bookmarkStart w:id="33" w:name="_Toc97192964"/>
      <w:bookmarkStart w:id="34" w:name="_Toc24884218"/>
      <w:r>
        <w:rPr>
          <w:rFonts w:hint="eastAsia"/>
        </w:rPr>
        <w:t>范围</w:t>
      </w:r>
      <w:bookmarkEnd w:id="25"/>
      <w:bookmarkEnd w:id="26"/>
      <w:bookmarkEnd w:id="27"/>
      <w:bookmarkEnd w:id="28"/>
      <w:bookmarkEnd w:id="29"/>
      <w:bookmarkEnd w:id="30"/>
      <w:bookmarkEnd w:id="31"/>
      <w:bookmarkEnd w:id="32"/>
      <w:bookmarkEnd w:id="33"/>
      <w:bookmarkEnd w:id="34"/>
    </w:p>
    <w:p w14:paraId="19F06A23">
      <w:pPr>
        <w:pStyle w:val="56"/>
        <w:spacing w:line="360" w:lineRule="auto"/>
        <w:ind w:firstLine="420"/>
      </w:pPr>
      <w:bookmarkStart w:id="35" w:name="_Toc24884219"/>
      <w:bookmarkStart w:id="36" w:name="_Toc17233326"/>
      <w:bookmarkStart w:id="37" w:name="_Toc24884212"/>
      <w:bookmarkStart w:id="38" w:name="_Toc17233334"/>
      <w:bookmarkStart w:id="39" w:name="_Toc26648466"/>
      <w:r>
        <w:rPr>
          <w:rFonts w:hint="eastAsia"/>
        </w:rPr>
        <w:t>本文件规定了大气污染物实时监测系统的总体要求、监测技术要求、数据采集与传输、数据处理与分析、质量控制及数据应用等内容。</w:t>
      </w:r>
    </w:p>
    <w:p w14:paraId="0E2D0A5F">
      <w:pPr>
        <w:pStyle w:val="56"/>
        <w:spacing w:line="360" w:lineRule="auto"/>
        <w:ind w:firstLine="420"/>
      </w:pPr>
      <w:r>
        <w:rPr>
          <w:rFonts w:hint="eastAsia"/>
        </w:rPr>
        <w:t>本文件适用于环境监测机构、企事业单位及第三方检测单位开展大气污染物（</w:t>
      </w:r>
      <w:r>
        <w:rPr>
          <w:rFonts w:hint="eastAsia" w:hAnsi="宋体"/>
        </w:rPr>
        <w:t>如</w:t>
      </w:r>
      <w:r>
        <w:rPr>
          <w:rFonts w:hAnsi="宋体"/>
        </w:rPr>
        <w:t>PM2.5</w:t>
      </w:r>
      <w:r>
        <w:rPr>
          <w:rFonts w:hint="eastAsia" w:hAnsi="宋体"/>
        </w:rPr>
        <w:t>、</w:t>
      </w:r>
      <w:r>
        <w:rPr>
          <w:rFonts w:hAnsi="宋体"/>
        </w:rPr>
        <w:t>PM10</w:t>
      </w:r>
      <w:r>
        <w:rPr>
          <w:rFonts w:hint="eastAsia" w:hAnsi="宋体"/>
        </w:rPr>
        <w:t>、</w:t>
      </w:r>
      <w:r>
        <w:rPr>
          <w:rFonts w:hAnsi="宋体"/>
        </w:rPr>
        <w:t>SO</w:t>
      </w:r>
      <w:r>
        <w:rPr>
          <w:rFonts w:ascii="Times New Roman"/>
        </w:rPr>
        <w:t>₂</w:t>
      </w:r>
      <w:r>
        <w:rPr>
          <w:rFonts w:hint="eastAsia" w:hAnsi="宋体"/>
        </w:rPr>
        <w:t>、</w:t>
      </w:r>
      <w:r>
        <w:rPr>
          <w:rFonts w:hAnsi="宋体"/>
        </w:rPr>
        <w:t>NOx</w:t>
      </w:r>
      <w:r>
        <w:rPr>
          <w:rFonts w:hint="eastAsia" w:hAnsi="宋体"/>
        </w:rPr>
        <w:t>、</w:t>
      </w:r>
      <w:r>
        <w:rPr>
          <w:rFonts w:hAnsi="宋体"/>
        </w:rPr>
        <w:t>CO</w:t>
      </w:r>
      <w:r>
        <w:rPr>
          <w:rFonts w:hint="eastAsia" w:hAnsi="宋体"/>
        </w:rPr>
        <w:t>、</w:t>
      </w:r>
      <w:r>
        <w:rPr>
          <w:rFonts w:hAnsi="宋体"/>
        </w:rPr>
        <w:t>O</w:t>
      </w:r>
      <w:r>
        <w:rPr>
          <w:rFonts w:ascii="Times New Roman"/>
        </w:rPr>
        <w:t>₃</w:t>
      </w:r>
      <w:r>
        <w:rPr>
          <w:rFonts w:hint="eastAsia" w:hAnsi="宋体"/>
        </w:rPr>
        <w:t>等）</w:t>
      </w:r>
      <w:r>
        <w:rPr>
          <w:rFonts w:hint="eastAsia"/>
        </w:rPr>
        <w:t>的实时监测与数据分析工作。</w:t>
      </w:r>
    </w:p>
    <w:p w14:paraId="70F3870C">
      <w:pPr>
        <w:pStyle w:val="104"/>
        <w:spacing w:before="240" w:after="240" w:line="360" w:lineRule="auto"/>
      </w:pPr>
      <w:bookmarkStart w:id="40" w:name="_Toc26718931"/>
      <w:bookmarkStart w:id="41" w:name="_Toc26986531"/>
      <w:bookmarkStart w:id="42" w:name="_Toc192685924"/>
      <w:bookmarkStart w:id="43" w:name="_Toc26986772"/>
      <w:bookmarkStart w:id="44" w:name="_Toc9719296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B57AD2830474528B75755CE4A2A5D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90BB7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74917B">
      <w:pPr>
        <w:pStyle w:val="56"/>
        <w:spacing w:line="360" w:lineRule="auto"/>
        <w:ind w:firstLine="420"/>
      </w:pPr>
      <w:r>
        <w:rPr>
          <w:rFonts w:hint="eastAsia"/>
        </w:rPr>
        <w:t>GB 3095—2012 环境空气质量标准</w:t>
      </w:r>
    </w:p>
    <w:p w14:paraId="22FDFFF1">
      <w:pPr>
        <w:pStyle w:val="104"/>
        <w:spacing w:before="240" w:after="240" w:line="360" w:lineRule="auto"/>
      </w:pPr>
      <w:bookmarkStart w:id="45" w:name="_Toc192685925"/>
      <w:bookmarkStart w:id="46" w:name="_Toc97192966"/>
      <w:r>
        <w:rPr>
          <w:rFonts w:hint="eastAsia"/>
          <w:szCs w:val="21"/>
        </w:rPr>
        <w:t>术语和定义</w:t>
      </w:r>
      <w:bookmarkEnd w:id="45"/>
      <w:bookmarkEnd w:id="46"/>
    </w:p>
    <w:sdt>
      <w:sdtPr>
        <w:id w:val="-1909835108"/>
        <w:placeholder>
          <w:docPart w:val="851335AAB8F8446986DFF053B43BA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507561">
          <w:pPr>
            <w:pStyle w:val="56"/>
            <w:spacing w:line="360" w:lineRule="auto"/>
            <w:ind w:firstLine="420"/>
          </w:pPr>
          <w:bookmarkStart w:id="47" w:name="_Toc26986532"/>
          <w:bookmarkEnd w:id="47"/>
          <w:r>
            <w:t>GB 3095</w:t>
          </w:r>
          <w:r>
            <w:rPr>
              <w:rFonts w:hint="eastAsia"/>
            </w:rPr>
            <w:t>—</w:t>
          </w:r>
          <w:r>
            <w:t>2012界定的以及下列术语和定义适用于本文件。</w:t>
          </w:r>
        </w:p>
      </w:sdtContent>
    </w:sdt>
    <w:p w14:paraId="0B668FE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实时监测 </w:t>
      </w:r>
      <w:r>
        <w:rPr>
          <w:rFonts w:ascii="黑体" w:hAnsi="黑体" w:eastAsia="黑体"/>
        </w:rPr>
        <w:t>real-time monitoring</w:t>
      </w:r>
    </w:p>
    <w:p w14:paraId="37898D30">
      <w:pPr>
        <w:pStyle w:val="56"/>
        <w:spacing w:line="360" w:lineRule="auto"/>
        <w:ind w:firstLine="420"/>
      </w:pPr>
      <w:r>
        <w:rPr>
          <w:rFonts w:hint="eastAsia"/>
        </w:rPr>
        <w:t>通过连续或高频次采样技术，获取大气污染物浓度的瞬时或分钟级数据。</w:t>
      </w:r>
    </w:p>
    <w:p w14:paraId="0C02BB3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数据预处理 </w:t>
      </w:r>
      <w:r>
        <w:rPr>
          <w:rFonts w:ascii="黑体" w:hAnsi="黑体" w:eastAsia="黑体"/>
        </w:rPr>
        <w:t>data preprocessing</w:t>
      </w:r>
    </w:p>
    <w:p w14:paraId="32FA457A">
      <w:pPr>
        <w:pStyle w:val="56"/>
        <w:spacing w:line="360" w:lineRule="auto"/>
        <w:ind w:firstLine="420"/>
      </w:pPr>
      <w:r>
        <w:rPr>
          <w:rFonts w:hint="eastAsia"/>
        </w:rPr>
        <w:t>对原始监测数据进行无效值剔除、异常值修正、单位统一等操作。</w:t>
      </w:r>
    </w:p>
    <w:p w14:paraId="75106154">
      <w:pPr>
        <w:pStyle w:val="223"/>
        <w:spacing w:line="360" w:lineRule="auto"/>
        <w:ind w:left="420" w:hanging="420" w:hangingChars="200"/>
        <w:rPr>
          <w:rFonts w:ascii="黑体" w:hAnsi="黑体" w:eastAsia="黑体" w:cs="宋体"/>
        </w:rPr>
      </w:pPr>
      <w:r>
        <w:rPr>
          <w:rFonts w:ascii="黑体" w:hAnsi="黑体" w:eastAsia="黑体"/>
        </w:rPr>
        <w:br w:type="textWrapping"/>
      </w:r>
      <w:r>
        <w:rPr>
          <w:rFonts w:hint="eastAsia" w:ascii="黑体" w:hAnsi="黑体" w:eastAsia="黑体"/>
        </w:rPr>
        <w:t xml:space="preserve">空气质量指数 </w:t>
      </w:r>
      <w:r>
        <w:rPr>
          <w:rFonts w:ascii="黑体" w:hAnsi="黑体" w:eastAsia="黑体"/>
        </w:rPr>
        <w:t xml:space="preserve">air </w:t>
      </w:r>
      <w:r>
        <w:rPr>
          <w:rFonts w:hint="eastAsia" w:ascii="黑体" w:hAnsi="黑体" w:eastAsia="黑体"/>
        </w:rPr>
        <w:t>q</w:t>
      </w:r>
      <w:r>
        <w:rPr>
          <w:rFonts w:ascii="黑体" w:hAnsi="黑体" w:eastAsia="黑体"/>
        </w:rPr>
        <w:t>uality index</w:t>
      </w:r>
      <w:r>
        <w:rPr>
          <w:rFonts w:hint="eastAsia" w:ascii="黑体" w:hAnsi="黑体" w:eastAsia="黑体"/>
        </w:rPr>
        <w:t>（</w:t>
      </w:r>
      <w:r>
        <w:rPr>
          <w:rFonts w:ascii="黑体" w:hAnsi="黑体" w:eastAsia="黑体"/>
        </w:rPr>
        <w:t>AQI</w:t>
      </w:r>
      <w:r>
        <w:rPr>
          <w:rFonts w:hint="eastAsia" w:ascii="黑体" w:hAnsi="黑体" w:eastAsia="黑体"/>
        </w:rPr>
        <w:t>）</w:t>
      </w:r>
    </w:p>
    <w:p w14:paraId="5CD54367">
      <w:pPr>
        <w:pStyle w:val="56"/>
        <w:spacing w:line="360" w:lineRule="auto"/>
        <w:ind w:firstLine="420"/>
      </w:pPr>
      <w:r>
        <w:rPr>
          <w:rFonts w:hint="eastAsia" w:hAnsi="宋体" w:cs="宋体"/>
        </w:rPr>
        <w:t>根据污染物浓度计算的环境空气质量综合评价指标</w:t>
      </w:r>
      <w:r>
        <w:rPr>
          <w:rFonts w:hint="eastAsia"/>
        </w:rPr>
        <w:t>。</w:t>
      </w:r>
    </w:p>
    <w:p w14:paraId="1237E0AD">
      <w:pPr>
        <w:pStyle w:val="104"/>
        <w:spacing w:before="240" w:after="240" w:line="360" w:lineRule="auto"/>
      </w:pPr>
      <w:bookmarkStart w:id="48" w:name="_Toc192685926"/>
      <w:r>
        <w:t>总体要求</w:t>
      </w:r>
      <w:bookmarkEnd w:id="48"/>
    </w:p>
    <w:p w14:paraId="04B306D9">
      <w:pPr>
        <w:pStyle w:val="105"/>
        <w:spacing w:before="120" w:after="120" w:line="360" w:lineRule="auto"/>
      </w:pPr>
      <w:r>
        <w:t>系统架构</w:t>
      </w:r>
    </w:p>
    <w:p w14:paraId="631A5692">
      <w:pPr>
        <w:pStyle w:val="56"/>
        <w:spacing w:line="360" w:lineRule="auto"/>
        <w:ind w:firstLine="420"/>
      </w:pPr>
      <w:r>
        <w:t>实时监测系统应包含感知层（传感器/分析仪）、传输层（物联网通信模块）、平台层（数据存储与计算中心）和应用层（可视化与决策支持）四部分，支持模块化扩展。</w:t>
      </w:r>
    </w:p>
    <w:p w14:paraId="04781189">
      <w:pPr>
        <w:pStyle w:val="56"/>
        <w:spacing w:line="360" w:lineRule="auto"/>
        <w:ind w:firstLine="420"/>
      </w:pPr>
      <w:r>
        <w:t>系统兼容性要求：支持与生态环境部门现有监测平台（如国家环境空气质量监测网）数据接口对接。</w:t>
      </w:r>
    </w:p>
    <w:p w14:paraId="0D4556DE">
      <w:pPr>
        <w:pStyle w:val="105"/>
        <w:spacing w:before="120" w:after="120" w:line="360" w:lineRule="auto"/>
      </w:pPr>
      <w:r>
        <w:t>性能指标</w:t>
      </w:r>
    </w:p>
    <w:p w14:paraId="38222890">
      <w:pPr>
        <w:pStyle w:val="56"/>
        <w:spacing w:line="360" w:lineRule="auto"/>
        <w:ind w:firstLine="420"/>
      </w:pPr>
      <w:r>
        <w:t>监测设备需满足以下精度要求</w:t>
      </w:r>
      <w:r>
        <w:rPr>
          <w:rFonts w:hint="eastAsia"/>
        </w:rPr>
        <w:t>（见表1）</w:t>
      </w:r>
      <w:r>
        <w:t>：</w:t>
      </w:r>
    </w:p>
    <w:p w14:paraId="32F59417">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监测设备</w:t>
      </w:r>
      <w:r>
        <w:rPr>
          <w:rFonts w:hint="eastAsia" w:ascii="黑体" w:hAnsi="黑体" w:eastAsia="黑体"/>
        </w:rPr>
        <w:t>性能指标</w:t>
      </w:r>
    </w:p>
    <w:tbl>
      <w:tblPr>
        <w:tblStyle w:val="27"/>
        <w:tblW w:w="93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4"/>
        <w:gridCol w:w="2334"/>
        <w:gridCol w:w="2334"/>
      </w:tblGrid>
      <w:tr w14:paraId="7C328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333212F4">
            <w:pPr>
              <w:pStyle w:val="178"/>
              <w:rPr>
                <w:rFonts w:hAnsi="宋体"/>
              </w:rPr>
            </w:pPr>
            <w:r>
              <w:rPr>
                <w:rFonts w:hAnsi="宋体"/>
              </w:rPr>
              <w:t>污染物</w:t>
            </w:r>
          </w:p>
        </w:tc>
        <w:tc>
          <w:tcPr>
            <w:tcW w:w="2334" w:type="dxa"/>
            <w:tcBorders>
              <w:top w:val="single" w:color="auto" w:sz="8" w:space="0"/>
              <w:bottom w:val="single" w:color="auto" w:sz="8" w:space="0"/>
            </w:tcBorders>
            <w:vAlign w:val="center"/>
          </w:tcPr>
          <w:p w14:paraId="230DE6B2">
            <w:pPr>
              <w:pStyle w:val="178"/>
              <w:rPr>
                <w:rFonts w:hAnsi="宋体"/>
              </w:rPr>
            </w:pPr>
            <w:r>
              <w:rPr>
                <w:rFonts w:hAnsi="宋体"/>
              </w:rPr>
              <w:t>量程范围</w:t>
            </w:r>
          </w:p>
        </w:tc>
        <w:tc>
          <w:tcPr>
            <w:tcW w:w="2334" w:type="dxa"/>
            <w:tcBorders>
              <w:top w:val="single" w:color="auto" w:sz="8" w:space="0"/>
              <w:bottom w:val="single" w:color="auto" w:sz="8" w:space="0"/>
            </w:tcBorders>
            <w:vAlign w:val="center"/>
          </w:tcPr>
          <w:p w14:paraId="6757FC26">
            <w:pPr>
              <w:pStyle w:val="178"/>
              <w:rPr>
                <w:rFonts w:hAnsi="宋体"/>
              </w:rPr>
            </w:pPr>
            <w:r>
              <w:rPr>
                <w:rFonts w:hAnsi="宋体"/>
              </w:rPr>
              <w:t>最低检出限</w:t>
            </w:r>
          </w:p>
        </w:tc>
        <w:tc>
          <w:tcPr>
            <w:tcW w:w="2334" w:type="dxa"/>
            <w:tcBorders>
              <w:top w:val="single" w:color="auto" w:sz="8" w:space="0"/>
              <w:bottom w:val="single" w:color="auto" w:sz="8" w:space="0"/>
            </w:tcBorders>
            <w:vAlign w:val="center"/>
          </w:tcPr>
          <w:p w14:paraId="35713491">
            <w:pPr>
              <w:pStyle w:val="178"/>
              <w:rPr>
                <w:rFonts w:hAnsi="宋体"/>
              </w:rPr>
            </w:pPr>
            <w:r>
              <w:rPr>
                <w:rFonts w:hAnsi="宋体"/>
              </w:rPr>
              <w:t>相对误差</w:t>
            </w:r>
          </w:p>
        </w:tc>
      </w:tr>
      <w:tr w14:paraId="547D1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6D5B9838">
            <w:pPr>
              <w:pStyle w:val="178"/>
              <w:rPr>
                <w:rFonts w:hAnsi="宋体"/>
              </w:rPr>
            </w:pPr>
            <w:r>
              <w:rPr>
                <w:rFonts w:hAnsi="宋体"/>
              </w:rPr>
              <w:t>PM2.5</w:t>
            </w:r>
          </w:p>
        </w:tc>
        <w:tc>
          <w:tcPr>
            <w:tcW w:w="2334" w:type="dxa"/>
            <w:tcBorders>
              <w:top w:val="single" w:color="auto" w:sz="8" w:space="0"/>
            </w:tcBorders>
            <w:vAlign w:val="center"/>
          </w:tcPr>
          <w:p w14:paraId="6DEB8817">
            <w:pPr>
              <w:pStyle w:val="178"/>
              <w:rPr>
                <w:rFonts w:hAnsi="宋体"/>
              </w:rPr>
            </w:pPr>
            <w:r>
              <w:rPr>
                <w:rFonts w:hAnsi="宋体"/>
              </w:rPr>
              <w:t>0-1000 μg/m³</w:t>
            </w:r>
          </w:p>
        </w:tc>
        <w:tc>
          <w:tcPr>
            <w:tcW w:w="2334" w:type="dxa"/>
            <w:tcBorders>
              <w:top w:val="single" w:color="auto" w:sz="8" w:space="0"/>
            </w:tcBorders>
            <w:vAlign w:val="center"/>
          </w:tcPr>
          <w:p w14:paraId="7FD0BBFC">
            <w:pPr>
              <w:pStyle w:val="178"/>
              <w:rPr>
                <w:rFonts w:hAnsi="宋体"/>
              </w:rPr>
            </w:pPr>
            <w:r>
              <w:rPr>
                <w:rFonts w:hAnsi="宋体"/>
              </w:rPr>
              <w:t>≤1 μg/m³</w:t>
            </w:r>
          </w:p>
        </w:tc>
        <w:tc>
          <w:tcPr>
            <w:tcW w:w="2334" w:type="dxa"/>
            <w:tcBorders>
              <w:top w:val="single" w:color="auto" w:sz="8" w:space="0"/>
            </w:tcBorders>
            <w:vAlign w:val="center"/>
          </w:tcPr>
          <w:p w14:paraId="05C8A677">
            <w:pPr>
              <w:pStyle w:val="178"/>
              <w:rPr>
                <w:rFonts w:hAnsi="宋体"/>
              </w:rPr>
            </w:pPr>
            <w:r>
              <w:rPr>
                <w:rFonts w:hAnsi="宋体"/>
              </w:rPr>
              <w:t>±10%</w:t>
            </w:r>
          </w:p>
        </w:tc>
      </w:tr>
      <w:tr w14:paraId="1CB29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0487AF6E">
            <w:pPr>
              <w:pStyle w:val="178"/>
              <w:rPr>
                <w:rFonts w:hAnsi="宋体"/>
              </w:rPr>
            </w:pPr>
            <w:r>
              <w:rPr>
                <w:rFonts w:hAnsi="宋体"/>
              </w:rPr>
              <w:t>SO</w:t>
            </w:r>
            <w:r>
              <w:rPr>
                <w:rFonts w:ascii="Times New Roman"/>
              </w:rPr>
              <w:t>₂</w:t>
            </w:r>
          </w:p>
        </w:tc>
        <w:tc>
          <w:tcPr>
            <w:tcW w:w="2334" w:type="dxa"/>
            <w:vAlign w:val="center"/>
          </w:tcPr>
          <w:p w14:paraId="6461C223">
            <w:pPr>
              <w:pStyle w:val="178"/>
              <w:rPr>
                <w:rFonts w:hAnsi="宋体"/>
              </w:rPr>
            </w:pPr>
            <w:r>
              <w:rPr>
                <w:rFonts w:hAnsi="宋体"/>
              </w:rPr>
              <w:t>0-500 ppb</w:t>
            </w:r>
          </w:p>
        </w:tc>
        <w:tc>
          <w:tcPr>
            <w:tcW w:w="2334" w:type="dxa"/>
            <w:vAlign w:val="center"/>
          </w:tcPr>
          <w:p w14:paraId="156194E1">
            <w:pPr>
              <w:pStyle w:val="178"/>
              <w:rPr>
                <w:rFonts w:hAnsi="宋体"/>
              </w:rPr>
            </w:pPr>
            <w:r>
              <w:rPr>
                <w:rFonts w:hAnsi="宋体"/>
              </w:rPr>
              <w:t>≤1 ppb</w:t>
            </w:r>
          </w:p>
        </w:tc>
        <w:tc>
          <w:tcPr>
            <w:tcW w:w="2334" w:type="dxa"/>
            <w:vAlign w:val="center"/>
          </w:tcPr>
          <w:p w14:paraId="5B993F3F">
            <w:pPr>
              <w:pStyle w:val="178"/>
              <w:rPr>
                <w:rFonts w:hAnsi="宋体"/>
              </w:rPr>
            </w:pPr>
            <w:r>
              <w:rPr>
                <w:rFonts w:hAnsi="宋体"/>
              </w:rPr>
              <w:t>±5%</w:t>
            </w:r>
          </w:p>
        </w:tc>
      </w:tr>
      <w:tr w14:paraId="4D83A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54DBBEA9">
            <w:pPr>
              <w:pStyle w:val="178"/>
              <w:rPr>
                <w:rFonts w:hAnsi="宋体"/>
              </w:rPr>
            </w:pPr>
            <w:r>
              <w:rPr>
                <w:rFonts w:hAnsi="宋体"/>
              </w:rPr>
              <w:t>NOx</w:t>
            </w:r>
          </w:p>
        </w:tc>
        <w:tc>
          <w:tcPr>
            <w:tcW w:w="2334" w:type="dxa"/>
            <w:vAlign w:val="center"/>
          </w:tcPr>
          <w:p w14:paraId="0D2E2B12">
            <w:pPr>
              <w:pStyle w:val="178"/>
              <w:rPr>
                <w:rFonts w:hAnsi="宋体"/>
              </w:rPr>
            </w:pPr>
            <w:r>
              <w:rPr>
                <w:rFonts w:hAnsi="宋体"/>
              </w:rPr>
              <w:t>0-1000 ppb</w:t>
            </w:r>
          </w:p>
        </w:tc>
        <w:tc>
          <w:tcPr>
            <w:tcW w:w="2334" w:type="dxa"/>
            <w:vAlign w:val="center"/>
          </w:tcPr>
          <w:p w14:paraId="3F370491">
            <w:pPr>
              <w:pStyle w:val="178"/>
              <w:rPr>
                <w:rFonts w:hAnsi="宋体"/>
              </w:rPr>
            </w:pPr>
            <w:r>
              <w:rPr>
                <w:rFonts w:hAnsi="宋体"/>
              </w:rPr>
              <w:t>≤2 ppb</w:t>
            </w:r>
          </w:p>
        </w:tc>
        <w:tc>
          <w:tcPr>
            <w:tcW w:w="2334" w:type="dxa"/>
            <w:vAlign w:val="center"/>
          </w:tcPr>
          <w:p w14:paraId="3CB6FCE7">
            <w:pPr>
              <w:pStyle w:val="178"/>
              <w:rPr>
                <w:rFonts w:hAnsi="宋体"/>
              </w:rPr>
            </w:pPr>
            <w:r>
              <w:rPr>
                <w:rFonts w:hAnsi="宋体"/>
              </w:rPr>
              <w:t>±8%</w:t>
            </w:r>
          </w:p>
        </w:tc>
      </w:tr>
    </w:tbl>
    <w:p w14:paraId="5C665132">
      <w:pPr>
        <w:pStyle w:val="56"/>
        <w:spacing w:before="120" w:beforeLines="50" w:line="360" w:lineRule="auto"/>
        <w:ind w:firstLine="420"/>
        <w:rPr>
          <w:rFonts w:hAnsi="宋体"/>
        </w:rPr>
      </w:pPr>
      <w:r>
        <w:rPr>
          <w:rFonts w:hAnsi="宋体"/>
        </w:rPr>
        <w:t>数据存储能力：原始数据本地存储≥30天，云端存储≥5年。</w:t>
      </w:r>
    </w:p>
    <w:p w14:paraId="001B9591">
      <w:pPr>
        <w:pStyle w:val="104"/>
        <w:spacing w:before="240" w:after="240" w:line="360" w:lineRule="auto"/>
      </w:pPr>
      <w:bookmarkStart w:id="49" w:name="_Toc192685927"/>
      <w:r>
        <w:t>监测技术要求</w:t>
      </w:r>
      <w:bookmarkEnd w:id="49"/>
    </w:p>
    <w:p w14:paraId="3D459825">
      <w:pPr>
        <w:pStyle w:val="105"/>
        <w:spacing w:before="120" w:after="120" w:line="360" w:lineRule="auto"/>
      </w:pPr>
      <w:r>
        <w:t>监测点位布设</w:t>
      </w:r>
    </w:p>
    <w:p w14:paraId="31EA8D53">
      <w:pPr>
        <w:pStyle w:val="56"/>
        <w:spacing w:line="360" w:lineRule="auto"/>
        <w:ind w:firstLine="420"/>
        <w:rPr>
          <w:rFonts w:hAnsi="宋体"/>
        </w:rPr>
      </w:pPr>
      <w:r>
        <w:t>点</w:t>
      </w:r>
      <w:r>
        <w:rPr>
          <w:rFonts w:hAnsi="宋体"/>
        </w:rPr>
        <w:t>位类型：</w:t>
      </w:r>
    </w:p>
    <w:p w14:paraId="0E3C6EC4">
      <w:pPr>
        <w:pStyle w:val="132"/>
        <w:spacing w:line="360" w:lineRule="auto"/>
      </w:pPr>
      <w:r>
        <w:t>城市背景点：远离污染源，反映区域背景浓度，优先设置在城市主导风向上风向</w:t>
      </w:r>
      <w:r>
        <w:rPr>
          <w:rFonts w:hint="eastAsia"/>
        </w:rPr>
        <w:t>；</w:t>
      </w:r>
    </w:p>
    <w:p w14:paraId="3F71FEDD">
      <w:pPr>
        <w:pStyle w:val="132"/>
        <w:spacing w:line="360" w:lineRule="auto"/>
      </w:pPr>
      <w:r>
        <w:t>交通污染点：距道路边缘≤20米，采样高度3</w:t>
      </w:r>
      <w:r>
        <w:rPr>
          <w:rFonts w:hint="eastAsia"/>
        </w:rPr>
        <w:t>～</w:t>
      </w:r>
      <w:r>
        <w:t>5米，监测机动车尾气排放贡献</w:t>
      </w:r>
      <w:r>
        <w:rPr>
          <w:rFonts w:hint="eastAsia"/>
        </w:rPr>
        <w:t>；</w:t>
      </w:r>
    </w:p>
    <w:p w14:paraId="134B3DD4">
      <w:pPr>
        <w:pStyle w:val="132"/>
        <w:spacing w:line="360" w:lineRule="auto"/>
      </w:pPr>
      <w:r>
        <w:t>工业监控点：设置在工业园区边界或主导下风向，监测工业源排放影响</w:t>
      </w:r>
      <w:r>
        <w:rPr>
          <w:rFonts w:hint="eastAsia"/>
        </w:rPr>
        <w:t>；</w:t>
      </w:r>
    </w:p>
    <w:p w14:paraId="488FA3D0">
      <w:pPr>
        <w:pStyle w:val="132"/>
        <w:spacing w:line="360" w:lineRule="auto"/>
      </w:pPr>
      <w:r>
        <w:t>空间密度：建成区每10平方公里至少1个监测点，工业园区每2平方公里至少1个监测点。</w:t>
      </w:r>
    </w:p>
    <w:p w14:paraId="498C4C70">
      <w:pPr>
        <w:pStyle w:val="105"/>
        <w:spacing w:before="120" w:after="120" w:line="360" w:lineRule="auto"/>
      </w:pPr>
      <w:r>
        <w:t>设备安装与调试</w:t>
      </w:r>
    </w:p>
    <w:p w14:paraId="265D316A">
      <w:pPr>
        <w:pStyle w:val="56"/>
        <w:spacing w:line="360" w:lineRule="auto"/>
        <w:ind w:firstLine="420"/>
      </w:pPr>
      <w:r>
        <w:t>安装要求：</w:t>
      </w:r>
    </w:p>
    <w:p w14:paraId="603D8958">
      <w:pPr>
        <w:pStyle w:val="56"/>
        <w:spacing w:line="360" w:lineRule="auto"/>
        <w:ind w:firstLine="420"/>
        <w:rPr>
          <w:rFonts w:hAnsi="宋体"/>
        </w:rPr>
      </w:pPr>
      <w:r>
        <w:rPr>
          <w:rFonts w:hAnsi="宋体"/>
        </w:rPr>
        <w:t>采样口与建筑物距离≥2倍建筑物高度，避免气流干扰。</w:t>
      </w:r>
    </w:p>
    <w:p w14:paraId="33CAED01">
      <w:pPr>
        <w:pStyle w:val="56"/>
        <w:spacing w:line="360" w:lineRule="auto"/>
        <w:ind w:firstLine="420"/>
        <w:rPr>
          <w:rFonts w:hAnsi="宋体"/>
        </w:rPr>
      </w:pPr>
      <w:r>
        <w:rPr>
          <w:rFonts w:hAnsi="宋体"/>
        </w:rPr>
        <w:t>电化学传感器需配备防潮装置，光学设备需避免强直射光干扰。</w:t>
      </w:r>
    </w:p>
    <w:p w14:paraId="0AF318C2">
      <w:pPr>
        <w:pStyle w:val="56"/>
        <w:spacing w:line="360" w:lineRule="auto"/>
        <w:ind w:firstLine="420"/>
        <w:rPr>
          <w:rFonts w:hAnsi="宋体"/>
        </w:rPr>
      </w:pPr>
      <w:r>
        <w:rPr>
          <w:rFonts w:hAnsi="宋体"/>
        </w:rPr>
        <w:t>调试流程：</w:t>
      </w:r>
    </w:p>
    <w:p w14:paraId="2B097257">
      <w:pPr>
        <w:pStyle w:val="174"/>
        <w:spacing w:line="360" w:lineRule="auto"/>
        <w:rPr>
          <w:rFonts w:hAnsi="宋体"/>
        </w:rPr>
      </w:pPr>
      <w:r>
        <w:rPr>
          <w:rFonts w:hAnsi="宋体"/>
        </w:rPr>
        <w:t>开机预热：设备通电后预热≥30分钟；</w:t>
      </w:r>
    </w:p>
    <w:p w14:paraId="24743F5C">
      <w:pPr>
        <w:pStyle w:val="174"/>
        <w:spacing w:line="360" w:lineRule="auto"/>
        <w:rPr>
          <w:rFonts w:hAnsi="宋体"/>
        </w:rPr>
      </w:pPr>
      <w:r>
        <w:rPr>
          <w:rFonts w:hAnsi="宋体"/>
        </w:rPr>
        <w:t>零点校准：通入零空气（Zero Air），调整基线至稳定状态；</w:t>
      </w:r>
    </w:p>
    <w:p w14:paraId="1AAF7867">
      <w:pPr>
        <w:pStyle w:val="174"/>
        <w:spacing w:line="360" w:lineRule="auto"/>
        <w:rPr>
          <w:rFonts w:hAnsi="宋体"/>
        </w:rPr>
      </w:pPr>
      <w:r>
        <w:rPr>
          <w:rFonts w:hAnsi="宋体"/>
        </w:rPr>
        <w:t>跨度校准：通入标准气体（如SO</w:t>
      </w:r>
      <w:r>
        <w:rPr>
          <w:rFonts w:ascii="Times New Roman"/>
        </w:rPr>
        <w:t>₂</w:t>
      </w:r>
      <w:r>
        <w:rPr>
          <w:rFonts w:hAnsi="宋体"/>
        </w:rPr>
        <w:t>标气浓度为满量程80%），验证设备线性响应；</w:t>
      </w:r>
    </w:p>
    <w:p w14:paraId="58AAC1F0">
      <w:pPr>
        <w:pStyle w:val="174"/>
        <w:spacing w:line="360" w:lineRule="auto"/>
        <w:rPr>
          <w:rFonts w:hAnsi="宋体"/>
        </w:rPr>
      </w:pPr>
      <w:r>
        <w:rPr>
          <w:rFonts w:hAnsi="宋体"/>
        </w:rPr>
        <w:t>平行比对：与国控站点同步监测24小时，数据相关系数R²≥0.85。</w:t>
      </w:r>
    </w:p>
    <w:p w14:paraId="67923D65">
      <w:pPr>
        <w:pStyle w:val="104"/>
        <w:spacing w:before="240" w:after="240" w:line="360" w:lineRule="auto"/>
      </w:pPr>
      <w:bookmarkStart w:id="50" w:name="_Toc192685928"/>
      <w:r>
        <w:t>数据采集与传输</w:t>
      </w:r>
      <w:bookmarkEnd w:id="50"/>
    </w:p>
    <w:p w14:paraId="704A3D21">
      <w:pPr>
        <w:pStyle w:val="105"/>
        <w:spacing w:before="120" w:after="120" w:line="360" w:lineRule="auto"/>
      </w:pPr>
      <w:r>
        <w:t>数据采集规则</w:t>
      </w:r>
    </w:p>
    <w:p w14:paraId="6B181B57">
      <w:pPr>
        <w:pStyle w:val="56"/>
        <w:spacing w:line="360" w:lineRule="auto"/>
        <w:ind w:firstLine="420"/>
        <w:rPr>
          <w:rFonts w:hAnsi="宋体"/>
        </w:rPr>
      </w:pPr>
      <w:r>
        <w:t>时</w:t>
      </w:r>
      <w:r>
        <w:rPr>
          <w:rFonts w:hAnsi="宋体"/>
        </w:rPr>
        <w:t>间戳要求：数据记录精确至秒级（如2023-10-01 08:30:15），时钟同步误差≤1秒/月。</w:t>
      </w:r>
    </w:p>
    <w:p w14:paraId="16DDB84B">
      <w:pPr>
        <w:pStyle w:val="56"/>
        <w:spacing w:line="360" w:lineRule="auto"/>
        <w:ind w:firstLine="420"/>
        <w:rPr>
          <w:rFonts w:hAnsi="宋体"/>
        </w:rPr>
      </w:pPr>
      <w:r>
        <w:rPr>
          <w:rFonts w:hAnsi="宋体"/>
        </w:rPr>
        <w:t>数据字段：至少包含污染物浓度、设备状态码（正常/故障）、气象参数（温度、湿度、风速、风向）。</w:t>
      </w:r>
    </w:p>
    <w:p w14:paraId="52F3C713">
      <w:pPr>
        <w:pStyle w:val="105"/>
        <w:spacing w:before="120" w:after="120" w:line="360" w:lineRule="auto"/>
      </w:pPr>
      <w:r>
        <w:t>传输与容灾</w:t>
      </w:r>
    </w:p>
    <w:p w14:paraId="6D28F5B9">
      <w:pPr>
        <w:pStyle w:val="56"/>
        <w:spacing w:line="360" w:lineRule="auto"/>
        <w:ind w:firstLine="420"/>
        <w:rPr>
          <w:rFonts w:hAnsi="宋体"/>
        </w:rPr>
      </w:pPr>
      <w:r>
        <w:rPr>
          <w:rFonts w:hAnsi="宋体"/>
        </w:rPr>
        <w:t>传输频率：实时数据每1分钟上传一次，历史数据补传间隔≤1小时。</w:t>
      </w:r>
    </w:p>
    <w:p w14:paraId="5767A188">
      <w:pPr>
        <w:pStyle w:val="56"/>
        <w:spacing w:line="360" w:lineRule="auto"/>
        <w:ind w:firstLine="420"/>
        <w:rPr>
          <w:rFonts w:hAnsi="宋体"/>
        </w:rPr>
      </w:pPr>
      <w:r>
        <w:rPr>
          <w:rFonts w:hAnsi="宋体"/>
        </w:rPr>
        <w:t>断网处理：设备内置缓存存储≥7天数据，网络恢复后自动续传并标记补传时段。</w:t>
      </w:r>
    </w:p>
    <w:p w14:paraId="3DACCAD4">
      <w:pPr>
        <w:pStyle w:val="56"/>
        <w:spacing w:line="360" w:lineRule="auto"/>
        <w:ind w:firstLine="420"/>
      </w:pPr>
      <w:r>
        <w:rPr>
          <w:rFonts w:hAnsi="宋体"/>
        </w:rPr>
        <w:t>加密要求：采用TLS 1.2及以上协议加密，数据包签名防篡改</w:t>
      </w:r>
      <w:r>
        <w:t>。</w:t>
      </w:r>
    </w:p>
    <w:p w14:paraId="4CAF4E39">
      <w:pPr>
        <w:pStyle w:val="104"/>
        <w:spacing w:before="240" w:after="240" w:line="360" w:lineRule="auto"/>
      </w:pPr>
      <w:bookmarkStart w:id="51" w:name="_Toc192685929"/>
      <w:r>
        <w:t>数据处理与分析</w:t>
      </w:r>
      <w:bookmarkEnd w:id="51"/>
    </w:p>
    <w:p w14:paraId="7C58BF1D">
      <w:pPr>
        <w:pStyle w:val="105"/>
        <w:spacing w:before="120" w:after="120" w:line="360" w:lineRule="auto"/>
      </w:pPr>
      <w:r>
        <w:t>数据预处理</w:t>
      </w:r>
    </w:p>
    <w:p w14:paraId="73A8B6A4">
      <w:pPr>
        <w:pStyle w:val="56"/>
        <w:spacing w:line="360" w:lineRule="auto"/>
        <w:ind w:firstLine="420"/>
      </w:pPr>
      <w:r>
        <w:t>无效数据剔除规则：</w:t>
      </w:r>
    </w:p>
    <w:p w14:paraId="2A739C34">
      <w:pPr>
        <w:pStyle w:val="132"/>
        <w:spacing w:line="360" w:lineRule="auto"/>
        <w:rPr>
          <w:rFonts w:hAnsi="宋体"/>
        </w:rPr>
      </w:pPr>
      <w:r>
        <w:t>传</w:t>
      </w:r>
      <w:r>
        <w:rPr>
          <w:rFonts w:hAnsi="宋体"/>
        </w:rPr>
        <w:t>感器故障标志（如状态码为“E01-E05”）对应的数据；</w:t>
      </w:r>
    </w:p>
    <w:p w14:paraId="303C3CA6">
      <w:pPr>
        <w:pStyle w:val="132"/>
        <w:spacing w:line="360" w:lineRule="auto"/>
        <w:rPr>
          <w:rFonts w:hAnsi="宋体"/>
        </w:rPr>
      </w:pPr>
      <w:r>
        <w:rPr>
          <w:rFonts w:hAnsi="宋体"/>
        </w:rPr>
        <w:t>超出量程上限150%或低于检出限的连续异常值（持续≥10分钟）。</w:t>
      </w:r>
    </w:p>
    <w:p w14:paraId="11EF8A45">
      <w:pPr>
        <w:pStyle w:val="56"/>
        <w:spacing w:line="360" w:lineRule="auto"/>
        <w:ind w:firstLine="420"/>
        <w:rPr>
          <w:rFonts w:hAnsi="宋体"/>
        </w:rPr>
      </w:pPr>
      <w:r>
        <w:rPr>
          <w:rFonts w:hAnsi="宋体"/>
        </w:rPr>
        <w:t>数据插补方法：</w:t>
      </w:r>
    </w:p>
    <w:p w14:paraId="2D982400">
      <w:pPr>
        <w:pStyle w:val="132"/>
        <w:spacing w:line="360" w:lineRule="auto"/>
        <w:rPr>
          <w:rFonts w:hAnsi="宋体"/>
        </w:rPr>
      </w:pPr>
      <w:r>
        <w:rPr>
          <w:rFonts w:hAnsi="宋体"/>
        </w:rPr>
        <w:t>短时缺失（≤2小时）采用时间序列线性插值；</w:t>
      </w:r>
    </w:p>
    <w:p w14:paraId="40A9F0E9">
      <w:pPr>
        <w:pStyle w:val="132"/>
        <w:spacing w:line="360" w:lineRule="auto"/>
      </w:pPr>
      <w:r>
        <w:rPr>
          <w:rFonts w:hAnsi="宋体"/>
        </w:rPr>
        <w:t>长时缺失（＞2小时）结</w:t>
      </w:r>
      <w:r>
        <w:t>合邻近站点数据与气象模型进行空间插值。</w:t>
      </w:r>
    </w:p>
    <w:p w14:paraId="528BFD79">
      <w:pPr>
        <w:pStyle w:val="105"/>
        <w:spacing w:before="120" w:after="120" w:line="360" w:lineRule="auto"/>
      </w:pPr>
      <w:r>
        <w:t>高级分析模型</w:t>
      </w:r>
    </w:p>
    <w:p w14:paraId="5F87FB33">
      <w:pPr>
        <w:pStyle w:val="56"/>
        <w:spacing w:line="360" w:lineRule="auto"/>
        <w:ind w:firstLine="420"/>
      </w:pPr>
      <w:r>
        <w:t>污染溯源：</w:t>
      </w:r>
    </w:p>
    <w:p w14:paraId="7EBCB11C">
      <w:pPr>
        <w:pStyle w:val="132"/>
        <w:spacing w:line="360" w:lineRule="auto"/>
      </w:pPr>
      <w:r>
        <w:t>利用后向轨迹模型（HYSPLIT）分析污染物传输路径；</w:t>
      </w:r>
    </w:p>
    <w:p w14:paraId="27E37A5B">
      <w:pPr>
        <w:pStyle w:val="132"/>
        <w:spacing w:line="360" w:lineRule="auto"/>
      </w:pPr>
      <w:r>
        <w:t>结合正定矩阵因子分解（PMF）解析本地污染源贡献率。</w:t>
      </w:r>
    </w:p>
    <w:p w14:paraId="28AFB893">
      <w:pPr>
        <w:pStyle w:val="56"/>
        <w:spacing w:line="360" w:lineRule="auto"/>
        <w:ind w:firstLine="420"/>
      </w:pPr>
      <w:r>
        <w:t>预警模型：基于滑动窗口算法（窗口长度6小时）预测AQI变化趋势，触发黄/橙/红色预警。</w:t>
      </w:r>
    </w:p>
    <w:p w14:paraId="19368E5A">
      <w:pPr>
        <w:pStyle w:val="104"/>
        <w:spacing w:before="240" w:after="240" w:line="360" w:lineRule="auto"/>
      </w:pPr>
      <w:bookmarkStart w:id="52" w:name="_Toc192685930"/>
      <w:r>
        <w:t>质量控制</w:t>
      </w:r>
      <w:bookmarkEnd w:id="52"/>
    </w:p>
    <w:p w14:paraId="5CFFDE26">
      <w:pPr>
        <w:pStyle w:val="105"/>
        <w:spacing w:before="120" w:after="120" w:line="360" w:lineRule="auto"/>
      </w:pPr>
      <w:r>
        <w:t>日常运维</w:t>
      </w:r>
    </w:p>
    <w:p w14:paraId="5EFA2E45">
      <w:pPr>
        <w:pStyle w:val="56"/>
        <w:spacing w:line="360" w:lineRule="auto"/>
        <w:ind w:firstLine="420"/>
      </w:pPr>
      <w:r>
        <w:t>校准周期</w:t>
      </w:r>
      <w:r>
        <w:rPr>
          <w:rFonts w:hint="eastAsia"/>
        </w:rPr>
        <w:t>见表2</w:t>
      </w:r>
      <w:r>
        <w:t>：</w:t>
      </w:r>
    </w:p>
    <w:p w14:paraId="27E62F3B">
      <w:pPr>
        <w:pStyle w:val="56"/>
        <w:spacing w:line="360" w:lineRule="auto"/>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日常运维校准周期</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45BC6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34" w:type="dxa"/>
            <w:tcBorders>
              <w:top w:val="single" w:color="auto" w:sz="8" w:space="0"/>
              <w:bottom w:val="single" w:color="auto" w:sz="8" w:space="0"/>
            </w:tcBorders>
            <w:shd w:val="clear" w:color="auto" w:fill="auto"/>
            <w:vAlign w:val="center"/>
          </w:tcPr>
          <w:p w14:paraId="36C3617D">
            <w:pPr>
              <w:pStyle w:val="178"/>
            </w:pPr>
            <w:r>
              <w:t>设备类型</w:t>
            </w:r>
          </w:p>
        </w:tc>
        <w:tc>
          <w:tcPr>
            <w:tcW w:w="2333" w:type="dxa"/>
            <w:tcBorders>
              <w:top w:val="single" w:color="auto" w:sz="8" w:space="0"/>
              <w:bottom w:val="single" w:color="auto" w:sz="8" w:space="0"/>
            </w:tcBorders>
            <w:shd w:val="clear" w:color="auto" w:fill="auto"/>
            <w:vAlign w:val="center"/>
          </w:tcPr>
          <w:p w14:paraId="007FC837">
            <w:pPr>
              <w:pStyle w:val="178"/>
            </w:pPr>
            <w:r>
              <w:t>零点校准</w:t>
            </w:r>
          </w:p>
        </w:tc>
        <w:tc>
          <w:tcPr>
            <w:tcW w:w="2333" w:type="dxa"/>
            <w:tcBorders>
              <w:top w:val="single" w:color="auto" w:sz="8" w:space="0"/>
              <w:bottom w:val="single" w:color="auto" w:sz="8" w:space="0"/>
            </w:tcBorders>
            <w:shd w:val="clear" w:color="auto" w:fill="auto"/>
            <w:vAlign w:val="center"/>
          </w:tcPr>
          <w:p w14:paraId="41308440">
            <w:pPr>
              <w:pStyle w:val="178"/>
            </w:pPr>
            <w:r>
              <w:t>跨度校准</w:t>
            </w:r>
          </w:p>
        </w:tc>
        <w:tc>
          <w:tcPr>
            <w:tcW w:w="2334" w:type="dxa"/>
            <w:tcBorders>
              <w:top w:val="single" w:color="auto" w:sz="8" w:space="0"/>
              <w:bottom w:val="single" w:color="auto" w:sz="8" w:space="0"/>
            </w:tcBorders>
            <w:shd w:val="clear" w:color="auto" w:fill="auto"/>
            <w:vAlign w:val="center"/>
          </w:tcPr>
          <w:p w14:paraId="7D4E73C6">
            <w:pPr>
              <w:pStyle w:val="178"/>
            </w:pPr>
            <w:r>
              <w:t>全系统检查</w:t>
            </w:r>
          </w:p>
        </w:tc>
      </w:tr>
      <w:tr w14:paraId="7B328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67CDC5CA">
            <w:pPr>
              <w:pStyle w:val="178"/>
            </w:pPr>
            <w:r>
              <w:t>光学设备</w:t>
            </w:r>
          </w:p>
        </w:tc>
        <w:tc>
          <w:tcPr>
            <w:tcW w:w="2333" w:type="dxa"/>
            <w:tcBorders>
              <w:top w:val="single" w:color="auto" w:sz="8" w:space="0"/>
            </w:tcBorders>
            <w:shd w:val="clear" w:color="auto" w:fill="auto"/>
            <w:vAlign w:val="center"/>
          </w:tcPr>
          <w:p w14:paraId="5C29BDEF">
            <w:pPr>
              <w:pStyle w:val="178"/>
            </w:pPr>
            <w:r>
              <w:t>每周1次</w:t>
            </w:r>
          </w:p>
        </w:tc>
        <w:tc>
          <w:tcPr>
            <w:tcW w:w="2333" w:type="dxa"/>
            <w:tcBorders>
              <w:top w:val="single" w:color="auto" w:sz="8" w:space="0"/>
            </w:tcBorders>
            <w:shd w:val="clear" w:color="auto" w:fill="auto"/>
            <w:vAlign w:val="center"/>
          </w:tcPr>
          <w:p w14:paraId="486854B6">
            <w:pPr>
              <w:pStyle w:val="178"/>
            </w:pPr>
            <w:r>
              <w:t>每月1次</w:t>
            </w:r>
          </w:p>
        </w:tc>
        <w:tc>
          <w:tcPr>
            <w:tcW w:w="2334" w:type="dxa"/>
            <w:tcBorders>
              <w:top w:val="single" w:color="auto" w:sz="8" w:space="0"/>
            </w:tcBorders>
            <w:shd w:val="clear" w:color="auto" w:fill="auto"/>
            <w:vAlign w:val="center"/>
          </w:tcPr>
          <w:p w14:paraId="6586B09E">
            <w:pPr>
              <w:pStyle w:val="178"/>
            </w:pPr>
            <w:r>
              <w:t>每季度1次</w:t>
            </w:r>
          </w:p>
        </w:tc>
      </w:tr>
      <w:tr w14:paraId="2CC49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5CDE10C2">
            <w:pPr>
              <w:pStyle w:val="178"/>
            </w:pPr>
            <w:r>
              <w:t>传感器</w:t>
            </w:r>
          </w:p>
        </w:tc>
        <w:tc>
          <w:tcPr>
            <w:tcW w:w="2333" w:type="dxa"/>
            <w:shd w:val="clear" w:color="auto" w:fill="auto"/>
            <w:vAlign w:val="center"/>
          </w:tcPr>
          <w:p w14:paraId="4E35C9CD">
            <w:pPr>
              <w:pStyle w:val="178"/>
            </w:pPr>
            <w:r>
              <w:t>每日1次</w:t>
            </w:r>
          </w:p>
        </w:tc>
        <w:tc>
          <w:tcPr>
            <w:tcW w:w="2333" w:type="dxa"/>
            <w:shd w:val="clear" w:color="auto" w:fill="auto"/>
            <w:vAlign w:val="center"/>
          </w:tcPr>
          <w:p w14:paraId="008BA9D3">
            <w:pPr>
              <w:pStyle w:val="178"/>
            </w:pPr>
            <w:r>
              <w:t>每周1次</w:t>
            </w:r>
          </w:p>
        </w:tc>
        <w:tc>
          <w:tcPr>
            <w:tcW w:w="2334" w:type="dxa"/>
            <w:shd w:val="clear" w:color="auto" w:fill="auto"/>
            <w:vAlign w:val="center"/>
          </w:tcPr>
          <w:p w14:paraId="08FEA9CB">
            <w:pPr>
              <w:pStyle w:val="178"/>
            </w:pPr>
            <w:r>
              <w:t>每月1次</w:t>
            </w:r>
          </w:p>
        </w:tc>
      </w:tr>
    </w:tbl>
    <w:p w14:paraId="3304FA31">
      <w:pPr>
        <w:pStyle w:val="56"/>
        <w:spacing w:before="120" w:beforeLines="50" w:line="360" w:lineRule="auto"/>
        <w:ind w:firstLine="420"/>
      </w:pPr>
      <w:r>
        <w:t>维护记录：建立电子化台账，记录校准时间、人员、标准物质批号及结果偏差。</w:t>
      </w:r>
    </w:p>
    <w:p w14:paraId="60FEEBA9">
      <w:pPr>
        <w:pStyle w:val="105"/>
        <w:spacing w:before="120" w:after="120" w:line="360" w:lineRule="auto"/>
      </w:pPr>
      <w:r>
        <w:t>数据质控</w:t>
      </w:r>
    </w:p>
    <w:p w14:paraId="2EA3A5A3">
      <w:pPr>
        <w:pStyle w:val="56"/>
        <w:spacing w:line="360" w:lineRule="auto"/>
        <w:ind w:firstLine="420"/>
        <w:rPr>
          <w:rFonts w:hAnsi="宋体"/>
        </w:rPr>
      </w:pPr>
      <w:r>
        <w:rPr>
          <w:rFonts w:hAnsi="宋体"/>
        </w:rPr>
        <w:t>自动校验规则：</w:t>
      </w:r>
    </w:p>
    <w:p w14:paraId="57161FA0">
      <w:pPr>
        <w:pStyle w:val="132"/>
        <w:spacing w:line="360" w:lineRule="auto"/>
        <w:rPr>
          <w:rFonts w:hAnsi="宋体"/>
        </w:rPr>
      </w:pPr>
      <w:r>
        <w:rPr>
          <w:rFonts w:hAnsi="宋体"/>
        </w:rPr>
        <w:t>一致性校验：同一区域多设备浓度差异＞30%时触发报警；</w:t>
      </w:r>
    </w:p>
    <w:p w14:paraId="06C82CEC">
      <w:pPr>
        <w:pStyle w:val="132"/>
        <w:spacing w:line="360" w:lineRule="auto"/>
        <w:rPr>
          <w:rFonts w:hAnsi="宋体"/>
        </w:rPr>
      </w:pPr>
      <w:r>
        <w:rPr>
          <w:rFonts w:hAnsi="宋体"/>
        </w:rPr>
        <w:t>合理性校验：O</w:t>
      </w:r>
      <w:r>
        <w:rPr>
          <w:rFonts w:ascii="Times New Roman"/>
        </w:rPr>
        <w:t>₃</w:t>
      </w:r>
      <w:r>
        <w:rPr>
          <w:rFonts w:hAnsi="宋体"/>
        </w:rPr>
        <w:t>浓度夜间（20:00-6:00）显著升高（＞50%）时标记可疑。</w:t>
      </w:r>
    </w:p>
    <w:p w14:paraId="48700D82">
      <w:pPr>
        <w:pStyle w:val="56"/>
        <w:spacing w:line="360" w:lineRule="auto"/>
        <w:ind w:firstLine="420"/>
      </w:pPr>
      <w:r>
        <w:rPr>
          <w:rFonts w:hAnsi="宋体"/>
        </w:rPr>
        <w:t>人工复核：每日抽查≥10%数据，重点审核峰值时段与异常波动</w:t>
      </w:r>
      <w:r>
        <w:t>。</w:t>
      </w:r>
    </w:p>
    <w:p w14:paraId="11F371D7">
      <w:pPr>
        <w:pStyle w:val="104"/>
        <w:spacing w:before="240" w:after="240" w:line="360" w:lineRule="auto"/>
      </w:pPr>
      <w:bookmarkStart w:id="53" w:name="_Toc192685931"/>
      <w:r>
        <w:t>数据应用</w:t>
      </w:r>
      <w:bookmarkEnd w:id="53"/>
    </w:p>
    <w:p w14:paraId="4362EE77">
      <w:pPr>
        <w:pStyle w:val="105"/>
        <w:spacing w:before="120" w:after="120" w:line="360" w:lineRule="auto"/>
      </w:pPr>
      <w:r>
        <w:t>污染应急响应</w:t>
      </w:r>
    </w:p>
    <w:p w14:paraId="45632F42">
      <w:pPr>
        <w:pStyle w:val="56"/>
        <w:spacing w:line="360" w:lineRule="auto"/>
        <w:ind w:firstLine="420"/>
      </w:pPr>
      <w:r>
        <w:t>分级响应</w:t>
      </w:r>
      <w:r>
        <w:rPr>
          <w:rFonts w:hint="eastAsia"/>
        </w:rPr>
        <w:t>见表3</w:t>
      </w:r>
      <w:r>
        <w:t>：</w:t>
      </w:r>
    </w:p>
    <w:p w14:paraId="3A3DB71C">
      <w:pPr>
        <w:pStyle w:val="56"/>
        <w:spacing w:line="360" w:lineRule="auto"/>
        <w:ind w:firstLine="0" w:firstLineChars="0"/>
        <w:jc w:val="center"/>
        <w:rPr>
          <w:rFonts w:ascii="黑体" w:hAnsi="黑体" w:eastAsia="黑体"/>
        </w:rPr>
      </w:pPr>
      <w:r>
        <w:rPr>
          <w:rFonts w:hint="eastAsia" w:ascii="黑体" w:hAnsi="黑体" w:eastAsia="黑体"/>
        </w:rPr>
        <w:t>表3</w:t>
      </w:r>
      <w:r>
        <w:rPr>
          <w:rFonts w:ascii="黑体" w:hAnsi="黑体" w:eastAsia="黑体"/>
        </w:rPr>
        <w:t xml:space="preserve"> </w:t>
      </w:r>
      <w:r>
        <w:rPr>
          <w:rFonts w:hint="eastAsia" w:ascii="黑体" w:hAnsi="黑体" w:eastAsia="黑体"/>
        </w:rPr>
        <w:t>污染分级响应</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37B0F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14:paraId="31E19C0C">
            <w:pPr>
              <w:pStyle w:val="178"/>
            </w:pPr>
            <w:r>
              <w:t>AQI区间</w:t>
            </w:r>
          </w:p>
        </w:tc>
        <w:tc>
          <w:tcPr>
            <w:tcW w:w="4667" w:type="dxa"/>
            <w:tcBorders>
              <w:top w:val="single" w:color="auto" w:sz="8" w:space="0"/>
              <w:bottom w:val="single" w:color="auto" w:sz="8" w:space="0"/>
            </w:tcBorders>
            <w:shd w:val="clear" w:color="auto" w:fill="auto"/>
            <w:vAlign w:val="center"/>
          </w:tcPr>
          <w:p w14:paraId="372C4071">
            <w:pPr>
              <w:pStyle w:val="178"/>
            </w:pPr>
            <w:r>
              <w:t>响应措施</w:t>
            </w:r>
          </w:p>
        </w:tc>
      </w:tr>
      <w:tr w14:paraId="058E8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1C2DB5D5">
            <w:pPr>
              <w:pStyle w:val="178"/>
            </w:pPr>
            <w:r>
              <w:t>151-200（黄色）</w:t>
            </w:r>
          </w:p>
        </w:tc>
        <w:tc>
          <w:tcPr>
            <w:tcW w:w="4667" w:type="dxa"/>
            <w:tcBorders>
              <w:top w:val="single" w:color="auto" w:sz="8" w:space="0"/>
            </w:tcBorders>
            <w:shd w:val="clear" w:color="auto" w:fill="auto"/>
            <w:vAlign w:val="center"/>
          </w:tcPr>
          <w:p w14:paraId="20A56E8B">
            <w:pPr>
              <w:pStyle w:val="178"/>
            </w:pPr>
            <w:r>
              <w:t>加强巡查，通知企业限产</w:t>
            </w:r>
          </w:p>
        </w:tc>
      </w:tr>
      <w:tr w14:paraId="54ED9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48BF9165">
            <w:pPr>
              <w:pStyle w:val="178"/>
            </w:pPr>
            <w:r>
              <w:t>201-300（橙色）</w:t>
            </w:r>
          </w:p>
        </w:tc>
        <w:tc>
          <w:tcPr>
            <w:tcW w:w="4667" w:type="dxa"/>
            <w:shd w:val="clear" w:color="auto" w:fill="auto"/>
            <w:vAlign w:val="center"/>
          </w:tcPr>
          <w:p w14:paraId="78399A9E">
            <w:pPr>
              <w:pStyle w:val="178"/>
            </w:pPr>
            <w:r>
              <w:t>实施交通管制，重点企业停产</w:t>
            </w:r>
          </w:p>
        </w:tc>
      </w:tr>
      <w:tr w14:paraId="76DC6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38FFC07D">
            <w:pPr>
              <w:pStyle w:val="178"/>
            </w:pPr>
            <w:r>
              <w:t>＞300（红色）</w:t>
            </w:r>
          </w:p>
        </w:tc>
        <w:tc>
          <w:tcPr>
            <w:tcW w:w="4667" w:type="dxa"/>
            <w:shd w:val="clear" w:color="auto" w:fill="auto"/>
            <w:vAlign w:val="center"/>
          </w:tcPr>
          <w:p w14:paraId="468852C7">
            <w:pPr>
              <w:pStyle w:val="178"/>
            </w:pPr>
            <w:r>
              <w:t>启动区域联防联控，学校停课</w:t>
            </w:r>
          </w:p>
        </w:tc>
      </w:tr>
    </w:tbl>
    <w:p w14:paraId="3B0FE287">
      <w:pPr>
        <w:pStyle w:val="105"/>
        <w:spacing w:before="120" w:after="120" w:line="360" w:lineRule="auto"/>
      </w:pPr>
      <w:r>
        <w:t>治理评估</w:t>
      </w:r>
    </w:p>
    <w:p w14:paraId="16CB0249">
      <w:pPr>
        <w:pStyle w:val="56"/>
        <w:spacing w:line="360" w:lineRule="auto"/>
        <w:ind w:firstLine="420"/>
      </w:pPr>
      <w:r>
        <w:t>用倍率法</w:t>
      </w:r>
      <w:r>
        <w:rPr>
          <w:rFonts w:hint="eastAsia"/>
        </w:rPr>
        <w:t>计算减排效果，</w:t>
      </w:r>
      <w:r>
        <w:t>对比治理前后污染物浓度下降比例</w:t>
      </w:r>
      <w:r>
        <w:rPr>
          <w:rFonts w:hint="eastAsia"/>
        </w:rPr>
        <w:t>（见</w:t>
      </w:r>
      <w:r>
        <w:t>公式</w:t>
      </w:r>
      <w:r>
        <w:rPr>
          <w:rFonts w:hint="eastAsia"/>
        </w:rPr>
        <w:t>1）。</w:t>
      </w:r>
    </w:p>
    <w:p w14:paraId="4247E523">
      <w:pPr>
        <w:pStyle w:val="113"/>
        <w:spacing w:line="360" w:lineRule="auto"/>
      </w:pPr>
      <w:r>
        <w:tab/>
      </w:r>
      <m:oMath>
        <m:r>
          <m:rPr>
            <m:sty m:val="p"/>
          </m:rPr>
          <w:rPr>
            <w:rFonts w:ascii="Cambria Math" w:hAnsi="Cambria Math"/>
          </w:rPr>
          <m:t>减排率=</m:t>
        </m:r>
        <m:f>
          <m:fPr>
            <m:ctrlPr>
              <w:rPr>
                <w:rFonts w:ascii="Cambria Math" w:hAnsi="Cambria Math"/>
              </w:rPr>
            </m:ctrlPr>
          </m:fPr>
          <m:num>
            <m:sSub>
              <m:sSubPr>
                <m:ctrlPr>
                  <w:rPr>
                    <w:rFonts w:ascii="Cambria Math" w:hAnsi="Cambria Math"/>
                  </w:rPr>
                </m:ctrlPr>
              </m:sSubPr>
              <m:e>
                <m:r>
                  <m:rPr>
                    <m:nor/>
                    <m:sty m:val="p"/>
                  </m:rPr>
                  <w:rPr>
                    <w:rFonts w:ascii="Times New Roman" w:hAnsi="Times New Roman"/>
                    <w:b w:val="0"/>
                    <w:i w:val="0"/>
                  </w:rPr>
                  <m:t>C</m:t>
                </m:r>
                <m:ctrlPr>
                  <w:rPr>
                    <w:rFonts w:ascii="Cambria Math" w:hAnsi="Cambria Math"/>
                  </w:rPr>
                </m:ctrlPr>
              </m:e>
              <m:sub>
                <m:r>
                  <m:rPr>
                    <m:nor/>
                    <m:sty m:val="p"/>
                  </m:rPr>
                  <w:rPr>
                    <w:rFonts w:ascii="Times New Roman" w:hAnsi="Times New Roman"/>
                    <w:b w:val="0"/>
                    <w:i w:val="0"/>
                  </w:rPr>
                  <m:t>前</m:t>
                </m:r>
                <m:ctrlPr>
                  <w:rPr>
                    <w:rFonts w:ascii="Cambria Math" w:hAnsi="Cambria Math"/>
                  </w:rPr>
                </m:ctrlPr>
              </m:sub>
            </m:sSub>
            <m:r>
              <m:rPr>
                <m:nor/>
                <m:sty m:val="p"/>
              </m:rPr>
              <w:rPr>
                <w:rFonts w:ascii="Times New Roman" w:hAnsi="Times New Roman"/>
                <w:b w:val="0"/>
                <w:i w:val="0"/>
              </w:rPr>
              <m:t>-</m:t>
            </m:r>
            <m:sSub>
              <m:sSubPr>
                <m:ctrlPr>
                  <w:rPr>
                    <w:rFonts w:ascii="Cambria Math" w:hAnsi="Cambria Math"/>
                  </w:rPr>
                </m:ctrlPr>
              </m:sSubPr>
              <m:e>
                <m:r>
                  <m:rPr>
                    <m:nor/>
                    <m:sty m:val="p"/>
                  </m:rPr>
                  <w:rPr>
                    <w:rFonts w:ascii="Times New Roman" w:hAnsi="Times New Roman"/>
                    <w:b w:val="0"/>
                    <w:i w:val="0"/>
                  </w:rPr>
                  <m:t>C</m:t>
                </m:r>
                <m:ctrlPr>
                  <w:rPr>
                    <w:rFonts w:ascii="Cambria Math" w:hAnsi="Cambria Math"/>
                  </w:rPr>
                </m:ctrlPr>
              </m:e>
              <m:sub>
                <m:r>
                  <m:rPr>
                    <m:nor/>
                    <m:sty m:val="p"/>
                  </m:rPr>
                  <w:rPr>
                    <w:rFonts w:ascii="Times New Roman" w:hAnsi="Times New Roman"/>
                    <w:b w:val="0"/>
                    <w:i w:val="0"/>
                  </w:rPr>
                  <m:t>后</m:t>
                </m:r>
                <m:ctrlPr>
                  <w:rPr>
                    <w:rFonts w:ascii="Cambria Math" w:hAnsi="Cambria Math"/>
                  </w:rPr>
                </m:ctrlPr>
              </m:sub>
            </m:sSub>
            <m:ctrlPr>
              <w:rPr>
                <w:rFonts w:ascii="Cambria Math" w:hAnsi="Cambria Math"/>
              </w:rPr>
            </m:ctrlPr>
          </m:num>
          <m:den>
            <m:sSub>
              <m:sSubPr>
                <m:ctrlPr>
                  <w:rPr>
                    <w:rFonts w:ascii="Cambria Math" w:hAnsi="Cambria Math"/>
                  </w:rPr>
                </m:ctrlPr>
              </m:sSubPr>
              <m:e>
                <m:r>
                  <m:rPr>
                    <m:nor/>
                    <m:sty m:val="p"/>
                  </m:rPr>
                  <w:rPr>
                    <w:rFonts w:ascii="Times New Roman" w:hAnsi="Times New Roman"/>
                    <w:b w:val="0"/>
                    <w:i w:val="0"/>
                  </w:rPr>
                  <m:t>C</m:t>
                </m:r>
                <m:ctrlPr>
                  <w:rPr>
                    <w:rFonts w:ascii="Cambria Math" w:hAnsi="Cambria Math"/>
                  </w:rPr>
                </m:ctrlPr>
              </m:e>
              <m:sub>
                <m:r>
                  <m:rPr>
                    <m:nor/>
                    <m:sty m:val="p"/>
                  </m:rPr>
                  <w:rPr>
                    <w:rFonts w:ascii="Times New Roman" w:hAnsi="Times New Roman"/>
                    <w:b w:val="0"/>
                    <w:i w:val="0"/>
                  </w:rPr>
                  <m:t>前</m:t>
                </m:r>
                <m:ctrlPr>
                  <w:rPr>
                    <w:rFonts w:ascii="Cambria Math" w:hAnsi="Cambria Math"/>
                  </w:rPr>
                </m:ctrlPr>
              </m:sub>
            </m:sSub>
            <m:ctrlPr>
              <w:rPr>
                <w:rFonts w:ascii="Cambria Math" w:hAnsi="Cambria Math"/>
              </w:rPr>
            </m:ctrlPr>
          </m:den>
        </m:f>
      </m:oMath>
      <w:r>
        <w:rPr>
          <w:rFonts w:ascii="微软雅黑" w:hAnsi="微软雅黑" w:eastAsia="微软雅黑"/>
        </w:rPr>
        <w:tab/>
      </w:r>
      <w:r>
        <w:t>(</w:t>
      </w:r>
      <w:r>
        <w:fldChar w:fldCharType="begin"/>
      </w:r>
      <w:r>
        <w:instrText xml:space="preserve"> AUTONUM </w:instrText>
      </w:r>
      <w:r>
        <w:fldChar w:fldCharType="end"/>
      </w:r>
      <w:r>
        <w:t>)</w:t>
      </w:r>
    </w:p>
    <w:p w14:paraId="4F2AF995">
      <w:pPr>
        <w:pStyle w:val="55"/>
        <w:spacing w:line="360" w:lineRule="auto"/>
        <w:ind w:firstLine="420"/>
      </w:pPr>
      <w:r>
        <w:rPr>
          <w:rFonts w:hint="eastAsia"/>
        </w:rPr>
        <w:t>式中：</w:t>
      </w:r>
    </w:p>
    <w:p w14:paraId="56F31CC4">
      <w:pPr>
        <w:pStyle w:val="56"/>
        <w:spacing w:line="360" w:lineRule="auto"/>
        <w:ind w:firstLine="420"/>
        <w:rPr>
          <w:iCs/>
        </w:rPr>
      </w:pPr>
      <w:r>
        <w:rPr>
          <w:rFonts w:ascii="Times New Roman"/>
          <w:iCs/>
        </w:rPr>
        <w:t>C</w:t>
      </w:r>
      <w:r>
        <w:rPr>
          <w:rFonts w:hint="eastAsia"/>
          <w:iCs/>
          <w:vertAlign w:val="subscript"/>
        </w:rPr>
        <w:t xml:space="preserve">前 </w:t>
      </w:r>
      <w:r>
        <w:rPr>
          <w:rFonts w:hint="eastAsia"/>
          <w:iCs/>
        </w:rPr>
        <w:t>——</w:t>
      </w:r>
      <w:r>
        <w:rPr>
          <w:iCs/>
        </w:rPr>
        <w:t>治理前污染物的日均浓度均值（μg/m³</w:t>
      </w:r>
      <w:r>
        <w:rPr>
          <w:rFonts w:hint="eastAsia"/>
          <w:iCs/>
        </w:rPr>
        <w:t>或</w:t>
      </w:r>
      <w:r>
        <w:rPr>
          <w:iCs/>
        </w:rPr>
        <w:t>ppb）</w:t>
      </w:r>
      <w:r>
        <w:rPr>
          <w:rFonts w:hint="eastAsia"/>
          <w:iCs/>
        </w:rPr>
        <w:t>；</w:t>
      </w:r>
    </w:p>
    <w:p w14:paraId="4726F801">
      <w:pPr>
        <w:pStyle w:val="56"/>
        <w:spacing w:line="360" w:lineRule="auto"/>
        <w:ind w:firstLine="420"/>
      </w:pPr>
      <w:r>
        <w:rPr>
          <w:rFonts w:ascii="Times New Roman"/>
          <w:iCs/>
        </w:rPr>
        <w:t>C</w:t>
      </w:r>
      <w:r>
        <w:rPr>
          <w:rFonts w:hint="eastAsia"/>
          <w:iCs/>
          <w:vertAlign w:val="subscript"/>
        </w:rPr>
        <w:t xml:space="preserve">后 </w:t>
      </w:r>
      <w:r>
        <w:rPr>
          <w:rFonts w:hint="eastAsia"/>
          <w:iCs/>
        </w:rPr>
        <w:t>——</w:t>
      </w:r>
      <w:r>
        <w:rPr>
          <w:iCs/>
        </w:rPr>
        <w:t>治理后污染物的日均浓度均值（μg/m³</w:t>
      </w:r>
      <w:r>
        <w:rPr>
          <w:rFonts w:hint="eastAsia"/>
          <w:iCs/>
        </w:rPr>
        <w:t>或</w:t>
      </w:r>
      <w:r>
        <w:rPr>
          <w:iCs/>
        </w:rPr>
        <w:t>ppb）</w:t>
      </w:r>
      <w:r>
        <w:rPr>
          <w:rFonts w:hint="eastAsia"/>
          <w:iCs/>
        </w:rPr>
        <w:t>。</w:t>
      </w:r>
    </w:p>
    <w:p w14:paraId="05236172">
      <w:pPr>
        <w:pStyle w:val="56"/>
        <w:spacing w:line="360" w:lineRule="auto"/>
        <w:ind w:firstLine="420"/>
      </w:pPr>
      <w:r>
        <w:t>结合气象条件修正：利用多元线性回归模型剔除风速、降水等自然因素影响。</w:t>
      </w:r>
    </w:p>
    <w:p w14:paraId="395E0B5C">
      <w:pPr>
        <w:pStyle w:val="105"/>
        <w:spacing w:before="120" w:after="120" w:line="360" w:lineRule="auto"/>
      </w:pPr>
      <w:r>
        <w:t>数据共享</w:t>
      </w:r>
    </w:p>
    <w:p w14:paraId="67E6A40F">
      <w:pPr>
        <w:pStyle w:val="56"/>
        <w:spacing w:line="360" w:lineRule="auto"/>
        <w:ind w:firstLine="420"/>
        <w:rPr>
          <w:rFonts w:hint="eastAsia"/>
        </w:rPr>
      </w:pPr>
      <w:r>
        <w:t>通过API接口向公众开放实时AQI</w:t>
      </w:r>
      <w:r>
        <w:rPr>
          <w:rFonts w:hAnsi="宋体"/>
        </w:rPr>
        <w:t>数据，响应延迟≤5</w:t>
      </w:r>
      <w:r>
        <w:t>分钟</w:t>
      </w:r>
      <w:r>
        <w:rPr>
          <w:rFonts w:hint="eastAsia"/>
        </w:rPr>
        <w:t>。</w:t>
      </w:r>
    </w:p>
    <w:p w14:paraId="1630B2E9">
      <w:pPr>
        <w:pStyle w:val="56"/>
        <w:spacing w:line="360" w:lineRule="auto"/>
        <w:ind w:firstLine="420"/>
      </w:pPr>
      <w:r>
        <w:t>敏感数据（如企业排放源解析结果）需经脱敏处理后发布。</w:t>
      </w:r>
    </w:p>
    <w:bookmarkEnd w:id="23"/>
    <w:p w14:paraId="3227F970">
      <w:pPr>
        <w:pStyle w:val="56"/>
        <w:ind w:firstLine="0" w:firstLineChars="0"/>
        <w:jc w:val="center"/>
      </w:pPr>
      <w:bookmarkStart w:id="54" w:name="BookMark8"/>
      <w:r>
        <w:drawing>
          <wp:inline distT="0" distB="0" distL="0" distR="0">
            <wp:extent cx="1485900" cy="317500"/>
            <wp:effectExtent l="0" t="0" r="0" b="6350"/>
            <wp:docPr id="1194094377" name="图片 1"/>
            <wp:cNvGraphicFramePr/>
            <a:graphic xmlns:a="http://schemas.openxmlformats.org/drawingml/2006/main">
              <a:graphicData uri="http://schemas.openxmlformats.org/drawingml/2006/picture">
                <pic:pic xmlns:pic="http://schemas.openxmlformats.org/drawingml/2006/picture">
                  <pic:nvPicPr>
                    <pic:cNvPr id="1194094377"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4F6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CEB6">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8F6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D97">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B9D5">
    <w:pPr>
      <w:pStyle w:val="51"/>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FF5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99F2">
    <w:pPr>
      <w:pStyle w:val="51"/>
    </w:pPr>
    <w:r>
      <w:fldChar w:fldCharType="begin"/>
    </w:r>
    <w:r>
      <w:instrText xml:space="preserve"> PAGE   \* MERGEFORMAT \* MERGEFORMAT </w:instrText>
    </w:r>
    <w:r>
      <w:fldChar w:fldCharType="separate"/>
    </w:r>
    <w: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ADF">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E76C">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660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F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47C9">
    <w:pPr>
      <w:pStyle w:val="62"/>
    </w:pPr>
    <w:r>
      <w:fldChar w:fldCharType="begin"/>
    </w:r>
    <w:r>
      <w:instrText xml:space="preserve"> STYLEREF  标准文件_文件编号 \* MERGEFORMAT </w:instrText>
    </w:r>
    <w:r>
      <w:fldChar w:fldCharType="separate"/>
    </w:r>
    <w:r>
      <w:t>T/XZBX 0010—2025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98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358">
    <w:pPr>
      <w:pStyle w:val="61"/>
    </w:pPr>
    <w:r>
      <w:fldChar w:fldCharType="begin"/>
    </w:r>
    <w:r>
      <w:instrText xml:space="preserve"> STYLEREF  标准文件_文件编号  \* MERGEFORMAT </w:instrText>
    </w:r>
    <w:r>
      <w:fldChar w:fldCharType="separate"/>
    </w:r>
    <w:r>
      <w:t>T/XZBX 0010—2025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FFB">
    <w:pPr>
      <w:pStyle w:val="62"/>
    </w:pPr>
    <w:r>
      <w:fldChar w:fldCharType="begin"/>
    </w:r>
    <w:r>
      <w:instrText xml:space="preserve"> STYLEREF  标准文件_文件编号 \* MERGEFORMAT </w:instrText>
    </w:r>
    <w:r>
      <w:fldChar w:fldCharType="separate"/>
    </w:r>
    <w:r>
      <w:t>T/XZBX 0010—2025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0CC8">
    <w:pPr>
      <w:pStyle w:val="61"/>
    </w:pPr>
    <w:r>
      <w:fldChar w:fldCharType="begin"/>
    </w:r>
    <w:r>
      <w:instrText xml:space="preserve"> STYLEREF  标准文件_文件编号  \* MERGEFORMAT </w:instrText>
    </w:r>
    <w:r>
      <w:fldChar w:fldCharType="separate"/>
    </w:r>
    <w:r>
      <w:t>T/XZBX 0010—2025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68B8">
    <w:pPr>
      <w:pStyle w:val="62"/>
    </w:pPr>
    <w:r>
      <w:fldChar w:fldCharType="begin"/>
    </w:r>
    <w:r>
      <w:instrText xml:space="preserve"> STYLEREF  标准文件_文件编号 \* MERGEFORMAT </w:instrText>
    </w:r>
    <w:r>
      <w:fldChar w:fldCharType="separate"/>
    </w:r>
    <w:r>
      <w:t>T/XZBX 0010—2025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39FF">
    <w:pPr>
      <w:pStyle w:val="61"/>
    </w:pPr>
    <w:r>
      <w:fldChar w:fldCharType="begin"/>
    </w:r>
    <w:r>
      <w:instrText xml:space="preserve"> STYLEREF  标准文件_文件编号  \* MERGEFORMAT </w:instrText>
    </w:r>
    <w:r>
      <w:fldChar w:fldCharType="separate"/>
    </w:r>
    <w:r>
      <w:t>T/XZBX 0010—2025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530A">
    <w:pPr>
      <w:pStyle w:val="62"/>
    </w:pPr>
    <w:r>
      <w:fldChar w:fldCharType="begin"/>
    </w:r>
    <w:r>
      <w:instrText xml:space="preserve"> STYLEREF  标准文件_文件编号 \* MERGEFORMAT </w:instrText>
    </w:r>
    <w:r>
      <w:fldChar w:fldCharType="separate"/>
    </w:r>
    <w:r>
      <w:t>T/XZBX 0010—2025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F4B93">
    <w:pPr>
      <w:pStyle w:val="61"/>
    </w:pPr>
    <w:r>
      <w:fldChar w:fldCharType="begin"/>
    </w:r>
    <w:r>
      <w:instrText xml:space="preserve"> STYLEREF  标准文件_文件编号  \* MERGEFORMAT </w:instrText>
    </w:r>
    <w:r>
      <w:fldChar w:fldCharType="separate"/>
    </w:r>
    <w:r>
      <w:t>T/XZBX 0010—2025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yNDYxNDW1NDA1MDBV0lEKTi0uzszPAykwrwUAwD3MaywAAAA="/>
  </w:docVars>
  <w:rsids>
    <w:rsidRoot w:val="00EB5D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A2F"/>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CF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01B"/>
    <w:rsid w:val="00366E89"/>
    <w:rsid w:val="003705F4"/>
    <w:rsid w:val="00370D58"/>
    <w:rsid w:val="00371316"/>
    <w:rsid w:val="003765FD"/>
    <w:rsid w:val="00376713"/>
    <w:rsid w:val="00381815"/>
    <w:rsid w:val="003819AF"/>
    <w:rsid w:val="003820E9"/>
    <w:rsid w:val="00382DE7"/>
    <w:rsid w:val="00384FFC"/>
    <w:rsid w:val="00386DD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71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42B"/>
    <w:rsid w:val="00783ECF"/>
    <w:rsid w:val="0078413A"/>
    <w:rsid w:val="007959E8"/>
    <w:rsid w:val="00795E9C"/>
    <w:rsid w:val="007A0521"/>
    <w:rsid w:val="007A116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81F"/>
    <w:rsid w:val="00896DFF"/>
    <w:rsid w:val="0089762C"/>
    <w:rsid w:val="008A173B"/>
    <w:rsid w:val="008A1893"/>
    <w:rsid w:val="008A57E6"/>
    <w:rsid w:val="008A6F81"/>
    <w:rsid w:val="008A769A"/>
    <w:rsid w:val="008B0C9C"/>
    <w:rsid w:val="008B166D"/>
    <w:rsid w:val="008B17F4"/>
    <w:rsid w:val="008B2FA9"/>
    <w:rsid w:val="008B3615"/>
    <w:rsid w:val="008B4AC4"/>
    <w:rsid w:val="008B50C8"/>
    <w:rsid w:val="008B5281"/>
    <w:rsid w:val="008B721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438"/>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6E25"/>
    <w:rsid w:val="00BC73D8"/>
    <w:rsid w:val="00BD4099"/>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84E"/>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EAB"/>
    <w:rsid w:val="00DF1961"/>
    <w:rsid w:val="00DF44DE"/>
    <w:rsid w:val="00E01138"/>
    <w:rsid w:val="00E02DFB"/>
    <w:rsid w:val="00E030F9"/>
    <w:rsid w:val="00E0311A"/>
    <w:rsid w:val="00E03138"/>
    <w:rsid w:val="00E04385"/>
    <w:rsid w:val="00E06404"/>
    <w:rsid w:val="00E11A85"/>
    <w:rsid w:val="00E12495"/>
    <w:rsid w:val="00E15CCD"/>
    <w:rsid w:val="00E202EF"/>
    <w:rsid w:val="00E210B5"/>
    <w:rsid w:val="00E2552F"/>
    <w:rsid w:val="00E26BD0"/>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9FA"/>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DC8"/>
    <w:rsid w:val="00EB5EDF"/>
    <w:rsid w:val="00EB60FE"/>
    <w:rsid w:val="00EB74DB"/>
    <w:rsid w:val="00EC5359"/>
    <w:rsid w:val="00EC562A"/>
    <w:rsid w:val="00ED067A"/>
    <w:rsid w:val="00ED2B50"/>
    <w:rsid w:val="00ED328C"/>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DD4"/>
    <w:rsid w:val="00F37CEB"/>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A677688"/>
    <w:rsid w:val="3E2C100E"/>
    <w:rsid w:val="70FB78FE"/>
    <w:rsid w:val="7498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37603E3A1E4534A739F551F8E61E56"/>
        <w:style w:val=""/>
        <w:category>
          <w:name w:val="常规"/>
          <w:gallery w:val="placeholder"/>
        </w:category>
        <w:types>
          <w:type w:val="bbPlcHdr"/>
        </w:types>
        <w:behaviors>
          <w:behavior w:val="content"/>
        </w:behaviors>
        <w:description w:val=""/>
        <w:guid w:val="{DA2CE0BB-A046-4725-B3FB-92B5990C2034}"/>
      </w:docPartPr>
      <w:docPartBody>
        <w:p w14:paraId="583F501C">
          <w:pPr>
            <w:pStyle w:val="5"/>
          </w:pPr>
          <w:r>
            <w:rPr>
              <w:rStyle w:val="4"/>
              <w:rFonts w:hint="eastAsia"/>
            </w:rPr>
            <w:t>单击或点击此处输入文字。</w:t>
          </w:r>
        </w:p>
      </w:docPartBody>
    </w:docPart>
    <w:docPart>
      <w:docPartPr>
        <w:name w:val="9B57AD2830474528B75755CE4A2A5D45"/>
        <w:style w:val=""/>
        <w:category>
          <w:name w:val="常规"/>
          <w:gallery w:val="placeholder"/>
        </w:category>
        <w:types>
          <w:type w:val="bbPlcHdr"/>
        </w:types>
        <w:behaviors>
          <w:behavior w:val="content"/>
        </w:behaviors>
        <w:description w:val=""/>
        <w:guid w:val="{38803112-9135-417C-8B63-D343BB99FE8D}"/>
      </w:docPartPr>
      <w:docPartBody>
        <w:p w14:paraId="64981700">
          <w:pPr>
            <w:pStyle w:val="6"/>
          </w:pPr>
          <w:r>
            <w:rPr>
              <w:rStyle w:val="4"/>
              <w:rFonts w:hint="eastAsia"/>
            </w:rPr>
            <w:t>选择一项。</w:t>
          </w:r>
        </w:p>
      </w:docPartBody>
    </w:docPart>
    <w:docPart>
      <w:docPartPr>
        <w:name w:val="851335AAB8F8446986DFF053B43BAC64"/>
        <w:style w:val=""/>
        <w:category>
          <w:name w:val="常规"/>
          <w:gallery w:val="placeholder"/>
        </w:category>
        <w:types>
          <w:type w:val="bbPlcHdr"/>
        </w:types>
        <w:behaviors>
          <w:behavior w:val="content"/>
        </w:behaviors>
        <w:description w:val=""/>
        <w:guid w:val="{D25EB850-A847-4BF8-89BF-4417BA14A674}"/>
      </w:docPartPr>
      <w:docPartBody>
        <w:p w14:paraId="4400930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1"/>
    <w:rsid w:val="000126C2"/>
    <w:rsid w:val="00065A5D"/>
    <w:rsid w:val="001168D9"/>
    <w:rsid w:val="001E65DF"/>
    <w:rsid w:val="004E00BB"/>
    <w:rsid w:val="005C10B5"/>
    <w:rsid w:val="006F2781"/>
    <w:rsid w:val="00A55FCF"/>
    <w:rsid w:val="00DB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437603E3A1E4534A739F551F8E61E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57AD2830474528B75755CE4A2A5D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1335AAB8F8446986DFF053B43BAC6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2657</Words>
  <Characters>3015</Characters>
  <Lines>29</Lines>
  <Paragraphs>8</Paragraphs>
  <TotalTime>60</TotalTime>
  <ScaleCrop>false</ScaleCrop>
  <LinksUpToDate>false</LinksUpToDate>
  <CharactersWithSpaces>3099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2025-03-19T02:12:21Z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0C7235C1ACEE4D2293BA6ABFF6E3F052_12</vt:lpwstr>
  </property>
</Properties>
</file>