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13.06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13.060</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Z 1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Z 10</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8"/>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0008</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r>
        <w:rPr>
          <w:sz w:val="48"/>
          <w:szCs w:val="48"/>
        </w:rPr>
        <w:fldChar w:fldCharType="begin">
          <w:ffData>
            <w:name w:val="CSTD_NAME"/>
            <w:enabled/>
            <w:calcOnExit w:val="0"/>
            <w:textInput>
              <w:default w:val="水质在线监测设备运行维护与数据审核指南"/>
            </w:textInput>
          </w:ffData>
        </w:fldChar>
      </w:r>
      <w:bookmarkStart w:id="7" w:name="CSTD_NAME"/>
      <w:r>
        <w:rPr>
          <w:sz w:val="48"/>
          <w:szCs w:val="48"/>
        </w:rPr>
        <w:instrText xml:space="preserve"> FORMTEXT </w:instrText>
      </w:r>
      <w:r>
        <w:rPr>
          <w:sz w:val="48"/>
          <w:szCs w:val="48"/>
        </w:rPr>
        <w:fldChar w:fldCharType="separate"/>
      </w:r>
      <w:r>
        <w:rPr>
          <w:sz w:val="48"/>
          <w:szCs w:val="48"/>
        </w:rPr>
        <w:t>水质在线监测设备运行维护与数据审核指南</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Guidelines for the operation and maintenance of water quality monitoring equipment and data review"/>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Guidelines for the operation and maintenance of water quality monitoring equipment and data review</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25D63019">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AB21240">
      <w:pPr>
        <w:pStyle w:val="91"/>
        <w:spacing w:after="360"/>
      </w:pPr>
      <w:bookmarkStart w:id="19" w:name="BookMark1"/>
      <w:r>
        <w:rPr>
          <w:rFonts w:hint="eastAsia"/>
          <w:spacing w:val="320"/>
        </w:rPr>
        <w:t>目</w:t>
      </w:r>
      <w:r>
        <w:rPr>
          <w:rFonts w:hint="eastAsia"/>
        </w:rPr>
        <w:t>次</w:t>
      </w:r>
    </w:p>
    <w:p w14:paraId="7716C063">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"_Toc192667029" </w:instrText>
      </w:r>
      <w:r>
        <w:fldChar w:fldCharType="separate"/>
      </w:r>
      <w:r>
        <w:rPr>
          <w:rStyle w:val="32"/>
        </w:rPr>
        <w:t>前言</w:t>
      </w:r>
      <w:r>
        <w:tab/>
      </w:r>
      <w:r>
        <w:fldChar w:fldCharType="begin"/>
      </w:r>
      <w:r>
        <w:instrText xml:space="preserve"> PAGEREF _Toc192667029 \h </w:instrText>
      </w:r>
      <w:r>
        <w:fldChar w:fldCharType="separate"/>
      </w:r>
      <w:r>
        <w:t>III</w:t>
      </w:r>
      <w:r>
        <w:fldChar w:fldCharType="end"/>
      </w:r>
      <w:r>
        <w:fldChar w:fldCharType="end"/>
      </w:r>
    </w:p>
    <w:p w14:paraId="3EDF9A10">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"_Toc192667030" </w:instrText>
      </w:r>
      <w:r>
        <w:fldChar w:fldCharType="separate"/>
      </w:r>
      <w:r>
        <w:rPr>
          <w:rStyle w:val="32"/>
        </w:rPr>
        <w:t>引言</w:t>
      </w:r>
      <w:r>
        <w:tab/>
      </w:r>
      <w:r>
        <w:fldChar w:fldCharType="begin"/>
      </w:r>
      <w:r>
        <w:instrText xml:space="preserve"> PAGEREF _Toc192667030 \h </w:instrText>
      </w:r>
      <w:r>
        <w:fldChar w:fldCharType="separate"/>
      </w:r>
      <w:r>
        <w:t>V</w:t>
      </w:r>
      <w:r>
        <w:fldChar w:fldCharType="end"/>
      </w:r>
      <w:r>
        <w:fldChar w:fldCharType="end"/>
      </w:r>
    </w:p>
    <w:p w14:paraId="23263AA5">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"_Toc192667031" </w:instrText>
      </w:r>
      <w:r>
        <w:fldChar w:fldCharType="separate"/>
      </w:r>
      <w:r>
        <w:rPr>
          <w:rStyle w:val="32"/>
        </w:rPr>
        <w:t>1  范围</w:t>
      </w:r>
      <w:r>
        <w:tab/>
      </w:r>
      <w:r>
        <w:fldChar w:fldCharType="begin"/>
      </w:r>
      <w:r>
        <w:instrText xml:space="preserve"> PAGEREF _Toc192667031 \h </w:instrText>
      </w:r>
      <w:r>
        <w:fldChar w:fldCharType="separate"/>
      </w:r>
      <w:r>
        <w:t>1</w:t>
      </w:r>
      <w:r>
        <w:fldChar w:fldCharType="end"/>
      </w:r>
      <w:r>
        <w:fldChar w:fldCharType="end"/>
      </w:r>
    </w:p>
    <w:p w14:paraId="0CA495D3">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"_Toc192667032" </w:instrText>
      </w:r>
      <w:r>
        <w:fldChar w:fldCharType="separate"/>
      </w:r>
      <w:r>
        <w:rPr>
          <w:rStyle w:val="32"/>
        </w:rPr>
        <w:t>2  规范性引用文件</w:t>
      </w:r>
      <w:r>
        <w:tab/>
      </w:r>
      <w:r>
        <w:fldChar w:fldCharType="begin"/>
      </w:r>
      <w:r>
        <w:instrText xml:space="preserve"> PAGEREF _Toc192667032 \h </w:instrText>
      </w:r>
      <w:r>
        <w:fldChar w:fldCharType="separate"/>
      </w:r>
      <w:r>
        <w:t>1</w:t>
      </w:r>
      <w:r>
        <w:fldChar w:fldCharType="end"/>
      </w:r>
      <w:r>
        <w:fldChar w:fldCharType="end"/>
      </w:r>
    </w:p>
    <w:p w14:paraId="211476E0">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"_Toc192667033" </w:instrText>
      </w:r>
      <w:r>
        <w:fldChar w:fldCharType="separate"/>
      </w:r>
      <w:r>
        <w:rPr>
          <w:rStyle w:val="32"/>
        </w:rPr>
        <w:t>3  术语和定义</w:t>
      </w:r>
      <w:r>
        <w:tab/>
      </w:r>
      <w:r>
        <w:fldChar w:fldCharType="begin"/>
      </w:r>
      <w:r>
        <w:instrText xml:space="preserve"> PAGEREF _Toc192667033 \h </w:instrText>
      </w:r>
      <w:r>
        <w:fldChar w:fldCharType="separate"/>
      </w:r>
      <w:r>
        <w:t>1</w:t>
      </w:r>
      <w:r>
        <w:fldChar w:fldCharType="end"/>
      </w:r>
      <w:r>
        <w:fldChar w:fldCharType="end"/>
      </w:r>
    </w:p>
    <w:p w14:paraId="29214432">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"_Toc192667034" </w:instrText>
      </w:r>
      <w:r>
        <w:fldChar w:fldCharType="separate"/>
      </w:r>
      <w:r>
        <w:rPr>
          <w:rStyle w:val="32"/>
        </w:rPr>
        <w:t>4  总则</w:t>
      </w:r>
      <w:r>
        <w:tab/>
      </w:r>
      <w:r>
        <w:fldChar w:fldCharType="begin"/>
      </w:r>
      <w:r>
        <w:instrText xml:space="preserve"> PAGEREF _Toc192667034 \h </w:instrText>
      </w:r>
      <w:r>
        <w:fldChar w:fldCharType="separate"/>
      </w:r>
      <w:r>
        <w:t>1</w:t>
      </w:r>
      <w:r>
        <w:fldChar w:fldCharType="end"/>
      </w:r>
      <w:r>
        <w:fldChar w:fldCharType="end"/>
      </w:r>
    </w:p>
    <w:p w14:paraId="7C41FD50">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"_Toc192667035" </w:instrText>
      </w:r>
      <w:r>
        <w:fldChar w:fldCharType="separate"/>
      </w:r>
      <w:r>
        <w:rPr>
          <w:rStyle w:val="32"/>
        </w:rPr>
        <w:t>5  运行维护技术要求</w:t>
      </w:r>
      <w:r>
        <w:tab/>
      </w:r>
      <w:r>
        <w:fldChar w:fldCharType="begin"/>
      </w:r>
      <w:r>
        <w:instrText xml:space="preserve"> PAGEREF _Toc192667035 \h </w:instrText>
      </w:r>
      <w:r>
        <w:fldChar w:fldCharType="separate"/>
      </w:r>
      <w:r>
        <w:t>1</w:t>
      </w:r>
      <w:r>
        <w:fldChar w:fldCharType="end"/>
      </w:r>
      <w:r>
        <w:fldChar w:fldCharType="end"/>
      </w:r>
    </w:p>
    <w:p w14:paraId="0A9FED63">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"_Toc192667036" </w:instrText>
      </w:r>
      <w:r>
        <w:fldChar w:fldCharType="separate"/>
      </w:r>
      <w:r>
        <w:rPr>
          <w:rStyle w:val="32"/>
        </w:rPr>
        <w:t>6  数据审核与管理</w:t>
      </w:r>
      <w:r>
        <w:tab/>
      </w:r>
      <w:r>
        <w:fldChar w:fldCharType="begin"/>
      </w:r>
      <w:r>
        <w:instrText xml:space="preserve"> PAGEREF _Toc192667036 \h </w:instrText>
      </w:r>
      <w:r>
        <w:fldChar w:fldCharType="separate"/>
      </w:r>
      <w:r>
        <w:t>2</w:t>
      </w:r>
      <w:r>
        <w:fldChar w:fldCharType="end"/>
      </w:r>
      <w:r>
        <w:fldChar w:fldCharType="end"/>
      </w:r>
    </w:p>
    <w:p w14:paraId="3462A43D">
      <w:pPr>
        <w:pStyle w:val="19"/>
        <w:tabs>
          <w:tab w:val="right" w:leader="dot" w:pos="9344"/>
        </w:tabs>
        <w:rPr>
          <w:rFonts w:asciiTheme="minorHAnsi" w:hAnsiTheme="minorHAnsi" w:eastAsiaTheme="minorEastAsia" w:cstheme="minorBidi"/>
          <w:szCs w:val="22"/>
        </w:rPr>
      </w:pPr>
      <w:r>
        <w:fldChar w:fldCharType="begin"/>
      </w:r>
      <w:r>
        <w:instrText xml:space="preserve"> HYPERLINK \l "_Toc192667037" </w:instrText>
      </w:r>
      <w:r>
        <w:fldChar w:fldCharType="separate"/>
      </w:r>
      <w:r>
        <w:rPr>
          <w:rStyle w:val="32"/>
        </w:rPr>
        <w:t>附录A（资料性）  运维日志表与数据审核流程</w:t>
      </w:r>
      <w:r>
        <w:tab/>
      </w:r>
      <w:r>
        <w:fldChar w:fldCharType="begin"/>
      </w:r>
      <w:r>
        <w:instrText xml:space="preserve"> PAGEREF _Toc192667037 \h </w:instrText>
      </w:r>
      <w:r>
        <w:fldChar w:fldCharType="separate"/>
      </w:r>
      <w:r>
        <w:t>3</w:t>
      </w:r>
      <w:r>
        <w:fldChar w:fldCharType="end"/>
      </w:r>
      <w:r>
        <w:fldChar w:fldCharType="end"/>
      </w:r>
    </w:p>
    <w:p w14:paraId="728F1B3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4C402E33">
      <w:pPr>
        <w:pStyle w:val="89"/>
        <w:spacing w:before="900" w:after="360"/>
      </w:pPr>
      <w:bookmarkStart w:id="20" w:name="_Toc192667029"/>
      <w:bookmarkStart w:id="21" w:name="BookMark2"/>
      <w:r>
        <w:rPr>
          <w:spacing w:val="320"/>
        </w:rPr>
        <w:t>前</w:t>
      </w:r>
      <w:r>
        <w:t>言</w:t>
      </w:r>
      <w:bookmarkEnd w:id="20"/>
    </w:p>
    <w:p w14:paraId="1F903286">
      <w:pPr>
        <w:pStyle w:val="56"/>
        <w:spacing w:line="360" w:lineRule="auto"/>
        <w:ind w:firstLine="420"/>
      </w:pPr>
      <w:r>
        <w:rPr>
          <w:rFonts w:hint="eastAsia"/>
        </w:rPr>
        <w:t>本文件按照GB/T 1.1—2020《标准化工作导则  第1部分：标准化文件的结构和起草规则》的规定起草。</w:t>
      </w:r>
    </w:p>
    <w:p w14:paraId="7060566C">
      <w:pPr>
        <w:pStyle w:val="56"/>
        <w:spacing w:line="360" w:lineRule="auto"/>
        <w:ind w:firstLine="420"/>
      </w:pPr>
      <w:r>
        <w:rPr>
          <w:rFonts w:hint="eastAsia"/>
        </w:rPr>
        <w:t>请注意本文件的某些内容可能涉及专利。本文件的发布机构不承担识别专利的责任。</w:t>
      </w:r>
    </w:p>
    <w:p w14:paraId="3AE06160">
      <w:pPr>
        <w:pStyle w:val="56"/>
        <w:spacing w:line="360" w:lineRule="auto"/>
        <w:ind w:firstLine="420"/>
      </w:pPr>
      <w:r>
        <w:rPr>
          <w:rFonts w:hint="eastAsia"/>
        </w:rPr>
        <w:t>本文件由西安市质量与标准化协会提出并归口。</w:t>
      </w:r>
    </w:p>
    <w:p w14:paraId="5EB68BB7">
      <w:pPr>
        <w:pStyle w:val="56"/>
        <w:spacing w:line="360" w:lineRule="auto"/>
        <w:ind w:firstLine="420"/>
      </w:pPr>
      <w:r>
        <w:rPr>
          <w:rFonts w:hint="eastAsia"/>
        </w:rPr>
        <w:t>本文件起草单位：河北省沧州生态环境监测中心、朔州市综合检验检测中心、“健康长江泰州行动”指挥中心、常州制药厂有限公司、河北省水利水电勘测设计研究院集团有限公司、湖南省地质灾害调查监测所、盘锦市生态环境保护服务中心、广州市地质调查院。</w:t>
      </w:r>
    </w:p>
    <w:p w14:paraId="3E4C6FD3">
      <w:pPr>
        <w:pStyle w:val="56"/>
        <w:spacing w:line="360" w:lineRule="auto"/>
        <w:ind w:firstLine="420"/>
      </w:pPr>
      <w:r>
        <w:rPr>
          <w:rFonts w:hint="eastAsia"/>
        </w:rPr>
        <w:t>本文件主要起草人：孙志洪、车轮、盖鸿玮、胡青云、刘杰、刘葳、黄郁淇、邵强、周华、宋子龙。</w:t>
      </w:r>
    </w:p>
    <w:p w14:paraId="72A2A169">
      <w:pPr>
        <w:pStyle w:val="56"/>
        <w:ind w:firstLine="420"/>
      </w:pPr>
    </w:p>
    <w:p w14:paraId="5B9DBCDE">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1"/>
    <w:p w14:paraId="433E487A">
      <w:pPr>
        <w:pStyle w:val="89"/>
        <w:spacing w:after="360"/>
      </w:pPr>
      <w:bookmarkStart w:id="22" w:name="_Toc192667030"/>
      <w:bookmarkStart w:id="23" w:name="BookMark3"/>
      <w:r>
        <w:rPr>
          <w:spacing w:val="320"/>
        </w:rPr>
        <w:t>引</w:t>
      </w:r>
      <w:r>
        <w:t>言</w:t>
      </w:r>
      <w:bookmarkEnd w:id="22"/>
    </w:p>
    <w:p w14:paraId="64BF10B0">
      <w:pPr>
        <w:pStyle w:val="56"/>
        <w:spacing w:line="360" w:lineRule="auto"/>
        <w:ind w:firstLine="420"/>
      </w:pPr>
      <w:r>
        <w:rPr>
          <w:rFonts w:hint="eastAsia"/>
        </w:rPr>
        <w:t>水质在线监测设备在水环境保护、水资源管理、供水安全及污染控制等领域发挥着关键作用。随着环境监管要求的提高和水质监测技术的进步，确保在线监测设备的长期稳定运行和数据的准确可靠已成为行业关注的重点。然而，设备在运行过程中受环境条件、仪器老化、维护不当等因素影响，可能出现数据漂移、测量误差或设备故障。因此，建立规范化的运行维护与数据审核体系，对于提升水质在线监测的质量和管理水平至关重要。</w:t>
      </w:r>
    </w:p>
    <w:p w14:paraId="736A3E26">
      <w:pPr>
        <w:pStyle w:val="56"/>
        <w:spacing w:line="360" w:lineRule="auto"/>
        <w:ind w:firstLine="420"/>
      </w:pPr>
      <w:r>
        <w:rPr>
          <w:rFonts w:hint="eastAsia"/>
        </w:rPr>
        <w:t>本文件参考国内外相关标准与行业实践经验，结合水质监测设备的特点，提出可操作性强的运行维护和数据审核方法。适用于环保部门、水务管理机构、监测运营单位、实验室及相关设备制造和服务单位，以提升水质监测的科学化、智能化和规范化水平，保障水环境管理与决策的精准性。</w:t>
      </w:r>
    </w:p>
    <w:p w14:paraId="36632CD7">
      <w:pPr>
        <w:pStyle w:val="56"/>
        <w:ind w:firstLine="420"/>
      </w:pPr>
    </w:p>
    <w:p w14:paraId="3A93627C">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0CD91D9E">
      <w:pPr>
        <w:spacing w:line="20" w:lineRule="exact"/>
        <w:jc w:val="center"/>
        <w:rPr>
          <w:rFonts w:ascii="黑体" w:hAnsi="黑体" w:eastAsia="黑体"/>
          <w:sz w:val="32"/>
          <w:szCs w:val="32"/>
        </w:rPr>
      </w:pPr>
      <w:bookmarkStart w:id="24"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5" w:name="NEW_STAND_NAME"/>
          <w:r>
            <w:rPr>
              <w:rFonts w:hint="eastAsia"/>
            </w:rPr>
            <w:t>水质在线监测设备运行维护与数据审核指南</w:t>
          </w:r>
        </w:p>
      </w:sdtContent>
    </w:sdt>
    <w:bookmarkEnd w:id="25"/>
    <w:p w14:paraId="4E4A29A9">
      <w:pPr>
        <w:pStyle w:val="104"/>
        <w:spacing w:before="240" w:after="240" w:line="360" w:lineRule="auto"/>
      </w:pPr>
      <w:bookmarkStart w:id="26" w:name="_Toc17233325"/>
      <w:bookmarkStart w:id="27" w:name="_Toc24884218"/>
      <w:bookmarkStart w:id="28" w:name="_Toc192667031"/>
      <w:bookmarkStart w:id="29" w:name="_Toc26648465"/>
      <w:bookmarkStart w:id="30" w:name="_Toc24884211"/>
      <w:bookmarkStart w:id="31" w:name="_Toc26986530"/>
      <w:bookmarkStart w:id="32" w:name="_Toc97192964"/>
      <w:bookmarkStart w:id="33" w:name="_Toc17233333"/>
      <w:bookmarkStart w:id="34" w:name="_Toc26718930"/>
      <w:bookmarkStart w:id="35" w:name="_Toc26986771"/>
      <w:r>
        <w:rPr>
          <w:rFonts w:hint="eastAsia"/>
        </w:rPr>
        <w:t>范围</w:t>
      </w:r>
      <w:bookmarkEnd w:id="26"/>
      <w:bookmarkEnd w:id="27"/>
      <w:bookmarkEnd w:id="28"/>
      <w:bookmarkEnd w:id="29"/>
      <w:bookmarkEnd w:id="30"/>
      <w:bookmarkEnd w:id="31"/>
      <w:bookmarkEnd w:id="32"/>
      <w:bookmarkEnd w:id="33"/>
      <w:bookmarkEnd w:id="34"/>
      <w:bookmarkEnd w:id="35"/>
    </w:p>
    <w:p w14:paraId="4D1A354F">
      <w:pPr>
        <w:pStyle w:val="56"/>
        <w:spacing w:line="360" w:lineRule="auto"/>
        <w:ind w:firstLine="420"/>
      </w:pPr>
      <w:bookmarkStart w:id="36" w:name="_Toc24884212"/>
      <w:bookmarkStart w:id="37" w:name="_Toc17233326"/>
      <w:bookmarkStart w:id="38" w:name="_Toc26648466"/>
      <w:bookmarkStart w:id="39" w:name="_Toc24884219"/>
      <w:bookmarkStart w:id="40" w:name="_Toc17233334"/>
      <w:r>
        <w:rPr>
          <w:rFonts w:hint="eastAsia"/>
        </w:rPr>
        <w:t>本文件规定了水质在线监测设备（以下简称“设备”）的运行维护技术要求以及数据审核与管理内容。</w:t>
      </w:r>
    </w:p>
    <w:p w14:paraId="0E2D0A5F">
      <w:pPr>
        <w:pStyle w:val="56"/>
        <w:spacing w:line="360" w:lineRule="auto"/>
        <w:ind w:firstLine="420"/>
      </w:pPr>
      <w:r>
        <w:rPr>
          <w:rFonts w:hint="eastAsia"/>
        </w:rPr>
        <w:t>本文件适用于地表水、地下水、污水排放口等场景的在线监测系统运行管理。</w:t>
      </w:r>
    </w:p>
    <w:p w14:paraId="70F3870C">
      <w:pPr>
        <w:pStyle w:val="104"/>
        <w:spacing w:before="240" w:after="240" w:line="360" w:lineRule="auto"/>
      </w:pPr>
      <w:bookmarkStart w:id="41" w:name="_Toc97192965"/>
      <w:bookmarkStart w:id="42" w:name="_Toc192667032"/>
      <w:bookmarkStart w:id="43" w:name="_Toc26986772"/>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本文件没有规范性引用文件。</w:t>
          </w:r>
        </w:p>
      </w:sdtContent>
    </w:sdt>
    <w:p w14:paraId="22FDFFF1">
      <w:pPr>
        <w:pStyle w:val="104"/>
        <w:spacing w:before="240" w:after="240" w:line="360" w:lineRule="auto"/>
      </w:pPr>
      <w:bookmarkStart w:id="46" w:name="_Toc97192966"/>
      <w:bookmarkStart w:id="47" w:name="_Toc192667033"/>
      <w:r>
        <w:rPr>
          <w:rFonts w:hint="eastAsia"/>
          <w:szCs w:val="21"/>
        </w:rPr>
        <w:t>术语和定义</w:t>
      </w:r>
      <w:bookmarkEnd w:id="46"/>
      <w:bookmarkEnd w:id="47"/>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8" w:name="_Toc26986532"/>
          <w:bookmarkEnd w:id="48"/>
          <w:r>
            <w:t>下列术语和定义适用于本文件。</w:t>
          </w:r>
        </w:p>
      </w:sdtContent>
    </w:sdt>
    <w:p w14:paraId="56C6869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数据有效率 d</w:t>
      </w:r>
      <w:r>
        <w:rPr>
          <w:rFonts w:ascii="黑体" w:hAnsi="黑体" w:eastAsia="黑体"/>
        </w:rPr>
        <w:t>ata efficiency</w:t>
      </w:r>
    </w:p>
    <w:p w14:paraId="40A6E264">
      <w:pPr>
        <w:pStyle w:val="56"/>
        <w:spacing w:line="360" w:lineRule="auto"/>
        <w:ind w:firstLine="420"/>
      </w:pPr>
      <w:r>
        <w:rPr>
          <w:rFonts w:hint="eastAsia"/>
        </w:rPr>
        <w:t>有效监测数据占理论应获数据的百分比，计算公式为（有效数据量/应获数据总量）×100%。</w:t>
      </w:r>
    </w:p>
    <w:p w14:paraId="12F1868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零点漂移 </w:t>
      </w:r>
      <w:r>
        <w:rPr>
          <w:rFonts w:ascii="黑体" w:hAnsi="黑体" w:eastAsia="黑体"/>
        </w:rPr>
        <w:t>zero drift</w:t>
      </w:r>
    </w:p>
    <w:p w14:paraId="2E08D9F2">
      <w:pPr>
        <w:pStyle w:val="56"/>
        <w:spacing w:line="360" w:lineRule="auto"/>
        <w:ind w:firstLine="420"/>
      </w:pPr>
      <w:r>
        <w:rPr>
          <w:rFonts w:hint="eastAsia"/>
        </w:rPr>
        <w:t>设备在未接触待测样品时，示值随时间的变化幅度。</w:t>
      </w:r>
    </w:p>
    <w:p w14:paraId="7A9B54A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质控样 </w:t>
      </w:r>
      <w:r>
        <w:rPr>
          <w:rFonts w:ascii="黑体" w:hAnsi="黑体" w:eastAsia="黑体"/>
        </w:rPr>
        <w:t>quality control sample</w:t>
      </w:r>
    </w:p>
    <w:p w14:paraId="5A14EC2E">
      <w:pPr>
        <w:pStyle w:val="56"/>
        <w:spacing w:line="360" w:lineRule="auto"/>
        <w:ind w:firstLine="420"/>
      </w:pPr>
      <w:r>
        <w:rPr>
          <w:rFonts w:hint="eastAsia"/>
        </w:rPr>
        <w:t>已知浓度的标准样品，用于验证设备测量准确性。</w:t>
      </w:r>
    </w:p>
    <w:p w14:paraId="23DA1A7A">
      <w:pPr>
        <w:pStyle w:val="104"/>
        <w:spacing w:before="240" w:after="240" w:line="360" w:lineRule="auto"/>
      </w:pPr>
      <w:bookmarkStart w:id="49" w:name="_Toc192667034"/>
      <w:r>
        <w:rPr>
          <w:rFonts w:hint="eastAsia"/>
        </w:rPr>
        <w:t>总则</w:t>
      </w:r>
      <w:bookmarkEnd w:id="49"/>
    </w:p>
    <w:p w14:paraId="01368ADF">
      <w:pPr>
        <w:pStyle w:val="56"/>
        <w:spacing w:line="360" w:lineRule="auto"/>
        <w:ind w:firstLine="420"/>
      </w:pPr>
      <w:r>
        <w:rPr>
          <w:rFonts w:hint="eastAsia"/>
        </w:rPr>
        <w:t>运维单位应建立“预防性维护为主、应急维修为辅”的管理机制，确保设备全年有效运行率≥90%。</w:t>
      </w:r>
    </w:p>
    <w:p w14:paraId="247A4A9B">
      <w:pPr>
        <w:pStyle w:val="56"/>
        <w:spacing w:line="360" w:lineRule="auto"/>
        <w:ind w:firstLine="420"/>
      </w:pPr>
      <w:r>
        <w:rPr>
          <w:rFonts w:hint="eastAsia"/>
        </w:rPr>
        <w:t>数据审核遵循“真实性、完整性、一致性”原则，异常数据需标注原因并留痕备查。</w:t>
      </w:r>
    </w:p>
    <w:p w14:paraId="2A3E23FB">
      <w:pPr>
        <w:pStyle w:val="56"/>
        <w:spacing w:line="360" w:lineRule="auto"/>
        <w:ind w:firstLine="420"/>
      </w:pPr>
      <w:r>
        <w:rPr>
          <w:rFonts w:hint="eastAsia"/>
        </w:rPr>
        <w:t>采用物联网、区块链技术实现运维过程可追溯、数据防篡改。</w:t>
      </w:r>
    </w:p>
    <w:p w14:paraId="54758D06">
      <w:pPr>
        <w:pStyle w:val="104"/>
        <w:spacing w:before="240" w:after="240" w:line="360" w:lineRule="auto"/>
      </w:pPr>
      <w:bookmarkStart w:id="50" w:name="_Toc192667035"/>
      <w:r>
        <w:rPr>
          <w:rFonts w:hint="eastAsia"/>
        </w:rPr>
        <w:t>运行维护技术要求</w:t>
      </w:r>
      <w:bookmarkEnd w:id="50"/>
    </w:p>
    <w:p w14:paraId="3CB00E4D">
      <w:pPr>
        <w:pStyle w:val="105"/>
        <w:spacing w:before="120" w:after="120" w:line="360" w:lineRule="auto"/>
      </w:pPr>
      <w:r>
        <w:rPr>
          <w:rFonts w:hint="eastAsia"/>
        </w:rPr>
        <w:t>日常运维</w:t>
      </w:r>
    </w:p>
    <w:p w14:paraId="492161C2">
      <w:pPr>
        <w:pStyle w:val="56"/>
        <w:spacing w:line="360" w:lineRule="auto"/>
        <w:ind w:firstLine="420"/>
      </w:pPr>
      <w:r>
        <w:rPr>
          <w:rFonts w:hint="eastAsia"/>
        </w:rPr>
        <w:t>巡检内容：</w:t>
      </w:r>
    </w:p>
    <w:p w14:paraId="23F0FA49">
      <w:pPr>
        <w:pStyle w:val="132"/>
        <w:spacing w:line="360" w:lineRule="auto"/>
      </w:pPr>
      <w:r>
        <w:rPr>
          <w:rFonts w:hint="eastAsia"/>
        </w:rPr>
        <w:t>每日检查设备运行状态、试剂余量、管路通畅性；</w:t>
      </w:r>
    </w:p>
    <w:p w14:paraId="1EFD6411">
      <w:pPr>
        <w:pStyle w:val="132"/>
        <w:spacing w:line="360" w:lineRule="auto"/>
      </w:pPr>
      <w:r>
        <w:rPr>
          <w:rFonts w:hint="eastAsia"/>
        </w:rPr>
        <w:t>每周清理传感器表面附着物，检查电路接地可靠性。</w:t>
      </w:r>
    </w:p>
    <w:p w14:paraId="2E521B48">
      <w:pPr>
        <w:pStyle w:val="56"/>
        <w:spacing w:line="360" w:lineRule="auto"/>
        <w:ind w:firstLine="420"/>
      </w:pPr>
      <w:r>
        <w:rPr>
          <w:rFonts w:hint="eastAsia"/>
        </w:rPr>
        <w:t>记录要求：填写《运维日志》（附录A），记录异常现象及处理措施。</w:t>
      </w:r>
    </w:p>
    <w:p w14:paraId="15813C66">
      <w:pPr>
        <w:pStyle w:val="105"/>
        <w:spacing w:before="120" w:after="120" w:line="360" w:lineRule="auto"/>
      </w:pPr>
      <w:r>
        <w:rPr>
          <w:rFonts w:hint="eastAsia"/>
        </w:rPr>
        <w:t>校准与校验</w:t>
      </w:r>
    </w:p>
    <w:p w14:paraId="19F6D69F">
      <w:pPr>
        <w:pStyle w:val="56"/>
        <w:spacing w:line="360" w:lineRule="auto"/>
        <w:ind w:firstLine="420"/>
      </w:pPr>
      <w:r>
        <w:rPr>
          <w:rFonts w:hint="eastAsia"/>
        </w:rPr>
        <w:t>定期校准：</w:t>
      </w:r>
    </w:p>
    <w:p w14:paraId="2BD22B1A">
      <w:pPr>
        <w:pStyle w:val="132"/>
        <w:spacing w:line="360" w:lineRule="auto"/>
      </w:pPr>
      <w:r>
        <w:rPr>
          <w:rFonts w:hint="eastAsia"/>
        </w:rPr>
        <w:t>pH、溶解氧传感器每7天校准1次，零点漂移≤±2%满量程；</w:t>
      </w:r>
    </w:p>
    <w:p w14:paraId="109AE71A">
      <w:pPr>
        <w:pStyle w:val="132"/>
        <w:spacing w:line="360" w:lineRule="auto"/>
      </w:pPr>
      <w:r>
        <w:rPr>
          <w:rFonts w:hint="eastAsia"/>
        </w:rPr>
        <w:t>CODCr、NH3-N分析仪每月用质控样验证，相对误差≤±10%。</w:t>
      </w:r>
    </w:p>
    <w:p w14:paraId="0EF263F3">
      <w:pPr>
        <w:pStyle w:val="56"/>
        <w:spacing w:line="360" w:lineRule="auto"/>
        <w:ind w:firstLine="420"/>
      </w:pPr>
      <w:r>
        <w:rPr>
          <w:rFonts w:hint="eastAsia"/>
        </w:rPr>
        <w:t>交叉比对：每季度与实验室手工监测数据比对，绝对偏差≤15%。</w:t>
      </w:r>
    </w:p>
    <w:p w14:paraId="55A9FFC5">
      <w:pPr>
        <w:pStyle w:val="105"/>
        <w:spacing w:before="120" w:after="120" w:line="360" w:lineRule="auto"/>
      </w:pPr>
      <w:r>
        <w:rPr>
          <w:rFonts w:hint="eastAsia"/>
        </w:rPr>
        <w:t>故障处理</w:t>
      </w:r>
    </w:p>
    <w:p w14:paraId="75C61EA7">
      <w:pPr>
        <w:pStyle w:val="56"/>
        <w:spacing w:line="360" w:lineRule="auto"/>
        <w:ind w:firstLine="420"/>
      </w:pPr>
      <w:r>
        <w:rPr>
          <w:rFonts w:hint="eastAsia"/>
        </w:rPr>
        <w:t>响应时限：</w:t>
      </w:r>
    </w:p>
    <w:p w14:paraId="375D2963">
      <w:pPr>
        <w:pStyle w:val="132"/>
        <w:spacing w:line="360" w:lineRule="auto"/>
      </w:pPr>
      <w:r>
        <w:rPr>
          <w:rFonts w:hint="eastAsia"/>
        </w:rPr>
        <w:t>设备故障报警后，2小时内抵达现场，24小时内修复；</w:t>
      </w:r>
    </w:p>
    <w:p w14:paraId="6417B19B">
      <w:pPr>
        <w:pStyle w:val="132"/>
        <w:spacing w:line="360" w:lineRule="auto"/>
      </w:pPr>
      <w:r>
        <w:rPr>
          <w:rFonts w:hint="eastAsia"/>
        </w:rPr>
        <w:t>无法即时修复时，启用备用设备或手工监测补录数据。</w:t>
      </w:r>
    </w:p>
    <w:p w14:paraId="76559600">
      <w:pPr>
        <w:pStyle w:val="104"/>
        <w:spacing w:before="240" w:after="240" w:line="360" w:lineRule="auto"/>
      </w:pPr>
      <w:bookmarkStart w:id="51" w:name="_Toc192667036"/>
      <w:r>
        <w:rPr>
          <w:rFonts w:hint="eastAsia"/>
        </w:rPr>
        <w:t>数据审核与管理</w:t>
      </w:r>
      <w:bookmarkEnd w:id="51"/>
    </w:p>
    <w:p w14:paraId="4C6862EE">
      <w:pPr>
        <w:pStyle w:val="105"/>
        <w:spacing w:before="120" w:after="120" w:line="360" w:lineRule="auto"/>
      </w:pPr>
      <w:r>
        <w:rPr>
          <w:rFonts w:hint="eastAsia"/>
        </w:rPr>
        <w:t>数据采集</w:t>
      </w:r>
    </w:p>
    <w:p w14:paraId="5BA811B6">
      <w:pPr>
        <w:pStyle w:val="56"/>
        <w:spacing w:line="360" w:lineRule="auto"/>
        <w:ind w:firstLine="420"/>
      </w:pPr>
      <w:r>
        <w:rPr>
          <w:rFonts w:hint="eastAsia"/>
        </w:rPr>
        <w:t>频率要求：</w:t>
      </w:r>
    </w:p>
    <w:p w14:paraId="2970B2B3">
      <w:pPr>
        <w:pStyle w:val="132"/>
        <w:spacing w:line="360" w:lineRule="auto"/>
      </w:pPr>
      <w:r>
        <w:rPr>
          <w:rFonts w:hint="eastAsia"/>
        </w:rPr>
        <w:t>常规参数（pH、电导率）每15分钟采集1次；</w:t>
      </w:r>
    </w:p>
    <w:p w14:paraId="6758B091">
      <w:pPr>
        <w:pStyle w:val="132"/>
        <w:spacing w:line="360" w:lineRule="auto"/>
      </w:pPr>
      <w:r>
        <w:rPr>
          <w:rFonts w:hint="eastAsia"/>
        </w:rPr>
        <w:t>CODCr、总磷等参数每2小时采集1次。</w:t>
      </w:r>
    </w:p>
    <w:p w14:paraId="4B24FCD1">
      <w:pPr>
        <w:pStyle w:val="56"/>
        <w:spacing w:line="360" w:lineRule="auto"/>
        <w:ind w:firstLine="420"/>
      </w:pPr>
      <w:r>
        <w:rPr>
          <w:rFonts w:hint="eastAsia"/>
        </w:rPr>
        <w:t>存储要求：原始数据保留≥5年，备份至云端及本地服务器。</w:t>
      </w:r>
    </w:p>
    <w:p w14:paraId="58634642">
      <w:pPr>
        <w:pStyle w:val="105"/>
        <w:spacing w:before="120" w:after="120" w:line="360" w:lineRule="auto"/>
      </w:pPr>
      <w:r>
        <w:rPr>
          <w:rFonts w:hint="eastAsia"/>
        </w:rPr>
        <w:t>数据审核流程</w:t>
      </w:r>
    </w:p>
    <w:p w14:paraId="0F7F2989">
      <w:pPr>
        <w:pStyle w:val="56"/>
        <w:spacing w:line="360" w:lineRule="auto"/>
        <w:ind w:firstLine="420"/>
      </w:pPr>
      <w:r>
        <w:rPr>
          <w:rFonts w:hint="eastAsia"/>
        </w:rPr>
        <w:t>数据审核分为以下三级：</w:t>
      </w:r>
    </w:p>
    <w:p w14:paraId="09A19271">
      <w:pPr>
        <w:pStyle w:val="132"/>
        <w:spacing w:line="360" w:lineRule="auto"/>
      </w:pPr>
      <w:r>
        <w:rPr>
          <w:rFonts w:hint="eastAsia"/>
        </w:rPr>
        <w:t>一级审核（自动）：系统自动剔除超量程、突变异常数据（如pH值2小时内波动＞3）；</w:t>
      </w:r>
    </w:p>
    <w:p w14:paraId="4D8B97EF">
      <w:pPr>
        <w:pStyle w:val="132"/>
        <w:spacing w:line="360" w:lineRule="auto"/>
      </w:pPr>
      <w:r>
        <w:rPr>
          <w:rFonts w:hint="eastAsia"/>
        </w:rPr>
        <w:t>二级审核（人工）：运维人员每日核查数据趋势，标记可疑值并附说明（如“降雨干扰”）；</w:t>
      </w:r>
    </w:p>
    <w:p w14:paraId="1E632420">
      <w:pPr>
        <w:pStyle w:val="132"/>
        <w:spacing w:line="360" w:lineRule="auto"/>
      </w:pPr>
      <w:r>
        <w:rPr>
          <w:rFonts w:hint="eastAsia"/>
        </w:rPr>
        <w:t>三级审核（专家）：每月组织专家会审，重点审核污染物浓度突变、设备故障期间数据。</w:t>
      </w:r>
    </w:p>
    <w:p w14:paraId="16DF281E">
      <w:pPr>
        <w:pStyle w:val="132"/>
        <w:numPr>
          <w:ilvl w:val="0"/>
          <w:numId w:val="0"/>
        </w:numPr>
        <w:spacing w:line="360" w:lineRule="auto"/>
        <w:ind w:left="425"/>
      </w:pPr>
      <w:r>
        <w:rPr>
          <w:rFonts w:hint="eastAsia"/>
        </w:rPr>
        <w:t>数据审核流程图见附录A。</w:t>
      </w:r>
    </w:p>
    <w:p w14:paraId="752998AA">
      <w:pPr>
        <w:pStyle w:val="105"/>
        <w:spacing w:before="120" w:after="120" w:line="360" w:lineRule="auto"/>
      </w:pPr>
      <w:r>
        <w:rPr>
          <w:rFonts w:hint="eastAsia"/>
        </w:rPr>
        <w:t>质量控制</w:t>
      </w:r>
    </w:p>
    <w:p w14:paraId="57D2B688">
      <w:pPr>
        <w:pStyle w:val="56"/>
        <w:spacing w:line="360" w:lineRule="auto"/>
        <w:ind w:firstLine="420"/>
      </w:pPr>
      <w:r>
        <w:rPr>
          <w:rFonts w:hint="eastAsia"/>
        </w:rPr>
        <w:t>质控措施：</w:t>
      </w:r>
    </w:p>
    <w:p w14:paraId="32F6205B">
      <w:pPr>
        <w:pStyle w:val="132"/>
        <w:spacing w:line="360" w:lineRule="auto"/>
      </w:pPr>
      <w:r>
        <w:rPr>
          <w:rFonts w:hint="eastAsia"/>
        </w:rPr>
        <w:t>每月至少进行1次空白样、平行样测试；</w:t>
      </w:r>
    </w:p>
    <w:p w14:paraId="7704E40A">
      <w:pPr>
        <w:pStyle w:val="132"/>
        <w:spacing w:line="360" w:lineRule="auto"/>
      </w:pPr>
      <w:r>
        <w:rPr>
          <w:rFonts w:hint="eastAsia"/>
        </w:rPr>
        <w:t>每半年开展1次全系统性能审核（含采样单元、分析单元、传输单元）。</w:t>
      </w:r>
    </w:p>
    <w:p w14:paraId="3A5D3A4D">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bookmarkEnd w:id="24"/>
    <w:p w14:paraId="3FF4D37A">
      <w:pPr>
        <w:pStyle w:val="198"/>
      </w:pPr>
      <w:bookmarkStart w:id="52" w:name="BookMark5"/>
    </w:p>
    <w:p w14:paraId="776C17CB">
      <w:pPr>
        <w:pStyle w:val="199"/>
      </w:pPr>
    </w:p>
    <w:p w14:paraId="5D05CDE3">
      <w:pPr>
        <w:pStyle w:val="76"/>
        <w:spacing w:after="120" w:line="360" w:lineRule="auto"/>
      </w:pPr>
      <w:r>
        <w:br w:type="textWrapping"/>
      </w:r>
      <w:bookmarkStart w:id="53" w:name="_Toc192667037"/>
      <w:r>
        <w:rPr>
          <w:rFonts w:hint="eastAsia"/>
        </w:rPr>
        <w:t>（资料性）</w:t>
      </w:r>
      <w:r>
        <w:br w:type="textWrapping"/>
      </w:r>
      <w:r>
        <w:rPr>
          <w:rFonts w:hint="eastAsia"/>
        </w:rPr>
        <w:t>运维日志表与数据审核流程</w:t>
      </w:r>
      <w:bookmarkEnd w:id="53"/>
    </w:p>
    <w:p w14:paraId="4C61CF69">
      <w:pPr>
        <w:pStyle w:val="78"/>
        <w:spacing w:before="120" w:after="120" w:line="360" w:lineRule="auto"/>
      </w:pPr>
      <w:bookmarkStart w:id="54" w:name="_Hlk192666845"/>
      <w:r>
        <w:rPr>
          <w:rFonts w:hint="eastAsia"/>
        </w:rPr>
        <w:t>水质在线监测设备运维日志表</w:t>
      </w:r>
      <w:bookmarkEnd w:id="54"/>
      <w:r>
        <w:rPr>
          <w:rFonts w:hint="eastAsia"/>
        </w:rPr>
        <w:t>见表A</w:t>
      </w:r>
      <w:r>
        <w:t>.1</w:t>
      </w:r>
    </w:p>
    <w:p w14:paraId="61B10981">
      <w:pPr>
        <w:pStyle w:val="56"/>
        <w:spacing w:line="360" w:lineRule="auto"/>
        <w:ind w:firstLine="0" w:firstLineChars="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水质在线监测设备运维日志表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2F792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556" w:type="dxa"/>
            <w:tcBorders>
              <w:top w:val="single" w:color="auto" w:sz="8" w:space="0"/>
              <w:bottom w:val="single" w:color="auto" w:sz="8" w:space="0"/>
            </w:tcBorders>
            <w:shd w:val="clear" w:color="auto" w:fill="auto"/>
            <w:vAlign w:val="center"/>
          </w:tcPr>
          <w:p w14:paraId="68848AC6">
            <w:pPr>
              <w:pStyle w:val="178"/>
            </w:pPr>
            <w:r>
              <w:t>日期</w:t>
            </w:r>
          </w:p>
        </w:tc>
        <w:tc>
          <w:tcPr>
            <w:tcW w:w="1556" w:type="dxa"/>
            <w:tcBorders>
              <w:top w:val="single" w:color="auto" w:sz="8" w:space="0"/>
              <w:bottom w:val="single" w:color="auto" w:sz="8" w:space="0"/>
            </w:tcBorders>
            <w:shd w:val="clear" w:color="auto" w:fill="auto"/>
            <w:vAlign w:val="center"/>
          </w:tcPr>
          <w:p w14:paraId="3FCCAF90">
            <w:pPr>
              <w:pStyle w:val="178"/>
            </w:pPr>
            <w:r>
              <w:t>设备编号</w:t>
            </w:r>
          </w:p>
        </w:tc>
        <w:tc>
          <w:tcPr>
            <w:tcW w:w="1555" w:type="dxa"/>
            <w:tcBorders>
              <w:top w:val="single" w:color="auto" w:sz="8" w:space="0"/>
              <w:bottom w:val="single" w:color="auto" w:sz="8" w:space="0"/>
            </w:tcBorders>
            <w:shd w:val="clear" w:color="auto" w:fill="auto"/>
            <w:vAlign w:val="center"/>
          </w:tcPr>
          <w:p w14:paraId="2A77F4CA">
            <w:pPr>
              <w:pStyle w:val="178"/>
            </w:pPr>
            <w:r>
              <w:t>检查项目</w:t>
            </w:r>
          </w:p>
        </w:tc>
        <w:tc>
          <w:tcPr>
            <w:tcW w:w="1555" w:type="dxa"/>
            <w:tcBorders>
              <w:top w:val="single" w:color="auto" w:sz="8" w:space="0"/>
              <w:bottom w:val="single" w:color="auto" w:sz="8" w:space="0"/>
            </w:tcBorders>
            <w:shd w:val="clear" w:color="auto" w:fill="auto"/>
            <w:vAlign w:val="center"/>
          </w:tcPr>
          <w:p w14:paraId="56F6BC2D">
            <w:pPr>
              <w:pStyle w:val="178"/>
            </w:pPr>
            <w:r>
              <w:t>运行状态</w:t>
            </w:r>
          </w:p>
        </w:tc>
        <w:tc>
          <w:tcPr>
            <w:tcW w:w="1556" w:type="dxa"/>
            <w:tcBorders>
              <w:top w:val="single" w:color="auto" w:sz="8" w:space="0"/>
              <w:bottom w:val="single" w:color="auto" w:sz="8" w:space="0"/>
            </w:tcBorders>
            <w:shd w:val="clear" w:color="auto" w:fill="auto"/>
            <w:vAlign w:val="center"/>
          </w:tcPr>
          <w:p w14:paraId="529DFF89">
            <w:pPr>
              <w:pStyle w:val="178"/>
            </w:pPr>
            <w:r>
              <w:t>处理措施</w:t>
            </w:r>
          </w:p>
        </w:tc>
        <w:tc>
          <w:tcPr>
            <w:tcW w:w="1556" w:type="dxa"/>
            <w:tcBorders>
              <w:top w:val="single" w:color="auto" w:sz="8" w:space="0"/>
              <w:bottom w:val="single" w:color="auto" w:sz="8" w:space="0"/>
            </w:tcBorders>
            <w:shd w:val="clear" w:color="auto" w:fill="auto"/>
            <w:vAlign w:val="center"/>
          </w:tcPr>
          <w:p w14:paraId="126107E9">
            <w:pPr>
              <w:pStyle w:val="178"/>
            </w:pPr>
            <w:r>
              <w:t>责任人</w:t>
            </w:r>
          </w:p>
        </w:tc>
      </w:tr>
      <w:tr w14:paraId="0725C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14:paraId="54E68A8C">
            <w:pPr>
              <w:pStyle w:val="178"/>
            </w:pPr>
            <w:r>
              <w:rPr>
                <w:rFonts w:hint="eastAsia"/>
              </w:rPr>
              <w:t>示例/</w:t>
            </w:r>
            <w:r>
              <w:t>2023-10-01</w:t>
            </w:r>
          </w:p>
        </w:tc>
        <w:tc>
          <w:tcPr>
            <w:tcW w:w="1556" w:type="dxa"/>
            <w:tcBorders>
              <w:top w:val="single" w:color="auto" w:sz="8" w:space="0"/>
            </w:tcBorders>
            <w:shd w:val="clear" w:color="auto" w:fill="auto"/>
            <w:vAlign w:val="center"/>
          </w:tcPr>
          <w:p w14:paraId="2B5DFB92">
            <w:pPr>
              <w:pStyle w:val="178"/>
            </w:pPr>
            <w:r>
              <w:t>WQ-0123</w:t>
            </w:r>
          </w:p>
        </w:tc>
        <w:tc>
          <w:tcPr>
            <w:tcW w:w="1555" w:type="dxa"/>
            <w:tcBorders>
              <w:top w:val="single" w:color="auto" w:sz="8" w:space="0"/>
            </w:tcBorders>
            <w:shd w:val="clear" w:color="auto" w:fill="auto"/>
            <w:vAlign w:val="center"/>
          </w:tcPr>
          <w:p w14:paraId="4F88DA4B">
            <w:pPr>
              <w:pStyle w:val="178"/>
            </w:pPr>
            <w:r>
              <w:t>pH传感器校准</w:t>
            </w:r>
          </w:p>
        </w:tc>
        <w:tc>
          <w:tcPr>
            <w:tcW w:w="1555" w:type="dxa"/>
            <w:tcBorders>
              <w:top w:val="single" w:color="auto" w:sz="8" w:space="0"/>
            </w:tcBorders>
            <w:shd w:val="clear" w:color="auto" w:fill="auto"/>
            <w:vAlign w:val="center"/>
          </w:tcPr>
          <w:p w14:paraId="502B494F">
            <w:pPr>
              <w:pStyle w:val="178"/>
            </w:pPr>
            <w:r>
              <w:t>正常</w:t>
            </w:r>
          </w:p>
        </w:tc>
        <w:tc>
          <w:tcPr>
            <w:tcW w:w="1556" w:type="dxa"/>
            <w:tcBorders>
              <w:top w:val="single" w:color="auto" w:sz="8" w:space="0"/>
            </w:tcBorders>
            <w:shd w:val="clear" w:color="auto" w:fill="auto"/>
            <w:vAlign w:val="center"/>
          </w:tcPr>
          <w:p w14:paraId="27A84247">
            <w:pPr>
              <w:pStyle w:val="178"/>
            </w:pPr>
            <w:r>
              <w:t>无</w:t>
            </w:r>
          </w:p>
        </w:tc>
        <w:tc>
          <w:tcPr>
            <w:tcW w:w="1556" w:type="dxa"/>
            <w:tcBorders>
              <w:top w:val="single" w:color="auto" w:sz="8" w:space="0"/>
            </w:tcBorders>
            <w:shd w:val="clear" w:color="auto" w:fill="auto"/>
            <w:vAlign w:val="center"/>
          </w:tcPr>
          <w:p w14:paraId="7D036AD1">
            <w:pPr>
              <w:pStyle w:val="178"/>
            </w:pPr>
            <w:r>
              <w:t>张三</w:t>
            </w:r>
          </w:p>
        </w:tc>
      </w:tr>
      <w:tr w14:paraId="67CF4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4FB559D7">
            <w:pPr>
              <w:pStyle w:val="178"/>
            </w:pPr>
            <w:r>
              <w:rPr>
                <w:rFonts w:hint="eastAsia"/>
              </w:rPr>
              <w:t>示例/</w:t>
            </w:r>
            <w:r>
              <w:t>2023-10-02</w:t>
            </w:r>
          </w:p>
        </w:tc>
        <w:tc>
          <w:tcPr>
            <w:tcW w:w="1556" w:type="dxa"/>
            <w:shd w:val="clear" w:color="auto" w:fill="auto"/>
            <w:vAlign w:val="center"/>
          </w:tcPr>
          <w:p w14:paraId="7B446EF5">
            <w:pPr>
              <w:pStyle w:val="178"/>
            </w:pPr>
            <w:r>
              <w:t>WQ-0123</w:t>
            </w:r>
          </w:p>
        </w:tc>
        <w:tc>
          <w:tcPr>
            <w:tcW w:w="1555" w:type="dxa"/>
            <w:shd w:val="clear" w:color="auto" w:fill="auto"/>
            <w:vAlign w:val="center"/>
          </w:tcPr>
          <w:p w14:paraId="0B61B5C0">
            <w:pPr>
              <w:pStyle w:val="178"/>
            </w:pPr>
            <w:r>
              <w:t>CODCr试剂不足</w:t>
            </w:r>
          </w:p>
        </w:tc>
        <w:tc>
          <w:tcPr>
            <w:tcW w:w="1555" w:type="dxa"/>
            <w:shd w:val="clear" w:color="auto" w:fill="auto"/>
            <w:vAlign w:val="center"/>
          </w:tcPr>
          <w:p w14:paraId="3E864D42">
            <w:pPr>
              <w:pStyle w:val="178"/>
            </w:pPr>
            <w:r>
              <w:t>异常</w:t>
            </w:r>
          </w:p>
        </w:tc>
        <w:tc>
          <w:tcPr>
            <w:tcW w:w="1556" w:type="dxa"/>
            <w:shd w:val="clear" w:color="auto" w:fill="auto"/>
            <w:vAlign w:val="center"/>
          </w:tcPr>
          <w:p w14:paraId="414EB3E5">
            <w:pPr>
              <w:pStyle w:val="178"/>
            </w:pPr>
            <w:r>
              <w:t>更换试剂</w:t>
            </w:r>
          </w:p>
        </w:tc>
        <w:tc>
          <w:tcPr>
            <w:tcW w:w="1556" w:type="dxa"/>
            <w:shd w:val="clear" w:color="auto" w:fill="auto"/>
            <w:vAlign w:val="center"/>
          </w:tcPr>
          <w:p w14:paraId="035826A5">
            <w:pPr>
              <w:pStyle w:val="178"/>
            </w:pPr>
            <w:r>
              <w:t>李四</w:t>
            </w:r>
          </w:p>
        </w:tc>
      </w:tr>
      <w:tr w14:paraId="49EB4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52CDDC7">
            <w:pPr>
              <w:pStyle w:val="178"/>
            </w:pPr>
          </w:p>
        </w:tc>
        <w:tc>
          <w:tcPr>
            <w:tcW w:w="1556" w:type="dxa"/>
            <w:shd w:val="clear" w:color="auto" w:fill="auto"/>
            <w:vAlign w:val="center"/>
          </w:tcPr>
          <w:p w14:paraId="7544D6EF">
            <w:pPr>
              <w:pStyle w:val="178"/>
            </w:pPr>
          </w:p>
        </w:tc>
        <w:tc>
          <w:tcPr>
            <w:tcW w:w="1555" w:type="dxa"/>
            <w:shd w:val="clear" w:color="auto" w:fill="auto"/>
            <w:vAlign w:val="center"/>
          </w:tcPr>
          <w:p w14:paraId="6CF67F24">
            <w:pPr>
              <w:pStyle w:val="178"/>
            </w:pPr>
          </w:p>
        </w:tc>
        <w:tc>
          <w:tcPr>
            <w:tcW w:w="1555" w:type="dxa"/>
            <w:shd w:val="clear" w:color="auto" w:fill="auto"/>
            <w:vAlign w:val="center"/>
          </w:tcPr>
          <w:p w14:paraId="47786CB5">
            <w:pPr>
              <w:pStyle w:val="178"/>
            </w:pPr>
          </w:p>
        </w:tc>
        <w:tc>
          <w:tcPr>
            <w:tcW w:w="1556" w:type="dxa"/>
            <w:shd w:val="clear" w:color="auto" w:fill="auto"/>
            <w:vAlign w:val="center"/>
          </w:tcPr>
          <w:p w14:paraId="71EF337E">
            <w:pPr>
              <w:pStyle w:val="178"/>
            </w:pPr>
          </w:p>
        </w:tc>
        <w:tc>
          <w:tcPr>
            <w:tcW w:w="1556" w:type="dxa"/>
            <w:shd w:val="clear" w:color="auto" w:fill="auto"/>
            <w:vAlign w:val="center"/>
          </w:tcPr>
          <w:p w14:paraId="00975D84">
            <w:pPr>
              <w:pStyle w:val="178"/>
            </w:pPr>
          </w:p>
        </w:tc>
      </w:tr>
      <w:tr w14:paraId="1E78B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61AD01A2">
            <w:pPr>
              <w:pStyle w:val="178"/>
            </w:pPr>
          </w:p>
        </w:tc>
        <w:tc>
          <w:tcPr>
            <w:tcW w:w="1556" w:type="dxa"/>
            <w:shd w:val="clear" w:color="auto" w:fill="auto"/>
            <w:vAlign w:val="center"/>
          </w:tcPr>
          <w:p w14:paraId="452488B4">
            <w:pPr>
              <w:pStyle w:val="178"/>
            </w:pPr>
          </w:p>
        </w:tc>
        <w:tc>
          <w:tcPr>
            <w:tcW w:w="1555" w:type="dxa"/>
            <w:shd w:val="clear" w:color="auto" w:fill="auto"/>
            <w:vAlign w:val="center"/>
          </w:tcPr>
          <w:p w14:paraId="259D4DF7">
            <w:pPr>
              <w:pStyle w:val="178"/>
            </w:pPr>
          </w:p>
        </w:tc>
        <w:tc>
          <w:tcPr>
            <w:tcW w:w="1555" w:type="dxa"/>
            <w:shd w:val="clear" w:color="auto" w:fill="auto"/>
            <w:vAlign w:val="center"/>
          </w:tcPr>
          <w:p w14:paraId="1EC4B7C7">
            <w:pPr>
              <w:pStyle w:val="178"/>
            </w:pPr>
          </w:p>
        </w:tc>
        <w:tc>
          <w:tcPr>
            <w:tcW w:w="1556" w:type="dxa"/>
            <w:shd w:val="clear" w:color="auto" w:fill="auto"/>
            <w:vAlign w:val="center"/>
          </w:tcPr>
          <w:p w14:paraId="7BCB05DC">
            <w:pPr>
              <w:pStyle w:val="178"/>
            </w:pPr>
          </w:p>
        </w:tc>
        <w:tc>
          <w:tcPr>
            <w:tcW w:w="1556" w:type="dxa"/>
            <w:shd w:val="clear" w:color="auto" w:fill="auto"/>
            <w:vAlign w:val="center"/>
          </w:tcPr>
          <w:p w14:paraId="36ACCE72">
            <w:pPr>
              <w:pStyle w:val="178"/>
            </w:pPr>
          </w:p>
        </w:tc>
      </w:tr>
      <w:tr w14:paraId="3E6B5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86834FB">
            <w:pPr>
              <w:pStyle w:val="178"/>
            </w:pPr>
          </w:p>
        </w:tc>
        <w:tc>
          <w:tcPr>
            <w:tcW w:w="1556" w:type="dxa"/>
            <w:shd w:val="clear" w:color="auto" w:fill="auto"/>
            <w:vAlign w:val="center"/>
          </w:tcPr>
          <w:p w14:paraId="70C53B66">
            <w:pPr>
              <w:pStyle w:val="178"/>
            </w:pPr>
          </w:p>
        </w:tc>
        <w:tc>
          <w:tcPr>
            <w:tcW w:w="1555" w:type="dxa"/>
            <w:shd w:val="clear" w:color="auto" w:fill="auto"/>
            <w:vAlign w:val="center"/>
          </w:tcPr>
          <w:p w14:paraId="5984BD6D">
            <w:pPr>
              <w:pStyle w:val="178"/>
            </w:pPr>
          </w:p>
        </w:tc>
        <w:tc>
          <w:tcPr>
            <w:tcW w:w="1555" w:type="dxa"/>
            <w:shd w:val="clear" w:color="auto" w:fill="auto"/>
            <w:vAlign w:val="center"/>
          </w:tcPr>
          <w:p w14:paraId="5463E4B9">
            <w:pPr>
              <w:pStyle w:val="178"/>
            </w:pPr>
          </w:p>
        </w:tc>
        <w:tc>
          <w:tcPr>
            <w:tcW w:w="1556" w:type="dxa"/>
            <w:shd w:val="clear" w:color="auto" w:fill="auto"/>
            <w:vAlign w:val="center"/>
          </w:tcPr>
          <w:p w14:paraId="174A7D27">
            <w:pPr>
              <w:pStyle w:val="178"/>
            </w:pPr>
          </w:p>
        </w:tc>
        <w:tc>
          <w:tcPr>
            <w:tcW w:w="1556" w:type="dxa"/>
            <w:shd w:val="clear" w:color="auto" w:fill="auto"/>
            <w:vAlign w:val="center"/>
          </w:tcPr>
          <w:p w14:paraId="1FB002E2">
            <w:pPr>
              <w:pStyle w:val="178"/>
            </w:pPr>
          </w:p>
        </w:tc>
      </w:tr>
    </w:tbl>
    <w:p w14:paraId="0F6BB41A">
      <w:pPr>
        <w:pStyle w:val="78"/>
        <w:spacing w:before="120" w:after="120" w:line="360" w:lineRule="auto"/>
      </w:pPr>
      <w:r>
        <w:rPr>
          <w:rFonts w:hint="eastAsia"/>
        </w:rPr>
        <w:t>数据审核流程图见图A</w:t>
      </w:r>
      <w:r>
        <w:t>.1</w:t>
      </w:r>
    </w:p>
    <w:p w14:paraId="1623D319">
      <w:pPr>
        <w:pStyle w:val="56"/>
        <w:spacing w:line="360" w:lineRule="auto"/>
        <w:ind w:firstLine="420"/>
        <w:jc w:val="center"/>
      </w:pPr>
      <w:r>
        <w:drawing>
          <wp:inline distT="0" distB="0" distL="0" distR="0">
            <wp:extent cx="3578860" cy="3663315"/>
            <wp:effectExtent l="0" t="0" r="2540" b="0"/>
            <wp:docPr id="577599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99075" name="图片 1"/>
                    <pic:cNvPicPr>
                      <a:picLocks noChangeAspect="1"/>
                    </pic:cNvPicPr>
                  </pic:nvPicPr>
                  <pic:blipFill>
                    <a:blip r:embed="rId30"/>
                    <a:stretch>
                      <a:fillRect/>
                    </a:stretch>
                  </pic:blipFill>
                  <pic:spPr>
                    <a:xfrm>
                      <a:off x="0" y="0"/>
                      <a:ext cx="3591254" cy="3675863"/>
                    </a:xfrm>
                    <a:prstGeom prst="rect">
                      <a:avLst/>
                    </a:prstGeom>
                  </pic:spPr>
                </pic:pic>
              </a:graphicData>
            </a:graphic>
          </wp:inline>
        </w:drawing>
      </w:r>
    </w:p>
    <w:p w14:paraId="3795AB16">
      <w:pPr>
        <w:pStyle w:val="56"/>
        <w:spacing w:line="360" w:lineRule="auto"/>
        <w:ind w:firstLine="0" w:firstLineChars="0"/>
        <w:jc w:val="center"/>
        <w:rPr>
          <w:rFonts w:ascii="黑体" w:hAnsi="黑体" w:eastAsia="黑体"/>
        </w:rPr>
      </w:pPr>
      <w:r>
        <w:rPr>
          <w:rFonts w:hint="eastAsia" w:ascii="黑体" w:hAnsi="黑体" w:eastAsia="黑体"/>
        </w:rPr>
        <w:t>图A</w:t>
      </w:r>
      <w:r>
        <w:rPr>
          <w:rFonts w:ascii="黑体" w:hAnsi="黑体" w:eastAsia="黑体"/>
        </w:rPr>
        <w:t xml:space="preserve">.1 </w:t>
      </w:r>
      <w:r>
        <w:rPr>
          <w:rFonts w:hint="eastAsia" w:ascii="黑体" w:hAnsi="黑体" w:eastAsia="黑体"/>
        </w:rPr>
        <w:t>数据审核流程图</w:t>
      </w:r>
    </w:p>
    <w:bookmarkEnd w:id="52"/>
    <w:p w14:paraId="36B75B28">
      <w:pPr>
        <w:pStyle w:val="56"/>
        <w:spacing w:line="360" w:lineRule="auto"/>
        <w:ind w:firstLine="0" w:firstLineChars="0"/>
        <w:jc w:val="center"/>
        <w:rPr>
          <w:rFonts w:ascii="黑体" w:hAnsi="黑体" w:eastAsia="黑体"/>
        </w:rPr>
      </w:pPr>
      <w:bookmarkStart w:id="55" w:name="BookMark8"/>
      <w:r>
        <w:rPr>
          <w:rFonts w:ascii="黑体" w:hAnsi="黑体" w:eastAsia="黑体"/>
        </w:rPr>
        <w:drawing>
          <wp:inline distT="0" distB="0" distL="0" distR="0">
            <wp:extent cx="1485900" cy="317500"/>
            <wp:effectExtent l="0" t="0" r="0" b="6350"/>
            <wp:docPr id="1762620582" name="图片 1"/>
            <wp:cNvGraphicFramePr/>
            <a:graphic xmlns:a="http://schemas.openxmlformats.org/drawingml/2006/main">
              <a:graphicData uri="http://schemas.openxmlformats.org/drawingml/2006/picture">
                <pic:pic xmlns:pic="http://schemas.openxmlformats.org/drawingml/2006/picture">
                  <pic:nvPicPr>
                    <pic:cNvPr id="1762620582" name="图片 1"/>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5610">
    <w:pPr>
      <w:pStyle w:val="51"/>
    </w:pPr>
    <w:r>
      <w:fldChar w:fldCharType="begin"/>
    </w:r>
    <w:r>
      <w:instrText xml:space="preserve"> PAGE   \* MERGEFORMAT \* MERGEFORMAT </w:instrText>
    </w:r>
    <w:r>
      <w:fldChar w:fldCharType="separate"/>
    </w:r>
    <w:r>
      <w:t>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C15E">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CD65">
    <w:pPr>
      <w:pStyle w:val="51"/>
    </w:pPr>
    <w:r>
      <w:fldChar w:fldCharType="begin"/>
    </w:r>
    <w:r>
      <w:instrText xml:space="preserve"> PAGE   \* MERGEFORMAT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9ACE">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065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4EBD">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983A">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3D10">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ED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3326">
    <w:pPr>
      <w:pStyle w:val="62"/>
    </w:pPr>
    <w:r>
      <w:fldChar w:fldCharType="begin"/>
    </w:r>
    <w:r>
      <w:instrText xml:space="preserve"> STYLEREF  标准文件_文件编号 \* MERGEFORMAT </w:instrText>
    </w:r>
    <w:r>
      <w:fldChar w:fldCharType="separate"/>
    </w:r>
    <w:r>
      <w:t>T/XZBX 0008—2025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5904">
    <w:pPr>
      <w:pStyle w:val="61"/>
    </w:pPr>
    <w:r>
      <w:fldChar w:fldCharType="begin"/>
    </w:r>
    <w:r>
      <w:instrText xml:space="preserve"> STYLEREF  标准文件_文件编号  \* MERGEFORMAT </w:instrText>
    </w:r>
    <w:r>
      <w:fldChar w:fldCharType="separate"/>
    </w:r>
    <w:r>
      <w:t>T/XZBX 0008—2025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5C03">
    <w:pPr>
      <w:pStyle w:val="62"/>
    </w:pPr>
    <w:r>
      <w:fldChar w:fldCharType="begin"/>
    </w:r>
    <w:r>
      <w:instrText xml:space="preserve"> STYLEREF  标准文件_文件编号 \* MERGEFORMAT </w:instrText>
    </w:r>
    <w:r>
      <w:fldChar w:fldCharType="separate"/>
    </w:r>
    <w:r>
      <w:t>T/XZBX 0008—2025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0008—2025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0008—2025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C6C1">
    <w:pPr>
      <w:pStyle w:val="61"/>
    </w:pPr>
    <w:r>
      <w:fldChar w:fldCharType="begin"/>
    </w:r>
    <w:r>
      <w:instrText xml:space="preserve"> STYLEREF  标准文件_文件编号  \* MERGEFORMAT </w:instrText>
    </w:r>
    <w:r>
      <w:fldChar w:fldCharType="separate"/>
    </w:r>
    <w:r>
      <w:t>T/XZBX 0008—2025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10F5">
    <w:pPr>
      <w:pStyle w:val="62"/>
    </w:pPr>
    <w:r>
      <w:fldChar w:fldCharType="begin"/>
    </w:r>
    <w:r>
      <w:instrText xml:space="preserve"> STYLEREF  标准文件_文件编号 \* MERGEFORMAT </w:instrText>
    </w:r>
    <w:r>
      <w:fldChar w:fldCharType="separate"/>
    </w:r>
    <w:r>
      <w:t>T/XZBX 0008—2025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CC36">
    <w:pPr>
      <w:pStyle w:val="61"/>
    </w:pPr>
    <w:r>
      <w:fldChar w:fldCharType="begin"/>
    </w:r>
    <w:r>
      <w:instrText xml:space="preserve"> STYLEREF  标准文件_文件编号  \* MERGEFORMAT </w:instrText>
    </w:r>
    <w:r>
      <w:fldChar w:fldCharType="separate"/>
    </w:r>
    <w:r>
      <w:t>T/XZBX 0008—2025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1DD6">
    <w:pPr>
      <w:pStyle w:val="62"/>
    </w:pPr>
    <w:r>
      <w:fldChar w:fldCharType="begin"/>
    </w:r>
    <w:r>
      <w:instrText xml:space="preserve"> STYLEREF  标准文件_文件编号 \* MERGEFORMAT </w:instrText>
    </w:r>
    <w:r>
      <w:fldChar w:fldCharType="separate"/>
    </w:r>
    <w:r>
      <w:t>T/XZBX 0008—2025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BA97">
    <w:pPr>
      <w:pStyle w:val="61"/>
    </w:pPr>
    <w:r>
      <w:fldChar w:fldCharType="begin"/>
    </w:r>
    <w:r>
      <w:instrText xml:space="preserve"> STYLEREF  标准文件_文件编号  \* MERGEFORMAT </w:instrText>
    </w:r>
    <w:r>
      <w:fldChar w:fldCharType="separate"/>
    </w:r>
    <w:r>
      <w:t>T/XZBX 0008—2025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rwUAwD3May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F7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33B"/>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8A8"/>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51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0D2"/>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C8C"/>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6F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A8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88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74F"/>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340"/>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CB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B82"/>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93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733"/>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513"/>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B7"/>
    <w:rsid w:val="00EB31ED"/>
    <w:rsid w:val="00EB5DC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2DC6"/>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0D86BA5"/>
    <w:rsid w:val="49620158"/>
    <w:rsid w:val="6A031196"/>
    <w:rsid w:val="732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jpe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718AA4CF">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1188E923">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57258C9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201E7D"/>
    <w:rsid w:val="00244BC5"/>
    <w:rsid w:val="00247335"/>
    <w:rsid w:val="004950E3"/>
    <w:rsid w:val="006F2781"/>
    <w:rsid w:val="009F3F2C"/>
    <w:rsid w:val="00A92819"/>
    <w:rsid w:val="00ED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37603E3A1E4534A739F551F8E61E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1729</Words>
  <Characters>1958</Characters>
  <Lines>21</Lines>
  <Paragraphs>5</Paragraphs>
  <TotalTime>50</TotalTime>
  <ScaleCrop>false</ScaleCrop>
  <LinksUpToDate>false</LinksUpToDate>
  <CharactersWithSpaces>2020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2025-03-19T02:11:23Z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38C4567DFB044BDEA721F3EC27755B4F_12</vt:lpwstr>
  </property>
</Properties>
</file>