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3F8F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1FB1C88">
            <w:pPr>
              <w:pStyle w:val="18"/>
              <w:framePr w:wrap="notBeside" w:vAnchor="page" w:hAnchor="page" w:x="1372" w:y="568"/>
              <w:tabs>
                <w:tab w:val="clear" w:pos="4153"/>
                <w:tab w:val="clear" w:pos="8306"/>
              </w:tabs>
              <w:spacing w:line="240" w:lineRule="auto"/>
              <w:jc w:val="left"/>
              <w:rPr>
                <w:rFonts w:ascii="宋体" w:hAnsi="宋体"/>
                <w:sz w:val="21"/>
                <w:szCs w:val="21"/>
              </w:rPr>
            </w:pPr>
            <w:r>
              <w:rPr>
                <w:rFonts w:ascii="宋体" w:hAnsi="宋体"/>
                <w:sz w:val="21"/>
                <w:szCs w:val="21"/>
              </w:rPr>
              <w:t xml:space="preserve">ICS  </w:t>
            </w:r>
          </w:p>
        </w:tc>
        <w:tc>
          <w:tcPr>
            <w:tcW w:w="8855" w:type="dxa"/>
          </w:tcPr>
          <w:p w14:paraId="05410868">
            <w:pPr>
              <w:pStyle w:val="18"/>
              <w:framePr w:wrap="notBeside" w:vAnchor="page" w:hAnchor="page" w:x="1372" w:y="568"/>
              <w:tabs>
                <w:tab w:val="clear" w:pos="4153"/>
                <w:tab w:val="clear" w:pos="8306"/>
              </w:tabs>
              <w:spacing w:line="240" w:lineRule="auto"/>
              <w:jc w:val="both"/>
              <w:rPr>
                <w:rFonts w:ascii="宋体" w:hAnsi="宋体"/>
                <w:sz w:val="21"/>
                <w:szCs w:val="21"/>
              </w:rPr>
            </w:pPr>
            <w:r>
              <w:rPr>
                <w:rFonts w:ascii="宋体" w:hAnsi="宋体"/>
                <w:sz w:val="21"/>
                <w:szCs w:val="21"/>
              </w:rPr>
              <w:fldChar w:fldCharType="begin">
                <w:ffData>
                  <w:name w:val="ICS"/>
                  <w:enabled/>
                  <w:calcOnExit w:val="0"/>
                  <w:textInput>
                    <w:default w:val="35.240"/>
                  </w:textInput>
                </w:ffData>
              </w:fldChar>
            </w:r>
            <w:bookmarkStart w:id="0" w:name="ICS"/>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35.240</w:t>
            </w:r>
            <w:r>
              <w:rPr>
                <w:rFonts w:ascii="宋体" w:hAnsi="宋体"/>
                <w:sz w:val="21"/>
                <w:szCs w:val="21"/>
              </w:rPr>
              <w:fldChar w:fldCharType="end"/>
            </w:r>
            <w:bookmarkEnd w:id="0"/>
          </w:p>
        </w:tc>
      </w:tr>
      <w:tr w14:paraId="6F61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45D92EC">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t xml:space="preserve">CCS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6CF780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73E725F">
                  <w:pPr>
                    <w:pStyle w:val="49"/>
                    <w:framePr w:wrap="notBeside" w:vAnchor="page" w:hAnchor="page" w:x="1372" w:y="568"/>
                    <w:ind w:left="420" w:right="624"/>
                    <w:rPr>
                      <w:rFonts w:ascii="宋体" w:hAnsi="宋体"/>
                      <w:sz w:val="28"/>
                      <w:szCs w:val="28"/>
                    </w:rPr>
                  </w:pPr>
                </w:p>
              </w:tc>
            </w:tr>
          </w:tbl>
          <w:p w14:paraId="2357594C">
            <w:pPr>
              <w:pStyle w:val="18"/>
              <w:framePr w:wrap="notBeside" w:vAnchor="page" w:hAnchor="page" w:x="1372" w:y="568"/>
              <w:tabs>
                <w:tab w:val="clear" w:pos="4153"/>
                <w:tab w:val="clear" w:pos="8306"/>
              </w:tabs>
              <w:spacing w:before="40" w:line="240" w:lineRule="auto"/>
              <w:jc w:val="left"/>
              <w:rPr>
                <w:rFonts w:ascii="宋体" w:hAnsi="宋体"/>
                <w:sz w:val="21"/>
                <w:szCs w:val="21"/>
              </w:rPr>
            </w:pPr>
            <w:r>
              <w:rPr>
                <w:rFonts w:ascii="宋体" w:hAnsi="宋体"/>
                <w:sz w:val="21"/>
                <w:szCs w:val="21"/>
              </w:rPr>
              <w:fldChar w:fldCharType="begin">
                <w:ffData>
                  <w:name w:val="CSDN"/>
                  <w:enabled/>
                  <w:calcOnExit w:val="0"/>
                  <w:textInput>
                    <w:default w:val="L 67"/>
                  </w:textInput>
                </w:ffData>
              </w:fldChar>
            </w:r>
            <w:bookmarkStart w:id="1" w:name="CSDN"/>
            <w:r>
              <w:rPr>
                <w:rFonts w:ascii="宋体" w:hAnsi="宋体"/>
                <w:sz w:val="21"/>
                <w:szCs w:val="21"/>
              </w:rPr>
              <w:instrText xml:space="preserve"> FORMTEXT </w:instrText>
            </w:r>
            <w:r>
              <w:rPr>
                <w:rFonts w:ascii="宋体" w:hAnsi="宋体"/>
                <w:sz w:val="21"/>
                <w:szCs w:val="21"/>
              </w:rPr>
              <w:fldChar w:fldCharType="separate"/>
            </w:r>
            <w:r>
              <w:rPr>
                <w:rFonts w:ascii="宋体" w:hAnsi="宋体"/>
                <w:sz w:val="21"/>
                <w:szCs w:val="21"/>
              </w:rPr>
              <w:t>L 67</w:t>
            </w:r>
            <w:r>
              <w:rPr>
                <w:rFonts w:ascii="宋体" w:hAnsi="宋体"/>
                <w:sz w:val="21"/>
                <w:szCs w:val="21"/>
              </w:rPr>
              <w:fldChar w:fldCharType="end"/>
            </w:r>
            <w:bookmarkEnd w:id="1"/>
          </w:p>
        </w:tc>
      </w:tr>
    </w:tbl>
    <w:p w14:paraId="2AA1F176">
      <w:pPr>
        <w:pStyle w:val="50"/>
        <w:framePr w:w="9639" w:h="964" w:hRule="exact" w:hSpace="181" w:vSpace="181" w:wrap="around" w:hAnchor="page" w:x="1419" w:y="2269"/>
        <w:rPr>
          <w:rFonts w:ascii="黑体" w:hAnsi="黑体" w:eastAsia="黑体"/>
          <w:b w:val="0"/>
          <w:bCs w:val="0"/>
          <w:w w:val="100"/>
          <w:sz w:val="84"/>
          <w:szCs w:val="84"/>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202ADD9E">
      <w:pPr>
        <w:pStyle w:val="195"/>
        <w:rPr>
          <w:rFonts w:ascii="宋体" w:hAnsi="宋体" w:eastAsia="宋体"/>
          <w:sz w:val="21"/>
          <w:szCs w:val="21"/>
        </w:rPr>
      </w:pPr>
      <w:r>
        <w:rPr>
          <w:rFonts w:ascii="宋体" w:hAnsi="宋体" w:eastAsia="宋体"/>
          <w:sz w:val="21"/>
          <w:szCs w:val="21"/>
        </w:rPr>
        <w:t>T/</w:t>
      </w:r>
      <w:bookmarkStart w:id="3" w:name="文字1"/>
      <w:r>
        <w:rPr>
          <w:rFonts w:ascii="宋体" w:hAnsi="宋体" w:eastAsia="宋体" w:cs="Times New Roman"/>
          <w:bCs/>
          <w:sz w:val="21"/>
          <w:szCs w:val="21"/>
          <w:lang w:val="en-US" w:eastAsia="zh-CN" w:bidi="ar-SA"/>
        </w:rPr>
        <w:fldChar w:fldCharType="begin">
          <w:ffData>
            <w:name w:val="文字1"/>
            <w:enabled/>
            <w:calcOnExit w:val="0"/>
            <w:textInput>
              <w:default w:val="XZBX"/>
            </w:textInput>
          </w:ffData>
        </w:fldChar>
      </w:r>
      <w:r>
        <w:rPr>
          <w:rFonts w:ascii="宋体" w:hAnsi="宋体" w:eastAsia="宋体" w:cs="Times New Roman"/>
          <w:bCs/>
          <w:sz w:val="21"/>
          <w:szCs w:val="21"/>
          <w:lang w:val="en-US" w:eastAsia="zh-CN" w:bidi="ar-SA"/>
        </w:rPr>
        <w:instrText xml:space="preserve">FORMTEXT</w:instrText>
      </w:r>
      <w:r>
        <w:rPr>
          <w:rFonts w:ascii="宋体" w:hAnsi="宋体" w:eastAsia="宋体" w:cs="Times New Roman"/>
          <w:bCs/>
          <w:sz w:val="21"/>
          <w:szCs w:val="21"/>
          <w:lang w:val="en-US" w:eastAsia="zh-CN" w:bidi="ar-SA"/>
        </w:rPr>
        <w:fldChar w:fldCharType="separate"/>
      </w:r>
      <w:r>
        <w:rPr>
          <w:rFonts w:ascii="宋体" w:hAnsi="宋体" w:eastAsia="宋体" w:cs="Times New Roman"/>
          <w:bCs/>
          <w:sz w:val="21"/>
          <w:szCs w:val="21"/>
          <w:lang w:val="en-US" w:eastAsia="zh-CN" w:bidi="ar-SA"/>
        </w:rPr>
        <w:t>XZBX</w:t>
      </w:r>
      <w:r>
        <w:rPr>
          <w:rFonts w:ascii="宋体" w:hAnsi="宋体" w:eastAsia="宋体" w:cs="Times New Roman"/>
          <w:bCs/>
          <w:sz w:val="21"/>
          <w:szCs w:val="21"/>
          <w:lang w:val="en-US" w:eastAsia="zh-CN" w:bidi="ar-SA"/>
        </w:rPr>
        <w:fldChar w:fldCharType="end"/>
      </w:r>
      <w:bookmarkEnd w:id="3"/>
      <w:r>
        <w:rPr>
          <w:rFonts w:ascii="宋体" w:hAnsi="宋体" w:eastAsia="宋体"/>
          <w:sz w:val="21"/>
          <w:szCs w:val="21"/>
        </w:rPr>
        <w:t xml:space="preserve"> </w:t>
      </w:r>
      <w:r>
        <w:rPr>
          <w:rFonts w:ascii="宋体" w:hAnsi="宋体" w:eastAsia="宋体"/>
          <w:sz w:val="21"/>
          <w:szCs w:val="21"/>
        </w:rPr>
        <w:fldChar w:fldCharType="begin">
          <w:ffData>
            <w:name w:val="NSTD_CODE_F"/>
            <w:enabled/>
            <w:calcOnExit w:val="0"/>
            <w:textInput>
              <w:default w:val="0007"/>
            </w:textInput>
          </w:ffData>
        </w:fldChar>
      </w:r>
      <w:bookmarkStart w:id="4" w:name="NSTD_CODE_F"/>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0007</w:t>
      </w:r>
      <w:r>
        <w:rPr>
          <w:rFonts w:ascii="宋体" w:hAnsi="宋体" w:eastAsia="宋体"/>
          <w:sz w:val="21"/>
          <w:szCs w:val="21"/>
        </w:rPr>
        <w:fldChar w:fldCharType="end"/>
      </w:r>
      <w:bookmarkEnd w:id="4"/>
      <w:r>
        <w:rPr>
          <w:rFonts w:ascii="宋体" w:hAnsi="宋体" w:eastAsia="宋体"/>
          <w:sz w:val="21"/>
          <w:szCs w:val="21"/>
        </w:rPr>
        <w:t>—</w:t>
      </w:r>
      <w:r>
        <w:rPr>
          <w:rFonts w:ascii="宋体" w:hAnsi="宋体" w:eastAsia="宋体"/>
          <w:sz w:val="21"/>
          <w:szCs w:val="21"/>
        </w:rPr>
        <w:fldChar w:fldCharType="begin">
          <w:ffData>
            <w:name w:val="NSTD_CODE_B"/>
            <w:enabled/>
            <w:calcOnExit w:val="0"/>
            <w:textInput>
              <w:default w:val="2025"/>
            </w:textInput>
          </w:ffData>
        </w:fldChar>
      </w:r>
      <w:bookmarkStart w:id="5" w:name="NSTD_CODE_B"/>
      <w:r>
        <w:rPr>
          <w:rFonts w:ascii="宋体" w:hAnsi="宋体" w:eastAsia="宋体"/>
          <w:sz w:val="21"/>
          <w:szCs w:val="21"/>
        </w:rPr>
        <w:instrText xml:space="preserve"> FORMTEXT </w:instrText>
      </w:r>
      <w:r>
        <w:rPr>
          <w:rFonts w:ascii="宋体" w:hAnsi="宋体" w:eastAsia="宋体"/>
          <w:sz w:val="21"/>
          <w:szCs w:val="21"/>
        </w:rPr>
        <w:fldChar w:fldCharType="separate"/>
      </w:r>
      <w:r>
        <w:rPr>
          <w:rFonts w:ascii="宋体" w:hAnsi="宋体" w:eastAsia="宋体"/>
          <w:sz w:val="21"/>
          <w:szCs w:val="21"/>
        </w:rPr>
        <w:t>2025</w:t>
      </w:r>
      <w:r>
        <w:rPr>
          <w:rFonts w:ascii="宋体" w:hAnsi="宋体" w:eastAsia="宋体"/>
          <w:sz w:val="21"/>
          <w:szCs w:val="21"/>
        </w:rPr>
        <w:fldChar w:fldCharType="end"/>
      </w:r>
      <w:bookmarkEnd w:id="5"/>
    </w:p>
    <w:p w14:paraId="72C3EF69">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10A53B2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68EAC417">
      <w:pPr>
        <w:pStyle w:val="50"/>
        <w:framePr w:w="9639" w:h="6976" w:hRule="exact" w:hSpace="0" w:vSpace="0" w:wrap="around" w:hAnchor="page" w:y="6408"/>
        <w:jc w:val="center"/>
        <w:rPr>
          <w:rFonts w:ascii="黑体" w:hAnsi="黑体" w:eastAsia="黑体"/>
          <w:b w:val="0"/>
          <w:bCs w:val="0"/>
          <w:w w:val="100"/>
        </w:rPr>
      </w:pPr>
    </w:p>
    <w:p w14:paraId="2DD90199">
      <w:pPr>
        <w:pStyle w:val="197"/>
        <w:framePr w:h="6974" w:hRule="exact" w:wrap="around" w:x="1419" w:anchorLock="1"/>
        <w:rPr>
          <w:sz w:val="48"/>
          <w:szCs w:val="48"/>
        </w:rPr>
      </w:pPr>
      <w:r>
        <w:rPr>
          <w:sz w:val="48"/>
          <w:szCs w:val="48"/>
        </w:rPr>
        <w:fldChar w:fldCharType="begin">
          <w:ffData>
            <w:name w:val="CSTD_NAME"/>
            <w:enabled/>
            <w:calcOnExit w:val="0"/>
            <w:textInput>
              <w:default w:val="供水管网漏损智能监测与控制技术规范"/>
            </w:textInput>
          </w:ffData>
        </w:fldChar>
      </w:r>
      <w:bookmarkStart w:id="7" w:name="CSTD_NAME"/>
      <w:r>
        <w:rPr>
          <w:sz w:val="48"/>
          <w:szCs w:val="48"/>
        </w:rPr>
        <w:instrText xml:space="preserve"> FORMTEXT </w:instrText>
      </w:r>
      <w:r>
        <w:rPr>
          <w:sz w:val="48"/>
          <w:szCs w:val="48"/>
        </w:rPr>
        <w:fldChar w:fldCharType="separate"/>
      </w:r>
      <w:r>
        <w:rPr>
          <w:sz w:val="48"/>
          <w:szCs w:val="48"/>
        </w:rPr>
        <w:t>供水管网漏损智能监测与控制技术规范</w:t>
      </w:r>
      <w:r>
        <w:rPr>
          <w:sz w:val="48"/>
          <w:szCs w:val="48"/>
        </w:rPr>
        <w:fldChar w:fldCharType="end"/>
      </w:r>
      <w:bookmarkEnd w:id="7"/>
    </w:p>
    <w:p w14:paraId="442EA709">
      <w:pPr>
        <w:framePr w:w="9639" w:h="6974" w:hRule="exact" w:wrap="around" w:vAnchor="page" w:hAnchor="page" w:x="1419" w:y="6408" w:anchorLock="1"/>
        <w:ind w:left="-1418"/>
      </w:pPr>
    </w:p>
    <w:p w14:paraId="7C310921">
      <w:pPr>
        <w:pStyle w:val="125"/>
        <w:framePr w:w="9639" w:h="6974" w:hRule="exact" w:wrap="around" w:vAnchor="page" w:hAnchor="page" w:x="1419" w:y="6408" w:anchorLock="1"/>
        <w:textAlignment w:val="bottom"/>
        <w:rPr>
          <w:rFonts w:ascii="黑体" w:hAnsi="黑体" w:eastAsia="黑体"/>
          <w:sz w:val="36"/>
          <w:szCs w:val="36"/>
        </w:rPr>
      </w:pPr>
      <w:r>
        <w:rPr>
          <w:rFonts w:ascii="黑体" w:hAnsi="黑体" w:eastAsia="黑体"/>
          <w:sz w:val="36"/>
          <w:szCs w:val="36"/>
        </w:rPr>
        <w:fldChar w:fldCharType="begin">
          <w:ffData>
            <w:name w:val="ESTD_NAME"/>
            <w:enabled/>
            <w:calcOnExit w:val="0"/>
            <w:textInput>
              <w:default w:val="Specification for intelligent monitoring and control technology of water supply network leakage"/>
            </w:textInput>
          </w:ffData>
        </w:fldChar>
      </w:r>
      <w:bookmarkStart w:id="8" w:name="ESTD_NAME"/>
      <w:r>
        <w:rPr>
          <w:rFonts w:ascii="黑体" w:hAnsi="黑体" w:eastAsia="黑体"/>
          <w:sz w:val="36"/>
          <w:szCs w:val="36"/>
        </w:rPr>
        <w:instrText xml:space="preserve"> FORMTEXT </w:instrText>
      </w:r>
      <w:r>
        <w:rPr>
          <w:rFonts w:ascii="黑体" w:hAnsi="黑体" w:eastAsia="黑体"/>
          <w:sz w:val="36"/>
          <w:szCs w:val="36"/>
        </w:rPr>
        <w:fldChar w:fldCharType="separate"/>
      </w:r>
      <w:r>
        <w:rPr>
          <w:rFonts w:ascii="黑体" w:hAnsi="黑体" w:eastAsia="黑体"/>
          <w:sz w:val="36"/>
          <w:szCs w:val="36"/>
        </w:rPr>
        <w:t>Specification for intelligent monitoring and control technology of water supply network leakage</w:t>
      </w:r>
      <w:r>
        <w:rPr>
          <w:rFonts w:ascii="黑体" w:hAnsi="黑体" w:eastAsia="黑体"/>
          <w:sz w:val="36"/>
          <w:szCs w:val="36"/>
        </w:rPr>
        <w:fldChar w:fldCharType="end"/>
      </w:r>
      <w:bookmarkEnd w:id="8"/>
    </w:p>
    <w:p w14:paraId="3F3B9633">
      <w:pPr>
        <w:framePr w:w="9639" w:h="6974" w:hRule="exact" w:wrap="around" w:vAnchor="page" w:hAnchor="page" w:x="1419" w:y="6408" w:anchorLock="1"/>
        <w:spacing w:line="760" w:lineRule="exact"/>
        <w:ind w:left="-1418"/>
      </w:pPr>
    </w:p>
    <w:p w14:paraId="2B29CB62">
      <w:pPr>
        <w:pStyle w:val="125"/>
        <w:framePr w:w="9639" w:h="6974" w:hRule="exact" w:wrap="around" w:vAnchor="page" w:hAnchor="page" w:x="1419" w:y="6408" w:anchorLock="1"/>
        <w:textAlignment w:val="bottom"/>
        <w:rPr>
          <w:rFonts w:eastAsia="黑体"/>
          <w:szCs w:val="28"/>
        </w:rPr>
      </w:pPr>
    </w:p>
    <w:p w14:paraId="4380370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2D43CBB1">
      <w:pPr>
        <w:pStyle w:val="125"/>
        <w:framePr w:w="9639" w:h="6974" w:hRule="exact" w:wrap="around" w:vAnchor="page" w:hAnchor="page" w:x="1419" w:y="6408" w:anchorLock="1"/>
        <w:spacing w:before="180" w:line="240" w:lineRule="atLeast"/>
        <w:textAlignment w:val="bottom"/>
        <w:rPr>
          <w:sz w:val="21"/>
          <w:szCs w:val="28"/>
        </w:rPr>
      </w:pPr>
    </w:p>
    <w:p w14:paraId="4E5C026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23150DEC">
      <w:pPr>
        <w:pStyle w:val="193"/>
        <w:framePr w:wrap="around" w:y="14176"/>
        <w:rPr>
          <w:sz w:val="30"/>
          <w:szCs w:val="30"/>
        </w:rPr>
      </w:pPr>
      <w:r>
        <w:rPr>
          <w:sz w:val="30"/>
          <w:szCs w:val="30"/>
        </w:rPr>
        <w:fldChar w:fldCharType="begin">
          <w:ffData>
            <w:name w:val="PLSH_DATE_Y"/>
            <w:enabled/>
            <w:calcOnExit w:val="0"/>
            <w:textInput>
              <w:default w:val="2025"/>
              <w:maxLength w:val="4"/>
            </w:textInput>
          </w:ffData>
        </w:fldChar>
      </w:r>
      <w:bookmarkStart w:id="11" w:name="PLSH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1"/>
      <w:r>
        <w:rPr>
          <w:sz w:val="30"/>
          <w:szCs w:val="30"/>
        </w:rPr>
        <w:t xml:space="preserve"> - </w:t>
      </w:r>
      <w:r>
        <w:rPr>
          <w:sz w:val="30"/>
          <w:szCs w:val="30"/>
        </w:rPr>
        <w:fldChar w:fldCharType="begin">
          <w:ffData>
            <w:name w:val="PLSH_DATE_M"/>
            <w:enabled/>
            <w:calcOnExit w:val="0"/>
            <w:textInput>
              <w:default w:val="XX"/>
              <w:maxLength w:val="2"/>
            </w:textInput>
          </w:ffData>
        </w:fldChar>
      </w:r>
      <w:bookmarkStart w:id="12" w:name="PLSH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2"/>
      <w:r>
        <w:rPr>
          <w:sz w:val="30"/>
          <w:szCs w:val="30"/>
        </w:rPr>
        <w:t xml:space="preserve"> - </w:t>
      </w:r>
      <w:r>
        <w:rPr>
          <w:sz w:val="30"/>
          <w:szCs w:val="30"/>
        </w:rPr>
        <w:fldChar w:fldCharType="begin">
          <w:ffData>
            <w:name w:val="PLSH_DATE_D"/>
            <w:enabled/>
            <w:calcOnExit w:val="0"/>
            <w:textInput>
              <w:default w:val="XX"/>
              <w:maxLength w:val="2"/>
            </w:textInput>
          </w:ffData>
        </w:fldChar>
      </w:r>
      <w:bookmarkStart w:id="13" w:name="PLSH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3"/>
      <w:r>
        <w:rPr>
          <w:sz w:val="30"/>
          <w:szCs w:val="30"/>
        </w:rPr>
        <w:t>发布</w:t>
      </w:r>
    </w:p>
    <w:p w14:paraId="2E7B707E">
      <w:pPr>
        <w:pStyle w:val="194"/>
        <w:framePr w:wrap="around" w:y="14176"/>
        <w:rPr>
          <w:sz w:val="30"/>
          <w:szCs w:val="30"/>
        </w:rPr>
      </w:pPr>
      <w:r>
        <w:rPr>
          <w:sz w:val="30"/>
          <w:szCs w:val="30"/>
        </w:rPr>
        <w:fldChar w:fldCharType="begin">
          <w:ffData>
            <w:name w:val="CROT_DATE_Y"/>
            <w:enabled/>
            <w:calcOnExit w:val="0"/>
            <w:textInput>
              <w:default w:val="2025"/>
              <w:maxLength w:val="4"/>
            </w:textInput>
          </w:ffData>
        </w:fldChar>
      </w:r>
      <w:bookmarkStart w:id="14" w:name="CROT_DATE_Y"/>
      <w:r>
        <w:rPr>
          <w:sz w:val="30"/>
          <w:szCs w:val="30"/>
        </w:rPr>
        <w:instrText xml:space="preserve"> FORMTEXT </w:instrText>
      </w:r>
      <w:r>
        <w:rPr>
          <w:sz w:val="30"/>
          <w:szCs w:val="30"/>
        </w:rPr>
        <w:fldChar w:fldCharType="separate"/>
      </w:r>
      <w:r>
        <w:rPr>
          <w:sz w:val="30"/>
          <w:szCs w:val="30"/>
        </w:rPr>
        <w:t>2025</w:t>
      </w:r>
      <w:r>
        <w:rPr>
          <w:sz w:val="30"/>
          <w:szCs w:val="30"/>
        </w:rPr>
        <w:fldChar w:fldCharType="end"/>
      </w:r>
      <w:bookmarkEnd w:id="14"/>
      <w:r>
        <w:rPr>
          <w:sz w:val="30"/>
          <w:szCs w:val="30"/>
        </w:rPr>
        <w:t xml:space="preserve"> - </w:t>
      </w:r>
      <w:r>
        <w:rPr>
          <w:sz w:val="30"/>
          <w:szCs w:val="30"/>
        </w:rPr>
        <w:fldChar w:fldCharType="begin">
          <w:ffData>
            <w:name w:val="CROT_DATE_M"/>
            <w:enabled/>
            <w:calcOnExit w:val="0"/>
            <w:textInput>
              <w:default w:val="XX"/>
              <w:maxLength w:val="2"/>
            </w:textInput>
          </w:ffData>
        </w:fldChar>
      </w:r>
      <w:bookmarkStart w:id="15" w:name="CROT_DATE_M"/>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5"/>
      <w:r>
        <w:rPr>
          <w:sz w:val="30"/>
          <w:szCs w:val="30"/>
        </w:rPr>
        <w:t xml:space="preserve"> - </w:t>
      </w:r>
      <w:r>
        <w:rPr>
          <w:sz w:val="30"/>
          <w:szCs w:val="30"/>
        </w:rPr>
        <w:fldChar w:fldCharType="begin">
          <w:ffData>
            <w:name w:val="CROT_DATE_D"/>
            <w:enabled/>
            <w:calcOnExit w:val="0"/>
            <w:textInput>
              <w:default w:val="XX"/>
              <w:maxLength w:val="2"/>
            </w:textInput>
          </w:ffData>
        </w:fldChar>
      </w:r>
      <w:bookmarkStart w:id="16" w:name="CROT_DATE_D"/>
      <w:r>
        <w:rPr>
          <w:sz w:val="30"/>
          <w:szCs w:val="30"/>
        </w:rPr>
        <w:instrText xml:space="preserve"> FORMTEXT </w:instrText>
      </w:r>
      <w:r>
        <w:rPr>
          <w:sz w:val="30"/>
          <w:szCs w:val="30"/>
        </w:rPr>
        <w:fldChar w:fldCharType="separate"/>
      </w:r>
      <w:r>
        <w:rPr>
          <w:sz w:val="30"/>
          <w:szCs w:val="30"/>
        </w:rPr>
        <w:t>XX</w:t>
      </w:r>
      <w:r>
        <w:rPr>
          <w:sz w:val="30"/>
          <w:szCs w:val="30"/>
        </w:rPr>
        <w:fldChar w:fldCharType="end"/>
      </w:r>
      <w:bookmarkEnd w:id="16"/>
      <w:r>
        <w:rPr>
          <w:sz w:val="30"/>
          <w:szCs w:val="30"/>
        </w:rPr>
        <w:t>实施</w:t>
      </w:r>
    </w:p>
    <w:p w14:paraId="72FD1F04">
      <w:pPr>
        <w:pStyle w:val="151"/>
        <w:framePr w:h="584" w:hRule="exact" w:hSpace="181" w:vSpace="181" w:wrap="around" w:y="14800"/>
        <w:rPr>
          <w:rFonts w:hAnsi="黑体"/>
          <w:sz w:val="30"/>
          <w:szCs w:val="30"/>
        </w:rPr>
      </w:pPr>
      <w:bookmarkStart w:id="17" w:name="fm"/>
      <w:r>
        <w:rPr>
          <w:rFonts w:ascii="宋体" w:hAnsi="宋体" w:eastAsia="宋体" w:cs="Times New Roman"/>
          <w:b w:val="0"/>
          <w:w w:val="100"/>
          <w:sz w:val="30"/>
          <w:szCs w:val="30"/>
          <w:lang w:val="en-US" w:eastAsia="zh-CN" w:bidi="ar-SA"/>
        </w:rPr>
        <w:fldChar w:fldCharType="begin">
          <w:ffData>
            <w:name w:val="fm"/>
            <w:enabled/>
            <w:calcOnExit w:val="0"/>
            <w:textInput>
              <w:default w:val="西安市质量与标准化协会"/>
            </w:textInput>
          </w:ffData>
        </w:fldChar>
      </w:r>
      <w:r>
        <w:rPr>
          <w:rFonts w:ascii="宋体" w:hAnsi="宋体" w:eastAsia="宋体" w:cs="Times New Roman"/>
          <w:b w:val="0"/>
          <w:w w:val="100"/>
          <w:sz w:val="30"/>
          <w:szCs w:val="30"/>
          <w:lang w:val="en-US" w:eastAsia="zh-CN" w:bidi="ar-SA"/>
        </w:rPr>
        <w:instrText xml:space="preserve">FORMTEXT</w:instrText>
      </w:r>
      <w:r>
        <w:rPr>
          <w:rFonts w:ascii="宋体" w:hAnsi="宋体" w:eastAsia="宋体" w:cs="Times New Roman"/>
          <w:b w:val="0"/>
          <w:w w:val="100"/>
          <w:sz w:val="30"/>
          <w:szCs w:val="30"/>
          <w:lang w:val="en-US" w:eastAsia="zh-CN" w:bidi="ar-SA"/>
        </w:rPr>
        <w:fldChar w:fldCharType="separate"/>
      </w:r>
      <w:r>
        <w:rPr>
          <w:rFonts w:ascii="宋体" w:hAnsi="宋体" w:eastAsia="宋体" w:cs="Times New Roman"/>
          <w:b w:val="0"/>
          <w:w w:val="100"/>
          <w:sz w:val="30"/>
          <w:szCs w:val="30"/>
          <w:lang w:val="en-US" w:eastAsia="zh-CN" w:bidi="ar-SA"/>
        </w:rPr>
        <w:t>西安市质量与标准化协会</w:t>
      </w:r>
      <w:r>
        <w:rPr>
          <w:rFonts w:ascii="宋体" w:hAnsi="宋体" w:eastAsia="宋体" w:cs="Times New Roman"/>
          <w:b w:val="0"/>
          <w:w w:val="100"/>
          <w:sz w:val="30"/>
          <w:szCs w:val="30"/>
          <w:lang w:val="en-US" w:eastAsia="zh-CN" w:bidi="ar-SA"/>
        </w:rPr>
        <w:fldChar w:fldCharType="end"/>
      </w:r>
      <w:bookmarkEnd w:id="17"/>
      <w:r>
        <w:rPr>
          <w:rFonts w:ascii="Times New Roman"/>
          <w:w w:val="100"/>
          <w:sz w:val="30"/>
          <w:szCs w:val="30"/>
        </w:rPr>
        <w:t>  </w:t>
      </w:r>
      <w:r>
        <w:rPr>
          <w:rStyle w:val="229"/>
          <w:rFonts w:hint="eastAsia" w:hAnsi="黑体"/>
          <w:position w:val="0"/>
          <w:sz w:val="30"/>
          <w:szCs w:val="30"/>
        </w:rPr>
        <w:t>发</w:t>
      </w:r>
      <w:r>
        <w:rPr>
          <w:rStyle w:val="229"/>
          <w:rFonts w:hint="eastAsia" w:hAnsi="黑体"/>
          <w:spacing w:val="0"/>
          <w:position w:val="0"/>
          <w:sz w:val="30"/>
          <w:szCs w:val="30"/>
        </w:rPr>
        <w:t>布</w:t>
      </w:r>
    </w:p>
    <w:p w14:paraId="20104941">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00484AE6">
      <w:pPr>
        <w:pStyle w:val="91"/>
        <w:spacing w:after="360"/>
        <w:rPr>
          <w:rFonts w:hint="eastAsia"/>
        </w:rPr>
      </w:pPr>
      <w:bookmarkStart w:id="18" w:name="BookMark1"/>
      <w:r>
        <w:rPr>
          <w:rFonts w:hint="eastAsia"/>
          <w:spacing w:val="320"/>
        </w:rPr>
        <w:t>目</w:t>
      </w:r>
      <w:r>
        <w:rPr>
          <w:rFonts w:hint="eastAsia"/>
        </w:rPr>
        <w:t>次</w:t>
      </w:r>
    </w:p>
    <w:p w14:paraId="6CAFBECE">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"_Toc192619307" </w:instrText>
      </w:r>
      <w:r>
        <w:fldChar w:fldCharType="separate"/>
      </w:r>
      <w:r>
        <w:rPr>
          <w:rStyle w:val="32"/>
        </w:rPr>
        <w:t>前言</w:t>
      </w:r>
      <w:r>
        <w:tab/>
      </w:r>
      <w:r>
        <w:fldChar w:fldCharType="begin"/>
      </w:r>
      <w:r>
        <w:instrText xml:space="preserve"> PAGEREF _Toc192619307 \h </w:instrText>
      </w:r>
      <w:r>
        <w:fldChar w:fldCharType="separate"/>
      </w:r>
      <w:r>
        <w:t>III</w:t>
      </w:r>
      <w:r>
        <w:fldChar w:fldCharType="end"/>
      </w:r>
      <w:r>
        <w:fldChar w:fldCharType="end"/>
      </w:r>
    </w:p>
    <w:p w14:paraId="65D15A9D">
      <w:pPr>
        <w:pStyle w:val="19"/>
        <w:tabs>
          <w:tab w:val="right" w:leader="dot" w:pos="9344"/>
        </w:tabs>
        <w:rPr>
          <w:rFonts w:asciiTheme="minorHAnsi" w:hAnsiTheme="minorHAnsi" w:eastAsiaTheme="minorEastAsia" w:cstheme="minorBidi"/>
          <w:szCs w:val="22"/>
        </w:rPr>
      </w:pPr>
      <w:r>
        <w:fldChar w:fldCharType="begin"/>
      </w:r>
      <w:r>
        <w:instrText xml:space="preserve"> HYPERLINK \l "_Toc192619308" </w:instrText>
      </w:r>
      <w:r>
        <w:fldChar w:fldCharType="separate"/>
      </w:r>
      <w:r>
        <w:rPr>
          <w:rStyle w:val="32"/>
        </w:rPr>
        <w:t>引言</w:t>
      </w:r>
      <w:r>
        <w:tab/>
      </w:r>
      <w:r>
        <w:fldChar w:fldCharType="begin"/>
      </w:r>
      <w:r>
        <w:instrText xml:space="preserve"> PAGEREF _Toc192619308 \h </w:instrText>
      </w:r>
      <w:r>
        <w:fldChar w:fldCharType="separate"/>
      </w:r>
      <w:r>
        <w:t>V</w:t>
      </w:r>
      <w:r>
        <w:fldChar w:fldCharType="end"/>
      </w:r>
      <w:r>
        <w:fldChar w:fldCharType="end"/>
      </w:r>
    </w:p>
    <w:p w14:paraId="10048C07">
      <w:pPr>
        <w:pStyle w:val="19"/>
        <w:tabs>
          <w:tab w:val="right" w:leader="dot" w:pos="9344"/>
        </w:tabs>
        <w:rPr>
          <w:rFonts w:asciiTheme="minorHAnsi" w:hAnsiTheme="minorHAnsi" w:eastAsiaTheme="minorEastAsia" w:cstheme="minorBidi"/>
          <w:szCs w:val="22"/>
        </w:rPr>
      </w:pPr>
      <w:r>
        <w:fldChar w:fldCharType="begin"/>
      </w:r>
      <w:r>
        <w:instrText xml:space="preserve"> HYPERLINK \l "_Toc192619309" </w:instrText>
      </w:r>
      <w:r>
        <w:fldChar w:fldCharType="separate"/>
      </w:r>
      <w:r>
        <w:rPr>
          <w:rStyle w:val="32"/>
        </w:rPr>
        <w:t>1  范围</w:t>
      </w:r>
      <w:r>
        <w:tab/>
      </w:r>
      <w:r>
        <w:fldChar w:fldCharType="begin"/>
      </w:r>
      <w:r>
        <w:instrText xml:space="preserve"> PAGEREF _Toc192619309 \h </w:instrText>
      </w:r>
      <w:r>
        <w:fldChar w:fldCharType="separate"/>
      </w:r>
      <w:r>
        <w:t>1</w:t>
      </w:r>
      <w:r>
        <w:fldChar w:fldCharType="end"/>
      </w:r>
      <w:r>
        <w:fldChar w:fldCharType="end"/>
      </w:r>
    </w:p>
    <w:p w14:paraId="1F2B40E8">
      <w:pPr>
        <w:pStyle w:val="19"/>
        <w:tabs>
          <w:tab w:val="right" w:leader="dot" w:pos="9344"/>
        </w:tabs>
        <w:rPr>
          <w:rFonts w:asciiTheme="minorHAnsi" w:hAnsiTheme="minorHAnsi" w:eastAsiaTheme="minorEastAsia" w:cstheme="minorBidi"/>
          <w:szCs w:val="22"/>
        </w:rPr>
      </w:pPr>
      <w:r>
        <w:fldChar w:fldCharType="begin"/>
      </w:r>
      <w:r>
        <w:instrText xml:space="preserve"> HYPERLINK \l "_Toc192619310" </w:instrText>
      </w:r>
      <w:r>
        <w:fldChar w:fldCharType="separate"/>
      </w:r>
      <w:r>
        <w:rPr>
          <w:rStyle w:val="32"/>
        </w:rPr>
        <w:t>2  规范性引用文件</w:t>
      </w:r>
      <w:r>
        <w:tab/>
      </w:r>
      <w:r>
        <w:fldChar w:fldCharType="begin"/>
      </w:r>
      <w:r>
        <w:instrText xml:space="preserve"> PAGEREF _Toc192619310 \h </w:instrText>
      </w:r>
      <w:r>
        <w:fldChar w:fldCharType="separate"/>
      </w:r>
      <w:r>
        <w:t>1</w:t>
      </w:r>
      <w:r>
        <w:fldChar w:fldCharType="end"/>
      </w:r>
      <w:r>
        <w:fldChar w:fldCharType="end"/>
      </w:r>
    </w:p>
    <w:p w14:paraId="0CD29BC6">
      <w:pPr>
        <w:pStyle w:val="19"/>
        <w:tabs>
          <w:tab w:val="right" w:leader="dot" w:pos="9344"/>
        </w:tabs>
        <w:rPr>
          <w:rFonts w:asciiTheme="minorHAnsi" w:hAnsiTheme="minorHAnsi" w:eastAsiaTheme="minorEastAsia" w:cstheme="minorBidi"/>
          <w:szCs w:val="22"/>
        </w:rPr>
      </w:pPr>
      <w:r>
        <w:fldChar w:fldCharType="begin"/>
      </w:r>
      <w:r>
        <w:instrText xml:space="preserve"> HYPERLINK \l "_Toc192619311" </w:instrText>
      </w:r>
      <w:r>
        <w:fldChar w:fldCharType="separate"/>
      </w:r>
      <w:r>
        <w:rPr>
          <w:rStyle w:val="32"/>
        </w:rPr>
        <w:t>3  术语和定义</w:t>
      </w:r>
      <w:r>
        <w:tab/>
      </w:r>
      <w:r>
        <w:fldChar w:fldCharType="begin"/>
      </w:r>
      <w:r>
        <w:instrText xml:space="preserve"> PAGEREF _Toc192619311 \h </w:instrText>
      </w:r>
      <w:r>
        <w:fldChar w:fldCharType="separate"/>
      </w:r>
      <w:r>
        <w:t>1</w:t>
      </w:r>
      <w:r>
        <w:fldChar w:fldCharType="end"/>
      </w:r>
      <w:r>
        <w:fldChar w:fldCharType="end"/>
      </w:r>
    </w:p>
    <w:p w14:paraId="3DC2494C">
      <w:pPr>
        <w:pStyle w:val="19"/>
        <w:tabs>
          <w:tab w:val="right" w:leader="dot" w:pos="9344"/>
        </w:tabs>
        <w:rPr>
          <w:rFonts w:asciiTheme="minorHAnsi" w:hAnsiTheme="minorHAnsi" w:eastAsiaTheme="minorEastAsia" w:cstheme="minorBidi"/>
          <w:szCs w:val="22"/>
        </w:rPr>
      </w:pPr>
      <w:r>
        <w:fldChar w:fldCharType="begin"/>
      </w:r>
      <w:r>
        <w:instrText xml:space="preserve"> HYPERLINK \l "_Toc192619312" </w:instrText>
      </w:r>
      <w:r>
        <w:fldChar w:fldCharType="separate"/>
      </w:r>
      <w:r>
        <w:rPr>
          <w:rStyle w:val="32"/>
        </w:rPr>
        <w:t>4  总则</w:t>
      </w:r>
      <w:r>
        <w:tab/>
      </w:r>
      <w:r>
        <w:fldChar w:fldCharType="begin"/>
      </w:r>
      <w:r>
        <w:instrText xml:space="preserve"> PAGEREF _Toc192619312 \h </w:instrText>
      </w:r>
      <w:r>
        <w:fldChar w:fldCharType="separate"/>
      </w:r>
      <w:r>
        <w:t>1</w:t>
      </w:r>
      <w:r>
        <w:fldChar w:fldCharType="end"/>
      </w:r>
      <w:r>
        <w:fldChar w:fldCharType="end"/>
      </w:r>
    </w:p>
    <w:p w14:paraId="1F005359">
      <w:pPr>
        <w:pStyle w:val="19"/>
        <w:tabs>
          <w:tab w:val="right" w:leader="dot" w:pos="9344"/>
        </w:tabs>
        <w:rPr>
          <w:rFonts w:asciiTheme="minorHAnsi" w:hAnsiTheme="minorHAnsi" w:eastAsiaTheme="minorEastAsia" w:cstheme="minorBidi"/>
          <w:szCs w:val="22"/>
        </w:rPr>
      </w:pPr>
      <w:r>
        <w:fldChar w:fldCharType="begin"/>
      </w:r>
      <w:r>
        <w:instrText xml:space="preserve"> HYPERLINK \l "_Toc192619313" </w:instrText>
      </w:r>
      <w:r>
        <w:fldChar w:fldCharType="separate"/>
      </w:r>
      <w:r>
        <w:rPr>
          <w:rStyle w:val="32"/>
        </w:rPr>
        <w:t>5  技术要求</w:t>
      </w:r>
      <w:r>
        <w:tab/>
      </w:r>
      <w:r>
        <w:fldChar w:fldCharType="begin"/>
      </w:r>
      <w:r>
        <w:instrText xml:space="preserve"> PAGEREF _Toc192619313 \h </w:instrText>
      </w:r>
      <w:r>
        <w:fldChar w:fldCharType="separate"/>
      </w:r>
      <w:r>
        <w:t>1</w:t>
      </w:r>
      <w:r>
        <w:fldChar w:fldCharType="end"/>
      </w:r>
      <w:r>
        <w:fldChar w:fldCharType="end"/>
      </w:r>
    </w:p>
    <w:p w14:paraId="0B738B2E">
      <w:pPr>
        <w:pStyle w:val="19"/>
        <w:tabs>
          <w:tab w:val="right" w:leader="dot" w:pos="9344"/>
        </w:tabs>
        <w:rPr>
          <w:rFonts w:asciiTheme="minorHAnsi" w:hAnsiTheme="minorHAnsi" w:eastAsiaTheme="minorEastAsia" w:cstheme="minorBidi"/>
          <w:szCs w:val="22"/>
        </w:rPr>
      </w:pPr>
      <w:r>
        <w:fldChar w:fldCharType="begin"/>
      </w:r>
      <w:r>
        <w:instrText xml:space="preserve"> HYPERLINK \l "_Toc192619314" </w:instrText>
      </w:r>
      <w:r>
        <w:fldChar w:fldCharType="separate"/>
      </w:r>
      <w:r>
        <w:rPr>
          <w:rStyle w:val="32"/>
        </w:rPr>
        <w:t>6  运维管理</w:t>
      </w:r>
      <w:r>
        <w:tab/>
      </w:r>
      <w:r>
        <w:fldChar w:fldCharType="begin"/>
      </w:r>
      <w:r>
        <w:instrText xml:space="preserve"> PAGEREF _Toc192619314 \h </w:instrText>
      </w:r>
      <w:r>
        <w:fldChar w:fldCharType="separate"/>
      </w:r>
      <w:r>
        <w:t>3</w:t>
      </w:r>
      <w:r>
        <w:fldChar w:fldCharType="end"/>
      </w:r>
      <w:r>
        <w:fldChar w:fldCharType="end"/>
      </w:r>
    </w:p>
    <w:p w14:paraId="3B4CD273">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8"/>
    <w:p w14:paraId="4A38380D">
      <w:pPr>
        <w:pStyle w:val="89"/>
        <w:spacing w:before="900" w:after="360"/>
      </w:pPr>
      <w:bookmarkStart w:id="19" w:name="_Toc192619307"/>
      <w:bookmarkStart w:id="20" w:name="BookMark2"/>
      <w:r>
        <w:rPr>
          <w:spacing w:val="320"/>
        </w:rPr>
        <w:t>前</w:t>
      </w:r>
      <w:r>
        <w:t>言</w:t>
      </w:r>
      <w:bookmarkEnd w:id="19"/>
    </w:p>
    <w:p w14:paraId="41BEBE8F">
      <w:pPr>
        <w:pStyle w:val="56"/>
        <w:spacing w:line="360" w:lineRule="auto"/>
        <w:ind w:firstLine="420"/>
        <w:rPr>
          <w:rFonts w:hint="eastAsia"/>
        </w:rPr>
      </w:pPr>
      <w:r>
        <w:rPr>
          <w:rFonts w:hint="eastAsia"/>
        </w:rPr>
        <w:t>本文件按照GB/T 1.1—2020《标准化工作导则  第1部分：标准化文件的结构和起草规则》的规定起草。</w:t>
      </w:r>
    </w:p>
    <w:p w14:paraId="5DE16171">
      <w:pPr>
        <w:pStyle w:val="56"/>
        <w:spacing w:line="360" w:lineRule="auto"/>
        <w:ind w:firstLine="420"/>
      </w:pPr>
      <w:r>
        <w:rPr>
          <w:rFonts w:hint="eastAsia"/>
        </w:rPr>
        <w:t>请注意本文件的某些内容可能涉及专利。本文件的发布机构不承担识别专利的责任。</w:t>
      </w:r>
    </w:p>
    <w:p w14:paraId="4DAD7D67">
      <w:pPr>
        <w:pStyle w:val="56"/>
        <w:spacing w:line="360" w:lineRule="auto"/>
        <w:ind w:firstLine="420"/>
      </w:pPr>
      <w:r>
        <w:rPr>
          <w:rFonts w:hint="eastAsia"/>
        </w:rPr>
        <w:t>本文件由西安市质量与标准化协会提出并归口。</w:t>
      </w:r>
    </w:p>
    <w:p w14:paraId="5C6BFE78">
      <w:pPr>
        <w:pStyle w:val="56"/>
        <w:spacing w:line="360" w:lineRule="auto"/>
        <w:ind w:firstLine="420"/>
        <w:rPr>
          <w:rFonts w:hint="eastAsia"/>
        </w:rPr>
      </w:pPr>
      <w:r>
        <w:rPr>
          <w:rFonts w:hint="eastAsia"/>
        </w:rPr>
        <w:t>本文件起草单位：秦皇岛市石河水库运行中心、浙江宁水水务科技有限公司、怀来城发建筑工程有限公司</w:t>
      </w:r>
      <w:r>
        <w:rPr>
          <w:rFonts w:hint="eastAsia"/>
          <w:lang w:eastAsia="zh-CN"/>
        </w:rPr>
        <w:t>、</w:t>
      </w:r>
      <w:r>
        <w:rPr>
          <w:rFonts w:hint="eastAsia"/>
        </w:rPr>
        <w:t>河北省水利水电勘测设计研究院集团有限公司、中铁二十五局集团第二工程有限公司、上海东飞环境工程服务有限公司。</w:t>
      </w:r>
    </w:p>
    <w:p w14:paraId="28E68766">
      <w:pPr>
        <w:pStyle w:val="56"/>
        <w:spacing w:line="360" w:lineRule="auto"/>
        <w:ind w:firstLine="420"/>
      </w:pPr>
      <w:r>
        <w:rPr>
          <w:rFonts w:hint="eastAsia"/>
        </w:rPr>
        <w:t>本文件主要起草人：庞海娇、张耀天、赵彬</w:t>
      </w:r>
      <w:r>
        <w:rPr>
          <w:rFonts w:hint="eastAsia"/>
          <w:lang w:eastAsia="zh-CN"/>
        </w:rPr>
        <w:t>、</w:t>
      </w:r>
      <w:r>
        <w:rPr>
          <w:rFonts w:hint="eastAsia"/>
        </w:rPr>
        <w:t>赵文豪、刘杰、刘葳、弓新亮、何文远、林涛、杜君敏、沈立、谈震、冯晓卿、蒋雪春、田大华。</w:t>
      </w:r>
    </w:p>
    <w:p w14:paraId="7410201D">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2" w:name="_GoBack"/>
      <w:bookmarkEnd w:id="52"/>
    </w:p>
    <w:bookmarkEnd w:id="20"/>
    <w:p w14:paraId="31BC0EC0">
      <w:pPr>
        <w:pStyle w:val="89"/>
        <w:spacing w:after="360"/>
      </w:pPr>
      <w:bookmarkStart w:id="21" w:name="_Toc192619308"/>
      <w:bookmarkStart w:id="22" w:name="BookMark3"/>
      <w:r>
        <w:rPr>
          <w:spacing w:val="320"/>
        </w:rPr>
        <w:t>引</w:t>
      </w:r>
      <w:r>
        <w:t>言</w:t>
      </w:r>
      <w:bookmarkEnd w:id="21"/>
    </w:p>
    <w:p w14:paraId="4B89A99F">
      <w:pPr>
        <w:pStyle w:val="56"/>
        <w:spacing w:line="360" w:lineRule="auto"/>
        <w:ind w:firstLine="420"/>
      </w:pPr>
      <w:r>
        <w:rPr>
          <w:rFonts w:hint="eastAsia"/>
        </w:rPr>
        <w:t>供水管网是城市供水系统的重要组成部分，其运行的安全性和稳定性直接关系到水资源的高效利用和供水服务的质量。然而，管网漏损问题长期存在，不仅造成大量水资源浪费，还影响管网运行的经济性和可持续性。随着智能传感、物联网、大数据、人工智能等技术的快速发展，基于智能监测与控制的漏损管理技术为供水管网的精细化管理提供了新的解决方案。</w:t>
      </w:r>
    </w:p>
    <w:p w14:paraId="6035AD0C">
      <w:pPr>
        <w:pStyle w:val="56"/>
        <w:spacing w:line="360" w:lineRule="auto"/>
        <w:ind w:firstLine="420"/>
        <w:rPr>
          <w:rFonts w:hint="eastAsia"/>
        </w:rPr>
      </w:pPr>
      <w:r>
        <w:rPr>
          <w:rFonts w:hint="eastAsia"/>
        </w:rPr>
        <w:t>本文件通过集成物联网、大数据、人工智能等技术，构建智能化漏损监测与控制体系，明确技术应用要求、数据标准及管理流程，为水务企业提供科学指导，助力实现“漏损率≤8%”的行业目标，推动智慧水务建设。</w:t>
      </w:r>
    </w:p>
    <w:p w14:paraId="7B593BF8">
      <w:pPr>
        <w:rPr>
          <w:rFonts w:ascii="宋体" w:hAnsi="Times New Roman"/>
          <w:kern w:val="0"/>
          <w:szCs w:val="20"/>
        </w:rPr>
      </w:pPr>
    </w:p>
    <w:p w14:paraId="4781EA83">
      <w:pPr>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2"/>
    <w:p w14:paraId="7409A322">
      <w:pPr>
        <w:spacing w:line="20" w:lineRule="exact"/>
        <w:jc w:val="center"/>
        <w:rPr>
          <w:rFonts w:ascii="黑体" w:hAnsi="黑体" w:eastAsia="黑体"/>
          <w:sz w:val="32"/>
          <w:szCs w:val="32"/>
        </w:rPr>
      </w:pPr>
      <w:bookmarkStart w:id="23" w:name="BookMark4"/>
    </w:p>
    <w:p w14:paraId="56E86A15">
      <w:pPr>
        <w:spacing w:line="20" w:lineRule="exact"/>
        <w:jc w:val="center"/>
        <w:rPr>
          <w:rFonts w:ascii="黑体" w:hAnsi="黑体" w:eastAsia="黑体"/>
          <w:sz w:val="32"/>
          <w:szCs w:val="32"/>
        </w:rPr>
      </w:pPr>
    </w:p>
    <w:sdt>
      <w:sdtPr>
        <w:tag w:val="NEW_STAND_NAME"/>
        <w:id w:val="595910757"/>
        <w:lock w:val="sdtLocked"/>
        <w:placeholder>
          <w:docPart w:val="CD3DEBE09D8F4F53A3450ADB474637A0"/>
        </w:placeholder>
      </w:sdtPr>
      <w:sdtContent>
        <w:p w14:paraId="689DCBB1">
          <w:pPr>
            <w:pStyle w:val="177"/>
          </w:pPr>
          <w:bookmarkStart w:id="24" w:name="NEW_STAND_NAME"/>
          <w:r>
            <w:rPr>
              <w:rFonts w:hint="eastAsia"/>
            </w:rPr>
            <w:t>供水管网漏损智能监测与控制技术规范</w:t>
          </w:r>
        </w:p>
      </w:sdtContent>
    </w:sdt>
    <w:bookmarkEnd w:id="24"/>
    <w:p w14:paraId="0185D4AA">
      <w:pPr>
        <w:pStyle w:val="104"/>
        <w:spacing w:before="240" w:after="240" w:line="360" w:lineRule="auto"/>
      </w:pPr>
      <w:bookmarkStart w:id="25" w:name="_Toc17233325"/>
      <w:bookmarkStart w:id="26" w:name="_Toc24884211"/>
      <w:bookmarkStart w:id="27" w:name="_Toc26986530"/>
      <w:bookmarkStart w:id="28" w:name="_Toc97192964"/>
      <w:bookmarkStart w:id="29" w:name="_Toc24884218"/>
      <w:bookmarkStart w:id="30" w:name="_Toc26986771"/>
      <w:bookmarkStart w:id="31" w:name="_Toc26648465"/>
      <w:bookmarkStart w:id="32" w:name="_Toc26718930"/>
      <w:bookmarkStart w:id="33" w:name="_Toc17233333"/>
      <w:bookmarkStart w:id="34" w:name="_Toc192619309"/>
      <w:r>
        <w:rPr>
          <w:rFonts w:hint="eastAsia"/>
        </w:rPr>
        <w:t>范围</w:t>
      </w:r>
      <w:bookmarkEnd w:id="25"/>
      <w:bookmarkEnd w:id="26"/>
      <w:bookmarkEnd w:id="27"/>
      <w:bookmarkEnd w:id="28"/>
      <w:bookmarkEnd w:id="29"/>
      <w:bookmarkEnd w:id="30"/>
      <w:bookmarkEnd w:id="31"/>
      <w:bookmarkEnd w:id="32"/>
      <w:bookmarkEnd w:id="33"/>
      <w:bookmarkEnd w:id="34"/>
    </w:p>
    <w:p w14:paraId="46102FA6">
      <w:pPr>
        <w:pStyle w:val="56"/>
        <w:spacing w:line="360" w:lineRule="auto"/>
        <w:ind w:firstLine="420"/>
      </w:pPr>
      <w:bookmarkStart w:id="35" w:name="_Toc17233334"/>
      <w:bookmarkStart w:id="36" w:name="_Toc24884219"/>
      <w:bookmarkStart w:id="37" w:name="_Toc26648466"/>
      <w:bookmarkStart w:id="38" w:name="_Toc24884212"/>
      <w:bookmarkStart w:id="39" w:name="_Toc17233326"/>
      <w:r>
        <w:t>本</w:t>
      </w:r>
      <w:r>
        <w:rPr>
          <w:rFonts w:hint="eastAsia"/>
        </w:rPr>
        <w:t>文件</w:t>
      </w:r>
      <w:r>
        <w:t>规定了供水管网漏损智能监测与控制系统的技术要求及运维管理</w:t>
      </w:r>
      <w:r>
        <w:rPr>
          <w:rFonts w:hint="eastAsia"/>
        </w:rPr>
        <w:t>内容</w:t>
      </w:r>
      <w:r>
        <w:t>，适用于城镇供水管网（含市政管网、小区二次供水）的漏损监测、定位、预警与控制。</w:t>
      </w:r>
    </w:p>
    <w:p w14:paraId="550E8E78">
      <w:pPr>
        <w:pStyle w:val="104"/>
        <w:spacing w:before="240" w:after="240" w:line="360" w:lineRule="auto"/>
      </w:pPr>
      <w:bookmarkStart w:id="40" w:name="_Toc26986531"/>
      <w:bookmarkStart w:id="41" w:name="_Toc26986772"/>
      <w:bookmarkStart w:id="42" w:name="_Toc26718931"/>
      <w:bookmarkStart w:id="43" w:name="_Toc192619310"/>
      <w:bookmarkStart w:id="44" w:name="_Toc97192965"/>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9E324B0745F04EFEA3AE571594A2992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1AC7AF7">
          <w:pPr>
            <w:pStyle w:val="56"/>
            <w:spacing w:line="360" w:lineRule="auto"/>
            <w:ind w:firstLine="420"/>
          </w:pPr>
          <w:r>
            <w:rPr>
              <w:rFonts w:hint="eastAsia"/>
            </w:rPr>
            <w:t>本文件没有规范性引用文件。</w:t>
          </w:r>
        </w:p>
      </w:sdtContent>
    </w:sdt>
    <w:p w14:paraId="6707B4ED">
      <w:pPr>
        <w:pStyle w:val="104"/>
        <w:spacing w:before="240" w:after="240" w:line="360" w:lineRule="auto"/>
      </w:pPr>
      <w:bookmarkStart w:id="45" w:name="_Toc192619311"/>
      <w:bookmarkStart w:id="46" w:name="_Toc97192966"/>
      <w:r>
        <w:rPr>
          <w:rFonts w:hint="eastAsia"/>
          <w:szCs w:val="21"/>
        </w:rPr>
        <w:t>术语和定义</w:t>
      </w:r>
      <w:bookmarkEnd w:id="45"/>
      <w:bookmarkEnd w:id="46"/>
    </w:p>
    <w:sdt>
      <w:sdtPr>
        <w:id w:val="-1909835108"/>
        <w:placeholder>
          <w:docPart w:val="891A8E507974422F84BE01D499A11E3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296BC7F">
          <w:pPr>
            <w:pStyle w:val="56"/>
            <w:spacing w:line="360" w:lineRule="auto"/>
            <w:ind w:firstLine="420"/>
          </w:pPr>
          <w:bookmarkStart w:id="47" w:name="_Toc26986532"/>
          <w:bookmarkEnd w:id="47"/>
          <w:r>
            <w:t>下列术语和定义适用于本文件。</w:t>
          </w:r>
        </w:p>
      </w:sdtContent>
    </w:sdt>
    <w:p w14:paraId="3F35C19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漏损率 </w:t>
      </w:r>
      <w:r>
        <w:rPr>
          <w:rFonts w:ascii="黑体" w:hAnsi="黑体" w:eastAsia="黑体"/>
        </w:rPr>
        <w:t>leakage rate</w:t>
      </w:r>
    </w:p>
    <w:p w14:paraId="4F714CEB">
      <w:pPr>
        <w:pStyle w:val="56"/>
        <w:spacing w:line="360" w:lineRule="auto"/>
        <w:ind w:firstLine="420"/>
        <w:rPr>
          <w:rFonts w:hint="eastAsia"/>
        </w:rPr>
      </w:pPr>
      <w:r>
        <w:rPr>
          <w:rFonts w:hint="eastAsia"/>
        </w:rPr>
        <w:t>管网漏水量与供水总量之比，计算公式为（供水总量－合法用水量）/供水总量×100%。</w:t>
      </w:r>
    </w:p>
    <w:p w14:paraId="5256AFE2">
      <w:pPr>
        <w:pStyle w:val="104"/>
        <w:spacing w:before="240" w:after="240" w:line="360" w:lineRule="auto"/>
        <w:rPr>
          <w:rFonts w:hint="eastAsia"/>
        </w:rPr>
      </w:pPr>
      <w:bookmarkStart w:id="48" w:name="_Toc192619312"/>
      <w:r>
        <w:rPr>
          <w:rFonts w:hint="eastAsia"/>
        </w:rPr>
        <w:t>总则</w:t>
      </w:r>
      <w:bookmarkEnd w:id="48"/>
    </w:p>
    <w:p w14:paraId="7F54357F">
      <w:pPr>
        <w:pStyle w:val="56"/>
        <w:spacing w:line="360" w:lineRule="auto"/>
        <w:ind w:firstLine="420"/>
        <w:rPr>
          <w:rFonts w:hint="eastAsia"/>
        </w:rPr>
      </w:pPr>
      <w:r>
        <w:rPr>
          <w:rFonts w:hint="eastAsia"/>
        </w:rPr>
        <w:t>漏损控制应遵循“预防为主、监测优先、快速响应”原则。</w:t>
      </w:r>
    </w:p>
    <w:p w14:paraId="5541F98A">
      <w:pPr>
        <w:pStyle w:val="56"/>
        <w:spacing w:line="360" w:lineRule="auto"/>
        <w:ind w:firstLine="420"/>
        <w:rPr>
          <w:rFonts w:hint="eastAsia"/>
        </w:rPr>
      </w:pPr>
      <w:r>
        <w:rPr>
          <w:rFonts w:hint="eastAsia"/>
        </w:rPr>
        <w:t>构建“监测-分析-控制”闭环管理体系，实现从漏点发现到修复的全流程数字化。</w:t>
      </w:r>
    </w:p>
    <w:p w14:paraId="362CB031">
      <w:pPr>
        <w:pStyle w:val="56"/>
        <w:spacing w:line="360" w:lineRule="auto"/>
        <w:ind w:firstLine="420"/>
        <w:rPr>
          <w:rFonts w:hint="eastAsia"/>
        </w:rPr>
      </w:pPr>
      <w:r>
        <w:rPr>
          <w:rFonts w:hint="eastAsia"/>
        </w:rPr>
        <w:t>鼓励应用边缘计算、区块链技术提升数据实时性与可信度。</w:t>
      </w:r>
    </w:p>
    <w:p w14:paraId="40870621">
      <w:pPr>
        <w:pStyle w:val="104"/>
        <w:spacing w:before="240" w:after="240" w:line="360" w:lineRule="auto"/>
        <w:rPr>
          <w:rFonts w:hint="eastAsia"/>
        </w:rPr>
      </w:pPr>
      <w:bookmarkStart w:id="49" w:name="_Toc192619313"/>
      <w:r>
        <w:rPr>
          <w:rFonts w:hint="eastAsia"/>
        </w:rPr>
        <w:t>技术要求</w:t>
      </w:r>
      <w:bookmarkEnd w:id="49"/>
    </w:p>
    <w:p w14:paraId="5CD63578">
      <w:pPr>
        <w:pStyle w:val="105"/>
        <w:spacing w:before="120" w:after="120" w:line="360" w:lineRule="auto"/>
        <w:rPr>
          <w:rFonts w:hint="eastAsia"/>
        </w:rPr>
      </w:pPr>
      <w:r>
        <w:rPr>
          <w:rFonts w:hint="eastAsia"/>
        </w:rPr>
        <w:t>监测系统设计</w:t>
      </w:r>
    </w:p>
    <w:p w14:paraId="49591BC4">
      <w:pPr>
        <w:pStyle w:val="56"/>
        <w:spacing w:line="360" w:lineRule="auto"/>
        <w:ind w:firstLine="420"/>
        <w:rPr>
          <w:rFonts w:hint="eastAsia"/>
        </w:rPr>
      </w:pPr>
      <w:r>
        <w:rPr>
          <w:rFonts w:hint="eastAsia"/>
        </w:rPr>
        <w:t>传感器布设：</w:t>
      </w:r>
    </w:p>
    <w:p w14:paraId="2F4376DB">
      <w:pPr>
        <w:pStyle w:val="132"/>
        <w:spacing w:line="360" w:lineRule="auto"/>
        <w:rPr>
          <w:rFonts w:hint="eastAsia"/>
        </w:rPr>
      </w:pPr>
      <w:r>
        <w:rPr>
          <w:rFonts w:hint="eastAsia"/>
        </w:rPr>
        <w:t>主干管每500米部署1台噪声记录仪，压力监测点间距≤1km；</w:t>
      </w:r>
    </w:p>
    <w:p w14:paraId="1667D20E">
      <w:pPr>
        <w:pStyle w:val="132"/>
        <w:spacing w:line="360" w:lineRule="auto"/>
        <w:rPr>
          <w:rFonts w:hint="eastAsia"/>
        </w:rPr>
      </w:pPr>
      <w:r>
        <w:rPr>
          <w:rFonts w:hint="eastAsia"/>
        </w:rPr>
        <w:t>关键节点（阀门、泵站）安装流量计，精度等级≥1.0级。</w:t>
      </w:r>
    </w:p>
    <w:p w14:paraId="631E0E77">
      <w:pPr>
        <w:pStyle w:val="56"/>
        <w:spacing w:line="360" w:lineRule="auto"/>
        <w:ind w:firstLine="420"/>
        <w:rPr>
          <w:rFonts w:hint="eastAsia"/>
        </w:rPr>
      </w:pPr>
      <w:r>
        <w:rPr>
          <w:rFonts w:hint="eastAsia"/>
        </w:rPr>
        <w:t>数据传输：</w:t>
      </w:r>
    </w:p>
    <w:p w14:paraId="147059DC">
      <w:pPr>
        <w:pStyle w:val="132"/>
        <w:spacing w:line="360" w:lineRule="auto"/>
        <w:rPr>
          <w:rFonts w:hint="eastAsia"/>
        </w:rPr>
      </w:pPr>
      <w:r>
        <w:rPr>
          <w:rFonts w:hint="eastAsia"/>
        </w:rPr>
        <w:t>支持NB-IoT、LoRa等低功耗通信协议，数据上传频率≥1次/5分钟；</w:t>
      </w:r>
    </w:p>
    <w:p w14:paraId="6274CF62">
      <w:pPr>
        <w:pStyle w:val="132"/>
        <w:spacing w:line="360" w:lineRule="auto"/>
      </w:pPr>
      <w:r>
        <w:rPr>
          <w:rFonts w:hint="eastAsia"/>
        </w:rPr>
        <w:t>漏损报警信息延时≤10秒。</w:t>
      </w:r>
    </w:p>
    <w:p w14:paraId="3F85D342">
      <w:pPr>
        <w:pStyle w:val="56"/>
        <w:spacing w:line="360" w:lineRule="auto"/>
        <w:ind w:firstLine="420"/>
        <w:rPr>
          <w:rFonts w:hint="eastAsia"/>
        </w:rPr>
      </w:pPr>
      <w:r>
        <w:t>漏损监测设备选型表</w:t>
      </w:r>
      <w:r>
        <w:rPr>
          <w:rFonts w:hint="eastAsia"/>
        </w:rPr>
        <w:t>见表1。</w:t>
      </w:r>
    </w:p>
    <w:p w14:paraId="6BF2F1D5">
      <w:pPr>
        <w:pStyle w:val="56"/>
        <w:spacing w:line="360" w:lineRule="auto"/>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漏损监测设备选型表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16F42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14:paraId="53297315">
            <w:pPr>
              <w:pStyle w:val="178"/>
            </w:pPr>
            <w:r>
              <w:t>设备类型</w:t>
            </w:r>
          </w:p>
        </w:tc>
        <w:tc>
          <w:tcPr>
            <w:tcW w:w="3112" w:type="dxa"/>
            <w:tcBorders>
              <w:top w:val="single" w:color="auto" w:sz="8" w:space="0"/>
              <w:bottom w:val="single" w:color="auto" w:sz="8" w:space="0"/>
            </w:tcBorders>
            <w:shd w:val="clear" w:color="auto" w:fill="auto"/>
            <w:vAlign w:val="center"/>
          </w:tcPr>
          <w:p w14:paraId="15D9F78C">
            <w:pPr>
              <w:pStyle w:val="56"/>
              <w:ind w:firstLine="0" w:firstLineChars="0"/>
              <w:jc w:val="center"/>
              <w:rPr>
                <w:sz w:val="18"/>
              </w:rPr>
            </w:pPr>
            <w:r>
              <w:rPr>
                <w:sz w:val="18"/>
              </w:rPr>
              <w:t>技术参数</w:t>
            </w:r>
          </w:p>
        </w:tc>
        <w:tc>
          <w:tcPr>
            <w:tcW w:w="3112" w:type="dxa"/>
            <w:tcBorders>
              <w:top w:val="single" w:color="auto" w:sz="8" w:space="0"/>
              <w:bottom w:val="single" w:color="auto" w:sz="8" w:space="0"/>
            </w:tcBorders>
            <w:shd w:val="clear" w:color="auto" w:fill="auto"/>
            <w:vAlign w:val="center"/>
          </w:tcPr>
          <w:p w14:paraId="2966D172">
            <w:pPr>
              <w:pStyle w:val="56"/>
              <w:ind w:firstLine="0" w:firstLineChars="0"/>
              <w:jc w:val="center"/>
              <w:rPr>
                <w:sz w:val="18"/>
              </w:rPr>
            </w:pPr>
            <w:r>
              <w:rPr>
                <w:sz w:val="18"/>
              </w:rPr>
              <w:t>适用场景</w:t>
            </w:r>
          </w:p>
        </w:tc>
      </w:tr>
      <w:tr w14:paraId="70FA1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14:paraId="18590CB0">
            <w:pPr>
              <w:pStyle w:val="178"/>
            </w:pPr>
            <w:r>
              <w:t>多探头噪声仪</w:t>
            </w:r>
          </w:p>
        </w:tc>
        <w:tc>
          <w:tcPr>
            <w:tcW w:w="3112" w:type="dxa"/>
            <w:tcBorders>
              <w:top w:val="single" w:color="auto" w:sz="8" w:space="0"/>
            </w:tcBorders>
            <w:shd w:val="clear" w:color="auto" w:fill="auto"/>
            <w:vAlign w:val="center"/>
          </w:tcPr>
          <w:p w14:paraId="0E33F655">
            <w:pPr>
              <w:pStyle w:val="178"/>
            </w:pPr>
            <w:r>
              <w:t>频率范围100Hz-2kHz，防水IP68</w:t>
            </w:r>
          </w:p>
        </w:tc>
        <w:tc>
          <w:tcPr>
            <w:tcW w:w="3112" w:type="dxa"/>
            <w:tcBorders>
              <w:top w:val="single" w:color="auto" w:sz="8" w:space="0"/>
            </w:tcBorders>
            <w:shd w:val="clear" w:color="auto" w:fill="auto"/>
            <w:vAlign w:val="center"/>
          </w:tcPr>
          <w:p w14:paraId="056D21A7">
            <w:pPr>
              <w:pStyle w:val="178"/>
            </w:pPr>
            <w:r>
              <w:t>主干管、埋深＞1m</w:t>
            </w:r>
          </w:p>
        </w:tc>
      </w:tr>
      <w:tr w14:paraId="5F4A6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4528AE00">
            <w:pPr>
              <w:pStyle w:val="178"/>
            </w:pPr>
            <w:r>
              <w:t>光纤传感系统</w:t>
            </w:r>
          </w:p>
        </w:tc>
        <w:tc>
          <w:tcPr>
            <w:tcW w:w="3112" w:type="dxa"/>
            <w:shd w:val="clear" w:color="auto" w:fill="auto"/>
            <w:vAlign w:val="center"/>
          </w:tcPr>
          <w:p w14:paraId="3EF32C3C">
            <w:pPr>
              <w:pStyle w:val="178"/>
              <w:rPr>
                <w:rFonts w:hAnsi="宋体"/>
              </w:rPr>
            </w:pPr>
            <w:r>
              <w:rPr>
                <w:rFonts w:hAnsi="宋体"/>
              </w:rPr>
              <w:t>定位精度±1m，监测距离≥20km</w:t>
            </w:r>
          </w:p>
        </w:tc>
        <w:tc>
          <w:tcPr>
            <w:tcW w:w="3112" w:type="dxa"/>
            <w:shd w:val="clear" w:color="auto" w:fill="auto"/>
            <w:vAlign w:val="center"/>
          </w:tcPr>
          <w:p w14:paraId="255C0D90">
            <w:pPr>
              <w:pStyle w:val="178"/>
            </w:pPr>
            <w:r>
              <w:t>高风险区域</w:t>
            </w:r>
          </w:p>
        </w:tc>
      </w:tr>
    </w:tbl>
    <w:p w14:paraId="09A2AA7B">
      <w:pPr>
        <w:pStyle w:val="105"/>
        <w:spacing w:before="120" w:after="120" w:line="360" w:lineRule="auto"/>
        <w:rPr>
          <w:rFonts w:hint="eastAsia"/>
        </w:rPr>
      </w:pPr>
      <w:r>
        <w:rPr>
          <w:rFonts w:hint="eastAsia"/>
        </w:rPr>
        <w:t>漏损诊断与分析</w:t>
      </w:r>
    </w:p>
    <w:p w14:paraId="6E0F655E">
      <w:pPr>
        <w:pStyle w:val="56"/>
        <w:spacing w:line="360" w:lineRule="auto"/>
        <w:ind w:firstLine="420"/>
        <w:rPr>
          <w:rFonts w:hint="eastAsia"/>
        </w:rPr>
      </w:pPr>
      <w:r>
        <w:rPr>
          <w:rFonts w:hint="eastAsia"/>
        </w:rPr>
        <w:t>噪声信号处理：</w:t>
      </w:r>
    </w:p>
    <w:p w14:paraId="4D68945B">
      <w:pPr>
        <w:pStyle w:val="132"/>
        <w:spacing w:line="360" w:lineRule="auto"/>
        <w:rPr>
          <w:rFonts w:hint="eastAsia"/>
        </w:rPr>
      </w:pPr>
      <w:r>
        <w:rPr>
          <w:rFonts w:hint="eastAsia"/>
        </w:rPr>
        <w:t>采用小波变换算法滤除环境噪声，有效信号识别率≥90%；</w:t>
      </w:r>
    </w:p>
    <w:p w14:paraId="43B90A57">
      <w:pPr>
        <w:pStyle w:val="132"/>
        <w:spacing w:line="360" w:lineRule="auto"/>
        <w:rPr>
          <w:rFonts w:hint="eastAsia"/>
        </w:rPr>
      </w:pPr>
      <w:r>
        <w:rPr>
          <w:rFonts w:hint="eastAsia"/>
        </w:rPr>
        <w:t>漏点定位误差≤50米（主干管）、≤20米（支管）。</w:t>
      </w:r>
    </w:p>
    <w:p w14:paraId="60619F7A">
      <w:pPr>
        <w:pStyle w:val="56"/>
        <w:spacing w:line="360" w:lineRule="auto"/>
        <w:ind w:firstLine="420"/>
        <w:rPr>
          <w:rFonts w:hint="eastAsia"/>
        </w:rPr>
      </w:pPr>
      <w:r>
        <w:rPr>
          <w:rFonts w:hint="eastAsia"/>
        </w:rPr>
        <w:t>大数据分析：</w:t>
      </w:r>
    </w:p>
    <w:p w14:paraId="573E37F8">
      <w:pPr>
        <w:pStyle w:val="132"/>
        <w:spacing w:line="360" w:lineRule="auto"/>
        <w:rPr>
          <w:rFonts w:hint="eastAsia"/>
        </w:rPr>
      </w:pPr>
      <w:r>
        <w:rPr>
          <w:rFonts w:hint="eastAsia"/>
        </w:rPr>
        <w:t>基于历史数据建立漏损预测模型，预警准确率≥85%；</w:t>
      </w:r>
    </w:p>
    <w:p w14:paraId="3C021D78">
      <w:pPr>
        <w:pStyle w:val="132"/>
        <w:spacing w:line="360" w:lineRule="auto"/>
      </w:pPr>
      <w:r>
        <w:rPr>
          <w:rFonts w:hint="eastAsia"/>
        </w:rPr>
        <w:t>分区计量（DMA）最小夜间流量分析误差≤5%。</w:t>
      </w:r>
    </w:p>
    <w:p w14:paraId="0E6076EB">
      <w:pPr>
        <w:pStyle w:val="56"/>
        <w:spacing w:line="360" w:lineRule="auto"/>
        <w:ind w:firstLine="420"/>
      </w:pPr>
      <w:r>
        <w:t>漏损率计算</w:t>
      </w:r>
      <w:r>
        <w:rPr>
          <w:rFonts w:hint="eastAsia"/>
        </w:rPr>
        <w:t>方法见公式（1）：</w:t>
      </w:r>
    </w:p>
    <w:p w14:paraId="1B07926C">
      <w:pPr>
        <w:pStyle w:val="113"/>
        <w:spacing w:line="360" w:lineRule="auto"/>
      </w:pPr>
      <w:r>
        <w:tab/>
      </w:r>
      <m:oMath>
        <m:r>
          <m:rPr>
            <m:nor/>
          </m:rPr>
          <w:rPr>
            <w:rFonts w:ascii="Times New Roman" w:hAnsi="Times New Roman"/>
            <w:bCs/>
            <w:i/>
            <w:iCs/>
          </w:rPr>
          <m:t>R=</m:t>
        </m:r>
        <m:f>
          <m:fPr>
            <m:ctrlPr>
              <w:rPr>
                <w:rFonts w:ascii="Cambria Math" w:hAnsi="Cambria Math"/>
                <w:bCs/>
                <w:i/>
                <w:iCs/>
              </w:rPr>
            </m:ctrlPr>
          </m:fPr>
          <m:num>
            <m:sSub>
              <m:sSubPr>
                <m:ctrlPr>
                  <w:rPr>
                    <w:rFonts w:ascii="Cambria Math" w:hAnsi="Cambria Math"/>
                    <w:bCs/>
                    <w:i/>
                    <w:iCs/>
                  </w:rPr>
                </m:ctrlPr>
              </m:sSubPr>
              <m:e>
                <m:r>
                  <m:rPr>
                    <m:nor/>
                  </m:rPr>
                  <w:rPr>
                    <w:rFonts w:ascii="Times New Roman" w:hAnsi="Times New Roman"/>
                    <w:bCs/>
                    <w:i/>
                    <w:iCs/>
                  </w:rPr>
                  <m:t>Q</m:t>
                </m:r>
                <m:ctrlPr>
                  <w:rPr>
                    <w:rFonts w:ascii="Cambria Math" w:hAnsi="Cambria Math"/>
                    <w:bCs/>
                    <w:i/>
                    <w:iCs/>
                  </w:rPr>
                </m:ctrlPr>
              </m:e>
              <m:sub>
                <m:r>
                  <m:rPr>
                    <m:nor/>
                  </m:rPr>
                  <w:rPr>
                    <w:rFonts w:ascii="Times New Roman" w:hAnsi="Times New Roman"/>
                    <w:bCs/>
                    <w:i/>
                    <w:iCs/>
                  </w:rPr>
                  <m:t>1</m:t>
                </m:r>
                <m:ctrlPr>
                  <w:rPr>
                    <w:rFonts w:ascii="Cambria Math" w:hAnsi="Cambria Math"/>
                    <w:bCs/>
                    <w:i/>
                    <w:iCs/>
                  </w:rPr>
                </m:ctrlPr>
              </m:sub>
            </m:sSub>
            <m:r>
              <m:rPr>
                <m:nor/>
              </m:rPr>
              <w:rPr>
                <w:rFonts w:ascii="Times New Roman" w:hAnsi="Times New Roman"/>
                <w:bCs/>
                <w:i/>
                <w:iCs/>
              </w:rPr>
              <m:t>-</m:t>
            </m:r>
            <m:sSub>
              <m:sSubPr>
                <m:ctrlPr>
                  <w:rPr>
                    <w:rFonts w:ascii="Cambria Math" w:hAnsi="Cambria Math"/>
                    <w:bCs/>
                    <w:i/>
                    <w:iCs/>
                  </w:rPr>
                </m:ctrlPr>
              </m:sSubPr>
              <m:e>
                <m:r>
                  <m:rPr>
                    <m:nor/>
                  </m:rPr>
                  <w:rPr>
                    <w:rFonts w:ascii="Times New Roman" w:hAnsi="Times New Roman"/>
                    <w:bCs/>
                    <w:i/>
                    <w:iCs/>
                  </w:rPr>
                  <m:t>Q</m:t>
                </m:r>
                <m:ctrlPr>
                  <w:rPr>
                    <w:rFonts w:ascii="Cambria Math" w:hAnsi="Cambria Math"/>
                    <w:bCs/>
                    <w:i/>
                    <w:iCs/>
                  </w:rPr>
                </m:ctrlPr>
              </m:e>
              <m:sub>
                <m:r>
                  <m:rPr>
                    <m:nor/>
                  </m:rPr>
                  <w:rPr>
                    <w:rFonts w:ascii="Times New Roman" w:hAnsi="Times New Roman"/>
                    <w:bCs/>
                    <w:i/>
                    <w:iCs/>
                  </w:rPr>
                  <m:t>2</m:t>
                </m:r>
                <m:ctrlPr>
                  <w:rPr>
                    <w:rFonts w:ascii="Cambria Math" w:hAnsi="Cambria Math"/>
                    <w:bCs/>
                    <w:i/>
                    <w:iCs/>
                  </w:rPr>
                </m:ctrlPr>
              </m:sub>
            </m:sSub>
            <m:ctrlPr>
              <w:rPr>
                <w:rFonts w:ascii="Cambria Math" w:hAnsi="Cambria Math"/>
                <w:bCs/>
                <w:i/>
                <w:iCs/>
              </w:rPr>
            </m:ctrlPr>
          </m:num>
          <m:den>
            <m:sSub>
              <m:sSubPr>
                <m:ctrlPr>
                  <w:rPr>
                    <w:rFonts w:ascii="Cambria Math" w:hAnsi="Cambria Math"/>
                    <w:bCs/>
                    <w:i/>
                    <w:iCs/>
                  </w:rPr>
                </m:ctrlPr>
              </m:sSubPr>
              <m:e>
                <m:r>
                  <m:rPr>
                    <m:nor/>
                  </m:rPr>
                  <w:rPr>
                    <w:rFonts w:ascii="Times New Roman" w:hAnsi="Times New Roman"/>
                    <w:bCs/>
                    <w:i/>
                    <w:iCs/>
                  </w:rPr>
                  <m:t>Q</m:t>
                </m:r>
                <m:ctrlPr>
                  <w:rPr>
                    <w:rFonts w:ascii="Cambria Math" w:hAnsi="Cambria Math"/>
                    <w:bCs/>
                    <w:i/>
                    <w:iCs/>
                  </w:rPr>
                </m:ctrlPr>
              </m:e>
              <m:sub>
                <m:r>
                  <m:rPr>
                    <m:nor/>
                  </m:rPr>
                  <w:rPr>
                    <w:rFonts w:ascii="Times New Roman" w:hAnsi="Times New Roman"/>
                    <w:bCs/>
                    <w:i/>
                    <w:iCs/>
                  </w:rPr>
                  <m:t>1</m:t>
                </m:r>
                <m:ctrlPr>
                  <w:rPr>
                    <w:rFonts w:ascii="Cambria Math" w:hAnsi="Cambria Math"/>
                    <w:bCs/>
                    <w:i/>
                    <w:iCs/>
                  </w:rPr>
                </m:ctrlPr>
              </m:sub>
            </m:sSub>
            <m:ctrlPr>
              <w:rPr>
                <w:rFonts w:ascii="Cambria Math" w:hAnsi="Cambria Math"/>
                <w:bCs/>
                <w:i/>
                <w:iCs/>
              </w:rPr>
            </m:ctrlPr>
          </m:den>
        </m:f>
        <m:r>
          <m:rPr>
            <m:nor/>
            <m:sty m:val="p"/>
          </m:rPr>
          <w:rPr>
            <w:rFonts w:ascii="Times New Roman" w:hAnsi="Times New Roman"/>
            <w:b w:val="0"/>
            <w:bCs/>
            <w:i w:val="0"/>
            <w:iCs/>
          </w:rPr>
          <m:t>×100%</m:t>
        </m:r>
      </m:oMath>
      <w:r>
        <w:rPr>
          <w:rFonts w:ascii="微软雅黑" w:hAnsi="微软雅黑" w:eastAsia="微软雅黑"/>
        </w:rPr>
        <w:tab/>
      </w:r>
      <w:r>
        <w:t>(</w:t>
      </w:r>
      <w:r>
        <w:fldChar w:fldCharType="begin"/>
      </w:r>
      <w:r>
        <w:instrText xml:space="preserve"> AUTONUM </w:instrText>
      </w:r>
      <w:r>
        <w:fldChar w:fldCharType="end"/>
      </w:r>
      <w:r>
        <w:t>)</w:t>
      </w:r>
    </w:p>
    <w:p w14:paraId="5D47229F">
      <w:pPr>
        <w:pStyle w:val="55"/>
        <w:spacing w:line="360" w:lineRule="auto"/>
        <w:ind w:firstLine="420"/>
      </w:pPr>
      <w:r>
        <w:rPr>
          <w:rFonts w:hint="eastAsia"/>
        </w:rPr>
        <w:t>式中：</w:t>
      </w:r>
    </w:p>
    <w:p w14:paraId="5CB512C5">
      <w:pPr>
        <w:pStyle w:val="56"/>
        <w:spacing w:line="360" w:lineRule="auto"/>
        <w:ind w:firstLine="420"/>
        <w:rPr>
          <w:i/>
          <w:iCs/>
        </w:rPr>
      </w:pPr>
      <m:oMath>
        <m:r>
          <m:rPr>
            <m:nor/>
          </m:rPr>
          <w:rPr>
            <w:rFonts w:ascii="Times New Roman"/>
            <w:bCs/>
            <w:i/>
            <w:iCs/>
          </w:rPr>
          <m:t>R</m:t>
        </m:r>
        <m:r>
          <m:rPr>
            <m:nor/>
          </m:rPr>
          <w:rPr>
            <w:rFonts w:ascii="Cambria Math"/>
            <w:bCs/>
            <w:i/>
            <w:iCs/>
          </w:rPr>
          <m:t xml:space="preserve">    </m:t>
        </m:r>
      </m:oMath>
      <w:r>
        <w:rPr>
          <w:i/>
          <w:iCs/>
        </w:rPr>
        <w:t>——</w:t>
      </w:r>
      <w:r>
        <w:t>漏损率，表征管网漏水量占供水总量的比例,</w:t>
      </w:r>
      <w:r>
        <w:rPr>
          <w:rFonts w:hint="eastAsia"/>
        </w:rPr>
        <w:t>单位</w:t>
      </w:r>
      <w:r>
        <w:rPr>
          <w:rFonts w:hint="eastAsia" w:hAnsi="宋体"/>
        </w:rPr>
        <w:t>为</w:t>
      </w:r>
      <w:r>
        <w:rPr>
          <w:rFonts w:hAnsi="宋体"/>
        </w:rPr>
        <w:t>%</w:t>
      </w:r>
      <w:r>
        <w:t>；</w:t>
      </w:r>
    </w:p>
    <w:p w14:paraId="21FD2135">
      <w:pPr>
        <w:pStyle w:val="56"/>
        <w:spacing w:line="360" w:lineRule="auto"/>
        <w:ind w:firstLine="420"/>
      </w:pPr>
      <m:oMath>
        <m:sSub>
          <m:sSubPr>
            <m:ctrlPr>
              <w:rPr>
                <w:rFonts w:ascii="Cambria Math" w:hAnsi="Cambria Math"/>
                <w:bCs/>
                <w:i/>
                <w:iCs/>
              </w:rPr>
            </m:ctrlPr>
          </m:sSubPr>
          <m:e>
            <m:r>
              <m:rPr>
                <m:nor/>
              </m:rPr>
              <w:rPr>
                <w:rFonts w:ascii="Times New Roman"/>
                <w:bCs/>
                <w:i/>
                <w:iCs/>
              </w:rPr>
              <m:t>Q</m:t>
            </m:r>
            <m:ctrlPr>
              <w:rPr>
                <w:rFonts w:ascii="Cambria Math" w:hAnsi="Cambria Math"/>
                <w:bCs/>
                <w:i/>
                <w:iCs/>
              </w:rPr>
            </m:ctrlPr>
          </m:e>
          <m:sub>
            <m:r>
              <m:rPr>
                <m:nor/>
              </m:rPr>
              <w:rPr>
                <w:rFonts w:ascii="Times New Roman"/>
                <w:bCs/>
                <w:i/>
                <w:iCs/>
              </w:rPr>
              <m:t>1</m:t>
            </m:r>
            <m:ctrlPr>
              <w:rPr>
                <w:rFonts w:ascii="Cambria Math" w:hAnsi="Cambria Math"/>
                <w:bCs/>
                <w:i/>
                <w:iCs/>
              </w:rPr>
            </m:ctrlPr>
          </m:sub>
        </m:sSub>
      </m:oMath>
      <w:r>
        <w:rPr>
          <w:rFonts w:hint="eastAsia"/>
          <w:bCs/>
          <w:i/>
          <w:iCs/>
        </w:rPr>
        <w:t xml:space="preserve"> </w:t>
      </w:r>
      <w:r>
        <w:rPr>
          <w:i/>
          <w:iCs/>
        </w:rPr>
        <w:t>——</w:t>
      </w:r>
      <w:r>
        <w:t>供水总量，指一定周期内通过供水管网输送的总水量</w:t>
      </w:r>
      <w:r>
        <w:rPr>
          <w:rFonts w:hint="eastAsia"/>
        </w:rPr>
        <w:t>，</w:t>
      </w:r>
      <w:r>
        <w:t>单位为立方米</w:t>
      </w:r>
      <w:r>
        <w:rPr>
          <w:rFonts w:hAnsi="宋体"/>
        </w:rPr>
        <w:t>（m³）</w:t>
      </w:r>
      <w:r>
        <w:t>；</w:t>
      </w:r>
    </w:p>
    <w:p w14:paraId="6FCA032A">
      <w:pPr>
        <w:pStyle w:val="56"/>
        <w:spacing w:line="360" w:lineRule="auto"/>
        <w:ind w:firstLine="420"/>
        <w:rPr>
          <w:i/>
          <w:iCs/>
        </w:rPr>
      </w:pPr>
      <m:oMath>
        <m:sSub>
          <m:sSubPr>
            <m:ctrlPr>
              <w:rPr>
                <w:rFonts w:ascii="Cambria Math" w:hAnsi="Cambria Math"/>
                <w:bCs/>
                <w:i/>
                <w:iCs/>
              </w:rPr>
            </m:ctrlPr>
          </m:sSubPr>
          <m:e>
            <m:r>
              <m:rPr>
                <m:nor/>
              </m:rPr>
              <w:rPr>
                <w:rFonts w:ascii="Times New Roman"/>
                <w:bCs/>
                <w:i/>
                <w:iCs/>
              </w:rPr>
              <m:t>Q</m:t>
            </m:r>
            <m:ctrlPr>
              <w:rPr>
                <w:rFonts w:ascii="Cambria Math" w:hAnsi="Cambria Math"/>
                <w:bCs/>
                <w:i/>
                <w:iCs/>
              </w:rPr>
            </m:ctrlPr>
          </m:e>
          <m:sub>
            <m:r>
              <m:rPr>
                <m:nor/>
              </m:rPr>
              <w:rPr>
                <w:rFonts w:ascii="Times New Roman"/>
                <w:bCs/>
                <w:i/>
                <w:iCs/>
              </w:rPr>
              <m:t>2</m:t>
            </m:r>
            <m:ctrlPr>
              <w:rPr>
                <w:rFonts w:ascii="Cambria Math" w:hAnsi="Cambria Math"/>
                <w:bCs/>
                <w:i/>
                <w:iCs/>
              </w:rPr>
            </m:ctrlPr>
          </m:sub>
        </m:sSub>
      </m:oMath>
      <w:r>
        <w:rPr>
          <w:rFonts w:hint="eastAsia"/>
          <w:bCs/>
          <w:i/>
          <w:iCs/>
        </w:rPr>
        <w:t xml:space="preserve"> </w:t>
      </w:r>
      <w:r>
        <w:rPr>
          <w:i/>
          <w:iCs/>
        </w:rPr>
        <w:t>——</w:t>
      </w:r>
      <w:r>
        <w:t>合法用水量，包括居民生活用水、工商业用水等经计量收费的用水量</w:t>
      </w:r>
      <w:r>
        <w:rPr>
          <w:rFonts w:hint="eastAsia"/>
        </w:rPr>
        <w:t>，</w:t>
      </w:r>
      <w:r>
        <w:t>单位为立方</w:t>
      </w:r>
      <w:r>
        <w:rPr>
          <w:rFonts w:hAnsi="宋体"/>
        </w:rPr>
        <w:t>米（m³）</w:t>
      </w:r>
      <w:r>
        <w:t>。</w:t>
      </w:r>
    </w:p>
    <w:p w14:paraId="2EB7C37F">
      <w:pPr>
        <w:pStyle w:val="105"/>
        <w:spacing w:before="120" w:after="120" w:line="360" w:lineRule="auto"/>
        <w:rPr>
          <w:rFonts w:hint="eastAsia"/>
        </w:rPr>
      </w:pPr>
      <w:r>
        <w:rPr>
          <w:rFonts w:hint="eastAsia"/>
        </w:rPr>
        <w:t>智能控制策略</w:t>
      </w:r>
    </w:p>
    <w:p w14:paraId="16981E72">
      <w:pPr>
        <w:pStyle w:val="56"/>
        <w:spacing w:line="360" w:lineRule="auto"/>
        <w:ind w:firstLine="420"/>
        <w:rPr>
          <w:rFonts w:hint="eastAsia"/>
        </w:rPr>
      </w:pPr>
      <w:r>
        <w:rPr>
          <w:rFonts w:hint="eastAsia"/>
        </w:rPr>
        <w:t>压力调控：</w:t>
      </w:r>
    </w:p>
    <w:p w14:paraId="3D101AEB">
      <w:pPr>
        <w:pStyle w:val="132"/>
        <w:spacing w:line="360" w:lineRule="auto"/>
        <w:rPr>
          <w:rFonts w:hint="eastAsia"/>
        </w:rPr>
      </w:pPr>
      <w:r>
        <w:rPr>
          <w:rFonts w:hint="eastAsia"/>
        </w:rPr>
        <w:t>按用水峰谷时段动态调整管网压力，压力波动范围≤±0.05MPa；</w:t>
      </w:r>
    </w:p>
    <w:p w14:paraId="3540741C">
      <w:pPr>
        <w:pStyle w:val="132"/>
        <w:spacing w:line="360" w:lineRule="auto"/>
        <w:rPr>
          <w:rFonts w:hint="eastAsia"/>
        </w:rPr>
      </w:pPr>
      <w:r>
        <w:rPr>
          <w:rFonts w:hint="eastAsia"/>
        </w:rPr>
        <w:t>爆管发生时，30秒内启动压力骤降保护。</w:t>
      </w:r>
    </w:p>
    <w:p w14:paraId="64EF2A90">
      <w:pPr>
        <w:pStyle w:val="56"/>
        <w:spacing w:line="360" w:lineRule="auto"/>
        <w:ind w:firstLine="420"/>
      </w:pPr>
      <w:r>
        <w:rPr>
          <w:rFonts w:hint="eastAsia"/>
        </w:rPr>
        <w:t>自动修复：微小漏损（≤1m³/h）启用自愈合涂层技术，修复率≥70%。</w:t>
      </w:r>
    </w:p>
    <w:p w14:paraId="4BEBC61A">
      <w:pPr>
        <w:pStyle w:val="56"/>
        <w:spacing w:line="360" w:lineRule="auto"/>
        <w:ind w:firstLine="420"/>
      </w:pPr>
      <w:r>
        <w:rPr>
          <w:rFonts w:hint="eastAsia"/>
        </w:rPr>
        <w:t>压力调控阈值见表2。</w:t>
      </w:r>
    </w:p>
    <w:p w14:paraId="09455235">
      <w:pPr>
        <w:pStyle w:val="56"/>
        <w:spacing w:line="360" w:lineRule="auto"/>
        <w:ind w:firstLine="0" w:firstLineChars="0"/>
        <w:jc w:val="center"/>
        <w:rPr>
          <w:rFonts w:ascii="黑体" w:hAnsi="黑体" w:eastAsia="黑体"/>
        </w:rPr>
      </w:pPr>
      <w:r>
        <w:rPr>
          <w:rFonts w:hint="eastAsia" w:ascii="黑体" w:hAnsi="黑体" w:eastAsia="黑体"/>
        </w:rPr>
        <w:t>表2</w:t>
      </w:r>
      <w:r>
        <w:rPr>
          <w:rFonts w:ascii="黑体" w:hAnsi="黑体" w:eastAsia="黑体"/>
        </w:rPr>
        <w:t xml:space="preserve"> 压力调控阈值表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1"/>
        <w:gridCol w:w="3112"/>
        <w:gridCol w:w="3111"/>
      </w:tblGrid>
      <w:tr w14:paraId="715D5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1" w:type="dxa"/>
            <w:tcBorders>
              <w:top w:val="single" w:color="auto" w:sz="8" w:space="0"/>
              <w:bottom w:val="single" w:color="auto" w:sz="8" w:space="0"/>
            </w:tcBorders>
            <w:shd w:val="clear" w:color="auto" w:fill="auto"/>
            <w:vAlign w:val="center"/>
          </w:tcPr>
          <w:p w14:paraId="3F0067AB">
            <w:pPr>
              <w:pStyle w:val="178"/>
            </w:pPr>
            <w:r>
              <w:t>时段</w:t>
            </w:r>
          </w:p>
        </w:tc>
        <w:tc>
          <w:tcPr>
            <w:tcW w:w="3112" w:type="dxa"/>
            <w:tcBorders>
              <w:top w:val="single" w:color="auto" w:sz="8" w:space="0"/>
              <w:bottom w:val="single" w:color="auto" w:sz="8" w:space="0"/>
            </w:tcBorders>
            <w:shd w:val="clear" w:color="auto" w:fill="auto"/>
            <w:vAlign w:val="center"/>
          </w:tcPr>
          <w:p w14:paraId="4E0D4850">
            <w:pPr>
              <w:pStyle w:val="178"/>
            </w:pPr>
            <w:r>
              <w:t>目标压力（MPa）</w:t>
            </w:r>
          </w:p>
        </w:tc>
        <w:tc>
          <w:tcPr>
            <w:tcW w:w="3111" w:type="dxa"/>
            <w:tcBorders>
              <w:top w:val="single" w:color="auto" w:sz="8" w:space="0"/>
              <w:bottom w:val="single" w:color="auto" w:sz="8" w:space="0"/>
            </w:tcBorders>
            <w:shd w:val="clear" w:color="auto" w:fill="auto"/>
            <w:vAlign w:val="center"/>
          </w:tcPr>
          <w:p w14:paraId="63FD6C2E">
            <w:pPr>
              <w:pStyle w:val="178"/>
            </w:pPr>
            <w:r>
              <w:t>允许波动范围</w:t>
            </w:r>
          </w:p>
        </w:tc>
      </w:tr>
      <w:tr w14:paraId="0F738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tcBorders>
              <w:top w:val="single" w:color="auto" w:sz="8" w:space="0"/>
            </w:tcBorders>
            <w:shd w:val="clear" w:color="auto" w:fill="auto"/>
            <w:vAlign w:val="center"/>
          </w:tcPr>
          <w:p w14:paraId="4C0D80F7">
            <w:pPr>
              <w:pStyle w:val="56"/>
              <w:ind w:firstLine="0" w:firstLineChars="0"/>
              <w:jc w:val="center"/>
              <w:rPr>
                <w:rFonts w:hAnsi="宋体"/>
                <w:sz w:val="18"/>
                <w:szCs w:val="18"/>
              </w:rPr>
            </w:pPr>
            <w:r>
              <w:rPr>
                <w:rFonts w:hAnsi="宋体"/>
                <w:sz w:val="18"/>
                <w:szCs w:val="18"/>
              </w:rPr>
              <w:t>00:00-06:00</w:t>
            </w:r>
          </w:p>
        </w:tc>
        <w:tc>
          <w:tcPr>
            <w:tcW w:w="3112" w:type="dxa"/>
            <w:tcBorders>
              <w:top w:val="single" w:color="auto" w:sz="8" w:space="0"/>
            </w:tcBorders>
            <w:shd w:val="clear" w:color="auto" w:fill="auto"/>
            <w:vAlign w:val="center"/>
          </w:tcPr>
          <w:p w14:paraId="0343520F">
            <w:pPr>
              <w:pStyle w:val="56"/>
              <w:ind w:firstLine="0" w:firstLineChars="0"/>
              <w:jc w:val="center"/>
              <w:rPr>
                <w:rFonts w:hAnsi="宋体"/>
                <w:sz w:val="18"/>
                <w:szCs w:val="18"/>
              </w:rPr>
            </w:pPr>
            <w:r>
              <w:rPr>
                <w:rFonts w:hAnsi="宋体"/>
                <w:sz w:val="18"/>
                <w:szCs w:val="18"/>
              </w:rPr>
              <w:t>0.25</w:t>
            </w:r>
          </w:p>
        </w:tc>
        <w:tc>
          <w:tcPr>
            <w:tcW w:w="3111" w:type="dxa"/>
            <w:tcBorders>
              <w:top w:val="single" w:color="auto" w:sz="8" w:space="0"/>
            </w:tcBorders>
            <w:shd w:val="clear" w:color="auto" w:fill="auto"/>
            <w:vAlign w:val="center"/>
          </w:tcPr>
          <w:p w14:paraId="3BCF1DCD">
            <w:pPr>
              <w:pStyle w:val="56"/>
              <w:ind w:firstLine="0" w:firstLineChars="0"/>
              <w:jc w:val="center"/>
              <w:rPr>
                <w:rFonts w:hAnsi="宋体"/>
                <w:sz w:val="18"/>
                <w:szCs w:val="18"/>
              </w:rPr>
            </w:pPr>
            <w:r>
              <w:rPr>
                <w:rFonts w:hAnsi="宋体"/>
                <w:sz w:val="18"/>
                <w:szCs w:val="18"/>
              </w:rPr>
              <w:t>±0.03</w:t>
            </w:r>
          </w:p>
        </w:tc>
      </w:tr>
      <w:tr w14:paraId="6D881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1" w:type="dxa"/>
            <w:shd w:val="clear" w:color="auto" w:fill="auto"/>
            <w:vAlign w:val="center"/>
          </w:tcPr>
          <w:p w14:paraId="28948DBA">
            <w:pPr>
              <w:pStyle w:val="56"/>
              <w:ind w:firstLine="0" w:firstLineChars="0"/>
              <w:jc w:val="center"/>
              <w:rPr>
                <w:rFonts w:hAnsi="宋体"/>
                <w:sz w:val="18"/>
                <w:szCs w:val="18"/>
              </w:rPr>
            </w:pPr>
            <w:r>
              <w:rPr>
                <w:rFonts w:hAnsi="宋体"/>
                <w:sz w:val="18"/>
                <w:szCs w:val="18"/>
              </w:rPr>
              <w:t>06:00-24:00</w:t>
            </w:r>
          </w:p>
        </w:tc>
        <w:tc>
          <w:tcPr>
            <w:tcW w:w="3112" w:type="dxa"/>
            <w:shd w:val="clear" w:color="auto" w:fill="auto"/>
            <w:vAlign w:val="center"/>
          </w:tcPr>
          <w:p w14:paraId="379FEDA2">
            <w:pPr>
              <w:pStyle w:val="56"/>
              <w:ind w:firstLine="0" w:firstLineChars="0"/>
              <w:jc w:val="center"/>
              <w:rPr>
                <w:rFonts w:hAnsi="宋体"/>
                <w:sz w:val="18"/>
                <w:szCs w:val="18"/>
              </w:rPr>
            </w:pPr>
            <w:r>
              <w:rPr>
                <w:rFonts w:hAnsi="宋体"/>
                <w:sz w:val="18"/>
                <w:szCs w:val="18"/>
              </w:rPr>
              <w:t>0.35</w:t>
            </w:r>
          </w:p>
        </w:tc>
        <w:tc>
          <w:tcPr>
            <w:tcW w:w="3111" w:type="dxa"/>
            <w:shd w:val="clear" w:color="auto" w:fill="auto"/>
            <w:vAlign w:val="center"/>
          </w:tcPr>
          <w:p w14:paraId="37380935">
            <w:pPr>
              <w:pStyle w:val="56"/>
              <w:ind w:firstLine="0" w:firstLineChars="0"/>
              <w:jc w:val="center"/>
              <w:rPr>
                <w:rFonts w:hAnsi="宋体"/>
                <w:sz w:val="18"/>
                <w:szCs w:val="18"/>
              </w:rPr>
            </w:pPr>
            <w:r>
              <w:rPr>
                <w:rFonts w:hAnsi="宋体"/>
                <w:sz w:val="18"/>
                <w:szCs w:val="18"/>
              </w:rPr>
              <w:t>±0.05</w:t>
            </w:r>
          </w:p>
        </w:tc>
      </w:tr>
    </w:tbl>
    <w:p w14:paraId="13916A27">
      <w:pPr>
        <w:pStyle w:val="105"/>
        <w:spacing w:before="120" w:after="120" w:line="360" w:lineRule="auto"/>
        <w:rPr>
          <w:rFonts w:hint="eastAsia"/>
        </w:rPr>
      </w:pPr>
      <w:r>
        <w:rPr>
          <w:rFonts w:hint="eastAsia"/>
        </w:rPr>
        <w:t>数据管理平台</w:t>
      </w:r>
    </w:p>
    <w:p w14:paraId="5166353E">
      <w:pPr>
        <w:pStyle w:val="56"/>
        <w:spacing w:line="360" w:lineRule="auto"/>
        <w:ind w:firstLine="420"/>
        <w:rPr>
          <w:rFonts w:hint="eastAsia"/>
        </w:rPr>
      </w:pPr>
      <w:r>
        <w:rPr>
          <w:rFonts w:hint="eastAsia"/>
        </w:rPr>
        <w:t>功能模块：</w:t>
      </w:r>
    </w:p>
    <w:p w14:paraId="75A7B3D5">
      <w:pPr>
        <w:pStyle w:val="132"/>
        <w:spacing w:line="360" w:lineRule="auto"/>
        <w:rPr>
          <w:rFonts w:hint="eastAsia"/>
        </w:rPr>
      </w:pPr>
      <w:r>
        <w:rPr>
          <w:rFonts w:hint="eastAsia"/>
        </w:rPr>
        <w:t>实时监控、漏点地图、维修工单、绩效报表；</w:t>
      </w:r>
    </w:p>
    <w:p w14:paraId="67D33174">
      <w:pPr>
        <w:pStyle w:val="132"/>
        <w:spacing w:line="360" w:lineRule="auto"/>
        <w:rPr>
          <w:rFonts w:hint="eastAsia"/>
        </w:rPr>
      </w:pPr>
      <w:r>
        <w:rPr>
          <w:rFonts w:hint="eastAsia"/>
        </w:rPr>
        <w:t>支持与SCADA系统、智慧城市平台对接。</w:t>
      </w:r>
    </w:p>
    <w:p w14:paraId="06607A8F">
      <w:pPr>
        <w:pStyle w:val="56"/>
        <w:spacing w:line="360" w:lineRule="auto"/>
        <w:ind w:firstLine="420"/>
        <w:rPr>
          <w:rFonts w:hint="eastAsia"/>
        </w:rPr>
      </w:pPr>
      <w:r>
        <w:rPr>
          <w:rFonts w:hint="eastAsia"/>
        </w:rPr>
        <w:t>可视化要求：漏损热点区域用红/黄/绿三色分级显示，地图刷新延迟≤3秒。</w:t>
      </w:r>
    </w:p>
    <w:p w14:paraId="524F3A7A">
      <w:pPr>
        <w:pStyle w:val="104"/>
        <w:spacing w:before="240" w:after="240" w:line="360" w:lineRule="auto"/>
        <w:rPr>
          <w:rFonts w:hint="eastAsia"/>
        </w:rPr>
      </w:pPr>
      <w:bookmarkStart w:id="50" w:name="_Toc192619314"/>
      <w:r>
        <w:rPr>
          <w:rFonts w:hint="eastAsia"/>
        </w:rPr>
        <w:t>运维管理</w:t>
      </w:r>
      <w:bookmarkEnd w:id="50"/>
    </w:p>
    <w:p w14:paraId="099F89C7">
      <w:pPr>
        <w:pStyle w:val="105"/>
        <w:spacing w:before="120" w:after="120" w:line="360" w:lineRule="auto"/>
        <w:rPr>
          <w:rFonts w:hint="eastAsia"/>
        </w:rPr>
      </w:pPr>
      <w:r>
        <w:rPr>
          <w:rFonts w:hint="eastAsia"/>
        </w:rPr>
        <w:t>系统维护</w:t>
      </w:r>
    </w:p>
    <w:p w14:paraId="06171BEE">
      <w:pPr>
        <w:pStyle w:val="56"/>
        <w:spacing w:line="360" w:lineRule="auto"/>
        <w:ind w:firstLine="420"/>
        <w:rPr>
          <w:rFonts w:hint="eastAsia"/>
        </w:rPr>
      </w:pPr>
      <w:r>
        <w:rPr>
          <w:rFonts w:hint="eastAsia"/>
        </w:rPr>
        <w:t>每月对传感器校准1次，故障设备24小时内更换；</w:t>
      </w:r>
    </w:p>
    <w:p w14:paraId="1E889EA1">
      <w:pPr>
        <w:pStyle w:val="56"/>
        <w:spacing w:line="360" w:lineRule="auto"/>
        <w:ind w:firstLine="420"/>
        <w:rPr>
          <w:rFonts w:hint="eastAsia"/>
        </w:rPr>
      </w:pPr>
      <w:r>
        <w:rPr>
          <w:rFonts w:hint="eastAsia"/>
        </w:rPr>
        <w:t>数据存储周期≥5年，备份频率≥1次/天。</w:t>
      </w:r>
    </w:p>
    <w:p w14:paraId="773FC63D">
      <w:pPr>
        <w:pStyle w:val="105"/>
        <w:spacing w:before="120" w:after="120" w:line="360" w:lineRule="auto"/>
        <w:rPr>
          <w:rFonts w:hint="eastAsia"/>
        </w:rPr>
      </w:pPr>
      <w:r>
        <w:rPr>
          <w:rFonts w:hint="eastAsia"/>
        </w:rPr>
        <w:t>绩效评价</w:t>
      </w:r>
    </w:p>
    <w:p w14:paraId="76A8DBFC">
      <w:pPr>
        <w:pStyle w:val="56"/>
        <w:spacing w:line="360" w:lineRule="auto"/>
        <w:ind w:firstLine="420"/>
        <w:rPr>
          <w:rFonts w:hint="eastAsia"/>
        </w:rPr>
      </w:pPr>
      <w:r>
        <w:rPr>
          <w:rFonts w:hint="eastAsia"/>
        </w:rPr>
        <w:t>核心指标：</w:t>
      </w:r>
    </w:p>
    <w:p w14:paraId="5B67B009">
      <w:pPr>
        <w:pStyle w:val="132"/>
        <w:spacing w:line="360" w:lineRule="auto"/>
        <w:rPr>
          <w:rFonts w:hint="eastAsia"/>
        </w:rPr>
      </w:pPr>
      <w:r>
        <w:rPr>
          <w:rFonts w:hint="eastAsia"/>
        </w:rPr>
        <w:t>漏损率年降幅≥5%，漏点修复平均耗时≤12小时；</w:t>
      </w:r>
    </w:p>
    <w:p w14:paraId="024DE6F7">
      <w:pPr>
        <w:pStyle w:val="132"/>
        <w:spacing w:line="360" w:lineRule="auto"/>
      </w:pPr>
      <w:r>
        <w:rPr>
          <w:rFonts w:hint="eastAsia"/>
        </w:rPr>
        <w:t>监测系统覆盖率≥90%。</w:t>
      </w:r>
    </w:p>
    <w:bookmarkEnd w:id="23"/>
    <w:p w14:paraId="6A6B5336">
      <w:pPr>
        <w:pStyle w:val="56"/>
        <w:ind w:firstLine="0" w:firstLineChars="0"/>
        <w:jc w:val="center"/>
      </w:pPr>
      <w:bookmarkStart w:id="51" w:name="BookMark8"/>
      <w:r>
        <w:drawing>
          <wp:inline distT="0" distB="0" distL="0" distR="0">
            <wp:extent cx="1485900" cy="317500"/>
            <wp:effectExtent l="0" t="0" r="0" b="6350"/>
            <wp:docPr id="469918300" name="图片 5"/>
            <wp:cNvGraphicFramePr/>
            <a:graphic xmlns:a="http://schemas.openxmlformats.org/drawingml/2006/main">
              <a:graphicData uri="http://schemas.openxmlformats.org/drawingml/2006/picture">
                <pic:pic xmlns:pic="http://schemas.openxmlformats.org/drawingml/2006/picture">
                  <pic:nvPicPr>
                    <pic:cNvPr id="469918300" name="图片 5"/>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1"/>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36476">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B242">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E7F3C">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5870F">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8238">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6E5FC">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0C1F">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D719F">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2805">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55553">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C8F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BF4E1">
    <w:pPr>
      <w:pStyle w:val="62"/>
    </w:pPr>
    <w:r>
      <w:fldChar w:fldCharType="begin"/>
    </w:r>
    <w:r>
      <w:instrText xml:space="preserve"> STYLEREF  标准文件_文件编号 \* MERGEFORMAT </w:instrText>
    </w:r>
    <w:r>
      <w:fldChar w:fldCharType="separate"/>
    </w:r>
    <w:r>
      <w:t>T/XZBX 0007—2025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AAA40">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B136">
    <w:pPr>
      <w:pStyle w:val="61"/>
    </w:pPr>
    <w:r>
      <w:fldChar w:fldCharType="begin"/>
    </w:r>
    <w:r>
      <w:instrText xml:space="preserve"> STYLEREF  标准文件_文件编号  \* MERGEFORMAT </w:instrText>
    </w:r>
    <w:r>
      <w:fldChar w:fldCharType="separate"/>
    </w:r>
    <w:r>
      <w:t>T/XZBX 0007—2025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0099E">
    <w:pPr>
      <w:pStyle w:val="62"/>
    </w:pPr>
    <w:r>
      <w:fldChar w:fldCharType="begin"/>
    </w:r>
    <w:r>
      <w:instrText xml:space="preserve"> STYLEREF  标准文件_文件编号 \* MERGEFORMAT </w:instrText>
    </w:r>
    <w:r>
      <w:fldChar w:fldCharType="separate"/>
    </w:r>
    <w:r>
      <w:t>T/XZBX 0007—2025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8B70">
    <w:pPr>
      <w:pStyle w:val="61"/>
    </w:pPr>
    <w:r>
      <w:fldChar w:fldCharType="begin"/>
    </w:r>
    <w:r>
      <w:instrText xml:space="preserve"> STYLEREF  标准文件_文件编号  \* MERGEFORMAT </w:instrText>
    </w:r>
    <w:r>
      <w:fldChar w:fldCharType="separate"/>
    </w:r>
    <w:r>
      <w:t>T/XZBX 0007—2025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8FEC">
    <w:pPr>
      <w:pStyle w:val="62"/>
    </w:pPr>
    <w:r>
      <w:fldChar w:fldCharType="begin"/>
    </w:r>
    <w:r>
      <w:instrText xml:space="preserve"> STYLEREF  标准文件_文件编号 \* MERGEFORMAT </w:instrText>
    </w:r>
    <w:r>
      <w:fldChar w:fldCharType="separate"/>
    </w:r>
    <w:r>
      <w:t>T/XZBX 0007—2025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D3233">
    <w:pPr>
      <w:pStyle w:val="61"/>
    </w:pPr>
    <w:r>
      <w:fldChar w:fldCharType="begin"/>
    </w:r>
    <w:r>
      <w:instrText xml:space="preserve"> STYLEREF  标准文件_文件编号  \* MERGEFORMAT </w:instrText>
    </w:r>
    <w:r>
      <w:fldChar w:fldCharType="separate"/>
    </w:r>
    <w:r>
      <w:t>T/XZBX 0007—2025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1CBE5">
    <w:pPr>
      <w:pStyle w:val="62"/>
    </w:pPr>
    <w:r>
      <w:fldChar w:fldCharType="begin"/>
    </w:r>
    <w:r>
      <w:instrText xml:space="preserve"> STYLEREF  标准文件_文件编号 \* MERGEFORMAT </w:instrText>
    </w:r>
    <w:r>
      <w:fldChar w:fldCharType="separate"/>
    </w:r>
    <w:r>
      <w:t>T/XZBX 0007—2025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F867">
    <w:pPr>
      <w:pStyle w:val="61"/>
    </w:pPr>
    <w:r>
      <w:fldChar w:fldCharType="begin"/>
    </w:r>
    <w:r>
      <w:instrText xml:space="preserve"> STYLEREF  标准文件_文件编号  \* MERGEFORMAT </w:instrText>
    </w:r>
    <w:r>
      <w:fldChar w:fldCharType="separate"/>
    </w:r>
    <w:r>
      <w:t>T/XZBX 0007—2025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0NbOwsDQ2M7CwNDVW0lEKTi0uzszPAykwrAUAxUg+xiwAAAA="/>
  </w:docVars>
  <w:rsids>
    <w:rsidRoot w:val="0043639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8AF"/>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1D8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39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615B"/>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724"/>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4E36"/>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F6D"/>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A2E"/>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797"/>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43FB"/>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22B"/>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AA9516B"/>
    <w:rsid w:val="4EF00E4B"/>
    <w:rsid w:val="58E15F85"/>
    <w:rsid w:val="65AC5544"/>
    <w:rsid w:val="76854E65"/>
    <w:rsid w:val="7E4D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D3DEBE09D8F4F53A3450ADB474637A0"/>
        <w:style w:val=""/>
        <w:category>
          <w:name w:val="常规"/>
          <w:gallery w:val="placeholder"/>
        </w:category>
        <w:types>
          <w:type w:val="bbPlcHdr"/>
        </w:types>
        <w:behaviors>
          <w:behavior w:val="content"/>
        </w:behaviors>
        <w:description w:val=""/>
        <w:guid w:val="{934547DD-58BC-4D74-AB5E-2E606EBE51AB}"/>
      </w:docPartPr>
      <w:docPartBody>
        <w:p w14:paraId="431DB59A">
          <w:pPr>
            <w:pStyle w:val="5"/>
          </w:pPr>
          <w:r>
            <w:rPr>
              <w:rStyle w:val="4"/>
              <w:rFonts w:hint="eastAsia"/>
            </w:rPr>
            <w:t>单击或点击此处输入文字。</w:t>
          </w:r>
        </w:p>
      </w:docPartBody>
    </w:docPart>
    <w:docPart>
      <w:docPartPr>
        <w:name w:val="9E324B0745F04EFEA3AE571594A29920"/>
        <w:style w:val=""/>
        <w:category>
          <w:name w:val="常规"/>
          <w:gallery w:val="placeholder"/>
        </w:category>
        <w:types>
          <w:type w:val="bbPlcHdr"/>
        </w:types>
        <w:behaviors>
          <w:behavior w:val="content"/>
        </w:behaviors>
        <w:description w:val=""/>
        <w:guid w:val="{8615505A-4C68-4E34-983C-3A301B194A2A}"/>
      </w:docPartPr>
      <w:docPartBody>
        <w:p w14:paraId="2EC552C1">
          <w:pPr>
            <w:pStyle w:val="6"/>
          </w:pPr>
          <w:r>
            <w:rPr>
              <w:rStyle w:val="4"/>
              <w:rFonts w:hint="eastAsia"/>
            </w:rPr>
            <w:t>选择一项。</w:t>
          </w:r>
        </w:p>
      </w:docPartBody>
    </w:docPart>
    <w:docPart>
      <w:docPartPr>
        <w:name w:val="891A8E507974422F84BE01D499A11E3E"/>
        <w:style w:val=""/>
        <w:category>
          <w:name w:val="常规"/>
          <w:gallery w:val="placeholder"/>
        </w:category>
        <w:types>
          <w:type w:val="bbPlcHdr"/>
        </w:types>
        <w:behaviors>
          <w:behavior w:val="content"/>
        </w:behaviors>
        <w:description w:val=""/>
        <w:guid w:val="{F0A9C6BB-3A2F-4A59-B9E1-4BAB563C4095}"/>
      </w:docPartPr>
      <w:docPartBody>
        <w:p w14:paraId="6624A79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D2"/>
    <w:rsid w:val="004A0F7A"/>
    <w:rsid w:val="0098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D3DEBE09D8F4F53A3450ADB474637A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324B0745F04EFEA3AE571594A299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91A8E507974422F84BE01D499A11E3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1206</Words>
  <Characters>1393</Characters>
  <Lines>261</Lines>
  <Paragraphs>235</Paragraphs>
  <TotalTime>251</TotalTime>
  <ScaleCrop>false</ScaleCrop>
  <LinksUpToDate>false</LinksUpToDate>
  <CharactersWithSpaces>1446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2025-03-11T08:54:00Z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2025-03-20T02:10:19Z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2052-12.1.0.20305</vt:lpwstr>
  </property>
  <property fmtid="{D5CDD505-2E9C-101B-9397-08002B2CF9AE}" pid="17" name="ICV">
    <vt:lpwstr>0AC20D7C58614178A4C3BB0533C61555_12</vt:lpwstr>
  </property>
</Properties>
</file>