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27.01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27.010</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F 1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F 10</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9"/>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0009</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05370FFC">
      <w:pPr>
        <w:pStyle w:val="197"/>
        <w:framePr w:h="6974" w:hRule="exact" w:wrap="around" w:x="1419" w:anchorLock="1"/>
        <w:rPr>
          <w:sz w:val="48"/>
          <w:szCs w:val="48"/>
        </w:rPr>
      </w:pPr>
      <w:r>
        <w:rPr>
          <w:sz w:val="48"/>
          <w:szCs w:val="48"/>
        </w:rPr>
        <w:fldChar w:fldCharType="begin">
          <w:ffData>
            <w:name w:val="CSTD_NAME"/>
            <w:enabled/>
            <w:calcOnExit w:val="0"/>
            <w:textInput>
              <w:default w:val="机电系统能效评估与优化管理标准"/>
            </w:textInput>
          </w:ffData>
        </w:fldChar>
      </w:r>
      <w:bookmarkStart w:id="7" w:name="CSTD_NAME"/>
      <w:r>
        <w:rPr>
          <w:sz w:val="48"/>
          <w:szCs w:val="48"/>
        </w:rPr>
        <w:instrText xml:space="preserve"> FORMTEXT </w:instrText>
      </w:r>
      <w:r>
        <w:rPr>
          <w:sz w:val="48"/>
          <w:szCs w:val="48"/>
        </w:rPr>
        <w:fldChar w:fldCharType="separate"/>
      </w:r>
      <w:r>
        <w:rPr>
          <w:sz w:val="48"/>
          <w:szCs w:val="48"/>
        </w:rPr>
        <w:t>机电系统能效评估与优化管理标准</w:t>
      </w:r>
      <w:r>
        <w:rPr>
          <w:sz w:val="48"/>
          <w:szCs w:val="48"/>
        </w:rPr>
        <w:fldChar w:fldCharType="end"/>
      </w:r>
      <w:bookmarkEnd w:id="7"/>
    </w:p>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tandard for energy efficiency assessment and optimization management of electromechanical system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Standard for energy efficiency assessment and optimization management of electromechanical systems</w:t>
      </w:r>
      <w:r>
        <w:rPr>
          <w:rFonts w:ascii="黑体" w:hAnsi="黑体" w:eastAsia="黑体"/>
          <w:sz w:val="36"/>
          <w:szCs w:val="36"/>
        </w:rPr>
        <w:fldChar w:fldCharType="end"/>
      </w:r>
      <w:bookmarkEnd w:id="8"/>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823CA6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25D63019">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4E18E9D">
      <w:pPr>
        <w:pStyle w:val="91"/>
        <w:spacing w:after="360"/>
      </w:pPr>
      <w:bookmarkStart w:id="19" w:name="BookMark1"/>
      <w:r>
        <w:rPr>
          <w:rFonts w:hint="eastAsia"/>
          <w:spacing w:val="320"/>
        </w:rPr>
        <w:t>目</w:t>
      </w:r>
      <w:r>
        <w:rPr>
          <w:rFonts w:hint="eastAsia"/>
        </w:rPr>
        <w:t>次</w:t>
      </w:r>
    </w:p>
    <w:p w14:paraId="015E187F">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"_Toc192679054" </w:instrText>
      </w:r>
      <w:r>
        <w:fldChar w:fldCharType="separate"/>
      </w:r>
      <w:r>
        <w:rPr>
          <w:rStyle w:val="32"/>
        </w:rPr>
        <w:t>前言</w:t>
      </w:r>
      <w:r>
        <w:tab/>
      </w:r>
      <w:r>
        <w:fldChar w:fldCharType="begin"/>
      </w:r>
      <w:r>
        <w:instrText xml:space="preserve"> PAGEREF _Toc192679054 \h </w:instrText>
      </w:r>
      <w:r>
        <w:fldChar w:fldCharType="separate"/>
      </w:r>
      <w:r>
        <w:t>III</w:t>
      </w:r>
      <w:r>
        <w:fldChar w:fldCharType="end"/>
      </w:r>
      <w:r>
        <w:fldChar w:fldCharType="end"/>
      </w:r>
    </w:p>
    <w:p w14:paraId="11DE805A">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"_Toc192679055" </w:instrText>
      </w:r>
      <w:r>
        <w:fldChar w:fldCharType="separate"/>
      </w:r>
      <w:r>
        <w:rPr>
          <w:rStyle w:val="32"/>
        </w:rPr>
        <w:t>引言</w:t>
      </w:r>
      <w:r>
        <w:tab/>
      </w:r>
      <w:r>
        <w:fldChar w:fldCharType="begin"/>
      </w:r>
      <w:r>
        <w:instrText xml:space="preserve"> PAGEREF _Toc192679055 \h </w:instrText>
      </w:r>
      <w:r>
        <w:fldChar w:fldCharType="separate"/>
      </w:r>
      <w:r>
        <w:t>V</w:t>
      </w:r>
      <w:r>
        <w:fldChar w:fldCharType="end"/>
      </w:r>
      <w:r>
        <w:fldChar w:fldCharType="end"/>
      </w:r>
    </w:p>
    <w:p w14:paraId="1FEEC9BA">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"_Toc192679056" </w:instrText>
      </w:r>
      <w:r>
        <w:fldChar w:fldCharType="separate"/>
      </w:r>
      <w:r>
        <w:rPr>
          <w:rStyle w:val="32"/>
        </w:rPr>
        <w:t>1  范围</w:t>
      </w:r>
      <w:r>
        <w:tab/>
      </w:r>
      <w:r>
        <w:fldChar w:fldCharType="begin"/>
      </w:r>
      <w:r>
        <w:instrText xml:space="preserve"> PAGEREF _Toc192679056 \h </w:instrText>
      </w:r>
      <w:r>
        <w:fldChar w:fldCharType="separate"/>
      </w:r>
      <w:r>
        <w:t>1</w:t>
      </w:r>
      <w:r>
        <w:fldChar w:fldCharType="end"/>
      </w:r>
      <w:r>
        <w:fldChar w:fldCharType="end"/>
      </w:r>
    </w:p>
    <w:p w14:paraId="26BD990F">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"_Toc192679057" </w:instrText>
      </w:r>
      <w:r>
        <w:fldChar w:fldCharType="separate"/>
      </w:r>
      <w:r>
        <w:rPr>
          <w:rStyle w:val="32"/>
        </w:rPr>
        <w:t>2  规范性引用文件</w:t>
      </w:r>
      <w:r>
        <w:tab/>
      </w:r>
      <w:r>
        <w:fldChar w:fldCharType="begin"/>
      </w:r>
      <w:r>
        <w:instrText xml:space="preserve"> PAGEREF _Toc192679057 \h </w:instrText>
      </w:r>
      <w:r>
        <w:fldChar w:fldCharType="separate"/>
      </w:r>
      <w:r>
        <w:t>1</w:t>
      </w:r>
      <w:r>
        <w:fldChar w:fldCharType="end"/>
      </w:r>
      <w:r>
        <w:fldChar w:fldCharType="end"/>
      </w:r>
    </w:p>
    <w:p w14:paraId="52A5A449">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"_Toc192679058" </w:instrText>
      </w:r>
      <w:r>
        <w:fldChar w:fldCharType="separate"/>
      </w:r>
      <w:r>
        <w:rPr>
          <w:rStyle w:val="32"/>
        </w:rPr>
        <w:t>3  术语和定义</w:t>
      </w:r>
      <w:r>
        <w:tab/>
      </w:r>
      <w:r>
        <w:fldChar w:fldCharType="begin"/>
      </w:r>
      <w:r>
        <w:instrText xml:space="preserve"> PAGEREF _Toc192679058 \h </w:instrText>
      </w:r>
      <w:r>
        <w:fldChar w:fldCharType="separate"/>
      </w:r>
      <w:r>
        <w:t>1</w:t>
      </w:r>
      <w:r>
        <w:fldChar w:fldCharType="end"/>
      </w:r>
      <w:r>
        <w:fldChar w:fldCharType="end"/>
      </w:r>
    </w:p>
    <w:p w14:paraId="379C5FD2">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"_Toc192679059" </w:instrText>
      </w:r>
      <w:r>
        <w:fldChar w:fldCharType="separate"/>
      </w:r>
      <w:r>
        <w:rPr>
          <w:rStyle w:val="32"/>
        </w:rPr>
        <w:t>4  总则</w:t>
      </w:r>
      <w:r>
        <w:tab/>
      </w:r>
      <w:r>
        <w:fldChar w:fldCharType="begin"/>
      </w:r>
      <w:r>
        <w:instrText xml:space="preserve"> PAGEREF _Toc192679059 \h </w:instrText>
      </w:r>
      <w:r>
        <w:fldChar w:fldCharType="separate"/>
      </w:r>
      <w:r>
        <w:t>1</w:t>
      </w:r>
      <w:r>
        <w:fldChar w:fldCharType="end"/>
      </w:r>
      <w:r>
        <w:fldChar w:fldCharType="end"/>
      </w:r>
    </w:p>
    <w:p w14:paraId="0514CE9D">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"_Toc192679060" </w:instrText>
      </w:r>
      <w:r>
        <w:fldChar w:fldCharType="separate"/>
      </w:r>
      <w:r>
        <w:rPr>
          <w:rStyle w:val="32"/>
        </w:rPr>
        <w:t>5  能效评估技术要求</w:t>
      </w:r>
      <w:r>
        <w:tab/>
      </w:r>
      <w:r>
        <w:fldChar w:fldCharType="begin"/>
      </w:r>
      <w:r>
        <w:instrText xml:space="preserve"> PAGEREF _Toc192679060 \h </w:instrText>
      </w:r>
      <w:r>
        <w:fldChar w:fldCharType="separate"/>
      </w:r>
      <w:r>
        <w:t>1</w:t>
      </w:r>
      <w:r>
        <w:fldChar w:fldCharType="end"/>
      </w:r>
      <w:r>
        <w:fldChar w:fldCharType="end"/>
      </w:r>
    </w:p>
    <w:p w14:paraId="0A470FEA">
      <w:pPr>
        <w:pStyle w:val="19"/>
        <w:tabs>
          <w:tab w:val="right" w:leader="dot" w:pos="9344"/>
        </w:tabs>
        <w:rPr>
          <w:rFonts w:asciiTheme="minorHAnsi" w:hAnsiTheme="minorHAnsi" w:eastAsiaTheme="minorEastAsia" w:cstheme="minorBidi"/>
          <w:szCs w:val="22"/>
        </w:rPr>
      </w:pPr>
      <w:r>
        <w:fldChar w:fldCharType="begin"/>
      </w:r>
      <w:r>
        <w:instrText xml:space="preserve"> HYPERLINK \l "_Toc192679061" </w:instrText>
      </w:r>
      <w:r>
        <w:fldChar w:fldCharType="separate"/>
      </w:r>
      <w:r>
        <w:rPr>
          <w:rStyle w:val="32"/>
        </w:rPr>
        <w:t>6  优化管理技术要求</w:t>
      </w:r>
      <w:r>
        <w:tab/>
      </w:r>
      <w:r>
        <w:fldChar w:fldCharType="begin"/>
      </w:r>
      <w:r>
        <w:instrText xml:space="preserve"> PAGEREF _Toc192679061 \h </w:instrText>
      </w:r>
      <w:r>
        <w:fldChar w:fldCharType="separate"/>
      </w:r>
      <w:r>
        <w:t>2</w:t>
      </w:r>
      <w:r>
        <w:fldChar w:fldCharType="end"/>
      </w:r>
      <w:r>
        <w:fldChar w:fldCharType="end"/>
      </w:r>
    </w:p>
    <w:p w14:paraId="1A8CE1B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1313AC79">
      <w:pPr>
        <w:pStyle w:val="89"/>
        <w:spacing w:before="900" w:after="360"/>
      </w:pPr>
      <w:bookmarkStart w:id="20" w:name="_Toc192679054"/>
      <w:bookmarkStart w:id="21" w:name="BookMark2"/>
      <w:r>
        <w:rPr>
          <w:spacing w:val="320"/>
        </w:rPr>
        <w:t>前</w:t>
      </w:r>
      <w:r>
        <w:t>言</w:t>
      </w:r>
      <w:bookmarkEnd w:id="20"/>
    </w:p>
    <w:p w14:paraId="2F3B5592">
      <w:pPr>
        <w:pStyle w:val="56"/>
        <w:spacing w:line="360" w:lineRule="auto"/>
        <w:ind w:firstLine="420"/>
      </w:pPr>
      <w:r>
        <w:rPr>
          <w:rFonts w:hint="eastAsia"/>
        </w:rPr>
        <w:t>本文件按照GB/T 1.1—2020《标准化工作导则  第1部分：标准化文件的结构和起草规则》的规定起草。</w:t>
      </w:r>
    </w:p>
    <w:p w14:paraId="2C87ACC5">
      <w:pPr>
        <w:pStyle w:val="56"/>
        <w:spacing w:line="360" w:lineRule="auto"/>
        <w:ind w:firstLine="420"/>
      </w:pPr>
      <w:r>
        <w:rPr>
          <w:rFonts w:hint="eastAsia"/>
        </w:rPr>
        <w:t>请注意本文件的某些内容可能涉及专利。本文件的发布机构不承担识别专利的责任。</w:t>
      </w:r>
    </w:p>
    <w:p w14:paraId="6BFBB989">
      <w:pPr>
        <w:pStyle w:val="56"/>
        <w:spacing w:line="360" w:lineRule="auto"/>
        <w:ind w:firstLine="420"/>
      </w:pPr>
      <w:r>
        <w:rPr>
          <w:rFonts w:hint="eastAsia"/>
        </w:rPr>
        <w:t>本文件由西安市质量与标准化协会提出并归口。</w:t>
      </w:r>
    </w:p>
    <w:p w14:paraId="2436619F">
      <w:pPr>
        <w:pStyle w:val="56"/>
        <w:spacing w:line="360" w:lineRule="auto"/>
        <w:ind w:firstLine="420"/>
      </w:pPr>
      <w:r>
        <w:rPr>
          <w:rFonts w:hint="eastAsia"/>
        </w:rPr>
        <w:t>本文件起草单位：怀化学院、内蒙古君正能源化工集团股份有限公司、鄂尔多斯市君正能源化工有限公司热电分公司、广西壮族自治区特种设备检验研究院、山西世纪中试电力科学技术有限公司、唐山市陡河水库事务中心、承德市宽城满族自治县医院、宽城满族自治县应急管理局、山东省特种设备检验研究院集团有限公司、中交一航局第三工程有限公司、唐山市收费公路管理中心、阜新市产业转型振兴服务中心、冀中能源股份有限公司东庞矿西庞井机电科。</w:t>
      </w:r>
    </w:p>
    <w:p w14:paraId="2C5019BD">
      <w:pPr>
        <w:pStyle w:val="56"/>
        <w:spacing w:line="360" w:lineRule="auto"/>
        <w:ind w:firstLine="420"/>
      </w:pPr>
      <w:r>
        <w:rPr>
          <w:rFonts w:hint="eastAsia"/>
        </w:rPr>
        <w:t>本文件主要起草人：吴小云、吴国强、窦东官、谢瑾讯、昝永宁、吴伟、刘磐松、王百路、李德山、丁存有、赵谦、温浩、赵永强。</w:t>
      </w:r>
    </w:p>
    <w:p w14:paraId="7890DFCF">
      <w:pPr>
        <w:pStyle w:val="56"/>
        <w:spacing w:line="360" w:lineRule="auto"/>
        <w:ind w:firstLine="420"/>
      </w:pPr>
    </w:p>
    <w:p w14:paraId="4823F1D0">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3" w:name="_GoBack"/>
      <w:bookmarkEnd w:id="53"/>
    </w:p>
    <w:bookmarkEnd w:id="21"/>
    <w:p w14:paraId="45F4493B">
      <w:pPr>
        <w:pStyle w:val="89"/>
        <w:spacing w:after="360"/>
      </w:pPr>
      <w:bookmarkStart w:id="22" w:name="_Toc192679055"/>
      <w:bookmarkStart w:id="23" w:name="BookMark3"/>
      <w:r>
        <w:rPr>
          <w:spacing w:val="320"/>
        </w:rPr>
        <w:t>引</w:t>
      </w:r>
      <w:r>
        <w:t>言</w:t>
      </w:r>
      <w:bookmarkEnd w:id="22"/>
    </w:p>
    <w:p w14:paraId="7FCCDE7A">
      <w:pPr>
        <w:pStyle w:val="56"/>
        <w:spacing w:line="360" w:lineRule="auto"/>
        <w:ind w:firstLine="420"/>
      </w:pPr>
      <w:r>
        <w:rPr>
          <w:rFonts w:hint="eastAsia"/>
        </w:rPr>
        <w:t>机电系统广泛应用于工业、建筑、市政、交通等多个领域，其能效水平直接影响能源利用效率、运行成本和碳排放。随着能源结构优化和“双碳”目标的推进，提高机电系统的能效已成为节能降耗和可持续发展的重要方向。然而，受设备老化、运行管理不当、系统匹配性不足等因素影响，许多机电系统的能效仍存在优化空间。因此，建立科学合理的能效评估方法和优化管理体系，对提升机电系统整体运行效率具有重要意义。</w:t>
      </w:r>
    </w:p>
    <w:p w14:paraId="7D677DF3">
      <w:pPr>
        <w:pStyle w:val="56"/>
        <w:spacing w:line="360" w:lineRule="auto"/>
        <w:ind w:firstLine="420"/>
      </w:pPr>
      <w:r>
        <w:rPr>
          <w:rFonts w:hint="eastAsia"/>
        </w:rPr>
        <w:t>本文件旨在规范机电系统能效评估与优化管理的技术要求，明确能效测评方法、关键指标、优化策略及管理措施，以提升机电系统运行的经济性和可持续性。本文件适用于工业企业、公共建筑、市政基础设施及其他机电系统广泛应用的场景，涵盖能效数据采集、系统分析、智能控制、节能改造及优化管理等方面，为机电系统的设计、运维及改造提供科学指导。</w:t>
      </w:r>
    </w:p>
    <w:p w14:paraId="616B2FE7">
      <w:pPr>
        <w:pStyle w:val="56"/>
        <w:ind w:firstLine="420"/>
      </w:pPr>
    </w:p>
    <w:p w14:paraId="36B16AFA">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0CD91D9E">
      <w:pPr>
        <w:spacing w:line="20" w:lineRule="exact"/>
        <w:jc w:val="center"/>
        <w:rPr>
          <w:rFonts w:ascii="黑体" w:hAnsi="黑体" w:eastAsia="黑体"/>
          <w:sz w:val="32"/>
          <w:szCs w:val="32"/>
        </w:rPr>
      </w:pPr>
      <w:bookmarkStart w:id="24"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625ABE7A">
          <w:pPr>
            <w:pStyle w:val="177"/>
          </w:pPr>
          <w:bookmarkStart w:id="25" w:name="NEW_STAND_NAME"/>
          <w:r>
            <w:rPr>
              <w:rFonts w:hint="eastAsia"/>
            </w:rPr>
            <w:t>机电系统能效评估与优化管理标准</w:t>
          </w:r>
        </w:p>
      </w:sdtContent>
    </w:sdt>
    <w:bookmarkEnd w:id="25"/>
    <w:p w14:paraId="4E4A29A9">
      <w:pPr>
        <w:pStyle w:val="104"/>
        <w:spacing w:before="240" w:after="240" w:line="360" w:lineRule="auto"/>
      </w:pPr>
      <w:bookmarkStart w:id="26" w:name="_Toc26648465"/>
      <w:bookmarkStart w:id="27" w:name="_Toc24884211"/>
      <w:bookmarkStart w:id="28" w:name="_Toc17233333"/>
      <w:bookmarkStart w:id="29" w:name="_Toc26986530"/>
      <w:bookmarkStart w:id="30" w:name="_Toc97192964"/>
      <w:bookmarkStart w:id="31" w:name="_Toc192679056"/>
      <w:bookmarkStart w:id="32" w:name="_Toc17233325"/>
      <w:bookmarkStart w:id="33" w:name="_Toc24884218"/>
      <w:bookmarkStart w:id="34" w:name="_Toc26986771"/>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14:paraId="338670BC">
      <w:pPr>
        <w:pStyle w:val="56"/>
        <w:spacing w:line="360" w:lineRule="auto"/>
        <w:ind w:firstLine="420"/>
      </w:pPr>
      <w:bookmarkStart w:id="36" w:name="_Toc24884219"/>
      <w:bookmarkStart w:id="37" w:name="_Toc17233326"/>
      <w:bookmarkStart w:id="38" w:name="_Toc26648466"/>
      <w:bookmarkStart w:id="39" w:name="_Toc17233334"/>
      <w:bookmarkStart w:id="40" w:name="_Toc24884212"/>
      <w:r>
        <w:rPr>
          <w:rFonts w:hint="eastAsia"/>
        </w:rPr>
        <w:t>本文件规定了机电系统的能效评估技术要求以及优化管理技术要求。</w:t>
      </w:r>
    </w:p>
    <w:p w14:paraId="0E2D0A5F">
      <w:pPr>
        <w:pStyle w:val="56"/>
        <w:spacing w:line="360" w:lineRule="auto"/>
        <w:ind w:firstLine="420"/>
      </w:pPr>
      <w:r>
        <w:rPr>
          <w:rFonts w:hint="eastAsia"/>
        </w:rPr>
        <w:t>本文件适用于民用建筑、工业厂房中机电系统的能效评价、改造设计与运行优化，涵盖暖通空调、电梯、给排水、照明等子系统。</w:t>
      </w:r>
    </w:p>
    <w:p w14:paraId="70F3870C">
      <w:pPr>
        <w:pStyle w:val="104"/>
        <w:spacing w:before="240" w:after="240" w:line="360" w:lineRule="auto"/>
      </w:pPr>
      <w:bookmarkStart w:id="41" w:name="_Toc192679057"/>
      <w:bookmarkStart w:id="42" w:name="_Toc26986772"/>
      <w:bookmarkStart w:id="43" w:name="_Toc26718931"/>
      <w:bookmarkStart w:id="44" w:name="_Toc26986531"/>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74917B">
      <w:pPr>
        <w:pStyle w:val="56"/>
        <w:spacing w:line="360" w:lineRule="auto"/>
        <w:ind w:firstLine="420"/>
      </w:pPr>
      <w:r>
        <w:rPr>
          <w:rFonts w:hint="eastAsia"/>
        </w:rPr>
        <w:t>GB/T 50378 绿色建筑评价标准</w:t>
      </w:r>
    </w:p>
    <w:p w14:paraId="22FDFFF1">
      <w:pPr>
        <w:pStyle w:val="104"/>
        <w:spacing w:before="240" w:after="240" w:line="360" w:lineRule="auto"/>
      </w:pPr>
      <w:bookmarkStart w:id="46" w:name="_Toc97192966"/>
      <w:bookmarkStart w:id="47" w:name="_Toc192679058"/>
      <w:r>
        <w:rPr>
          <w:rFonts w:hint="eastAsia"/>
          <w:szCs w:val="21"/>
        </w:rPr>
        <w:t>术语和定义</w:t>
      </w:r>
      <w:bookmarkEnd w:id="46"/>
      <w:bookmarkEnd w:id="47"/>
    </w:p>
    <w:p w14:paraId="05507561">
      <w:pPr>
        <w:pStyle w:val="56"/>
        <w:tabs>
          <w:tab w:val="left" w:pos="6382"/>
        </w:tabs>
        <w:spacing w:line="360" w:lineRule="auto"/>
        <w:ind w:firstLine="420"/>
      </w:pPr>
      <w:bookmarkStart w:id="48" w:name="_Toc26986532"/>
      <w:bookmarkEnd w:id="48"/>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GB/T 50378</w:t>
          </w:r>
          <w:r>
            <w:t>界定的以及下列术语和定义适用于本文件。</w:t>
          </w:r>
        </w:sdtContent>
      </w:sdt>
      <w:r>
        <w:tab/>
      </w:r>
    </w:p>
    <w:p w14:paraId="1A45996C">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系统能效比</w:t>
      </w:r>
      <w:r>
        <w:rPr>
          <w:rFonts w:hint="eastAsia" w:ascii="黑体" w:hAnsi="黑体" w:eastAsia="黑体"/>
        </w:rPr>
        <w:t xml:space="preserve"> </w:t>
      </w:r>
      <w:r>
        <w:rPr>
          <w:rFonts w:ascii="黑体" w:hAnsi="黑体" w:eastAsia="黑体"/>
        </w:rPr>
        <w:t>system energy efficiency ratio</w:t>
      </w:r>
    </w:p>
    <w:p w14:paraId="1659C6FC">
      <w:pPr>
        <w:pStyle w:val="56"/>
        <w:spacing w:line="360" w:lineRule="auto"/>
        <w:ind w:firstLine="420"/>
      </w:pPr>
      <w:r>
        <w:t>机电系统单位能耗下的有效输出能量，如暖通空调系统的制冷量/总耗电量。</w:t>
      </w:r>
    </w:p>
    <w:p w14:paraId="741DA561">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基准能耗</w:t>
      </w:r>
      <w:r>
        <w:rPr>
          <w:rFonts w:hint="eastAsia" w:ascii="黑体" w:hAnsi="黑体" w:eastAsia="黑体"/>
        </w:rPr>
        <w:t xml:space="preserve"> b</w:t>
      </w:r>
      <w:r>
        <w:rPr>
          <w:rFonts w:ascii="黑体" w:hAnsi="黑体" w:eastAsia="黑体"/>
        </w:rPr>
        <w:t>aseline energy consumption</w:t>
      </w:r>
    </w:p>
    <w:p w14:paraId="0D338240">
      <w:pPr>
        <w:pStyle w:val="56"/>
        <w:spacing w:line="360" w:lineRule="auto"/>
        <w:ind w:firstLine="420"/>
      </w:pPr>
      <w:r>
        <w:t>在特定工况下，机电系统的理论合理能耗值，用于对比实际能耗。</w:t>
      </w:r>
    </w:p>
    <w:p w14:paraId="02354756">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负荷率 load rate</w:t>
      </w:r>
    </w:p>
    <w:p w14:paraId="0C18766B">
      <w:pPr>
        <w:pStyle w:val="56"/>
        <w:spacing w:line="360" w:lineRule="auto"/>
        <w:ind w:firstLine="420"/>
      </w:pPr>
      <w:r>
        <w:t>设备实际运行负荷与额定负荷的百分比，反映设备运行匹配度。</w:t>
      </w:r>
    </w:p>
    <w:p w14:paraId="514F13CC">
      <w:pPr>
        <w:pStyle w:val="104"/>
        <w:spacing w:before="240" w:after="240" w:line="360" w:lineRule="auto"/>
      </w:pPr>
      <w:bookmarkStart w:id="49" w:name="_Toc192679059"/>
      <w:r>
        <w:t>总则</w:t>
      </w:r>
      <w:bookmarkEnd w:id="49"/>
    </w:p>
    <w:p w14:paraId="7E538EC7">
      <w:pPr>
        <w:pStyle w:val="56"/>
        <w:spacing w:line="360" w:lineRule="auto"/>
        <w:ind w:firstLine="420"/>
      </w:pPr>
      <w:r>
        <w:t>能效评估应遵循“全生命周期分析、数据驱动决策”原则，覆盖设计、运行、维护三阶段。</w:t>
      </w:r>
    </w:p>
    <w:p w14:paraId="2F4F5AE9">
      <w:pPr>
        <w:pStyle w:val="56"/>
        <w:spacing w:line="360" w:lineRule="auto"/>
        <w:ind w:firstLine="420"/>
      </w:pPr>
      <w:r>
        <w:t>优化管理需结合设备性能、使用场景、成本效益综合制定技术方案。</w:t>
      </w:r>
    </w:p>
    <w:p w14:paraId="61B74C81">
      <w:pPr>
        <w:pStyle w:val="56"/>
        <w:spacing w:line="360" w:lineRule="auto"/>
        <w:ind w:firstLine="420"/>
      </w:pPr>
      <w:r>
        <w:t>鼓励应用数字孪生、人工智能预测等新技术提升能效管理水平。</w:t>
      </w:r>
    </w:p>
    <w:p w14:paraId="7DA78211">
      <w:pPr>
        <w:pStyle w:val="104"/>
        <w:spacing w:before="240" w:after="240" w:line="360" w:lineRule="auto"/>
      </w:pPr>
      <w:bookmarkStart w:id="50" w:name="_Toc192679060"/>
      <w:r>
        <w:t>能效评估技术要求</w:t>
      </w:r>
      <w:bookmarkEnd w:id="50"/>
    </w:p>
    <w:p w14:paraId="1E35C0E9">
      <w:pPr>
        <w:pStyle w:val="105"/>
        <w:spacing w:before="120" w:after="120" w:line="360" w:lineRule="auto"/>
      </w:pPr>
      <w:r>
        <w:t>评估指标体系</w:t>
      </w:r>
    </w:p>
    <w:p w14:paraId="1D9FF229">
      <w:pPr>
        <w:pStyle w:val="56"/>
        <w:spacing w:line="360" w:lineRule="auto"/>
        <w:ind w:firstLine="199" w:firstLineChars="95"/>
      </w:pPr>
      <w:r>
        <w:rPr>
          <w:rFonts w:hint="eastAsia"/>
        </w:rPr>
        <w:t>评估指标体系包含以下内容：</w:t>
      </w:r>
    </w:p>
    <w:p w14:paraId="36D379C2">
      <w:pPr>
        <w:pStyle w:val="132"/>
        <w:spacing w:line="360" w:lineRule="auto"/>
      </w:pPr>
      <w:r>
        <w:t>设备级指标：能效比（EER、COP）、电动机效率等级（IE3/IE4）、照明功率密度（LPD）；</w:t>
      </w:r>
    </w:p>
    <w:p w14:paraId="2467815C">
      <w:pPr>
        <w:pStyle w:val="132"/>
        <w:spacing w:line="360" w:lineRule="auto"/>
      </w:pPr>
      <w:r>
        <w:t>系统级指标：综合能效比（SEER）、单位面积能耗（kWh/m²·a）、负荷率偏离度（±15%）。</w:t>
      </w:r>
    </w:p>
    <w:p w14:paraId="2AF01119">
      <w:pPr>
        <w:pStyle w:val="132"/>
        <w:numPr>
          <w:ilvl w:val="0"/>
          <w:numId w:val="0"/>
        </w:numPr>
        <w:spacing w:line="360" w:lineRule="auto"/>
        <w:ind w:left="425"/>
      </w:pPr>
      <w:r>
        <w:t>冷水机组COP测试公式</w:t>
      </w:r>
      <w:r>
        <w:rPr>
          <w:rFonts w:hint="eastAsia"/>
        </w:rPr>
        <w:t>见公式（1）。</w:t>
      </w:r>
    </w:p>
    <w:p w14:paraId="7CBA91B4">
      <w:pPr>
        <w:pStyle w:val="113"/>
      </w:pPr>
      <w:r>
        <w:tab/>
      </w:r>
      <m:oMath>
        <m:r>
          <m:rPr>
            <m:nor/>
          </m:rPr>
          <w:rPr>
            <w:rStyle w:val="186"/>
            <w:rFonts w:ascii="Times New Roman" w:hAnsi="Times New Roman"/>
            <w:i/>
            <w:iCs/>
            <w:color w:val="auto"/>
          </w:rPr>
          <m:t>COP</m:t>
        </m:r>
        <m:r>
          <m:rPr>
            <m:nor/>
            <m:sty m:val="p"/>
          </m:rPr>
          <w:rPr>
            <w:rStyle w:val="186"/>
            <w:rFonts w:ascii="Times New Roman" w:hAnsi="Times New Roman"/>
            <w:b w:val="0"/>
            <w:i w:val="0"/>
            <w:color w:val="auto"/>
          </w:rPr>
          <m:t>=</m:t>
        </m:r>
        <m:f>
          <m:fPr>
            <m:ctrlPr>
              <w:rPr>
                <w:rStyle w:val="186"/>
                <w:rFonts w:ascii="Cambria Math" w:hAnsi="Cambria Math"/>
                <w:i/>
                <w:color w:val="auto"/>
              </w:rPr>
            </m:ctrlPr>
          </m:fPr>
          <m:num>
            <m:r>
              <m:rPr>
                <m:nor/>
              </m:rPr>
              <w:rPr>
                <w:rStyle w:val="186"/>
                <w:rFonts w:ascii="Times New Roman" w:hAnsi="Times New Roman"/>
                <w:i/>
                <w:iCs/>
                <w:color w:val="auto"/>
              </w:rPr>
              <m:t>c∙ρ∙V∙∆T</m:t>
            </m:r>
            <m:ctrlPr>
              <w:rPr>
                <w:rStyle w:val="186"/>
                <w:rFonts w:ascii="Cambria Math" w:hAnsi="Cambria Math"/>
                <w:i/>
                <w:color w:val="auto"/>
              </w:rPr>
            </m:ctrlPr>
          </m:num>
          <m:den>
            <m:r>
              <m:rPr>
                <m:nor/>
              </m:rPr>
              <w:rPr>
                <w:rStyle w:val="186"/>
                <w:rFonts w:ascii="Times New Roman" w:hAnsi="Times New Roman"/>
                <w:i/>
                <w:iCs/>
                <w:color w:val="auto"/>
              </w:rPr>
              <m:t>3.6∙W</m:t>
            </m:r>
            <m:ctrlPr>
              <w:rPr>
                <w:rStyle w:val="186"/>
                <w:rFonts w:ascii="Cambria Math" w:hAnsi="Cambria Math"/>
                <w:i/>
                <w:color w:val="auto"/>
              </w:rPr>
            </m:ctrlPr>
          </m:den>
        </m:f>
      </m:oMath>
      <w:r>
        <w:rPr>
          <w:rFonts w:ascii="微软雅黑" w:hAnsi="微软雅黑" w:eastAsia="微软雅黑"/>
        </w:rPr>
        <w:tab/>
      </w:r>
      <w:r>
        <w:t>(</w:t>
      </w:r>
      <w:r>
        <w:fldChar w:fldCharType="begin"/>
      </w:r>
      <w:r>
        <w:instrText xml:space="preserve"> AUTONUM </w:instrText>
      </w:r>
      <w:r>
        <w:fldChar w:fldCharType="end"/>
      </w:r>
      <w:r>
        <w:t>)</w:t>
      </w:r>
    </w:p>
    <w:p w14:paraId="498480DE">
      <w:pPr>
        <w:pStyle w:val="55"/>
        <w:ind w:firstLine="420"/>
      </w:pPr>
      <w:r>
        <w:rPr>
          <w:rFonts w:hint="eastAsia"/>
        </w:rPr>
        <w:t>式中：</w:t>
      </w:r>
    </w:p>
    <w:tbl>
      <w:tblPr>
        <w:tblStyle w:val="27"/>
        <w:tblW w:w="0" w:type="auto"/>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8083"/>
      </w:tblGrid>
      <w:tr w14:paraId="4CF6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Align w:val="center"/>
          </w:tcPr>
          <w:p w14:paraId="588F14B0">
            <w:pPr>
              <w:pStyle w:val="56"/>
              <w:snapToGrid w:val="0"/>
              <w:ind w:firstLine="0" w:firstLineChars="0"/>
              <w:jc w:val="right"/>
              <w:rPr>
                <w:rFonts w:ascii="Times New Roman"/>
              </w:rPr>
            </w:pPr>
            <w:r>
              <w:rPr>
                <w:rFonts w:ascii="Times New Roman"/>
                <w:i/>
                <w:iCs/>
              </w:rPr>
              <w:t>c</w:t>
            </w:r>
          </w:p>
        </w:tc>
        <w:tc>
          <w:tcPr>
            <w:tcW w:w="8083" w:type="dxa"/>
          </w:tcPr>
          <w:p w14:paraId="04198E57">
            <w:pPr>
              <w:pStyle w:val="56"/>
              <w:snapToGrid w:val="0"/>
              <w:ind w:firstLine="0" w:firstLineChars="0"/>
            </w:pPr>
            <w:r>
              <w:t>——</w:t>
            </w:r>
            <w:r>
              <w:rPr>
                <w:rFonts w:hint="eastAsia"/>
              </w:rPr>
              <w:t>水的比热容（单位：J/(kg·℃)，常取 4186 J/(kg·℃)）；</w:t>
            </w:r>
          </w:p>
        </w:tc>
      </w:tr>
      <w:tr w14:paraId="75CE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Align w:val="center"/>
          </w:tcPr>
          <w:p w14:paraId="2CD6654D">
            <w:pPr>
              <w:pStyle w:val="56"/>
              <w:snapToGrid w:val="0"/>
              <w:ind w:firstLine="0" w:firstLineChars="0"/>
              <w:jc w:val="right"/>
              <w:rPr>
                <w:rFonts w:ascii="Times New Roman"/>
              </w:rPr>
            </w:pPr>
            <w:r>
              <w:rPr>
                <w:rFonts w:ascii="Times New Roman"/>
                <w:i/>
                <w:iCs/>
              </w:rPr>
              <w:t>ρ</w:t>
            </w:r>
          </w:p>
        </w:tc>
        <w:tc>
          <w:tcPr>
            <w:tcW w:w="8083" w:type="dxa"/>
          </w:tcPr>
          <w:p w14:paraId="37F8FBB6">
            <w:pPr>
              <w:pStyle w:val="56"/>
              <w:snapToGrid w:val="0"/>
              <w:ind w:firstLine="0" w:firstLineChars="0"/>
            </w:pPr>
            <w:r>
              <w:t>——</w:t>
            </w:r>
            <w:r>
              <w:rPr>
                <w:rFonts w:hint="eastAsia"/>
              </w:rPr>
              <w:t>水的密度（单位：kg/m³，常取 1000 kg/m³）；</w:t>
            </w:r>
          </w:p>
        </w:tc>
      </w:tr>
      <w:tr w14:paraId="723E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Align w:val="center"/>
          </w:tcPr>
          <w:p w14:paraId="1CE02FBD">
            <w:pPr>
              <w:pStyle w:val="56"/>
              <w:snapToGrid w:val="0"/>
              <w:ind w:firstLine="0" w:firstLineChars="0"/>
              <w:jc w:val="right"/>
              <w:rPr>
                <w:rFonts w:ascii="Times New Roman"/>
              </w:rPr>
            </w:pPr>
            <w:r>
              <w:rPr>
                <w:rFonts w:ascii="Times New Roman"/>
                <w:i/>
                <w:iCs/>
              </w:rPr>
              <w:t>V</w:t>
            </w:r>
          </w:p>
        </w:tc>
        <w:tc>
          <w:tcPr>
            <w:tcW w:w="8083" w:type="dxa"/>
          </w:tcPr>
          <w:p w14:paraId="5F9427F8">
            <w:pPr>
              <w:pStyle w:val="56"/>
              <w:ind w:firstLine="0" w:firstLineChars="0"/>
            </w:pPr>
            <w:r>
              <w:t>——</w:t>
            </w:r>
            <w:r>
              <w:rPr>
                <w:rFonts w:hint="eastAsia"/>
              </w:rPr>
              <w:t>水流量（单位：m³/h）；</w:t>
            </w:r>
          </w:p>
        </w:tc>
      </w:tr>
      <w:tr w14:paraId="5143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Align w:val="center"/>
          </w:tcPr>
          <w:p w14:paraId="228A864C">
            <w:pPr>
              <w:pStyle w:val="56"/>
              <w:snapToGrid w:val="0"/>
              <w:ind w:firstLine="0" w:firstLineChars="0"/>
              <w:jc w:val="right"/>
              <w:rPr>
                <w:rFonts w:ascii="Times New Roman"/>
                <w:i/>
                <w:iCs/>
              </w:rPr>
            </w:pPr>
            <w:r>
              <w:rPr>
                <w:rFonts w:hint="eastAsia" w:ascii="Times New Roman"/>
                <w:i/>
                <w:iCs/>
              </w:rPr>
              <w:t>ΔT</w:t>
            </w:r>
          </w:p>
        </w:tc>
        <w:tc>
          <w:tcPr>
            <w:tcW w:w="8083" w:type="dxa"/>
          </w:tcPr>
          <w:p w14:paraId="374EDD83">
            <w:pPr>
              <w:pStyle w:val="56"/>
              <w:ind w:firstLine="0" w:firstLineChars="0"/>
            </w:pPr>
            <w:r>
              <w:t>——</w:t>
            </w:r>
            <w:r>
              <w:rPr>
                <w:rFonts w:hint="eastAsia"/>
              </w:rPr>
              <w:t>温差（单位：℃）；</w:t>
            </w:r>
          </w:p>
        </w:tc>
      </w:tr>
      <w:tr w14:paraId="14BB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Align w:val="center"/>
          </w:tcPr>
          <w:p w14:paraId="78CD214E">
            <w:pPr>
              <w:pStyle w:val="56"/>
              <w:snapToGrid w:val="0"/>
              <w:ind w:firstLine="0" w:firstLineChars="0"/>
              <w:jc w:val="right"/>
              <w:rPr>
                <w:rFonts w:ascii="Times New Roman"/>
                <w:i/>
                <w:iCs/>
              </w:rPr>
            </w:pPr>
            <w:r>
              <w:rPr>
                <w:rFonts w:ascii="Times New Roman"/>
                <w:i/>
                <w:iCs/>
              </w:rPr>
              <w:t>W</w:t>
            </w:r>
          </w:p>
        </w:tc>
        <w:tc>
          <w:tcPr>
            <w:tcW w:w="8083" w:type="dxa"/>
          </w:tcPr>
          <w:p w14:paraId="70839A94">
            <w:pPr>
              <w:pStyle w:val="56"/>
              <w:ind w:firstLine="0" w:firstLineChars="0"/>
            </w:pPr>
            <w:r>
              <w:t>——输入功率（单位：W或kW）</w:t>
            </w:r>
            <w:r>
              <w:rPr>
                <w:rFonts w:hint="eastAsia"/>
              </w:rPr>
              <w:t>。</w:t>
            </w:r>
          </w:p>
        </w:tc>
      </w:tr>
    </w:tbl>
    <w:p w14:paraId="31DA7360">
      <w:pPr>
        <w:pStyle w:val="105"/>
        <w:spacing w:before="120" w:after="120" w:line="360" w:lineRule="auto"/>
      </w:pPr>
      <w:r>
        <w:t>评估方法</w:t>
      </w:r>
    </w:p>
    <w:p w14:paraId="208BE37D">
      <w:pPr>
        <w:pStyle w:val="56"/>
        <w:spacing w:line="360" w:lineRule="auto"/>
        <w:ind w:firstLineChars="0"/>
      </w:pPr>
      <w:r>
        <w:rPr>
          <w:rFonts w:hint="eastAsia"/>
        </w:rPr>
        <w:t>评估方法包含现场测试、数据分析和仿真验证，具体内容如下：</w:t>
      </w:r>
    </w:p>
    <w:p w14:paraId="2488F242">
      <w:pPr>
        <w:pStyle w:val="132"/>
        <w:spacing w:line="360" w:lineRule="auto"/>
      </w:pPr>
      <w:r>
        <w:t>现场测试：</w:t>
      </w:r>
    </w:p>
    <w:p w14:paraId="34C29349">
      <w:pPr>
        <w:pStyle w:val="187"/>
        <w:spacing w:line="360" w:lineRule="auto"/>
      </w:pPr>
      <w:r>
        <w:t>暖通空调：采用风量罩、热流计实测制冷量/制热量；</w:t>
      </w:r>
    </w:p>
    <w:p w14:paraId="27993209">
      <w:pPr>
        <w:pStyle w:val="187"/>
        <w:spacing w:line="360" w:lineRule="auto"/>
      </w:pPr>
      <w:r>
        <w:t>水泵：通过超声波流量计、压力传感器计算水力效率</w:t>
      </w:r>
      <w:r>
        <w:rPr>
          <w:rFonts w:hint="eastAsia"/>
        </w:rPr>
        <w:t>。</w:t>
      </w:r>
    </w:p>
    <w:p w14:paraId="06AAF321">
      <w:pPr>
        <w:pStyle w:val="132"/>
        <w:spacing w:line="360" w:lineRule="auto"/>
      </w:pPr>
      <w:r>
        <w:t>数据分析：采集至少1年分项能耗数据，对比基准能耗模型（如ASHRAE模型）</w:t>
      </w:r>
      <w:r>
        <w:rPr>
          <w:rFonts w:hint="eastAsia"/>
        </w:rPr>
        <w:t>。</w:t>
      </w:r>
    </w:p>
    <w:p w14:paraId="4C693121">
      <w:pPr>
        <w:pStyle w:val="132"/>
        <w:spacing w:line="360" w:lineRule="auto"/>
      </w:pPr>
      <w:r>
        <w:t>仿真验证：利用EnergyPlus、TRNSYS等软件模拟优化潜力。</w:t>
      </w:r>
    </w:p>
    <w:p w14:paraId="7A8E9155">
      <w:pPr>
        <w:pStyle w:val="105"/>
        <w:spacing w:before="120" w:after="120" w:line="360" w:lineRule="auto"/>
      </w:pPr>
      <w:r>
        <w:t>能效等级划分</w:t>
      </w:r>
    </w:p>
    <w:p w14:paraId="2DC24180">
      <w:pPr>
        <w:pStyle w:val="56"/>
        <w:spacing w:line="360" w:lineRule="auto"/>
        <w:ind w:firstLine="420"/>
      </w:pPr>
      <w:r>
        <w:rPr>
          <w:rFonts w:hint="eastAsia"/>
        </w:rPr>
        <w:t>能效等级划分内容见表1。</w:t>
      </w:r>
    </w:p>
    <w:p w14:paraId="3CE4A0D9">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能效等级划分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774E9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130C04A0">
            <w:pPr>
              <w:pStyle w:val="178"/>
              <w:rPr>
                <w:rFonts w:hAnsi="宋体"/>
              </w:rPr>
            </w:pPr>
            <w:r>
              <w:rPr>
                <w:rFonts w:hAnsi="宋体"/>
              </w:rPr>
              <w:t>等级</w:t>
            </w:r>
          </w:p>
        </w:tc>
        <w:tc>
          <w:tcPr>
            <w:tcW w:w="3112" w:type="dxa"/>
            <w:tcBorders>
              <w:top w:val="single" w:color="auto" w:sz="8" w:space="0"/>
              <w:bottom w:val="single" w:color="auto" w:sz="8" w:space="0"/>
            </w:tcBorders>
            <w:shd w:val="clear" w:color="auto" w:fill="auto"/>
            <w:vAlign w:val="center"/>
          </w:tcPr>
          <w:p w14:paraId="4F1A26D8">
            <w:pPr>
              <w:pStyle w:val="178"/>
              <w:rPr>
                <w:rFonts w:hAnsi="宋体"/>
              </w:rPr>
            </w:pPr>
            <w:r>
              <w:rPr>
                <w:rFonts w:hAnsi="宋体"/>
              </w:rPr>
              <w:t>能效提升率（对比基准）</w:t>
            </w:r>
          </w:p>
        </w:tc>
        <w:tc>
          <w:tcPr>
            <w:tcW w:w="3112" w:type="dxa"/>
            <w:tcBorders>
              <w:top w:val="single" w:color="auto" w:sz="8" w:space="0"/>
              <w:bottom w:val="single" w:color="auto" w:sz="8" w:space="0"/>
            </w:tcBorders>
            <w:shd w:val="clear" w:color="auto" w:fill="auto"/>
            <w:vAlign w:val="center"/>
          </w:tcPr>
          <w:p w14:paraId="39511991">
            <w:pPr>
              <w:pStyle w:val="178"/>
              <w:rPr>
                <w:rFonts w:hAnsi="宋体"/>
              </w:rPr>
            </w:pPr>
            <w:r>
              <w:rPr>
                <w:rFonts w:hAnsi="宋体"/>
              </w:rPr>
              <w:t>评定标准</w:t>
            </w:r>
          </w:p>
        </w:tc>
      </w:tr>
      <w:tr w14:paraId="51E8C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1CBC21CE">
            <w:pPr>
              <w:pStyle w:val="178"/>
              <w:rPr>
                <w:rFonts w:hAnsi="宋体"/>
              </w:rPr>
            </w:pPr>
            <w:r>
              <w:rPr>
                <w:rFonts w:hAnsi="宋体"/>
              </w:rPr>
              <w:t>Ⅰ级</w:t>
            </w:r>
          </w:p>
        </w:tc>
        <w:tc>
          <w:tcPr>
            <w:tcW w:w="3112" w:type="dxa"/>
            <w:tcBorders>
              <w:top w:val="single" w:color="auto" w:sz="8" w:space="0"/>
            </w:tcBorders>
            <w:shd w:val="clear" w:color="auto" w:fill="auto"/>
            <w:vAlign w:val="center"/>
          </w:tcPr>
          <w:p w14:paraId="78699767">
            <w:pPr>
              <w:pStyle w:val="178"/>
              <w:rPr>
                <w:rFonts w:hAnsi="宋体"/>
              </w:rPr>
            </w:pPr>
            <w:r>
              <w:rPr>
                <w:rFonts w:hAnsi="宋体"/>
              </w:rPr>
              <w:t>≥30%</w:t>
            </w:r>
          </w:p>
        </w:tc>
        <w:tc>
          <w:tcPr>
            <w:tcW w:w="3112" w:type="dxa"/>
            <w:tcBorders>
              <w:top w:val="single" w:color="auto" w:sz="8" w:space="0"/>
            </w:tcBorders>
            <w:shd w:val="clear" w:color="auto" w:fill="auto"/>
            <w:vAlign w:val="center"/>
          </w:tcPr>
          <w:p w14:paraId="05E233C5">
            <w:pPr>
              <w:pStyle w:val="178"/>
              <w:rPr>
                <w:rFonts w:hAnsi="宋体"/>
              </w:rPr>
            </w:pPr>
            <w:r>
              <w:rPr>
                <w:rFonts w:hAnsi="宋体"/>
              </w:rPr>
              <w:t>国际先进水平（如LEED铂金）</w:t>
            </w:r>
          </w:p>
        </w:tc>
      </w:tr>
      <w:tr w14:paraId="6128A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6B5B1DCD">
            <w:pPr>
              <w:pStyle w:val="178"/>
              <w:rPr>
                <w:rFonts w:hAnsi="宋体"/>
              </w:rPr>
            </w:pPr>
            <w:r>
              <w:rPr>
                <w:rFonts w:hAnsi="宋体"/>
              </w:rPr>
              <w:t>Ⅱ级</w:t>
            </w:r>
          </w:p>
        </w:tc>
        <w:tc>
          <w:tcPr>
            <w:tcW w:w="3112" w:type="dxa"/>
            <w:shd w:val="clear" w:color="auto" w:fill="auto"/>
            <w:vAlign w:val="center"/>
          </w:tcPr>
          <w:p w14:paraId="21932EA5">
            <w:pPr>
              <w:pStyle w:val="178"/>
              <w:rPr>
                <w:rFonts w:hAnsi="宋体"/>
              </w:rPr>
            </w:pPr>
            <w:r>
              <w:rPr>
                <w:rFonts w:hAnsi="宋体"/>
              </w:rPr>
              <w:t>15%</w:t>
            </w:r>
            <w:r>
              <w:rPr>
                <w:rFonts w:hint="eastAsia" w:hAnsi="宋体"/>
              </w:rPr>
              <w:t>～</w:t>
            </w:r>
            <w:r>
              <w:rPr>
                <w:rFonts w:hAnsi="宋体"/>
              </w:rPr>
              <w:t>30%</w:t>
            </w:r>
          </w:p>
        </w:tc>
        <w:tc>
          <w:tcPr>
            <w:tcW w:w="3112" w:type="dxa"/>
            <w:shd w:val="clear" w:color="auto" w:fill="auto"/>
            <w:vAlign w:val="center"/>
          </w:tcPr>
          <w:p w14:paraId="26713C72">
            <w:pPr>
              <w:pStyle w:val="178"/>
              <w:rPr>
                <w:rFonts w:hAnsi="宋体"/>
              </w:rPr>
            </w:pPr>
            <w:r>
              <w:rPr>
                <w:rFonts w:hAnsi="宋体"/>
              </w:rPr>
              <w:t>国内领先水平</w:t>
            </w:r>
          </w:p>
        </w:tc>
      </w:tr>
      <w:tr w14:paraId="3D475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6F82825D">
            <w:pPr>
              <w:pStyle w:val="178"/>
              <w:rPr>
                <w:rFonts w:hAnsi="宋体"/>
              </w:rPr>
            </w:pPr>
            <w:r>
              <w:rPr>
                <w:rFonts w:hAnsi="宋体"/>
              </w:rPr>
              <w:t>Ⅲ级</w:t>
            </w:r>
          </w:p>
        </w:tc>
        <w:tc>
          <w:tcPr>
            <w:tcW w:w="3112" w:type="dxa"/>
            <w:shd w:val="clear" w:color="auto" w:fill="auto"/>
            <w:vAlign w:val="center"/>
          </w:tcPr>
          <w:p w14:paraId="7CD02869">
            <w:pPr>
              <w:pStyle w:val="178"/>
              <w:rPr>
                <w:rFonts w:hAnsi="宋体"/>
              </w:rPr>
            </w:pPr>
            <w:r>
              <w:rPr>
                <w:rFonts w:hAnsi="宋体"/>
              </w:rPr>
              <w:t>5%</w:t>
            </w:r>
            <w:r>
              <w:rPr>
                <w:rFonts w:hint="eastAsia" w:hAnsi="宋体"/>
              </w:rPr>
              <w:t>～</w:t>
            </w:r>
            <w:r>
              <w:rPr>
                <w:rFonts w:hAnsi="宋体"/>
              </w:rPr>
              <w:t>15%</w:t>
            </w:r>
          </w:p>
        </w:tc>
        <w:tc>
          <w:tcPr>
            <w:tcW w:w="3112" w:type="dxa"/>
            <w:shd w:val="clear" w:color="auto" w:fill="auto"/>
            <w:vAlign w:val="center"/>
          </w:tcPr>
          <w:p w14:paraId="58AB4372">
            <w:pPr>
              <w:pStyle w:val="178"/>
              <w:rPr>
                <w:rFonts w:hAnsi="宋体"/>
              </w:rPr>
            </w:pPr>
            <w:r>
              <w:rPr>
                <w:rFonts w:hAnsi="宋体"/>
              </w:rPr>
              <w:t>行业达标水平</w:t>
            </w:r>
          </w:p>
        </w:tc>
      </w:tr>
    </w:tbl>
    <w:p w14:paraId="1B0BA57C">
      <w:pPr>
        <w:pStyle w:val="104"/>
        <w:spacing w:before="240" w:after="240" w:line="360" w:lineRule="auto"/>
      </w:pPr>
      <w:bookmarkStart w:id="51" w:name="_Toc192679061"/>
      <w:r>
        <w:t>优化管理技术要求</w:t>
      </w:r>
      <w:bookmarkEnd w:id="51"/>
    </w:p>
    <w:p w14:paraId="28D85326">
      <w:pPr>
        <w:pStyle w:val="105"/>
        <w:spacing w:before="120" w:after="120" w:line="360" w:lineRule="auto"/>
      </w:pPr>
      <w:r>
        <w:t>设备升级</w:t>
      </w:r>
    </w:p>
    <w:p w14:paraId="0DFAAF20">
      <w:pPr>
        <w:pStyle w:val="56"/>
        <w:spacing w:line="360" w:lineRule="auto"/>
        <w:ind w:firstLine="420"/>
      </w:pPr>
      <w:r>
        <w:t>高效替代：</w:t>
      </w:r>
    </w:p>
    <w:p w14:paraId="651D1BB1">
      <w:pPr>
        <w:pStyle w:val="132"/>
        <w:spacing w:line="360" w:lineRule="auto"/>
        <w:rPr>
          <w:rFonts w:hAnsi="宋体"/>
        </w:rPr>
      </w:pPr>
      <w:r>
        <w:t>更换IE4及以上高效电机，变频</w:t>
      </w:r>
      <w:r>
        <w:rPr>
          <w:rFonts w:hAnsi="宋体"/>
        </w:rPr>
        <w:t>器覆盖率达100%；</w:t>
      </w:r>
    </w:p>
    <w:p w14:paraId="28BC3091">
      <w:pPr>
        <w:pStyle w:val="132"/>
        <w:spacing w:line="360" w:lineRule="auto"/>
        <w:rPr>
          <w:rFonts w:hAnsi="宋体"/>
        </w:rPr>
      </w:pPr>
      <w:r>
        <w:rPr>
          <w:rFonts w:hAnsi="宋体"/>
        </w:rPr>
        <w:t>LED照明占比≥90%，智能调光系统安装率≥70%。</w:t>
      </w:r>
    </w:p>
    <w:p w14:paraId="4F790010">
      <w:pPr>
        <w:pStyle w:val="56"/>
        <w:spacing w:line="360" w:lineRule="auto"/>
        <w:ind w:firstLine="420"/>
        <w:rPr>
          <w:rFonts w:hAnsi="宋体"/>
        </w:rPr>
      </w:pPr>
      <w:r>
        <w:rPr>
          <w:rFonts w:hAnsi="宋体"/>
        </w:rPr>
        <w:t>余热回收：暖通空调排风热回收效率≥60%，锅炉烟气余热利用率≥40%。</w:t>
      </w:r>
    </w:p>
    <w:p w14:paraId="70043B27">
      <w:pPr>
        <w:pStyle w:val="105"/>
        <w:spacing w:before="120" w:after="120" w:line="360" w:lineRule="auto"/>
      </w:pPr>
      <w:r>
        <w:t>智能控制</w:t>
      </w:r>
    </w:p>
    <w:p w14:paraId="6D5E4319">
      <w:pPr>
        <w:pStyle w:val="56"/>
        <w:spacing w:line="360" w:lineRule="auto"/>
        <w:ind w:firstLine="420"/>
      </w:pPr>
      <w:r>
        <w:t>动态调控：</w:t>
      </w:r>
    </w:p>
    <w:p w14:paraId="544100B4">
      <w:pPr>
        <w:pStyle w:val="132"/>
        <w:spacing w:line="360" w:lineRule="auto"/>
        <w:rPr>
          <w:rFonts w:hAnsi="宋体"/>
        </w:rPr>
      </w:pPr>
      <w:r>
        <w:t>基于负荷预测的冷机群控策</w:t>
      </w:r>
      <w:r>
        <w:rPr>
          <w:rFonts w:hAnsi="宋体"/>
        </w:rPr>
        <w:t>略，节能率≥15%；</w:t>
      </w:r>
    </w:p>
    <w:p w14:paraId="5CC4E583">
      <w:pPr>
        <w:pStyle w:val="132"/>
        <w:spacing w:line="360" w:lineRule="auto"/>
        <w:rPr>
          <w:rFonts w:hAnsi="宋体"/>
        </w:rPr>
      </w:pPr>
      <w:r>
        <w:rPr>
          <w:rFonts w:hAnsi="宋体"/>
        </w:rPr>
        <w:t>电梯智能派梯算法，空载率降低≥20%。</w:t>
      </w:r>
    </w:p>
    <w:p w14:paraId="08A5B08E">
      <w:pPr>
        <w:pStyle w:val="56"/>
        <w:spacing w:line="360" w:lineRule="auto"/>
        <w:ind w:firstLine="420"/>
        <w:rPr>
          <w:rFonts w:hAnsi="宋体"/>
        </w:rPr>
      </w:pPr>
      <w:r>
        <w:rPr>
          <w:rFonts w:hAnsi="宋体"/>
        </w:rPr>
        <w:t>物联网平台：</w:t>
      </w:r>
    </w:p>
    <w:p w14:paraId="5772E285">
      <w:pPr>
        <w:pStyle w:val="132"/>
        <w:spacing w:line="360" w:lineRule="auto"/>
        <w:rPr>
          <w:rFonts w:hAnsi="宋体"/>
        </w:rPr>
      </w:pPr>
      <w:r>
        <w:rPr>
          <w:rFonts w:hAnsi="宋体"/>
        </w:rPr>
        <w:t>实时监测关键设备能效，数据采集频率≥1次/5分钟；</w:t>
      </w:r>
    </w:p>
    <w:p w14:paraId="6D68E53A">
      <w:pPr>
        <w:pStyle w:val="132"/>
        <w:spacing w:line="360" w:lineRule="auto"/>
        <w:rPr>
          <w:rFonts w:hAnsi="宋体"/>
        </w:rPr>
      </w:pPr>
      <w:r>
        <w:rPr>
          <w:rFonts w:hAnsi="宋体"/>
        </w:rPr>
        <w:t>异常能耗自动报警，响应时间≤10分钟。</w:t>
      </w:r>
    </w:p>
    <w:p w14:paraId="6C2EC4E6">
      <w:pPr>
        <w:pStyle w:val="105"/>
        <w:spacing w:before="120" w:after="120" w:line="360" w:lineRule="auto"/>
      </w:pPr>
      <w:r>
        <w:t>维护管理</w:t>
      </w:r>
    </w:p>
    <w:p w14:paraId="614BE9F1">
      <w:pPr>
        <w:pStyle w:val="56"/>
        <w:spacing w:line="360" w:lineRule="auto"/>
        <w:ind w:firstLine="420"/>
      </w:pPr>
      <w:r>
        <w:rPr>
          <w:rFonts w:hint="eastAsia"/>
        </w:rPr>
        <w:t>维护管理包含以下两方面内容：</w:t>
      </w:r>
    </w:p>
    <w:p w14:paraId="381C9EA4">
      <w:pPr>
        <w:pStyle w:val="132"/>
        <w:spacing w:line="360" w:lineRule="auto"/>
        <w:rPr>
          <w:rFonts w:hAnsi="宋体"/>
        </w:rPr>
      </w:pPr>
      <w:r>
        <w:t>预防性维护：电机轴承润滑周</w:t>
      </w:r>
      <w:r>
        <w:rPr>
          <w:rFonts w:hAnsi="宋体"/>
        </w:rPr>
        <w:t>期≤3个月，过滤器压差报警阈值≤200Pa；</w:t>
      </w:r>
    </w:p>
    <w:p w14:paraId="16AE254C">
      <w:pPr>
        <w:pStyle w:val="132"/>
        <w:spacing w:line="360" w:lineRule="auto"/>
      </w:pPr>
      <w:r>
        <w:rPr>
          <w:rFonts w:hAnsi="宋体"/>
        </w:rPr>
        <w:t>能效审计：每年开展1次全面能效评估，每季度发布节能分析</w:t>
      </w:r>
      <w:r>
        <w:t>报告。</w:t>
      </w:r>
    </w:p>
    <w:bookmarkEnd w:id="24"/>
    <w:p w14:paraId="0745A1D8">
      <w:pPr>
        <w:pStyle w:val="56"/>
        <w:ind w:firstLine="0" w:firstLineChars="0"/>
        <w:jc w:val="center"/>
      </w:pPr>
      <w:bookmarkStart w:id="52" w:name="BookMark8"/>
      <w:r>
        <w:drawing>
          <wp:inline distT="0" distB="0" distL="0" distR="0">
            <wp:extent cx="1485900" cy="317500"/>
            <wp:effectExtent l="0" t="0" r="0" b="6350"/>
            <wp:docPr id="1454283361" name="图片 1"/>
            <wp:cNvGraphicFramePr/>
            <a:graphic xmlns:a="http://schemas.openxmlformats.org/drawingml/2006/main">
              <a:graphicData uri="http://schemas.openxmlformats.org/drawingml/2006/picture">
                <pic:pic xmlns:pic="http://schemas.openxmlformats.org/drawingml/2006/picture">
                  <pic:nvPicPr>
                    <pic:cNvPr id="1454283361"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E608F">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58E2">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23EA">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1B4D">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930F">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16E7">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FA5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2A15">
    <w:pPr>
      <w:pStyle w:val="62"/>
    </w:pPr>
    <w:r>
      <w:fldChar w:fldCharType="begin"/>
    </w:r>
    <w:r>
      <w:instrText xml:space="preserve"> STYLEREF  标准文件_文件编号 \* MERGEFORMAT </w:instrText>
    </w:r>
    <w:r>
      <w:fldChar w:fldCharType="separate"/>
    </w:r>
    <w:r>
      <w:t>T/XZBX 0009—2025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0009—2025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0009—2025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908D">
    <w:pPr>
      <w:pStyle w:val="61"/>
    </w:pPr>
    <w:r>
      <w:fldChar w:fldCharType="begin"/>
    </w:r>
    <w:r>
      <w:instrText xml:space="preserve"> STYLEREF  标准文件_文件编号  \* MERGEFORMAT </w:instrText>
    </w:r>
    <w:r>
      <w:fldChar w:fldCharType="separate"/>
    </w:r>
    <w:r>
      <w:t>T/XZBX 0009—2025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B28E">
    <w:pPr>
      <w:pStyle w:val="62"/>
    </w:pPr>
    <w:r>
      <w:fldChar w:fldCharType="begin"/>
    </w:r>
    <w:r>
      <w:instrText xml:space="preserve"> STYLEREF  标准文件_文件编号 \* MERGEFORMAT </w:instrText>
    </w:r>
    <w:r>
      <w:fldChar w:fldCharType="separate"/>
    </w:r>
    <w:r>
      <w:t>T/XZBX 0009—2025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A88F">
    <w:pPr>
      <w:pStyle w:val="61"/>
    </w:pPr>
    <w:r>
      <w:fldChar w:fldCharType="begin"/>
    </w:r>
    <w:r>
      <w:instrText xml:space="preserve"> STYLEREF  标准文件_文件编号  \* MERGEFORMAT </w:instrText>
    </w:r>
    <w:r>
      <w:fldChar w:fldCharType="separate"/>
    </w:r>
    <w:r>
      <w:t>T/XZBX 0009—2025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8E8C">
    <w:pPr>
      <w:pStyle w:val="62"/>
    </w:pPr>
    <w:r>
      <w:fldChar w:fldCharType="begin"/>
    </w:r>
    <w:r>
      <w:instrText xml:space="preserve"> STYLEREF  标准文件_文件编号 \* MERGEFORMAT </w:instrText>
    </w:r>
    <w:r>
      <w:fldChar w:fldCharType="separate"/>
    </w:r>
    <w:r>
      <w:t>T/XZBX 0009—2025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7A8F2">
    <w:pPr>
      <w:pStyle w:val="61"/>
    </w:pPr>
    <w:r>
      <w:fldChar w:fldCharType="begin"/>
    </w:r>
    <w:r>
      <w:instrText xml:space="preserve"> STYLEREF  标准文件_文件编号  \* MERGEFORMAT </w:instrText>
    </w:r>
    <w:r>
      <w:fldChar w:fldCharType="separate"/>
    </w:r>
    <w:r>
      <w:t>T/XZBX 0009—2025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315"/>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NKgFAHuh4yYt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75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2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E9A"/>
    <w:rsid w:val="002F30E0"/>
    <w:rsid w:val="002F35E4"/>
    <w:rsid w:val="002F3730"/>
    <w:rsid w:val="002F38E1"/>
    <w:rsid w:val="002F7AF6"/>
    <w:rsid w:val="00300E63"/>
    <w:rsid w:val="00302F5F"/>
    <w:rsid w:val="0030441D"/>
    <w:rsid w:val="00306063"/>
    <w:rsid w:val="00313B85"/>
    <w:rsid w:val="00317988"/>
    <w:rsid w:val="0032205D"/>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2D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512"/>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44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718"/>
    <w:rsid w:val="00612952"/>
    <w:rsid w:val="00614CC1"/>
    <w:rsid w:val="00615A9D"/>
    <w:rsid w:val="00617387"/>
    <w:rsid w:val="006205D6"/>
    <w:rsid w:val="006252D8"/>
    <w:rsid w:val="006259BC"/>
    <w:rsid w:val="0062636B"/>
    <w:rsid w:val="00632182"/>
    <w:rsid w:val="00632624"/>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7EB"/>
    <w:rsid w:val="00783ECF"/>
    <w:rsid w:val="0078413A"/>
    <w:rsid w:val="00793E8F"/>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67D"/>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4B"/>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CC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1B"/>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6DE"/>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AEB"/>
    <w:rsid w:val="00A8715E"/>
    <w:rsid w:val="00A9038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03B"/>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A6A"/>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263"/>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405"/>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DC8"/>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07F80"/>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0FC"/>
    <w:rsid w:val="00F71E22"/>
    <w:rsid w:val="00F72142"/>
    <w:rsid w:val="00F72AE7"/>
    <w:rsid w:val="00F833BA"/>
    <w:rsid w:val="00F84FD0"/>
    <w:rsid w:val="00F859A8"/>
    <w:rsid w:val="00F86D87"/>
    <w:rsid w:val="00F9108B"/>
    <w:rsid w:val="00F91349"/>
    <w:rsid w:val="00F93A8A"/>
    <w:rsid w:val="00F95248"/>
    <w:rsid w:val="00F956A9"/>
    <w:rsid w:val="00F96184"/>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2CDD"/>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695392B"/>
    <w:rsid w:val="24F709A7"/>
    <w:rsid w:val="7169623E"/>
    <w:rsid w:val="75ED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64B88B8C">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67D1B8F6">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145AD17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006B9A"/>
    <w:rsid w:val="000126C2"/>
    <w:rsid w:val="000E3080"/>
    <w:rsid w:val="001F109E"/>
    <w:rsid w:val="002A098A"/>
    <w:rsid w:val="00306299"/>
    <w:rsid w:val="006E6AE0"/>
    <w:rsid w:val="006F2781"/>
    <w:rsid w:val="008007FE"/>
    <w:rsid w:val="008C47D9"/>
    <w:rsid w:val="00A301AB"/>
    <w:rsid w:val="00DB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437603E3A1E4534A739F551F8E61E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1968</Words>
  <Characters>2291</Characters>
  <Lines>23</Lines>
  <Paragraphs>6</Paragraphs>
  <TotalTime>135</TotalTime>
  <ScaleCrop>false</ScaleCrop>
  <LinksUpToDate>false</LinksUpToDate>
  <CharactersWithSpaces>2360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2025-03-19T02:11:50Z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0DFC1B156FCC4A088B014A17F2CC763F_12</vt:lpwstr>
  </property>
</Properties>
</file>