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41A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B695D9">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7E9F660B">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35.2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35.240</w:t>
            </w:r>
            <w:r>
              <w:rPr>
                <w:rFonts w:ascii="宋体" w:hAnsi="宋体"/>
                <w:sz w:val="21"/>
                <w:szCs w:val="21"/>
              </w:rPr>
              <w:fldChar w:fldCharType="end"/>
            </w:r>
            <w:bookmarkEnd w:id="0"/>
          </w:p>
        </w:tc>
      </w:tr>
      <w:tr w14:paraId="17C5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945050">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p w14:paraId="7312153C">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L 67"/>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L 67</w:t>
            </w:r>
            <w:r>
              <w:rPr>
                <w:rFonts w:ascii="宋体" w:hAnsi="宋体"/>
                <w:sz w:val="21"/>
                <w:szCs w:val="21"/>
              </w:rPr>
              <w:fldChar w:fldCharType="end"/>
            </w:r>
            <w:bookmarkEnd w:id="1"/>
          </w:p>
        </w:tc>
      </w:tr>
    </w:tbl>
    <w:p w14:paraId="107AB6E4">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4EC7109C">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6"/>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0006</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45D50AF6">
      <w:pPr>
        <w:pStyle w:val="196"/>
        <w:rPr>
          <w:rFonts w:ascii="宋体" w:hAnsi="宋体" w:eastAsia="宋体"/>
        </w:rPr>
      </w:pPr>
      <w:r>
        <w:rPr>
          <w:rFonts w:ascii="宋体" w:hAnsi="宋体" w:eastAsia="宋体"/>
        </w:rPr>
        <w:fldChar w:fldCharType="begin">
          <w:ffData>
            <w:name w:val="OSTD_CODE"/>
            <w:enabled/>
            <w:calcOnExit w:val="0"/>
            <w:textInput/>
          </w:ffData>
        </w:fldChar>
      </w:r>
      <w:bookmarkStart w:id="6" w:name="OSTD_CODE"/>
      <w:r>
        <w:rPr>
          <w:rFonts w:ascii="宋体" w:hAnsi="宋体" w:eastAsia="宋体"/>
        </w:rPr>
        <w:instrText xml:space="preserve"> FORMTEXT </w:instrText>
      </w:r>
      <w:r>
        <w:rPr>
          <w:rFonts w:ascii="宋体" w:hAnsi="宋体" w:eastAsia="宋体"/>
        </w:rPr>
        <w:fldChar w:fldCharType="separate"/>
      </w:r>
      <w:r>
        <w:rPr>
          <w:rFonts w:ascii="宋体" w:hAnsi="宋体" w:eastAsia="宋体"/>
        </w:rPr>
        <w:t>     </w:t>
      </w:r>
      <w:r>
        <w:rPr>
          <w:rFonts w:ascii="宋体" w:hAnsi="宋体" w:eastAsia="宋体"/>
        </w:rPr>
        <w:fldChar w:fldCharType="end"/>
      </w:r>
      <w:bookmarkEnd w:id="6"/>
    </w:p>
    <w:p w14:paraId="1912547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6F400012">
      <w:pPr>
        <w:pStyle w:val="50"/>
        <w:framePr w:w="9639" w:h="6976" w:hRule="exact" w:hSpace="0" w:vSpace="0" w:wrap="around" w:hAnchor="page" w:y="6408"/>
        <w:jc w:val="center"/>
        <w:rPr>
          <w:rFonts w:ascii="黑体" w:hAnsi="黑体" w:eastAsia="黑体"/>
          <w:b w:val="0"/>
          <w:bCs w:val="0"/>
          <w:w w:val="100"/>
        </w:rPr>
      </w:pPr>
    </w:p>
    <w:p w14:paraId="054FA961">
      <w:pPr>
        <w:pStyle w:val="197"/>
        <w:framePr w:h="6974" w:hRule="exact" w:wrap="around" w:x="1419" w:anchorLock="1"/>
        <w:rPr>
          <w:sz w:val="48"/>
          <w:szCs w:val="48"/>
        </w:rPr>
      </w:pPr>
      <w:r>
        <w:rPr>
          <w:sz w:val="48"/>
          <w:szCs w:val="48"/>
        </w:rPr>
        <w:fldChar w:fldCharType="begin">
          <w:ffData>
            <w:name w:val="CSTD_NAME"/>
            <w:enabled/>
            <w:calcOnExit w:val="0"/>
            <w:textInput>
              <w:default w:val="工程管理全过程数字化应用规范"/>
            </w:textInput>
          </w:ffData>
        </w:fldChar>
      </w:r>
      <w:bookmarkStart w:id="7" w:name="CSTD_NAME"/>
      <w:r>
        <w:rPr>
          <w:sz w:val="48"/>
          <w:szCs w:val="48"/>
        </w:rPr>
        <w:instrText xml:space="preserve"> FORMTEXT </w:instrText>
      </w:r>
      <w:r>
        <w:rPr>
          <w:sz w:val="48"/>
          <w:szCs w:val="48"/>
        </w:rPr>
        <w:fldChar w:fldCharType="separate"/>
      </w:r>
      <w:r>
        <w:rPr>
          <w:sz w:val="48"/>
          <w:szCs w:val="48"/>
        </w:rPr>
        <w:t>工程管理全过程数字化应用规范</w:t>
      </w:r>
      <w:r>
        <w:rPr>
          <w:sz w:val="48"/>
          <w:szCs w:val="48"/>
        </w:rPr>
        <w:fldChar w:fldCharType="end"/>
      </w:r>
      <w:bookmarkEnd w:id="7"/>
    </w:p>
    <w:p w14:paraId="5C21A502">
      <w:pPr>
        <w:framePr w:w="9639" w:h="6974" w:hRule="exact" w:wrap="around" w:vAnchor="page" w:hAnchor="page" w:x="1419" w:y="6408" w:anchorLock="1"/>
        <w:ind w:left="-1418"/>
      </w:pPr>
    </w:p>
    <w:p w14:paraId="11C43577">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full-process digital application in engineering management"/>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full-process digital application in engineering management</w:t>
      </w:r>
      <w:r>
        <w:rPr>
          <w:rFonts w:ascii="黑体" w:hAnsi="黑体" w:eastAsia="黑体"/>
          <w:sz w:val="36"/>
          <w:szCs w:val="36"/>
        </w:rPr>
        <w:fldChar w:fldCharType="end"/>
      </w:r>
      <w:bookmarkEnd w:id="8"/>
    </w:p>
    <w:p w14:paraId="2F43D3BF">
      <w:pPr>
        <w:framePr w:w="9639" w:h="6974" w:hRule="exact" w:wrap="around" w:vAnchor="page" w:hAnchor="page" w:x="1419" w:y="6408" w:anchorLock="1"/>
        <w:spacing w:line="760" w:lineRule="exact"/>
        <w:ind w:left="-1418"/>
      </w:pPr>
    </w:p>
    <w:p w14:paraId="581F2518">
      <w:pPr>
        <w:pStyle w:val="125"/>
        <w:framePr w:w="9639" w:h="6974" w:hRule="exact" w:wrap="around" w:vAnchor="page" w:hAnchor="page" w:x="1419" w:y="6408" w:anchorLock="1"/>
        <w:textAlignment w:val="bottom"/>
        <w:rPr>
          <w:rFonts w:eastAsia="黑体"/>
          <w:szCs w:val="28"/>
        </w:rPr>
      </w:pPr>
    </w:p>
    <w:p w14:paraId="3DDEFA5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2E368F4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7E2489E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5ACBA308">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513A5F9E">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477317F3">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6AA02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F277CCE">
      <w:pPr>
        <w:pStyle w:val="91"/>
        <w:spacing w:after="360"/>
      </w:pPr>
      <w:bookmarkStart w:id="19" w:name="BookMark1"/>
      <w:r>
        <w:rPr>
          <w:rFonts w:hint="eastAsia"/>
          <w:spacing w:val="320"/>
        </w:rPr>
        <w:t>目</w:t>
      </w:r>
      <w:r>
        <w:rPr>
          <w:rFonts w:hint="eastAsia"/>
        </w:rPr>
        <w:t>次</w:t>
      </w:r>
    </w:p>
    <w:p w14:paraId="45D32455">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"_Toc192603632" </w:instrText>
      </w:r>
      <w:r>
        <w:fldChar w:fldCharType="separate"/>
      </w:r>
      <w:r>
        <w:rPr>
          <w:rStyle w:val="32"/>
        </w:rPr>
        <w:t>前言</w:t>
      </w:r>
      <w:r>
        <w:tab/>
      </w:r>
      <w:r>
        <w:fldChar w:fldCharType="begin"/>
      </w:r>
      <w:r>
        <w:instrText xml:space="preserve"> PAGEREF _Toc192603632 \h </w:instrText>
      </w:r>
      <w:r>
        <w:fldChar w:fldCharType="separate"/>
      </w:r>
      <w:r>
        <w:t>III</w:t>
      </w:r>
      <w:r>
        <w:fldChar w:fldCharType="end"/>
      </w:r>
      <w:r>
        <w:fldChar w:fldCharType="end"/>
      </w:r>
    </w:p>
    <w:p w14:paraId="5025AFBD">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"_Toc192603633" </w:instrText>
      </w:r>
      <w:r>
        <w:fldChar w:fldCharType="separate"/>
      </w:r>
      <w:r>
        <w:rPr>
          <w:rStyle w:val="32"/>
        </w:rPr>
        <w:t>引言</w:t>
      </w:r>
      <w:r>
        <w:tab/>
      </w:r>
      <w:r>
        <w:fldChar w:fldCharType="begin"/>
      </w:r>
      <w:r>
        <w:instrText xml:space="preserve"> PAGEREF _Toc192603633 \h </w:instrText>
      </w:r>
      <w:r>
        <w:fldChar w:fldCharType="separate"/>
      </w:r>
      <w:r>
        <w:t>V</w:t>
      </w:r>
      <w:r>
        <w:fldChar w:fldCharType="end"/>
      </w:r>
      <w:r>
        <w:fldChar w:fldCharType="end"/>
      </w:r>
    </w:p>
    <w:p w14:paraId="50D3BDDA">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"_Toc192603634" </w:instrText>
      </w:r>
      <w:r>
        <w:fldChar w:fldCharType="separate"/>
      </w:r>
      <w:r>
        <w:rPr>
          <w:rStyle w:val="32"/>
        </w:rPr>
        <w:t>1  范围</w:t>
      </w:r>
      <w:r>
        <w:tab/>
      </w:r>
      <w:r>
        <w:fldChar w:fldCharType="begin"/>
      </w:r>
      <w:r>
        <w:instrText xml:space="preserve"> PAGEREF _Toc192603634 \h </w:instrText>
      </w:r>
      <w:r>
        <w:fldChar w:fldCharType="separate"/>
      </w:r>
      <w:r>
        <w:t>1</w:t>
      </w:r>
      <w:r>
        <w:fldChar w:fldCharType="end"/>
      </w:r>
      <w:r>
        <w:fldChar w:fldCharType="end"/>
      </w:r>
    </w:p>
    <w:p w14:paraId="66272604">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"_Toc192603635" </w:instrText>
      </w:r>
      <w:r>
        <w:fldChar w:fldCharType="separate"/>
      </w:r>
      <w:r>
        <w:rPr>
          <w:rStyle w:val="32"/>
        </w:rPr>
        <w:t>2  规范性引用文件</w:t>
      </w:r>
      <w:r>
        <w:tab/>
      </w:r>
      <w:r>
        <w:fldChar w:fldCharType="begin"/>
      </w:r>
      <w:r>
        <w:instrText xml:space="preserve"> PAGEREF _Toc192603635 \h </w:instrText>
      </w:r>
      <w:r>
        <w:fldChar w:fldCharType="separate"/>
      </w:r>
      <w:r>
        <w:t>1</w:t>
      </w:r>
      <w:r>
        <w:fldChar w:fldCharType="end"/>
      </w:r>
      <w:r>
        <w:fldChar w:fldCharType="end"/>
      </w:r>
    </w:p>
    <w:p w14:paraId="06EA4EC8">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"_Toc192603636" </w:instrText>
      </w:r>
      <w:r>
        <w:fldChar w:fldCharType="separate"/>
      </w:r>
      <w:r>
        <w:rPr>
          <w:rStyle w:val="32"/>
        </w:rPr>
        <w:t>3  术语和定义</w:t>
      </w:r>
      <w:r>
        <w:tab/>
      </w:r>
      <w:r>
        <w:fldChar w:fldCharType="begin"/>
      </w:r>
      <w:r>
        <w:instrText xml:space="preserve"> PAGEREF _Toc192603636 \h </w:instrText>
      </w:r>
      <w:r>
        <w:fldChar w:fldCharType="separate"/>
      </w:r>
      <w:r>
        <w:t>1</w:t>
      </w:r>
      <w:r>
        <w:fldChar w:fldCharType="end"/>
      </w:r>
      <w:r>
        <w:fldChar w:fldCharType="end"/>
      </w:r>
    </w:p>
    <w:p w14:paraId="65DD14A3">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"_Toc192603637" </w:instrText>
      </w:r>
      <w:r>
        <w:fldChar w:fldCharType="separate"/>
      </w:r>
      <w:r>
        <w:rPr>
          <w:rStyle w:val="32"/>
        </w:rPr>
        <w:t>4  总则</w:t>
      </w:r>
      <w:r>
        <w:tab/>
      </w:r>
      <w:r>
        <w:fldChar w:fldCharType="begin"/>
      </w:r>
      <w:r>
        <w:instrText xml:space="preserve"> PAGEREF _Toc192603637 \h </w:instrText>
      </w:r>
      <w:r>
        <w:fldChar w:fldCharType="separate"/>
      </w:r>
      <w:r>
        <w:t>1</w:t>
      </w:r>
      <w:r>
        <w:fldChar w:fldCharType="end"/>
      </w:r>
      <w:r>
        <w:fldChar w:fldCharType="end"/>
      </w:r>
    </w:p>
    <w:p w14:paraId="6D6DA414">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"_Toc192603638" </w:instrText>
      </w:r>
      <w:r>
        <w:fldChar w:fldCharType="separate"/>
      </w:r>
      <w:r>
        <w:rPr>
          <w:rStyle w:val="32"/>
        </w:rPr>
        <w:t>5  数字化技术应用要求</w:t>
      </w:r>
      <w:r>
        <w:tab/>
      </w:r>
      <w:r>
        <w:fldChar w:fldCharType="begin"/>
      </w:r>
      <w:r>
        <w:instrText xml:space="preserve"> PAGEREF _Toc192603638 \h </w:instrText>
      </w:r>
      <w:r>
        <w:fldChar w:fldCharType="separate"/>
      </w:r>
      <w:r>
        <w:t>1</w:t>
      </w:r>
      <w:r>
        <w:fldChar w:fldCharType="end"/>
      </w:r>
      <w:r>
        <w:fldChar w:fldCharType="end"/>
      </w:r>
    </w:p>
    <w:p w14:paraId="223C7E91">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"_Toc192603639" </w:instrText>
      </w:r>
      <w:r>
        <w:fldChar w:fldCharType="separate"/>
      </w:r>
      <w:r>
        <w:rPr>
          <w:rStyle w:val="32"/>
        </w:rPr>
        <w:t>6  安全管理要求</w:t>
      </w:r>
      <w:r>
        <w:tab/>
      </w:r>
      <w:r>
        <w:fldChar w:fldCharType="begin"/>
      </w:r>
      <w:r>
        <w:instrText xml:space="preserve"> PAGEREF _Toc192603639 \h </w:instrText>
      </w:r>
      <w:r>
        <w:fldChar w:fldCharType="separate"/>
      </w:r>
      <w:r>
        <w:t>2</w:t>
      </w:r>
      <w:r>
        <w:fldChar w:fldCharType="end"/>
      </w:r>
      <w:r>
        <w:fldChar w:fldCharType="end"/>
      </w:r>
    </w:p>
    <w:p w14:paraId="05D0385A">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"_Toc192603640" </w:instrText>
      </w:r>
      <w:r>
        <w:fldChar w:fldCharType="separate"/>
      </w:r>
      <w:r>
        <w:rPr>
          <w:rStyle w:val="32"/>
        </w:rPr>
        <w:t>7  实施与评价</w:t>
      </w:r>
      <w:r>
        <w:tab/>
      </w:r>
      <w:r>
        <w:fldChar w:fldCharType="begin"/>
      </w:r>
      <w:r>
        <w:instrText xml:space="preserve"> PAGEREF _Toc192603640 \h </w:instrText>
      </w:r>
      <w:r>
        <w:fldChar w:fldCharType="separate"/>
      </w:r>
      <w:r>
        <w:t>2</w:t>
      </w:r>
      <w:r>
        <w:fldChar w:fldCharType="end"/>
      </w:r>
      <w:r>
        <w:fldChar w:fldCharType="end"/>
      </w:r>
    </w:p>
    <w:p w14:paraId="200E869A">
      <w:pPr>
        <w:pStyle w:val="19"/>
        <w:tabs>
          <w:tab w:val="right" w:leader="dot" w:pos="9344"/>
        </w:tabs>
        <w:rPr>
          <w:rFonts w:asciiTheme="minorHAnsi" w:hAnsiTheme="minorHAnsi" w:eastAsiaTheme="minorEastAsia" w:cstheme="minorBidi"/>
          <w:szCs w:val="22"/>
        </w:rPr>
      </w:pPr>
      <w:r>
        <w:fldChar w:fldCharType="begin"/>
      </w:r>
      <w:r>
        <w:instrText xml:space="preserve"> HYPERLINK \l "_Toc192603641" </w:instrText>
      </w:r>
      <w:r>
        <w:fldChar w:fldCharType="separate"/>
      </w:r>
      <w:r>
        <w:rPr>
          <w:rStyle w:val="32"/>
        </w:rPr>
        <w:t>附录A（资料性）  工程数据分类编码表</w:t>
      </w:r>
      <w:r>
        <w:tab/>
      </w:r>
      <w:r>
        <w:fldChar w:fldCharType="begin"/>
      </w:r>
      <w:r>
        <w:instrText xml:space="preserve"> PAGEREF _Toc192603641 \h </w:instrText>
      </w:r>
      <w:r>
        <w:fldChar w:fldCharType="separate"/>
      </w:r>
      <w:r>
        <w:t>4</w:t>
      </w:r>
      <w:r>
        <w:fldChar w:fldCharType="end"/>
      </w:r>
      <w:r>
        <w:fldChar w:fldCharType="end"/>
      </w:r>
    </w:p>
    <w:p w14:paraId="5F87C3D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4E99942B">
      <w:pPr>
        <w:pStyle w:val="89"/>
        <w:spacing w:before="900" w:after="360"/>
      </w:pPr>
      <w:bookmarkStart w:id="20" w:name="_Toc192603632"/>
      <w:bookmarkStart w:id="21" w:name="BookMark2"/>
      <w:r>
        <w:rPr>
          <w:spacing w:val="320"/>
        </w:rPr>
        <w:t>前</w:t>
      </w:r>
      <w:r>
        <w:t>言</w:t>
      </w:r>
      <w:bookmarkEnd w:id="20"/>
    </w:p>
    <w:p w14:paraId="4F800BF5">
      <w:pPr>
        <w:pStyle w:val="56"/>
        <w:spacing w:line="360" w:lineRule="auto"/>
        <w:ind w:firstLine="420"/>
      </w:pPr>
      <w:r>
        <w:rPr>
          <w:rFonts w:hint="eastAsia"/>
        </w:rPr>
        <w:t>本文件按照GB/T 1.1—2020《标准化工作导则  第1部分：标准化文件的结构和起草规则》的规定起草。</w:t>
      </w:r>
    </w:p>
    <w:p w14:paraId="7979DF0B">
      <w:pPr>
        <w:pStyle w:val="56"/>
        <w:spacing w:line="360" w:lineRule="auto"/>
        <w:ind w:firstLine="420"/>
      </w:pPr>
      <w:r>
        <w:rPr>
          <w:rFonts w:hint="eastAsia"/>
        </w:rPr>
        <w:t>请注意本文件的某些内容可能涉及专利。本文件的发布机构不承担识别专利的责任。</w:t>
      </w:r>
    </w:p>
    <w:p w14:paraId="6199F472">
      <w:pPr>
        <w:pStyle w:val="56"/>
        <w:spacing w:line="360" w:lineRule="auto"/>
        <w:ind w:firstLine="420"/>
      </w:pPr>
      <w:r>
        <w:rPr>
          <w:rFonts w:hint="eastAsia"/>
        </w:rPr>
        <w:t>本文件由西安市质量与标准化协会提出并归口。</w:t>
      </w:r>
    </w:p>
    <w:p w14:paraId="422C3FF8">
      <w:pPr>
        <w:pStyle w:val="56"/>
        <w:spacing w:line="360" w:lineRule="auto"/>
        <w:ind w:firstLine="420"/>
      </w:pPr>
      <w:r>
        <w:rPr>
          <w:rFonts w:hint="eastAsia"/>
        </w:rPr>
        <w:t>本文件起草单位：鄂尔多斯市君正能源化工有限公司热电分公司、杭州智城产业运营管理有限公司、四川省蜀道集团路网运行中心、徐州市财政效能中心、浙江蓝绿双城建筑设计有限公司、招商局金陵船舶（南京）有限公司、中车大连机车车辆有限公司、山东省高速养护集团有限公司、昆山加林工程项目管理有限公司、中基发展建设工程有限责任公司、国网湖北省电力有限公司随州供电公司、广州市地质调查院、云南交投公路建设集团第五工程有限公司、河北兵北工程质量检测有限公司、河南省豫咨工程管理有限公司、河北环境工程学院、中国移动通信集团设计院有限公司浙江分公司。</w:t>
      </w:r>
    </w:p>
    <w:p w14:paraId="4FCB3B64">
      <w:pPr>
        <w:pStyle w:val="56"/>
        <w:spacing w:line="360" w:lineRule="auto"/>
        <w:ind w:firstLine="420"/>
      </w:pPr>
      <w:r>
        <w:rPr>
          <w:rFonts w:hint="eastAsia"/>
        </w:rPr>
        <w:t>本文件主要起草人：窦东官、张小龙、余思明、黄新建、戴文涛、吴五银、郝洁、刘忠伟、吴理想、张建安、刘鹏、徐硕、宋子龙、梁正奎、崔晓卫、智禄英、罗永军、单琦。</w:t>
      </w:r>
    </w:p>
    <w:p w14:paraId="0657FE9E">
      <w:pPr>
        <w:pStyle w:val="56"/>
        <w:ind w:firstLine="420"/>
      </w:pPr>
    </w:p>
    <w:p w14:paraId="514005E8">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1"/>
    <w:p w14:paraId="39B5BD3D">
      <w:pPr>
        <w:pStyle w:val="89"/>
        <w:spacing w:after="360"/>
      </w:pPr>
      <w:bookmarkStart w:id="22" w:name="_Toc192603633"/>
      <w:bookmarkStart w:id="23" w:name="BookMark3"/>
      <w:r>
        <w:rPr>
          <w:spacing w:val="320"/>
        </w:rPr>
        <w:t>引</w:t>
      </w:r>
      <w:r>
        <w:t>言</w:t>
      </w:r>
      <w:bookmarkEnd w:id="22"/>
    </w:p>
    <w:p w14:paraId="1C7572BF">
      <w:pPr>
        <w:pStyle w:val="56"/>
        <w:spacing w:line="360" w:lineRule="auto"/>
        <w:ind w:firstLine="420"/>
      </w:pPr>
      <w:r>
        <w:rPr>
          <w:rFonts w:hint="eastAsia"/>
        </w:rPr>
        <w:t>工程管理的全过程数字化应用是建筑行业信息化发展的重要方向，旨在通过数字技术的深度融合，提高工程管理的精细化、智能化和协同化水平。在信息化技术、BIM（建筑信息模型）、物联网、大数据、云计算、人工智能等技术迅速发展的背景下，工程管理的全过程数字化应用已成为提升项目管理效率、降低成本、提高质量和安全保障能力的关键手段。</w:t>
      </w:r>
    </w:p>
    <w:p w14:paraId="269184F7">
      <w:pPr>
        <w:pStyle w:val="56"/>
        <w:spacing w:line="360" w:lineRule="auto"/>
        <w:ind w:firstLine="420"/>
      </w:pPr>
      <w:r>
        <w:rPr>
          <w:rFonts w:hint="eastAsia"/>
        </w:rPr>
        <w:t>本文件通过统一数据标准、集成数字化技术、规范管理流程，实现工程全生命周期（策划、设计、施工、运维）的数字化管控，为工程参建方提供技术指引，助力行业高质量发展。</w:t>
      </w:r>
    </w:p>
    <w:p w14:paraId="0B63A092">
      <w:pPr>
        <w:rPr>
          <w:rFonts w:ascii="宋体" w:hAnsi="Times New Roman"/>
          <w:kern w:val="0"/>
          <w:szCs w:val="20"/>
        </w:rPr>
      </w:pPr>
    </w:p>
    <w:p w14:paraId="39631DCA">
      <w:pPr>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3"/>
    <w:p w14:paraId="068F51C3">
      <w:pPr>
        <w:spacing w:line="20" w:lineRule="exact"/>
        <w:jc w:val="center"/>
        <w:rPr>
          <w:rFonts w:ascii="黑体" w:hAnsi="黑体" w:eastAsia="黑体"/>
          <w:sz w:val="32"/>
          <w:szCs w:val="32"/>
        </w:rPr>
      </w:pPr>
      <w:bookmarkStart w:id="24" w:name="BookMark4"/>
    </w:p>
    <w:p w14:paraId="43406BE6">
      <w:pPr>
        <w:spacing w:line="20" w:lineRule="exact"/>
        <w:jc w:val="center"/>
        <w:rPr>
          <w:rFonts w:ascii="黑体" w:hAnsi="黑体" w:eastAsia="黑体"/>
          <w:sz w:val="32"/>
          <w:szCs w:val="32"/>
        </w:rPr>
      </w:pPr>
    </w:p>
    <w:sdt>
      <w:sdtPr>
        <w:tag w:val="NEW_STAND_NAME"/>
        <w:id w:val="595910757"/>
        <w:lock w:val="sdtLocked"/>
        <w:placeholder>
          <w:docPart w:val="EC4356A3AA5C4830A732D1B640DA66BD"/>
        </w:placeholder>
      </w:sdtPr>
      <w:sdtContent>
        <w:p w14:paraId="19782A07">
          <w:pPr>
            <w:pStyle w:val="177"/>
          </w:pPr>
          <w:bookmarkStart w:id="25" w:name="NEW_STAND_NAME"/>
          <w:r>
            <w:rPr>
              <w:rFonts w:hint="eastAsia"/>
            </w:rPr>
            <w:t>工程管理全过程数字化应用规范</w:t>
          </w:r>
        </w:p>
      </w:sdtContent>
    </w:sdt>
    <w:bookmarkEnd w:id="25"/>
    <w:p w14:paraId="31F10F5B">
      <w:pPr>
        <w:pStyle w:val="104"/>
        <w:spacing w:before="240" w:after="240" w:line="360" w:lineRule="auto"/>
      </w:pPr>
      <w:bookmarkStart w:id="26" w:name="_Toc17233333"/>
      <w:bookmarkStart w:id="27" w:name="_Toc97192964"/>
      <w:bookmarkStart w:id="28" w:name="_Toc17233325"/>
      <w:bookmarkStart w:id="29" w:name="_Toc24884211"/>
      <w:bookmarkStart w:id="30" w:name="_Toc26986530"/>
      <w:bookmarkStart w:id="31" w:name="_Toc26718930"/>
      <w:bookmarkStart w:id="32" w:name="_Toc26648465"/>
      <w:bookmarkStart w:id="33" w:name="_Toc26986771"/>
      <w:bookmarkStart w:id="34" w:name="_Toc24884218"/>
      <w:bookmarkStart w:id="35" w:name="_Toc192603634"/>
      <w:r>
        <w:rPr>
          <w:rFonts w:hint="eastAsia"/>
        </w:rPr>
        <w:t>范围</w:t>
      </w:r>
      <w:bookmarkEnd w:id="26"/>
      <w:bookmarkEnd w:id="27"/>
      <w:bookmarkEnd w:id="28"/>
      <w:bookmarkEnd w:id="29"/>
      <w:bookmarkEnd w:id="30"/>
      <w:bookmarkEnd w:id="31"/>
      <w:bookmarkEnd w:id="32"/>
      <w:bookmarkEnd w:id="33"/>
      <w:bookmarkEnd w:id="34"/>
      <w:bookmarkEnd w:id="35"/>
    </w:p>
    <w:p w14:paraId="141D0794">
      <w:pPr>
        <w:pStyle w:val="56"/>
        <w:spacing w:line="360" w:lineRule="auto"/>
        <w:ind w:firstLine="420"/>
      </w:pPr>
      <w:bookmarkStart w:id="36" w:name="_Toc17233326"/>
      <w:bookmarkStart w:id="37" w:name="_Toc24884212"/>
      <w:bookmarkStart w:id="38" w:name="_Toc26648466"/>
      <w:bookmarkStart w:id="39" w:name="_Toc24884219"/>
      <w:bookmarkStart w:id="40" w:name="_Toc17233334"/>
      <w:r>
        <w:rPr>
          <w:rFonts w:hint="eastAsia"/>
        </w:rPr>
        <w:t>本文件规定了工程管理全过程中的数字化技术应用要求、安全管理要求以及实施与评价内容。</w:t>
      </w:r>
    </w:p>
    <w:p w14:paraId="07E6F479">
      <w:pPr>
        <w:pStyle w:val="56"/>
        <w:spacing w:line="360" w:lineRule="auto"/>
        <w:ind w:firstLine="420"/>
      </w:pPr>
      <w:r>
        <w:rPr>
          <w:rFonts w:hint="eastAsia"/>
        </w:rPr>
        <w:t>本文件适用于房屋建筑、市政基础设施等工程的全过程数字化管理，包括BIM技术应用、物联网监测、大数据分析及智能决策支持。</w:t>
      </w:r>
    </w:p>
    <w:p w14:paraId="423D7456">
      <w:pPr>
        <w:pStyle w:val="104"/>
        <w:spacing w:before="240" w:after="240" w:line="360" w:lineRule="auto"/>
      </w:pPr>
      <w:bookmarkStart w:id="41" w:name="_Toc26986772"/>
      <w:bookmarkStart w:id="42" w:name="_Toc26986531"/>
      <w:bookmarkStart w:id="43" w:name="_Toc192603635"/>
      <w:bookmarkStart w:id="44" w:name="_Toc97192965"/>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3D88AC8B7A24C699CBFBDF5286ED5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AA4F1CA">
          <w:pPr>
            <w:pStyle w:val="56"/>
            <w:spacing w:line="360" w:lineRule="auto"/>
            <w:ind w:firstLine="420"/>
          </w:pPr>
          <w:r>
            <w:rPr>
              <w:rFonts w:hint="eastAsia"/>
            </w:rPr>
            <w:t>本文件没有规范性引用文件。</w:t>
          </w:r>
        </w:p>
      </w:sdtContent>
    </w:sdt>
    <w:p w14:paraId="127704FC">
      <w:pPr>
        <w:pStyle w:val="104"/>
        <w:spacing w:before="240" w:after="240" w:line="360" w:lineRule="auto"/>
      </w:pPr>
      <w:bookmarkStart w:id="46" w:name="_Toc192603636"/>
      <w:bookmarkStart w:id="47" w:name="_Toc97192966"/>
      <w:r>
        <w:rPr>
          <w:rFonts w:hint="eastAsia"/>
          <w:szCs w:val="21"/>
        </w:rPr>
        <w:t>术语和定义</w:t>
      </w:r>
      <w:bookmarkEnd w:id="46"/>
      <w:bookmarkEnd w:id="47"/>
    </w:p>
    <w:sdt>
      <w:sdtPr>
        <w:id w:val="-1909835108"/>
        <w:placeholder>
          <w:docPart w:val="F5CAF9587D324591AE79EC24855E6C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B06E639">
          <w:pPr>
            <w:pStyle w:val="56"/>
            <w:spacing w:line="360" w:lineRule="auto"/>
            <w:ind w:firstLine="420"/>
          </w:pPr>
          <w:bookmarkStart w:id="48" w:name="_Toc26986532"/>
          <w:bookmarkEnd w:id="48"/>
          <w:r>
            <w:t>下列术语和定义适用于本文件。</w:t>
          </w:r>
        </w:p>
      </w:sdtContent>
    </w:sdt>
    <w:p w14:paraId="300B348F">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全过程数字化管理</w:t>
      </w:r>
      <w:r>
        <w:rPr>
          <w:rFonts w:hint="eastAsia" w:ascii="黑体" w:hAnsi="黑体" w:eastAsia="黑体"/>
        </w:rPr>
        <w:t xml:space="preserve"> </w:t>
      </w:r>
      <w:r>
        <w:rPr>
          <w:rFonts w:ascii="黑体" w:hAnsi="黑体" w:eastAsia="黑体"/>
        </w:rPr>
        <w:t>d</w:t>
      </w:r>
      <w:r>
        <w:rPr>
          <w:rFonts w:hint="eastAsia" w:ascii="黑体" w:hAnsi="黑体" w:eastAsia="黑体"/>
        </w:rPr>
        <w:t>ig</w:t>
      </w:r>
      <w:r>
        <w:rPr>
          <w:rFonts w:ascii="黑体" w:hAnsi="黑体" w:eastAsia="黑体"/>
        </w:rPr>
        <w:t>ital management of the whole process</w:t>
      </w:r>
    </w:p>
    <w:p w14:paraId="6B2671CA">
      <w:pPr>
        <w:pStyle w:val="56"/>
        <w:spacing w:line="360" w:lineRule="auto"/>
        <w:ind w:firstLine="420"/>
      </w:pPr>
      <w:r>
        <w:t>基于统一数据平台，实现工程策划、设计、施工、运维各阶段数据互联互通与协同管理。</w:t>
      </w:r>
    </w:p>
    <w:p w14:paraId="75A6AEAF">
      <w:pPr>
        <w:pStyle w:val="223"/>
        <w:spacing w:line="360" w:lineRule="auto"/>
        <w:ind w:left="420" w:hanging="420" w:hangingChars="200"/>
        <w:rPr>
          <w:rFonts w:ascii="黑体" w:hAnsi="黑体" w:eastAsia="黑体"/>
        </w:rPr>
      </w:pPr>
      <w:r>
        <w:rPr>
          <w:rFonts w:ascii="黑体" w:hAnsi="黑体" w:eastAsia="黑体"/>
        </w:rPr>
        <w:br w:type="textWrapping"/>
      </w:r>
      <w:r>
        <w:rPr>
          <w:rFonts w:ascii="黑体" w:hAnsi="黑体" w:eastAsia="黑体"/>
        </w:rPr>
        <w:t>数字孪生</w:t>
      </w:r>
      <w:r>
        <w:rPr>
          <w:rFonts w:hint="eastAsia" w:ascii="黑体" w:hAnsi="黑体" w:eastAsia="黑体"/>
        </w:rPr>
        <w:t xml:space="preserve"> </w:t>
      </w:r>
      <w:r>
        <w:rPr>
          <w:rFonts w:ascii="黑体" w:hAnsi="黑体" w:eastAsia="黑体"/>
        </w:rPr>
        <w:t>digital twin</w:t>
      </w:r>
    </w:p>
    <w:p w14:paraId="3CE833DD">
      <w:pPr>
        <w:pStyle w:val="56"/>
        <w:spacing w:line="360" w:lineRule="auto"/>
        <w:ind w:firstLine="420"/>
      </w:pPr>
      <w:r>
        <w:t>通过虚拟模型实时映射物理工程状态，支持模拟分析与决策优化。</w:t>
      </w:r>
    </w:p>
    <w:p w14:paraId="2DFB4CEB">
      <w:pPr>
        <w:pStyle w:val="104"/>
        <w:spacing w:before="240" w:after="240" w:line="360" w:lineRule="auto"/>
      </w:pPr>
      <w:bookmarkStart w:id="49" w:name="_Toc192603637"/>
      <w:r>
        <w:rPr>
          <w:rFonts w:hint="eastAsia"/>
        </w:rPr>
        <w:t>总则</w:t>
      </w:r>
      <w:bookmarkEnd w:id="49"/>
    </w:p>
    <w:p w14:paraId="1CC2B1EF">
      <w:pPr>
        <w:pStyle w:val="56"/>
        <w:spacing w:line="360" w:lineRule="auto"/>
        <w:ind w:firstLine="420"/>
      </w:pPr>
      <w:r>
        <w:rPr>
          <w:rFonts w:hint="eastAsia"/>
        </w:rPr>
        <w:t>工程数字化管理应以“数据驱动、平台支撑、智能决策”为原则，打破信息孤岛。</w:t>
      </w:r>
    </w:p>
    <w:p w14:paraId="7430DA23">
      <w:pPr>
        <w:pStyle w:val="56"/>
        <w:spacing w:line="360" w:lineRule="auto"/>
        <w:ind w:firstLine="420"/>
      </w:pPr>
      <w:r>
        <w:rPr>
          <w:rFonts w:hint="eastAsia"/>
        </w:rPr>
        <w:t>建立统一的数据编码体系与接口标准，确保跨阶段、跨系统数据兼容性。</w:t>
      </w:r>
    </w:p>
    <w:p w14:paraId="52BB1F21">
      <w:pPr>
        <w:pStyle w:val="56"/>
        <w:spacing w:line="360" w:lineRule="auto"/>
        <w:ind w:firstLine="420"/>
      </w:pPr>
      <w:r>
        <w:rPr>
          <w:rFonts w:hint="eastAsia"/>
        </w:rPr>
        <w:t>鼓励应用人工智能、区块链技术提升数据安全性与可信度。</w:t>
      </w:r>
    </w:p>
    <w:p w14:paraId="5DA12CEF">
      <w:pPr>
        <w:pStyle w:val="104"/>
        <w:spacing w:before="240" w:after="240" w:line="360" w:lineRule="auto"/>
      </w:pPr>
      <w:bookmarkStart w:id="50" w:name="_Toc192603638"/>
      <w:r>
        <w:rPr>
          <w:rFonts w:hint="eastAsia"/>
        </w:rPr>
        <w:t>数字化技术应用要求</w:t>
      </w:r>
      <w:bookmarkEnd w:id="50"/>
    </w:p>
    <w:p w14:paraId="0B45C324">
      <w:pPr>
        <w:pStyle w:val="105"/>
        <w:spacing w:before="120" w:after="120" w:line="360" w:lineRule="auto"/>
      </w:pPr>
      <w:r>
        <w:rPr>
          <w:rFonts w:hint="eastAsia"/>
        </w:rPr>
        <w:t>数据标准与集成</w:t>
      </w:r>
    </w:p>
    <w:p w14:paraId="0E5BE84A">
      <w:pPr>
        <w:pStyle w:val="56"/>
        <w:spacing w:line="360" w:lineRule="auto"/>
        <w:ind w:firstLine="420"/>
      </w:pPr>
      <w:r>
        <w:rPr>
          <w:rFonts w:hint="eastAsia"/>
        </w:rPr>
        <w:t>数据分类：按阶段（策划、设计、施工、运维）、类型（几何数据、属性数据、过程数据）分级管理。</w:t>
      </w:r>
    </w:p>
    <w:p w14:paraId="342359F9">
      <w:pPr>
        <w:pStyle w:val="56"/>
        <w:spacing w:line="360" w:lineRule="auto"/>
        <w:ind w:firstLine="420"/>
      </w:pPr>
      <w:r>
        <w:rPr>
          <w:rFonts w:hint="eastAsia"/>
        </w:rPr>
        <w:t>编码规则：采用国际通用分类体系（如Uniclass），构件ID唯一性100%。</w:t>
      </w:r>
    </w:p>
    <w:p w14:paraId="5C9368D5">
      <w:pPr>
        <w:pStyle w:val="56"/>
        <w:spacing w:line="360" w:lineRule="auto"/>
        <w:ind w:firstLine="420"/>
      </w:pPr>
      <w:r>
        <w:rPr>
          <w:rFonts w:hint="eastAsia"/>
        </w:rPr>
        <w:t>接口协议：支持IFC、COBie等标准数据格式，系统间数据互通率≥95%。</w:t>
      </w:r>
    </w:p>
    <w:p w14:paraId="7238EB1D">
      <w:pPr>
        <w:pStyle w:val="56"/>
        <w:spacing w:line="360" w:lineRule="auto"/>
        <w:ind w:firstLine="420"/>
      </w:pPr>
      <w:r>
        <w:rPr>
          <w:rFonts w:hint="eastAsia"/>
        </w:rPr>
        <w:t>工程数据分类编码表示例见附录A。</w:t>
      </w:r>
    </w:p>
    <w:p w14:paraId="3F59FE21">
      <w:pPr>
        <w:pStyle w:val="105"/>
        <w:spacing w:before="120" w:after="120" w:line="360" w:lineRule="auto"/>
      </w:pPr>
      <w:r>
        <w:rPr>
          <w:rFonts w:hint="eastAsia"/>
        </w:rPr>
        <w:t>数字化平台架构</w:t>
      </w:r>
    </w:p>
    <w:p w14:paraId="7A772083">
      <w:pPr>
        <w:pStyle w:val="56"/>
        <w:spacing w:line="360" w:lineRule="auto"/>
        <w:ind w:firstLine="420"/>
      </w:pPr>
      <w:r>
        <w:rPr>
          <w:rFonts w:hint="eastAsia"/>
        </w:rPr>
        <w:t>基础层：云计算基础设施，支持弹性扩展与容灾备份。</w:t>
      </w:r>
    </w:p>
    <w:p w14:paraId="4490230C">
      <w:pPr>
        <w:pStyle w:val="56"/>
        <w:spacing w:line="360" w:lineRule="auto"/>
        <w:ind w:firstLine="420"/>
      </w:pPr>
      <w:r>
        <w:rPr>
          <w:rFonts w:hint="eastAsia"/>
        </w:rPr>
        <w:t>数据层：建立中心数据库，实时接入BIM模型、物联网传感器、无人机巡检数据。</w:t>
      </w:r>
    </w:p>
    <w:p w14:paraId="77E7E0E1">
      <w:pPr>
        <w:pStyle w:val="56"/>
        <w:spacing w:line="360" w:lineRule="auto"/>
        <w:ind w:firstLine="420"/>
      </w:pPr>
      <w:r>
        <w:rPr>
          <w:rFonts w:hint="eastAsia"/>
        </w:rPr>
        <w:t>应用层：开发进度管理、成本预测、质量验评、安全预警等模块。</w:t>
      </w:r>
    </w:p>
    <w:p w14:paraId="6F273F98">
      <w:pPr>
        <w:pStyle w:val="56"/>
        <w:spacing w:line="360" w:lineRule="auto"/>
        <w:ind w:firstLine="420"/>
      </w:pPr>
      <w:r>
        <w:rPr>
          <w:rFonts w:hint="eastAsia"/>
        </w:rPr>
        <w:t>物联网设备技术参数见表1。</w:t>
      </w:r>
    </w:p>
    <w:p w14:paraId="5B0D8F89">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物联网设备技术参数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4AA88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10" w:type="dxa"/>
            <w:tcBorders>
              <w:top w:val="single" w:color="auto" w:sz="8" w:space="0"/>
              <w:bottom w:val="single" w:color="auto" w:sz="8" w:space="0"/>
            </w:tcBorders>
            <w:shd w:val="clear" w:color="auto" w:fill="auto"/>
            <w:vAlign w:val="center"/>
          </w:tcPr>
          <w:p w14:paraId="74D7F939">
            <w:pPr>
              <w:pStyle w:val="178"/>
              <w:rPr>
                <w:rFonts w:hAnsi="宋体"/>
              </w:rPr>
            </w:pPr>
            <w:r>
              <w:rPr>
                <w:rFonts w:hAnsi="宋体"/>
              </w:rPr>
              <w:t>设备类型</w:t>
            </w:r>
          </w:p>
        </w:tc>
        <w:tc>
          <w:tcPr>
            <w:tcW w:w="3112" w:type="dxa"/>
            <w:tcBorders>
              <w:top w:val="single" w:color="auto" w:sz="8" w:space="0"/>
              <w:bottom w:val="single" w:color="auto" w:sz="8" w:space="0"/>
            </w:tcBorders>
            <w:shd w:val="clear" w:color="auto" w:fill="auto"/>
            <w:vAlign w:val="center"/>
          </w:tcPr>
          <w:p w14:paraId="1C80F87E">
            <w:pPr>
              <w:pStyle w:val="178"/>
              <w:rPr>
                <w:rFonts w:hAnsi="宋体"/>
              </w:rPr>
            </w:pPr>
            <w:r>
              <w:rPr>
                <w:rFonts w:hAnsi="宋体"/>
              </w:rPr>
              <w:t>采样频率</w:t>
            </w:r>
          </w:p>
        </w:tc>
        <w:tc>
          <w:tcPr>
            <w:tcW w:w="3112" w:type="dxa"/>
            <w:tcBorders>
              <w:top w:val="single" w:color="auto" w:sz="8" w:space="0"/>
              <w:bottom w:val="single" w:color="auto" w:sz="8" w:space="0"/>
            </w:tcBorders>
            <w:shd w:val="clear" w:color="auto" w:fill="auto"/>
            <w:vAlign w:val="center"/>
          </w:tcPr>
          <w:p w14:paraId="1AC9CC1F">
            <w:pPr>
              <w:pStyle w:val="178"/>
              <w:rPr>
                <w:rFonts w:hAnsi="宋体"/>
              </w:rPr>
            </w:pPr>
            <w:r>
              <w:rPr>
                <w:rFonts w:hAnsi="宋体"/>
              </w:rPr>
              <w:t>精度要求</w:t>
            </w:r>
          </w:p>
        </w:tc>
      </w:tr>
      <w:tr w14:paraId="4B600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3F283F14">
            <w:pPr>
              <w:pStyle w:val="178"/>
              <w:rPr>
                <w:rFonts w:hAnsi="宋体"/>
              </w:rPr>
            </w:pPr>
            <w:r>
              <w:rPr>
                <w:rFonts w:hAnsi="宋体"/>
              </w:rPr>
              <w:t>沉降监测仪</w:t>
            </w:r>
          </w:p>
        </w:tc>
        <w:tc>
          <w:tcPr>
            <w:tcW w:w="3112" w:type="dxa"/>
            <w:tcBorders>
              <w:top w:val="single" w:color="auto" w:sz="8" w:space="0"/>
            </w:tcBorders>
            <w:shd w:val="clear" w:color="auto" w:fill="auto"/>
            <w:vAlign w:val="center"/>
          </w:tcPr>
          <w:p w14:paraId="0608B165">
            <w:pPr>
              <w:pStyle w:val="178"/>
              <w:rPr>
                <w:rFonts w:hAnsi="宋体"/>
              </w:rPr>
            </w:pPr>
            <w:r>
              <w:rPr>
                <w:rFonts w:hAnsi="宋体"/>
              </w:rPr>
              <w:t>1次/10分钟</w:t>
            </w:r>
          </w:p>
        </w:tc>
        <w:tc>
          <w:tcPr>
            <w:tcW w:w="3112" w:type="dxa"/>
            <w:tcBorders>
              <w:top w:val="single" w:color="auto" w:sz="8" w:space="0"/>
            </w:tcBorders>
            <w:shd w:val="clear" w:color="auto" w:fill="auto"/>
            <w:vAlign w:val="center"/>
          </w:tcPr>
          <w:p w14:paraId="168A1BFA">
            <w:pPr>
              <w:pStyle w:val="178"/>
              <w:rPr>
                <w:rFonts w:hAnsi="宋体"/>
              </w:rPr>
            </w:pPr>
            <w:r>
              <w:rPr>
                <w:rFonts w:hAnsi="宋体"/>
              </w:rPr>
              <w:t>±0.1mm</w:t>
            </w:r>
          </w:p>
        </w:tc>
      </w:tr>
      <w:tr w14:paraId="58F30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3DEE3322">
            <w:pPr>
              <w:pStyle w:val="178"/>
              <w:rPr>
                <w:rFonts w:hAnsi="宋体"/>
              </w:rPr>
            </w:pPr>
            <w:r>
              <w:rPr>
                <w:rFonts w:hAnsi="宋体"/>
              </w:rPr>
              <w:t>噪声传感器</w:t>
            </w:r>
          </w:p>
        </w:tc>
        <w:tc>
          <w:tcPr>
            <w:tcW w:w="3112" w:type="dxa"/>
            <w:shd w:val="clear" w:color="auto" w:fill="auto"/>
            <w:vAlign w:val="center"/>
          </w:tcPr>
          <w:p w14:paraId="762C6FF9">
            <w:pPr>
              <w:pStyle w:val="178"/>
              <w:rPr>
                <w:rFonts w:hAnsi="宋体"/>
              </w:rPr>
            </w:pPr>
            <w:r>
              <w:rPr>
                <w:rFonts w:hAnsi="宋体"/>
              </w:rPr>
              <w:t>1次/秒</w:t>
            </w:r>
          </w:p>
        </w:tc>
        <w:tc>
          <w:tcPr>
            <w:tcW w:w="3112" w:type="dxa"/>
            <w:shd w:val="clear" w:color="auto" w:fill="auto"/>
            <w:vAlign w:val="center"/>
          </w:tcPr>
          <w:p w14:paraId="21D08E62">
            <w:pPr>
              <w:pStyle w:val="178"/>
              <w:rPr>
                <w:rFonts w:hAnsi="宋体"/>
              </w:rPr>
            </w:pPr>
            <w:r>
              <w:rPr>
                <w:rFonts w:hAnsi="宋体"/>
              </w:rPr>
              <w:t>±1dB(A)</w:t>
            </w:r>
          </w:p>
        </w:tc>
      </w:tr>
    </w:tbl>
    <w:p w14:paraId="5C38D2F5">
      <w:pPr>
        <w:pStyle w:val="105"/>
        <w:spacing w:before="120" w:after="120" w:line="360" w:lineRule="auto"/>
      </w:pPr>
      <w:r>
        <w:rPr>
          <w:rFonts w:hint="eastAsia"/>
        </w:rPr>
        <w:t>关键技术应用</w:t>
      </w:r>
    </w:p>
    <w:p w14:paraId="0B01FA8B">
      <w:pPr>
        <w:pStyle w:val="56"/>
        <w:spacing w:line="360" w:lineRule="auto"/>
        <w:ind w:firstLine="420"/>
      </w:pPr>
      <w:r>
        <w:rPr>
          <w:rFonts w:hint="eastAsia"/>
        </w:rPr>
        <w:t>BIM技术：</w:t>
      </w:r>
    </w:p>
    <w:p w14:paraId="0E5BD039">
      <w:pPr>
        <w:pStyle w:val="56"/>
        <w:spacing w:line="360" w:lineRule="auto"/>
        <w:ind w:firstLine="420"/>
      </w:pPr>
      <w:r>
        <w:rPr>
          <w:rFonts w:hint="eastAsia"/>
        </w:rPr>
        <w:t>设计阶段：碰撞检测覆盖率100%，优化方案≥3种；</w:t>
      </w:r>
    </w:p>
    <w:p w14:paraId="56A8BE20">
      <w:pPr>
        <w:pStyle w:val="56"/>
        <w:spacing w:line="360" w:lineRule="auto"/>
        <w:ind w:firstLine="420"/>
      </w:pPr>
      <w:r>
        <w:rPr>
          <w:rFonts w:hint="eastAsia"/>
        </w:rPr>
        <w:t>施工阶段：4D进度模拟偏差≤5%，工程量统计误差≤2%。</w:t>
      </w:r>
    </w:p>
    <w:p w14:paraId="7258286A">
      <w:pPr>
        <w:pStyle w:val="56"/>
        <w:spacing w:line="360" w:lineRule="auto"/>
        <w:ind w:firstLine="420"/>
      </w:pPr>
      <w:r>
        <w:rPr>
          <w:rFonts w:hint="eastAsia"/>
        </w:rPr>
        <w:t>物联网监测：</w:t>
      </w:r>
    </w:p>
    <w:p w14:paraId="700BFB3A">
      <w:pPr>
        <w:pStyle w:val="56"/>
        <w:spacing w:line="360" w:lineRule="auto"/>
        <w:ind w:firstLine="420"/>
      </w:pPr>
      <w:r>
        <w:rPr>
          <w:rFonts w:hint="eastAsia"/>
        </w:rPr>
        <w:t>关键部位（深基坑、高支模）传感器布设率100%，数据采集频率≥1次/分钟。</w:t>
      </w:r>
    </w:p>
    <w:p w14:paraId="404C16BB">
      <w:pPr>
        <w:pStyle w:val="56"/>
        <w:spacing w:line="360" w:lineRule="auto"/>
        <w:ind w:firstLine="420"/>
      </w:pPr>
      <w:r>
        <w:rPr>
          <w:rFonts w:hint="eastAsia"/>
        </w:rPr>
        <w:t>人工智能分析：</w:t>
      </w:r>
    </w:p>
    <w:p w14:paraId="1DF8D102">
      <w:pPr>
        <w:pStyle w:val="56"/>
        <w:spacing w:line="360" w:lineRule="auto"/>
        <w:ind w:firstLine="420"/>
      </w:pPr>
      <w:r>
        <w:rPr>
          <w:rFonts w:hint="eastAsia"/>
        </w:rPr>
        <w:t>安全风险识别准确率≥90%，进度延误预警提前量≥7天。</w:t>
      </w:r>
    </w:p>
    <w:p w14:paraId="06BE9255">
      <w:pPr>
        <w:pStyle w:val="105"/>
        <w:spacing w:before="120" w:after="120" w:line="360" w:lineRule="auto"/>
      </w:pPr>
      <w:r>
        <w:rPr>
          <w:rFonts w:hint="eastAsia"/>
        </w:rPr>
        <w:t>协同管理</w:t>
      </w:r>
    </w:p>
    <w:p w14:paraId="5800860B">
      <w:pPr>
        <w:pStyle w:val="56"/>
        <w:spacing w:line="360" w:lineRule="auto"/>
        <w:ind w:firstLine="420"/>
      </w:pPr>
      <w:r>
        <w:rPr>
          <w:rFonts w:hint="eastAsia"/>
        </w:rPr>
        <w:t>多方协同：设计、施工、监理单位基于同一平台协作，任务响应时间≤24小时。</w:t>
      </w:r>
    </w:p>
    <w:p w14:paraId="0C575445">
      <w:pPr>
        <w:pStyle w:val="56"/>
        <w:spacing w:line="360" w:lineRule="auto"/>
        <w:ind w:firstLine="420"/>
      </w:pPr>
      <w:r>
        <w:rPr>
          <w:rFonts w:hint="eastAsia"/>
        </w:rPr>
        <w:t>移动终端：现场人员APP使用率≥90%，问题闭环处理率≥95%。</w:t>
      </w:r>
    </w:p>
    <w:p w14:paraId="34D60D8E">
      <w:pPr>
        <w:pStyle w:val="104"/>
        <w:spacing w:before="240" w:after="240" w:line="360" w:lineRule="auto"/>
      </w:pPr>
      <w:bookmarkStart w:id="51" w:name="_Toc192603639"/>
      <w:r>
        <w:rPr>
          <w:rFonts w:hint="eastAsia"/>
        </w:rPr>
        <w:t>安全管理要求</w:t>
      </w:r>
      <w:bookmarkEnd w:id="51"/>
    </w:p>
    <w:p w14:paraId="12D2D4A9">
      <w:pPr>
        <w:pStyle w:val="105"/>
        <w:spacing w:before="120" w:after="120" w:line="360" w:lineRule="auto"/>
      </w:pPr>
      <w:r>
        <w:rPr>
          <w:rFonts w:hint="eastAsia"/>
        </w:rPr>
        <w:t>数据安全</w:t>
      </w:r>
    </w:p>
    <w:p w14:paraId="3D35033A">
      <w:pPr>
        <w:pStyle w:val="56"/>
        <w:spacing w:line="360" w:lineRule="auto"/>
        <w:ind w:firstLine="420"/>
      </w:pPr>
      <w:r>
        <w:rPr>
          <w:rFonts w:hint="eastAsia"/>
        </w:rPr>
        <w:t>分级保护：核心设计数据加密存储，访问权限按角色动态分配。</w:t>
      </w:r>
    </w:p>
    <w:p w14:paraId="14D3881E">
      <w:pPr>
        <w:pStyle w:val="56"/>
        <w:spacing w:line="360" w:lineRule="auto"/>
        <w:ind w:firstLine="420"/>
      </w:pPr>
      <w:r>
        <w:rPr>
          <w:rFonts w:hint="eastAsia"/>
        </w:rPr>
        <w:t>区块链存证：关键工序验收数据上链，防篡改率100%。</w:t>
      </w:r>
    </w:p>
    <w:p w14:paraId="7F4C181E">
      <w:pPr>
        <w:pStyle w:val="105"/>
        <w:spacing w:before="120" w:after="120" w:line="360" w:lineRule="auto"/>
      </w:pPr>
      <w:r>
        <w:rPr>
          <w:rFonts w:hint="eastAsia"/>
        </w:rPr>
        <w:t>系统安全</w:t>
      </w:r>
    </w:p>
    <w:p w14:paraId="25462100">
      <w:pPr>
        <w:pStyle w:val="56"/>
        <w:spacing w:line="360" w:lineRule="auto"/>
        <w:ind w:firstLine="420"/>
      </w:pPr>
      <w:r>
        <w:rPr>
          <w:rFonts w:hint="eastAsia"/>
        </w:rPr>
        <w:t>网络安全等级保护不低于三级，定期渗透测试每年≥1次。</w:t>
      </w:r>
    </w:p>
    <w:p w14:paraId="7BE5FC8A">
      <w:pPr>
        <w:pStyle w:val="104"/>
        <w:spacing w:before="240" w:after="240" w:line="360" w:lineRule="auto"/>
      </w:pPr>
      <w:bookmarkStart w:id="52" w:name="_Toc192603640"/>
      <w:r>
        <w:rPr>
          <w:rFonts w:hint="eastAsia"/>
        </w:rPr>
        <w:t>实施与评价</w:t>
      </w:r>
      <w:bookmarkEnd w:id="52"/>
    </w:p>
    <w:p w14:paraId="4116334B">
      <w:pPr>
        <w:pStyle w:val="105"/>
        <w:spacing w:before="120" w:after="120" w:line="360" w:lineRule="auto"/>
      </w:pPr>
      <w:r>
        <w:rPr>
          <w:rFonts w:hint="eastAsia"/>
        </w:rPr>
        <w:t>实施流程</w:t>
      </w:r>
    </w:p>
    <w:p w14:paraId="0BBA9326">
      <w:pPr>
        <w:pStyle w:val="56"/>
        <w:spacing w:line="360" w:lineRule="auto"/>
        <w:ind w:firstLine="420"/>
      </w:pPr>
      <w:r>
        <w:rPr>
          <w:rFonts w:hint="eastAsia"/>
        </w:rPr>
        <w:t>策划阶段：制定数字化管理大纲，明确目标与资源配置；</w:t>
      </w:r>
    </w:p>
    <w:p w14:paraId="4E52861C">
      <w:pPr>
        <w:pStyle w:val="56"/>
        <w:spacing w:line="360" w:lineRule="auto"/>
        <w:ind w:firstLine="420"/>
      </w:pPr>
      <w:r>
        <w:rPr>
          <w:rFonts w:hint="eastAsia"/>
        </w:rPr>
        <w:t>执行阶段：分步部署平台功能，开展全员培训；</w:t>
      </w:r>
    </w:p>
    <w:p w14:paraId="5F4F64C9">
      <w:pPr>
        <w:pStyle w:val="56"/>
        <w:spacing w:line="360" w:lineRule="auto"/>
        <w:ind w:firstLine="420"/>
      </w:pPr>
      <w:r>
        <w:rPr>
          <w:rFonts w:hint="eastAsia"/>
        </w:rPr>
        <w:t>运维阶段：持续优化模型，数据移交至运营方。</w:t>
      </w:r>
    </w:p>
    <w:p w14:paraId="6916C1D7">
      <w:pPr>
        <w:pStyle w:val="105"/>
        <w:spacing w:before="120" w:after="120" w:line="360" w:lineRule="auto"/>
      </w:pPr>
      <w:r>
        <w:rPr>
          <w:rFonts w:hint="eastAsia"/>
        </w:rPr>
        <w:t>评价指标</w:t>
      </w:r>
    </w:p>
    <w:p w14:paraId="29175070">
      <w:pPr>
        <w:pStyle w:val="56"/>
        <w:spacing w:line="360" w:lineRule="auto"/>
        <w:ind w:firstLine="420"/>
      </w:pPr>
      <w:r>
        <w:rPr>
          <w:rFonts w:hint="eastAsia"/>
        </w:rPr>
        <w:t>基础级：实现单阶段数字化管理（如BIM设计）；</w:t>
      </w:r>
    </w:p>
    <w:p w14:paraId="0431F803">
      <w:pPr>
        <w:pStyle w:val="56"/>
        <w:spacing w:line="360" w:lineRule="auto"/>
        <w:ind w:firstLine="420"/>
      </w:pPr>
      <w:r>
        <w:rPr>
          <w:rFonts w:hint="eastAsia"/>
        </w:rPr>
        <w:t>进阶级：多阶段数据贯通，AI辅助决策；</w:t>
      </w:r>
    </w:p>
    <w:p w14:paraId="6FA609BB">
      <w:pPr>
        <w:pStyle w:val="56"/>
        <w:spacing w:line="360" w:lineRule="auto"/>
        <w:ind w:firstLine="420"/>
      </w:pPr>
      <w:r>
        <w:rPr>
          <w:rFonts w:hint="eastAsia"/>
        </w:rPr>
        <w:t>领先级：全生命周期数字孪生，自动化率≥80%。</w:t>
      </w:r>
    </w:p>
    <w:p w14:paraId="087D97B3">
      <w:pPr>
        <w:pStyle w:val="56"/>
        <w:ind w:firstLine="420"/>
      </w:pPr>
    </w:p>
    <w:p w14:paraId="001C22ED">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pPr>
    </w:p>
    <w:bookmarkEnd w:id="24"/>
    <w:p w14:paraId="24CDE3D0">
      <w:pPr>
        <w:pStyle w:val="198"/>
      </w:pPr>
      <w:bookmarkStart w:id="53" w:name="BookMark5"/>
    </w:p>
    <w:p w14:paraId="0B99A845">
      <w:pPr>
        <w:pStyle w:val="199"/>
      </w:pPr>
    </w:p>
    <w:p w14:paraId="79B20FE3">
      <w:pPr>
        <w:pStyle w:val="76"/>
        <w:spacing w:after="120" w:line="360" w:lineRule="auto"/>
      </w:pPr>
      <w:r>
        <w:br w:type="textWrapping"/>
      </w:r>
      <w:bookmarkStart w:id="54" w:name="_Toc192603641"/>
      <w:r>
        <w:rPr>
          <w:rFonts w:hint="eastAsia"/>
        </w:rPr>
        <w:t>（资料性）</w:t>
      </w:r>
      <w:r>
        <w:br w:type="textWrapping"/>
      </w:r>
      <w:r>
        <w:rPr>
          <w:rFonts w:hint="eastAsia"/>
        </w:rPr>
        <w:t>工程数据分类编码表</w:t>
      </w:r>
      <w:bookmarkEnd w:id="54"/>
    </w:p>
    <w:p w14:paraId="4D2C0AA8">
      <w:pPr>
        <w:pStyle w:val="78"/>
        <w:spacing w:before="120" w:after="120" w:line="360" w:lineRule="auto"/>
      </w:pPr>
      <w:r>
        <w:rPr>
          <w:rFonts w:hint="eastAsia"/>
        </w:rPr>
        <w:t>工程数据分类编码表示例见表A</w:t>
      </w:r>
      <w:r>
        <w:t>.1</w:t>
      </w:r>
      <w:r>
        <w:rPr>
          <w:rFonts w:hint="eastAsia"/>
        </w:rPr>
        <w:t>。</w:t>
      </w:r>
    </w:p>
    <w:p w14:paraId="77041301">
      <w:pPr>
        <w:pStyle w:val="56"/>
        <w:spacing w:line="360" w:lineRule="auto"/>
        <w:ind w:firstLine="0" w:firstLineChars="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工程数据分类编码表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0A451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7365A478">
            <w:pPr>
              <w:pStyle w:val="178"/>
            </w:pPr>
            <w:r>
              <w:rPr>
                <w:rFonts w:hint="eastAsia"/>
              </w:rPr>
              <w:t>数据类别</w:t>
            </w:r>
          </w:p>
        </w:tc>
        <w:tc>
          <w:tcPr>
            <w:tcW w:w="3115" w:type="dxa"/>
            <w:tcBorders>
              <w:top w:val="single" w:color="auto" w:sz="8" w:space="0"/>
              <w:bottom w:val="single" w:color="auto" w:sz="8" w:space="0"/>
            </w:tcBorders>
            <w:shd w:val="clear" w:color="auto" w:fill="auto"/>
            <w:vAlign w:val="center"/>
          </w:tcPr>
          <w:p w14:paraId="1D638383">
            <w:pPr>
              <w:pStyle w:val="178"/>
            </w:pPr>
            <w:r>
              <w:rPr>
                <w:rFonts w:hint="eastAsia"/>
              </w:rPr>
              <w:t>编码规则</w:t>
            </w:r>
          </w:p>
        </w:tc>
        <w:tc>
          <w:tcPr>
            <w:tcW w:w="3115" w:type="dxa"/>
            <w:tcBorders>
              <w:top w:val="single" w:color="auto" w:sz="8" w:space="0"/>
              <w:bottom w:val="single" w:color="auto" w:sz="8" w:space="0"/>
            </w:tcBorders>
            <w:shd w:val="clear" w:color="auto" w:fill="auto"/>
            <w:vAlign w:val="center"/>
          </w:tcPr>
          <w:p w14:paraId="0DB8EC12">
            <w:pPr>
              <w:pStyle w:val="178"/>
            </w:pPr>
            <w:r>
              <w:rPr>
                <w:rFonts w:hint="eastAsia"/>
              </w:rPr>
              <w:t>示例</w:t>
            </w:r>
          </w:p>
        </w:tc>
      </w:tr>
      <w:tr w14:paraId="2378F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17FD7339">
            <w:pPr>
              <w:pStyle w:val="178"/>
            </w:pPr>
            <w:r>
              <w:rPr>
                <w:rFonts w:hint="eastAsia"/>
              </w:rPr>
              <w:t>结构构件</w:t>
            </w:r>
          </w:p>
        </w:tc>
        <w:tc>
          <w:tcPr>
            <w:tcW w:w="3115" w:type="dxa"/>
            <w:tcBorders>
              <w:top w:val="single" w:color="auto" w:sz="8" w:space="0"/>
            </w:tcBorders>
            <w:shd w:val="clear" w:color="auto" w:fill="auto"/>
            <w:vAlign w:val="center"/>
          </w:tcPr>
          <w:p w14:paraId="713A1FEE">
            <w:pPr>
              <w:pStyle w:val="178"/>
            </w:pPr>
            <w:r>
              <w:rPr>
                <w:rFonts w:hint="eastAsia"/>
              </w:rPr>
              <w:t>PM-STR-001</w:t>
            </w:r>
          </w:p>
        </w:tc>
        <w:tc>
          <w:tcPr>
            <w:tcW w:w="3115" w:type="dxa"/>
            <w:tcBorders>
              <w:top w:val="single" w:color="auto" w:sz="8" w:space="0"/>
            </w:tcBorders>
            <w:shd w:val="clear" w:color="auto" w:fill="auto"/>
            <w:vAlign w:val="center"/>
          </w:tcPr>
          <w:p w14:paraId="5DE7DF93">
            <w:pPr>
              <w:pStyle w:val="178"/>
            </w:pPr>
            <w:r>
              <w:rPr>
                <w:rFonts w:hint="eastAsia"/>
              </w:rPr>
              <w:t>PM-STR-001（柱）</w:t>
            </w:r>
          </w:p>
        </w:tc>
      </w:tr>
      <w:tr w14:paraId="2EB26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7387C5C6">
            <w:pPr>
              <w:pStyle w:val="178"/>
            </w:pPr>
            <w:r>
              <w:rPr>
                <w:rFonts w:hint="eastAsia"/>
              </w:rPr>
              <w:t>机电设备</w:t>
            </w:r>
          </w:p>
        </w:tc>
        <w:tc>
          <w:tcPr>
            <w:tcW w:w="3115" w:type="dxa"/>
            <w:shd w:val="clear" w:color="auto" w:fill="auto"/>
            <w:vAlign w:val="center"/>
          </w:tcPr>
          <w:p w14:paraId="3ABB33B1">
            <w:pPr>
              <w:pStyle w:val="178"/>
            </w:pPr>
            <w:r>
              <w:rPr>
                <w:rFonts w:hint="eastAsia"/>
              </w:rPr>
              <w:t>PM-MEP-002</w:t>
            </w:r>
          </w:p>
        </w:tc>
        <w:tc>
          <w:tcPr>
            <w:tcW w:w="3115" w:type="dxa"/>
            <w:shd w:val="clear" w:color="auto" w:fill="auto"/>
            <w:vAlign w:val="center"/>
          </w:tcPr>
          <w:p w14:paraId="3ABAE365">
            <w:pPr>
              <w:pStyle w:val="178"/>
            </w:pPr>
            <w:r>
              <w:rPr>
                <w:rFonts w:hint="eastAsia"/>
              </w:rPr>
              <w:t>PM-MEP-002（风机）</w:t>
            </w:r>
          </w:p>
        </w:tc>
      </w:tr>
      <w:bookmarkEnd w:id="53"/>
    </w:tbl>
    <w:p w14:paraId="2F53126A">
      <w:pPr>
        <w:pStyle w:val="56"/>
        <w:ind w:firstLine="0" w:firstLineChars="0"/>
        <w:jc w:val="center"/>
      </w:pPr>
      <w:bookmarkStart w:id="55" w:name="BookMark8"/>
      <w:r>
        <w:drawing>
          <wp:inline distT="0" distB="0" distL="0" distR="0">
            <wp:extent cx="1485900" cy="317500"/>
            <wp:effectExtent l="0" t="0" r="0" b="6350"/>
            <wp:docPr id="951245663" name="图片 5"/>
            <wp:cNvGraphicFramePr/>
            <a:graphic xmlns:a="http://schemas.openxmlformats.org/drawingml/2006/main">
              <a:graphicData uri="http://schemas.openxmlformats.org/drawingml/2006/picture">
                <pic:pic xmlns:pic="http://schemas.openxmlformats.org/drawingml/2006/picture">
                  <pic:nvPicPr>
                    <pic:cNvPr id="951245663" name="图片 5"/>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A85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5079">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7615">
    <w:pPr>
      <w:pStyle w:val="51"/>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C0A3">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912B">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A66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B96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4FB1">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7C12">
    <w:pPr>
      <w:pStyle w:val="51"/>
    </w:pPr>
    <w:r>
      <w:fldChar w:fldCharType="begin"/>
    </w:r>
    <w:r>
      <w:instrText xml:space="preserve"> PAGE   \* MERGEFORMAT \* MERGEFORMAT </w:instrText>
    </w:r>
    <w:r>
      <w:fldChar w:fldCharType="separate"/>
    </w:r>
    <w: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B57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C417">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ED4C">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31E8">
    <w:pPr>
      <w:pStyle w:val="51"/>
    </w:pPr>
    <w:r>
      <w:fldChar w:fldCharType="begin"/>
    </w:r>
    <w:r>
      <w:instrText xml:space="preserve"> PAGE   \* MERGEFORMAT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040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52ED">
    <w:pPr>
      <w:pStyle w:val="61"/>
    </w:pPr>
    <w:r>
      <w:fldChar w:fldCharType="begin"/>
    </w:r>
    <w:r>
      <w:instrText xml:space="preserve"> STYLEREF  标准文件_文件编号  \* MERGEFORMAT </w:instrText>
    </w:r>
    <w:r>
      <w:fldChar w:fldCharType="separate"/>
    </w:r>
    <w:r>
      <w:t>T/XZBX 0006—2025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F3F4">
    <w:pPr>
      <w:pStyle w:val="62"/>
    </w:pPr>
    <w:r>
      <w:fldChar w:fldCharType="begin"/>
    </w:r>
    <w:r>
      <w:instrText xml:space="preserve"> STYLEREF  标准文件_文件编号 \* MERGEFORMAT </w:instrText>
    </w:r>
    <w:r>
      <w:fldChar w:fldCharType="separate"/>
    </w:r>
    <w:r>
      <w:t>T/XZBX 0006—2025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AAD5">
    <w:pPr>
      <w:pStyle w:val="61"/>
    </w:pPr>
    <w:r>
      <w:fldChar w:fldCharType="begin"/>
    </w:r>
    <w:r>
      <w:instrText xml:space="preserve"> STYLEREF  标准文件_文件编号  \* MERGEFORMAT </w:instrText>
    </w:r>
    <w:r>
      <w:fldChar w:fldCharType="separate"/>
    </w:r>
    <w:r>
      <w:t>T/XZBX 0006—2025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4705">
    <w:pPr>
      <w:pStyle w:val="62"/>
    </w:pPr>
    <w:r>
      <w:fldChar w:fldCharType="begin"/>
    </w:r>
    <w:r>
      <w:instrText xml:space="preserve"> STYLEREF  标准文件_文件编号 \* MERGEFORMAT </w:instrText>
    </w:r>
    <w:r>
      <w:fldChar w:fldCharType="separate"/>
    </w:r>
    <w:r>
      <w:t>T/XZBX 0006—2025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F63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A50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715D">
    <w:pPr>
      <w:pStyle w:val="61"/>
    </w:pPr>
    <w:r>
      <w:fldChar w:fldCharType="begin"/>
    </w:r>
    <w:r>
      <w:instrText xml:space="preserve"> STYLEREF  标准文件_文件编号  \* MERGEFORMAT </w:instrText>
    </w:r>
    <w:r>
      <w:fldChar w:fldCharType="separate"/>
    </w:r>
    <w:r>
      <w:t>T/XZBX 0006—2025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F958">
    <w:pPr>
      <w:pStyle w:val="62"/>
    </w:pPr>
    <w:r>
      <w:fldChar w:fldCharType="begin"/>
    </w:r>
    <w:r>
      <w:instrText xml:space="preserve"> STYLEREF  标准文件_文件编号 \* MERGEFORMAT </w:instrText>
    </w:r>
    <w:r>
      <w:fldChar w:fldCharType="separate"/>
    </w:r>
    <w:r>
      <w:t>T/XZBX 0006—2025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6FC2">
    <w:pPr>
      <w:pStyle w:val="61"/>
    </w:pPr>
    <w:r>
      <w:fldChar w:fldCharType="begin"/>
    </w:r>
    <w:r>
      <w:instrText xml:space="preserve"> STYLEREF  标准文件_文件编号  \* MERGEFORMAT </w:instrText>
    </w:r>
    <w:r>
      <w:fldChar w:fldCharType="separate"/>
    </w:r>
    <w:r>
      <w:t>T/XZBX 0006—2025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9CFB">
    <w:pPr>
      <w:pStyle w:val="62"/>
    </w:pPr>
    <w:r>
      <w:fldChar w:fldCharType="begin"/>
    </w:r>
    <w:r>
      <w:instrText xml:space="preserve"> STYLEREF  标准文件_文件编号 \* MERGEFORMAT </w:instrText>
    </w:r>
    <w:r>
      <w:fldChar w:fldCharType="separate"/>
    </w:r>
    <w:r>
      <w:t>T/XZBX 0006—2025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B5B7">
    <w:pPr>
      <w:pStyle w:val="61"/>
    </w:pPr>
    <w:r>
      <w:fldChar w:fldCharType="begin"/>
    </w:r>
    <w:r>
      <w:instrText xml:space="preserve"> STYLEREF  标准文件_文件编号  \* MERGEFORMAT </w:instrText>
    </w:r>
    <w:r>
      <w:fldChar w:fldCharType="separate"/>
    </w:r>
    <w:r>
      <w:t>T/XZBX 0006—2025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4D5A">
    <w:pPr>
      <w:pStyle w:val="62"/>
    </w:pPr>
    <w:r>
      <w:fldChar w:fldCharType="begin"/>
    </w:r>
    <w:r>
      <w:instrText xml:space="preserve"> STYLEREF  标准文件_文件编号 \* MERGEFORMAT </w:instrText>
    </w:r>
    <w:r>
      <w:fldChar w:fldCharType="separate"/>
    </w:r>
    <w:r>
      <w:t>T/XZBX 0006—2025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NTI1MDa0NABCUyUdpeDU4uLM/DyQAqNaAICtKgIsAAAA"/>
  </w:docVars>
  <w:rsids>
    <w:rsidRoot w:val="00A67BE8"/>
    <w:rsid w:val="0000040A"/>
    <w:rsid w:val="00000A94"/>
    <w:rsid w:val="00001972"/>
    <w:rsid w:val="00001D9A"/>
    <w:rsid w:val="00006A2D"/>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29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456"/>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50A"/>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6E5"/>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E8"/>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84A"/>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77A7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451"/>
    <w:rsid w:val="00F71E22"/>
    <w:rsid w:val="00F72142"/>
    <w:rsid w:val="00F72AE7"/>
    <w:rsid w:val="00F833BA"/>
    <w:rsid w:val="00F838C5"/>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92025A"/>
    <w:rsid w:val="13386075"/>
    <w:rsid w:val="42080824"/>
    <w:rsid w:val="6AC4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4356A3AA5C4830A732D1B640DA66BD"/>
        <w:style w:val=""/>
        <w:category>
          <w:name w:val="常规"/>
          <w:gallery w:val="placeholder"/>
        </w:category>
        <w:types>
          <w:type w:val="bbPlcHdr"/>
        </w:types>
        <w:behaviors>
          <w:behavior w:val="content"/>
        </w:behaviors>
        <w:description w:val=""/>
        <w:guid w:val="{2382FB8D-C903-44B8-BCBB-755E074647F9}"/>
      </w:docPartPr>
      <w:docPartBody>
        <w:p w14:paraId="010929F4">
          <w:pPr>
            <w:pStyle w:val="5"/>
          </w:pPr>
          <w:r>
            <w:rPr>
              <w:rStyle w:val="4"/>
              <w:rFonts w:hint="eastAsia"/>
            </w:rPr>
            <w:t>单击或点击此处输入文字。</w:t>
          </w:r>
        </w:p>
      </w:docPartBody>
    </w:docPart>
    <w:docPart>
      <w:docPartPr>
        <w:name w:val="93D88AC8B7A24C699CBFBDF5286ED544"/>
        <w:style w:val=""/>
        <w:category>
          <w:name w:val="常规"/>
          <w:gallery w:val="placeholder"/>
        </w:category>
        <w:types>
          <w:type w:val="bbPlcHdr"/>
        </w:types>
        <w:behaviors>
          <w:behavior w:val="content"/>
        </w:behaviors>
        <w:description w:val=""/>
        <w:guid w:val="{6B9709D9-6FBB-4314-BF44-7AFDBFB36C69}"/>
      </w:docPartPr>
      <w:docPartBody>
        <w:p w14:paraId="1ED6E2AF">
          <w:pPr>
            <w:pStyle w:val="6"/>
          </w:pPr>
          <w:r>
            <w:rPr>
              <w:rStyle w:val="4"/>
              <w:rFonts w:hint="eastAsia"/>
            </w:rPr>
            <w:t>选择一项。</w:t>
          </w:r>
        </w:p>
      </w:docPartBody>
    </w:docPart>
    <w:docPart>
      <w:docPartPr>
        <w:name w:val="F5CAF9587D324591AE79EC24855E6C4F"/>
        <w:style w:val=""/>
        <w:category>
          <w:name w:val="常规"/>
          <w:gallery w:val="placeholder"/>
        </w:category>
        <w:types>
          <w:type w:val="bbPlcHdr"/>
        </w:types>
        <w:behaviors>
          <w:behavior w:val="content"/>
        </w:behaviors>
        <w:description w:val=""/>
        <w:guid w:val="{76223040-648C-48C4-AA69-A780B97EF6A1}"/>
      </w:docPartPr>
      <w:docPartBody>
        <w:p w14:paraId="3163DC0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9D"/>
    <w:rsid w:val="00433419"/>
    <w:rsid w:val="00C0745A"/>
    <w:rsid w:val="00CD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C4356A3AA5C4830A732D1B640DA66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3D88AC8B7A24C699CBFBDF5286ED5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CAF9587D324591AE79EC24855E6C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1939</Words>
  <Characters>2191</Characters>
  <Lines>22</Lines>
  <Paragraphs>6</Paragraphs>
  <TotalTime>59</TotalTime>
  <ScaleCrop>false</ScaleCrop>
  <LinksUpToDate>false</LinksUpToDate>
  <CharactersWithSpaces>2251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2025-03-11T07:41:00Z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2025-03-19T02:09:55Z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0966D57E0C394761B0C02E0ABCE38082_12</vt:lpwstr>
  </property>
</Properties>
</file>