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BD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449602B">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2DFB0A0B">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35.2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35.240</w:t>
            </w:r>
            <w:r>
              <w:rPr>
                <w:rFonts w:ascii="宋体" w:hAnsi="宋体"/>
                <w:sz w:val="21"/>
                <w:szCs w:val="21"/>
              </w:rPr>
              <w:fldChar w:fldCharType="end"/>
            </w:r>
            <w:bookmarkEnd w:id="0"/>
          </w:p>
        </w:tc>
      </w:tr>
      <w:tr w14:paraId="475E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7D4F48">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680D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1578A79">
                  <w:pPr>
                    <w:pStyle w:val="49"/>
                    <w:framePr w:wrap="notBeside" w:vAnchor="page" w:hAnchor="page" w:x="1372" w:y="568"/>
                    <w:ind w:left="420" w:right="624"/>
                    <w:rPr>
                      <w:rFonts w:ascii="宋体" w:hAnsi="宋体"/>
                      <w:sz w:val="28"/>
                      <w:szCs w:val="28"/>
                    </w:rPr>
                  </w:pPr>
                </w:p>
              </w:tc>
            </w:tr>
          </w:tbl>
          <w:p w14:paraId="40DF08B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P 3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P 30</w:t>
            </w:r>
            <w:r>
              <w:rPr>
                <w:rFonts w:ascii="宋体" w:hAnsi="宋体"/>
                <w:sz w:val="21"/>
                <w:szCs w:val="21"/>
              </w:rPr>
              <w:fldChar w:fldCharType="end"/>
            </w:r>
            <w:bookmarkEnd w:id="1"/>
          </w:p>
        </w:tc>
      </w:tr>
    </w:tbl>
    <w:p w14:paraId="043D84CA">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471BFE8B">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4"/>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0004</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800E713">
      <w:pPr>
        <w:pStyle w:val="196"/>
        <w:rPr>
          <w:rFonts w:ascii="宋体" w:hAnsi="宋体" w:eastAsia="宋体"/>
          <w:szCs w:val="21"/>
        </w:rPr>
      </w:pPr>
      <w:r>
        <w:rPr>
          <w:rFonts w:ascii="宋体" w:hAnsi="宋体" w:eastAsia="宋体"/>
          <w:szCs w:val="21"/>
        </w:rPr>
        <w:fldChar w:fldCharType="begin">
          <w:ffData>
            <w:name w:val="OSTD_CODE"/>
            <w:enabled/>
            <w:calcOnExit w:val="0"/>
            <w:textInput/>
          </w:ffData>
        </w:fldChar>
      </w:r>
      <w:bookmarkStart w:id="6" w:name="OSTD_CODE"/>
      <w:r>
        <w:rPr>
          <w:rFonts w:ascii="宋体" w:hAnsi="宋体" w:eastAsia="宋体"/>
          <w:szCs w:val="21"/>
        </w:rPr>
        <w:instrText xml:space="preserve"> FORMTEXT </w:instrText>
      </w:r>
      <w:r>
        <w:rPr>
          <w:rFonts w:ascii="宋体" w:hAnsi="宋体" w:eastAsia="宋体"/>
          <w:szCs w:val="21"/>
        </w:rPr>
        <w:fldChar w:fldCharType="separate"/>
      </w:r>
      <w:r>
        <w:rPr>
          <w:rFonts w:ascii="宋体" w:hAnsi="宋体" w:eastAsia="宋体"/>
          <w:szCs w:val="21"/>
        </w:rPr>
        <w:t>     </w:t>
      </w:r>
      <w:r>
        <w:rPr>
          <w:rFonts w:ascii="宋体" w:hAnsi="宋体" w:eastAsia="宋体"/>
          <w:szCs w:val="21"/>
        </w:rPr>
        <w:fldChar w:fldCharType="end"/>
      </w:r>
      <w:bookmarkEnd w:id="6"/>
    </w:p>
    <w:p w14:paraId="75AD8FC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4NJltgAAAAM&#10;AQAADwAAAAAAAAABACAAAAAiAAAAZHJzL2Rvd25yZXYueG1sUEsBAhQAFAAAAAgAh07iQGaVUH3j&#10;AQAAqwMAAA4AAAAAAAAAAQAgAAAAJwEAAGRycy9lMm9Eb2MueG1sUEsFBgAAAAAGAAYAWQEAAHwF&#10;AAAAAA==&#10;">
                <v:fill on="f" focussize="0,0"/>
                <v:stroke color="#000000" joinstyle="round"/>
                <v:imagedata o:title=""/>
                <o:lock v:ext="edit" aspectratio="f"/>
              </v:line>
            </w:pict>
          </mc:Fallback>
        </mc:AlternateContent>
      </w:r>
    </w:p>
    <w:p w14:paraId="1E72ABC1">
      <w:pPr>
        <w:pStyle w:val="50"/>
        <w:framePr w:w="9639" w:h="6976" w:hRule="exact" w:hSpace="0" w:vSpace="0" w:wrap="around" w:hAnchor="page" w:y="6408"/>
        <w:jc w:val="center"/>
        <w:rPr>
          <w:rFonts w:ascii="黑体" w:hAnsi="黑体" w:eastAsia="黑体"/>
          <w:b w:val="0"/>
          <w:bCs w:val="0"/>
          <w:w w:val="100"/>
        </w:rPr>
      </w:pPr>
    </w:p>
    <w:p w14:paraId="3033BD64">
      <w:pPr>
        <w:pStyle w:val="197"/>
        <w:framePr w:h="6974" w:hRule="exact" w:wrap="around" w:x="1419" w:anchorLock="1"/>
        <w:rPr>
          <w:sz w:val="48"/>
          <w:szCs w:val="48"/>
        </w:rPr>
      </w:pPr>
      <w:r>
        <w:rPr>
          <w:sz w:val="48"/>
          <w:szCs w:val="48"/>
        </w:rPr>
        <w:fldChar w:fldCharType="begin">
          <w:ffData>
            <w:name w:val="CSTD_NAME"/>
            <w:enabled/>
            <w:calcOnExit w:val="0"/>
            <w:textInput>
              <w:default w:val="建筑工程绿色施工与环境保护技术规程"/>
            </w:textInput>
          </w:ffData>
        </w:fldChar>
      </w:r>
      <w:bookmarkStart w:id="7" w:name="CSTD_NAME"/>
      <w:r>
        <w:rPr>
          <w:sz w:val="48"/>
          <w:szCs w:val="48"/>
        </w:rPr>
        <w:instrText xml:space="preserve"> FORMTEXT </w:instrText>
      </w:r>
      <w:r>
        <w:rPr>
          <w:sz w:val="48"/>
          <w:szCs w:val="48"/>
        </w:rPr>
        <w:fldChar w:fldCharType="separate"/>
      </w:r>
      <w:r>
        <w:rPr>
          <w:sz w:val="48"/>
          <w:szCs w:val="48"/>
        </w:rPr>
        <w:t>建筑工程绿色施工与环境保护技术规程</w:t>
      </w:r>
      <w:r>
        <w:rPr>
          <w:sz w:val="48"/>
          <w:szCs w:val="48"/>
        </w:rPr>
        <w:fldChar w:fldCharType="end"/>
      </w:r>
      <w:bookmarkEnd w:id="7"/>
    </w:p>
    <w:p w14:paraId="4BF57A99">
      <w:pPr>
        <w:framePr w:w="9639" w:h="6974" w:hRule="exact" w:wrap="around" w:vAnchor="page" w:hAnchor="page" w:x="1419" w:y="6408" w:anchorLock="1"/>
        <w:ind w:left="-1418"/>
      </w:pPr>
    </w:p>
    <w:p w14:paraId="236D0E2F">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Code of practice for green construction and environmental protection technology in building project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Code of practice for green construction and environmental protection technology in building projects</w:t>
      </w:r>
      <w:r>
        <w:rPr>
          <w:rFonts w:ascii="黑体" w:hAnsi="黑体" w:eastAsia="黑体"/>
          <w:sz w:val="36"/>
          <w:szCs w:val="36"/>
        </w:rPr>
        <w:fldChar w:fldCharType="end"/>
      </w:r>
      <w:bookmarkEnd w:id="8"/>
    </w:p>
    <w:p w14:paraId="29C5E94F">
      <w:pPr>
        <w:framePr w:w="9639" w:h="6974" w:hRule="exact" w:wrap="around" w:vAnchor="page" w:hAnchor="page" w:x="1419" w:y="6408" w:anchorLock="1"/>
        <w:spacing w:line="760" w:lineRule="exact"/>
        <w:ind w:left="-1418"/>
      </w:pPr>
    </w:p>
    <w:p w14:paraId="28943313">
      <w:pPr>
        <w:pStyle w:val="125"/>
        <w:framePr w:w="9639" w:h="6974" w:hRule="exact" w:wrap="around" w:vAnchor="page" w:hAnchor="page" w:x="1419" w:y="6408" w:anchorLock="1"/>
        <w:textAlignment w:val="bottom"/>
        <w:rPr>
          <w:rFonts w:eastAsia="黑体"/>
          <w:szCs w:val="28"/>
        </w:rPr>
      </w:pPr>
    </w:p>
    <w:p w14:paraId="58781C4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12E25286">
      <w:pPr>
        <w:pStyle w:val="125"/>
        <w:framePr w:w="9639" w:h="6974" w:hRule="exact" w:wrap="around" w:vAnchor="page" w:hAnchor="page" w:x="1419" w:y="6408" w:anchorLock="1"/>
        <w:spacing w:before="180" w:line="240" w:lineRule="atLeast"/>
        <w:textAlignment w:val="bottom"/>
        <w:rPr>
          <w:sz w:val="21"/>
          <w:szCs w:val="28"/>
        </w:rPr>
      </w:pPr>
    </w:p>
    <w:p w14:paraId="0F849A0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6D15AC9F">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1"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1"/>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2"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2"/>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3"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发布</w:t>
      </w:r>
    </w:p>
    <w:p w14:paraId="738C44CC">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4"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4"/>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5"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5"/>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6"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实施</w:t>
      </w:r>
    </w:p>
    <w:p w14:paraId="67383BD2">
      <w:pPr>
        <w:pStyle w:val="151"/>
        <w:framePr w:h="584" w:hRule="exact" w:hSpace="181" w:vSpace="181" w:wrap="around" w:y="14800"/>
        <w:rPr>
          <w:rFonts w:hAnsi="黑体"/>
          <w:sz w:val="30"/>
          <w:szCs w:val="30"/>
        </w:rPr>
      </w:pPr>
      <w:bookmarkStart w:id="17"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7"/>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735BCEE9">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DO/OzOMB&#10;AACqAwAADgAAAAAAAAABACAAAAAmAQAAZHJzL2Uyb0RvYy54bWxQSwUGAAAAAAYABgBZAQAAewUA&#10;AAAA&#10;">
                <v:fill on="f" focussize="0,0"/>
                <v:stroke color="#000000" joinstyle="round"/>
                <v:imagedata o:title=""/>
                <o:lock v:ext="edit" aspectratio="f"/>
                <w10:anchorlock/>
              </v:line>
            </w:pict>
          </mc:Fallback>
        </mc:AlternateContent>
      </w:r>
    </w:p>
    <w:p w14:paraId="5CCACAD1">
      <w:pPr>
        <w:pStyle w:val="91"/>
        <w:spacing w:after="360"/>
      </w:pPr>
      <w:bookmarkStart w:id="18" w:name="BookMark1"/>
      <w:r>
        <w:rPr>
          <w:rFonts w:hint="eastAsia"/>
          <w:spacing w:val="320"/>
        </w:rPr>
        <w:t>目</w:t>
      </w:r>
      <w:r>
        <w:rPr>
          <w:rFonts w:hint="eastAsia"/>
        </w:rPr>
        <w:t>次</w:t>
      </w:r>
    </w:p>
    <w:p w14:paraId="10FAC90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"_Toc192595139" </w:instrText>
      </w:r>
      <w:r>
        <w:fldChar w:fldCharType="separate"/>
      </w:r>
      <w:r>
        <w:rPr>
          <w:rStyle w:val="32"/>
        </w:rPr>
        <w:t>前言</w:t>
      </w:r>
      <w:r>
        <w:tab/>
      </w:r>
      <w:r>
        <w:fldChar w:fldCharType="begin"/>
      </w:r>
      <w:r>
        <w:instrText xml:space="preserve"> PAGEREF _Toc192595139 \h </w:instrText>
      </w:r>
      <w:r>
        <w:fldChar w:fldCharType="separate"/>
      </w:r>
      <w:r>
        <w:t>III</w:t>
      </w:r>
      <w:r>
        <w:fldChar w:fldCharType="end"/>
      </w:r>
      <w:r>
        <w:fldChar w:fldCharType="end"/>
      </w:r>
    </w:p>
    <w:p w14:paraId="7FFDDE3C">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"_Toc192595140" </w:instrText>
      </w:r>
      <w:r>
        <w:fldChar w:fldCharType="separate"/>
      </w:r>
      <w:r>
        <w:rPr>
          <w:rStyle w:val="32"/>
        </w:rPr>
        <w:t>引言</w:t>
      </w:r>
      <w:r>
        <w:tab/>
      </w:r>
      <w:r>
        <w:fldChar w:fldCharType="begin"/>
      </w:r>
      <w:r>
        <w:instrText xml:space="preserve"> PAGEREF _Toc192595140 \h </w:instrText>
      </w:r>
      <w:r>
        <w:fldChar w:fldCharType="separate"/>
      </w:r>
      <w:r>
        <w:t>V</w:t>
      </w:r>
      <w:r>
        <w:fldChar w:fldCharType="end"/>
      </w:r>
      <w:r>
        <w:fldChar w:fldCharType="end"/>
      </w:r>
    </w:p>
    <w:p w14:paraId="4943B0D0">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"_Toc192595141" </w:instrText>
      </w:r>
      <w:r>
        <w:fldChar w:fldCharType="separate"/>
      </w:r>
      <w:r>
        <w:rPr>
          <w:rStyle w:val="32"/>
        </w:rPr>
        <w:t>1  范围</w:t>
      </w:r>
      <w:r>
        <w:tab/>
      </w:r>
      <w:r>
        <w:fldChar w:fldCharType="begin"/>
      </w:r>
      <w:r>
        <w:instrText xml:space="preserve"> PAGEREF _Toc192595141 \h </w:instrText>
      </w:r>
      <w:r>
        <w:fldChar w:fldCharType="separate"/>
      </w:r>
      <w:r>
        <w:t>1</w:t>
      </w:r>
      <w:r>
        <w:fldChar w:fldCharType="end"/>
      </w:r>
      <w:r>
        <w:fldChar w:fldCharType="end"/>
      </w:r>
    </w:p>
    <w:p w14:paraId="44E2EFB5">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"_Toc192595142" </w:instrText>
      </w:r>
      <w:r>
        <w:fldChar w:fldCharType="separate"/>
      </w:r>
      <w:r>
        <w:rPr>
          <w:rStyle w:val="32"/>
        </w:rPr>
        <w:t>2  规范性引用文件</w:t>
      </w:r>
      <w:r>
        <w:tab/>
      </w:r>
      <w:r>
        <w:fldChar w:fldCharType="begin"/>
      </w:r>
      <w:r>
        <w:instrText xml:space="preserve"> PAGEREF _Toc192595142 \h </w:instrText>
      </w:r>
      <w:r>
        <w:fldChar w:fldCharType="separate"/>
      </w:r>
      <w:r>
        <w:t>1</w:t>
      </w:r>
      <w:r>
        <w:fldChar w:fldCharType="end"/>
      </w:r>
      <w:r>
        <w:fldChar w:fldCharType="end"/>
      </w:r>
    </w:p>
    <w:p w14:paraId="5112CBEB">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"_Toc192595143" </w:instrText>
      </w:r>
      <w:r>
        <w:fldChar w:fldCharType="separate"/>
      </w:r>
      <w:r>
        <w:rPr>
          <w:rStyle w:val="32"/>
        </w:rPr>
        <w:t>3  术语和定义</w:t>
      </w:r>
      <w:r>
        <w:tab/>
      </w:r>
      <w:r>
        <w:fldChar w:fldCharType="begin"/>
      </w:r>
      <w:r>
        <w:instrText xml:space="preserve"> PAGEREF _Toc192595143 \h </w:instrText>
      </w:r>
      <w:r>
        <w:fldChar w:fldCharType="separate"/>
      </w:r>
      <w:r>
        <w:t>1</w:t>
      </w:r>
      <w:r>
        <w:fldChar w:fldCharType="end"/>
      </w:r>
      <w:r>
        <w:fldChar w:fldCharType="end"/>
      </w:r>
    </w:p>
    <w:p w14:paraId="5925D60E">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"_Toc192595144" </w:instrText>
      </w:r>
      <w:r>
        <w:fldChar w:fldCharType="separate"/>
      </w:r>
      <w:r>
        <w:rPr>
          <w:rStyle w:val="32"/>
        </w:rPr>
        <w:t>4  总则</w:t>
      </w:r>
      <w:r>
        <w:tab/>
      </w:r>
      <w:r>
        <w:fldChar w:fldCharType="begin"/>
      </w:r>
      <w:r>
        <w:instrText xml:space="preserve"> PAGEREF _Toc192595144 \h </w:instrText>
      </w:r>
      <w:r>
        <w:fldChar w:fldCharType="separate"/>
      </w:r>
      <w:r>
        <w:t>1</w:t>
      </w:r>
      <w:r>
        <w:fldChar w:fldCharType="end"/>
      </w:r>
      <w:r>
        <w:fldChar w:fldCharType="end"/>
      </w:r>
    </w:p>
    <w:p w14:paraId="1B91AF34">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"_Toc192595145" </w:instrText>
      </w:r>
      <w:r>
        <w:fldChar w:fldCharType="separate"/>
      </w:r>
      <w:r>
        <w:rPr>
          <w:rStyle w:val="32"/>
        </w:rPr>
        <w:t>5  绿色施工技术要求</w:t>
      </w:r>
      <w:r>
        <w:tab/>
      </w:r>
      <w:r>
        <w:fldChar w:fldCharType="begin"/>
      </w:r>
      <w:r>
        <w:instrText xml:space="preserve"> PAGEREF _Toc192595145 \h </w:instrText>
      </w:r>
      <w:r>
        <w:fldChar w:fldCharType="separate"/>
      </w:r>
      <w:r>
        <w:t>1</w:t>
      </w:r>
      <w:r>
        <w:fldChar w:fldCharType="end"/>
      </w:r>
      <w:r>
        <w:fldChar w:fldCharType="end"/>
      </w:r>
    </w:p>
    <w:p w14:paraId="3EFB28BF">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"_Toc192595146" </w:instrText>
      </w:r>
      <w:r>
        <w:fldChar w:fldCharType="separate"/>
      </w:r>
      <w:r>
        <w:rPr>
          <w:rStyle w:val="32"/>
        </w:rPr>
        <w:t>6  环境保护技术措施</w:t>
      </w:r>
      <w:r>
        <w:tab/>
      </w:r>
      <w:r>
        <w:fldChar w:fldCharType="begin"/>
      </w:r>
      <w:r>
        <w:instrText xml:space="preserve"> PAGEREF _Toc192595146 \h </w:instrText>
      </w:r>
      <w:r>
        <w:fldChar w:fldCharType="separate"/>
      </w:r>
      <w:r>
        <w:t>2</w:t>
      </w:r>
      <w:r>
        <w:fldChar w:fldCharType="end"/>
      </w:r>
      <w:r>
        <w:fldChar w:fldCharType="end"/>
      </w:r>
    </w:p>
    <w:p w14:paraId="4456EC78">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"_Toc192595147" </w:instrText>
      </w:r>
      <w:r>
        <w:fldChar w:fldCharType="separate"/>
      </w:r>
      <w:r>
        <w:rPr>
          <w:rStyle w:val="32"/>
        </w:rPr>
        <w:t>7  管理要求</w:t>
      </w:r>
      <w:r>
        <w:tab/>
      </w:r>
      <w:r>
        <w:fldChar w:fldCharType="begin"/>
      </w:r>
      <w:r>
        <w:instrText xml:space="preserve"> PAGEREF _Toc192595147 \h </w:instrText>
      </w:r>
      <w:r>
        <w:fldChar w:fldCharType="separate"/>
      </w:r>
      <w:r>
        <w:t>3</w:t>
      </w:r>
      <w:r>
        <w:fldChar w:fldCharType="end"/>
      </w:r>
      <w:r>
        <w:fldChar w:fldCharType="end"/>
      </w:r>
    </w:p>
    <w:p w14:paraId="55BAA390">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"_Toc192595148" </w:instrText>
      </w:r>
      <w:r>
        <w:fldChar w:fldCharType="separate"/>
      </w:r>
      <w:r>
        <w:rPr>
          <w:rStyle w:val="32"/>
        </w:rPr>
        <w:t>8  验收与评价</w:t>
      </w:r>
      <w:r>
        <w:tab/>
      </w:r>
      <w:r>
        <w:fldChar w:fldCharType="begin"/>
      </w:r>
      <w:r>
        <w:instrText xml:space="preserve"> PAGEREF _Toc192595148 \h </w:instrText>
      </w:r>
      <w:r>
        <w:fldChar w:fldCharType="separate"/>
      </w:r>
      <w:r>
        <w:t>3</w:t>
      </w:r>
      <w:r>
        <w:fldChar w:fldCharType="end"/>
      </w:r>
      <w:r>
        <w:fldChar w:fldCharType="end"/>
      </w:r>
    </w:p>
    <w:p w14:paraId="7421C1B2">
      <w:pPr>
        <w:pStyle w:val="19"/>
        <w:tabs>
          <w:tab w:val="right" w:leader="dot" w:pos="9344"/>
        </w:tabs>
        <w:rPr>
          <w:rFonts w:asciiTheme="minorHAnsi" w:hAnsiTheme="minorHAnsi" w:eastAsiaTheme="minorEastAsia" w:cstheme="minorBidi"/>
          <w:szCs w:val="22"/>
        </w:rPr>
      </w:pPr>
      <w:r>
        <w:fldChar w:fldCharType="begin"/>
      </w:r>
      <w:r>
        <w:instrText xml:space="preserve"> HYPERLINK \l "_Toc192595149" </w:instrText>
      </w:r>
      <w:r>
        <w:fldChar w:fldCharType="separate"/>
      </w:r>
      <w:r>
        <w:rPr>
          <w:rStyle w:val="32"/>
        </w:rPr>
        <w:t>附录A（资料性）  台账与记录表</w:t>
      </w:r>
      <w:r>
        <w:tab/>
      </w:r>
      <w:r>
        <w:fldChar w:fldCharType="begin"/>
      </w:r>
      <w:r>
        <w:instrText xml:space="preserve"> PAGEREF _Toc192595149 \h </w:instrText>
      </w:r>
      <w:r>
        <w:fldChar w:fldCharType="separate"/>
      </w:r>
      <w:r>
        <w:t>4</w:t>
      </w:r>
      <w:r>
        <w:fldChar w:fldCharType="end"/>
      </w:r>
      <w:r>
        <w:fldChar w:fldCharType="end"/>
      </w:r>
    </w:p>
    <w:p w14:paraId="7E5530A6">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67800A5A">
      <w:pPr>
        <w:pStyle w:val="89"/>
        <w:spacing w:before="900" w:after="360"/>
      </w:pPr>
      <w:bookmarkStart w:id="19" w:name="_Toc192595139"/>
      <w:bookmarkStart w:id="20" w:name="BookMark2"/>
      <w:r>
        <w:rPr>
          <w:spacing w:val="320"/>
        </w:rPr>
        <w:t>前</w:t>
      </w:r>
      <w:r>
        <w:t>言</w:t>
      </w:r>
      <w:bookmarkEnd w:id="19"/>
    </w:p>
    <w:p w14:paraId="6F14829B">
      <w:pPr>
        <w:pStyle w:val="56"/>
        <w:spacing w:line="360" w:lineRule="auto"/>
        <w:ind w:firstLine="420"/>
      </w:pPr>
      <w:r>
        <w:rPr>
          <w:rFonts w:hint="eastAsia"/>
        </w:rPr>
        <w:t>本文件按照GB/T 1.1—2020《标准化工作导则  第1部分：标准化文件的结构和起草规则》的规定起草。</w:t>
      </w:r>
    </w:p>
    <w:p w14:paraId="1F9E9715">
      <w:pPr>
        <w:pStyle w:val="56"/>
        <w:spacing w:line="360" w:lineRule="auto"/>
        <w:ind w:firstLine="420"/>
      </w:pPr>
      <w:r>
        <w:rPr>
          <w:rFonts w:hint="eastAsia"/>
        </w:rPr>
        <w:t>请注意本文件的某些内容可能涉及专利。本文件的发布机构不承担识别专利的责任。</w:t>
      </w:r>
    </w:p>
    <w:p w14:paraId="0462F08A">
      <w:pPr>
        <w:pStyle w:val="56"/>
        <w:spacing w:line="360" w:lineRule="auto"/>
        <w:ind w:firstLine="420"/>
      </w:pPr>
      <w:r>
        <w:rPr>
          <w:rFonts w:hint="eastAsia"/>
        </w:rPr>
        <w:t>本文件由西安市质量与标准化协会提出并归口。</w:t>
      </w:r>
    </w:p>
    <w:p w14:paraId="7899F30E">
      <w:pPr>
        <w:pStyle w:val="56"/>
        <w:spacing w:line="360" w:lineRule="auto"/>
        <w:ind w:firstLine="420"/>
      </w:pPr>
      <w:r>
        <w:rPr>
          <w:rFonts w:hint="eastAsia"/>
        </w:rPr>
        <w:t>本文件起草单位：中交世通（重庆）重工有限公司、苏州和为工程咨询管理有限公司、浙江省建设装饰集团有限公司、广西桂商实业投资有限公司、阿克陶县恒通建筑有限责任公司、浙江施朗龙山工程设计有限公司、河北兵北工程质量检测有限公司、赤峰高新技术产业开发区元宝山产业园管理办公室、商丘工学院。</w:t>
      </w:r>
    </w:p>
    <w:p w14:paraId="38E93E54">
      <w:pPr>
        <w:pStyle w:val="56"/>
        <w:spacing w:line="360" w:lineRule="auto"/>
        <w:ind w:firstLine="420"/>
      </w:pPr>
      <w:r>
        <w:rPr>
          <w:rFonts w:hint="eastAsia"/>
        </w:rPr>
        <w:t>本文件主要起草人：高雄建、陈宝瑜、徐明、农永伟、唐洋、章绍润、宋雪赞、李斌、张慧慧。</w:t>
      </w:r>
    </w:p>
    <w:p w14:paraId="386A5ADD">
      <w:pPr>
        <w:tabs>
          <w:tab w:val="left" w:pos="1155"/>
        </w:tabs>
        <w:rPr>
          <w:rFonts w:ascii="宋体" w:hAnsi="Times New Roman"/>
          <w:kern w:val="0"/>
          <w:szCs w:val="20"/>
        </w:rPr>
      </w:pPr>
    </w:p>
    <w:p w14:paraId="2425CAA8">
      <w:p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0"/>
    <w:p w14:paraId="7A786E15">
      <w:pPr>
        <w:pStyle w:val="89"/>
        <w:spacing w:after="360"/>
      </w:pPr>
      <w:bookmarkStart w:id="21" w:name="_Toc192595140"/>
      <w:bookmarkStart w:id="22" w:name="BookMark3"/>
      <w:r>
        <w:rPr>
          <w:spacing w:val="320"/>
        </w:rPr>
        <w:t>引</w:t>
      </w:r>
      <w:r>
        <w:t>言</w:t>
      </w:r>
      <w:bookmarkEnd w:id="21"/>
    </w:p>
    <w:p w14:paraId="6FBF57F4">
      <w:pPr>
        <w:pStyle w:val="56"/>
        <w:spacing w:line="360" w:lineRule="auto"/>
        <w:ind w:firstLine="420"/>
      </w:pPr>
      <w:r>
        <w:rPr>
          <w:rFonts w:hint="eastAsia"/>
        </w:rPr>
        <w:t>随着我国建筑行业的快速发展，建筑施工过程中资源消耗和环境污染问题日益突出。绿色施工理念的推广与实施对于促进建筑行业可持续发展、降低碳排放、提高资源利用效率具有重要意义。同时，环境保护技术在施工过程中的应用不仅能够减少对生态环境的影响，还能优化施工工艺，提高工程质量和经济效益。</w:t>
      </w:r>
    </w:p>
    <w:p w14:paraId="55568349">
      <w:pPr>
        <w:pStyle w:val="56"/>
        <w:spacing w:line="360" w:lineRule="auto"/>
        <w:ind w:firstLine="420"/>
      </w:pPr>
      <w:r>
        <w:rPr>
          <w:rFonts w:hint="eastAsia"/>
        </w:rPr>
        <w:t>本文件依据国家相关法律法规、政策要求及行业发展趋势，结合现有绿色施工和环境保护技术的研究成果与工程实践经验，系统规范建筑工程绿色施工的关键技术要点和环境保护措施。本文件聚焦建筑工程全生命周期的绿色施工管理，通过量化控制指标、规范技术措施、强化过程监督，为施工单位、监理单位及管理部门提供实施依据。</w:t>
      </w:r>
    </w:p>
    <w:p w14:paraId="4CF3E312">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2"/>
    <w:p w14:paraId="241DC8DE">
      <w:pPr>
        <w:spacing w:line="20" w:lineRule="exact"/>
        <w:jc w:val="center"/>
        <w:rPr>
          <w:rFonts w:ascii="黑体" w:hAnsi="黑体" w:eastAsia="黑体"/>
          <w:sz w:val="32"/>
          <w:szCs w:val="32"/>
        </w:rPr>
      </w:pPr>
      <w:bookmarkStart w:id="23" w:name="BookMark4"/>
    </w:p>
    <w:p w14:paraId="25AFA8D1">
      <w:pPr>
        <w:spacing w:line="20" w:lineRule="exact"/>
        <w:jc w:val="center"/>
        <w:rPr>
          <w:rFonts w:ascii="黑体" w:hAnsi="黑体" w:eastAsia="黑体"/>
          <w:sz w:val="32"/>
          <w:szCs w:val="32"/>
        </w:rPr>
      </w:pPr>
    </w:p>
    <w:sdt>
      <w:sdtPr>
        <w:tag w:val="NEW_STAND_NAME"/>
        <w:id w:val="595910757"/>
        <w:lock w:val="sdtLocked"/>
        <w:placeholder>
          <w:docPart w:val="93D50D8DFB5E424C8598DE7479CEE140"/>
        </w:placeholder>
      </w:sdtPr>
      <w:sdtContent>
        <w:p w14:paraId="5EEC2E4B">
          <w:pPr>
            <w:pStyle w:val="177"/>
          </w:pPr>
          <w:bookmarkStart w:id="24" w:name="NEW_STAND_NAME"/>
          <w:r>
            <w:rPr>
              <w:rFonts w:hint="eastAsia"/>
            </w:rPr>
            <w:t>建筑工程绿色施工与环境保护技术规程</w:t>
          </w:r>
        </w:p>
      </w:sdtContent>
    </w:sdt>
    <w:bookmarkEnd w:id="24"/>
    <w:p w14:paraId="25B8E151">
      <w:pPr>
        <w:pStyle w:val="104"/>
        <w:spacing w:before="240" w:after="240" w:line="360" w:lineRule="auto"/>
      </w:pPr>
      <w:bookmarkStart w:id="25" w:name="_Toc97192964"/>
      <w:bookmarkStart w:id="26" w:name="_Toc17233325"/>
      <w:bookmarkStart w:id="27" w:name="_Toc26648465"/>
      <w:bookmarkStart w:id="28" w:name="_Toc24884218"/>
      <w:bookmarkStart w:id="29" w:name="_Toc17233333"/>
      <w:bookmarkStart w:id="30" w:name="_Toc26986771"/>
      <w:bookmarkStart w:id="31" w:name="_Toc192595141"/>
      <w:bookmarkStart w:id="32" w:name="_Toc26986530"/>
      <w:bookmarkStart w:id="33" w:name="_Toc24884211"/>
      <w:bookmarkStart w:id="34" w:name="_Toc26718930"/>
      <w:r>
        <w:rPr>
          <w:rFonts w:hint="eastAsia"/>
        </w:rPr>
        <w:t>范围</w:t>
      </w:r>
      <w:bookmarkEnd w:id="25"/>
      <w:bookmarkEnd w:id="26"/>
      <w:bookmarkEnd w:id="27"/>
      <w:bookmarkEnd w:id="28"/>
      <w:bookmarkEnd w:id="29"/>
      <w:bookmarkEnd w:id="30"/>
      <w:bookmarkEnd w:id="31"/>
      <w:bookmarkEnd w:id="32"/>
      <w:bookmarkEnd w:id="33"/>
      <w:bookmarkEnd w:id="34"/>
    </w:p>
    <w:p w14:paraId="3B4532A1">
      <w:pPr>
        <w:pStyle w:val="56"/>
        <w:spacing w:line="360" w:lineRule="auto"/>
        <w:ind w:firstLine="420"/>
      </w:pPr>
      <w:bookmarkStart w:id="35" w:name="_Toc17233334"/>
      <w:bookmarkStart w:id="36" w:name="_Toc24884212"/>
      <w:bookmarkStart w:id="37" w:name="_Toc24884219"/>
      <w:bookmarkStart w:id="38" w:name="_Toc17233326"/>
      <w:bookmarkStart w:id="39" w:name="_Toc26648466"/>
      <w:r>
        <w:rPr>
          <w:rFonts w:hint="eastAsia"/>
        </w:rPr>
        <w:t>本文件规定了建筑工程绿色施工与环境保护的绿色施工技术要求、环境保护技术措施、管理要求及验收与评价内容。</w:t>
      </w:r>
    </w:p>
    <w:p w14:paraId="40A8B3BF">
      <w:pPr>
        <w:pStyle w:val="56"/>
        <w:spacing w:line="360" w:lineRule="auto"/>
        <w:ind w:firstLine="420"/>
      </w:pPr>
      <w:r>
        <w:rPr>
          <w:rFonts w:hint="eastAsia"/>
        </w:rPr>
        <w:t>本文件适用于新建、改建、扩建建筑工程的绿色施工与环境保护全过程管理。</w:t>
      </w:r>
    </w:p>
    <w:p w14:paraId="23047FA1">
      <w:pPr>
        <w:pStyle w:val="104"/>
        <w:spacing w:before="240" w:after="240" w:line="360" w:lineRule="auto"/>
      </w:pPr>
      <w:bookmarkStart w:id="40" w:name="_Toc26718931"/>
      <w:bookmarkStart w:id="41" w:name="_Toc26986772"/>
      <w:bookmarkStart w:id="42" w:name="_Toc97192965"/>
      <w:bookmarkStart w:id="43" w:name="_Toc26986531"/>
      <w:bookmarkStart w:id="44" w:name="_Toc19259514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E2458C2AAC5D45A991837C73536A92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EA103C6">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1ABD4B">
      <w:pPr>
        <w:pStyle w:val="56"/>
        <w:spacing w:line="360" w:lineRule="auto"/>
        <w:ind w:firstLine="420"/>
      </w:pPr>
      <w:r>
        <w:t>GB/T 50640</w:t>
      </w:r>
      <w:r>
        <w:rPr>
          <w:rFonts w:hint="eastAsia"/>
        </w:rPr>
        <w:t>—</w:t>
      </w:r>
      <w:r>
        <w:t>2023 建筑与市政工程绿色施工评价标准</w:t>
      </w:r>
    </w:p>
    <w:p w14:paraId="56DC8B2F">
      <w:pPr>
        <w:pStyle w:val="104"/>
        <w:spacing w:before="240" w:after="240" w:line="360" w:lineRule="auto"/>
      </w:pPr>
      <w:bookmarkStart w:id="45" w:name="_Toc192595143"/>
      <w:bookmarkStart w:id="46" w:name="_Toc97192966"/>
      <w:r>
        <w:rPr>
          <w:rFonts w:hint="eastAsia"/>
          <w:szCs w:val="21"/>
        </w:rPr>
        <w:t>术语和定义</w:t>
      </w:r>
      <w:bookmarkEnd w:id="45"/>
      <w:bookmarkEnd w:id="46"/>
    </w:p>
    <w:sdt>
      <w:sdtPr>
        <w:id w:val="-1909835108"/>
        <w:placeholder>
          <w:docPart w:val="268E5374C89344C3AB57491012BF64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D478F8">
          <w:pPr>
            <w:pStyle w:val="56"/>
            <w:spacing w:line="360" w:lineRule="auto"/>
            <w:ind w:firstLine="420"/>
          </w:pPr>
          <w:bookmarkStart w:id="47" w:name="_Toc26986532"/>
          <w:bookmarkEnd w:id="47"/>
          <w:r>
            <w:t>GB/T 50640—2023界定的术语和定义适用于本文件。</w:t>
          </w:r>
        </w:p>
      </w:sdtContent>
    </w:sdt>
    <w:p w14:paraId="107D09F7">
      <w:pPr>
        <w:pStyle w:val="104"/>
        <w:spacing w:before="240" w:after="240" w:line="360" w:lineRule="auto"/>
      </w:pPr>
      <w:bookmarkStart w:id="48" w:name="_Toc192595144"/>
      <w:r>
        <w:rPr>
          <w:rFonts w:hint="eastAsia"/>
        </w:rPr>
        <w:t>总则</w:t>
      </w:r>
      <w:bookmarkEnd w:id="48"/>
    </w:p>
    <w:p w14:paraId="27F3F205">
      <w:pPr>
        <w:pStyle w:val="56"/>
        <w:spacing w:line="360" w:lineRule="auto"/>
        <w:ind w:firstLine="420"/>
      </w:pPr>
      <w:r>
        <w:rPr>
          <w:rFonts w:hint="eastAsia"/>
        </w:rPr>
        <w:t>施工全过程应贯彻可持续发展理念，减少对环境的负面影响。</w:t>
      </w:r>
    </w:p>
    <w:p w14:paraId="54986083">
      <w:pPr>
        <w:pStyle w:val="56"/>
        <w:spacing w:line="360" w:lineRule="auto"/>
        <w:ind w:firstLine="420"/>
      </w:pPr>
      <w:r>
        <w:rPr>
          <w:rFonts w:hint="eastAsia"/>
        </w:rPr>
        <w:t>施工单位应制定绿色施工专项方案，明确目标、措施及责任人。</w:t>
      </w:r>
    </w:p>
    <w:p w14:paraId="74BB725B">
      <w:pPr>
        <w:pStyle w:val="56"/>
        <w:spacing w:line="360" w:lineRule="auto"/>
        <w:ind w:firstLine="420"/>
      </w:pPr>
      <w:r>
        <w:rPr>
          <w:rFonts w:hint="eastAsia"/>
        </w:rPr>
        <w:t>鼓励采用BIM技术、装配式建筑、智能化监测等绿色施工技术。</w:t>
      </w:r>
    </w:p>
    <w:p w14:paraId="21894DCE">
      <w:pPr>
        <w:pStyle w:val="56"/>
        <w:spacing w:line="360" w:lineRule="auto"/>
        <w:ind w:firstLine="420"/>
      </w:pPr>
      <w:r>
        <w:t>实行绿色施工目标责任制，纳入工程合同条款。</w:t>
      </w:r>
    </w:p>
    <w:p w14:paraId="2B7AA889">
      <w:pPr>
        <w:pStyle w:val="56"/>
        <w:spacing w:line="360" w:lineRule="auto"/>
        <w:ind w:firstLine="420"/>
      </w:pPr>
      <w:r>
        <w:t>推行施工全过程数字化监控，实时追踪环境数据。</w:t>
      </w:r>
    </w:p>
    <w:p w14:paraId="7CAC1EC8">
      <w:pPr>
        <w:pStyle w:val="104"/>
        <w:spacing w:before="240" w:after="240" w:line="360" w:lineRule="auto"/>
      </w:pPr>
      <w:bookmarkStart w:id="49" w:name="_Toc192595145"/>
      <w:r>
        <w:rPr>
          <w:rFonts w:hint="eastAsia"/>
        </w:rPr>
        <w:t>绿色施工技术要求</w:t>
      </w:r>
      <w:bookmarkEnd w:id="49"/>
    </w:p>
    <w:p w14:paraId="7225D2CB">
      <w:pPr>
        <w:pStyle w:val="105"/>
        <w:spacing w:before="120" w:after="120" w:line="360" w:lineRule="auto"/>
      </w:pPr>
      <w:r>
        <w:rPr>
          <w:rFonts w:hint="eastAsia"/>
        </w:rPr>
        <w:t>节能与能源利用</w:t>
      </w:r>
    </w:p>
    <w:p w14:paraId="6C59179C">
      <w:pPr>
        <w:pStyle w:val="56"/>
        <w:spacing w:line="360" w:lineRule="auto"/>
        <w:ind w:firstLine="420"/>
      </w:pPr>
      <w:r>
        <w:rPr>
          <w:rFonts w:hint="eastAsia"/>
        </w:rPr>
        <w:t>施工阶段划分控制：</w:t>
      </w:r>
    </w:p>
    <w:p w14:paraId="5E11F804">
      <w:pPr>
        <w:pStyle w:val="132"/>
        <w:spacing w:line="360" w:lineRule="auto"/>
      </w:pPr>
      <w:r>
        <w:rPr>
          <w:rFonts w:hint="eastAsia"/>
        </w:rPr>
        <w:t>基础施工阶段：优先采用地源热泵等节能技术；</w:t>
      </w:r>
    </w:p>
    <w:p w14:paraId="1751A1A3">
      <w:pPr>
        <w:pStyle w:val="132"/>
        <w:spacing w:line="360" w:lineRule="auto"/>
      </w:pPr>
      <w:r>
        <w:rPr>
          <w:rFonts w:hint="eastAsia"/>
        </w:rPr>
        <w:t>主体施工阶段：塔吊、升降机等设备加装能量回馈装置。</w:t>
      </w:r>
    </w:p>
    <w:p w14:paraId="2B1C2F33">
      <w:pPr>
        <w:pStyle w:val="56"/>
        <w:spacing w:line="360" w:lineRule="auto"/>
        <w:ind w:firstLine="420"/>
      </w:pPr>
      <w:r>
        <w:rPr>
          <w:rFonts w:hint="eastAsia"/>
        </w:rPr>
        <w:t>量化指标：</w:t>
      </w:r>
    </w:p>
    <w:p w14:paraId="33F521C1">
      <w:pPr>
        <w:pStyle w:val="132"/>
        <w:spacing w:line="360" w:lineRule="auto"/>
      </w:pPr>
      <w:r>
        <w:rPr>
          <w:rFonts w:hint="eastAsia"/>
        </w:rPr>
        <w:t>可再生能源使用占比≥15%；</w:t>
      </w:r>
    </w:p>
    <w:p w14:paraId="5E47EFEA">
      <w:pPr>
        <w:pStyle w:val="132"/>
        <w:spacing w:line="360" w:lineRule="auto"/>
      </w:pPr>
      <w:r>
        <w:rPr>
          <w:rFonts w:hint="eastAsia"/>
        </w:rPr>
        <w:t>现场临时设施节能照明覆盖率100%</w:t>
      </w:r>
    </w:p>
    <w:p w14:paraId="08CBC5F1">
      <w:pPr>
        <w:pStyle w:val="105"/>
        <w:spacing w:before="120" w:after="120" w:line="360" w:lineRule="auto"/>
      </w:pPr>
      <w:r>
        <w:rPr>
          <w:rFonts w:hint="eastAsia"/>
        </w:rPr>
        <w:t>节材与材料利用</w:t>
      </w:r>
    </w:p>
    <w:p w14:paraId="66B35080">
      <w:pPr>
        <w:pStyle w:val="56"/>
        <w:spacing w:line="360" w:lineRule="auto"/>
        <w:ind w:firstLine="420"/>
      </w:pPr>
      <w:r>
        <w:rPr>
          <w:rFonts w:hint="eastAsia"/>
        </w:rPr>
        <w:t>材料管理：</w:t>
      </w:r>
    </w:p>
    <w:p w14:paraId="701381BE">
      <w:pPr>
        <w:pStyle w:val="132"/>
        <w:spacing w:line="360" w:lineRule="auto"/>
      </w:pPr>
      <w:r>
        <w:rPr>
          <w:rFonts w:hint="eastAsia"/>
        </w:rPr>
        <w:t>建立BIM物料管理平台，实现钢材、混凝土损耗率≤1.5%；</w:t>
      </w:r>
    </w:p>
    <w:p w14:paraId="44C6AAF5">
      <w:pPr>
        <w:pStyle w:val="132"/>
        <w:spacing w:line="360" w:lineRule="auto"/>
      </w:pPr>
      <w:r>
        <w:rPr>
          <w:rFonts w:hint="eastAsia"/>
        </w:rPr>
        <w:t>推广3D打印模板技术，减少木材消耗。</w:t>
      </w:r>
    </w:p>
    <w:p w14:paraId="5BC67AB7">
      <w:pPr>
        <w:pStyle w:val="56"/>
        <w:spacing w:line="360" w:lineRule="auto"/>
        <w:ind w:firstLine="420"/>
      </w:pPr>
      <w:r>
        <w:rPr>
          <w:rFonts w:hint="eastAsia"/>
        </w:rPr>
        <w:t>废弃物再生利用：</w:t>
      </w:r>
    </w:p>
    <w:p w14:paraId="0F5CBB18">
      <w:pPr>
        <w:pStyle w:val="132"/>
        <w:spacing w:line="360" w:lineRule="auto"/>
      </w:pPr>
      <w:r>
        <w:rPr>
          <w:rFonts w:hint="eastAsia"/>
        </w:rPr>
        <w:t>建筑垃圾破碎后用于路基填筑的比例≥40%；</w:t>
      </w:r>
    </w:p>
    <w:p w14:paraId="4F084CCB">
      <w:pPr>
        <w:pStyle w:val="132"/>
        <w:spacing w:line="360" w:lineRule="auto"/>
      </w:pPr>
      <w:r>
        <w:rPr>
          <w:rFonts w:hint="eastAsia"/>
        </w:rPr>
        <w:t>废弃混凝土再生骨料强度等级≥C20。</w:t>
      </w:r>
    </w:p>
    <w:p w14:paraId="47A145D2">
      <w:pPr>
        <w:pStyle w:val="132"/>
        <w:numPr>
          <w:ilvl w:val="0"/>
          <w:numId w:val="0"/>
        </w:numPr>
        <w:spacing w:line="360" w:lineRule="auto"/>
        <w:ind w:left="425"/>
      </w:pPr>
      <w:r>
        <w:rPr>
          <w:rFonts w:hint="eastAsia"/>
        </w:rPr>
        <w:t>可通过建立台账进行管理，建筑废弃物分类台账示例见附录A。</w:t>
      </w:r>
    </w:p>
    <w:p w14:paraId="4A59AAE7">
      <w:pPr>
        <w:pStyle w:val="105"/>
        <w:spacing w:before="120" w:after="120" w:line="360" w:lineRule="auto"/>
      </w:pPr>
      <w:r>
        <w:rPr>
          <w:rFonts w:hint="eastAsia"/>
        </w:rPr>
        <w:t>节水与水资源利用</w:t>
      </w:r>
    </w:p>
    <w:p w14:paraId="56FA7BE3">
      <w:pPr>
        <w:pStyle w:val="56"/>
        <w:spacing w:line="360" w:lineRule="auto"/>
        <w:ind w:firstLine="420"/>
      </w:pPr>
      <w:r>
        <w:rPr>
          <w:rFonts w:hint="eastAsia"/>
        </w:rPr>
        <w:t>分级用水系统：</w:t>
      </w:r>
    </w:p>
    <w:p w14:paraId="6BA1059C">
      <w:pPr>
        <w:pStyle w:val="132"/>
        <w:spacing w:line="360" w:lineRule="auto"/>
      </w:pPr>
      <w:r>
        <w:rPr>
          <w:rFonts w:hint="eastAsia"/>
        </w:rPr>
        <w:t>一级水（饮用水）：市政直供；</w:t>
      </w:r>
    </w:p>
    <w:p w14:paraId="79983D92">
      <w:pPr>
        <w:pStyle w:val="132"/>
        <w:spacing w:line="360" w:lineRule="auto"/>
      </w:pPr>
      <w:r>
        <w:rPr>
          <w:rFonts w:hint="eastAsia"/>
        </w:rPr>
        <w:t>二级水（施工用水）：雨水收集+砂滤处理；</w:t>
      </w:r>
    </w:p>
    <w:p w14:paraId="00F009EF">
      <w:pPr>
        <w:pStyle w:val="132"/>
        <w:spacing w:line="360" w:lineRule="auto"/>
      </w:pPr>
      <w:r>
        <w:rPr>
          <w:rFonts w:hint="eastAsia"/>
        </w:rPr>
        <w:t>三级水（降尘用水）：循环水系统。</w:t>
      </w:r>
    </w:p>
    <w:p w14:paraId="4C87DCCB">
      <w:pPr>
        <w:pStyle w:val="56"/>
        <w:spacing w:line="360" w:lineRule="auto"/>
        <w:ind w:firstLine="420"/>
      </w:pPr>
      <w:r>
        <w:rPr>
          <w:rFonts w:hint="eastAsia"/>
        </w:rPr>
        <w:t>节水设备：自动感应冲洗装置安装率≥90%。</w:t>
      </w:r>
    </w:p>
    <w:p w14:paraId="132E47B1">
      <w:pPr>
        <w:pStyle w:val="105"/>
        <w:spacing w:before="120" w:after="120" w:line="360" w:lineRule="auto"/>
      </w:pPr>
      <w:r>
        <w:rPr>
          <w:rFonts w:hint="eastAsia"/>
        </w:rPr>
        <w:t>节地与土地保护</w:t>
      </w:r>
    </w:p>
    <w:p w14:paraId="6B1814C0">
      <w:pPr>
        <w:pStyle w:val="56"/>
        <w:spacing w:line="360" w:lineRule="auto"/>
        <w:ind w:firstLine="420"/>
      </w:pPr>
      <w:r>
        <w:rPr>
          <w:rFonts w:hint="eastAsia"/>
        </w:rPr>
        <w:t>临时用地管控：</w:t>
      </w:r>
    </w:p>
    <w:p w14:paraId="75618625">
      <w:pPr>
        <w:pStyle w:val="132"/>
        <w:spacing w:line="360" w:lineRule="auto"/>
      </w:pPr>
      <w:r>
        <w:rPr>
          <w:rFonts w:hint="eastAsia"/>
        </w:rPr>
        <w:t>采用装配式围挡、可移动板房，减少硬化地面；</w:t>
      </w:r>
    </w:p>
    <w:p w14:paraId="10165217">
      <w:pPr>
        <w:pStyle w:val="132"/>
        <w:spacing w:line="360" w:lineRule="auto"/>
      </w:pPr>
      <w:r>
        <w:rPr>
          <w:rFonts w:hint="eastAsia"/>
        </w:rPr>
        <w:t>施工后临时用地生态恢复率≥95%。</w:t>
      </w:r>
    </w:p>
    <w:p w14:paraId="4357FE25">
      <w:pPr>
        <w:pStyle w:val="104"/>
        <w:spacing w:before="240" w:after="240" w:line="360" w:lineRule="auto"/>
      </w:pPr>
      <w:bookmarkStart w:id="50" w:name="_Toc192595146"/>
      <w:r>
        <w:rPr>
          <w:rFonts w:hint="eastAsia"/>
        </w:rPr>
        <w:t>环境保护技术措施</w:t>
      </w:r>
      <w:bookmarkEnd w:id="50"/>
    </w:p>
    <w:p w14:paraId="21BDA5B8">
      <w:pPr>
        <w:pStyle w:val="105"/>
        <w:spacing w:before="120" w:after="120" w:line="360" w:lineRule="auto"/>
      </w:pPr>
      <w:r>
        <w:rPr>
          <w:rFonts w:hint="eastAsia"/>
        </w:rPr>
        <w:t>扬尘控制</w:t>
      </w:r>
    </w:p>
    <w:p w14:paraId="23B64AA9">
      <w:pPr>
        <w:pStyle w:val="56"/>
        <w:spacing w:line="360" w:lineRule="auto"/>
        <w:ind w:firstLine="420"/>
      </w:pPr>
      <w:r>
        <w:rPr>
          <w:rFonts w:hint="eastAsia"/>
        </w:rPr>
        <w:t>分级管控：</w:t>
      </w:r>
    </w:p>
    <w:p w14:paraId="7641EF87">
      <w:pPr>
        <w:pStyle w:val="132"/>
        <w:spacing w:line="360" w:lineRule="auto"/>
      </w:pPr>
      <w:r>
        <w:rPr>
          <w:rFonts w:hint="eastAsia"/>
        </w:rPr>
        <w:t>红色预警期（PM10＞150μg/m³）：全面停工；</w:t>
      </w:r>
    </w:p>
    <w:p w14:paraId="3C33C34B">
      <w:pPr>
        <w:pStyle w:val="132"/>
        <w:spacing w:line="360" w:lineRule="auto"/>
      </w:pPr>
      <w:r>
        <w:rPr>
          <w:rFonts w:hint="eastAsia"/>
        </w:rPr>
        <w:t>橙色预警期（PM10 100-150μg/m³）：开启全部喷淋设备。</w:t>
      </w:r>
    </w:p>
    <w:p w14:paraId="3FB92B6D">
      <w:pPr>
        <w:pStyle w:val="56"/>
        <w:spacing w:line="360" w:lineRule="auto"/>
        <w:ind w:firstLine="420"/>
      </w:pPr>
      <w:r>
        <w:rPr>
          <w:rFonts w:hint="eastAsia"/>
        </w:rPr>
        <w:t>智能监测：每5000㎡施工区域布设1台扬尘在线监测仪，数据联网上传。</w:t>
      </w:r>
    </w:p>
    <w:p w14:paraId="25E42984">
      <w:pPr>
        <w:pStyle w:val="56"/>
        <w:ind w:firstLine="420"/>
      </w:pPr>
      <w:r>
        <w:rPr>
          <w:rFonts w:hint="eastAsia"/>
        </w:rPr>
        <w:t>可通过表格记录每日数据，扬尘控制记录表见附录</w:t>
      </w:r>
      <w:r>
        <w:t>A。</w:t>
      </w:r>
    </w:p>
    <w:p w14:paraId="18ABB4B4">
      <w:pPr>
        <w:pStyle w:val="105"/>
        <w:spacing w:before="120" w:after="120" w:line="360" w:lineRule="auto"/>
      </w:pPr>
      <w:r>
        <w:rPr>
          <w:rFonts w:hint="eastAsia"/>
        </w:rPr>
        <w:t>噪声与振动控制</w:t>
      </w:r>
    </w:p>
    <w:p w14:paraId="2E707D8D">
      <w:pPr>
        <w:pStyle w:val="56"/>
        <w:spacing w:line="360" w:lineRule="auto"/>
        <w:ind w:firstLine="420"/>
      </w:pPr>
      <w:r>
        <w:rPr>
          <w:rFonts w:hint="eastAsia"/>
        </w:rPr>
        <w:t>时段管理：</w:t>
      </w:r>
    </w:p>
    <w:p w14:paraId="47168D8E">
      <w:pPr>
        <w:pStyle w:val="132"/>
        <w:spacing w:line="360" w:lineRule="auto"/>
      </w:pPr>
      <w:r>
        <w:rPr>
          <w:rFonts w:hint="eastAsia"/>
        </w:rPr>
        <w:t>夜间（22:00-6:00）禁用冲击夯、破碎锤等设备；</w:t>
      </w:r>
    </w:p>
    <w:p w14:paraId="1F1CE1FC">
      <w:pPr>
        <w:pStyle w:val="132"/>
        <w:spacing w:line="360" w:lineRule="auto"/>
      </w:pPr>
      <w:r>
        <w:rPr>
          <w:rFonts w:hint="eastAsia"/>
        </w:rPr>
        <w:t>混凝土浇筑需采用低噪声振捣棒（≤75dB）。</w:t>
      </w:r>
    </w:p>
    <w:p w14:paraId="321645C8">
      <w:pPr>
        <w:pStyle w:val="105"/>
        <w:spacing w:before="120" w:after="120" w:line="360" w:lineRule="auto"/>
      </w:pPr>
      <w:r>
        <w:rPr>
          <w:rFonts w:hint="eastAsia"/>
        </w:rPr>
        <w:t>水污染控制</w:t>
      </w:r>
    </w:p>
    <w:p w14:paraId="1B7FDD34">
      <w:pPr>
        <w:pStyle w:val="56"/>
        <w:spacing w:line="360" w:lineRule="auto"/>
        <w:ind w:firstLine="420"/>
      </w:pPr>
      <w:r>
        <w:rPr>
          <w:rFonts w:hint="eastAsia"/>
        </w:rPr>
        <w:t>施工废水应经沉淀池处理后回用，pH值、悬浮物达标排放。</w:t>
      </w:r>
    </w:p>
    <w:p w14:paraId="5FD92FC5">
      <w:pPr>
        <w:pStyle w:val="56"/>
        <w:spacing w:line="360" w:lineRule="auto"/>
        <w:ind w:firstLine="420"/>
      </w:pPr>
      <w:r>
        <w:rPr>
          <w:rFonts w:hint="eastAsia"/>
        </w:rPr>
        <w:t>化学品存储区应设置防渗漏措施。</w:t>
      </w:r>
    </w:p>
    <w:p w14:paraId="72DE7762">
      <w:pPr>
        <w:pStyle w:val="105"/>
        <w:spacing w:before="120" w:after="120" w:line="360" w:lineRule="auto"/>
      </w:pPr>
      <w:r>
        <w:rPr>
          <w:rFonts w:hint="eastAsia"/>
        </w:rPr>
        <w:t>光污染控制</w:t>
      </w:r>
    </w:p>
    <w:p w14:paraId="5B96E170">
      <w:pPr>
        <w:pStyle w:val="56"/>
        <w:spacing w:line="360" w:lineRule="auto"/>
        <w:ind w:firstLine="420"/>
      </w:pPr>
      <w:r>
        <w:rPr>
          <w:rFonts w:hint="eastAsia"/>
        </w:rPr>
        <w:t>夜间照明应加装遮光罩，避免直射周边居民区。</w:t>
      </w:r>
    </w:p>
    <w:p w14:paraId="08030A07">
      <w:pPr>
        <w:pStyle w:val="105"/>
        <w:spacing w:before="120" w:after="120" w:line="360" w:lineRule="auto"/>
      </w:pPr>
      <w:r>
        <w:rPr>
          <w:rFonts w:hint="eastAsia"/>
        </w:rPr>
        <w:t>土壤保护</w:t>
      </w:r>
    </w:p>
    <w:p w14:paraId="77A46C0E">
      <w:pPr>
        <w:pStyle w:val="56"/>
        <w:spacing w:line="360" w:lineRule="auto"/>
        <w:ind w:firstLine="420"/>
      </w:pPr>
      <w:r>
        <w:rPr>
          <w:rFonts w:hint="eastAsia"/>
        </w:rPr>
        <w:t>禁止使用剧毒、高残留化学品，防止土壤污染。</w:t>
      </w:r>
    </w:p>
    <w:p w14:paraId="15D9A127">
      <w:pPr>
        <w:pStyle w:val="104"/>
        <w:spacing w:before="240" w:after="240" w:line="360" w:lineRule="auto"/>
      </w:pPr>
      <w:bookmarkStart w:id="51" w:name="_Toc192595147"/>
      <w:r>
        <w:rPr>
          <w:rFonts w:hint="eastAsia"/>
        </w:rPr>
        <w:t>管理要求</w:t>
      </w:r>
      <w:bookmarkEnd w:id="51"/>
    </w:p>
    <w:p w14:paraId="590808F1">
      <w:pPr>
        <w:pStyle w:val="105"/>
        <w:spacing w:before="120" w:after="120" w:line="360" w:lineRule="auto"/>
      </w:pPr>
      <w:r>
        <w:rPr>
          <w:rFonts w:hint="eastAsia"/>
        </w:rPr>
        <w:t>组织与职责</w:t>
      </w:r>
    </w:p>
    <w:p w14:paraId="244BF319">
      <w:pPr>
        <w:pStyle w:val="56"/>
        <w:spacing w:line="360" w:lineRule="auto"/>
        <w:ind w:firstLine="420"/>
      </w:pPr>
      <w:r>
        <w:rPr>
          <w:rFonts w:hint="eastAsia"/>
        </w:rPr>
        <w:t>施工单位应成立绿色施工管理小组，明确项目经理为第一责任人。</w:t>
      </w:r>
    </w:p>
    <w:p w14:paraId="43468FA2">
      <w:pPr>
        <w:pStyle w:val="105"/>
        <w:spacing w:before="120" w:after="120" w:line="360" w:lineRule="auto"/>
      </w:pPr>
      <w:r>
        <w:rPr>
          <w:rFonts w:hint="eastAsia"/>
        </w:rPr>
        <w:t>培训与交底</w:t>
      </w:r>
    </w:p>
    <w:p w14:paraId="05011DE2">
      <w:pPr>
        <w:pStyle w:val="56"/>
        <w:spacing w:line="360" w:lineRule="auto"/>
        <w:ind w:firstLine="420"/>
      </w:pPr>
      <w:r>
        <w:rPr>
          <w:rFonts w:hint="eastAsia"/>
        </w:rPr>
        <w:t>施工前应对作业人员进行绿色施工专项培训。</w:t>
      </w:r>
    </w:p>
    <w:p w14:paraId="4AADF0FA">
      <w:pPr>
        <w:pStyle w:val="105"/>
        <w:spacing w:before="120" w:after="120" w:line="360" w:lineRule="auto"/>
      </w:pPr>
      <w:r>
        <w:rPr>
          <w:rFonts w:hint="eastAsia"/>
        </w:rPr>
        <w:t>监测与改进</w:t>
      </w:r>
    </w:p>
    <w:p w14:paraId="1372B726">
      <w:pPr>
        <w:pStyle w:val="56"/>
        <w:spacing w:line="360" w:lineRule="auto"/>
        <w:ind w:firstLine="420"/>
      </w:pPr>
      <w:r>
        <w:rPr>
          <w:rFonts w:hint="eastAsia"/>
        </w:rPr>
        <w:t>每月开展环境指标（噪声、扬尘等）监测，数据公开，建立问题整改闭环机制。</w:t>
      </w:r>
    </w:p>
    <w:p w14:paraId="29EE4778">
      <w:pPr>
        <w:pStyle w:val="104"/>
        <w:spacing w:before="240" w:after="240" w:line="360" w:lineRule="auto"/>
      </w:pPr>
      <w:bookmarkStart w:id="52" w:name="_Toc192595148"/>
      <w:r>
        <w:rPr>
          <w:rFonts w:hint="eastAsia"/>
        </w:rPr>
        <w:t>验收与评价</w:t>
      </w:r>
      <w:bookmarkEnd w:id="52"/>
    </w:p>
    <w:p w14:paraId="3538933F">
      <w:pPr>
        <w:pStyle w:val="56"/>
        <w:spacing w:line="360" w:lineRule="auto"/>
        <w:ind w:firstLine="420"/>
      </w:pPr>
      <w:r>
        <w:rPr>
          <w:rFonts w:hint="eastAsia"/>
        </w:rPr>
        <w:t>工程竣工后，按GB/T 50640进行绿色施工等级评价（优良/合格/不合格）。</w:t>
      </w:r>
    </w:p>
    <w:p w14:paraId="43AD752C">
      <w:pPr>
        <w:pStyle w:val="56"/>
        <w:spacing w:line="360" w:lineRule="auto"/>
        <w:ind w:firstLine="420"/>
      </w:pPr>
      <w:r>
        <w:rPr>
          <w:rFonts w:hint="eastAsia"/>
        </w:rPr>
        <w:t>环境保护验收纳入工程竣工验收报告。</w:t>
      </w:r>
    </w:p>
    <w:p w14:paraId="528561FF">
      <w:pPr>
        <w:pStyle w:val="56"/>
        <w:spacing w:line="360" w:lineRule="auto"/>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bookmarkEnd w:id="23"/>
    <w:p w14:paraId="5FA730FE">
      <w:pPr>
        <w:pStyle w:val="198"/>
      </w:pPr>
      <w:bookmarkStart w:id="53" w:name="BookMark5"/>
    </w:p>
    <w:p w14:paraId="5A9393F3">
      <w:pPr>
        <w:pStyle w:val="199"/>
      </w:pPr>
    </w:p>
    <w:p w14:paraId="758848BC">
      <w:pPr>
        <w:pStyle w:val="76"/>
        <w:spacing w:after="120" w:line="360" w:lineRule="auto"/>
      </w:pPr>
      <w:r>
        <w:br w:type="textWrapping"/>
      </w:r>
      <w:bookmarkStart w:id="54" w:name="_Toc192595149"/>
      <w:r>
        <w:rPr>
          <w:rFonts w:hint="eastAsia"/>
        </w:rPr>
        <w:t>（资料性）</w:t>
      </w:r>
      <w:r>
        <w:br w:type="textWrapping"/>
      </w:r>
      <w:r>
        <w:rPr>
          <w:rFonts w:hint="eastAsia"/>
        </w:rPr>
        <w:t>台账与记录表</w:t>
      </w:r>
      <w:bookmarkEnd w:id="54"/>
    </w:p>
    <w:p w14:paraId="5F7A13C9">
      <w:pPr>
        <w:pStyle w:val="78"/>
        <w:spacing w:before="120" w:after="120" w:line="360" w:lineRule="auto"/>
      </w:pPr>
      <w:r>
        <w:t>建筑废弃物分类台账</w:t>
      </w:r>
      <w:r>
        <w:rPr>
          <w:rFonts w:hint="eastAsia"/>
        </w:rPr>
        <w:t>见表A</w:t>
      </w:r>
      <w:r>
        <w:t>.1</w:t>
      </w:r>
    </w:p>
    <w:p w14:paraId="0979B79D">
      <w:pPr>
        <w:pStyle w:val="56"/>
        <w:spacing w:line="360" w:lineRule="auto"/>
        <w:ind w:firstLine="420"/>
        <w:jc w:val="center"/>
        <w:rPr>
          <w:rFonts w:ascii="黑体" w:hAnsi="黑体" w:eastAsia="黑体"/>
        </w:rPr>
      </w:pPr>
      <w:r>
        <w:rPr>
          <w:rFonts w:hint="eastAsia" w:ascii="黑体" w:hAnsi="黑体" w:eastAsia="黑体"/>
        </w:rPr>
        <w:t>表A</w:t>
      </w:r>
      <w:r>
        <w:rPr>
          <w:rFonts w:ascii="黑体" w:hAnsi="黑体" w:eastAsia="黑体"/>
        </w:rPr>
        <w:t>.</w:t>
      </w:r>
      <w:r>
        <w:rPr>
          <w:rFonts w:hint="eastAsia" w:ascii="黑体" w:hAnsi="黑体" w:eastAsia="黑体"/>
        </w:rPr>
        <w:t>1</w:t>
      </w:r>
      <w:r>
        <w:rPr>
          <w:rFonts w:ascii="黑体" w:hAnsi="黑体" w:eastAsia="黑体"/>
        </w:rPr>
        <w:t xml:space="preserve"> 建筑废弃物分类台账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65D35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14:paraId="34435C08">
            <w:pPr>
              <w:pStyle w:val="178"/>
            </w:pPr>
            <w:r>
              <w:t>废弃物类型</w:t>
            </w:r>
          </w:p>
        </w:tc>
        <w:tc>
          <w:tcPr>
            <w:tcW w:w="1556" w:type="dxa"/>
            <w:tcBorders>
              <w:top w:val="single" w:color="auto" w:sz="8" w:space="0"/>
              <w:bottom w:val="single" w:color="auto" w:sz="8" w:space="0"/>
            </w:tcBorders>
            <w:shd w:val="clear" w:color="auto" w:fill="auto"/>
            <w:vAlign w:val="center"/>
          </w:tcPr>
          <w:p w14:paraId="172E63EB">
            <w:pPr>
              <w:pStyle w:val="178"/>
            </w:pPr>
            <w:r>
              <w:t>产生部位</w:t>
            </w:r>
          </w:p>
        </w:tc>
        <w:tc>
          <w:tcPr>
            <w:tcW w:w="1555" w:type="dxa"/>
            <w:tcBorders>
              <w:top w:val="single" w:color="auto" w:sz="8" w:space="0"/>
              <w:bottom w:val="single" w:color="auto" w:sz="8" w:space="0"/>
            </w:tcBorders>
            <w:shd w:val="clear" w:color="auto" w:fill="auto"/>
            <w:vAlign w:val="center"/>
          </w:tcPr>
          <w:p w14:paraId="69BBED02">
            <w:pPr>
              <w:pStyle w:val="178"/>
            </w:pPr>
            <w:r>
              <w:t>重量(t)</w:t>
            </w:r>
          </w:p>
        </w:tc>
        <w:tc>
          <w:tcPr>
            <w:tcW w:w="1555" w:type="dxa"/>
            <w:tcBorders>
              <w:top w:val="single" w:color="auto" w:sz="8" w:space="0"/>
              <w:bottom w:val="single" w:color="auto" w:sz="8" w:space="0"/>
            </w:tcBorders>
            <w:shd w:val="clear" w:color="auto" w:fill="auto"/>
            <w:vAlign w:val="center"/>
          </w:tcPr>
          <w:p w14:paraId="6980603B">
            <w:pPr>
              <w:pStyle w:val="178"/>
            </w:pPr>
            <w:r>
              <w:t>处理方式</w:t>
            </w:r>
          </w:p>
        </w:tc>
        <w:tc>
          <w:tcPr>
            <w:tcW w:w="1556" w:type="dxa"/>
            <w:tcBorders>
              <w:top w:val="single" w:color="auto" w:sz="8" w:space="0"/>
              <w:bottom w:val="single" w:color="auto" w:sz="8" w:space="0"/>
            </w:tcBorders>
            <w:shd w:val="clear" w:color="auto" w:fill="auto"/>
            <w:vAlign w:val="center"/>
          </w:tcPr>
          <w:p w14:paraId="7CF8B6F5">
            <w:pPr>
              <w:pStyle w:val="178"/>
            </w:pPr>
            <w:r>
              <w:t>接收单位</w:t>
            </w:r>
          </w:p>
        </w:tc>
        <w:tc>
          <w:tcPr>
            <w:tcW w:w="1556" w:type="dxa"/>
            <w:tcBorders>
              <w:top w:val="single" w:color="auto" w:sz="8" w:space="0"/>
              <w:bottom w:val="single" w:color="auto" w:sz="8" w:space="0"/>
            </w:tcBorders>
            <w:shd w:val="clear" w:color="auto" w:fill="auto"/>
            <w:vAlign w:val="center"/>
          </w:tcPr>
          <w:p w14:paraId="6C8FDB0C">
            <w:pPr>
              <w:pStyle w:val="178"/>
            </w:pPr>
            <w:r>
              <w:t>凭证编号</w:t>
            </w:r>
          </w:p>
        </w:tc>
      </w:tr>
      <w:tr w14:paraId="50961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14:paraId="782D37E7">
            <w:pPr>
              <w:pStyle w:val="178"/>
            </w:pPr>
            <w:r>
              <w:rPr>
                <w:rFonts w:hint="eastAsia"/>
              </w:rPr>
              <w:t>示例/</w:t>
            </w:r>
            <w:r>
              <w:t>废弃混凝土</w:t>
            </w:r>
          </w:p>
        </w:tc>
        <w:tc>
          <w:tcPr>
            <w:tcW w:w="1556" w:type="dxa"/>
            <w:tcBorders>
              <w:top w:val="single" w:color="auto" w:sz="8" w:space="0"/>
            </w:tcBorders>
            <w:shd w:val="clear" w:color="auto" w:fill="auto"/>
            <w:vAlign w:val="center"/>
          </w:tcPr>
          <w:p w14:paraId="79C68736">
            <w:pPr>
              <w:pStyle w:val="178"/>
            </w:pPr>
            <w:r>
              <w:t>地下室</w:t>
            </w:r>
          </w:p>
        </w:tc>
        <w:tc>
          <w:tcPr>
            <w:tcW w:w="1555" w:type="dxa"/>
            <w:tcBorders>
              <w:top w:val="single" w:color="auto" w:sz="8" w:space="0"/>
            </w:tcBorders>
            <w:shd w:val="clear" w:color="auto" w:fill="auto"/>
            <w:vAlign w:val="center"/>
          </w:tcPr>
          <w:p w14:paraId="503E0AD7">
            <w:pPr>
              <w:pStyle w:val="178"/>
            </w:pPr>
            <w:r>
              <w:t>50</w:t>
            </w:r>
          </w:p>
        </w:tc>
        <w:tc>
          <w:tcPr>
            <w:tcW w:w="1555" w:type="dxa"/>
            <w:tcBorders>
              <w:top w:val="single" w:color="auto" w:sz="8" w:space="0"/>
            </w:tcBorders>
            <w:shd w:val="clear" w:color="auto" w:fill="auto"/>
            <w:vAlign w:val="center"/>
          </w:tcPr>
          <w:p w14:paraId="7732CD6B">
            <w:pPr>
              <w:pStyle w:val="178"/>
            </w:pPr>
            <w:r>
              <w:t>再生骨料</w:t>
            </w:r>
          </w:p>
        </w:tc>
        <w:tc>
          <w:tcPr>
            <w:tcW w:w="1556" w:type="dxa"/>
            <w:tcBorders>
              <w:top w:val="single" w:color="auto" w:sz="8" w:space="0"/>
            </w:tcBorders>
            <w:shd w:val="clear" w:color="auto" w:fill="auto"/>
            <w:vAlign w:val="center"/>
          </w:tcPr>
          <w:p w14:paraId="72FF709D">
            <w:pPr>
              <w:pStyle w:val="178"/>
            </w:pPr>
            <w:r>
              <w:t>XX环保公司</w:t>
            </w:r>
          </w:p>
        </w:tc>
        <w:tc>
          <w:tcPr>
            <w:tcW w:w="1556" w:type="dxa"/>
            <w:tcBorders>
              <w:top w:val="single" w:color="auto" w:sz="8" w:space="0"/>
            </w:tcBorders>
            <w:shd w:val="clear" w:color="auto" w:fill="auto"/>
            <w:vAlign w:val="center"/>
          </w:tcPr>
          <w:p w14:paraId="4C9022DB">
            <w:pPr>
              <w:pStyle w:val="178"/>
            </w:pPr>
            <w:r>
              <w:t>ZJ2023-001</w:t>
            </w:r>
          </w:p>
        </w:tc>
      </w:tr>
      <w:tr w14:paraId="42E97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288D5261">
            <w:pPr>
              <w:pStyle w:val="178"/>
            </w:pPr>
          </w:p>
        </w:tc>
        <w:tc>
          <w:tcPr>
            <w:tcW w:w="1556" w:type="dxa"/>
            <w:shd w:val="clear" w:color="auto" w:fill="auto"/>
            <w:vAlign w:val="center"/>
          </w:tcPr>
          <w:p w14:paraId="509E2A87">
            <w:pPr>
              <w:pStyle w:val="178"/>
            </w:pPr>
          </w:p>
        </w:tc>
        <w:tc>
          <w:tcPr>
            <w:tcW w:w="1555" w:type="dxa"/>
            <w:shd w:val="clear" w:color="auto" w:fill="auto"/>
            <w:vAlign w:val="center"/>
          </w:tcPr>
          <w:p w14:paraId="5ED26E55">
            <w:pPr>
              <w:pStyle w:val="178"/>
            </w:pPr>
          </w:p>
        </w:tc>
        <w:tc>
          <w:tcPr>
            <w:tcW w:w="1555" w:type="dxa"/>
            <w:shd w:val="clear" w:color="auto" w:fill="auto"/>
            <w:vAlign w:val="center"/>
          </w:tcPr>
          <w:p w14:paraId="49DFA54B">
            <w:pPr>
              <w:pStyle w:val="178"/>
            </w:pPr>
          </w:p>
        </w:tc>
        <w:tc>
          <w:tcPr>
            <w:tcW w:w="1556" w:type="dxa"/>
            <w:shd w:val="clear" w:color="auto" w:fill="auto"/>
            <w:vAlign w:val="center"/>
          </w:tcPr>
          <w:p w14:paraId="23D51619">
            <w:pPr>
              <w:pStyle w:val="178"/>
            </w:pPr>
          </w:p>
        </w:tc>
        <w:tc>
          <w:tcPr>
            <w:tcW w:w="1556" w:type="dxa"/>
            <w:shd w:val="clear" w:color="auto" w:fill="auto"/>
            <w:vAlign w:val="center"/>
          </w:tcPr>
          <w:p w14:paraId="40BD8D7B">
            <w:pPr>
              <w:pStyle w:val="178"/>
            </w:pPr>
          </w:p>
        </w:tc>
      </w:tr>
      <w:tr w14:paraId="2AF0B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28829F3">
            <w:pPr>
              <w:pStyle w:val="178"/>
            </w:pPr>
          </w:p>
        </w:tc>
        <w:tc>
          <w:tcPr>
            <w:tcW w:w="1556" w:type="dxa"/>
            <w:shd w:val="clear" w:color="auto" w:fill="auto"/>
            <w:vAlign w:val="center"/>
          </w:tcPr>
          <w:p w14:paraId="0CBE14AA">
            <w:pPr>
              <w:pStyle w:val="178"/>
            </w:pPr>
          </w:p>
        </w:tc>
        <w:tc>
          <w:tcPr>
            <w:tcW w:w="1555" w:type="dxa"/>
            <w:shd w:val="clear" w:color="auto" w:fill="auto"/>
            <w:vAlign w:val="center"/>
          </w:tcPr>
          <w:p w14:paraId="732B78E0">
            <w:pPr>
              <w:pStyle w:val="178"/>
            </w:pPr>
          </w:p>
        </w:tc>
        <w:tc>
          <w:tcPr>
            <w:tcW w:w="1555" w:type="dxa"/>
            <w:shd w:val="clear" w:color="auto" w:fill="auto"/>
            <w:vAlign w:val="center"/>
          </w:tcPr>
          <w:p w14:paraId="65C90F47">
            <w:pPr>
              <w:pStyle w:val="178"/>
            </w:pPr>
          </w:p>
        </w:tc>
        <w:tc>
          <w:tcPr>
            <w:tcW w:w="1556" w:type="dxa"/>
            <w:shd w:val="clear" w:color="auto" w:fill="auto"/>
            <w:vAlign w:val="center"/>
          </w:tcPr>
          <w:p w14:paraId="6D5BF1D4">
            <w:pPr>
              <w:pStyle w:val="178"/>
            </w:pPr>
          </w:p>
        </w:tc>
        <w:tc>
          <w:tcPr>
            <w:tcW w:w="1556" w:type="dxa"/>
            <w:shd w:val="clear" w:color="auto" w:fill="auto"/>
            <w:vAlign w:val="center"/>
          </w:tcPr>
          <w:p w14:paraId="7B594673">
            <w:pPr>
              <w:pStyle w:val="178"/>
            </w:pPr>
          </w:p>
        </w:tc>
      </w:tr>
      <w:tr w14:paraId="698E7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6F4841D2">
            <w:pPr>
              <w:pStyle w:val="178"/>
            </w:pPr>
          </w:p>
        </w:tc>
        <w:tc>
          <w:tcPr>
            <w:tcW w:w="1556" w:type="dxa"/>
            <w:shd w:val="clear" w:color="auto" w:fill="auto"/>
            <w:vAlign w:val="center"/>
          </w:tcPr>
          <w:p w14:paraId="42121A83">
            <w:pPr>
              <w:pStyle w:val="178"/>
            </w:pPr>
          </w:p>
        </w:tc>
        <w:tc>
          <w:tcPr>
            <w:tcW w:w="1555" w:type="dxa"/>
            <w:shd w:val="clear" w:color="auto" w:fill="auto"/>
            <w:vAlign w:val="center"/>
          </w:tcPr>
          <w:p w14:paraId="4B8FEBEE">
            <w:pPr>
              <w:pStyle w:val="178"/>
            </w:pPr>
          </w:p>
        </w:tc>
        <w:tc>
          <w:tcPr>
            <w:tcW w:w="1555" w:type="dxa"/>
            <w:shd w:val="clear" w:color="auto" w:fill="auto"/>
            <w:vAlign w:val="center"/>
          </w:tcPr>
          <w:p w14:paraId="6B5AE938">
            <w:pPr>
              <w:pStyle w:val="178"/>
            </w:pPr>
          </w:p>
        </w:tc>
        <w:tc>
          <w:tcPr>
            <w:tcW w:w="1556" w:type="dxa"/>
            <w:shd w:val="clear" w:color="auto" w:fill="auto"/>
            <w:vAlign w:val="center"/>
          </w:tcPr>
          <w:p w14:paraId="19B1E86E">
            <w:pPr>
              <w:pStyle w:val="178"/>
            </w:pPr>
          </w:p>
        </w:tc>
        <w:tc>
          <w:tcPr>
            <w:tcW w:w="1556" w:type="dxa"/>
            <w:shd w:val="clear" w:color="auto" w:fill="auto"/>
            <w:vAlign w:val="center"/>
          </w:tcPr>
          <w:p w14:paraId="592E8AC4">
            <w:pPr>
              <w:pStyle w:val="178"/>
            </w:pPr>
          </w:p>
        </w:tc>
      </w:tr>
      <w:tr w14:paraId="5C99F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904BB9B">
            <w:pPr>
              <w:pStyle w:val="178"/>
            </w:pPr>
          </w:p>
        </w:tc>
        <w:tc>
          <w:tcPr>
            <w:tcW w:w="1556" w:type="dxa"/>
            <w:shd w:val="clear" w:color="auto" w:fill="auto"/>
            <w:vAlign w:val="center"/>
          </w:tcPr>
          <w:p w14:paraId="659DE519">
            <w:pPr>
              <w:pStyle w:val="178"/>
            </w:pPr>
          </w:p>
        </w:tc>
        <w:tc>
          <w:tcPr>
            <w:tcW w:w="1555" w:type="dxa"/>
            <w:shd w:val="clear" w:color="auto" w:fill="auto"/>
            <w:vAlign w:val="center"/>
          </w:tcPr>
          <w:p w14:paraId="756AEE55">
            <w:pPr>
              <w:pStyle w:val="178"/>
            </w:pPr>
          </w:p>
        </w:tc>
        <w:tc>
          <w:tcPr>
            <w:tcW w:w="1555" w:type="dxa"/>
            <w:shd w:val="clear" w:color="auto" w:fill="auto"/>
            <w:vAlign w:val="center"/>
          </w:tcPr>
          <w:p w14:paraId="2246358E">
            <w:pPr>
              <w:pStyle w:val="178"/>
            </w:pPr>
          </w:p>
        </w:tc>
        <w:tc>
          <w:tcPr>
            <w:tcW w:w="1556" w:type="dxa"/>
            <w:shd w:val="clear" w:color="auto" w:fill="auto"/>
            <w:vAlign w:val="center"/>
          </w:tcPr>
          <w:p w14:paraId="7A815A08">
            <w:pPr>
              <w:pStyle w:val="178"/>
            </w:pPr>
          </w:p>
        </w:tc>
        <w:tc>
          <w:tcPr>
            <w:tcW w:w="1556" w:type="dxa"/>
            <w:shd w:val="clear" w:color="auto" w:fill="auto"/>
            <w:vAlign w:val="center"/>
          </w:tcPr>
          <w:p w14:paraId="4F67CFC1">
            <w:pPr>
              <w:pStyle w:val="178"/>
            </w:pPr>
          </w:p>
        </w:tc>
      </w:tr>
    </w:tbl>
    <w:p w14:paraId="7B545E19">
      <w:pPr>
        <w:pStyle w:val="78"/>
        <w:spacing w:before="120" w:after="120" w:line="360" w:lineRule="auto"/>
      </w:pPr>
      <w:r>
        <w:rPr>
          <w:rFonts w:hint="eastAsia"/>
        </w:rPr>
        <w:t>扬尘控制记录表见表A</w:t>
      </w:r>
      <w:r>
        <w:t>.2</w:t>
      </w:r>
    </w:p>
    <w:p w14:paraId="39AA8A65">
      <w:pPr>
        <w:pStyle w:val="56"/>
        <w:spacing w:line="360" w:lineRule="auto"/>
        <w:ind w:firstLine="0" w:firstLineChars="0"/>
        <w:jc w:val="center"/>
        <w:rPr>
          <w:rFonts w:ascii="黑体" w:hAnsi="黑体" w:eastAsia="黑体"/>
        </w:rPr>
      </w:pPr>
      <w:r>
        <w:rPr>
          <w:rFonts w:hint="eastAsia" w:ascii="黑体" w:hAnsi="黑体" w:eastAsia="黑体"/>
        </w:rPr>
        <w:t>表A</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扬尘控制记录表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036F9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14:paraId="31F17529">
            <w:pPr>
              <w:pStyle w:val="178"/>
            </w:pPr>
            <w:r>
              <w:t>日期</w:t>
            </w:r>
          </w:p>
        </w:tc>
        <w:tc>
          <w:tcPr>
            <w:tcW w:w="1556" w:type="dxa"/>
            <w:tcBorders>
              <w:top w:val="single" w:color="auto" w:sz="8" w:space="0"/>
              <w:bottom w:val="single" w:color="auto" w:sz="8" w:space="0"/>
            </w:tcBorders>
            <w:shd w:val="clear" w:color="auto" w:fill="auto"/>
            <w:vAlign w:val="center"/>
          </w:tcPr>
          <w:p w14:paraId="1728801C">
            <w:pPr>
              <w:pStyle w:val="178"/>
            </w:pPr>
            <w:r>
              <w:t>监测点</w:t>
            </w:r>
          </w:p>
        </w:tc>
        <w:tc>
          <w:tcPr>
            <w:tcW w:w="1555" w:type="dxa"/>
            <w:tcBorders>
              <w:top w:val="single" w:color="auto" w:sz="8" w:space="0"/>
              <w:bottom w:val="single" w:color="auto" w:sz="8" w:space="0"/>
            </w:tcBorders>
            <w:shd w:val="clear" w:color="auto" w:fill="auto"/>
            <w:vAlign w:val="center"/>
          </w:tcPr>
          <w:p w14:paraId="07C78053">
            <w:pPr>
              <w:pStyle w:val="178"/>
            </w:pPr>
            <w:r>
              <w:t>PM10浓度(μg/m³)</w:t>
            </w:r>
          </w:p>
        </w:tc>
        <w:tc>
          <w:tcPr>
            <w:tcW w:w="1555" w:type="dxa"/>
            <w:tcBorders>
              <w:top w:val="single" w:color="auto" w:sz="8" w:space="0"/>
              <w:bottom w:val="single" w:color="auto" w:sz="8" w:space="0"/>
            </w:tcBorders>
            <w:shd w:val="clear" w:color="auto" w:fill="auto"/>
            <w:vAlign w:val="center"/>
          </w:tcPr>
          <w:p w14:paraId="0B92B4F1">
            <w:pPr>
              <w:pStyle w:val="178"/>
            </w:pPr>
            <w:r>
              <w:t>控制措施</w:t>
            </w:r>
          </w:p>
        </w:tc>
        <w:tc>
          <w:tcPr>
            <w:tcW w:w="1556" w:type="dxa"/>
            <w:tcBorders>
              <w:top w:val="single" w:color="auto" w:sz="8" w:space="0"/>
              <w:bottom w:val="single" w:color="auto" w:sz="8" w:space="0"/>
            </w:tcBorders>
            <w:shd w:val="clear" w:color="auto" w:fill="auto"/>
            <w:vAlign w:val="center"/>
          </w:tcPr>
          <w:p w14:paraId="16342B4A">
            <w:pPr>
              <w:pStyle w:val="178"/>
            </w:pPr>
            <w:r>
              <w:t>责任人</w:t>
            </w:r>
          </w:p>
        </w:tc>
        <w:tc>
          <w:tcPr>
            <w:tcW w:w="1556" w:type="dxa"/>
            <w:tcBorders>
              <w:top w:val="single" w:color="auto" w:sz="8" w:space="0"/>
              <w:bottom w:val="single" w:color="auto" w:sz="8" w:space="0"/>
            </w:tcBorders>
            <w:shd w:val="clear" w:color="auto" w:fill="auto"/>
            <w:vAlign w:val="center"/>
          </w:tcPr>
          <w:p w14:paraId="6A6D7006">
            <w:pPr>
              <w:pStyle w:val="178"/>
            </w:pPr>
            <w:r>
              <w:t>备注</w:t>
            </w:r>
          </w:p>
        </w:tc>
      </w:tr>
      <w:tr w14:paraId="6B078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14:paraId="6AA40260">
            <w:pPr>
              <w:pStyle w:val="178"/>
            </w:pPr>
            <w:r>
              <w:rPr>
                <w:rFonts w:hint="eastAsia"/>
              </w:rPr>
              <w:t>示例/年 月 日</w:t>
            </w:r>
          </w:p>
        </w:tc>
        <w:tc>
          <w:tcPr>
            <w:tcW w:w="1556" w:type="dxa"/>
            <w:tcBorders>
              <w:top w:val="single" w:color="auto" w:sz="8" w:space="0"/>
            </w:tcBorders>
            <w:shd w:val="clear" w:color="auto" w:fill="auto"/>
            <w:vAlign w:val="center"/>
          </w:tcPr>
          <w:p w14:paraId="30FC0C72">
            <w:pPr>
              <w:pStyle w:val="178"/>
            </w:pPr>
            <w:r>
              <w:t>土方区</w:t>
            </w:r>
          </w:p>
        </w:tc>
        <w:tc>
          <w:tcPr>
            <w:tcW w:w="1555" w:type="dxa"/>
            <w:tcBorders>
              <w:top w:val="single" w:color="auto" w:sz="8" w:space="0"/>
            </w:tcBorders>
            <w:shd w:val="clear" w:color="auto" w:fill="auto"/>
            <w:vAlign w:val="center"/>
          </w:tcPr>
          <w:p w14:paraId="507636A6">
            <w:pPr>
              <w:pStyle w:val="178"/>
            </w:pPr>
            <w:r>
              <w:t>65</w:t>
            </w:r>
          </w:p>
        </w:tc>
        <w:tc>
          <w:tcPr>
            <w:tcW w:w="1555" w:type="dxa"/>
            <w:tcBorders>
              <w:top w:val="single" w:color="auto" w:sz="8" w:space="0"/>
            </w:tcBorders>
            <w:shd w:val="clear" w:color="auto" w:fill="auto"/>
            <w:vAlign w:val="center"/>
          </w:tcPr>
          <w:p w14:paraId="621B51D9">
            <w:pPr>
              <w:pStyle w:val="178"/>
            </w:pPr>
            <w:r>
              <w:t>雾炮开启</w:t>
            </w:r>
          </w:p>
        </w:tc>
        <w:tc>
          <w:tcPr>
            <w:tcW w:w="1556" w:type="dxa"/>
            <w:tcBorders>
              <w:top w:val="single" w:color="auto" w:sz="8" w:space="0"/>
            </w:tcBorders>
            <w:shd w:val="clear" w:color="auto" w:fill="auto"/>
            <w:vAlign w:val="center"/>
          </w:tcPr>
          <w:p w14:paraId="4D1FDFFA">
            <w:pPr>
              <w:pStyle w:val="178"/>
            </w:pPr>
            <w:r>
              <w:t>张</w:t>
            </w:r>
            <w:r>
              <w:rPr>
                <w:rFonts w:hint="eastAsia"/>
              </w:rPr>
              <w:t>三</w:t>
            </w:r>
          </w:p>
        </w:tc>
        <w:tc>
          <w:tcPr>
            <w:tcW w:w="1556" w:type="dxa"/>
            <w:tcBorders>
              <w:top w:val="single" w:color="auto" w:sz="8" w:space="0"/>
            </w:tcBorders>
            <w:shd w:val="clear" w:color="auto" w:fill="auto"/>
            <w:vAlign w:val="center"/>
          </w:tcPr>
          <w:p w14:paraId="5AE0541C">
            <w:pPr>
              <w:pStyle w:val="178"/>
            </w:pPr>
            <w:r>
              <w:t>达标</w:t>
            </w:r>
          </w:p>
        </w:tc>
      </w:tr>
      <w:tr w14:paraId="430A9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B777CE9">
            <w:pPr>
              <w:pStyle w:val="178"/>
            </w:pPr>
          </w:p>
        </w:tc>
        <w:tc>
          <w:tcPr>
            <w:tcW w:w="1556" w:type="dxa"/>
            <w:shd w:val="clear" w:color="auto" w:fill="auto"/>
            <w:vAlign w:val="center"/>
          </w:tcPr>
          <w:p w14:paraId="51FFC731">
            <w:pPr>
              <w:pStyle w:val="178"/>
            </w:pPr>
          </w:p>
        </w:tc>
        <w:tc>
          <w:tcPr>
            <w:tcW w:w="1555" w:type="dxa"/>
            <w:shd w:val="clear" w:color="auto" w:fill="auto"/>
            <w:vAlign w:val="center"/>
          </w:tcPr>
          <w:p w14:paraId="5C8986C1">
            <w:pPr>
              <w:pStyle w:val="178"/>
            </w:pPr>
          </w:p>
        </w:tc>
        <w:tc>
          <w:tcPr>
            <w:tcW w:w="1555" w:type="dxa"/>
            <w:shd w:val="clear" w:color="auto" w:fill="auto"/>
            <w:vAlign w:val="center"/>
          </w:tcPr>
          <w:p w14:paraId="23037FCB">
            <w:pPr>
              <w:pStyle w:val="178"/>
            </w:pPr>
          </w:p>
        </w:tc>
        <w:tc>
          <w:tcPr>
            <w:tcW w:w="1556" w:type="dxa"/>
            <w:shd w:val="clear" w:color="auto" w:fill="auto"/>
            <w:vAlign w:val="center"/>
          </w:tcPr>
          <w:p w14:paraId="584A54E1">
            <w:pPr>
              <w:pStyle w:val="178"/>
            </w:pPr>
          </w:p>
        </w:tc>
        <w:tc>
          <w:tcPr>
            <w:tcW w:w="1556" w:type="dxa"/>
            <w:shd w:val="clear" w:color="auto" w:fill="auto"/>
            <w:vAlign w:val="center"/>
          </w:tcPr>
          <w:p w14:paraId="36A7162D">
            <w:pPr>
              <w:pStyle w:val="178"/>
            </w:pPr>
          </w:p>
        </w:tc>
      </w:tr>
      <w:tr w14:paraId="76AF6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09921135">
            <w:pPr>
              <w:pStyle w:val="178"/>
            </w:pPr>
          </w:p>
        </w:tc>
        <w:tc>
          <w:tcPr>
            <w:tcW w:w="1556" w:type="dxa"/>
            <w:shd w:val="clear" w:color="auto" w:fill="auto"/>
            <w:vAlign w:val="center"/>
          </w:tcPr>
          <w:p w14:paraId="43AAC91D">
            <w:pPr>
              <w:pStyle w:val="178"/>
            </w:pPr>
          </w:p>
        </w:tc>
        <w:tc>
          <w:tcPr>
            <w:tcW w:w="1555" w:type="dxa"/>
            <w:shd w:val="clear" w:color="auto" w:fill="auto"/>
            <w:vAlign w:val="center"/>
          </w:tcPr>
          <w:p w14:paraId="09F2337B">
            <w:pPr>
              <w:pStyle w:val="178"/>
            </w:pPr>
          </w:p>
        </w:tc>
        <w:tc>
          <w:tcPr>
            <w:tcW w:w="1555" w:type="dxa"/>
            <w:shd w:val="clear" w:color="auto" w:fill="auto"/>
            <w:vAlign w:val="center"/>
          </w:tcPr>
          <w:p w14:paraId="2BADB646">
            <w:pPr>
              <w:pStyle w:val="178"/>
            </w:pPr>
          </w:p>
        </w:tc>
        <w:tc>
          <w:tcPr>
            <w:tcW w:w="1556" w:type="dxa"/>
            <w:shd w:val="clear" w:color="auto" w:fill="auto"/>
            <w:vAlign w:val="center"/>
          </w:tcPr>
          <w:p w14:paraId="423664EF">
            <w:pPr>
              <w:pStyle w:val="178"/>
            </w:pPr>
          </w:p>
        </w:tc>
        <w:tc>
          <w:tcPr>
            <w:tcW w:w="1556" w:type="dxa"/>
            <w:shd w:val="clear" w:color="auto" w:fill="auto"/>
            <w:vAlign w:val="center"/>
          </w:tcPr>
          <w:p w14:paraId="3BCB05EF">
            <w:pPr>
              <w:pStyle w:val="178"/>
            </w:pPr>
          </w:p>
        </w:tc>
      </w:tr>
      <w:tr w14:paraId="3AADF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41BE21BF">
            <w:pPr>
              <w:pStyle w:val="178"/>
            </w:pPr>
          </w:p>
        </w:tc>
        <w:tc>
          <w:tcPr>
            <w:tcW w:w="1556" w:type="dxa"/>
            <w:shd w:val="clear" w:color="auto" w:fill="auto"/>
            <w:vAlign w:val="center"/>
          </w:tcPr>
          <w:p w14:paraId="362168BD">
            <w:pPr>
              <w:pStyle w:val="178"/>
            </w:pPr>
          </w:p>
        </w:tc>
        <w:tc>
          <w:tcPr>
            <w:tcW w:w="1555" w:type="dxa"/>
            <w:shd w:val="clear" w:color="auto" w:fill="auto"/>
            <w:vAlign w:val="center"/>
          </w:tcPr>
          <w:p w14:paraId="3ABBF805">
            <w:pPr>
              <w:pStyle w:val="178"/>
            </w:pPr>
          </w:p>
        </w:tc>
        <w:tc>
          <w:tcPr>
            <w:tcW w:w="1555" w:type="dxa"/>
            <w:shd w:val="clear" w:color="auto" w:fill="auto"/>
            <w:vAlign w:val="center"/>
          </w:tcPr>
          <w:p w14:paraId="5826BE18">
            <w:pPr>
              <w:pStyle w:val="178"/>
            </w:pPr>
          </w:p>
        </w:tc>
        <w:tc>
          <w:tcPr>
            <w:tcW w:w="1556" w:type="dxa"/>
            <w:shd w:val="clear" w:color="auto" w:fill="auto"/>
            <w:vAlign w:val="center"/>
          </w:tcPr>
          <w:p w14:paraId="6157763C">
            <w:pPr>
              <w:pStyle w:val="178"/>
            </w:pPr>
          </w:p>
        </w:tc>
        <w:tc>
          <w:tcPr>
            <w:tcW w:w="1556" w:type="dxa"/>
            <w:shd w:val="clear" w:color="auto" w:fill="auto"/>
            <w:vAlign w:val="center"/>
          </w:tcPr>
          <w:p w14:paraId="735FBBA1">
            <w:pPr>
              <w:pStyle w:val="178"/>
            </w:pPr>
          </w:p>
        </w:tc>
      </w:tr>
      <w:tr w14:paraId="345CB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3EB19842">
            <w:pPr>
              <w:pStyle w:val="178"/>
            </w:pPr>
          </w:p>
        </w:tc>
        <w:tc>
          <w:tcPr>
            <w:tcW w:w="1556" w:type="dxa"/>
            <w:shd w:val="clear" w:color="auto" w:fill="auto"/>
            <w:vAlign w:val="center"/>
          </w:tcPr>
          <w:p w14:paraId="3E2AEFBF">
            <w:pPr>
              <w:pStyle w:val="178"/>
            </w:pPr>
          </w:p>
        </w:tc>
        <w:tc>
          <w:tcPr>
            <w:tcW w:w="1555" w:type="dxa"/>
            <w:shd w:val="clear" w:color="auto" w:fill="auto"/>
            <w:vAlign w:val="center"/>
          </w:tcPr>
          <w:p w14:paraId="103C4F14">
            <w:pPr>
              <w:pStyle w:val="178"/>
            </w:pPr>
          </w:p>
        </w:tc>
        <w:tc>
          <w:tcPr>
            <w:tcW w:w="1555" w:type="dxa"/>
            <w:shd w:val="clear" w:color="auto" w:fill="auto"/>
            <w:vAlign w:val="center"/>
          </w:tcPr>
          <w:p w14:paraId="74B259D3">
            <w:pPr>
              <w:pStyle w:val="178"/>
            </w:pPr>
          </w:p>
        </w:tc>
        <w:tc>
          <w:tcPr>
            <w:tcW w:w="1556" w:type="dxa"/>
            <w:shd w:val="clear" w:color="auto" w:fill="auto"/>
            <w:vAlign w:val="center"/>
          </w:tcPr>
          <w:p w14:paraId="792CF041">
            <w:pPr>
              <w:pStyle w:val="178"/>
            </w:pPr>
          </w:p>
        </w:tc>
        <w:tc>
          <w:tcPr>
            <w:tcW w:w="1556" w:type="dxa"/>
            <w:shd w:val="clear" w:color="auto" w:fill="auto"/>
            <w:vAlign w:val="center"/>
          </w:tcPr>
          <w:p w14:paraId="4C09F083">
            <w:pPr>
              <w:pStyle w:val="178"/>
            </w:pPr>
          </w:p>
        </w:tc>
      </w:tr>
      <w:bookmarkEnd w:id="53"/>
    </w:tbl>
    <w:p w14:paraId="1D03117A">
      <w:pPr>
        <w:pStyle w:val="56"/>
        <w:ind w:firstLine="0" w:firstLineChars="0"/>
        <w:jc w:val="center"/>
      </w:pPr>
      <w:bookmarkStart w:id="55" w:name="BookMark8"/>
      <w:r>
        <w:drawing>
          <wp:inline distT="0" distB="0" distL="0" distR="0">
            <wp:extent cx="1485900" cy="317500"/>
            <wp:effectExtent l="0" t="0" r="0" b="6350"/>
            <wp:docPr id="487205129" name="图片 3"/>
            <wp:cNvGraphicFramePr/>
            <a:graphic xmlns:a="http://schemas.openxmlformats.org/drawingml/2006/main">
              <a:graphicData uri="http://schemas.openxmlformats.org/drawingml/2006/picture">
                <pic:pic xmlns:pic="http://schemas.openxmlformats.org/drawingml/2006/picture">
                  <pic:nvPicPr>
                    <pic:cNvPr id="487205129"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36C5">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581B">
    <w:pPr>
      <w:pStyle w:val="51"/>
    </w:pPr>
    <w:r>
      <w:fldChar w:fldCharType="begin"/>
    </w:r>
    <w:r>
      <w:instrText xml:space="preserve"> PAGE   \* MERGEFORMAT \* MERGEFORMAT </w:instrText>
    </w:r>
    <w:r>
      <w:fldChar w:fldCharType="separate"/>
    </w:r>
    <w:r>
      <w:t>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7999">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C8D9">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5A7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4D5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357F">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FBAF">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1ADC">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64A1">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9399">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C97F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C82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71D9">
    <w:pPr>
      <w:pStyle w:val="62"/>
    </w:pPr>
    <w:r>
      <w:fldChar w:fldCharType="begin"/>
    </w:r>
    <w:r>
      <w:instrText xml:space="preserve"> STYLEREF  标准文件_文件编号 \* MERGEFORMAT </w:instrText>
    </w:r>
    <w:r>
      <w:fldChar w:fldCharType="separate"/>
    </w:r>
    <w:r>
      <w:t>T/XZBX 0004—2025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020B">
    <w:pPr>
      <w:pStyle w:val="61"/>
    </w:pPr>
    <w:r>
      <w:fldChar w:fldCharType="begin"/>
    </w:r>
    <w:r>
      <w:instrText xml:space="preserve"> STYLEREF  标准文件_文件编号  \* MERGEFORMAT </w:instrText>
    </w:r>
    <w:r>
      <w:fldChar w:fldCharType="separate"/>
    </w:r>
    <w:r>
      <w:t>T/XZBX 0004—2025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1AE0">
    <w:pPr>
      <w:pStyle w:val="62"/>
    </w:pPr>
    <w:r>
      <w:fldChar w:fldCharType="begin"/>
    </w:r>
    <w:r>
      <w:instrText xml:space="preserve"> STYLEREF  标准文件_文件编号 \* MERGEFORMAT </w:instrText>
    </w:r>
    <w:r>
      <w:fldChar w:fldCharType="separate"/>
    </w:r>
    <w:r>
      <w:t>T/XZBX 0004—2025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351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1300">
    <w:pPr>
      <w:pStyle w:val="61"/>
    </w:pPr>
    <w:r>
      <w:fldChar w:fldCharType="begin"/>
    </w:r>
    <w:r>
      <w:instrText xml:space="preserve"> STYLEREF  标准文件_文件编号  \* MERGEFORMAT </w:instrText>
    </w:r>
    <w:r>
      <w:fldChar w:fldCharType="separate"/>
    </w:r>
    <w:r>
      <w:t>T/XZBX 0004—2025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95B3">
    <w:pPr>
      <w:pStyle w:val="62"/>
    </w:pPr>
    <w:r>
      <w:fldChar w:fldCharType="begin"/>
    </w:r>
    <w:r>
      <w:instrText xml:space="preserve"> STYLEREF  标准文件_文件编号 \* MERGEFORMAT </w:instrText>
    </w:r>
    <w:r>
      <w:fldChar w:fldCharType="separate"/>
    </w:r>
    <w:r>
      <w:t>T/XZBX 0004—2025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C0EE">
    <w:pPr>
      <w:pStyle w:val="61"/>
    </w:pPr>
    <w:r>
      <w:fldChar w:fldCharType="begin"/>
    </w:r>
    <w:r>
      <w:instrText xml:space="preserve"> STYLEREF  标准文件_文件编号  \* MERGEFORMAT </w:instrText>
    </w:r>
    <w:r>
      <w:fldChar w:fldCharType="separate"/>
    </w:r>
    <w:r>
      <w:t>T/XZBX 0004—2025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E0B8F">
    <w:pPr>
      <w:pStyle w:val="62"/>
    </w:pPr>
    <w:r>
      <w:fldChar w:fldCharType="begin"/>
    </w:r>
    <w:r>
      <w:instrText xml:space="preserve"> STYLEREF  标准文件_文件编号 \* MERGEFORMAT </w:instrText>
    </w:r>
    <w:r>
      <w:fldChar w:fldCharType="separate"/>
    </w:r>
    <w:r>
      <w:t>T/XZBX 0004—2025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BEC6">
    <w:pPr>
      <w:pStyle w:val="61"/>
    </w:pPr>
    <w:r>
      <w:fldChar w:fldCharType="begin"/>
    </w:r>
    <w:r>
      <w:instrText xml:space="preserve"> STYLEREF  标准文件_文件编号  \* MERGEFORMAT </w:instrText>
    </w:r>
    <w:r>
      <w:fldChar w:fldCharType="separate"/>
    </w:r>
    <w:r>
      <w:t>T/XZBX 0004—2025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EFF5">
    <w:pPr>
      <w:pStyle w:val="62"/>
    </w:pPr>
    <w:r>
      <w:fldChar w:fldCharType="begin"/>
    </w:r>
    <w:r>
      <w:instrText xml:space="preserve"> STYLEREF  标准文件_文件编号 \* MERGEFORMAT </w:instrText>
    </w:r>
    <w:r>
      <w:fldChar w:fldCharType="separate"/>
    </w:r>
    <w:r>
      <w:t>T/XZBX 0004—2025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2A5C">
    <w:pPr>
      <w:pStyle w:val="61"/>
    </w:pPr>
    <w:r>
      <w:fldChar w:fldCharType="begin"/>
    </w:r>
    <w:r>
      <w:instrText xml:space="preserve"> STYLEREF  标准文件_文件编号  \* MERGEFORMAT </w:instrText>
    </w:r>
    <w:r>
      <w:fldChar w:fldCharType="separate"/>
    </w:r>
    <w:r>
      <w:t>T/XZBX 0004—2025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OwMDE0MzU2NzcxtzBV0lEKTi0uzszPAykwqQUAetVvLCwAAAA="/>
  </w:docVars>
  <w:rsids>
    <w:rsidRoot w:val="005E18C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23"/>
    <w:rsid w:val="000331D3"/>
    <w:rsid w:val="000346A5"/>
    <w:rsid w:val="000359C3"/>
    <w:rsid w:val="00035A7D"/>
    <w:rsid w:val="000365ED"/>
    <w:rsid w:val="0004249A"/>
    <w:rsid w:val="000431B9"/>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0C9"/>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C98"/>
    <w:rsid w:val="001D212F"/>
    <w:rsid w:val="001D29D7"/>
    <w:rsid w:val="001D2DE7"/>
    <w:rsid w:val="001D411C"/>
    <w:rsid w:val="001E1B6A"/>
    <w:rsid w:val="001E2484"/>
    <w:rsid w:val="001E39FD"/>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A6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768"/>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8C5"/>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B0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5DE"/>
    <w:rsid w:val="008E1648"/>
    <w:rsid w:val="008E1B3E"/>
    <w:rsid w:val="008E2319"/>
    <w:rsid w:val="008E4BB2"/>
    <w:rsid w:val="008E4BB6"/>
    <w:rsid w:val="008E5518"/>
    <w:rsid w:val="008E6A84"/>
    <w:rsid w:val="008F0CDC"/>
    <w:rsid w:val="008F17A3"/>
    <w:rsid w:val="008F1ED3"/>
    <w:rsid w:val="008F4C29"/>
    <w:rsid w:val="008F70BD"/>
    <w:rsid w:val="008F788F"/>
    <w:rsid w:val="008F7EA2"/>
    <w:rsid w:val="00901268"/>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8C4"/>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155"/>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418"/>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4BF"/>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3A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DE8"/>
    <w:rsid w:val="00DE0A4B"/>
    <w:rsid w:val="00DE2410"/>
    <w:rsid w:val="00DE2939"/>
    <w:rsid w:val="00DE61BC"/>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602"/>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4D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E13561"/>
    <w:rsid w:val="29C36377"/>
    <w:rsid w:val="42D96687"/>
    <w:rsid w:val="48B9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D50D8DFB5E424C8598DE7479CEE140"/>
        <w:style w:val=""/>
        <w:category>
          <w:name w:val="常规"/>
          <w:gallery w:val="placeholder"/>
        </w:category>
        <w:types>
          <w:type w:val="bbPlcHdr"/>
        </w:types>
        <w:behaviors>
          <w:behavior w:val="content"/>
        </w:behaviors>
        <w:description w:val=""/>
        <w:guid w:val="{BA545D42-33E6-44A1-99FB-8268CC02513F}"/>
      </w:docPartPr>
      <w:docPartBody>
        <w:p w14:paraId="58CBDA88">
          <w:pPr>
            <w:pStyle w:val="5"/>
          </w:pPr>
          <w:r>
            <w:rPr>
              <w:rStyle w:val="4"/>
              <w:rFonts w:hint="eastAsia"/>
            </w:rPr>
            <w:t>单击或点击此处输入文字。</w:t>
          </w:r>
        </w:p>
      </w:docPartBody>
    </w:docPart>
    <w:docPart>
      <w:docPartPr>
        <w:name w:val="E2458C2AAC5D45A991837C73536A923B"/>
        <w:style w:val=""/>
        <w:category>
          <w:name w:val="常规"/>
          <w:gallery w:val="placeholder"/>
        </w:category>
        <w:types>
          <w:type w:val="bbPlcHdr"/>
        </w:types>
        <w:behaviors>
          <w:behavior w:val="content"/>
        </w:behaviors>
        <w:description w:val=""/>
        <w:guid w:val="{9B67DD89-7E79-414E-AADD-B1E322DC2452}"/>
      </w:docPartPr>
      <w:docPartBody>
        <w:p w14:paraId="0FA4F906">
          <w:pPr>
            <w:pStyle w:val="6"/>
          </w:pPr>
          <w:r>
            <w:rPr>
              <w:rStyle w:val="4"/>
              <w:rFonts w:hint="eastAsia"/>
            </w:rPr>
            <w:t>选择一项。</w:t>
          </w:r>
        </w:p>
      </w:docPartBody>
    </w:docPart>
    <w:docPart>
      <w:docPartPr>
        <w:name w:val="268E5374C89344C3AB57491012BF64EA"/>
        <w:style w:val=""/>
        <w:category>
          <w:name w:val="常规"/>
          <w:gallery w:val="placeholder"/>
        </w:category>
        <w:types>
          <w:type w:val="bbPlcHdr"/>
        </w:types>
        <w:behaviors>
          <w:behavior w:val="content"/>
        </w:behaviors>
        <w:description w:val=""/>
        <w:guid w:val="{BD3282B5-8484-4EEC-B886-C9FFE65EDA3B}"/>
      </w:docPartPr>
      <w:docPartBody>
        <w:p w14:paraId="7AB0365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6C"/>
    <w:rsid w:val="008A6720"/>
    <w:rsid w:val="00B45F54"/>
    <w:rsid w:val="00CD0CCC"/>
    <w:rsid w:val="00D05B6C"/>
    <w:rsid w:val="00D61A98"/>
    <w:rsid w:val="00DE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3D50D8DFB5E424C8598DE7479CEE1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458C2AAC5D45A991837C73536A92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8E5374C89344C3AB57491012BF64E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1999</Words>
  <Characters>2241</Characters>
  <Lines>24</Lines>
  <Paragraphs>6</Paragraphs>
  <TotalTime>229</TotalTime>
  <ScaleCrop>false</ScaleCrop>
  <LinksUpToDate>false</LinksUpToDate>
  <CharactersWithSpaces>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2025-03-10T12:44:00Z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2025-03-19T02:08:48Z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6265294397244E03AE932D6546CAD76B_12</vt:lpwstr>
  </property>
</Properties>
</file>