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14:paraId="6D76E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084698A0">
            <w:pPr>
              <w:pStyle w:val="18"/>
              <w:framePr w:wrap="notBeside" w:vAnchor="page" w:hAnchor="page" w:x="1372" w:y="568"/>
              <w:tabs>
                <w:tab w:val="clear" w:pos="4153"/>
                <w:tab w:val="clear" w:pos="8306"/>
              </w:tabs>
              <w:spacing w:line="240" w:lineRule="auto"/>
              <w:jc w:val="left"/>
              <w:rPr>
                <w:rFonts w:ascii="宋体" w:hAnsi="宋体"/>
                <w:sz w:val="21"/>
                <w:szCs w:val="21"/>
              </w:rPr>
            </w:pPr>
            <w:r>
              <w:rPr>
                <w:rFonts w:ascii="宋体" w:hAnsi="宋体"/>
                <w:sz w:val="21"/>
                <w:szCs w:val="21"/>
              </w:rPr>
              <w:t xml:space="preserve">ICS  </w:t>
            </w:r>
          </w:p>
        </w:tc>
        <w:tc>
          <w:tcPr>
            <w:tcW w:w="8855" w:type="dxa"/>
          </w:tcPr>
          <w:p w14:paraId="1759DCC3">
            <w:pPr>
              <w:pStyle w:val="18"/>
              <w:framePr w:wrap="notBeside" w:vAnchor="page" w:hAnchor="page" w:x="1372" w:y="568"/>
              <w:tabs>
                <w:tab w:val="clear" w:pos="4153"/>
                <w:tab w:val="clear" w:pos="8306"/>
              </w:tabs>
              <w:spacing w:line="240" w:lineRule="auto"/>
              <w:jc w:val="both"/>
              <w:rPr>
                <w:rFonts w:ascii="宋体" w:hAnsi="宋体"/>
                <w:sz w:val="21"/>
                <w:szCs w:val="21"/>
              </w:rPr>
            </w:pPr>
            <w:r>
              <w:rPr>
                <w:rFonts w:ascii="宋体" w:hAnsi="宋体"/>
                <w:sz w:val="21"/>
                <w:szCs w:val="21"/>
              </w:rPr>
              <w:fldChar w:fldCharType="begin">
                <w:ffData>
                  <w:name w:val="ICS"/>
                  <w:enabled/>
                  <w:calcOnExit w:val="0"/>
                  <w:textInput>
                    <w:default w:val="91.080"/>
                  </w:textInput>
                </w:ffData>
              </w:fldChar>
            </w:r>
            <w:bookmarkStart w:id="0" w:name="ICS"/>
            <w:r>
              <w:rPr>
                <w:rFonts w:ascii="宋体" w:hAnsi="宋体"/>
                <w:sz w:val="21"/>
                <w:szCs w:val="21"/>
              </w:rPr>
              <w:instrText xml:space="preserve"> FORMTEXT </w:instrText>
            </w:r>
            <w:r>
              <w:rPr>
                <w:rFonts w:ascii="宋体" w:hAnsi="宋体"/>
                <w:sz w:val="21"/>
                <w:szCs w:val="21"/>
              </w:rPr>
              <w:fldChar w:fldCharType="separate"/>
            </w:r>
            <w:r>
              <w:rPr>
                <w:rFonts w:ascii="宋体" w:hAnsi="宋体"/>
                <w:sz w:val="21"/>
                <w:szCs w:val="21"/>
              </w:rPr>
              <w:t>91.080</w:t>
            </w:r>
            <w:r>
              <w:rPr>
                <w:rFonts w:ascii="宋体" w:hAnsi="宋体"/>
                <w:sz w:val="21"/>
                <w:szCs w:val="21"/>
              </w:rPr>
              <w:fldChar w:fldCharType="end"/>
            </w:r>
            <w:bookmarkEnd w:id="0"/>
          </w:p>
        </w:tc>
      </w:tr>
      <w:tr w14:paraId="46EB12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055DB5B2">
            <w:pPr>
              <w:pStyle w:val="18"/>
              <w:framePr w:wrap="notBeside" w:vAnchor="page" w:hAnchor="page" w:x="1372" w:y="568"/>
              <w:tabs>
                <w:tab w:val="clear" w:pos="4153"/>
                <w:tab w:val="clear" w:pos="8306"/>
              </w:tabs>
              <w:spacing w:before="40" w:line="240" w:lineRule="auto"/>
              <w:jc w:val="left"/>
              <w:rPr>
                <w:rFonts w:ascii="宋体" w:hAnsi="宋体"/>
                <w:sz w:val="21"/>
                <w:szCs w:val="21"/>
              </w:rPr>
            </w:pPr>
            <w:r>
              <w:rPr>
                <w:rFonts w:ascii="宋体" w:hAnsi="宋体"/>
                <w:sz w:val="21"/>
                <w:szCs w:val="21"/>
              </w:rPr>
              <w:t xml:space="preserve">CCS  </w:t>
            </w:r>
          </w:p>
        </w:tc>
        <w:tc>
          <w:tcPr>
            <w:tcW w:w="8855" w:type="dxa"/>
          </w:tcPr>
          <w:p w14:paraId="38022FA8">
            <w:pPr>
              <w:pStyle w:val="18"/>
              <w:framePr w:wrap="notBeside" w:vAnchor="page" w:hAnchor="page" w:x="1372" w:y="568"/>
              <w:tabs>
                <w:tab w:val="clear" w:pos="4153"/>
                <w:tab w:val="clear" w:pos="8306"/>
              </w:tabs>
              <w:spacing w:before="40" w:line="240" w:lineRule="auto"/>
              <w:jc w:val="left"/>
              <w:rPr>
                <w:rFonts w:ascii="宋体" w:hAnsi="宋体"/>
                <w:sz w:val="21"/>
                <w:szCs w:val="21"/>
              </w:rPr>
            </w:pPr>
            <w:r>
              <w:rPr>
                <w:rFonts w:ascii="宋体" w:hAnsi="宋体"/>
                <w:sz w:val="21"/>
                <w:szCs w:val="21"/>
              </w:rPr>
              <w:fldChar w:fldCharType="begin">
                <w:ffData>
                  <w:name w:val="CSDN"/>
                  <w:enabled/>
                  <w:calcOnExit w:val="0"/>
                  <w:textInput>
                    <w:default w:val="P 33"/>
                  </w:textInput>
                </w:ffData>
              </w:fldChar>
            </w:r>
            <w:bookmarkStart w:id="1" w:name="CSDN"/>
            <w:r>
              <w:rPr>
                <w:rFonts w:ascii="宋体" w:hAnsi="宋体"/>
                <w:sz w:val="21"/>
                <w:szCs w:val="21"/>
              </w:rPr>
              <w:instrText xml:space="preserve"> FORMTEXT </w:instrText>
            </w:r>
            <w:r>
              <w:rPr>
                <w:rFonts w:ascii="宋体" w:hAnsi="宋体"/>
                <w:sz w:val="21"/>
                <w:szCs w:val="21"/>
              </w:rPr>
              <w:fldChar w:fldCharType="separate"/>
            </w:r>
            <w:r>
              <w:rPr>
                <w:rFonts w:ascii="宋体" w:hAnsi="宋体"/>
                <w:sz w:val="21"/>
                <w:szCs w:val="21"/>
              </w:rPr>
              <w:t>P 33</w:t>
            </w:r>
            <w:r>
              <w:rPr>
                <w:rFonts w:ascii="宋体" w:hAnsi="宋体"/>
                <w:sz w:val="21"/>
                <w:szCs w:val="21"/>
              </w:rPr>
              <w:fldChar w:fldCharType="end"/>
            </w:r>
            <w:bookmarkEnd w:id="1"/>
          </w:p>
        </w:tc>
      </w:tr>
    </w:tbl>
    <w:p w14:paraId="431E7F43">
      <w:pPr>
        <w:pStyle w:val="50"/>
        <w:framePr w:w="9639" w:h="964" w:hRule="exact" w:hSpace="181" w:vSpace="181" w:wrap="around" w:hAnchor="page" w:x="1419" w:y="2269"/>
        <w:rPr>
          <w:rFonts w:ascii="黑体" w:hAnsi="黑体" w:eastAsia="黑体"/>
          <w:b w:val="0"/>
          <w:bCs w:val="0"/>
          <w:w w:val="100"/>
          <w:sz w:val="84"/>
          <w:szCs w:val="84"/>
        </w:rPr>
      </w:pPr>
      <w:bookmarkStart w:id="2" w:name="_Hlk26473981"/>
      <w:r>
        <w:rPr>
          <w:rFonts w:hint="eastAsia" w:ascii="黑体" w:eastAsia="黑体"/>
          <w:b w:val="0"/>
          <w:w w:val="100"/>
          <w:sz w:val="84"/>
          <w:szCs w:val="84"/>
        </w:rPr>
        <w:t>团体</w:t>
      </w:r>
      <w:r>
        <w:rPr>
          <w:rFonts w:hint="eastAsia" w:ascii="黑体" w:hAnsi="黑体" w:eastAsia="黑体"/>
          <w:b w:val="0"/>
          <w:bCs w:val="0"/>
          <w:w w:val="100"/>
          <w:sz w:val="84"/>
          <w:szCs w:val="84"/>
        </w:rPr>
        <w:t>标准</w:t>
      </w:r>
    </w:p>
    <w:bookmarkEnd w:id="2"/>
    <w:p w14:paraId="04051173">
      <w:pPr>
        <w:pStyle w:val="195"/>
        <w:rPr>
          <w:rFonts w:ascii="宋体" w:hAnsi="宋体" w:eastAsia="宋体"/>
          <w:sz w:val="21"/>
          <w:szCs w:val="21"/>
        </w:rPr>
      </w:pPr>
      <w:r>
        <w:rPr>
          <w:rFonts w:ascii="宋体" w:hAnsi="宋体" w:eastAsia="宋体"/>
          <w:sz w:val="21"/>
          <w:szCs w:val="21"/>
        </w:rPr>
        <w:t>T/</w:t>
      </w:r>
      <w:bookmarkStart w:id="3" w:name="文字1"/>
      <w:r>
        <w:rPr>
          <w:rFonts w:ascii="宋体" w:hAnsi="宋体" w:eastAsia="宋体" w:cs="Times New Roman"/>
          <w:bCs/>
          <w:sz w:val="21"/>
          <w:szCs w:val="21"/>
          <w:lang w:val="en-US" w:eastAsia="zh-CN" w:bidi="ar-SA"/>
        </w:rPr>
        <w:fldChar w:fldCharType="begin">
          <w:ffData>
            <w:name w:val="文字1"/>
            <w:enabled/>
            <w:calcOnExit w:val="0"/>
            <w:textInput>
              <w:default w:val="XZBX"/>
            </w:textInput>
          </w:ffData>
        </w:fldChar>
      </w:r>
      <w:r>
        <w:rPr>
          <w:rFonts w:ascii="宋体" w:hAnsi="宋体" w:eastAsia="宋体" w:cs="Times New Roman"/>
          <w:bCs/>
          <w:sz w:val="21"/>
          <w:szCs w:val="21"/>
          <w:lang w:val="en-US" w:eastAsia="zh-CN" w:bidi="ar-SA"/>
        </w:rPr>
        <w:instrText xml:space="preserve">FORMTEXT</w:instrText>
      </w:r>
      <w:r>
        <w:rPr>
          <w:rFonts w:ascii="宋体" w:hAnsi="宋体" w:eastAsia="宋体" w:cs="Times New Roman"/>
          <w:bCs/>
          <w:sz w:val="21"/>
          <w:szCs w:val="21"/>
          <w:lang w:val="en-US" w:eastAsia="zh-CN" w:bidi="ar-SA"/>
        </w:rPr>
        <w:fldChar w:fldCharType="separate"/>
      </w:r>
      <w:r>
        <w:rPr>
          <w:rFonts w:ascii="宋体" w:hAnsi="宋体" w:eastAsia="宋体" w:cs="Times New Roman"/>
          <w:bCs/>
          <w:sz w:val="21"/>
          <w:szCs w:val="21"/>
          <w:lang w:val="en-US" w:eastAsia="zh-CN" w:bidi="ar-SA"/>
        </w:rPr>
        <w:t>XZBX</w:t>
      </w:r>
      <w:r>
        <w:rPr>
          <w:rFonts w:ascii="宋体" w:hAnsi="宋体" w:eastAsia="宋体" w:cs="Times New Roman"/>
          <w:bCs/>
          <w:sz w:val="21"/>
          <w:szCs w:val="21"/>
          <w:lang w:val="en-US" w:eastAsia="zh-CN" w:bidi="ar-SA"/>
        </w:rPr>
        <w:fldChar w:fldCharType="end"/>
      </w:r>
      <w:bookmarkEnd w:id="3"/>
      <w:r>
        <w:rPr>
          <w:rFonts w:ascii="宋体" w:hAnsi="宋体" w:eastAsia="宋体"/>
          <w:sz w:val="21"/>
          <w:szCs w:val="21"/>
        </w:rPr>
        <w:t xml:space="preserve"> </w:t>
      </w:r>
      <w:r>
        <w:rPr>
          <w:rFonts w:ascii="宋体" w:hAnsi="宋体" w:eastAsia="宋体"/>
          <w:sz w:val="21"/>
          <w:szCs w:val="21"/>
        </w:rPr>
        <w:fldChar w:fldCharType="begin">
          <w:ffData>
            <w:name w:val="NSTD_CODE_F"/>
            <w:enabled/>
            <w:calcOnExit w:val="0"/>
            <w:textInput>
              <w:default w:val="0005"/>
            </w:textInput>
          </w:ffData>
        </w:fldChar>
      </w:r>
      <w:bookmarkStart w:id="4" w:name="NSTD_CODE_F"/>
      <w:r>
        <w:rPr>
          <w:rFonts w:ascii="宋体" w:hAnsi="宋体" w:eastAsia="宋体"/>
          <w:sz w:val="21"/>
          <w:szCs w:val="21"/>
        </w:rPr>
        <w:instrText xml:space="preserve"> FORMTEXT </w:instrText>
      </w:r>
      <w:r>
        <w:rPr>
          <w:rFonts w:ascii="宋体" w:hAnsi="宋体" w:eastAsia="宋体"/>
          <w:sz w:val="21"/>
          <w:szCs w:val="21"/>
        </w:rPr>
        <w:fldChar w:fldCharType="separate"/>
      </w:r>
      <w:r>
        <w:rPr>
          <w:rFonts w:ascii="宋体" w:hAnsi="宋体" w:eastAsia="宋体"/>
          <w:sz w:val="21"/>
          <w:szCs w:val="21"/>
        </w:rPr>
        <w:t>0005</w:t>
      </w:r>
      <w:r>
        <w:rPr>
          <w:rFonts w:ascii="宋体" w:hAnsi="宋体" w:eastAsia="宋体"/>
          <w:sz w:val="21"/>
          <w:szCs w:val="21"/>
        </w:rPr>
        <w:fldChar w:fldCharType="end"/>
      </w:r>
      <w:bookmarkEnd w:id="4"/>
      <w:r>
        <w:rPr>
          <w:rFonts w:ascii="宋体" w:hAnsi="宋体" w:eastAsia="宋体"/>
          <w:sz w:val="21"/>
          <w:szCs w:val="21"/>
        </w:rPr>
        <w:t>—</w:t>
      </w:r>
      <w:r>
        <w:rPr>
          <w:rFonts w:ascii="宋体" w:hAnsi="宋体" w:eastAsia="宋体"/>
          <w:sz w:val="21"/>
          <w:szCs w:val="21"/>
        </w:rPr>
        <w:fldChar w:fldCharType="begin">
          <w:ffData>
            <w:name w:val="NSTD_CODE_B"/>
            <w:enabled/>
            <w:calcOnExit w:val="0"/>
            <w:textInput>
              <w:default w:val="2025"/>
            </w:textInput>
          </w:ffData>
        </w:fldChar>
      </w:r>
      <w:bookmarkStart w:id="5" w:name="NSTD_CODE_B"/>
      <w:r>
        <w:rPr>
          <w:rFonts w:ascii="宋体" w:hAnsi="宋体" w:eastAsia="宋体"/>
          <w:sz w:val="21"/>
          <w:szCs w:val="21"/>
        </w:rPr>
        <w:instrText xml:space="preserve"> FORMTEXT </w:instrText>
      </w:r>
      <w:r>
        <w:rPr>
          <w:rFonts w:ascii="宋体" w:hAnsi="宋体" w:eastAsia="宋体"/>
          <w:sz w:val="21"/>
          <w:szCs w:val="21"/>
        </w:rPr>
        <w:fldChar w:fldCharType="separate"/>
      </w:r>
      <w:r>
        <w:rPr>
          <w:rFonts w:ascii="宋体" w:hAnsi="宋体" w:eastAsia="宋体"/>
          <w:sz w:val="21"/>
          <w:szCs w:val="21"/>
        </w:rPr>
        <w:t>2025</w:t>
      </w:r>
      <w:r>
        <w:rPr>
          <w:rFonts w:ascii="宋体" w:hAnsi="宋体" w:eastAsia="宋体"/>
          <w:sz w:val="21"/>
          <w:szCs w:val="21"/>
        </w:rPr>
        <w:fldChar w:fldCharType="end"/>
      </w:r>
      <w:bookmarkEnd w:id="5"/>
    </w:p>
    <w:p w14:paraId="517B0FAA">
      <w:pPr>
        <w:pStyle w:val="196"/>
        <w:rPr>
          <w:rFonts w:hAnsi="黑体"/>
        </w:rPr>
      </w:pPr>
      <w:r>
        <w:rPr>
          <w:rFonts w:ascii="宋体" w:hAnsi="宋体" w:eastAsia="宋体"/>
          <w:szCs w:val="21"/>
        </w:rPr>
        <w:fldChar w:fldCharType="begin">
          <w:ffData>
            <w:name w:val="OSTD_CODE"/>
            <w:enabled/>
            <w:calcOnExit w:val="0"/>
            <w:textInput/>
          </w:ffData>
        </w:fldChar>
      </w:r>
      <w:bookmarkStart w:id="6" w:name="OSTD_CODE"/>
      <w:r>
        <w:rPr>
          <w:rFonts w:ascii="宋体" w:hAnsi="宋体" w:eastAsia="宋体"/>
          <w:szCs w:val="21"/>
        </w:rPr>
        <w:instrText xml:space="preserve"> FORMTEXT </w:instrText>
      </w:r>
      <w:r>
        <w:rPr>
          <w:rFonts w:ascii="宋体" w:hAnsi="宋体" w:eastAsia="宋体"/>
          <w:szCs w:val="21"/>
        </w:rPr>
        <w:fldChar w:fldCharType="separate"/>
      </w:r>
      <w:r>
        <w:rPr>
          <w:rFonts w:ascii="宋体" w:hAnsi="宋体" w:eastAsia="宋体"/>
          <w:szCs w:val="21"/>
        </w:rPr>
        <w:t>     </w:t>
      </w:r>
      <w:r>
        <w:rPr>
          <w:rFonts w:ascii="宋体" w:hAnsi="宋体" w:eastAsia="宋体"/>
          <w:szCs w:val="21"/>
        </w:rPr>
        <w:fldChar w:fldCharType="end"/>
      </w:r>
      <w:bookmarkEnd w:id="6"/>
    </w:p>
    <w:p w14:paraId="7914D102">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直接连接符 3"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8xQH&#10;AOUBAACrAwAADgAAAAAAAAABACAAAAAnAQAAZHJzL2Uyb0RvYy54bWxQSwUGAAAAAAYABgBZAQAA&#10;fgUAAAAA&#10;">
                <v:fill on="f" focussize="0,0"/>
                <v:stroke color="#000000" joinstyle="round"/>
                <v:imagedata o:title=""/>
                <o:lock v:ext="edit" aspectratio="f"/>
              </v:line>
            </w:pict>
          </mc:Fallback>
        </mc:AlternateContent>
      </w:r>
    </w:p>
    <w:p w14:paraId="2EA33B47">
      <w:pPr>
        <w:pStyle w:val="50"/>
        <w:framePr w:w="9639" w:h="6976" w:hRule="exact" w:hSpace="0" w:vSpace="0" w:wrap="around" w:hAnchor="page" w:y="6408"/>
        <w:jc w:val="center"/>
        <w:rPr>
          <w:rFonts w:ascii="黑体" w:hAnsi="黑体" w:eastAsia="黑体"/>
          <w:b w:val="0"/>
          <w:bCs w:val="0"/>
          <w:w w:val="100"/>
        </w:rPr>
      </w:pPr>
    </w:p>
    <w:p w14:paraId="4725EEE1">
      <w:pPr>
        <w:pStyle w:val="197"/>
        <w:framePr w:h="6974" w:hRule="exact" w:wrap="around" w:x="1419" w:anchorLock="1"/>
        <w:rPr>
          <w:sz w:val="48"/>
          <w:szCs w:val="48"/>
        </w:rPr>
      </w:pPr>
      <w:r>
        <w:rPr>
          <w:sz w:val="48"/>
          <w:szCs w:val="48"/>
        </w:rPr>
        <w:fldChar w:fldCharType="begin">
          <w:ffData>
            <w:name w:val="CSTD_NAME"/>
            <w:enabled/>
            <w:calcOnExit w:val="0"/>
            <w:textInput>
              <w:default w:val="建筑结构设计安全评估规范"/>
            </w:textInput>
          </w:ffData>
        </w:fldChar>
      </w:r>
      <w:bookmarkStart w:id="7" w:name="CSTD_NAME"/>
      <w:r>
        <w:rPr>
          <w:sz w:val="48"/>
          <w:szCs w:val="48"/>
        </w:rPr>
        <w:instrText xml:space="preserve"> FORMTEXT </w:instrText>
      </w:r>
      <w:r>
        <w:rPr>
          <w:sz w:val="48"/>
          <w:szCs w:val="48"/>
        </w:rPr>
        <w:fldChar w:fldCharType="separate"/>
      </w:r>
      <w:r>
        <w:rPr>
          <w:sz w:val="48"/>
          <w:szCs w:val="48"/>
        </w:rPr>
        <w:t>建筑结构设计安全评估规范</w:t>
      </w:r>
      <w:r>
        <w:rPr>
          <w:sz w:val="48"/>
          <w:szCs w:val="48"/>
        </w:rPr>
        <w:fldChar w:fldCharType="end"/>
      </w:r>
      <w:bookmarkEnd w:id="7"/>
    </w:p>
    <w:p w14:paraId="154A10A6">
      <w:pPr>
        <w:framePr w:w="9639" w:h="6974" w:hRule="exact" w:wrap="around" w:vAnchor="page" w:hAnchor="page" w:x="1419" w:y="6408" w:anchorLock="1"/>
        <w:ind w:left="-1418"/>
      </w:pPr>
    </w:p>
    <w:p w14:paraId="556D5ACA">
      <w:pPr>
        <w:pStyle w:val="125"/>
        <w:framePr w:w="9639" w:h="6974" w:hRule="exact" w:wrap="around" w:vAnchor="page" w:hAnchor="page" w:x="1419" w:y="6408" w:anchorLock="1"/>
        <w:textAlignment w:val="bottom"/>
        <w:rPr>
          <w:rFonts w:ascii="黑体" w:hAnsi="黑体" w:eastAsia="黑体"/>
          <w:sz w:val="36"/>
          <w:szCs w:val="36"/>
        </w:rPr>
      </w:pPr>
      <w:r>
        <w:rPr>
          <w:rFonts w:ascii="黑体" w:hAnsi="黑体" w:eastAsia="黑体"/>
          <w:sz w:val="36"/>
          <w:szCs w:val="36"/>
        </w:rPr>
        <w:fldChar w:fldCharType="begin">
          <w:ffData>
            <w:name w:val="ESTD_NAME"/>
            <w:enabled/>
            <w:calcOnExit w:val="0"/>
            <w:textInput>
              <w:default w:val="Specification for safety assessment of building structure design"/>
            </w:textInput>
          </w:ffData>
        </w:fldChar>
      </w:r>
      <w:bookmarkStart w:id="8" w:name="ESTD_NAME"/>
      <w:r>
        <w:rPr>
          <w:rFonts w:ascii="黑体" w:hAnsi="黑体" w:eastAsia="黑体"/>
          <w:sz w:val="36"/>
          <w:szCs w:val="36"/>
        </w:rPr>
        <w:instrText xml:space="preserve"> FORMTEXT </w:instrText>
      </w:r>
      <w:r>
        <w:rPr>
          <w:rFonts w:ascii="黑体" w:hAnsi="黑体" w:eastAsia="黑体"/>
          <w:sz w:val="36"/>
          <w:szCs w:val="36"/>
        </w:rPr>
        <w:fldChar w:fldCharType="separate"/>
      </w:r>
      <w:r>
        <w:rPr>
          <w:rFonts w:ascii="黑体" w:hAnsi="黑体" w:eastAsia="黑体"/>
          <w:sz w:val="36"/>
          <w:szCs w:val="36"/>
        </w:rPr>
        <w:t>Specification for safety assessment of building structure design</w:t>
      </w:r>
      <w:r>
        <w:rPr>
          <w:rFonts w:ascii="黑体" w:hAnsi="黑体" w:eastAsia="黑体"/>
          <w:sz w:val="36"/>
          <w:szCs w:val="36"/>
        </w:rPr>
        <w:fldChar w:fldCharType="end"/>
      </w:r>
      <w:bookmarkEnd w:id="8"/>
    </w:p>
    <w:p w14:paraId="5F40D0D8">
      <w:pPr>
        <w:framePr w:w="9639" w:h="6974" w:hRule="exact" w:wrap="around" w:vAnchor="page" w:hAnchor="page" w:x="1419" w:y="6408" w:anchorLock="1"/>
        <w:spacing w:line="760" w:lineRule="exact"/>
        <w:ind w:left="-1418"/>
      </w:pPr>
    </w:p>
    <w:p w14:paraId="5498EA06">
      <w:pPr>
        <w:pStyle w:val="125"/>
        <w:framePr w:w="9639" w:h="6974" w:hRule="exact" w:wrap="around" w:vAnchor="page" w:hAnchor="page" w:x="1419" w:y="6408" w:anchorLock="1"/>
        <w:textAlignment w:val="bottom"/>
        <w:rPr>
          <w:rFonts w:eastAsia="黑体"/>
          <w:szCs w:val="28"/>
        </w:rPr>
      </w:pPr>
    </w:p>
    <w:p w14:paraId="0956D62E">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bookmarkStart w:id="9" w:name="下拉1"/>
      <w:r>
        <w:rPr>
          <w:sz w:val="24"/>
          <w:szCs w:val="28"/>
        </w:rPr>
        <w:instrText xml:space="preserve"> FORMDROPDOWN </w:instrText>
      </w:r>
      <w:r>
        <w:rPr>
          <w:sz w:val="24"/>
          <w:szCs w:val="28"/>
        </w:rPr>
        <w:fldChar w:fldCharType="separate"/>
      </w:r>
      <w:r>
        <w:rPr>
          <w:sz w:val="24"/>
          <w:szCs w:val="28"/>
        </w:rPr>
        <w:fldChar w:fldCharType="end"/>
      </w:r>
      <w:bookmarkEnd w:id="9"/>
    </w:p>
    <w:p w14:paraId="636348B3">
      <w:pPr>
        <w:pStyle w:val="125"/>
        <w:framePr w:w="9639" w:h="6974" w:hRule="exact" w:wrap="around" w:vAnchor="page" w:hAnchor="page" w:x="1419" w:y="6408" w:anchorLock="1"/>
        <w:spacing w:before="180" w:line="240" w:lineRule="atLeast"/>
        <w:textAlignment w:val="bottom"/>
        <w:rPr>
          <w:sz w:val="21"/>
          <w:szCs w:val="28"/>
        </w:rPr>
      </w:pPr>
    </w:p>
    <w:p w14:paraId="72E8D863">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0" w:name="下拉2"/>
      <w:r>
        <w:rPr>
          <w:b/>
          <w:sz w:val="21"/>
          <w:szCs w:val="28"/>
        </w:rPr>
        <w:instrText xml:space="preserve"> FORMDROPDOWN </w:instrText>
      </w:r>
      <w:r>
        <w:rPr>
          <w:b/>
          <w:sz w:val="21"/>
          <w:szCs w:val="28"/>
        </w:rPr>
        <w:fldChar w:fldCharType="separate"/>
      </w:r>
      <w:r>
        <w:rPr>
          <w:b/>
          <w:sz w:val="21"/>
          <w:szCs w:val="28"/>
        </w:rPr>
        <w:fldChar w:fldCharType="end"/>
      </w:r>
      <w:bookmarkEnd w:id="10"/>
    </w:p>
    <w:p w14:paraId="69C2343D">
      <w:pPr>
        <w:pStyle w:val="193"/>
        <w:framePr w:wrap="around" w:y="14176"/>
        <w:rPr>
          <w:sz w:val="30"/>
          <w:szCs w:val="30"/>
        </w:rPr>
      </w:pPr>
      <w:r>
        <w:rPr>
          <w:sz w:val="30"/>
          <w:szCs w:val="30"/>
        </w:rPr>
        <w:fldChar w:fldCharType="begin">
          <w:ffData>
            <w:name w:val="PLSH_DATE_Y"/>
            <w:enabled/>
            <w:calcOnExit w:val="0"/>
            <w:textInput>
              <w:default w:val="2025"/>
              <w:maxLength w:val="4"/>
            </w:textInput>
          </w:ffData>
        </w:fldChar>
      </w:r>
      <w:bookmarkStart w:id="11" w:name="PLSH_DATE_Y"/>
      <w:r>
        <w:rPr>
          <w:sz w:val="30"/>
          <w:szCs w:val="30"/>
        </w:rPr>
        <w:instrText xml:space="preserve"> FORMTEXT </w:instrText>
      </w:r>
      <w:r>
        <w:rPr>
          <w:sz w:val="30"/>
          <w:szCs w:val="30"/>
        </w:rPr>
        <w:fldChar w:fldCharType="separate"/>
      </w:r>
      <w:r>
        <w:rPr>
          <w:sz w:val="30"/>
          <w:szCs w:val="30"/>
        </w:rPr>
        <w:t>2025</w:t>
      </w:r>
      <w:r>
        <w:rPr>
          <w:sz w:val="30"/>
          <w:szCs w:val="30"/>
        </w:rPr>
        <w:fldChar w:fldCharType="end"/>
      </w:r>
      <w:bookmarkEnd w:id="11"/>
      <w:r>
        <w:rPr>
          <w:sz w:val="30"/>
          <w:szCs w:val="30"/>
        </w:rPr>
        <w:t xml:space="preserve"> - </w:t>
      </w:r>
      <w:r>
        <w:rPr>
          <w:sz w:val="30"/>
          <w:szCs w:val="30"/>
        </w:rPr>
        <w:fldChar w:fldCharType="begin">
          <w:ffData>
            <w:name w:val="PLSH_DATE_M"/>
            <w:enabled/>
            <w:calcOnExit w:val="0"/>
            <w:textInput>
              <w:default w:val="XX"/>
              <w:maxLength w:val="2"/>
            </w:textInput>
          </w:ffData>
        </w:fldChar>
      </w:r>
      <w:bookmarkStart w:id="12" w:name="PLSH_DATE_M"/>
      <w:r>
        <w:rPr>
          <w:sz w:val="30"/>
          <w:szCs w:val="30"/>
        </w:rPr>
        <w:instrText xml:space="preserve"> FORMTEXT </w:instrText>
      </w:r>
      <w:r>
        <w:rPr>
          <w:sz w:val="30"/>
          <w:szCs w:val="30"/>
        </w:rPr>
        <w:fldChar w:fldCharType="separate"/>
      </w:r>
      <w:r>
        <w:rPr>
          <w:sz w:val="30"/>
          <w:szCs w:val="30"/>
        </w:rPr>
        <w:t>XX</w:t>
      </w:r>
      <w:r>
        <w:rPr>
          <w:sz w:val="30"/>
          <w:szCs w:val="30"/>
        </w:rPr>
        <w:fldChar w:fldCharType="end"/>
      </w:r>
      <w:bookmarkEnd w:id="12"/>
      <w:r>
        <w:rPr>
          <w:sz w:val="30"/>
          <w:szCs w:val="30"/>
        </w:rPr>
        <w:t xml:space="preserve"> - </w:t>
      </w:r>
      <w:r>
        <w:rPr>
          <w:sz w:val="30"/>
          <w:szCs w:val="30"/>
        </w:rPr>
        <w:fldChar w:fldCharType="begin">
          <w:ffData>
            <w:name w:val="PLSH_DATE_D"/>
            <w:enabled/>
            <w:calcOnExit w:val="0"/>
            <w:textInput>
              <w:default w:val="XX"/>
              <w:maxLength w:val="2"/>
            </w:textInput>
          </w:ffData>
        </w:fldChar>
      </w:r>
      <w:bookmarkStart w:id="13" w:name="PLSH_DATE_D"/>
      <w:r>
        <w:rPr>
          <w:sz w:val="30"/>
          <w:szCs w:val="30"/>
        </w:rPr>
        <w:instrText xml:space="preserve"> FORMTEXT </w:instrText>
      </w:r>
      <w:r>
        <w:rPr>
          <w:sz w:val="30"/>
          <w:szCs w:val="30"/>
        </w:rPr>
        <w:fldChar w:fldCharType="separate"/>
      </w:r>
      <w:r>
        <w:rPr>
          <w:sz w:val="30"/>
          <w:szCs w:val="30"/>
        </w:rPr>
        <w:t>XX</w:t>
      </w:r>
      <w:r>
        <w:rPr>
          <w:sz w:val="30"/>
          <w:szCs w:val="30"/>
        </w:rPr>
        <w:fldChar w:fldCharType="end"/>
      </w:r>
      <w:bookmarkEnd w:id="13"/>
      <w:r>
        <w:rPr>
          <w:sz w:val="30"/>
          <w:szCs w:val="30"/>
        </w:rPr>
        <w:t>发布</w:t>
      </w:r>
    </w:p>
    <w:p w14:paraId="5A5B061D">
      <w:pPr>
        <w:pStyle w:val="194"/>
        <w:framePr w:wrap="around" w:y="14176"/>
        <w:rPr>
          <w:sz w:val="30"/>
          <w:szCs w:val="30"/>
        </w:rPr>
      </w:pPr>
      <w:r>
        <w:rPr>
          <w:sz w:val="30"/>
          <w:szCs w:val="30"/>
        </w:rPr>
        <w:fldChar w:fldCharType="begin">
          <w:ffData>
            <w:name w:val="CROT_DATE_Y"/>
            <w:enabled/>
            <w:calcOnExit w:val="0"/>
            <w:textInput>
              <w:default w:val="2025"/>
              <w:maxLength w:val="4"/>
            </w:textInput>
          </w:ffData>
        </w:fldChar>
      </w:r>
      <w:bookmarkStart w:id="14" w:name="CROT_DATE_Y"/>
      <w:r>
        <w:rPr>
          <w:sz w:val="30"/>
          <w:szCs w:val="30"/>
        </w:rPr>
        <w:instrText xml:space="preserve"> FORMTEXT </w:instrText>
      </w:r>
      <w:r>
        <w:rPr>
          <w:sz w:val="30"/>
          <w:szCs w:val="30"/>
        </w:rPr>
        <w:fldChar w:fldCharType="separate"/>
      </w:r>
      <w:r>
        <w:rPr>
          <w:sz w:val="30"/>
          <w:szCs w:val="30"/>
        </w:rPr>
        <w:t>2025</w:t>
      </w:r>
      <w:r>
        <w:rPr>
          <w:sz w:val="30"/>
          <w:szCs w:val="30"/>
        </w:rPr>
        <w:fldChar w:fldCharType="end"/>
      </w:r>
      <w:bookmarkEnd w:id="14"/>
      <w:r>
        <w:rPr>
          <w:sz w:val="30"/>
          <w:szCs w:val="30"/>
        </w:rPr>
        <w:t xml:space="preserve"> - </w:t>
      </w:r>
      <w:r>
        <w:rPr>
          <w:sz w:val="30"/>
          <w:szCs w:val="30"/>
        </w:rPr>
        <w:fldChar w:fldCharType="begin">
          <w:ffData>
            <w:name w:val="CROT_DATE_M"/>
            <w:enabled/>
            <w:calcOnExit w:val="0"/>
            <w:textInput>
              <w:default w:val="XX"/>
              <w:maxLength w:val="2"/>
            </w:textInput>
          </w:ffData>
        </w:fldChar>
      </w:r>
      <w:bookmarkStart w:id="15" w:name="CROT_DATE_M"/>
      <w:r>
        <w:rPr>
          <w:sz w:val="30"/>
          <w:szCs w:val="30"/>
        </w:rPr>
        <w:instrText xml:space="preserve"> FORMTEXT </w:instrText>
      </w:r>
      <w:r>
        <w:rPr>
          <w:sz w:val="30"/>
          <w:szCs w:val="30"/>
        </w:rPr>
        <w:fldChar w:fldCharType="separate"/>
      </w:r>
      <w:r>
        <w:rPr>
          <w:sz w:val="30"/>
          <w:szCs w:val="30"/>
        </w:rPr>
        <w:t>XX</w:t>
      </w:r>
      <w:r>
        <w:rPr>
          <w:sz w:val="30"/>
          <w:szCs w:val="30"/>
        </w:rPr>
        <w:fldChar w:fldCharType="end"/>
      </w:r>
      <w:bookmarkEnd w:id="15"/>
      <w:r>
        <w:rPr>
          <w:sz w:val="30"/>
          <w:szCs w:val="30"/>
        </w:rPr>
        <w:t xml:space="preserve"> - </w:t>
      </w:r>
      <w:r>
        <w:rPr>
          <w:sz w:val="30"/>
          <w:szCs w:val="30"/>
        </w:rPr>
        <w:fldChar w:fldCharType="begin">
          <w:ffData>
            <w:name w:val="CROT_DATE_D"/>
            <w:enabled/>
            <w:calcOnExit w:val="0"/>
            <w:textInput>
              <w:default w:val="XX"/>
              <w:maxLength w:val="2"/>
            </w:textInput>
          </w:ffData>
        </w:fldChar>
      </w:r>
      <w:bookmarkStart w:id="16" w:name="CROT_DATE_D"/>
      <w:r>
        <w:rPr>
          <w:sz w:val="30"/>
          <w:szCs w:val="30"/>
        </w:rPr>
        <w:instrText xml:space="preserve"> FORMTEXT </w:instrText>
      </w:r>
      <w:r>
        <w:rPr>
          <w:sz w:val="30"/>
          <w:szCs w:val="30"/>
        </w:rPr>
        <w:fldChar w:fldCharType="separate"/>
      </w:r>
      <w:r>
        <w:rPr>
          <w:sz w:val="30"/>
          <w:szCs w:val="30"/>
        </w:rPr>
        <w:t>XX</w:t>
      </w:r>
      <w:r>
        <w:rPr>
          <w:sz w:val="30"/>
          <w:szCs w:val="30"/>
        </w:rPr>
        <w:fldChar w:fldCharType="end"/>
      </w:r>
      <w:bookmarkEnd w:id="16"/>
      <w:r>
        <w:rPr>
          <w:sz w:val="30"/>
          <w:szCs w:val="30"/>
        </w:rPr>
        <w:t>实施</w:t>
      </w:r>
    </w:p>
    <w:p w14:paraId="71066D56">
      <w:pPr>
        <w:pStyle w:val="151"/>
        <w:framePr w:h="584" w:hRule="exact" w:hSpace="181" w:vSpace="181" w:wrap="around" w:y="14800"/>
        <w:rPr>
          <w:rFonts w:hAnsi="黑体"/>
          <w:sz w:val="30"/>
          <w:szCs w:val="30"/>
        </w:rPr>
      </w:pPr>
      <w:bookmarkStart w:id="17" w:name="fm"/>
      <w:r>
        <w:rPr>
          <w:rFonts w:ascii="宋体" w:hAnsi="宋体" w:eastAsia="宋体" w:cs="Times New Roman"/>
          <w:b w:val="0"/>
          <w:w w:val="100"/>
          <w:sz w:val="30"/>
          <w:szCs w:val="30"/>
          <w:lang w:val="en-US" w:eastAsia="zh-CN" w:bidi="ar-SA"/>
        </w:rPr>
        <w:fldChar w:fldCharType="begin">
          <w:ffData>
            <w:name w:val="fm"/>
            <w:enabled/>
            <w:calcOnExit w:val="0"/>
            <w:textInput>
              <w:default w:val="西安市质量与标准化协会"/>
            </w:textInput>
          </w:ffData>
        </w:fldChar>
      </w:r>
      <w:r>
        <w:rPr>
          <w:rFonts w:ascii="宋体" w:hAnsi="宋体" w:eastAsia="宋体" w:cs="Times New Roman"/>
          <w:b w:val="0"/>
          <w:w w:val="100"/>
          <w:sz w:val="30"/>
          <w:szCs w:val="30"/>
          <w:lang w:val="en-US" w:eastAsia="zh-CN" w:bidi="ar-SA"/>
        </w:rPr>
        <w:instrText xml:space="preserve">FORMTEXT</w:instrText>
      </w:r>
      <w:r>
        <w:rPr>
          <w:rFonts w:ascii="宋体" w:hAnsi="宋体" w:eastAsia="宋体" w:cs="Times New Roman"/>
          <w:b w:val="0"/>
          <w:w w:val="100"/>
          <w:sz w:val="30"/>
          <w:szCs w:val="30"/>
          <w:lang w:val="en-US" w:eastAsia="zh-CN" w:bidi="ar-SA"/>
        </w:rPr>
        <w:fldChar w:fldCharType="separate"/>
      </w:r>
      <w:r>
        <w:rPr>
          <w:rFonts w:ascii="宋体" w:hAnsi="宋体" w:eastAsia="宋体" w:cs="Times New Roman"/>
          <w:b w:val="0"/>
          <w:w w:val="100"/>
          <w:sz w:val="30"/>
          <w:szCs w:val="30"/>
          <w:lang w:val="en-US" w:eastAsia="zh-CN" w:bidi="ar-SA"/>
        </w:rPr>
        <w:t>西安市质量与标准化协会</w:t>
      </w:r>
      <w:r>
        <w:rPr>
          <w:rFonts w:ascii="宋体" w:hAnsi="宋体" w:eastAsia="宋体" w:cs="Times New Roman"/>
          <w:b w:val="0"/>
          <w:w w:val="100"/>
          <w:sz w:val="30"/>
          <w:szCs w:val="30"/>
          <w:lang w:val="en-US" w:eastAsia="zh-CN" w:bidi="ar-SA"/>
        </w:rPr>
        <w:fldChar w:fldCharType="end"/>
      </w:r>
      <w:bookmarkEnd w:id="17"/>
      <w:r>
        <w:rPr>
          <w:rFonts w:ascii="Times New Roman"/>
          <w:w w:val="100"/>
          <w:sz w:val="30"/>
          <w:szCs w:val="30"/>
        </w:rPr>
        <w:t>  </w:t>
      </w:r>
      <w:r>
        <w:rPr>
          <w:rStyle w:val="229"/>
          <w:rFonts w:hint="eastAsia" w:hAnsi="黑体"/>
          <w:position w:val="0"/>
          <w:sz w:val="30"/>
          <w:szCs w:val="30"/>
        </w:rPr>
        <w:t>发</w:t>
      </w:r>
      <w:r>
        <w:rPr>
          <w:rStyle w:val="229"/>
          <w:rFonts w:hint="eastAsia" w:hAnsi="黑体"/>
          <w:spacing w:val="0"/>
          <w:position w:val="0"/>
          <w:sz w:val="30"/>
          <w:szCs w:val="30"/>
        </w:rPr>
        <w:t>布</w:t>
      </w:r>
    </w:p>
    <w:p w14:paraId="1E9D5E2D">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直接连接符 4"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s202S+MB&#10;AACqAwAADgAAAAAAAAABACAAAAAmAQAAZHJzL2Uyb0RvYy54bWxQSwUGAAAAAAYABgBZAQAAewUA&#10;AAAA&#10;">
                <v:fill on="f" focussize="0,0"/>
                <v:stroke color="#000000" joinstyle="round"/>
                <v:imagedata o:title=""/>
                <o:lock v:ext="edit" aspectratio="f"/>
                <w10:anchorlock/>
              </v:line>
            </w:pict>
          </mc:Fallback>
        </mc:AlternateContent>
      </w:r>
    </w:p>
    <w:p w14:paraId="452368DB">
      <w:pPr>
        <w:pStyle w:val="91"/>
        <w:spacing w:after="360"/>
      </w:pPr>
      <w:bookmarkStart w:id="18" w:name="BookMark1"/>
      <w:r>
        <w:rPr>
          <w:rFonts w:hint="eastAsia"/>
          <w:spacing w:val="320"/>
        </w:rPr>
        <w:t>目</w:t>
      </w:r>
      <w:r>
        <w:rPr>
          <w:rFonts w:hint="eastAsia"/>
        </w:rPr>
        <w:t>次</w:t>
      </w:r>
    </w:p>
    <w:p w14:paraId="7778E8C4">
      <w:pPr>
        <w:pStyle w:val="19"/>
        <w:tabs>
          <w:tab w:val="right" w:leader="dot" w:pos="9344"/>
        </w:tabs>
        <w:rPr>
          <w:rFonts w:asciiTheme="minorHAnsi" w:hAnsiTheme="minorHAnsi" w:eastAsiaTheme="minorEastAsia" w:cstheme="minorBidi"/>
          <w:szCs w:val="22"/>
        </w:rPr>
      </w:pPr>
      <w:r>
        <w:fldChar w:fldCharType="begin"/>
      </w:r>
      <w:r>
        <w:instrText xml:space="preserve"> TOC \o "1-1" \h </w:instrText>
      </w:r>
      <w:r>
        <w:fldChar w:fldCharType="separate"/>
      </w:r>
      <w:r>
        <w:fldChar w:fldCharType="begin"/>
      </w:r>
      <w:r>
        <w:instrText xml:space="preserve"> HYPERLINK \l "_Toc192598242" </w:instrText>
      </w:r>
      <w:r>
        <w:fldChar w:fldCharType="separate"/>
      </w:r>
      <w:r>
        <w:rPr>
          <w:rStyle w:val="32"/>
        </w:rPr>
        <w:t>前言</w:t>
      </w:r>
      <w:r>
        <w:tab/>
      </w:r>
      <w:r>
        <w:fldChar w:fldCharType="begin"/>
      </w:r>
      <w:r>
        <w:instrText xml:space="preserve"> PAGEREF _Toc192598242 \h </w:instrText>
      </w:r>
      <w:r>
        <w:fldChar w:fldCharType="separate"/>
      </w:r>
      <w:r>
        <w:t>II</w:t>
      </w:r>
      <w:r>
        <w:fldChar w:fldCharType="end"/>
      </w:r>
      <w:r>
        <w:fldChar w:fldCharType="end"/>
      </w:r>
    </w:p>
    <w:p w14:paraId="7486945F">
      <w:pPr>
        <w:pStyle w:val="19"/>
        <w:tabs>
          <w:tab w:val="right" w:leader="dot" w:pos="9344"/>
        </w:tabs>
        <w:rPr>
          <w:rFonts w:asciiTheme="minorHAnsi" w:hAnsiTheme="minorHAnsi" w:eastAsiaTheme="minorEastAsia" w:cstheme="minorBidi"/>
          <w:szCs w:val="22"/>
        </w:rPr>
      </w:pPr>
      <w:r>
        <w:fldChar w:fldCharType="begin"/>
      </w:r>
      <w:r>
        <w:instrText xml:space="preserve"> HYPERLINK \l "_Toc192598243" </w:instrText>
      </w:r>
      <w:r>
        <w:fldChar w:fldCharType="separate"/>
      </w:r>
      <w:r>
        <w:rPr>
          <w:rStyle w:val="32"/>
        </w:rPr>
        <w:t>引言</w:t>
      </w:r>
      <w:r>
        <w:tab/>
      </w:r>
      <w:r>
        <w:fldChar w:fldCharType="begin"/>
      </w:r>
      <w:r>
        <w:instrText xml:space="preserve"> PAGEREF _Toc192598243 \h </w:instrText>
      </w:r>
      <w:r>
        <w:fldChar w:fldCharType="separate"/>
      </w:r>
      <w:r>
        <w:t>III</w:t>
      </w:r>
      <w:r>
        <w:fldChar w:fldCharType="end"/>
      </w:r>
      <w:r>
        <w:fldChar w:fldCharType="end"/>
      </w:r>
    </w:p>
    <w:p w14:paraId="69F6F360">
      <w:pPr>
        <w:pStyle w:val="19"/>
        <w:tabs>
          <w:tab w:val="right" w:leader="dot" w:pos="9344"/>
        </w:tabs>
        <w:rPr>
          <w:rFonts w:asciiTheme="minorHAnsi" w:hAnsiTheme="minorHAnsi" w:eastAsiaTheme="minorEastAsia" w:cstheme="minorBidi"/>
          <w:szCs w:val="22"/>
        </w:rPr>
      </w:pPr>
      <w:r>
        <w:fldChar w:fldCharType="begin"/>
      </w:r>
      <w:r>
        <w:instrText xml:space="preserve"> HYPERLINK \l "_Toc192598244" </w:instrText>
      </w:r>
      <w:r>
        <w:fldChar w:fldCharType="separate"/>
      </w:r>
      <w:r>
        <w:rPr>
          <w:rStyle w:val="32"/>
        </w:rPr>
        <w:t>1  范围</w:t>
      </w:r>
      <w:r>
        <w:tab/>
      </w:r>
      <w:r>
        <w:fldChar w:fldCharType="begin"/>
      </w:r>
      <w:r>
        <w:instrText xml:space="preserve"> PAGEREF _Toc192598244 \h </w:instrText>
      </w:r>
      <w:r>
        <w:fldChar w:fldCharType="separate"/>
      </w:r>
      <w:r>
        <w:t>1</w:t>
      </w:r>
      <w:r>
        <w:fldChar w:fldCharType="end"/>
      </w:r>
      <w:r>
        <w:fldChar w:fldCharType="end"/>
      </w:r>
    </w:p>
    <w:p w14:paraId="41E3953F">
      <w:pPr>
        <w:pStyle w:val="19"/>
        <w:tabs>
          <w:tab w:val="right" w:leader="dot" w:pos="9344"/>
        </w:tabs>
        <w:rPr>
          <w:rFonts w:asciiTheme="minorHAnsi" w:hAnsiTheme="minorHAnsi" w:eastAsiaTheme="minorEastAsia" w:cstheme="minorBidi"/>
          <w:szCs w:val="22"/>
        </w:rPr>
      </w:pPr>
      <w:r>
        <w:fldChar w:fldCharType="begin"/>
      </w:r>
      <w:r>
        <w:instrText xml:space="preserve"> HYPERLINK \l "_Toc192598245" </w:instrText>
      </w:r>
      <w:r>
        <w:fldChar w:fldCharType="separate"/>
      </w:r>
      <w:r>
        <w:rPr>
          <w:rStyle w:val="32"/>
        </w:rPr>
        <w:t>2  规范性引用文件</w:t>
      </w:r>
      <w:r>
        <w:tab/>
      </w:r>
      <w:r>
        <w:fldChar w:fldCharType="begin"/>
      </w:r>
      <w:r>
        <w:instrText xml:space="preserve"> PAGEREF _Toc192598245 \h </w:instrText>
      </w:r>
      <w:r>
        <w:fldChar w:fldCharType="separate"/>
      </w:r>
      <w:r>
        <w:t>1</w:t>
      </w:r>
      <w:r>
        <w:fldChar w:fldCharType="end"/>
      </w:r>
      <w:r>
        <w:fldChar w:fldCharType="end"/>
      </w:r>
    </w:p>
    <w:p w14:paraId="52E176E4">
      <w:pPr>
        <w:pStyle w:val="19"/>
        <w:tabs>
          <w:tab w:val="right" w:leader="dot" w:pos="9344"/>
        </w:tabs>
        <w:rPr>
          <w:rFonts w:asciiTheme="minorHAnsi" w:hAnsiTheme="minorHAnsi" w:eastAsiaTheme="minorEastAsia" w:cstheme="minorBidi"/>
          <w:szCs w:val="22"/>
        </w:rPr>
      </w:pPr>
      <w:r>
        <w:fldChar w:fldCharType="begin"/>
      </w:r>
      <w:r>
        <w:instrText xml:space="preserve"> HYPERLINK \l "_Toc192598246" </w:instrText>
      </w:r>
      <w:r>
        <w:fldChar w:fldCharType="separate"/>
      </w:r>
      <w:r>
        <w:rPr>
          <w:rStyle w:val="32"/>
        </w:rPr>
        <w:t>3  术语和定义</w:t>
      </w:r>
      <w:r>
        <w:tab/>
      </w:r>
      <w:r>
        <w:fldChar w:fldCharType="begin"/>
      </w:r>
      <w:r>
        <w:instrText xml:space="preserve"> PAGEREF _Toc192598246 \h </w:instrText>
      </w:r>
      <w:r>
        <w:fldChar w:fldCharType="separate"/>
      </w:r>
      <w:r>
        <w:t>1</w:t>
      </w:r>
      <w:r>
        <w:fldChar w:fldCharType="end"/>
      </w:r>
      <w:r>
        <w:fldChar w:fldCharType="end"/>
      </w:r>
    </w:p>
    <w:p w14:paraId="2E9ADCF9">
      <w:pPr>
        <w:pStyle w:val="19"/>
        <w:tabs>
          <w:tab w:val="right" w:leader="dot" w:pos="9344"/>
        </w:tabs>
        <w:rPr>
          <w:rFonts w:asciiTheme="minorHAnsi" w:hAnsiTheme="minorHAnsi" w:eastAsiaTheme="minorEastAsia" w:cstheme="minorBidi"/>
          <w:szCs w:val="22"/>
        </w:rPr>
      </w:pPr>
      <w:r>
        <w:fldChar w:fldCharType="begin"/>
      </w:r>
      <w:r>
        <w:instrText xml:space="preserve"> HYPERLINK \l "_Toc192598247" </w:instrText>
      </w:r>
      <w:r>
        <w:fldChar w:fldCharType="separate"/>
      </w:r>
      <w:r>
        <w:rPr>
          <w:rStyle w:val="32"/>
        </w:rPr>
        <w:t>4  总则</w:t>
      </w:r>
      <w:r>
        <w:tab/>
      </w:r>
      <w:r>
        <w:fldChar w:fldCharType="begin"/>
      </w:r>
      <w:r>
        <w:instrText xml:space="preserve"> PAGEREF _Toc192598247 \h </w:instrText>
      </w:r>
      <w:r>
        <w:fldChar w:fldCharType="separate"/>
      </w:r>
      <w:r>
        <w:t>1</w:t>
      </w:r>
      <w:r>
        <w:fldChar w:fldCharType="end"/>
      </w:r>
      <w:r>
        <w:fldChar w:fldCharType="end"/>
      </w:r>
    </w:p>
    <w:p w14:paraId="061C15A0">
      <w:pPr>
        <w:pStyle w:val="19"/>
        <w:tabs>
          <w:tab w:val="right" w:leader="dot" w:pos="9344"/>
        </w:tabs>
        <w:rPr>
          <w:rFonts w:asciiTheme="minorHAnsi" w:hAnsiTheme="minorHAnsi" w:eastAsiaTheme="minorEastAsia" w:cstheme="minorBidi"/>
          <w:szCs w:val="22"/>
        </w:rPr>
      </w:pPr>
      <w:r>
        <w:fldChar w:fldCharType="begin"/>
      </w:r>
      <w:r>
        <w:instrText xml:space="preserve"> HYPERLINK \l "_Toc192598248" </w:instrText>
      </w:r>
      <w:r>
        <w:fldChar w:fldCharType="separate"/>
      </w:r>
      <w:r>
        <w:rPr>
          <w:rStyle w:val="32"/>
        </w:rPr>
        <w:t>5  基本技术要求</w:t>
      </w:r>
      <w:r>
        <w:tab/>
      </w:r>
      <w:r>
        <w:fldChar w:fldCharType="begin"/>
      </w:r>
      <w:r>
        <w:instrText xml:space="preserve"> PAGEREF _Toc192598248 \h </w:instrText>
      </w:r>
      <w:r>
        <w:fldChar w:fldCharType="separate"/>
      </w:r>
      <w:r>
        <w:t>1</w:t>
      </w:r>
      <w:r>
        <w:fldChar w:fldCharType="end"/>
      </w:r>
      <w:r>
        <w:fldChar w:fldCharType="end"/>
      </w:r>
    </w:p>
    <w:p w14:paraId="7E765471">
      <w:pPr>
        <w:pStyle w:val="19"/>
        <w:tabs>
          <w:tab w:val="right" w:leader="dot" w:pos="9344"/>
        </w:tabs>
        <w:rPr>
          <w:rFonts w:asciiTheme="minorHAnsi" w:hAnsiTheme="minorHAnsi" w:eastAsiaTheme="minorEastAsia" w:cstheme="minorBidi"/>
          <w:szCs w:val="22"/>
        </w:rPr>
      </w:pPr>
      <w:r>
        <w:fldChar w:fldCharType="begin"/>
      </w:r>
      <w:r>
        <w:instrText xml:space="preserve"> HYPERLINK \l "_Toc192598249" </w:instrText>
      </w:r>
      <w:r>
        <w:fldChar w:fldCharType="separate"/>
      </w:r>
      <w:r>
        <w:rPr>
          <w:rStyle w:val="32"/>
        </w:rPr>
        <w:t>6  安全评估方法</w:t>
      </w:r>
      <w:r>
        <w:tab/>
      </w:r>
      <w:r>
        <w:fldChar w:fldCharType="begin"/>
      </w:r>
      <w:r>
        <w:instrText xml:space="preserve"> PAGEREF _Toc192598249 \h </w:instrText>
      </w:r>
      <w:r>
        <w:fldChar w:fldCharType="separate"/>
      </w:r>
      <w:r>
        <w:t>2</w:t>
      </w:r>
      <w:r>
        <w:fldChar w:fldCharType="end"/>
      </w:r>
      <w:r>
        <w:fldChar w:fldCharType="end"/>
      </w:r>
    </w:p>
    <w:p w14:paraId="1C927188">
      <w:pPr>
        <w:pStyle w:val="19"/>
        <w:tabs>
          <w:tab w:val="right" w:leader="dot" w:pos="9344"/>
        </w:tabs>
        <w:rPr>
          <w:rFonts w:asciiTheme="minorHAnsi" w:hAnsiTheme="minorHAnsi" w:eastAsiaTheme="minorEastAsia" w:cstheme="minorBidi"/>
          <w:szCs w:val="22"/>
        </w:rPr>
      </w:pPr>
      <w:r>
        <w:fldChar w:fldCharType="begin"/>
      </w:r>
      <w:r>
        <w:instrText xml:space="preserve"> HYPERLINK \l "_Toc192598250" </w:instrText>
      </w:r>
      <w:r>
        <w:fldChar w:fldCharType="separate"/>
      </w:r>
      <w:r>
        <w:rPr>
          <w:rStyle w:val="32"/>
        </w:rPr>
        <w:t>7  管理要求</w:t>
      </w:r>
      <w:r>
        <w:tab/>
      </w:r>
      <w:r>
        <w:fldChar w:fldCharType="begin"/>
      </w:r>
      <w:r>
        <w:instrText xml:space="preserve"> PAGEREF _Toc192598250 \h </w:instrText>
      </w:r>
      <w:r>
        <w:fldChar w:fldCharType="separate"/>
      </w:r>
      <w:r>
        <w:t>3</w:t>
      </w:r>
      <w:r>
        <w:fldChar w:fldCharType="end"/>
      </w:r>
      <w:r>
        <w:fldChar w:fldCharType="end"/>
      </w:r>
    </w:p>
    <w:p w14:paraId="391A3943">
      <w:pPr>
        <w:pStyle w:val="19"/>
        <w:tabs>
          <w:tab w:val="right" w:leader="dot" w:pos="9344"/>
        </w:tabs>
        <w:rPr>
          <w:rFonts w:asciiTheme="minorHAnsi" w:hAnsiTheme="minorHAnsi" w:eastAsiaTheme="minorEastAsia" w:cstheme="minorBidi"/>
          <w:szCs w:val="22"/>
        </w:rPr>
      </w:pPr>
      <w:r>
        <w:fldChar w:fldCharType="begin"/>
      </w:r>
      <w:r>
        <w:instrText xml:space="preserve"> HYPERLINK \l "_Toc192598251" </w:instrText>
      </w:r>
      <w:r>
        <w:fldChar w:fldCharType="separate"/>
      </w:r>
      <w:r>
        <w:rPr>
          <w:rStyle w:val="32"/>
        </w:rPr>
        <w:t>附录A（规范性）  相关检测方法与分级标准</w:t>
      </w:r>
      <w:r>
        <w:tab/>
      </w:r>
      <w:r>
        <w:fldChar w:fldCharType="begin"/>
      </w:r>
      <w:r>
        <w:instrText xml:space="preserve"> PAGEREF _Toc192598251 \h </w:instrText>
      </w:r>
      <w:r>
        <w:fldChar w:fldCharType="separate"/>
      </w:r>
      <w:r>
        <w:t>4</w:t>
      </w:r>
      <w:r>
        <w:fldChar w:fldCharType="end"/>
      </w:r>
      <w:r>
        <w:fldChar w:fldCharType="end"/>
      </w:r>
    </w:p>
    <w:p w14:paraId="7AAC0276">
      <w:pPr>
        <w:pStyle w:val="91"/>
        <w:spacing w:after="360"/>
        <w:sectPr>
          <w:headerReference r:id="rId11" w:type="default"/>
          <w:footerReference r:id="rId13" w:type="default"/>
          <w:headerReference r:id="rId12" w:type="even"/>
          <w:footerReference r:id="rId14" w:type="even"/>
          <w:pgSz w:w="11906" w:h="16838"/>
          <w:pgMar w:top="1928" w:right="1134" w:bottom="1134" w:left="1134" w:header="1418" w:footer="1134" w:gutter="284"/>
          <w:pgNumType w:fmt="upperRoman" w:start="1"/>
          <w:cols w:space="425" w:num="1"/>
          <w:formProt w:val="0"/>
          <w:docGrid w:linePitch="312" w:charSpace="0"/>
        </w:sectPr>
      </w:pPr>
      <w:r>
        <w:fldChar w:fldCharType="end"/>
      </w:r>
    </w:p>
    <w:bookmarkEnd w:id="18"/>
    <w:p w14:paraId="1A571EA2">
      <w:pPr>
        <w:pStyle w:val="89"/>
        <w:spacing w:before="900" w:after="360"/>
      </w:pPr>
      <w:bookmarkStart w:id="19" w:name="_Toc192598242"/>
      <w:bookmarkStart w:id="20" w:name="BookMark2"/>
      <w:r>
        <w:rPr>
          <w:spacing w:val="320"/>
        </w:rPr>
        <w:t>前</w:t>
      </w:r>
      <w:r>
        <w:t>言</w:t>
      </w:r>
      <w:bookmarkEnd w:id="19"/>
    </w:p>
    <w:p w14:paraId="5556B474">
      <w:pPr>
        <w:pStyle w:val="56"/>
        <w:spacing w:line="360" w:lineRule="auto"/>
        <w:ind w:firstLine="420"/>
      </w:pPr>
      <w:r>
        <w:rPr>
          <w:rFonts w:hint="eastAsia"/>
        </w:rPr>
        <w:t>本文件按照GB/T 1.1—2020《标准化工作导则  第1部分：标准化文件的结构和起草规则》的规定起草。</w:t>
      </w:r>
    </w:p>
    <w:p w14:paraId="072FC049">
      <w:pPr>
        <w:pStyle w:val="56"/>
        <w:spacing w:line="360" w:lineRule="auto"/>
        <w:ind w:firstLine="420"/>
      </w:pPr>
      <w:r>
        <w:rPr>
          <w:rFonts w:hint="eastAsia"/>
        </w:rPr>
        <w:t>请注意本文件的某些内容可能涉及专利。本文件的发布机构不承担识别专利的责任。</w:t>
      </w:r>
    </w:p>
    <w:p w14:paraId="38B0603A">
      <w:pPr>
        <w:pStyle w:val="56"/>
        <w:spacing w:line="360" w:lineRule="auto"/>
        <w:ind w:firstLine="420"/>
      </w:pPr>
      <w:r>
        <w:rPr>
          <w:rFonts w:hint="eastAsia"/>
        </w:rPr>
        <w:t>本文件由西安市质量与标准化协会提出并归口。</w:t>
      </w:r>
    </w:p>
    <w:p w14:paraId="4C174D8B">
      <w:pPr>
        <w:pStyle w:val="56"/>
        <w:spacing w:line="360" w:lineRule="auto"/>
        <w:ind w:firstLine="420"/>
      </w:pPr>
      <w:r>
        <w:rPr>
          <w:rFonts w:hint="eastAsia"/>
        </w:rPr>
        <w:t>本文件起草单位：中交世通（重庆）重工有限公司、浙江省建设装饰集团有限公司、杭州智城产业运营管理有限公司、中南建筑设计院股份有限公司、山东三维钢结构股份有限公司、浙江施朗龙山工程设计有限公司、浙江大合检测有限公司、广西万众工程检测有限公司、杭州临安智瀚大数据科技有限公司、大学士工程管理有限公司。</w:t>
      </w:r>
    </w:p>
    <w:p w14:paraId="17A624F2">
      <w:pPr>
        <w:pStyle w:val="56"/>
        <w:spacing w:line="360" w:lineRule="auto"/>
        <w:ind w:firstLine="420"/>
      </w:pPr>
      <w:r>
        <w:rPr>
          <w:rFonts w:hint="eastAsia"/>
        </w:rPr>
        <w:t>本文件主要起草人：陈柯、徐明、张小龙、陈丽娟、田清祥、章绍润、林翥、黎嘉良、郑辉、周义开。</w:t>
      </w:r>
    </w:p>
    <w:p w14:paraId="00DF8DDF">
      <w:pPr>
        <w:pStyle w:val="56"/>
        <w:ind w:firstLine="420"/>
      </w:pPr>
    </w:p>
    <w:p w14:paraId="420AD0AE">
      <w:pPr>
        <w:pStyle w:val="56"/>
        <w:ind w:firstLine="420"/>
        <w:sectPr>
          <w:headerReference r:id="rId15" w:type="default"/>
          <w:footerReference r:id="rId17" w:type="default"/>
          <w:headerReference r:id="rId16" w:type="even"/>
          <w:footerReference r:id="rId18" w:type="even"/>
          <w:pgSz w:w="11906" w:h="16838"/>
          <w:pgMar w:top="1928" w:right="1134" w:bottom="1134" w:left="1134" w:header="1418" w:footer="1134" w:gutter="284"/>
          <w:pgNumType w:fmt="upperRoman"/>
          <w:cols w:space="425" w:num="1"/>
          <w:formProt w:val="0"/>
          <w:docGrid w:linePitch="312" w:charSpace="0"/>
        </w:sectPr>
      </w:pPr>
      <w:bookmarkStart w:id="55" w:name="_GoBack"/>
      <w:bookmarkEnd w:id="55"/>
    </w:p>
    <w:bookmarkEnd w:id="20"/>
    <w:p w14:paraId="102124C3">
      <w:pPr>
        <w:pStyle w:val="89"/>
        <w:spacing w:after="360"/>
      </w:pPr>
      <w:bookmarkStart w:id="21" w:name="_Toc192598243"/>
      <w:bookmarkStart w:id="22" w:name="BookMark3"/>
      <w:r>
        <w:rPr>
          <w:spacing w:val="320"/>
        </w:rPr>
        <w:t>引</w:t>
      </w:r>
      <w:r>
        <w:t>言</w:t>
      </w:r>
      <w:bookmarkEnd w:id="21"/>
    </w:p>
    <w:p w14:paraId="5146E842">
      <w:pPr>
        <w:pStyle w:val="56"/>
        <w:spacing w:line="360" w:lineRule="auto"/>
        <w:ind w:firstLine="420"/>
      </w:pPr>
      <w:r>
        <w:rPr>
          <w:rFonts w:hint="eastAsia"/>
        </w:rPr>
        <w:t>当前，建筑结构形式日趋复杂，超限工程、既有建筑改造项目增多，传统设计评估方法在荷载组合合理性、抗震性能精细化分析、耐久性预测等方面存在不足。本文件通过整合结构设计、检测验证与数字化技术，明确安全评估的关键技术指标与管理流程，为设计单位、施工企业及监管部门提供系统性指导，保障人民生命财产安全与社会稳定。</w:t>
      </w:r>
    </w:p>
    <w:p w14:paraId="785BFECA">
      <w:pPr>
        <w:pStyle w:val="56"/>
        <w:ind w:firstLine="420"/>
      </w:pPr>
    </w:p>
    <w:p w14:paraId="5756B0A1">
      <w:pPr>
        <w:pStyle w:val="56"/>
        <w:ind w:firstLine="420"/>
        <w:sectPr>
          <w:headerReference r:id="rId19" w:type="default"/>
          <w:footerReference r:id="rId21" w:type="default"/>
          <w:headerReference r:id="rId20" w:type="even"/>
          <w:footerReference r:id="rId22" w:type="even"/>
          <w:pgSz w:w="11906" w:h="16838"/>
          <w:pgMar w:top="1928" w:right="1134" w:bottom="1134" w:left="1134" w:header="1418" w:footer="1134" w:gutter="284"/>
          <w:pgNumType w:fmt="upperRoman"/>
          <w:cols w:space="425" w:num="1"/>
          <w:formProt w:val="0"/>
          <w:docGrid w:linePitch="312" w:charSpace="0"/>
        </w:sectPr>
      </w:pPr>
    </w:p>
    <w:bookmarkEnd w:id="22"/>
    <w:p w14:paraId="1632A769">
      <w:pPr>
        <w:spacing w:line="20" w:lineRule="exact"/>
        <w:jc w:val="center"/>
        <w:rPr>
          <w:rFonts w:ascii="黑体" w:hAnsi="黑体" w:eastAsia="黑体"/>
          <w:sz w:val="32"/>
          <w:szCs w:val="32"/>
        </w:rPr>
      </w:pPr>
      <w:bookmarkStart w:id="23" w:name="BookMark4"/>
    </w:p>
    <w:p w14:paraId="304D306D">
      <w:pPr>
        <w:spacing w:line="20" w:lineRule="exact"/>
        <w:jc w:val="center"/>
        <w:rPr>
          <w:rFonts w:ascii="黑体" w:hAnsi="黑体" w:eastAsia="黑体"/>
          <w:sz w:val="32"/>
          <w:szCs w:val="32"/>
        </w:rPr>
      </w:pPr>
    </w:p>
    <w:sdt>
      <w:sdtPr>
        <w:tag w:val="NEW_STAND_NAME"/>
        <w:id w:val="595910757"/>
        <w:lock w:val="sdtLocked"/>
        <w:placeholder>
          <w:docPart w:val="62FEE79151B040FA9134DA6AACA0E518"/>
        </w:placeholder>
      </w:sdtPr>
      <w:sdtContent>
        <w:p w14:paraId="1C4791CD">
          <w:pPr>
            <w:pStyle w:val="177"/>
          </w:pPr>
          <w:bookmarkStart w:id="24" w:name="NEW_STAND_NAME"/>
          <w:r>
            <w:rPr>
              <w:rFonts w:hint="eastAsia"/>
            </w:rPr>
            <w:t>建筑结构设计安全评估规范</w:t>
          </w:r>
        </w:p>
      </w:sdtContent>
    </w:sdt>
    <w:bookmarkEnd w:id="24"/>
    <w:p w14:paraId="00B134E7">
      <w:pPr>
        <w:pStyle w:val="104"/>
        <w:spacing w:before="240" w:after="240"/>
      </w:pPr>
      <w:bookmarkStart w:id="25" w:name="_Toc26718930"/>
      <w:bookmarkStart w:id="26" w:name="_Toc26986771"/>
      <w:bookmarkStart w:id="27" w:name="_Toc17233325"/>
      <w:bookmarkStart w:id="28" w:name="_Toc17233333"/>
      <w:bookmarkStart w:id="29" w:name="_Toc24884218"/>
      <w:bookmarkStart w:id="30" w:name="_Toc97192964"/>
      <w:bookmarkStart w:id="31" w:name="_Toc26986530"/>
      <w:bookmarkStart w:id="32" w:name="_Toc26648465"/>
      <w:bookmarkStart w:id="33" w:name="_Toc192598244"/>
      <w:bookmarkStart w:id="34" w:name="_Toc24884211"/>
      <w:r>
        <w:rPr>
          <w:rFonts w:hint="eastAsia"/>
        </w:rPr>
        <w:t>范围</w:t>
      </w:r>
      <w:bookmarkEnd w:id="25"/>
      <w:bookmarkEnd w:id="26"/>
      <w:bookmarkEnd w:id="27"/>
      <w:bookmarkEnd w:id="28"/>
      <w:bookmarkEnd w:id="29"/>
      <w:bookmarkEnd w:id="30"/>
      <w:bookmarkEnd w:id="31"/>
      <w:bookmarkEnd w:id="32"/>
      <w:bookmarkEnd w:id="33"/>
      <w:bookmarkEnd w:id="34"/>
    </w:p>
    <w:p w14:paraId="4C71B4FC">
      <w:pPr>
        <w:pStyle w:val="56"/>
        <w:spacing w:line="360" w:lineRule="auto"/>
        <w:ind w:firstLine="420"/>
      </w:pPr>
      <w:bookmarkStart w:id="35" w:name="_Toc24884219"/>
      <w:bookmarkStart w:id="36" w:name="_Toc26648466"/>
      <w:bookmarkStart w:id="37" w:name="_Toc17233326"/>
      <w:bookmarkStart w:id="38" w:name="_Toc17233334"/>
      <w:bookmarkStart w:id="39" w:name="_Toc24884212"/>
      <w:r>
        <w:t>本</w:t>
      </w:r>
      <w:r>
        <w:rPr>
          <w:rFonts w:hint="eastAsia"/>
        </w:rPr>
        <w:t>文件</w:t>
      </w:r>
      <w:r>
        <w:t>规定了建筑结构设计安全评估的基本</w:t>
      </w:r>
      <w:r>
        <w:rPr>
          <w:rFonts w:hint="eastAsia"/>
        </w:rPr>
        <w:t>技术</w:t>
      </w:r>
      <w:r>
        <w:t>要求、</w:t>
      </w:r>
      <w:r>
        <w:rPr>
          <w:rFonts w:hint="eastAsia"/>
        </w:rPr>
        <w:t>安全</w:t>
      </w:r>
      <w:r>
        <w:t>评估方法及管理</w:t>
      </w:r>
      <w:r>
        <w:rPr>
          <w:rFonts w:hint="eastAsia"/>
        </w:rPr>
        <w:t>要求。</w:t>
      </w:r>
    </w:p>
    <w:p w14:paraId="294723B6">
      <w:pPr>
        <w:pStyle w:val="56"/>
        <w:spacing w:line="360" w:lineRule="auto"/>
        <w:ind w:firstLine="420"/>
      </w:pPr>
      <w:r>
        <w:rPr>
          <w:rFonts w:hint="eastAsia"/>
        </w:rPr>
        <w:t>本文件</w:t>
      </w:r>
      <w:r>
        <w:t>适用于新建、改建、扩建建筑结构的设计阶段安全评估，以及既有建筑结构的安全性鉴定与改造评估。</w:t>
      </w:r>
    </w:p>
    <w:p w14:paraId="2931D3E3">
      <w:pPr>
        <w:pStyle w:val="104"/>
        <w:spacing w:before="240" w:after="240" w:line="360" w:lineRule="auto"/>
      </w:pPr>
      <w:bookmarkStart w:id="40" w:name="_Toc192598245"/>
      <w:bookmarkStart w:id="41" w:name="_Toc26718931"/>
      <w:bookmarkStart w:id="42" w:name="_Toc97192965"/>
      <w:bookmarkStart w:id="43" w:name="_Toc26986531"/>
      <w:bookmarkStart w:id="44" w:name="_Toc26986772"/>
      <w:r>
        <w:rPr>
          <w:rFonts w:hint="eastAsia"/>
        </w:rPr>
        <w:t>规范性引用文件</w:t>
      </w:r>
      <w:bookmarkEnd w:id="35"/>
      <w:bookmarkEnd w:id="36"/>
      <w:bookmarkEnd w:id="37"/>
      <w:bookmarkEnd w:id="38"/>
      <w:bookmarkEnd w:id="39"/>
      <w:bookmarkEnd w:id="40"/>
      <w:bookmarkEnd w:id="41"/>
      <w:bookmarkEnd w:id="42"/>
      <w:bookmarkEnd w:id="43"/>
      <w:bookmarkEnd w:id="44"/>
    </w:p>
    <w:sdt>
      <w:sdtPr>
        <w:rPr>
          <w:rFonts w:hint="eastAsia"/>
        </w:rPr>
        <w:id w:val="715848253"/>
        <w:placeholder>
          <w:docPart w:val="4E4F763C58F644DB979973B8DB95F2CC"/>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779A777A">
          <w:pPr>
            <w:pStyle w:val="56"/>
            <w:spacing w:line="360" w:lineRule="auto"/>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7BE67ADD">
      <w:pPr>
        <w:pStyle w:val="56"/>
        <w:spacing w:line="360" w:lineRule="auto"/>
        <w:ind w:firstLine="420"/>
      </w:pPr>
      <w:r>
        <w:rPr>
          <w:rFonts w:hint="eastAsia"/>
        </w:rPr>
        <w:t>GB 50068—2018 建筑结构可靠性设计统一标准</w:t>
      </w:r>
    </w:p>
    <w:p w14:paraId="66270273">
      <w:pPr>
        <w:pStyle w:val="56"/>
        <w:spacing w:line="360" w:lineRule="auto"/>
        <w:ind w:firstLine="420"/>
      </w:pPr>
      <w:r>
        <w:rPr>
          <w:rFonts w:hint="eastAsia"/>
        </w:rPr>
        <w:t>G</w:t>
      </w:r>
      <w:r>
        <w:t>B 50223</w:t>
      </w:r>
      <w:r>
        <w:rPr>
          <w:rFonts w:hint="eastAsia"/>
        </w:rPr>
        <w:t>—2018</w:t>
      </w:r>
      <w:r>
        <w:t xml:space="preserve"> </w:t>
      </w:r>
      <w:r>
        <w:rPr>
          <w:rFonts w:hint="eastAsia"/>
        </w:rPr>
        <w:t>建筑工程抗震设防分类标准</w:t>
      </w:r>
    </w:p>
    <w:p w14:paraId="2452DB0A">
      <w:pPr>
        <w:pStyle w:val="56"/>
        <w:spacing w:line="360" w:lineRule="auto"/>
        <w:ind w:firstLine="420"/>
        <w:rPr>
          <w:rFonts w:hint="eastAsia"/>
        </w:rPr>
      </w:pPr>
      <w:r>
        <w:t>GB/T 700</w:t>
      </w:r>
      <w:r>
        <w:rPr>
          <w:rFonts w:hint="eastAsia"/>
        </w:rPr>
        <w:t>—</w:t>
      </w:r>
      <w:r>
        <w:t xml:space="preserve">2006 </w:t>
      </w:r>
      <w:r>
        <w:rPr>
          <w:rFonts w:hint="eastAsia"/>
        </w:rPr>
        <w:t>碳素结构钢</w:t>
      </w:r>
    </w:p>
    <w:p w14:paraId="54047C53">
      <w:pPr>
        <w:pStyle w:val="104"/>
        <w:spacing w:before="240" w:after="240" w:line="360" w:lineRule="auto"/>
      </w:pPr>
      <w:bookmarkStart w:id="45" w:name="_Toc97192966"/>
      <w:bookmarkStart w:id="46" w:name="_Toc192598246"/>
      <w:r>
        <w:rPr>
          <w:rFonts w:hint="eastAsia"/>
          <w:szCs w:val="21"/>
        </w:rPr>
        <w:t>术语和定义</w:t>
      </w:r>
      <w:bookmarkEnd w:id="45"/>
      <w:bookmarkEnd w:id="46"/>
    </w:p>
    <w:sdt>
      <w:sdtPr>
        <w:id w:val="-1909835108"/>
        <w:placeholder>
          <w:docPart w:val="9BFD87B92B864CCDBD0350E8A6AB7819"/>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4B2268B9">
          <w:pPr>
            <w:pStyle w:val="56"/>
            <w:spacing w:line="360" w:lineRule="auto"/>
            <w:ind w:firstLine="420"/>
          </w:pPr>
          <w:bookmarkStart w:id="47" w:name="_Toc26986532"/>
          <w:bookmarkEnd w:id="47"/>
          <w:r>
            <w:t>GB 50068—2018界定的以及下列术语和定义适用于本文件。</w:t>
          </w:r>
        </w:p>
      </w:sdtContent>
    </w:sdt>
    <w:p w14:paraId="0218629E">
      <w:pPr>
        <w:pStyle w:val="223"/>
        <w:spacing w:line="360" w:lineRule="auto"/>
        <w:ind w:left="420" w:hanging="420" w:hangingChars="200"/>
        <w:rPr>
          <w:rFonts w:ascii="黑体" w:hAnsi="黑体" w:eastAsia="黑体"/>
        </w:rPr>
      </w:pPr>
      <w:r>
        <w:rPr>
          <w:rFonts w:ascii="黑体" w:hAnsi="黑体" w:eastAsia="黑体"/>
        </w:rPr>
        <w:br w:type="textWrapping"/>
      </w:r>
      <w:r>
        <w:rPr>
          <w:rFonts w:ascii="黑体" w:hAnsi="黑体" w:eastAsia="黑体"/>
        </w:rPr>
        <w:t>结构安全评估</w:t>
      </w:r>
      <w:r>
        <w:rPr>
          <w:rFonts w:hint="eastAsia" w:ascii="黑体" w:hAnsi="黑体" w:eastAsia="黑体"/>
        </w:rPr>
        <w:t xml:space="preserve"> s</w:t>
      </w:r>
      <w:r>
        <w:rPr>
          <w:rFonts w:ascii="黑体" w:hAnsi="黑体" w:eastAsia="黑体"/>
        </w:rPr>
        <w:t>tructural safety assessment</w:t>
      </w:r>
    </w:p>
    <w:p w14:paraId="7C8BFFF7">
      <w:pPr>
        <w:pStyle w:val="56"/>
        <w:spacing w:line="360" w:lineRule="auto"/>
        <w:ind w:firstLine="420"/>
      </w:pPr>
      <w:r>
        <w:t>通过计算分析、试验检测等手段，验证结构在设计使用年限内满足承载能力、稳定性和耐久性要求的过程。</w:t>
      </w:r>
    </w:p>
    <w:p w14:paraId="413541B1">
      <w:pPr>
        <w:pStyle w:val="104"/>
        <w:spacing w:before="240" w:after="240" w:line="360" w:lineRule="auto"/>
      </w:pPr>
      <w:bookmarkStart w:id="48" w:name="_Toc192598247"/>
      <w:r>
        <w:t>总则</w:t>
      </w:r>
      <w:bookmarkEnd w:id="48"/>
    </w:p>
    <w:p w14:paraId="2C3ED30E">
      <w:pPr>
        <w:pStyle w:val="56"/>
        <w:spacing w:line="360" w:lineRule="auto"/>
        <w:ind w:firstLine="420"/>
      </w:pPr>
      <w:r>
        <w:rPr>
          <w:rFonts w:hint="eastAsia"/>
        </w:rPr>
        <w:t>结构设计安全评估应遵循“预防为主、全过程控制”原则，确保结构在全生命周期内的安全性。</w:t>
      </w:r>
    </w:p>
    <w:p w14:paraId="01339D60">
      <w:pPr>
        <w:pStyle w:val="56"/>
        <w:spacing w:line="360" w:lineRule="auto"/>
        <w:ind w:firstLine="420"/>
      </w:pPr>
      <w:r>
        <w:rPr>
          <w:rFonts w:hint="eastAsia"/>
        </w:rPr>
        <w:t>评估需结合结构类型、使用环境、灾害风险等因素，采用定性与定量相结合的方法。</w:t>
      </w:r>
    </w:p>
    <w:p w14:paraId="342924D2">
      <w:pPr>
        <w:pStyle w:val="56"/>
        <w:spacing w:line="360" w:lineRule="auto"/>
        <w:ind w:firstLine="420"/>
      </w:pPr>
      <w:r>
        <w:rPr>
          <w:rFonts w:hint="eastAsia"/>
        </w:rPr>
        <w:t>鼓励应用BIM技术、有限元分析、智能化监测等先进手段提升评估精度。</w:t>
      </w:r>
    </w:p>
    <w:p w14:paraId="3E7DDA0F">
      <w:pPr>
        <w:pStyle w:val="104"/>
        <w:spacing w:before="240" w:after="240" w:line="360" w:lineRule="auto"/>
      </w:pPr>
      <w:bookmarkStart w:id="49" w:name="_Toc192598248"/>
      <w:r>
        <w:rPr>
          <w:rFonts w:hint="eastAsia"/>
        </w:rPr>
        <w:t>基本技术要求</w:t>
      </w:r>
      <w:bookmarkEnd w:id="49"/>
    </w:p>
    <w:p w14:paraId="7D23434E">
      <w:pPr>
        <w:pStyle w:val="105"/>
        <w:spacing w:before="120" w:after="120" w:line="360" w:lineRule="auto"/>
      </w:pPr>
      <w:r>
        <w:rPr>
          <w:rFonts w:hint="eastAsia"/>
        </w:rPr>
        <w:t>设计荷载与作用</w:t>
      </w:r>
    </w:p>
    <w:p w14:paraId="4CDA055D">
      <w:pPr>
        <w:pStyle w:val="56"/>
        <w:spacing w:line="360" w:lineRule="auto"/>
        <w:ind w:firstLine="420"/>
      </w:pPr>
      <w:r>
        <w:rPr>
          <w:rFonts w:hint="eastAsia"/>
        </w:rPr>
        <w:t>荷载分类：明确永久荷载（自重、土压力）、可变荷载（活载、风载、雪载）、偶然荷载（爆炸、撞击）的取值标准。</w:t>
      </w:r>
    </w:p>
    <w:p w14:paraId="78971B22">
      <w:pPr>
        <w:pStyle w:val="56"/>
        <w:spacing w:line="360" w:lineRule="auto"/>
        <w:ind w:firstLine="420"/>
      </w:pPr>
      <w:r>
        <w:rPr>
          <w:rFonts w:hint="eastAsia"/>
        </w:rPr>
        <w:t>荷载组合：按GB 50068规定，区分基本组合、标准组合与偶然组合，地震作用按GB 50223执行。</w:t>
      </w:r>
    </w:p>
    <w:p w14:paraId="03FD3725">
      <w:pPr>
        <w:pStyle w:val="105"/>
        <w:spacing w:before="120" w:after="120" w:line="360" w:lineRule="auto"/>
      </w:pPr>
      <w:r>
        <w:rPr>
          <w:rFonts w:hint="eastAsia"/>
        </w:rPr>
        <w:t>结构分析与计算</w:t>
      </w:r>
    </w:p>
    <w:p w14:paraId="24394216">
      <w:pPr>
        <w:pStyle w:val="56"/>
        <w:spacing w:line="360" w:lineRule="auto"/>
        <w:ind w:firstLine="420"/>
      </w:pPr>
      <w:r>
        <w:rPr>
          <w:rFonts w:hint="eastAsia"/>
        </w:rPr>
        <w:t>模型建立：采用三维空间模型，考虑结构整体协同作用及节点刚度影响。</w:t>
      </w:r>
    </w:p>
    <w:p w14:paraId="47D59B78">
      <w:pPr>
        <w:pStyle w:val="56"/>
        <w:spacing w:line="360" w:lineRule="auto"/>
        <w:ind w:firstLine="420"/>
      </w:pPr>
      <w:r>
        <w:rPr>
          <w:rFonts w:hint="eastAsia"/>
        </w:rPr>
        <w:t>分析方法：静力分析、动力时程分析（适用于超限高层或大跨度结构）、非线性屈曲分析（针对钢结构）。</w:t>
      </w:r>
    </w:p>
    <w:p w14:paraId="46B5D7C6">
      <w:pPr>
        <w:pStyle w:val="56"/>
        <w:spacing w:line="360" w:lineRule="auto"/>
        <w:ind w:firstLine="420"/>
      </w:pPr>
      <w:r>
        <w:rPr>
          <w:rFonts w:hint="eastAsia"/>
        </w:rPr>
        <w:t>安全系数：混凝土结构承载力安全系数≥1.8，钢结构稳定系数≥1.5。</w:t>
      </w:r>
    </w:p>
    <w:p w14:paraId="77657107">
      <w:pPr>
        <w:pStyle w:val="105"/>
        <w:spacing w:before="120" w:after="120" w:line="360" w:lineRule="auto"/>
      </w:pPr>
      <w:r>
        <w:rPr>
          <w:rFonts w:hint="eastAsia"/>
        </w:rPr>
        <w:t>抗震性能评估</w:t>
      </w:r>
    </w:p>
    <w:p w14:paraId="09AE134E">
      <w:pPr>
        <w:pStyle w:val="56"/>
        <w:spacing w:line="360" w:lineRule="auto"/>
        <w:ind w:firstLine="420"/>
      </w:pPr>
      <w:r>
        <w:rPr>
          <w:rFonts w:hint="eastAsia"/>
        </w:rPr>
        <w:t>设防目标：小震不坏、中震可修、大震不倒，按性能目标分级（A-D级）。</w:t>
      </w:r>
    </w:p>
    <w:p w14:paraId="5D65141C">
      <w:pPr>
        <w:pStyle w:val="56"/>
        <w:spacing w:line="360" w:lineRule="auto"/>
        <w:ind w:firstLine="420"/>
      </w:pPr>
      <w:r>
        <w:rPr>
          <w:rFonts w:hint="eastAsia"/>
        </w:rPr>
        <w:t>薄弱层判定：层间位移角超限值（框架结构1/550）时，需进行加固设计。</w:t>
      </w:r>
    </w:p>
    <w:p w14:paraId="5C772319">
      <w:pPr>
        <w:pStyle w:val="105"/>
        <w:spacing w:before="120" w:after="120" w:line="360" w:lineRule="auto"/>
      </w:pPr>
      <w:r>
        <w:rPr>
          <w:rFonts w:hint="eastAsia"/>
        </w:rPr>
        <w:t>材料性能验证</w:t>
      </w:r>
    </w:p>
    <w:p w14:paraId="618A6C3E">
      <w:pPr>
        <w:pStyle w:val="56"/>
        <w:spacing w:line="360" w:lineRule="auto"/>
        <w:ind w:firstLine="420"/>
      </w:pPr>
      <w:r>
        <w:rPr>
          <w:rFonts w:hint="eastAsia"/>
        </w:rPr>
        <w:t>混凝土：抗压强度标准值偏差≤10%，氯离子含量≤0.06%（滨海环境）。混凝土结构碳化深度检测方法见附录A。</w:t>
      </w:r>
    </w:p>
    <w:p w14:paraId="197AE3D8">
      <w:pPr>
        <w:pStyle w:val="56"/>
        <w:spacing w:line="360" w:lineRule="auto"/>
        <w:ind w:firstLine="420"/>
      </w:pPr>
      <w:r>
        <w:rPr>
          <w:rFonts w:hint="eastAsia"/>
        </w:rPr>
        <w:t>钢材：屈服强度、延伸率符合GB/T 700规定，焊接接头无损检测合格率≥95%。钢结构焊缝缺陷分级标准见附录A。</w:t>
      </w:r>
    </w:p>
    <w:p w14:paraId="456583DA">
      <w:pPr>
        <w:pStyle w:val="105"/>
        <w:spacing w:before="120" w:after="120" w:line="360" w:lineRule="auto"/>
      </w:pPr>
      <w:r>
        <w:rPr>
          <w:rFonts w:hint="eastAsia"/>
        </w:rPr>
        <w:t>耐久性评估</w:t>
      </w:r>
    </w:p>
    <w:p w14:paraId="62800D1F">
      <w:pPr>
        <w:pStyle w:val="56"/>
        <w:spacing w:line="360" w:lineRule="auto"/>
        <w:ind w:firstLine="420"/>
      </w:pPr>
      <w:r>
        <w:rPr>
          <w:rFonts w:hint="eastAsia"/>
        </w:rPr>
        <w:t>环境类别：按碳化、冻融、化学腐蚀等划分五类环境作用等级。</w:t>
      </w:r>
    </w:p>
    <w:p w14:paraId="2017E4B3">
      <w:pPr>
        <w:pStyle w:val="56"/>
        <w:spacing w:line="360" w:lineRule="auto"/>
        <w:ind w:firstLine="420"/>
      </w:pPr>
      <w:r>
        <w:rPr>
          <w:rFonts w:hint="eastAsia"/>
        </w:rPr>
        <w:t>保护层厚度：梁柱混凝土保护层厚度偏差≤±5mm，防腐涂层厚度≥200μm（钢结构）。</w:t>
      </w:r>
    </w:p>
    <w:p w14:paraId="4CCB669D">
      <w:pPr>
        <w:pStyle w:val="105"/>
        <w:spacing w:before="120" w:after="120" w:line="360" w:lineRule="auto"/>
      </w:pPr>
      <w:r>
        <w:rPr>
          <w:rFonts w:hint="eastAsia"/>
        </w:rPr>
        <w:t>既有结构改造评估</w:t>
      </w:r>
    </w:p>
    <w:p w14:paraId="322C82F5">
      <w:pPr>
        <w:pStyle w:val="56"/>
        <w:spacing w:line="360" w:lineRule="auto"/>
        <w:ind w:firstLine="420"/>
      </w:pPr>
      <w:r>
        <w:rPr>
          <w:rFonts w:hint="eastAsia"/>
        </w:rPr>
        <w:t>损伤检测：采用超声探伤、红外成像等技术评估裂缝、锈蚀程度。</w:t>
      </w:r>
    </w:p>
    <w:p w14:paraId="1369D573">
      <w:pPr>
        <w:pStyle w:val="56"/>
        <w:spacing w:line="360" w:lineRule="auto"/>
        <w:ind w:firstLine="420"/>
      </w:pPr>
      <w:r>
        <w:rPr>
          <w:rFonts w:hint="eastAsia"/>
        </w:rPr>
        <w:t>剩余寿命预测：基于碳化深度、钢筋锈蚀速率推算剩余使用年限。</w:t>
      </w:r>
    </w:p>
    <w:p w14:paraId="339B4A56">
      <w:pPr>
        <w:pStyle w:val="104"/>
        <w:spacing w:before="240" w:after="240" w:line="360" w:lineRule="auto"/>
      </w:pPr>
      <w:bookmarkStart w:id="50" w:name="_Toc192598249"/>
      <w:r>
        <w:rPr>
          <w:rFonts w:hint="eastAsia"/>
        </w:rPr>
        <w:t>安全评估方法</w:t>
      </w:r>
      <w:bookmarkEnd w:id="50"/>
    </w:p>
    <w:p w14:paraId="677F8F32">
      <w:pPr>
        <w:pStyle w:val="105"/>
        <w:spacing w:before="120" w:after="120" w:line="360" w:lineRule="auto"/>
      </w:pPr>
      <w:r>
        <w:rPr>
          <w:rFonts w:hint="eastAsia"/>
        </w:rPr>
        <w:t>初步评估</w:t>
      </w:r>
    </w:p>
    <w:p w14:paraId="23A555B8">
      <w:pPr>
        <w:pStyle w:val="56"/>
        <w:spacing w:line="360" w:lineRule="auto"/>
        <w:ind w:firstLine="420"/>
      </w:pPr>
      <w:r>
        <w:rPr>
          <w:rFonts w:hint="eastAsia"/>
        </w:rPr>
        <w:t>资料审查：核查设计图纸、计算书、材料检测报告的完整性与合规性。</w:t>
      </w:r>
    </w:p>
    <w:p w14:paraId="6F105405">
      <w:pPr>
        <w:pStyle w:val="56"/>
        <w:spacing w:line="360" w:lineRule="auto"/>
        <w:ind w:firstLine="420"/>
      </w:pPr>
      <w:r>
        <w:rPr>
          <w:rFonts w:hint="eastAsia"/>
        </w:rPr>
        <w:t>快速筛查：利用经验公式或简化模型判断结构是否存在明显缺陷。</w:t>
      </w:r>
    </w:p>
    <w:p w14:paraId="67EC3F5A">
      <w:pPr>
        <w:pStyle w:val="105"/>
        <w:spacing w:before="120" w:after="120" w:line="360" w:lineRule="auto"/>
      </w:pPr>
      <w:r>
        <w:rPr>
          <w:rFonts w:hint="eastAsia"/>
        </w:rPr>
        <w:t>详细评估</w:t>
      </w:r>
    </w:p>
    <w:p w14:paraId="6D47606B">
      <w:pPr>
        <w:pStyle w:val="56"/>
        <w:spacing w:line="360" w:lineRule="auto"/>
        <w:ind w:firstLine="420"/>
      </w:pPr>
      <w:r>
        <w:rPr>
          <w:rFonts w:hint="eastAsia"/>
        </w:rPr>
        <w:t>定量分析：采用可靠度理论（β≥3.2）或蒙特卡洛模拟计算失效概率。</w:t>
      </w:r>
    </w:p>
    <w:p w14:paraId="63328BC4">
      <w:pPr>
        <w:pStyle w:val="56"/>
        <w:spacing w:line="360" w:lineRule="auto"/>
        <w:ind w:firstLine="420"/>
      </w:pPr>
      <w:r>
        <w:rPr>
          <w:rFonts w:hint="eastAsia"/>
        </w:rPr>
        <w:t>现场检测：对关键构件（首层柱、转换梁）进行钻芯取样或荷载试验。</w:t>
      </w:r>
    </w:p>
    <w:p w14:paraId="2B9B70F2">
      <w:pPr>
        <w:pStyle w:val="105"/>
        <w:spacing w:before="120" w:after="120" w:line="360" w:lineRule="auto"/>
      </w:pPr>
      <w:r>
        <w:rPr>
          <w:rFonts w:hint="eastAsia"/>
        </w:rPr>
        <w:t>评估报告</w:t>
      </w:r>
    </w:p>
    <w:p w14:paraId="0548C97C">
      <w:pPr>
        <w:pStyle w:val="56"/>
        <w:spacing w:line="360" w:lineRule="auto"/>
        <w:ind w:firstLine="420"/>
      </w:pPr>
      <w:r>
        <w:rPr>
          <w:rFonts w:hint="eastAsia"/>
        </w:rPr>
        <w:t>结论分级：安全（Ⅰ级）、局部整改（Ⅱ级）、全面加固（Ⅲ级）、停止使用（Ⅳ级）。</w:t>
      </w:r>
    </w:p>
    <w:p w14:paraId="763702A3">
      <w:pPr>
        <w:pStyle w:val="56"/>
        <w:spacing w:line="360" w:lineRule="auto"/>
        <w:ind w:firstLine="420"/>
      </w:pPr>
      <w:r>
        <w:rPr>
          <w:rFonts w:hint="eastAsia"/>
        </w:rPr>
        <w:t>整改建议：明确加固措施（粘贴碳纤维、增设支撑）、监测周期（如沉降观测每季度一次）。</w:t>
      </w:r>
    </w:p>
    <w:p w14:paraId="725CFC4E">
      <w:pPr>
        <w:pStyle w:val="104"/>
        <w:spacing w:before="240" w:after="240" w:line="360" w:lineRule="auto"/>
      </w:pPr>
      <w:bookmarkStart w:id="51" w:name="_Toc192598250"/>
      <w:r>
        <w:rPr>
          <w:rFonts w:hint="eastAsia"/>
        </w:rPr>
        <w:t>管理要求</w:t>
      </w:r>
      <w:bookmarkEnd w:id="51"/>
    </w:p>
    <w:p w14:paraId="744826E2">
      <w:pPr>
        <w:pStyle w:val="105"/>
        <w:spacing w:before="120" w:after="120" w:line="360" w:lineRule="auto"/>
      </w:pPr>
      <w:r>
        <w:rPr>
          <w:rFonts w:hint="eastAsia"/>
        </w:rPr>
        <w:t>责任主体</w:t>
      </w:r>
    </w:p>
    <w:p w14:paraId="0F089155">
      <w:pPr>
        <w:pStyle w:val="56"/>
        <w:spacing w:line="360" w:lineRule="auto"/>
        <w:ind w:firstLine="420"/>
      </w:pPr>
      <w:r>
        <w:rPr>
          <w:rFonts w:hint="eastAsia"/>
        </w:rPr>
        <w:t>设计单位负责评估模型与计算结果的准确性，建设单位对评估结论实施负责。</w:t>
      </w:r>
    </w:p>
    <w:p w14:paraId="0C09635A">
      <w:pPr>
        <w:pStyle w:val="105"/>
        <w:spacing w:before="120" w:after="120" w:line="360" w:lineRule="auto"/>
      </w:pPr>
      <w:r>
        <w:rPr>
          <w:rFonts w:hint="eastAsia"/>
        </w:rPr>
        <w:t>文档管理</w:t>
      </w:r>
    </w:p>
    <w:p w14:paraId="5F352A04">
      <w:pPr>
        <w:pStyle w:val="56"/>
        <w:spacing w:line="360" w:lineRule="auto"/>
        <w:ind w:firstLine="420"/>
      </w:pPr>
      <w:r>
        <w:rPr>
          <w:rFonts w:hint="eastAsia"/>
        </w:rPr>
        <w:t>评估报告、检测数据、整改记录应保存至结构设计使用年限期满后10年。</w:t>
      </w:r>
    </w:p>
    <w:p w14:paraId="48C38244">
      <w:pPr>
        <w:pStyle w:val="105"/>
        <w:spacing w:before="120" w:after="120" w:line="360" w:lineRule="auto"/>
      </w:pPr>
      <w:r>
        <w:rPr>
          <w:rFonts w:hint="eastAsia"/>
        </w:rPr>
        <w:t>第三方审核</w:t>
      </w:r>
    </w:p>
    <w:p w14:paraId="21E7AC42">
      <w:pPr>
        <w:pStyle w:val="56"/>
        <w:spacing w:line="360" w:lineRule="auto"/>
        <w:ind w:firstLine="420"/>
      </w:pPr>
      <w:r>
        <w:rPr>
          <w:rFonts w:hint="eastAsia"/>
        </w:rPr>
        <w:t>超限高层、大型公共建筑需由省级以上专业机构进行独立复核。</w:t>
      </w:r>
    </w:p>
    <w:p w14:paraId="52418D95">
      <w:pPr>
        <w:pStyle w:val="56"/>
        <w:spacing w:line="360" w:lineRule="auto"/>
        <w:ind w:firstLine="420"/>
      </w:pPr>
    </w:p>
    <w:p w14:paraId="2C18A3F2">
      <w:pPr>
        <w:pStyle w:val="56"/>
        <w:spacing w:line="360" w:lineRule="auto"/>
        <w:ind w:firstLine="420"/>
        <w:sectPr>
          <w:headerReference r:id="rId23" w:type="default"/>
          <w:footerReference r:id="rId25" w:type="default"/>
          <w:headerReference r:id="rId24" w:type="even"/>
          <w:footerReference r:id="rId26" w:type="even"/>
          <w:pgSz w:w="11906" w:h="16838"/>
          <w:pgMar w:top="1928" w:right="1134" w:bottom="1134" w:left="1134" w:header="1418" w:footer="1134" w:gutter="284"/>
          <w:pgNumType w:start="1"/>
          <w:cols w:space="425" w:num="1"/>
          <w:formProt w:val="0"/>
          <w:docGrid w:linePitch="312" w:charSpace="0"/>
        </w:sectPr>
      </w:pPr>
    </w:p>
    <w:bookmarkEnd w:id="23"/>
    <w:p w14:paraId="187909E0">
      <w:pPr>
        <w:pStyle w:val="198"/>
      </w:pPr>
      <w:bookmarkStart w:id="52" w:name="BookMark5"/>
    </w:p>
    <w:p w14:paraId="713607C1">
      <w:pPr>
        <w:pStyle w:val="199"/>
      </w:pPr>
    </w:p>
    <w:p w14:paraId="0E32CDD7">
      <w:pPr>
        <w:pStyle w:val="76"/>
        <w:spacing w:after="120" w:line="360" w:lineRule="auto"/>
      </w:pPr>
      <w:r>
        <w:br w:type="textWrapping"/>
      </w:r>
      <w:bookmarkStart w:id="53" w:name="_Toc192598251"/>
      <w:r>
        <w:rPr>
          <w:rFonts w:hint="eastAsia"/>
        </w:rPr>
        <w:t>（规范性）</w:t>
      </w:r>
      <w:r>
        <w:br w:type="textWrapping"/>
      </w:r>
      <w:r>
        <w:rPr>
          <w:rFonts w:hint="eastAsia"/>
        </w:rPr>
        <w:t>相关检测方法与分级标准</w:t>
      </w:r>
      <w:bookmarkEnd w:id="53"/>
    </w:p>
    <w:p w14:paraId="44459D3F">
      <w:pPr>
        <w:pStyle w:val="78"/>
        <w:spacing w:before="120" w:after="120" w:line="360" w:lineRule="auto"/>
      </w:pPr>
      <w:r>
        <w:rPr>
          <w:rFonts w:hint="eastAsia"/>
        </w:rPr>
        <w:t>混凝土结构碳化深度检测方法</w:t>
      </w:r>
    </w:p>
    <w:p w14:paraId="3DAE4078">
      <w:pPr>
        <w:pStyle w:val="56"/>
        <w:spacing w:line="360" w:lineRule="auto"/>
        <w:ind w:firstLine="420"/>
      </w:pPr>
      <w:r>
        <w:rPr>
          <w:rFonts w:hint="eastAsia"/>
        </w:rPr>
        <w:t>酚酞试剂法：在混凝土表面钻孔至钢筋，喷洒1%酚酞溶液，测量未碳化区（呈红色）深度。</w:t>
      </w:r>
    </w:p>
    <w:p w14:paraId="5C9A4E03">
      <w:pPr>
        <w:pStyle w:val="56"/>
        <w:spacing w:line="360" w:lineRule="auto"/>
        <w:ind w:firstLine="420"/>
      </w:pPr>
      <w:r>
        <w:rPr>
          <w:rFonts w:hint="eastAsia"/>
        </w:rPr>
        <w:t>允许偏差：单点检测误差≤0.5mm，整体均值误差≤10%。</w:t>
      </w:r>
    </w:p>
    <w:p w14:paraId="3C1E49B8">
      <w:pPr>
        <w:pStyle w:val="78"/>
        <w:spacing w:before="120" w:after="120" w:line="360" w:lineRule="auto"/>
      </w:pPr>
      <w:r>
        <w:rPr>
          <w:rFonts w:hint="eastAsia"/>
        </w:rPr>
        <w:t>钢结构焊缝缺陷分级标准见表A</w:t>
      </w:r>
      <w:r>
        <w:t>.1</w:t>
      </w:r>
    </w:p>
    <w:p w14:paraId="3E70D880">
      <w:pPr>
        <w:pStyle w:val="56"/>
        <w:spacing w:line="360" w:lineRule="auto"/>
        <w:ind w:firstLine="0" w:firstLineChars="0"/>
        <w:jc w:val="center"/>
        <w:rPr>
          <w:rFonts w:ascii="黑体" w:hAnsi="黑体" w:eastAsia="黑体"/>
        </w:rPr>
      </w:pPr>
      <w:r>
        <w:rPr>
          <w:rFonts w:hint="eastAsia" w:ascii="黑体" w:hAnsi="黑体" w:eastAsia="黑体"/>
        </w:rPr>
        <w:t>表A</w:t>
      </w:r>
      <w:r>
        <w:rPr>
          <w:rFonts w:ascii="黑体" w:hAnsi="黑体" w:eastAsia="黑体"/>
        </w:rPr>
        <w:t xml:space="preserve">.1 </w:t>
      </w:r>
      <w:r>
        <w:rPr>
          <w:rFonts w:hint="eastAsia" w:ascii="黑体" w:hAnsi="黑体" w:eastAsia="黑体"/>
        </w:rPr>
        <w:t>钢结构焊缝缺陷分级标准</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3110"/>
        <w:gridCol w:w="3112"/>
        <w:gridCol w:w="3112"/>
      </w:tblGrid>
      <w:tr w14:paraId="73A402D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3110" w:type="dxa"/>
            <w:tcBorders>
              <w:top w:val="single" w:color="auto" w:sz="8" w:space="0"/>
              <w:bottom w:val="single" w:color="auto" w:sz="8" w:space="0"/>
            </w:tcBorders>
            <w:shd w:val="clear" w:color="auto" w:fill="auto"/>
            <w:vAlign w:val="center"/>
          </w:tcPr>
          <w:p w14:paraId="3199B817">
            <w:pPr>
              <w:pStyle w:val="178"/>
            </w:pPr>
            <w:r>
              <w:rPr>
                <w:rFonts w:hint="eastAsia"/>
              </w:rPr>
              <w:t>缺陷类型</w:t>
            </w:r>
          </w:p>
        </w:tc>
        <w:tc>
          <w:tcPr>
            <w:tcW w:w="3112" w:type="dxa"/>
            <w:tcBorders>
              <w:top w:val="single" w:color="auto" w:sz="8" w:space="0"/>
              <w:bottom w:val="single" w:color="auto" w:sz="8" w:space="0"/>
            </w:tcBorders>
            <w:shd w:val="clear" w:color="auto" w:fill="auto"/>
            <w:vAlign w:val="center"/>
          </w:tcPr>
          <w:p w14:paraId="71382949">
            <w:pPr>
              <w:pStyle w:val="178"/>
            </w:pPr>
            <w:r>
              <w:rPr>
                <w:rFonts w:hint="eastAsia"/>
              </w:rPr>
              <w:t>允许长度（mm）</w:t>
            </w:r>
          </w:p>
        </w:tc>
        <w:tc>
          <w:tcPr>
            <w:tcW w:w="3112" w:type="dxa"/>
            <w:tcBorders>
              <w:top w:val="single" w:color="auto" w:sz="8" w:space="0"/>
              <w:bottom w:val="single" w:color="auto" w:sz="8" w:space="0"/>
            </w:tcBorders>
            <w:shd w:val="clear" w:color="auto" w:fill="auto"/>
            <w:vAlign w:val="center"/>
          </w:tcPr>
          <w:p w14:paraId="1294DB0B">
            <w:pPr>
              <w:pStyle w:val="178"/>
            </w:pPr>
            <w:r>
              <w:rPr>
                <w:rFonts w:hint="eastAsia"/>
              </w:rPr>
              <w:t>允许深度（mm）</w:t>
            </w:r>
          </w:p>
        </w:tc>
      </w:tr>
      <w:tr w14:paraId="19059E0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10" w:type="dxa"/>
            <w:tcBorders>
              <w:top w:val="single" w:color="auto" w:sz="8" w:space="0"/>
            </w:tcBorders>
            <w:shd w:val="clear" w:color="auto" w:fill="auto"/>
            <w:vAlign w:val="center"/>
          </w:tcPr>
          <w:p w14:paraId="760E0E1A">
            <w:pPr>
              <w:pStyle w:val="178"/>
            </w:pPr>
            <w:r>
              <w:rPr>
                <w:rFonts w:hint="eastAsia"/>
              </w:rPr>
              <w:t>裂纹</w:t>
            </w:r>
          </w:p>
        </w:tc>
        <w:tc>
          <w:tcPr>
            <w:tcW w:w="3112" w:type="dxa"/>
            <w:tcBorders>
              <w:top w:val="single" w:color="auto" w:sz="8" w:space="0"/>
            </w:tcBorders>
            <w:shd w:val="clear" w:color="auto" w:fill="auto"/>
            <w:vAlign w:val="center"/>
          </w:tcPr>
          <w:p w14:paraId="1440028B">
            <w:pPr>
              <w:pStyle w:val="178"/>
            </w:pPr>
            <w:r>
              <w:rPr>
                <w:rFonts w:hint="eastAsia"/>
              </w:rPr>
              <w:t>0</w:t>
            </w:r>
          </w:p>
        </w:tc>
        <w:tc>
          <w:tcPr>
            <w:tcW w:w="3112" w:type="dxa"/>
            <w:tcBorders>
              <w:top w:val="single" w:color="auto" w:sz="8" w:space="0"/>
            </w:tcBorders>
            <w:shd w:val="clear" w:color="auto" w:fill="auto"/>
            <w:vAlign w:val="center"/>
          </w:tcPr>
          <w:p w14:paraId="76AE5527">
            <w:pPr>
              <w:pStyle w:val="178"/>
            </w:pPr>
            <w:r>
              <w:rPr>
                <w:rFonts w:hint="eastAsia"/>
              </w:rPr>
              <w:t>0</w:t>
            </w:r>
          </w:p>
        </w:tc>
      </w:tr>
      <w:tr w14:paraId="323B6CF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10" w:type="dxa"/>
            <w:shd w:val="clear" w:color="auto" w:fill="auto"/>
            <w:vAlign w:val="center"/>
          </w:tcPr>
          <w:p w14:paraId="078C128B">
            <w:pPr>
              <w:pStyle w:val="178"/>
            </w:pPr>
            <w:r>
              <w:rPr>
                <w:rFonts w:hint="eastAsia"/>
              </w:rPr>
              <w:t>未熔合</w:t>
            </w:r>
          </w:p>
        </w:tc>
        <w:tc>
          <w:tcPr>
            <w:tcW w:w="3112" w:type="dxa"/>
            <w:shd w:val="clear" w:color="auto" w:fill="auto"/>
            <w:vAlign w:val="center"/>
          </w:tcPr>
          <w:p w14:paraId="23B0011D">
            <w:pPr>
              <w:pStyle w:val="178"/>
            </w:pPr>
            <w:r>
              <w:rPr>
                <w:rFonts w:hint="eastAsia"/>
              </w:rPr>
              <w:t>≤10</w:t>
            </w:r>
          </w:p>
        </w:tc>
        <w:tc>
          <w:tcPr>
            <w:tcW w:w="3112" w:type="dxa"/>
            <w:shd w:val="clear" w:color="auto" w:fill="auto"/>
            <w:vAlign w:val="center"/>
          </w:tcPr>
          <w:p w14:paraId="32278C3A">
            <w:pPr>
              <w:pStyle w:val="178"/>
            </w:pPr>
            <w:r>
              <w:rPr>
                <w:rFonts w:hint="eastAsia"/>
              </w:rPr>
              <w:t>≤1.5</w:t>
            </w:r>
          </w:p>
        </w:tc>
      </w:tr>
      <w:bookmarkEnd w:id="52"/>
    </w:tbl>
    <w:p w14:paraId="0B31D380">
      <w:pPr>
        <w:pStyle w:val="56"/>
        <w:ind w:firstLine="0" w:firstLineChars="0"/>
        <w:jc w:val="center"/>
      </w:pPr>
      <w:bookmarkStart w:id="54" w:name="BookMark8"/>
      <w:r>
        <w:drawing>
          <wp:inline distT="0" distB="0" distL="0" distR="0">
            <wp:extent cx="1485900" cy="317500"/>
            <wp:effectExtent l="0" t="0" r="0" b="6350"/>
            <wp:docPr id="1861459315" name="图片 5"/>
            <wp:cNvGraphicFramePr/>
            <a:graphic xmlns:a="http://schemas.openxmlformats.org/drawingml/2006/main">
              <a:graphicData uri="http://schemas.openxmlformats.org/drawingml/2006/picture">
                <pic:pic xmlns:pic="http://schemas.openxmlformats.org/drawingml/2006/picture">
                  <pic:nvPicPr>
                    <pic:cNvPr id="1861459315" name="图片 5"/>
                    <pic:cNvPicPr/>
                  </pic:nvPicPr>
                  <pic:blipFill>
                    <a:blip r:embed="rId32">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54"/>
    </w:p>
    <w:sectPr>
      <w:headerReference r:id="rId27" w:type="default"/>
      <w:footerReference r:id="rId29" w:type="default"/>
      <w:headerReference r:id="rId28" w:type="even"/>
      <w:footerReference r:id="rId30" w:type="even"/>
      <w:pgSz w:w="11906" w:h="16838"/>
      <w:pgMar w:top="1928" w:right="1134" w:bottom="1134" w:left="1134" w:header="1418" w:footer="1134" w:gutter="284"/>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22ADC8">
    <w:pPr>
      <w:pStyle w:val="17"/>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5638B8">
    <w:pPr>
      <w:pStyle w:val="52"/>
    </w:pPr>
    <w:r>
      <w:fldChar w:fldCharType="begin"/>
    </w:r>
    <w:r>
      <w:instrText xml:space="preserve">PAGE   \* MERGEFORMAT</w:instrText>
    </w:r>
    <w:r>
      <w:fldChar w:fldCharType="separate"/>
    </w:r>
    <w:r>
      <w:rPr>
        <w:lang w:val="zh-CN"/>
      </w:rPr>
      <w:t>1</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5FF984">
    <w:pPr>
      <w:pStyle w:val="51"/>
    </w:pPr>
    <w:r>
      <w:fldChar w:fldCharType="begin"/>
    </w:r>
    <w:r>
      <w:instrText xml:space="preserve"> PAGE   \* MERGEFORMAT \* MERGEFORMAT </w:instrText>
    </w:r>
    <w:r>
      <w:fldChar w:fldCharType="separate"/>
    </w:r>
    <w:r>
      <w:t>2</w:t>
    </w:r>
    <w: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8ABF23">
    <w:pPr>
      <w:pStyle w:val="52"/>
    </w:pPr>
    <w:r>
      <w:fldChar w:fldCharType="begin"/>
    </w:r>
    <w:r>
      <w:instrText xml:space="preserve">PAGE   \* MERGEFORMAT</w:instrText>
    </w:r>
    <w:r>
      <w:fldChar w:fldCharType="separate"/>
    </w:r>
    <w:r>
      <w:rPr>
        <w:lang w:val="zh-CN"/>
      </w:rPr>
      <w:t>1</w:t>
    </w:r>
    <w: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73207D">
    <w:pPr>
      <w:pStyle w:val="51"/>
    </w:pPr>
    <w:r>
      <w:fldChar w:fldCharType="begin"/>
    </w:r>
    <w:r>
      <w:instrText xml:space="preserve"> PAGE   \* MERGEFORMAT \* MERGEFORMAT </w:instrText>
    </w:r>
    <w:r>
      <w:fldChar w:fldCharType="separate"/>
    </w:r>
    <w: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6D65D0">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7D7450">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BB88D9">
    <w:pPr>
      <w:pStyle w:val="52"/>
    </w:pPr>
    <w:r>
      <w:fldChar w:fldCharType="begin"/>
    </w:r>
    <w:r>
      <w:instrText xml:space="preserve">PAGE   \* MERGEFORMAT</w:instrText>
    </w:r>
    <w:r>
      <w:fldChar w:fldCharType="separate"/>
    </w:r>
    <w:r>
      <w:rPr>
        <w:lang w:val="zh-CN"/>
      </w:rP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594809">
    <w:pPr>
      <w:pStyle w:val="51"/>
    </w:pPr>
    <w:r>
      <w:fldChar w:fldCharType="begin"/>
    </w:r>
    <w:r>
      <w:instrText xml:space="preserve"> PAGE   \* MERGEFORMAT \* MERGEFORMAT </w:instrText>
    </w:r>
    <w:r>
      <w:fldChar w:fldCharType="separate"/>
    </w:r>
    <w:r>
      <w:t>II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B05D99">
    <w:pPr>
      <w:pStyle w:val="52"/>
    </w:pPr>
    <w:r>
      <w:fldChar w:fldCharType="begin"/>
    </w:r>
    <w:r>
      <w:instrText xml:space="preserve">PAGE   \* MERGEFORMAT</w:instrText>
    </w:r>
    <w:r>
      <w:fldChar w:fldCharType="separate"/>
    </w:r>
    <w:r>
      <w:rPr>
        <w:lang w:val="zh-CN"/>
      </w:rPr>
      <w:t>1</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2A43B4">
    <w:pPr>
      <w:pStyle w:val="51"/>
    </w:pPr>
    <w:r>
      <w:fldChar w:fldCharType="begin"/>
    </w:r>
    <w:r>
      <w:instrText xml:space="preserve"> PAGE   \* MERGEFORMAT \* MERGEFORMAT </w:instrText>
    </w:r>
    <w:r>
      <w:fldChar w:fldCharType="separate"/>
    </w:r>
    <w:r>
      <w:t>I</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74F54E">
    <w:pPr>
      <w:pStyle w:val="52"/>
    </w:pPr>
    <w:r>
      <w:fldChar w:fldCharType="begin"/>
    </w:r>
    <w:r>
      <w:instrText xml:space="preserve">PAGE   \* MERGEFORMAT</w:instrText>
    </w:r>
    <w:r>
      <w:fldChar w:fldCharType="separate"/>
    </w:r>
    <w:r>
      <w:rPr>
        <w:lang w:val="zh-CN"/>
      </w:rPr>
      <w:t>1</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5ABFB8">
    <w:pPr>
      <w:pStyle w:val="51"/>
    </w:pPr>
    <w:r>
      <w:fldChar w:fldCharType="begin"/>
    </w:r>
    <w:r>
      <w:instrText xml:space="preserve"> PAGE   \* MERGEFORMAT \* MERGEFORMAT </w:instrText>
    </w:r>
    <w:r>
      <w:fldChar w:fldCharType="separate"/>
    </w:r>
    <w: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701D02">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41C6CF">
    <w:pPr>
      <w:pStyle w:val="61"/>
    </w:pPr>
    <w:r>
      <w:fldChar w:fldCharType="begin"/>
    </w:r>
    <w:r>
      <w:instrText xml:space="preserve"> STYLEREF  标准文件_文件编号  \* MERGEFORMAT </w:instrText>
    </w:r>
    <w:r>
      <w:fldChar w:fldCharType="separate"/>
    </w:r>
    <w:r>
      <w:t>T/XZBX 0005—2025</w:t>
    </w:r>
    <w: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6ADC3F">
    <w:pPr>
      <w:pStyle w:val="62"/>
    </w:pPr>
    <w:r>
      <w:fldChar w:fldCharType="begin"/>
    </w:r>
    <w:r>
      <w:instrText xml:space="preserve"> STYLEREF  标准文件_文件编号 \* MERGEFORMAT </w:instrText>
    </w:r>
    <w:r>
      <w:fldChar w:fldCharType="separate"/>
    </w:r>
    <w:r>
      <w:t>T/XZBX 0005—2025</w:t>
    </w:r>
    <w: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42607A">
    <w:pPr>
      <w:pStyle w:val="61"/>
    </w:pPr>
    <w:r>
      <w:fldChar w:fldCharType="begin"/>
    </w:r>
    <w:r>
      <w:instrText xml:space="preserve"> STYLEREF  标准文件_文件编号  \* MERGEFORMAT </w:instrText>
    </w:r>
    <w:r>
      <w:fldChar w:fldCharType="separate"/>
    </w:r>
    <w:r>
      <w:t>T/XZBX 0005—2025</w:t>
    </w:r>
    <w: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124A56">
    <w:pPr>
      <w:pStyle w:val="62"/>
    </w:pPr>
    <w:r>
      <w:fldChar w:fldCharType="begin"/>
    </w:r>
    <w:r>
      <w:instrText xml:space="preserve"> STYLEREF  标准文件_文件编号 \* MERGEFORMAT </w:instrText>
    </w:r>
    <w:r>
      <w:fldChar w:fldCharType="separate"/>
    </w:r>
    <w:r>
      <w:t>T/XZBX 0005—2025</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538230">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F2E8EC">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E9B27B">
    <w:pPr>
      <w:pStyle w:val="61"/>
    </w:pPr>
    <w:r>
      <w:fldChar w:fldCharType="begin"/>
    </w:r>
    <w:r>
      <w:instrText xml:space="preserve"> STYLEREF  标准文件_文件编号  \* MERGEFORMAT </w:instrText>
    </w:r>
    <w:r>
      <w:fldChar w:fldCharType="separate"/>
    </w:r>
    <w:r>
      <w:t>T/XZBX 0005—2025</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3C5DA4">
    <w:pPr>
      <w:pStyle w:val="62"/>
    </w:pPr>
    <w:r>
      <w:fldChar w:fldCharType="begin"/>
    </w:r>
    <w:r>
      <w:instrText xml:space="preserve"> STYLEREF  标准文件_文件编号 \* MERGEFORMAT </w:instrText>
    </w:r>
    <w:r>
      <w:fldChar w:fldCharType="separate"/>
    </w:r>
    <w:r>
      <w:t>T/XZBX 0005—2025</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3D0678">
    <w:pPr>
      <w:pStyle w:val="61"/>
    </w:pPr>
    <w:r>
      <w:fldChar w:fldCharType="begin"/>
    </w:r>
    <w:r>
      <w:instrText xml:space="preserve"> STYLEREF  标准文件_文件编号  \* MERGEFORMAT </w:instrText>
    </w:r>
    <w:r>
      <w:fldChar w:fldCharType="separate"/>
    </w:r>
    <w:r>
      <w:t>T/XZBX 0005—2025</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449692">
    <w:pPr>
      <w:pStyle w:val="62"/>
    </w:pPr>
    <w:r>
      <w:fldChar w:fldCharType="begin"/>
    </w:r>
    <w:r>
      <w:instrText xml:space="preserve"> STYLEREF  标准文件_文件编号 \* MERGEFORMAT </w:instrText>
    </w:r>
    <w:r>
      <w:fldChar w:fldCharType="separate"/>
    </w:r>
    <w:r>
      <w:t>T/XZBX 0005—2025</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93DE37">
    <w:pPr>
      <w:pStyle w:val="61"/>
    </w:pPr>
    <w:r>
      <w:fldChar w:fldCharType="begin"/>
    </w:r>
    <w:r>
      <w:instrText xml:space="preserve"> STYLEREF  标准文件_文件编号  \* MERGEFORMAT </w:instrText>
    </w:r>
    <w:r>
      <w:fldChar w:fldCharType="separate"/>
    </w:r>
    <w:r>
      <w:t>T/XZBX 0005—2025</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316ACB">
    <w:pPr>
      <w:pStyle w:val="62"/>
    </w:pPr>
    <w:r>
      <w:fldChar w:fldCharType="begin"/>
    </w:r>
    <w:r>
      <w:instrText xml:space="preserve"> STYLEREF  标准文件_文件编号 \* MERGEFORMAT </w:instrText>
    </w:r>
    <w:r>
      <w:fldChar w:fldCharType="separate"/>
    </w:r>
    <w:r>
      <w:t>T/XZBX 0005—2025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dit="forms" w:enforcement="0"/>
  <w:defaultTabStop w:val="420"/>
  <w:evenAndOddHeaders w:val="1"/>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MDM0sTAwNDEzNDA1sTBX0lEKTi0uzszPAykwqgUAJI/ViywAAAA="/>
  </w:docVars>
  <w:rsids>
    <w:rsidRoot w:val="007E3E32"/>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E7FDA"/>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3741A"/>
    <w:rsid w:val="0044083F"/>
    <w:rsid w:val="00440DFA"/>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282F"/>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61E2"/>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396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E3E32"/>
    <w:rsid w:val="007F0ED8"/>
    <w:rsid w:val="007F0F63"/>
    <w:rsid w:val="007F37FF"/>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42D5"/>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246"/>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BB8"/>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EC46916"/>
    <w:rsid w:val="178E6A34"/>
    <w:rsid w:val="182A28AD"/>
    <w:rsid w:val="4CF44F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autoRedefine/>
    <w:unhideWhenUsed/>
    <w:qFormat/>
    <w:uiPriority w:val="39"/>
    <w:pPr>
      <w:ind w:left="839"/>
    </w:pPr>
    <w:rPr>
      <w:rFonts w:ascii="宋体"/>
    </w:rPr>
  </w:style>
  <w:style w:type="paragraph" w:styleId="15">
    <w:name w:val="toc 3"/>
    <w:basedOn w:val="1"/>
    <w:next w:val="1"/>
    <w:autoRedefine/>
    <w:unhideWhenUsed/>
    <w:qFormat/>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qFormat/>
    <w:uiPriority w:val="39"/>
    <w:rPr>
      <w:rFonts w:ascii="宋体"/>
    </w:rPr>
  </w:style>
  <w:style w:type="paragraph" w:styleId="20">
    <w:name w:val="toc 4"/>
    <w:basedOn w:val="1"/>
    <w:next w:val="1"/>
    <w:autoRedefine/>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autoRedefine/>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字符"/>
    <w:link w:val="2"/>
    <w:qFormat/>
    <w:uiPriority w:val="0"/>
    <w:rPr>
      <w:b/>
      <w:bCs/>
      <w:kern w:val="44"/>
      <w:sz w:val="44"/>
      <w:szCs w:val="44"/>
    </w:rPr>
  </w:style>
  <w:style w:type="character" w:customStyle="1" w:styleId="35">
    <w:name w:val="标题 2 字符"/>
    <w:link w:val="3"/>
    <w:qFormat/>
    <w:uiPriority w:val="0"/>
    <w:rPr>
      <w:rFonts w:ascii="Arial" w:hAnsi="Arial" w:eastAsia="黑体"/>
      <w:b/>
      <w:bCs/>
      <w:kern w:val="2"/>
      <w:sz w:val="32"/>
      <w:szCs w:val="32"/>
    </w:rPr>
  </w:style>
  <w:style w:type="character" w:customStyle="1" w:styleId="36">
    <w:name w:val="标题 3 字符"/>
    <w:link w:val="4"/>
    <w:qFormat/>
    <w:uiPriority w:val="0"/>
    <w:rPr>
      <w:b/>
      <w:bCs/>
      <w:kern w:val="2"/>
      <w:sz w:val="32"/>
      <w:szCs w:val="32"/>
    </w:rPr>
  </w:style>
  <w:style w:type="character" w:customStyle="1" w:styleId="37">
    <w:name w:val="标题 4 字符"/>
    <w:link w:val="5"/>
    <w:qFormat/>
    <w:uiPriority w:val="0"/>
    <w:rPr>
      <w:rFonts w:ascii="Arial" w:hAnsi="Arial" w:eastAsia="黑体"/>
      <w:b/>
      <w:bCs/>
      <w:kern w:val="2"/>
      <w:sz w:val="28"/>
      <w:szCs w:val="28"/>
    </w:rPr>
  </w:style>
  <w:style w:type="character" w:customStyle="1" w:styleId="38">
    <w:name w:val="标题 5 字符"/>
    <w:link w:val="6"/>
    <w:uiPriority w:val="0"/>
    <w:rPr>
      <w:b/>
      <w:bCs/>
      <w:kern w:val="2"/>
      <w:sz w:val="28"/>
      <w:szCs w:val="28"/>
    </w:rPr>
  </w:style>
  <w:style w:type="character" w:customStyle="1" w:styleId="39">
    <w:name w:val="标题 6 字符"/>
    <w:link w:val="7"/>
    <w:uiPriority w:val="0"/>
    <w:rPr>
      <w:rFonts w:ascii="Arial" w:hAnsi="Arial" w:eastAsia="黑体"/>
      <w:b/>
      <w:bCs/>
      <w:kern w:val="2"/>
      <w:sz w:val="24"/>
      <w:szCs w:val="24"/>
    </w:rPr>
  </w:style>
  <w:style w:type="character" w:customStyle="1" w:styleId="40">
    <w:name w:val="标题 7 字符"/>
    <w:link w:val="8"/>
    <w:qFormat/>
    <w:uiPriority w:val="0"/>
    <w:rPr>
      <w:b/>
      <w:bCs/>
      <w:kern w:val="2"/>
      <w:sz w:val="24"/>
      <w:szCs w:val="24"/>
    </w:rPr>
  </w:style>
  <w:style w:type="character" w:customStyle="1" w:styleId="41">
    <w:name w:val="标题 8 字符"/>
    <w:link w:val="9"/>
    <w:qFormat/>
    <w:uiPriority w:val="0"/>
    <w:rPr>
      <w:rFonts w:ascii="Arial" w:hAnsi="Arial" w:eastAsia="黑体"/>
      <w:kern w:val="2"/>
      <w:sz w:val="24"/>
      <w:szCs w:val="24"/>
    </w:rPr>
  </w:style>
  <w:style w:type="character" w:customStyle="1" w:styleId="42">
    <w:name w:val="标题 9 字符"/>
    <w:link w:val="10"/>
    <w:qFormat/>
    <w:uiPriority w:val="0"/>
    <w:rPr>
      <w:rFonts w:ascii="Arial" w:hAnsi="Arial" w:eastAsia="黑体"/>
      <w:kern w:val="2"/>
      <w:sz w:val="21"/>
      <w:szCs w:val="21"/>
    </w:rPr>
  </w:style>
  <w:style w:type="character" w:customStyle="1" w:styleId="43">
    <w:name w:val="页眉 字符"/>
    <w:link w:val="18"/>
    <w:qFormat/>
    <w:uiPriority w:val="99"/>
    <w:rPr>
      <w:kern w:val="2"/>
      <w:sz w:val="18"/>
      <w:szCs w:val="18"/>
    </w:rPr>
  </w:style>
  <w:style w:type="character" w:customStyle="1" w:styleId="44">
    <w:name w:val="页脚 字符"/>
    <w:link w:val="17"/>
    <w:qFormat/>
    <w:uiPriority w:val="99"/>
    <w:rPr>
      <w:rFonts w:ascii="宋体"/>
      <w:kern w:val="2"/>
      <w:sz w:val="18"/>
      <w:szCs w:val="18"/>
    </w:rPr>
  </w:style>
  <w:style w:type="character" w:customStyle="1" w:styleId="45">
    <w:name w:val="批注框文本 字符"/>
    <w:link w:val="16"/>
    <w:semiHidden/>
    <w:qFormat/>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qFormat/>
    <w:uiPriority w:val="29"/>
    <w:rPr>
      <w:i/>
      <w:iCs/>
      <w:color w:val="000000"/>
      <w:kern w:val="2"/>
      <w:sz w:val="21"/>
      <w:szCs w:val="21"/>
    </w:rPr>
  </w:style>
  <w:style w:type="character" w:customStyle="1" w:styleId="48">
    <w:name w:val="标题 字符"/>
    <w:link w:val="25"/>
    <w:qFormat/>
    <w:uiPriority w:val="0"/>
    <w:rPr>
      <w:rFonts w:ascii="Arial" w:hAnsi="Arial" w:cs="Arial"/>
      <w:b/>
      <w:bCs/>
      <w:kern w:val="2"/>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uiPriority w:val="0"/>
    <w:pPr>
      <w:jc w:val="center"/>
    </w:pPr>
    <w:rPr>
      <w:rFonts w:ascii="黑体" w:eastAsia="黑体"/>
      <w:kern w:val="0"/>
      <w:sz w:val="44"/>
    </w:rPr>
  </w:style>
  <w:style w:type="paragraph" w:customStyle="1" w:styleId="59">
    <w:name w:val="标准文件_标准代替"/>
    <w:basedOn w:val="1"/>
    <w:next w:val="1"/>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uiPriority w:val="0"/>
    <w:rPr>
      <w:rFonts w:ascii="黑体" w:eastAsia="黑体"/>
      <w:b/>
      <w:kern w:val="0"/>
      <w:sz w:val="28"/>
    </w:rPr>
  </w:style>
  <w:style w:type="paragraph" w:customStyle="1" w:styleId="70">
    <w:name w:val="标准文件_封面标准名称"/>
    <w:basedOn w:val="1"/>
    <w:uiPriority w:val="0"/>
    <w:pPr>
      <w:spacing w:line="240" w:lineRule="auto"/>
      <w:jc w:val="center"/>
    </w:pPr>
    <w:rPr>
      <w:rFonts w:ascii="黑体" w:eastAsia="黑体"/>
      <w:kern w:val="0"/>
      <w:sz w:val="52"/>
    </w:rPr>
  </w:style>
  <w:style w:type="paragraph" w:customStyle="1" w:styleId="71">
    <w:name w:val="标准文件_封面标准英文名称"/>
    <w:basedOn w:val="1"/>
    <w:uiPriority w:val="0"/>
    <w:pPr>
      <w:spacing w:line="240" w:lineRule="auto"/>
      <w:jc w:val="center"/>
    </w:pPr>
    <w:rPr>
      <w:rFonts w:ascii="黑体" w:eastAsia="黑体"/>
      <w:b/>
      <w:sz w:val="28"/>
    </w:rPr>
  </w:style>
  <w:style w:type="paragraph" w:customStyle="1" w:styleId="72">
    <w:name w:val="标准文件_封面发布日期"/>
    <w:basedOn w:val="1"/>
    <w:uiPriority w:val="0"/>
    <w:pPr>
      <w:spacing w:line="310" w:lineRule="exact"/>
    </w:pPr>
    <w:rPr>
      <w:rFonts w:ascii="黑体" w:eastAsia="黑体"/>
      <w:kern w:val="0"/>
      <w:sz w:val="28"/>
    </w:rPr>
  </w:style>
  <w:style w:type="paragraph" w:customStyle="1" w:styleId="73">
    <w:name w:val="标准文件_封面密级"/>
    <w:basedOn w:val="1"/>
    <w:uiPriority w:val="0"/>
    <w:rPr>
      <w:rFonts w:eastAsia="黑体"/>
      <w:sz w:val="32"/>
    </w:rPr>
  </w:style>
  <w:style w:type="paragraph" w:customStyle="1" w:styleId="74">
    <w:name w:val="标准文件_封面实施日期"/>
    <w:basedOn w:val="1"/>
    <w:uiPriority w:val="0"/>
    <w:pPr>
      <w:spacing w:line="310" w:lineRule="exact"/>
      <w:jc w:val="right"/>
    </w:pPr>
    <w:rPr>
      <w:rFonts w:ascii="黑体" w:eastAsia="黑体"/>
      <w:sz w:val="28"/>
    </w:rPr>
  </w:style>
  <w:style w:type="paragraph" w:customStyle="1" w:styleId="75">
    <w:name w:val="标准文件_封面抬头"/>
    <w:basedOn w:val="56"/>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uiPriority w:val="0"/>
    <w:rPr>
      <w:kern w:val="2"/>
      <w:sz w:val="21"/>
      <w:szCs w:val="21"/>
    </w:rPr>
  </w:style>
  <w:style w:type="paragraph" w:customStyle="1" w:styleId="87">
    <w:name w:val="标准文件_附录章标题"/>
    <w:next w:val="56"/>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uiPriority w:val="0"/>
    <w:pPr>
      <w:ind w:left="488" w:leftChars="200" w:hanging="289" w:hangingChars="290"/>
    </w:pPr>
  </w:style>
  <w:style w:type="paragraph" w:customStyle="1" w:styleId="89">
    <w:name w:val="标准文件_前言、引言标题"/>
    <w:next w:val="1"/>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uiPriority w:val="0"/>
    <w:pPr>
      <w:spacing w:line="460" w:lineRule="exact"/>
      <w:ind w:left="0" w:firstLine="0"/>
    </w:pPr>
  </w:style>
  <w:style w:type="paragraph" w:customStyle="1" w:styleId="91">
    <w:name w:val="标准文件_目录标题"/>
    <w:basedOn w:val="1"/>
    <w:uiPriority w:val="0"/>
    <w:pPr>
      <w:spacing w:before="480" w:after="150" w:afterLines="150" w:line="240" w:lineRule="auto"/>
      <w:jc w:val="center"/>
    </w:pPr>
    <w:rPr>
      <w:rFonts w:ascii="黑体" w:eastAsia="黑体"/>
      <w:sz w:val="32"/>
    </w:rPr>
  </w:style>
  <w:style w:type="paragraph" w:customStyle="1" w:styleId="92">
    <w:name w:val="标准文件_破折号列项"/>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uiPriority w:val="0"/>
    <w:pPr>
      <w:numPr>
        <w:numId w:val="10"/>
      </w:numPr>
    </w:pPr>
  </w:style>
  <w:style w:type="paragraph" w:customStyle="1" w:styleId="94">
    <w:name w:val="标准文件_三级条标题"/>
    <w:basedOn w:val="65"/>
    <w:next w:val="56"/>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uiPriority w:val="0"/>
    <w:pPr>
      <w:adjustRightInd/>
      <w:spacing w:line="240" w:lineRule="auto"/>
      <w:ind w:firstLine="200" w:firstLineChars="200"/>
    </w:pPr>
    <w:rPr>
      <w:sz w:val="18"/>
      <w:szCs w:val="24"/>
    </w:rPr>
  </w:style>
  <w:style w:type="paragraph" w:customStyle="1" w:styleId="97">
    <w:name w:val="标准文件_数字编号列项"/>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uiPriority w:val="0"/>
    <w:rPr>
      <w:rFonts w:ascii="宋体"/>
      <w:kern w:val="2"/>
      <w:sz w:val="18"/>
      <w:szCs w:val="18"/>
    </w:rPr>
  </w:style>
  <w:style w:type="paragraph" w:customStyle="1" w:styleId="100">
    <w:name w:val="标准文件_条文脚注"/>
    <w:basedOn w:val="21"/>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uiPriority w:val="0"/>
    <w:pPr>
      <w:numPr>
        <w:ilvl w:val="0"/>
        <w:numId w:val="12"/>
      </w:numPr>
      <w:spacing w:line="240" w:lineRule="auto"/>
      <w:jc w:val="left"/>
    </w:pPr>
    <w:rPr>
      <w:rFonts w:ascii="宋体" w:hAnsi="宋体"/>
      <w:sz w:val="18"/>
    </w:rPr>
  </w:style>
  <w:style w:type="character" w:customStyle="1" w:styleId="102">
    <w:name w:val="标准文件_图表脚注内容"/>
    <w:uiPriority w:val="0"/>
    <w:rPr>
      <w:rFonts w:ascii="宋体" w:hAnsi="宋体" w:eastAsia="宋体" w:cs="Times New Roman"/>
      <w:spacing w:val="0"/>
      <w:sz w:val="18"/>
      <w:vertAlign w:val="superscript"/>
    </w:rPr>
  </w:style>
  <w:style w:type="paragraph" w:customStyle="1" w:styleId="103">
    <w:name w:val="标准文件_五级条标题"/>
    <w:next w:val="56"/>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uiPriority w:val="0"/>
    <w:pPr>
      <w:numPr>
        <w:ilvl w:val="2"/>
      </w:numPr>
      <w:spacing w:before="50" w:beforeLines="50" w:after="50" w:afterLines="50"/>
      <w:outlineLvl w:val="1"/>
    </w:pPr>
  </w:style>
  <w:style w:type="paragraph" w:customStyle="1" w:styleId="106">
    <w:name w:val="标准文件_一致程度"/>
    <w:basedOn w:val="1"/>
    <w:uiPriority w:val="0"/>
    <w:pPr>
      <w:spacing w:line="440" w:lineRule="exact"/>
      <w:jc w:val="center"/>
    </w:pPr>
    <w:rPr>
      <w:sz w:val="28"/>
    </w:rPr>
  </w:style>
  <w:style w:type="paragraph" w:customStyle="1" w:styleId="107">
    <w:name w:val="标准文件_引言标题"/>
    <w:next w:val="1"/>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uiPriority w:val="0"/>
    <w:pPr>
      <w:numPr>
        <w:ilvl w:val="3"/>
        <w:numId w:val="20"/>
      </w:numPr>
      <w:adjustRightInd/>
      <w:spacing w:line="240" w:lineRule="auto"/>
    </w:pPr>
    <w:rPr>
      <w:rFonts w:ascii="宋体" w:hAnsi="宋体"/>
      <w:szCs w:val="24"/>
    </w:rPr>
  </w:style>
  <w:style w:type="paragraph" w:customStyle="1" w:styleId="119">
    <w:name w:val="发布部门"/>
    <w:next w:val="56"/>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uiPriority w:val="0"/>
    <w:pPr>
      <w:outlineLvl w:val="4"/>
    </w:pPr>
  </w:style>
  <w:style w:type="paragraph" w:customStyle="1" w:styleId="130">
    <w:name w:val="附录四级无标题条"/>
    <w:basedOn w:val="129"/>
    <w:next w:val="56"/>
    <w:uiPriority w:val="0"/>
    <w:pPr>
      <w:outlineLvl w:val="5"/>
    </w:pPr>
  </w:style>
  <w:style w:type="paragraph" w:customStyle="1" w:styleId="131">
    <w:name w:val="附录图"/>
    <w:next w:val="56"/>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uiPriority w:val="0"/>
    <w:pPr>
      <w:outlineLvl w:val="6"/>
    </w:pPr>
  </w:style>
  <w:style w:type="paragraph" w:customStyle="1" w:styleId="134">
    <w:name w:val="附录性质"/>
    <w:basedOn w:val="1"/>
    <w:uiPriority w:val="0"/>
    <w:pPr>
      <w:widowControl/>
      <w:adjustRightInd/>
      <w:jc w:val="center"/>
    </w:pPr>
    <w:rPr>
      <w:rFonts w:ascii="黑体" w:eastAsia="黑体"/>
    </w:rPr>
  </w:style>
  <w:style w:type="paragraph" w:customStyle="1" w:styleId="135">
    <w:name w:val="附录一级无标题条"/>
    <w:basedOn w:val="87"/>
    <w:next w:val="56"/>
    <w:uiPriority w:val="0"/>
    <w:pPr>
      <w:autoSpaceDN w:val="0"/>
      <w:outlineLvl w:val="2"/>
    </w:pPr>
    <w:rPr>
      <w:rFonts w:ascii="宋体" w:hAnsi="宋体" w:eastAsia="宋体"/>
    </w:rPr>
  </w:style>
  <w:style w:type="character" w:customStyle="1" w:styleId="136">
    <w:name w:val="个人答复风格"/>
    <w:uiPriority w:val="0"/>
    <w:rPr>
      <w:rFonts w:ascii="Arial" w:hAnsi="Arial" w:eastAsia="宋体" w:cs="Arial"/>
      <w:color w:val="auto"/>
      <w:spacing w:val="0"/>
      <w:sz w:val="20"/>
    </w:rPr>
  </w:style>
  <w:style w:type="character" w:customStyle="1" w:styleId="137">
    <w:name w:val="个人撰写风格"/>
    <w:uiPriority w:val="0"/>
    <w:rPr>
      <w:rFonts w:ascii="Arial" w:hAnsi="Arial" w:eastAsia="宋体" w:cs="Arial"/>
      <w:color w:val="auto"/>
      <w:spacing w:val="0"/>
      <w:sz w:val="20"/>
    </w:rPr>
  </w:style>
  <w:style w:type="paragraph" w:customStyle="1" w:styleId="138">
    <w:name w:val="脚注后续"/>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uiPriority w:val="0"/>
    <w:pPr>
      <w:tabs>
        <w:tab w:val="left" w:pos="840"/>
      </w:tabs>
    </w:pPr>
  </w:style>
  <w:style w:type="paragraph" w:customStyle="1" w:styleId="141">
    <w:name w:val="目次、索引正文"/>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autoRedefine/>
    <w:semiHidden/>
    <w:uiPriority w:val="0"/>
    <w:pPr>
      <w:adjustRightInd/>
      <w:spacing w:line="240" w:lineRule="auto"/>
      <w:jc w:val="left"/>
    </w:pPr>
    <w:rPr>
      <w:bCs/>
      <w:iCs/>
    </w:rPr>
  </w:style>
  <w:style w:type="paragraph" w:customStyle="1" w:styleId="143">
    <w:name w:val="目录 31"/>
    <w:basedOn w:val="1"/>
    <w:next w:val="1"/>
    <w:autoRedefine/>
    <w:semiHidden/>
    <w:uiPriority w:val="0"/>
    <w:pPr>
      <w:spacing w:line="240" w:lineRule="auto"/>
    </w:pPr>
    <w:rPr>
      <w:rFonts w:ascii="宋体" w:hAnsi="宋体"/>
      <w:iCs/>
    </w:rPr>
  </w:style>
  <w:style w:type="paragraph" w:customStyle="1" w:styleId="144">
    <w:name w:val="目录 41"/>
    <w:basedOn w:val="1"/>
    <w:next w:val="1"/>
    <w:autoRedefine/>
    <w:semiHidden/>
    <w:uiPriority w:val="0"/>
    <w:pPr>
      <w:adjustRightInd/>
      <w:spacing w:line="240" w:lineRule="auto"/>
      <w:jc w:val="left"/>
    </w:pPr>
  </w:style>
  <w:style w:type="paragraph" w:customStyle="1" w:styleId="145">
    <w:name w:val="目录 51"/>
    <w:basedOn w:val="1"/>
    <w:next w:val="1"/>
    <w:autoRedefine/>
    <w:semiHidden/>
    <w:uiPriority w:val="0"/>
    <w:pPr>
      <w:spacing w:line="240" w:lineRule="auto"/>
    </w:pPr>
    <w:rPr>
      <w:rFonts w:ascii="宋体" w:hAnsi="宋体"/>
    </w:rPr>
  </w:style>
  <w:style w:type="paragraph" w:customStyle="1" w:styleId="146">
    <w:name w:val="目录 61"/>
    <w:basedOn w:val="1"/>
    <w:next w:val="1"/>
    <w:autoRedefine/>
    <w:semiHidden/>
    <w:uiPriority w:val="0"/>
    <w:pPr>
      <w:adjustRightInd/>
      <w:spacing w:line="240" w:lineRule="auto"/>
      <w:jc w:val="left"/>
    </w:pPr>
  </w:style>
  <w:style w:type="paragraph" w:customStyle="1" w:styleId="147">
    <w:name w:val="目录 71"/>
    <w:basedOn w:val="146"/>
    <w:autoRedefine/>
    <w:semiHidden/>
    <w:uiPriority w:val="0"/>
    <w:pPr>
      <w:ind w:left="1260"/>
    </w:pPr>
  </w:style>
  <w:style w:type="paragraph" w:customStyle="1" w:styleId="148">
    <w:name w:val="目录 81"/>
    <w:basedOn w:val="147"/>
    <w:autoRedefine/>
    <w:semiHidden/>
    <w:uiPriority w:val="0"/>
    <w:pPr>
      <w:ind w:left="1470"/>
    </w:pPr>
  </w:style>
  <w:style w:type="paragraph" w:customStyle="1" w:styleId="149">
    <w:name w:val="目录 91"/>
    <w:basedOn w:val="148"/>
    <w:autoRedefine/>
    <w:semiHidden/>
    <w:uiPriority w:val="0"/>
    <w:pPr>
      <w:ind w:left="1680"/>
    </w:pPr>
  </w:style>
  <w:style w:type="paragraph" w:customStyle="1" w:styleId="150">
    <w:name w:val="其他标准称谓"/>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uiPriority w:val="0"/>
    <w:pPr>
      <w:framePr w:wrap="around"/>
      <w:spacing w:line="0" w:lineRule="atLeast"/>
    </w:pPr>
    <w:rPr>
      <w:rFonts w:ascii="黑体" w:eastAsia="黑体"/>
      <w:b w:val="0"/>
    </w:rPr>
  </w:style>
  <w:style w:type="paragraph" w:customStyle="1" w:styleId="152">
    <w:name w:val="前言标题"/>
    <w:next w:val="1"/>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uiPriority w:val="0"/>
    <w:pPr>
      <w:numPr>
        <w:ilvl w:val="4"/>
        <w:numId w:val="20"/>
      </w:numPr>
      <w:adjustRightInd/>
      <w:spacing w:line="240" w:lineRule="auto"/>
    </w:pPr>
    <w:rPr>
      <w:rFonts w:ascii="宋体" w:hAnsi="宋体"/>
      <w:szCs w:val="24"/>
    </w:rPr>
  </w:style>
  <w:style w:type="paragraph" w:customStyle="1" w:styleId="154">
    <w:name w:val="实施日期"/>
    <w:basedOn w:val="120"/>
    <w:uiPriority w:val="0"/>
    <w:pPr>
      <w:framePr w:hSpace="0" w:wrap="around" w:xAlign="right"/>
      <w:jc w:val="right"/>
    </w:pPr>
  </w:style>
  <w:style w:type="paragraph" w:customStyle="1" w:styleId="155">
    <w:name w:val="四级无标题条"/>
    <w:basedOn w:val="1"/>
    <w:uiPriority w:val="0"/>
    <w:pPr>
      <w:numPr>
        <w:ilvl w:val="5"/>
        <w:numId w:val="20"/>
      </w:numPr>
      <w:adjustRightInd/>
      <w:spacing w:line="240" w:lineRule="auto"/>
    </w:pPr>
    <w:rPr>
      <w:rFonts w:ascii="宋体" w:hAnsi="宋体"/>
      <w:szCs w:val="24"/>
    </w:rPr>
  </w:style>
  <w:style w:type="paragraph" w:customStyle="1" w:styleId="156">
    <w:name w:val="文献分类号"/>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uiPriority w:val="0"/>
    <w:pPr>
      <w:jc w:val="both"/>
    </w:pPr>
    <w:rPr>
      <w:rFonts w:ascii="宋体" w:hAnsi="宋体" w:eastAsia="宋体" w:cs="Times New Roman"/>
      <w:sz w:val="21"/>
      <w:lang w:val="en-US" w:eastAsia="zh-CN" w:bidi="ar-SA"/>
    </w:rPr>
  </w:style>
  <w:style w:type="paragraph" w:customStyle="1" w:styleId="158">
    <w:name w:val="五级无标题条"/>
    <w:basedOn w:val="1"/>
    <w:uiPriority w:val="0"/>
    <w:pPr>
      <w:numPr>
        <w:ilvl w:val="6"/>
        <w:numId w:val="20"/>
      </w:numPr>
      <w:adjustRightInd/>
    </w:pPr>
    <w:rPr>
      <w:szCs w:val="24"/>
    </w:rPr>
  </w:style>
  <w:style w:type="paragraph" w:customStyle="1" w:styleId="159">
    <w:name w:val="一级无标题条"/>
    <w:basedOn w:val="1"/>
    <w:uiPriority w:val="0"/>
    <w:pPr>
      <w:numPr>
        <w:ilvl w:val="2"/>
        <w:numId w:val="20"/>
      </w:numPr>
      <w:adjustRightInd/>
      <w:spacing w:before="10" w:after="10" w:line="240" w:lineRule="auto"/>
    </w:pPr>
    <w:rPr>
      <w:rFonts w:ascii="宋体" w:hAnsi="宋体"/>
      <w:szCs w:val="24"/>
    </w:rPr>
  </w:style>
  <w:style w:type="paragraph" w:customStyle="1" w:styleId="160">
    <w:name w:val="注:后续"/>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uiPriority w:val="0"/>
    <w:rPr>
      <w:rFonts w:ascii="宋体" w:hAnsi="Times New Roman" w:eastAsia="宋体" w:cs="Times New Roman"/>
      <w:sz w:val="21"/>
      <w:lang w:val="en-US" w:eastAsia="zh-CN" w:bidi="ar-SA"/>
    </w:rPr>
  </w:style>
  <w:style w:type="paragraph" w:customStyle="1" w:styleId="172">
    <w:name w:val="标准文件_三级项"/>
    <w:basedOn w:val="1"/>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uiPriority w:val="0"/>
    <w:pPr>
      <w:framePr w:w="3997" w:h="471" w:hRule="exact" w:hSpace="0" w:vSpace="181" w:wrap="around" w:vAnchor="page" w:hAnchor="page" w:x="1419" w:y="14097"/>
    </w:pPr>
  </w:style>
  <w:style w:type="paragraph" w:customStyle="1" w:styleId="194">
    <w:name w:val="其他实施日期"/>
    <w:basedOn w:val="154"/>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7" Type="http://schemas.openxmlformats.org/officeDocument/2006/relationships/glossaryDocument" Target="glossary/document.xml"/><Relationship Id="rId36" Type="http://schemas.openxmlformats.org/officeDocument/2006/relationships/fontTable" Target="fontTable.xml"/><Relationship Id="rId35" Type="http://schemas.openxmlformats.org/officeDocument/2006/relationships/customXml" Target="../customXml/item2.xml"/><Relationship Id="rId34" Type="http://schemas.openxmlformats.org/officeDocument/2006/relationships/numbering" Target="numbering.xml"/><Relationship Id="rId33" Type="http://schemas.openxmlformats.org/officeDocument/2006/relationships/customXml" Target="../customXml/item1.xml"/><Relationship Id="rId32" Type="http://schemas.openxmlformats.org/officeDocument/2006/relationships/image" Target="media/image1.jpeg"/><Relationship Id="rId31" Type="http://schemas.openxmlformats.org/officeDocument/2006/relationships/theme" Target="theme/theme1.xml"/><Relationship Id="rId30" Type="http://schemas.openxmlformats.org/officeDocument/2006/relationships/footer" Target="footer13.xml"/><Relationship Id="rId3" Type="http://schemas.openxmlformats.org/officeDocument/2006/relationships/footnotes" Target="footnotes.xml"/><Relationship Id="rId29" Type="http://schemas.openxmlformats.org/officeDocument/2006/relationships/footer" Target="footer12.xml"/><Relationship Id="rId28" Type="http://schemas.openxmlformats.org/officeDocument/2006/relationships/header" Target="header13.xml"/><Relationship Id="rId27" Type="http://schemas.openxmlformats.org/officeDocument/2006/relationships/header" Target="header12.xml"/><Relationship Id="rId26" Type="http://schemas.openxmlformats.org/officeDocument/2006/relationships/footer" Target="footer11.xml"/><Relationship Id="rId25" Type="http://schemas.openxmlformats.org/officeDocument/2006/relationships/footer" Target="footer10.xml"/><Relationship Id="rId24" Type="http://schemas.openxmlformats.org/officeDocument/2006/relationships/header" Target="header11.xml"/><Relationship Id="rId23" Type="http://schemas.openxmlformats.org/officeDocument/2006/relationships/header" Target="header10.xml"/><Relationship Id="rId22" Type="http://schemas.openxmlformats.org/officeDocument/2006/relationships/footer" Target="footer9.xml"/><Relationship Id="rId21" Type="http://schemas.openxmlformats.org/officeDocument/2006/relationships/footer" Target="footer8.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7.xml"/><Relationship Id="rId17" Type="http://schemas.openxmlformats.org/officeDocument/2006/relationships/footer" Target="footer6.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62FEE79151B040FA9134DA6AACA0E518"/>
        <w:style w:val=""/>
        <w:category>
          <w:name w:val="常规"/>
          <w:gallery w:val="placeholder"/>
        </w:category>
        <w:types>
          <w:type w:val="bbPlcHdr"/>
        </w:types>
        <w:behaviors>
          <w:behavior w:val="content"/>
        </w:behaviors>
        <w:description w:val=""/>
        <w:guid w:val="{DD3B7483-E64F-4247-81A7-8F77C40327DA}"/>
      </w:docPartPr>
      <w:docPartBody>
        <w:p w14:paraId="5FA63D3C">
          <w:pPr>
            <w:pStyle w:val="5"/>
          </w:pPr>
          <w:r>
            <w:rPr>
              <w:rStyle w:val="4"/>
              <w:rFonts w:hint="eastAsia"/>
            </w:rPr>
            <w:t>单击或点击此处输入文字。</w:t>
          </w:r>
        </w:p>
      </w:docPartBody>
    </w:docPart>
    <w:docPart>
      <w:docPartPr>
        <w:name w:val="4E4F763C58F644DB979973B8DB95F2CC"/>
        <w:style w:val=""/>
        <w:category>
          <w:name w:val="常规"/>
          <w:gallery w:val="placeholder"/>
        </w:category>
        <w:types>
          <w:type w:val="bbPlcHdr"/>
        </w:types>
        <w:behaviors>
          <w:behavior w:val="content"/>
        </w:behaviors>
        <w:description w:val=""/>
        <w:guid w:val="{6B067E8F-7F05-4780-A633-33890CD69811}"/>
      </w:docPartPr>
      <w:docPartBody>
        <w:p w14:paraId="113B6D0F">
          <w:pPr>
            <w:pStyle w:val="6"/>
          </w:pPr>
          <w:r>
            <w:rPr>
              <w:rStyle w:val="4"/>
              <w:rFonts w:hint="eastAsia"/>
            </w:rPr>
            <w:t>选择一项。</w:t>
          </w:r>
        </w:p>
      </w:docPartBody>
    </w:docPart>
    <w:docPart>
      <w:docPartPr>
        <w:name w:val="9BFD87B92B864CCDBD0350E8A6AB7819"/>
        <w:style w:val=""/>
        <w:category>
          <w:name w:val="常规"/>
          <w:gallery w:val="placeholder"/>
        </w:category>
        <w:types>
          <w:type w:val="bbPlcHdr"/>
        </w:types>
        <w:behaviors>
          <w:behavior w:val="content"/>
        </w:behaviors>
        <w:description w:val=""/>
        <w:guid w:val="{5D0CA8B6-EE17-485F-98A8-6FE2604AA1CC}"/>
      </w:docPartPr>
      <w:docPartBody>
        <w:p w14:paraId="62CB4ACE">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8C9"/>
    <w:rsid w:val="001C6284"/>
    <w:rsid w:val="00483990"/>
    <w:rsid w:val="008968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62FEE79151B040FA9134DA6AACA0E51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4E4F763C58F644DB979973B8DB95F2CC"/>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9BFD87B92B864CCDBD0350E8A6AB7819"/>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E0F809-F1B0-47A2-BF3F-77BC97C7211C}">
  <ds:schemaRefs/>
</ds:datastoreItem>
</file>

<file path=docProps/app.xml><?xml version="1.0" encoding="utf-8"?>
<Properties xmlns="http://schemas.openxmlformats.org/officeDocument/2006/extended-properties" xmlns:vt="http://schemas.openxmlformats.org/officeDocument/2006/docPropsVTypes">
  <Template>团体标准.dotx</Template>
  <Company>PCMI</Company>
  <Pages>10</Pages>
  <Words>2022</Words>
  <Characters>2235</Characters>
  <Lines>23</Lines>
  <Paragraphs>6</Paragraphs>
  <TotalTime>68</TotalTime>
  <ScaleCrop>false</ScaleCrop>
  <LinksUpToDate>false</LinksUpToDate>
  <CharactersWithSpaces>2299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2025-03-11T06:26:00Z</dcterms:created>
  <dc:creator>Jianyi Huang</dc:creator>
  <dc:description>&lt;config cover="true" show_menu="true" version="1.0.0" doctype="SDKXY"&gt;_x000d_
&lt;/config&gt;</dc:description>
  <cp:lastModifiedBy>微信用户</cp:lastModifiedBy>
  <cp:lastPrinted>2021-02-02T08:22:00Z</cp:lastPrinted>
  <dcterms:modified xsi:type="dcterms:W3CDTF">2025-03-19T02:09:18Z</dcterms:modified>
  <dc:title>团体标准</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TemplateDocerSaveRecord">
    <vt:lpwstr>eyJoZGlkIjoiYjU3OWNmZWNhOTU1OGIzZjViZTdhZWJmNzZlMzNmYTYiLCJ1c2VySWQiOiIxNDE1OTEzOTEwIn0=</vt:lpwstr>
  </property>
  <property fmtid="{D5CDD505-2E9C-101B-9397-08002B2CF9AE}" pid="16" name="KSOProductBuildVer">
    <vt:lpwstr>2052-12.1.0.20305</vt:lpwstr>
  </property>
  <property fmtid="{D5CDD505-2E9C-101B-9397-08002B2CF9AE}" pid="17" name="ICV">
    <vt:lpwstr>000C3976FEFB4F48B359ACD4464A3C7F_12</vt:lpwstr>
  </property>
</Properties>
</file>