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7FC3" w:rsidRDefault="00000000">
      <w:pPr>
        <w:pStyle w:val="30"/>
        <w:framePr w:h="1081" w:hRule="exact" w:wrap="around"/>
        <w:rPr>
          <w:rFonts w:hint="default"/>
          <w:sz w:val="72"/>
          <w:szCs w:val="72"/>
        </w:rPr>
      </w:pPr>
      <w:r>
        <w:rPr>
          <w:sz w:val="72"/>
          <w:szCs w:val="72"/>
        </w:rPr>
        <w:t>团体标准</w:t>
      </w:r>
    </w:p>
    <w:p w:rsidR="00107FC3" w:rsidRDefault="00000000">
      <w:pPr>
        <w:pStyle w:val="23"/>
        <w:framePr w:wrap="around" w:x="1470" w:y="3601"/>
        <w:rPr>
          <w:rFonts w:hint="default"/>
        </w:rPr>
      </w:pPr>
      <w:r>
        <w:fldChar w:fldCharType="begin">
          <w:ffData>
            <w:name w:val="StandNo"/>
            <w:enabled/>
            <w:calcOnExit w:val="0"/>
            <w:textInput>
              <w:default w:val="T/CCPITCSC XXX—XXXX"/>
            </w:textInput>
          </w:ffData>
        </w:fldChar>
      </w:r>
      <w:bookmarkStart w:id="0" w:name="StandNo"/>
      <w:r>
        <w:instrText>FORMTEXT</w:instrText>
      </w:r>
      <w:r>
        <w:fldChar w:fldCharType="separate"/>
      </w:r>
      <w:r>
        <w:t>T/CCPITCSC XXX—XXXX</w:t>
      </w:r>
      <w:r>
        <w:fldChar w:fldCharType="end"/>
      </w:r>
      <w:bookmarkEnd w:id="0"/>
    </w:p>
    <w:tbl>
      <w:tblPr>
        <w:tblStyle w:val="aff9"/>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41"/>
      </w:tblGrid>
      <w:tr w:rsidR="00107FC3">
        <w:tc>
          <w:tcPr>
            <w:tcW w:w="9889" w:type="dxa"/>
            <w:tcBorders>
              <w:top w:val="single" w:sz="8" w:space="0" w:color="auto"/>
            </w:tcBorders>
          </w:tcPr>
          <w:p w:rsidR="00107FC3" w:rsidRDefault="00107FC3">
            <w:pPr>
              <w:pStyle w:val="afff3"/>
              <w:framePr w:wrap="around"/>
              <w:rPr>
                <w:rFonts w:hint="default"/>
                <w:sz w:val="10"/>
              </w:rPr>
            </w:pPr>
          </w:p>
        </w:tc>
      </w:tr>
    </w:tbl>
    <w:p w:rsidR="00107FC3" w:rsidRDefault="00000000">
      <w:pPr>
        <w:pStyle w:val="afff9"/>
        <w:framePr w:wrap="around"/>
        <w:rPr>
          <w:rFonts w:hint="default"/>
        </w:rPr>
      </w:pPr>
      <w:r>
        <w:fldChar w:fldCharType="begin">
          <w:ffData>
            <w:name w:val="StdName"/>
            <w:enabled/>
            <w:calcOnExit w:val="0"/>
            <w:textInput>
              <w:default w:val="基于产业链的供应链合作指南"/>
            </w:textInput>
          </w:ffData>
        </w:fldChar>
      </w:r>
      <w:bookmarkStart w:id="1" w:name="StdName"/>
      <w:r>
        <w:instrText>FORMTEXT</w:instrText>
      </w:r>
      <w:r>
        <w:fldChar w:fldCharType="separate"/>
      </w:r>
      <w:r>
        <w:t>基于产业链的供应链合作指南</w:t>
      </w:r>
      <w:r>
        <w:fldChar w:fldCharType="end"/>
      </w:r>
      <w:bookmarkEnd w:id="1"/>
    </w:p>
    <w:p w:rsidR="00107FC3" w:rsidRDefault="00000000">
      <w:pPr>
        <w:pStyle w:val="afffa"/>
        <w:framePr w:wrap="around"/>
        <w:rPr>
          <w:rFonts w:hint="default"/>
        </w:rPr>
      </w:pPr>
      <w:r>
        <w:rPr>
          <w:rFonts w:hint="default"/>
        </w:rPr>
        <w:fldChar w:fldCharType="begin">
          <w:ffData>
            <w:name w:val="StdEnglishName"/>
            <w:enabled/>
            <w:calcOnExit w:val="0"/>
            <w:textInput>
              <w:default w:val="Guidelines for supply chain cooperation based on the industrial chain"/>
            </w:textInput>
          </w:ffData>
        </w:fldChar>
      </w:r>
      <w:bookmarkStart w:id="2" w:name="StdEnglishName"/>
      <w:r>
        <w:rPr>
          <w:rFonts w:hint="default"/>
        </w:rPr>
        <w:instrText xml:space="preserve"> </w:instrText>
      </w:r>
      <w:r>
        <w:instrText>FORMTEXT</w:instrText>
      </w:r>
      <w:r>
        <w:rPr>
          <w:rFonts w:hint="default"/>
        </w:rPr>
        <w:instrText xml:space="preserve"> </w:instrText>
      </w:r>
      <w:r>
        <w:rPr>
          <w:rFonts w:hint="default"/>
        </w:rPr>
      </w:r>
      <w:r>
        <w:rPr>
          <w:rFonts w:hint="default"/>
        </w:rPr>
        <w:fldChar w:fldCharType="separate"/>
      </w:r>
      <w:r>
        <w:rPr>
          <w:rFonts w:hint="default"/>
        </w:rPr>
        <w:t>Guidelines for supply chain cooperation based on the industrial chain</w:t>
      </w:r>
      <w:r>
        <w:rPr>
          <w:rFonts w:hint="default"/>
        </w:rPr>
        <w:fldChar w:fldCharType="end"/>
      </w:r>
      <w:bookmarkEnd w:id="2"/>
    </w:p>
    <w:p w:rsidR="00107FC3" w:rsidRDefault="00000000">
      <w:pPr>
        <w:pStyle w:val="afffb"/>
        <w:framePr w:wrap="around"/>
        <w:rPr>
          <w:rFonts w:hint="default"/>
        </w:rPr>
      </w:pPr>
      <w:r>
        <w:rPr>
          <w:rFonts w:hint="default"/>
        </w:rPr>
        <w:fldChar w:fldCharType="begin">
          <w:ffData>
            <w:name w:val="YZBS"/>
            <w:enabled/>
            <w:calcOnExit w:val="0"/>
            <w:textInput/>
          </w:ffData>
        </w:fldChar>
      </w:r>
      <w:bookmarkStart w:id="3" w:name="YZBS"/>
      <w:r>
        <w:rPr>
          <w:rFonts w:hint="default"/>
        </w:rPr>
        <w:instrText xml:space="preserve"> </w:instrText>
      </w:r>
      <w:r>
        <w:instrText>FORMTEXT</w:instrText>
      </w:r>
      <w:r>
        <w:rPr>
          <w:rFonts w:hint="default"/>
        </w:rPr>
        <w:instrText xml:space="preserve"> </w:instrText>
      </w:r>
      <w:r>
        <w:rPr>
          <w:rFonts w:hint="default"/>
        </w:rPr>
      </w:r>
      <w:r>
        <w:rPr>
          <w:rFonts w:hint="default"/>
        </w:rPr>
        <w:fldChar w:fldCharType="separate"/>
      </w:r>
      <w:r>
        <w:rPr>
          <w:rFonts w:hint="default"/>
        </w:rPr>
        <w:t>     </w:t>
      </w:r>
      <w:r>
        <w:rPr>
          <w:rFonts w:hint="default"/>
        </w:rPr>
        <w:fldChar w:fldCharType="end"/>
      </w:r>
      <w:bookmarkEnd w:id="3"/>
    </w:p>
    <w:p w:rsidR="00107FC3" w:rsidRDefault="004D3C5D">
      <w:pPr>
        <w:pStyle w:val="afffc"/>
        <w:framePr w:wrap="around"/>
        <w:spacing w:after="0"/>
      </w:pPr>
      <w:r w:rsidRPr="004D3C5D">
        <w:t>（征求意见稿）</w:t>
      </w:r>
    </w:p>
    <w:p w:rsidR="00107FC3" w:rsidRDefault="00000000">
      <w:pPr>
        <w:pStyle w:val="afffd"/>
        <w:framePr w:wrap="around"/>
        <w:spacing w:before="100"/>
      </w:pPr>
      <w:r>
        <w:fldChar w:fldCharType="begin">
          <w:ffData>
            <w:name w:val="WCRQ"/>
            <w:enabled/>
            <w:calcOnExit w:val="0"/>
            <w:textInput/>
          </w:ffData>
        </w:fldChar>
      </w:r>
      <w:bookmarkStart w:id="4" w:name="WCRQ"/>
      <w:r>
        <w:instrText>FORMTEXT</w:instrText>
      </w:r>
      <w:r>
        <w:fldChar w:fldCharType="separate"/>
      </w:r>
      <w:r>
        <w:rPr>
          <w:rFonts w:hint="default"/>
        </w:rPr>
        <w:t>     </w:t>
      </w:r>
      <w:r>
        <w:fldChar w:fldCharType="end"/>
      </w:r>
      <w:bookmarkEnd w:id="4"/>
    </w:p>
    <w:p w:rsidR="00107FC3" w:rsidRDefault="00000000">
      <w:pPr>
        <w:pStyle w:val="afffe"/>
        <w:framePr w:wrap="around"/>
        <w:spacing w:beforeLines="220" w:before="686" w:after="93"/>
        <w:rPr>
          <w:rFonts w:hint="default"/>
        </w:rPr>
      </w:pPr>
      <w:r>
        <w:rPr>
          <w:rFonts w:hint="default"/>
        </w:rPr>
        <w:fldChar w:fldCharType="begin">
          <w:ffData>
            <w:name w:val="FileSelect"/>
            <w:enabled/>
            <w:calcOnExit w:val="0"/>
            <w:ddList>
              <w:listEntry w:val="     "/>
              <w:listEntry w:val="在提交反馈意见时，请将您知道的相关专利连同支持性文件一并附上。"/>
            </w:ddList>
          </w:ffData>
        </w:fldChar>
      </w:r>
      <w:bookmarkStart w:id="5" w:name="FileSelect"/>
      <w:r>
        <w:rPr>
          <w:rFonts w:hint="default"/>
        </w:rPr>
        <w:instrText xml:space="preserve"> </w:instrText>
      </w:r>
      <w:r>
        <w:instrText>FORMDROPDOWN</w:instrText>
      </w:r>
      <w:r>
        <w:rPr>
          <w:rFonts w:hint="default"/>
        </w:rPr>
        <w:instrText xml:space="preserve"> </w:instrText>
      </w:r>
      <w:r>
        <w:rPr>
          <w:rFonts w:hint="default"/>
        </w:rPr>
      </w:r>
      <w:r>
        <w:rPr>
          <w:rFonts w:hint="default"/>
        </w:rPr>
        <w:fldChar w:fldCharType="separate"/>
      </w:r>
      <w:r>
        <w:rPr>
          <w:rFonts w:hint="default"/>
        </w:rPr>
        <w:fldChar w:fldCharType="end"/>
      </w:r>
      <w:bookmarkEnd w:id="5"/>
    </w:p>
    <w:tbl>
      <w:tblPr>
        <w:tblStyle w:val="aff9"/>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70"/>
        <w:gridCol w:w="4871"/>
      </w:tblGrid>
      <w:tr w:rsidR="00107FC3">
        <w:trPr>
          <w:trHeight w:hRule="exact" w:val="363"/>
        </w:trPr>
        <w:tc>
          <w:tcPr>
            <w:tcW w:w="4944" w:type="dxa"/>
            <w:tcBorders>
              <w:bottom w:val="single" w:sz="8" w:space="0" w:color="auto"/>
            </w:tcBorders>
            <w:tcMar>
              <w:left w:w="57" w:type="dxa"/>
              <w:bottom w:w="28" w:type="dxa"/>
            </w:tcMar>
          </w:tcPr>
          <w:p w:rsidR="00107FC3" w:rsidRDefault="00000000">
            <w:pPr>
              <w:pStyle w:val="afff7"/>
              <w:framePr w:wrap="around"/>
              <w:rPr>
                <w:rFonts w:hint="default"/>
              </w:rPr>
            </w:pPr>
            <w:r>
              <w:fldChar w:fldCharType="begin">
                <w:ffData>
                  <w:name w:val="FY"/>
                  <w:enabled/>
                  <w:calcOnExit w:val="0"/>
                  <w:textInput>
                    <w:default w:val="XXXX"/>
                    <w:maxLength w:val="4"/>
                  </w:textInput>
                </w:ffData>
              </w:fldChar>
            </w:r>
            <w:bookmarkStart w:id="6" w:name="FY"/>
            <w:r>
              <w:instrText>FORMTEXT</w:instrText>
            </w:r>
            <w:r>
              <w:fldChar w:fldCharType="separate"/>
            </w:r>
            <w:r>
              <w:t>XXXX</w:t>
            </w:r>
            <w:r>
              <w:fldChar w:fldCharType="end"/>
            </w:r>
            <w:bookmarkEnd w:id="6"/>
            <w:r>
              <w:t xml:space="preserve"> - </w:t>
            </w:r>
            <w:r>
              <w:fldChar w:fldCharType="begin">
                <w:ffData>
                  <w:name w:val="FM"/>
                  <w:enabled/>
                  <w:calcOnExit w:val="0"/>
                  <w:textInput>
                    <w:default w:val="XX"/>
                    <w:maxLength w:val="2"/>
                  </w:textInput>
                </w:ffData>
              </w:fldChar>
            </w:r>
            <w:bookmarkStart w:id="7" w:name="FM"/>
            <w:r>
              <w:instrText>FORMTEXT</w:instrText>
            </w:r>
            <w:r>
              <w:fldChar w:fldCharType="separate"/>
            </w:r>
            <w:r>
              <w:t>XX</w:t>
            </w:r>
            <w:r>
              <w:fldChar w:fldCharType="end"/>
            </w:r>
            <w:bookmarkEnd w:id="7"/>
            <w:r>
              <w:t xml:space="preserve"> - </w:t>
            </w:r>
            <w:r>
              <w:fldChar w:fldCharType="begin">
                <w:ffData>
                  <w:name w:val="FD"/>
                  <w:enabled/>
                  <w:calcOnExit w:val="0"/>
                  <w:textInput>
                    <w:default w:val="XX"/>
                    <w:maxLength w:val="2"/>
                  </w:textInput>
                </w:ffData>
              </w:fldChar>
            </w:r>
            <w:bookmarkStart w:id="8" w:name="FD"/>
            <w:r>
              <w:instrText>FORMTEXT</w:instrText>
            </w:r>
            <w:r>
              <w:fldChar w:fldCharType="separate"/>
            </w:r>
            <w:r>
              <w:t>XX</w:t>
            </w:r>
            <w:r>
              <w:fldChar w:fldCharType="end"/>
            </w:r>
            <w:bookmarkEnd w:id="8"/>
            <w:r>
              <w:t xml:space="preserve"> 发布</w:t>
            </w:r>
          </w:p>
        </w:tc>
        <w:tc>
          <w:tcPr>
            <w:tcW w:w="4945" w:type="dxa"/>
            <w:tcBorders>
              <w:bottom w:val="single" w:sz="8" w:space="0" w:color="auto"/>
            </w:tcBorders>
            <w:tcMar>
              <w:right w:w="57" w:type="dxa"/>
            </w:tcMar>
          </w:tcPr>
          <w:p w:rsidR="00107FC3" w:rsidRDefault="00000000">
            <w:pPr>
              <w:pStyle w:val="afff7"/>
              <w:framePr w:wrap="around"/>
              <w:jc w:val="right"/>
              <w:rPr>
                <w:rFonts w:hint="default"/>
              </w:rPr>
            </w:pPr>
            <w:r>
              <w:fldChar w:fldCharType="begin">
                <w:ffData>
                  <w:name w:val="SY"/>
                  <w:enabled/>
                  <w:calcOnExit w:val="0"/>
                  <w:textInput>
                    <w:default w:val="XXXX"/>
                    <w:maxLength w:val="4"/>
                  </w:textInput>
                </w:ffData>
              </w:fldChar>
            </w:r>
            <w:bookmarkStart w:id="9" w:name="SY"/>
            <w:r>
              <w:instrText>FORMTEXT</w:instrText>
            </w:r>
            <w:r>
              <w:fldChar w:fldCharType="separate"/>
            </w:r>
            <w:r>
              <w:t>XXXX</w:t>
            </w:r>
            <w:r>
              <w:fldChar w:fldCharType="end"/>
            </w:r>
            <w:bookmarkEnd w:id="9"/>
            <w:r>
              <w:t xml:space="preserve"> - </w:t>
            </w:r>
            <w:r>
              <w:fldChar w:fldCharType="begin">
                <w:ffData>
                  <w:name w:val="SM"/>
                  <w:enabled/>
                  <w:calcOnExit w:val="0"/>
                  <w:textInput>
                    <w:default w:val="XX"/>
                    <w:maxLength w:val="2"/>
                  </w:textInput>
                </w:ffData>
              </w:fldChar>
            </w:r>
            <w:bookmarkStart w:id="10" w:name="SM"/>
            <w:r>
              <w:instrText>FORMTEXT</w:instrText>
            </w:r>
            <w:r>
              <w:fldChar w:fldCharType="separate"/>
            </w:r>
            <w:r>
              <w:t>XX</w:t>
            </w:r>
            <w:r>
              <w:fldChar w:fldCharType="end"/>
            </w:r>
            <w:bookmarkEnd w:id="10"/>
            <w:r>
              <w:t xml:space="preserve"> - </w:t>
            </w:r>
            <w:r>
              <w:fldChar w:fldCharType="begin">
                <w:ffData>
                  <w:name w:val="SD"/>
                  <w:enabled/>
                  <w:calcOnExit w:val="0"/>
                  <w:textInput>
                    <w:default w:val="XX"/>
                    <w:maxLength w:val="2"/>
                  </w:textInput>
                </w:ffData>
              </w:fldChar>
            </w:r>
            <w:bookmarkStart w:id="11" w:name="SD"/>
            <w:r>
              <w:instrText>FORMTEXT</w:instrText>
            </w:r>
            <w:r>
              <w:fldChar w:fldCharType="separate"/>
            </w:r>
            <w:r>
              <w:t>XX</w:t>
            </w:r>
            <w:r>
              <w:fldChar w:fldCharType="end"/>
            </w:r>
            <w:bookmarkEnd w:id="11"/>
            <w:r>
              <w:t xml:space="preserve"> 实施</w:t>
            </w:r>
          </w:p>
        </w:tc>
      </w:tr>
    </w:tbl>
    <w:bookmarkStart w:id="12" w:name="FM2"/>
    <w:p w:rsidR="00107FC3" w:rsidRDefault="00000000">
      <w:pPr>
        <w:pStyle w:val="24"/>
        <w:framePr w:wrap="around" w:vAnchor="page" w:hAnchor="page" w:x="2355" w:y="15181"/>
        <w:spacing w:before="0"/>
      </w:pPr>
      <w:r>
        <w:fldChar w:fldCharType="begin">
          <w:ffData>
            <w:name w:val="FM2"/>
            <w:enabled/>
            <w:calcOnExit w:val="0"/>
            <w:textInput>
              <w:default w:val="中国国际贸易促进委员会商业行业委员会"/>
            </w:textInput>
          </w:ffData>
        </w:fldChar>
      </w:r>
      <w:r>
        <w:instrText>FORMTEXT</w:instrText>
      </w:r>
      <w:r>
        <w:fldChar w:fldCharType="separate"/>
      </w:r>
      <w:r>
        <w:t>中国国际贸易促进委员会商业行业委员会</w:t>
      </w:r>
      <w:r>
        <w:fldChar w:fldCharType="end"/>
      </w:r>
      <w:bookmarkEnd w:id="12"/>
      <w:r>
        <w:t>  </w:t>
      </w:r>
      <w:r>
        <w:rPr>
          <w:spacing w:val="85"/>
        </w:rPr>
        <w:t>发</w:t>
      </w:r>
      <w:r>
        <w:t>布</w:t>
      </w:r>
    </w:p>
    <w:tbl>
      <w:tblPr>
        <w:tblStyle w:val="a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3"/>
        <w:gridCol w:w="9107"/>
      </w:tblGrid>
      <w:tr w:rsidR="00107FC3">
        <w:tc>
          <w:tcPr>
            <w:tcW w:w="463" w:type="dxa"/>
          </w:tcPr>
          <w:p w:rsidR="00107FC3" w:rsidRDefault="00000000">
            <w:pPr>
              <w:pStyle w:val="affff2"/>
              <w:framePr w:w="9639" w:wrap="around"/>
              <w:rPr>
                <w:rFonts w:hint="default"/>
              </w:rPr>
            </w:pPr>
            <w:r>
              <w:t>ICS</w:t>
            </w:r>
          </w:p>
        </w:tc>
        <w:bookmarkStart w:id="13" w:name="ICS"/>
        <w:tc>
          <w:tcPr>
            <w:tcW w:w="9107" w:type="dxa"/>
          </w:tcPr>
          <w:p w:rsidR="00107FC3" w:rsidRDefault="00000000">
            <w:pPr>
              <w:pStyle w:val="affff2"/>
              <w:framePr w:w="9639" w:wrap="around"/>
              <w:rPr>
                <w:rFonts w:hint="default"/>
              </w:rPr>
            </w:pPr>
            <w:r>
              <w:fldChar w:fldCharType="begin">
                <w:ffData>
                  <w:name w:val="ICS"/>
                  <w:enabled/>
                  <w:calcOnExit w:val="0"/>
                  <w:textInput>
                    <w:default w:val="点击此处添加ICS号"/>
                  </w:textInput>
                </w:ffData>
              </w:fldChar>
            </w:r>
            <w:r>
              <w:instrText>FORMTEXT</w:instrText>
            </w:r>
            <w:r>
              <w:fldChar w:fldCharType="separate"/>
            </w:r>
            <w:r>
              <w:t>点击此处添加ICS号</w:t>
            </w:r>
            <w:r>
              <w:fldChar w:fldCharType="end"/>
            </w:r>
            <w:bookmarkEnd w:id="13"/>
          </w:p>
        </w:tc>
      </w:tr>
      <w:tr w:rsidR="00107FC3">
        <w:tc>
          <w:tcPr>
            <w:tcW w:w="463" w:type="dxa"/>
          </w:tcPr>
          <w:p w:rsidR="00107FC3" w:rsidRDefault="00000000">
            <w:pPr>
              <w:pStyle w:val="affff2"/>
              <w:framePr w:w="9639" w:wrap="around"/>
              <w:rPr>
                <w:rFonts w:hint="default"/>
              </w:rPr>
            </w:pPr>
            <w:r>
              <w:t>CCS</w:t>
            </w:r>
          </w:p>
        </w:tc>
        <w:bookmarkStart w:id="14" w:name="CCS"/>
        <w:tc>
          <w:tcPr>
            <w:tcW w:w="9107" w:type="dxa"/>
          </w:tcPr>
          <w:p w:rsidR="00107FC3" w:rsidRDefault="00000000">
            <w:pPr>
              <w:pStyle w:val="affff2"/>
              <w:framePr w:w="9639" w:wrap="around"/>
              <w:rPr>
                <w:rFonts w:hint="default"/>
              </w:rPr>
            </w:pPr>
            <w:r>
              <w:fldChar w:fldCharType="begin">
                <w:ffData>
                  <w:name w:val="CCS"/>
                  <w:enabled/>
                  <w:calcOnExit w:val="0"/>
                  <w:textInput>
                    <w:default w:val="点击此处添加CCS号"/>
                  </w:textInput>
                </w:ffData>
              </w:fldChar>
            </w:r>
            <w:r>
              <w:instrText>FORMTEXT</w:instrText>
            </w:r>
            <w:r>
              <w:fldChar w:fldCharType="separate"/>
            </w:r>
            <w:r>
              <w:t>点击此处添加CCS号</w:t>
            </w:r>
            <w:r>
              <w:fldChar w:fldCharType="end"/>
            </w:r>
            <w:bookmarkEnd w:id="14"/>
          </w:p>
          <w:tbl>
            <w:tblPr>
              <w:tblStyle w:val="aff9"/>
              <w:tblpPr w:vertAnchor="page" w:horzAnchor="margin" w:tblpXSpec="right" w:tblpY="114"/>
              <w:tblOverlap w:val="never"/>
              <w:tblW w:w="6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662"/>
            </w:tblGrid>
            <w:tr w:rsidR="00107FC3">
              <w:trPr>
                <w:trHeight w:val="1281"/>
              </w:trPr>
              <w:tc>
                <w:tcPr>
                  <w:tcW w:w="9107" w:type="dxa"/>
                  <w:vAlign w:val="center"/>
                </w:tcPr>
                <w:p w:rsidR="00107FC3" w:rsidRDefault="00000000">
                  <w:pPr>
                    <w:pStyle w:val="affff2"/>
                    <w:framePr w:wrap="auto" w:vAnchor="margin" w:hAnchor="text" w:xAlign="left" w:yAlign="inline"/>
                    <w:jc w:val="right"/>
                    <w:rPr>
                      <w:rFonts w:ascii="Times New Roman" w:eastAsia="宋体" w:hint="default"/>
                      <w:b/>
                      <w:w w:val="130"/>
                      <w:kern w:val="0"/>
                    </w:rPr>
                  </w:pPr>
                  <w:r>
                    <w:rPr>
                      <w:rFonts w:hint="default"/>
                      <w:noProof/>
                    </w:rPr>
                    <w:drawing>
                      <wp:anchor distT="0" distB="0" distL="114300" distR="114300" simplePos="0" relativeHeight="251659264" behindDoc="0" locked="0" layoutInCell="1" allowOverlap="1">
                        <wp:simplePos x="0" y="0"/>
                        <wp:positionH relativeFrom="column">
                          <wp:posOffset>2100580</wp:posOffset>
                        </wp:positionH>
                        <wp:positionV relativeFrom="paragraph">
                          <wp:posOffset>-755015</wp:posOffset>
                        </wp:positionV>
                        <wp:extent cx="2031365" cy="1819275"/>
                        <wp:effectExtent l="0" t="0" r="0" b="0"/>
                        <wp:wrapNone/>
                        <wp:docPr id="8948515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851575"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1365" cy="1819275"/>
                                </a:xfrm>
                                <a:prstGeom prst="rect">
                                  <a:avLst/>
                                </a:prstGeom>
                              </pic:spPr>
                            </pic:pic>
                          </a:graphicData>
                        </a:graphic>
                      </wp:anchor>
                    </w:drawing>
                  </w:r>
                  <w:r>
                    <w:rPr>
                      <w:rFonts w:ascii="Times New Roman" w:eastAsia="宋体"/>
                      <w:b/>
                      <w:w w:val="130"/>
                      <w:kern w:val="0"/>
                    </w:rPr>
                    <w:t xml:space="preserve"> </w:t>
                  </w:r>
                </w:p>
              </w:tc>
            </w:tr>
          </w:tbl>
          <w:p w:rsidR="00107FC3" w:rsidRDefault="00107FC3">
            <w:pPr>
              <w:pStyle w:val="affff2"/>
              <w:framePr w:w="9639" w:wrap="around"/>
              <w:rPr>
                <w:rFonts w:hint="default"/>
              </w:rPr>
            </w:pPr>
          </w:p>
        </w:tc>
      </w:tr>
    </w:tbl>
    <w:p w:rsidR="00107FC3" w:rsidRDefault="00107FC3">
      <w:pPr>
        <w:pStyle w:val="affff2"/>
        <w:framePr w:w="9639" w:wrap="around"/>
        <w:rPr>
          <w:rFonts w:hint="default"/>
        </w:rPr>
        <w:sectPr w:rsidR="00107FC3">
          <w:pgSz w:w="11906" w:h="16838"/>
          <w:pgMar w:top="-340" w:right="1134" w:bottom="1021" w:left="1134" w:header="0" w:footer="0" w:gutter="284"/>
          <w:pgNumType w:start="1"/>
          <w:cols w:space="425"/>
          <w:titlePg/>
          <w:docGrid w:type="lines" w:linePitch="312"/>
        </w:sectPr>
      </w:pPr>
    </w:p>
    <w:p w:rsidR="00107FC3" w:rsidRDefault="00000000">
      <w:pPr>
        <w:pStyle w:val="affff3"/>
        <w:spacing w:after="468"/>
        <w:rPr>
          <w:rFonts w:hint="default"/>
        </w:rPr>
      </w:pPr>
      <w:r>
        <w:rPr>
          <w:spacing w:val="317"/>
        </w:rPr>
        <w:lastRenderedPageBreak/>
        <w:t>目</w:t>
      </w:r>
      <w:bookmarkStart w:id="15" w:name="BKML"/>
      <w:r>
        <w:t>次</w:t>
      </w:r>
      <w:bookmarkEnd w:id="15"/>
    </w:p>
    <w:p w:rsidR="00107FC3" w:rsidRDefault="00000000">
      <w:pPr>
        <w:pStyle w:val="TOC1"/>
        <w:tabs>
          <w:tab w:val="right" w:leader="dot" w:pos="9354"/>
        </w:tabs>
      </w:pPr>
      <w:r>
        <w:fldChar w:fldCharType="begin"/>
      </w:r>
      <w:r>
        <w:instrText>TOC \t "标准文件_前言、引言标题,1,标准文件_章标题,1,标准文件_附录标识,1,标准文件_参考文献标题,1,标准文件_索引标题,1,标准文件_一级条标题,2" \h</w:instrText>
      </w:r>
      <w:r>
        <w:fldChar w:fldCharType="separate"/>
      </w:r>
      <w:hyperlink w:anchor="_Toc11472" w:history="1">
        <w:r>
          <w:t>前言</w:t>
        </w:r>
        <w:r>
          <w:tab/>
        </w:r>
        <w:r>
          <w:fldChar w:fldCharType="begin"/>
        </w:r>
        <w:r>
          <w:instrText xml:space="preserve"> PAGEREF _Toc11472 \h </w:instrText>
        </w:r>
        <w:r>
          <w:fldChar w:fldCharType="separate"/>
        </w:r>
        <w:r>
          <w:t>IV</w:t>
        </w:r>
        <w:r>
          <w:fldChar w:fldCharType="end"/>
        </w:r>
      </w:hyperlink>
    </w:p>
    <w:p w:rsidR="00107FC3" w:rsidRDefault="00000000">
      <w:pPr>
        <w:pStyle w:val="TOC1"/>
        <w:tabs>
          <w:tab w:val="right" w:leader="dot" w:pos="9354"/>
        </w:tabs>
      </w:pPr>
      <w:hyperlink w:anchor="_Toc13853" w:history="1">
        <w:r>
          <w:t>引言</w:t>
        </w:r>
        <w:r>
          <w:tab/>
        </w:r>
        <w:r>
          <w:fldChar w:fldCharType="begin"/>
        </w:r>
        <w:r>
          <w:instrText xml:space="preserve"> PAGEREF _Toc13853 \h </w:instrText>
        </w:r>
        <w:r>
          <w:fldChar w:fldCharType="separate"/>
        </w:r>
        <w:r>
          <w:t>V</w:t>
        </w:r>
        <w:r>
          <w:fldChar w:fldCharType="end"/>
        </w:r>
      </w:hyperlink>
    </w:p>
    <w:p w:rsidR="00107FC3" w:rsidRDefault="00000000">
      <w:pPr>
        <w:pStyle w:val="TOC1"/>
        <w:tabs>
          <w:tab w:val="right" w:leader="dot" w:pos="9354"/>
        </w:tabs>
      </w:pPr>
      <w:hyperlink w:anchor="_Toc4314" w:history="1">
        <w:r>
          <w:t>1  范围</w:t>
        </w:r>
        <w:r>
          <w:tab/>
        </w:r>
        <w:r>
          <w:fldChar w:fldCharType="begin"/>
        </w:r>
        <w:r>
          <w:instrText xml:space="preserve"> PAGEREF _Toc4314 \h </w:instrText>
        </w:r>
        <w:r>
          <w:fldChar w:fldCharType="separate"/>
        </w:r>
        <w:r>
          <w:t>1</w:t>
        </w:r>
        <w:r>
          <w:fldChar w:fldCharType="end"/>
        </w:r>
      </w:hyperlink>
    </w:p>
    <w:p w:rsidR="00107FC3" w:rsidRDefault="00000000">
      <w:pPr>
        <w:pStyle w:val="TOC1"/>
        <w:tabs>
          <w:tab w:val="right" w:leader="dot" w:pos="9354"/>
        </w:tabs>
      </w:pPr>
      <w:hyperlink w:anchor="_Toc8103" w:history="1">
        <w:r>
          <w:t>2  规范性引用文件</w:t>
        </w:r>
        <w:r>
          <w:tab/>
        </w:r>
        <w:r>
          <w:fldChar w:fldCharType="begin"/>
        </w:r>
        <w:r>
          <w:instrText xml:space="preserve"> PAGEREF _Toc8103 \h </w:instrText>
        </w:r>
        <w:r>
          <w:fldChar w:fldCharType="separate"/>
        </w:r>
        <w:r>
          <w:t>1</w:t>
        </w:r>
        <w:r>
          <w:fldChar w:fldCharType="end"/>
        </w:r>
      </w:hyperlink>
    </w:p>
    <w:p w:rsidR="00107FC3" w:rsidRDefault="00000000">
      <w:pPr>
        <w:pStyle w:val="TOC1"/>
        <w:tabs>
          <w:tab w:val="right" w:leader="dot" w:pos="9354"/>
        </w:tabs>
      </w:pPr>
      <w:hyperlink w:anchor="_Toc19812" w:history="1">
        <w:r>
          <w:t>3  术语和定义</w:t>
        </w:r>
        <w:r>
          <w:tab/>
        </w:r>
        <w:r>
          <w:fldChar w:fldCharType="begin"/>
        </w:r>
        <w:r>
          <w:instrText xml:space="preserve"> PAGEREF _Toc19812 \h </w:instrText>
        </w:r>
        <w:r>
          <w:fldChar w:fldCharType="separate"/>
        </w:r>
        <w:r>
          <w:t>1</w:t>
        </w:r>
        <w:r>
          <w:fldChar w:fldCharType="end"/>
        </w:r>
      </w:hyperlink>
    </w:p>
    <w:p w:rsidR="00107FC3" w:rsidRDefault="00000000">
      <w:pPr>
        <w:pStyle w:val="TOC1"/>
        <w:tabs>
          <w:tab w:val="right" w:leader="dot" w:pos="9354"/>
        </w:tabs>
      </w:pPr>
      <w:hyperlink w:anchor="_Toc20530" w:history="1">
        <w:r>
          <w:t>4  供应链合作关系共同原则</w:t>
        </w:r>
        <w:r>
          <w:tab/>
        </w:r>
        <w:r>
          <w:fldChar w:fldCharType="begin"/>
        </w:r>
        <w:r>
          <w:instrText xml:space="preserve"> PAGEREF _Toc20530 \h </w:instrText>
        </w:r>
        <w:r>
          <w:fldChar w:fldCharType="separate"/>
        </w:r>
        <w:r>
          <w:t>1</w:t>
        </w:r>
        <w:r>
          <w:fldChar w:fldCharType="end"/>
        </w:r>
      </w:hyperlink>
    </w:p>
    <w:p w:rsidR="00107FC3" w:rsidRDefault="00000000">
      <w:pPr>
        <w:pStyle w:val="TOC2"/>
        <w:tabs>
          <w:tab w:val="right" w:leader="dot" w:pos="9354"/>
        </w:tabs>
        <w:ind w:leftChars="0" w:left="0" w:firstLineChars="100" w:firstLine="210"/>
      </w:pPr>
      <w:hyperlink w:anchor="_Toc5224" w:history="1">
        <w:r>
          <w:t>4.1  基本原则</w:t>
        </w:r>
        <w:r>
          <w:tab/>
        </w:r>
        <w:r>
          <w:fldChar w:fldCharType="begin"/>
        </w:r>
        <w:r>
          <w:instrText xml:space="preserve"> PAGEREF _Toc5224 \h </w:instrText>
        </w:r>
        <w:r>
          <w:fldChar w:fldCharType="separate"/>
        </w:r>
        <w:r>
          <w:t>1</w:t>
        </w:r>
        <w:r>
          <w:fldChar w:fldCharType="end"/>
        </w:r>
      </w:hyperlink>
    </w:p>
    <w:p w:rsidR="00107FC3" w:rsidRDefault="00000000">
      <w:pPr>
        <w:pStyle w:val="TOC2"/>
        <w:tabs>
          <w:tab w:val="right" w:leader="dot" w:pos="9354"/>
        </w:tabs>
        <w:ind w:leftChars="0" w:left="0" w:firstLineChars="100" w:firstLine="210"/>
      </w:pPr>
      <w:hyperlink w:anchor="_Toc20430" w:history="1">
        <w:r>
          <w:t>4.2  战略协同原则</w:t>
        </w:r>
        <w:r>
          <w:tab/>
        </w:r>
        <w:r>
          <w:fldChar w:fldCharType="begin"/>
        </w:r>
        <w:r>
          <w:instrText xml:space="preserve"> PAGEREF _Toc20430 \h </w:instrText>
        </w:r>
        <w:r>
          <w:fldChar w:fldCharType="separate"/>
        </w:r>
        <w:r>
          <w:t>1</w:t>
        </w:r>
        <w:r>
          <w:fldChar w:fldCharType="end"/>
        </w:r>
      </w:hyperlink>
    </w:p>
    <w:p w:rsidR="00107FC3" w:rsidRDefault="00000000">
      <w:pPr>
        <w:pStyle w:val="TOC2"/>
        <w:tabs>
          <w:tab w:val="right" w:leader="dot" w:pos="9354"/>
        </w:tabs>
        <w:ind w:leftChars="0" w:left="0" w:firstLineChars="100" w:firstLine="210"/>
      </w:pPr>
      <w:hyperlink w:anchor="_Toc31669" w:history="1">
        <w:r>
          <w:t>4.3  信任与透明原则</w:t>
        </w:r>
        <w:r>
          <w:tab/>
        </w:r>
        <w:r>
          <w:fldChar w:fldCharType="begin"/>
        </w:r>
        <w:r>
          <w:instrText xml:space="preserve"> PAGEREF _Toc31669 \h </w:instrText>
        </w:r>
        <w:r>
          <w:fldChar w:fldCharType="separate"/>
        </w:r>
        <w:r>
          <w:t>2</w:t>
        </w:r>
        <w:r>
          <w:fldChar w:fldCharType="end"/>
        </w:r>
      </w:hyperlink>
    </w:p>
    <w:p w:rsidR="00107FC3" w:rsidRDefault="00000000">
      <w:pPr>
        <w:pStyle w:val="TOC2"/>
        <w:tabs>
          <w:tab w:val="right" w:leader="dot" w:pos="9354"/>
        </w:tabs>
        <w:ind w:leftChars="0" w:left="0" w:firstLineChars="100" w:firstLine="210"/>
      </w:pPr>
      <w:hyperlink w:anchor="_Toc15144" w:history="1">
        <w:r>
          <w:t>4.4  治理与协同原则</w:t>
        </w:r>
        <w:r>
          <w:tab/>
        </w:r>
        <w:r>
          <w:fldChar w:fldCharType="begin"/>
        </w:r>
        <w:r>
          <w:instrText xml:space="preserve"> PAGEREF _Toc15144 \h </w:instrText>
        </w:r>
        <w:r>
          <w:fldChar w:fldCharType="separate"/>
        </w:r>
        <w:r>
          <w:t>2</w:t>
        </w:r>
        <w:r>
          <w:fldChar w:fldCharType="end"/>
        </w:r>
      </w:hyperlink>
    </w:p>
    <w:p w:rsidR="00107FC3" w:rsidRDefault="00000000">
      <w:pPr>
        <w:pStyle w:val="TOC2"/>
        <w:tabs>
          <w:tab w:val="right" w:leader="dot" w:pos="9354"/>
        </w:tabs>
        <w:ind w:leftChars="0" w:left="0" w:firstLineChars="100" w:firstLine="210"/>
      </w:pPr>
      <w:hyperlink w:anchor="_Toc23308" w:history="1">
        <w:r>
          <w:t>4.5  价值风险共创共担原则</w:t>
        </w:r>
        <w:r>
          <w:tab/>
        </w:r>
        <w:r>
          <w:fldChar w:fldCharType="begin"/>
        </w:r>
        <w:r>
          <w:instrText xml:space="preserve"> PAGEREF _Toc23308 \h </w:instrText>
        </w:r>
        <w:r>
          <w:fldChar w:fldCharType="separate"/>
        </w:r>
        <w:r>
          <w:t>2</w:t>
        </w:r>
        <w:r>
          <w:fldChar w:fldCharType="end"/>
        </w:r>
      </w:hyperlink>
    </w:p>
    <w:p w:rsidR="00107FC3" w:rsidRDefault="00000000">
      <w:pPr>
        <w:pStyle w:val="TOC2"/>
        <w:tabs>
          <w:tab w:val="right" w:leader="dot" w:pos="9354"/>
        </w:tabs>
        <w:ind w:leftChars="0" w:left="0" w:firstLineChars="100" w:firstLine="210"/>
      </w:pPr>
      <w:hyperlink w:anchor="_Toc10647" w:history="1">
        <w:r>
          <w:t>4.6  动态优化原则</w:t>
        </w:r>
        <w:r>
          <w:tab/>
        </w:r>
        <w:r>
          <w:fldChar w:fldCharType="begin"/>
        </w:r>
        <w:r>
          <w:instrText xml:space="preserve"> PAGEREF _Toc10647 \h </w:instrText>
        </w:r>
        <w:r>
          <w:fldChar w:fldCharType="separate"/>
        </w:r>
        <w:r>
          <w:t>2</w:t>
        </w:r>
        <w:r>
          <w:fldChar w:fldCharType="end"/>
        </w:r>
      </w:hyperlink>
    </w:p>
    <w:p w:rsidR="00107FC3" w:rsidRDefault="00000000">
      <w:pPr>
        <w:pStyle w:val="TOC1"/>
        <w:tabs>
          <w:tab w:val="right" w:leader="dot" w:pos="9354"/>
        </w:tabs>
      </w:pPr>
      <w:hyperlink w:anchor="_Toc6272" w:history="1">
        <w:r>
          <w:t>5  愿景和价值观</w:t>
        </w:r>
        <w:r>
          <w:tab/>
        </w:r>
        <w:r>
          <w:fldChar w:fldCharType="begin"/>
        </w:r>
        <w:r>
          <w:instrText xml:space="preserve"> PAGEREF _Toc6272 \h </w:instrText>
        </w:r>
        <w:r>
          <w:fldChar w:fldCharType="separate"/>
        </w:r>
        <w:r>
          <w:t>2</w:t>
        </w:r>
        <w:r>
          <w:fldChar w:fldCharType="end"/>
        </w:r>
      </w:hyperlink>
    </w:p>
    <w:p w:rsidR="00107FC3" w:rsidRDefault="00000000">
      <w:pPr>
        <w:pStyle w:val="TOC2"/>
        <w:tabs>
          <w:tab w:val="right" w:leader="dot" w:pos="9354"/>
        </w:tabs>
        <w:ind w:leftChars="0" w:left="0" w:firstLineChars="100" w:firstLine="210"/>
      </w:pPr>
      <w:hyperlink w:anchor="_Toc19610" w:history="1">
        <w:r>
          <w:t>5.1  发展理念</w:t>
        </w:r>
        <w:r>
          <w:tab/>
        </w:r>
        <w:r>
          <w:fldChar w:fldCharType="begin"/>
        </w:r>
        <w:r>
          <w:instrText xml:space="preserve"> PAGEREF _Toc19610 \h </w:instrText>
        </w:r>
        <w:r>
          <w:fldChar w:fldCharType="separate"/>
        </w:r>
        <w:r>
          <w:t>2</w:t>
        </w:r>
        <w:r>
          <w:fldChar w:fldCharType="end"/>
        </w:r>
      </w:hyperlink>
    </w:p>
    <w:p w:rsidR="00107FC3" w:rsidRDefault="00000000">
      <w:pPr>
        <w:pStyle w:val="TOC2"/>
        <w:tabs>
          <w:tab w:val="right" w:leader="dot" w:pos="9354"/>
        </w:tabs>
        <w:ind w:leftChars="0" w:left="0" w:firstLineChars="100" w:firstLine="210"/>
      </w:pPr>
      <w:hyperlink w:anchor="_Toc15486" w:history="1">
        <w:r>
          <w:t>5.2  供应链生态系统</w:t>
        </w:r>
        <w:r>
          <w:tab/>
        </w:r>
        <w:r>
          <w:fldChar w:fldCharType="begin"/>
        </w:r>
        <w:r>
          <w:instrText xml:space="preserve"> PAGEREF _Toc15486 \h </w:instrText>
        </w:r>
        <w:r>
          <w:fldChar w:fldCharType="separate"/>
        </w:r>
        <w:r>
          <w:t>2</w:t>
        </w:r>
        <w:r>
          <w:fldChar w:fldCharType="end"/>
        </w:r>
      </w:hyperlink>
    </w:p>
    <w:p w:rsidR="00107FC3" w:rsidRDefault="00000000">
      <w:pPr>
        <w:pStyle w:val="TOC1"/>
        <w:tabs>
          <w:tab w:val="right" w:leader="dot" w:pos="9354"/>
        </w:tabs>
      </w:pPr>
      <w:hyperlink w:anchor="_Toc23589" w:history="1">
        <w:r>
          <w:t>6  合作的领导作用</w:t>
        </w:r>
        <w:r>
          <w:tab/>
        </w:r>
        <w:r>
          <w:fldChar w:fldCharType="begin"/>
        </w:r>
        <w:r>
          <w:instrText xml:space="preserve"> PAGEREF _Toc23589 \h </w:instrText>
        </w:r>
        <w:r>
          <w:fldChar w:fldCharType="separate"/>
        </w:r>
        <w:r>
          <w:t>3</w:t>
        </w:r>
        <w:r>
          <w:fldChar w:fldCharType="end"/>
        </w:r>
      </w:hyperlink>
    </w:p>
    <w:p w:rsidR="00107FC3" w:rsidRDefault="00000000">
      <w:pPr>
        <w:pStyle w:val="TOC2"/>
        <w:tabs>
          <w:tab w:val="right" w:leader="dot" w:pos="9354"/>
        </w:tabs>
        <w:ind w:leftChars="0" w:left="0" w:firstLineChars="100" w:firstLine="210"/>
      </w:pPr>
      <w:hyperlink w:anchor="_Toc13160" w:history="1">
        <w:r>
          <w:t>6.1  战略规划</w:t>
        </w:r>
        <w:r>
          <w:tab/>
        </w:r>
        <w:r>
          <w:fldChar w:fldCharType="begin"/>
        </w:r>
        <w:r>
          <w:instrText xml:space="preserve"> PAGEREF _Toc13160 \h </w:instrText>
        </w:r>
        <w:r>
          <w:fldChar w:fldCharType="separate"/>
        </w:r>
        <w:r>
          <w:t>3</w:t>
        </w:r>
        <w:r>
          <w:fldChar w:fldCharType="end"/>
        </w:r>
      </w:hyperlink>
    </w:p>
    <w:p w:rsidR="00107FC3" w:rsidRDefault="00000000">
      <w:pPr>
        <w:pStyle w:val="TOC2"/>
        <w:tabs>
          <w:tab w:val="right" w:leader="dot" w:pos="9354"/>
        </w:tabs>
        <w:ind w:leftChars="0" w:left="0" w:firstLineChars="100" w:firstLine="210"/>
      </w:pPr>
      <w:hyperlink w:anchor="_Toc15981" w:history="1">
        <w:r>
          <w:t>6.2  跨部门协调</w:t>
        </w:r>
        <w:r>
          <w:tab/>
        </w:r>
        <w:r>
          <w:fldChar w:fldCharType="begin"/>
        </w:r>
        <w:r>
          <w:instrText xml:space="preserve"> PAGEREF _Toc15981 \h </w:instrText>
        </w:r>
        <w:r>
          <w:fldChar w:fldCharType="separate"/>
        </w:r>
        <w:r>
          <w:t>3</w:t>
        </w:r>
        <w:r>
          <w:fldChar w:fldCharType="end"/>
        </w:r>
      </w:hyperlink>
    </w:p>
    <w:p w:rsidR="00107FC3" w:rsidRDefault="00000000">
      <w:pPr>
        <w:pStyle w:val="TOC2"/>
        <w:tabs>
          <w:tab w:val="right" w:leader="dot" w:pos="9354"/>
        </w:tabs>
        <w:ind w:leftChars="0" w:left="0" w:firstLineChars="100" w:firstLine="210"/>
      </w:pPr>
      <w:hyperlink w:anchor="_Toc4259" w:history="1">
        <w:r>
          <w:t>6.3  团队文化塑造与建设</w:t>
        </w:r>
        <w:r>
          <w:tab/>
        </w:r>
        <w:r>
          <w:fldChar w:fldCharType="begin"/>
        </w:r>
        <w:r>
          <w:instrText xml:space="preserve"> PAGEREF _Toc4259 \h </w:instrText>
        </w:r>
        <w:r>
          <w:fldChar w:fldCharType="separate"/>
        </w:r>
        <w:r>
          <w:t>3</w:t>
        </w:r>
        <w:r>
          <w:fldChar w:fldCharType="end"/>
        </w:r>
      </w:hyperlink>
    </w:p>
    <w:p w:rsidR="00107FC3" w:rsidRDefault="00000000">
      <w:pPr>
        <w:pStyle w:val="TOC2"/>
        <w:tabs>
          <w:tab w:val="right" w:leader="dot" w:pos="9354"/>
        </w:tabs>
        <w:ind w:leftChars="0" w:left="0" w:firstLineChars="100" w:firstLine="210"/>
      </w:pPr>
      <w:hyperlink w:anchor="_Toc3869" w:history="1">
        <w:r>
          <w:t>6.4  利益相关者沟通</w:t>
        </w:r>
        <w:r>
          <w:tab/>
        </w:r>
        <w:r>
          <w:fldChar w:fldCharType="begin"/>
        </w:r>
        <w:r>
          <w:instrText xml:space="preserve"> PAGEREF _Toc3869 \h </w:instrText>
        </w:r>
        <w:r>
          <w:fldChar w:fldCharType="separate"/>
        </w:r>
        <w:r>
          <w:t>3</w:t>
        </w:r>
        <w:r>
          <w:fldChar w:fldCharType="end"/>
        </w:r>
      </w:hyperlink>
    </w:p>
    <w:p w:rsidR="00107FC3" w:rsidRDefault="00000000">
      <w:pPr>
        <w:pStyle w:val="TOC2"/>
        <w:tabs>
          <w:tab w:val="right" w:leader="dot" w:pos="9354"/>
        </w:tabs>
        <w:ind w:leftChars="0" w:left="0" w:firstLineChars="100" w:firstLine="210"/>
      </w:pPr>
      <w:hyperlink w:anchor="_Toc1933" w:history="1">
        <w:r>
          <w:t>6.5  绩效评估与激励</w:t>
        </w:r>
        <w:r>
          <w:tab/>
        </w:r>
        <w:r>
          <w:fldChar w:fldCharType="begin"/>
        </w:r>
        <w:r>
          <w:instrText xml:space="preserve"> PAGEREF _Toc1933 \h </w:instrText>
        </w:r>
        <w:r>
          <w:fldChar w:fldCharType="separate"/>
        </w:r>
        <w:r>
          <w:t>4</w:t>
        </w:r>
        <w:r>
          <w:fldChar w:fldCharType="end"/>
        </w:r>
      </w:hyperlink>
    </w:p>
    <w:p w:rsidR="00107FC3" w:rsidRDefault="00000000">
      <w:pPr>
        <w:pStyle w:val="TOC1"/>
        <w:tabs>
          <w:tab w:val="right" w:leader="dot" w:pos="9354"/>
        </w:tabs>
      </w:pPr>
      <w:hyperlink w:anchor="_Toc2321" w:history="1">
        <w:r>
          <w:t>7  业务目标</w:t>
        </w:r>
        <w:r>
          <w:tab/>
        </w:r>
        <w:r>
          <w:fldChar w:fldCharType="begin"/>
        </w:r>
        <w:r>
          <w:instrText xml:space="preserve"> PAGEREF _Toc2321 \h </w:instrText>
        </w:r>
        <w:r>
          <w:fldChar w:fldCharType="separate"/>
        </w:r>
        <w:r>
          <w:t>4</w:t>
        </w:r>
        <w:r>
          <w:fldChar w:fldCharType="end"/>
        </w:r>
      </w:hyperlink>
    </w:p>
    <w:p w:rsidR="00107FC3" w:rsidRDefault="00000000">
      <w:pPr>
        <w:pStyle w:val="TOC2"/>
        <w:tabs>
          <w:tab w:val="right" w:leader="dot" w:pos="9354"/>
        </w:tabs>
        <w:ind w:leftChars="0" w:left="0" w:firstLineChars="100" w:firstLine="210"/>
      </w:pPr>
      <w:hyperlink w:anchor="_Toc12475" w:history="1">
        <w:r>
          <w:t>7.1  协同优化</w:t>
        </w:r>
        <w:r>
          <w:tab/>
        </w:r>
        <w:r>
          <w:fldChar w:fldCharType="begin"/>
        </w:r>
        <w:r>
          <w:instrText xml:space="preserve"> PAGEREF _Toc12475 \h </w:instrText>
        </w:r>
        <w:r>
          <w:fldChar w:fldCharType="separate"/>
        </w:r>
        <w:r>
          <w:t>4</w:t>
        </w:r>
        <w:r>
          <w:fldChar w:fldCharType="end"/>
        </w:r>
      </w:hyperlink>
    </w:p>
    <w:p w:rsidR="00107FC3" w:rsidRDefault="00000000">
      <w:pPr>
        <w:pStyle w:val="TOC2"/>
        <w:tabs>
          <w:tab w:val="right" w:leader="dot" w:pos="9354"/>
        </w:tabs>
        <w:ind w:leftChars="0" w:left="0" w:firstLineChars="100" w:firstLine="210"/>
      </w:pPr>
      <w:hyperlink w:anchor="_Toc12043" w:history="1">
        <w:r>
          <w:t>7.2  成本效益</w:t>
        </w:r>
        <w:r>
          <w:tab/>
        </w:r>
        <w:r>
          <w:fldChar w:fldCharType="begin"/>
        </w:r>
        <w:r>
          <w:instrText xml:space="preserve"> PAGEREF _Toc12043 \h </w:instrText>
        </w:r>
        <w:r>
          <w:fldChar w:fldCharType="separate"/>
        </w:r>
        <w:r>
          <w:t>4</w:t>
        </w:r>
        <w:r>
          <w:fldChar w:fldCharType="end"/>
        </w:r>
      </w:hyperlink>
    </w:p>
    <w:p w:rsidR="00107FC3" w:rsidRDefault="00000000">
      <w:pPr>
        <w:pStyle w:val="TOC2"/>
        <w:tabs>
          <w:tab w:val="right" w:leader="dot" w:pos="9354"/>
        </w:tabs>
        <w:ind w:leftChars="0" w:left="0" w:firstLineChars="100" w:firstLine="210"/>
      </w:pPr>
      <w:hyperlink w:anchor="_Toc9825" w:history="1">
        <w:r>
          <w:t>7.3  技术整合</w:t>
        </w:r>
        <w:r>
          <w:tab/>
        </w:r>
        <w:r>
          <w:fldChar w:fldCharType="begin"/>
        </w:r>
        <w:r>
          <w:instrText xml:space="preserve"> PAGEREF _Toc9825 \h </w:instrText>
        </w:r>
        <w:r>
          <w:fldChar w:fldCharType="separate"/>
        </w:r>
        <w:r>
          <w:t>4</w:t>
        </w:r>
        <w:r>
          <w:fldChar w:fldCharType="end"/>
        </w:r>
      </w:hyperlink>
    </w:p>
    <w:p w:rsidR="00107FC3" w:rsidRDefault="00000000">
      <w:pPr>
        <w:pStyle w:val="TOC1"/>
        <w:tabs>
          <w:tab w:val="right" w:leader="dot" w:pos="9354"/>
        </w:tabs>
      </w:pPr>
      <w:hyperlink w:anchor="_Toc13059" w:history="1">
        <w:r>
          <w:t>8  承诺互信与共同获益</w:t>
        </w:r>
        <w:r>
          <w:tab/>
        </w:r>
        <w:r>
          <w:fldChar w:fldCharType="begin"/>
        </w:r>
        <w:r>
          <w:instrText xml:space="preserve"> PAGEREF _Toc13059 \h </w:instrText>
        </w:r>
        <w:r>
          <w:fldChar w:fldCharType="separate"/>
        </w:r>
        <w:r>
          <w:t>4</w:t>
        </w:r>
        <w:r>
          <w:fldChar w:fldCharType="end"/>
        </w:r>
      </w:hyperlink>
    </w:p>
    <w:p w:rsidR="00107FC3" w:rsidRDefault="00000000">
      <w:pPr>
        <w:pStyle w:val="TOC2"/>
        <w:tabs>
          <w:tab w:val="right" w:leader="dot" w:pos="9354"/>
        </w:tabs>
        <w:ind w:leftChars="0" w:left="0" w:firstLineChars="100" w:firstLine="210"/>
      </w:pPr>
      <w:hyperlink w:anchor="_Toc6364" w:history="1">
        <w:r>
          <w:t>8.1  互信基石</w:t>
        </w:r>
        <w:r>
          <w:tab/>
        </w:r>
        <w:r>
          <w:fldChar w:fldCharType="begin"/>
        </w:r>
        <w:r>
          <w:instrText xml:space="preserve"> PAGEREF _Toc6364 \h </w:instrText>
        </w:r>
        <w:r>
          <w:fldChar w:fldCharType="separate"/>
        </w:r>
        <w:r>
          <w:t>4</w:t>
        </w:r>
        <w:r>
          <w:fldChar w:fldCharType="end"/>
        </w:r>
      </w:hyperlink>
    </w:p>
    <w:p w:rsidR="00107FC3" w:rsidRDefault="00000000">
      <w:pPr>
        <w:pStyle w:val="TOC2"/>
        <w:tabs>
          <w:tab w:val="right" w:leader="dot" w:pos="9354"/>
        </w:tabs>
        <w:ind w:leftChars="0" w:left="0" w:firstLineChars="100" w:firstLine="210"/>
      </w:pPr>
      <w:hyperlink w:anchor="_Toc22785" w:history="1">
        <w:r>
          <w:t>8.2  资源共用</w:t>
        </w:r>
        <w:r>
          <w:tab/>
        </w:r>
        <w:r>
          <w:fldChar w:fldCharType="begin"/>
        </w:r>
        <w:r>
          <w:instrText xml:space="preserve"> PAGEREF _Toc22785 \h </w:instrText>
        </w:r>
        <w:r>
          <w:fldChar w:fldCharType="separate"/>
        </w:r>
        <w:r>
          <w:t>4</w:t>
        </w:r>
        <w:r>
          <w:fldChar w:fldCharType="end"/>
        </w:r>
      </w:hyperlink>
    </w:p>
    <w:p w:rsidR="00107FC3" w:rsidRDefault="00000000">
      <w:pPr>
        <w:pStyle w:val="TOC2"/>
        <w:tabs>
          <w:tab w:val="right" w:leader="dot" w:pos="9354"/>
        </w:tabs>
        <w:ind w:leftChars="0" w:left="0" w:firstLineChars="100" w:firstLine="210"/>
      </w:pPr>
      <w:hyperlink w:anchor="_Toc17591" w:history="1">
        <w:r>
          <w:t>8.3  风险共担</w:t>
        </w:r>
        <w:r>
          <w:tab/>
        </w:r>
        <w:r>
          <w:fldChar w:fldCharType="begin"/>
        </w:r>
        <w:r>
          <w:instrText xml:space="preserve"> PAGEREF _Toc17591 \h </w:instrText>
        </w:r>
        <w:r>
          <w:fldChar w:fldCharType="separate"/>
        </w:r>
        <w:r>
          <w:t>4</w:t>
        </w:r>
        <w:r>
          <w:fldChar w:fldCharType="end"/>
        </w:r>
      </w:hyperlink>
    </w:p>
    <w:p w:rsidR="00107FC3" w:rsidRDefault="00000000">
      <w:pPr>
        <w:pStyle w:val="TOC2"/>
        <w:tabs>
          <w:tab w:val="right" w:leader="dot" w:pos="9354"/>
        </w:tabs>
        <w:ind w:leftChars="0" w:left="0" w:firstLineChars="100" w:firstLine="210"/>
      </w:pPr>
      <w:hyperlink w:anchor="_Toc14743" w:history="1">
        <w:r>
          <w:t>8.4  公平利益分配机制</w:t>
        </w:r>
        <w:r>
          <w:tab/>
        </w:r>
        <w:r>
          <w:fldChar w:fldCharType="begin"/>
        </w:r>
        <w:r>
          <w:instrText xml:space="preserve"> PAGEREF _Toc14743 \h </w:instrText>
        </w:r>
        <w:r>
          <w:fldChar w:fldCharType="separate"/>
        </w:r>
        <w:r>
          <w:t>4</w:t>
        </w:r>
        <w:r>
          <w:fldChar w:fldCharType="end"/>
        </w:r>
      </w:hyperlink>
    </w:p>
    <w:p w:rsidR="00107FC3" w:rsidRDefault="00000000">
      <w:pPr>
        <w:pStyle w:val="TOC1"/>
        <w:tabs>
          <w:tab w:val="right" w:leader="dot" w:pos="9354"/>
        </w:tabs>
      </w:pPr>
      <w:hyperlink w:anchor="_Toc15775" w:history="1">
        <w:r>
          <w:t>9  信息和知识共享</w:t>
        </w:r>
        <w:r>
          <w:tab/>
        </w:r>
        <w:r>
          <w:fldChar w:fldCharType="begin"/>
        </w:r>
        <w:r>
          <w:instrText xml:space="preserve"> PAGEREF _Toc15775 \h </w:instrText>
        </w:r>
        <w:r>
          <w:fldChar w:fldCharType="separate"/>
        </w:r>
        <w:r>
          <w:t>4</w:t>
        </w:r>
        <w:r>
          <w:fldChar w:fldCharType="end"/>
        </w:r>
      </w:hyperlink>
    </w:p>
    <w:p w:rsidR="00107FC3" w:rsidRDefault="00000000">
      <w:pPr>
        <w:pStyle w:val="TOC2"/>
        <w:tabs>
          <w:tab w:val="right" w:leader="dot" w:pos="9354"/>
        </w:tabs>
        <w:ind w:leftChars="0" w:left="0" w:firstLineChars="100" w:firstLine="210"/>
      </w:pPr>
      <w:hyperlink w:anchor="_Toc10625" w:history="1">
        <w:r>
          <w:t>9.1  搭建信息共享平台</w:t>
        </w:r>
        <w:r>
          <w:tab/>
        </w:r>
        <w:r>
          <w:fldChar w:fldCharType="begin"/>
        </w:r>
        <w:r>
          <w:instrText xml:space="preserve"> PAGEREF _Toc10625 \h </w:instrText>
        </w:r>
        <w:r>
          <w:fldChar w:fldCharType="separate"/>
        </w:r>
        <w:r>
          <w:t>4</w:t>
        </w:r>
        <w:r>
          <w:fldChar w:fldCharType="end"/>
        </w:r>
      </w:hyperlink>
    </w:p>
    <w:p w:rsidR="00107FC3" w:rsidRDefault="00000000">
      <w:pPr>
        <w:pStyle w:val="TOC2"/>
        <w:tabs>
          <w:tab w:val="right" w:leader="dot" w:pos="9354"/>
        </w:tabs>
        <w:ind w:leftChars="0" w:left="0" w:firstLineChars="100" w:firstLine="210"/>
      </w:pPr>
      <w:hyperlink w:anchor="_Toc24093" w:history="1">
        <w:r>
          <w:t>9.2  定期举办交流活动</w:t>
        </w:r>
        <w:r>
          <w:tab/>
        </w:r>
        <w:r>
          <w:fldChar w:fldCharType="begin"/>
        </w:r>
        <w:r>
          <w:instrText xml:space="preserve"> PAGEREF _Toc24093 \h </w:instrText>
        </w:r>
        <w:r>
          <w:fldChar w:fldCharType="separate"/>
        </w:r>
        <w:r>
          <w:t>5</w:t>
        </w:r>
        <w:r>
          <w:fldChar w:fldCharType="end"/>
        </w:r>
      </w:hyperlink>
    </w:p>
    <w:p w:rsidR="00107FC3" w:rsidRDefault="00000000">
      <w:pPr>
        <w:pStyle w:val="TOC2"/>
        <w:tabs>
          <w:tab w:val="right" w:leader="dot" w:pos="9354"/>
        </w:tabs>
        <w:ind w:leftChars="0" w:left="0" w:firstLineChars="100" w:firstLine="210"/>
      </w:pPr>
      <w:hyperlink w:anchor="_Toc27161" w:history="1">
        <w:r>
          <w:t>9.3  技术转移与创新合作</w:t>
        </w:r>
        <w:r>
          <w:tab/>
        </w:r>
        <w:r>
          <w:fldChar w:fldCharType="begin"/>
        </w:r>
        <w:r>
          <w:instrText xml:space="preserve"> PAGEREF _Toc27161 \h </w:instrText>
        </w:r>
        <w:r>
          <w:fldChar w:fldCharType="separate"/>
        </w:r>
        <w:r>
          <w:t>5</w:t>
        </w:r>
        <w:r>
          <w:fldChar w:fldCharType="end"/>
        </w:r>
      </w:hyperlink>
    </w:p>
    <w:p w:rsidR="00107FC3" w:rsidRDefault="00000000">
      <w:pPr>
        <w:pStyle w:val="TOC2"/>
        <w:tabs>
          <w:tab w:val="right" w:leader="dot" w:pos="9354"/>
        </w:tabs>
        <w:ind w:leftChars="0" w:left="0" w:firstLineChars="100" w:firstLine="210"/>
      </w:pPr>
      <w:hyperlink w:anchor="_Toc29340" w:history="1">
        <w:r>
          <w:t>9.4  建立反馈机制</w:t>
        </w:r>
        <w:r>
          <w:tab/>
        </w:r>
        <w:r>
          <w:fldChar w:fldCharType="begin"/>
        </w:r>
        <w:r>
          <w:instrText xml:space="preserve"> PAGEREF _Toc29340 \h </w:instrText>
        </w:r>
        <w:r>
          <w:fldChar w:fldCharType="separate"/>
        </w:r>
        <w:r>
          <w:t>5</w:t>
        </w:r>
        <w:r>
          <w:fldChar w:fldCharType="end"/>
        </w:r>
      </w:hyperlink>
    </w:p>
    <w:p w:rsidR="00107FC3" w:rsidRDefault="00000000">
      <w:pPr>
        <w:pStyle w:val="TOC2"/>
        <w:tabs>
          <w:tab w:val="right" w:leader="dot" w:pos="9354"/>
        </w:tabs>
        <w:ind w:leftChars="0" w:left="0" w:firstLineChars="100" w:firstLine="210"/>
      </w:pPr>
      <w:hyperlink w:anchor="_Toc8812" w:history="1">
        <w:r>
          <w:t>9.5  强化培训与能力建设</w:t>
        </w:r>
        <w:r>
          <w:tab/>
        </w:r>
        <w:r>
          <w:fldChar w:fldCharType="begin"/>
        </w:r>
        <w:r>
          <w:instrText xml:space="preserve"> PAGEREF _Toc8812 \h </w:instrText>
        </w:r>
        <w:r>
          <w:fldChar w:fldCharType="separate"/>
        </w:r>
        <w:r>
          <w:t>5</w:t>
        </w:r>
        <w:r>
          <w:fldChar w:fldCharType="end"/>
        </w:r>
      </w:hyperlink>
    </w:p>
    <w:p w:rsidR="00107FC3" w:rsidRDefault="00000000">
      <w:pPr>
        <w:pStyle w:val="TOC1"/>
        <w:tabs>
          <w:tab w:val="right" w:leader="dot" w:pos="9354"/>
        </w:tabs>
      </w:pPr>
      <w:hyperlink w:anchor="_Toc10592" w:history="1">
        <w:r>
          <w:t>10  关系管理</w:t>
        </w:r>
        <w:r>
          <w:tab/>
        </w:r>
        <w:r>
          <w:fldChar w:fldCharType="begin"/>
        </w:r>
        <w:r>
          <w:instrText xml:space="preserve"> PAGEREF _Toc10592 \h </w:instrText>
        </w:r>
        <w:r>
          <w:fldChar w:fldCharType="separate"/>
        </w:r>
        <w:r>
          <w:t>5</w:t>
        </w:r>
        <w:r>
          <w:fldChar w:fldCharType="end"/>
        </w:r>
      </w:hyperlink>
    </w:p>
    <w:p w:rsidR="00107FC3" w:rsidRDefault="00000000">
      <w:pPr>
        <w:pStyle w:val="TOC2"/>
        <w:tabs>
          <w:tab w:val="right" w:leader="dot" w:pos="9354"/>
        </w:tabs>
        <w:ind w:leftChars="0" w:left="0" w:firstLineChars="100" w:firstLine="210"/>
      </w:pPr>
      <w:hyperlink w:anchor="_Toc14861" w:history="1">
        <w:r>
          <w:t>10.1  合作关系组建</w:t>
        </w:r>
        <w:r>
          <w:tab/>
        </w:r>
        <w:r>
          <w:fldChar w:fldCharType="begin"/>
        </w:r>
        <w:r>
          <w:instrText xml:space="preserve"> PAGEREF _Toc14861 \h </w:instrText>
        </w:r>
        <w:r>
          <w:fldChar w:fldCharType="separate"/>
        </w:r>
        <w:r>
          <w:t>5</w:t>
        </w:r>
        <w:r>
          <w:fldChar w:fldCharType="end"/>
        </w:r>
      </w:hyperlink>
    </w:p>
    <w:p w:rsidR="00107FC3" w:rsidRDefault="00000000">
      <w:pPr>
        <w:pStyle w:val="TOC2"/>
        <w:tabs>
          <w:tab w:val="right" w:leader="dot" w:pos="9354"/>
        </w:tabs>
        <w:ind w:leftChars="0" w:left="0" w:firstLineChars="100" w:firstLine="210"/>
      </w:pPr>
      <w:hyperlink w:anchor="_Toc7516" w:history="1">
        <w:r>
          <w:t>10.2  运作管理</w:t>
        </w:r>
        <w:r>
          <w:tab/>
        </w:r>
        <w:r>
          <w:fldChar w:fldCharType="begin"/>
        </w:r>
        <w:r>
          <w:instrText xml:space="preserve"> PAGEREF _Toc7516 \h </w:instrText>
        </w:r>
        <w:r>
          <w:fldChar w:fldCharType="separate"/>
        </w:r>
        <w:r>
          <w:t>5</w:t>
        </w:r>
        <w:r>
          <w:fldChar w:fldCharType="end"/>
        </w:r>
      </w:hyperlink>
    </w:p>
    <w:p w:rsidR="00107FC3" w:rsidRDefault="00000000">
      <w:pPr>
        <w:pStyle w:val="TOC2"/>
        <w:tabs>
          <w:tab w:val="right" w:leader="dot" w:pos="9354"/>
        </w:tabs>
        <w:ind w:leftChars="0" w:left="0" w:firstLineChars="100" w:firstLine="210"/>
      </w:pPr>
      <w:hyperlink w:anchor="_Toc24989" w:history="1">
        <w:r>
          <w:t>10.3  合作关系结束</w:t>
        </w:r>
        <w:r>
          <w:tab/>
        </w:r>
        <w:r>
          <w:fldChar w:fldCharType="begin"/>
        </w:r>
        <w:r>
          <w:instrText xml:space="preserve"> PAGEREF _Toc24989 \h </w:instrText>
        </w:r>
        <w:r>
          <w:fldChar w:fldCharType="separate"/>
        </w:r>
        <w:r>
          <w:t>6</w:t>
        </w:r>
        <w:r>
          <w:fldChar w:fldCharType="end"/>
        </w:r>
      </w:hyperlink>
    </w:p>
    <w:p w:rsidR="00107FC3" w:rsidRDefault="00000000">
      <w:pPr>
        <w:pStyle w:val="TOC1"/>
        <w:tabs>
          <w:tab w:val="right" w:leader="dot" w:pos="9354"/>
        </w:tabs>
      </w:pPr>
      <w:hyperlink w:anchor="_Toc32702" w:history="1">
        <w:r>
          <w:t>11  治理和过程</w:t>
        </w:r>
        <w:r>
          <w:tab/>
        </w:r>
        <w:r>
          <w:fldChar w:fldCharType="begin"/>
        </w:r>
        <w:r>
          <w:instrText xml:space="preserve"> PAGEREF _Toc32702 \h </w:instrText>
        </w:r>
        <w:r>
          <w:fldChar w:fldCharType="separate"/>
        </w:r>
        <w:r>
          <w:t>6</w:t>
        </w:r>
        <w:r>
          <w:fldChar w:fldCharType="end"/>
        </w:r>
      </w:hyperlink>
    </w:p>
    <w:p w:rsidR="00107FC3" w:rsidRDefault="00000000">
      <w:pPr>
        <w:pStyle w:val="TOC2"/>
        <w:tabs>
          <w:tab w:val="right" w:leader="dot" w:pos="9354"/>
        </w:tabs>
        <w:ind w:leftChars="0" w:left="0" w:firstLineChars="100" w:firstLine="210"/>
      </w:pPr>
      <w:hyperlink w:anchor="_Toc1119" w:history="1">
        <w:r>
          <w:t>11.1  治理框架</w:t>
        </w:r>
        <w:r>
          <w:tab/>
        </w:r>
        <w:r>
          <w:fldChar w:fldCharType="begin"/>
        </w:r>
        <w:r>
          <w:instrText xml:space="preserve"> PAGEREF _Toc1119 \h </w:instrText>
        </w:r>
        <w:r>
          <w:fldChar w:fldCharType="separate"/>
        </w:r>
        <w:r>
          <w:t>6</w:t>
        </w:r>
        <w:r>
          <w:fldChar w:fldCharType="end"/>
        </w:r>
      </w:hyperlink>
    </w:p>
    <w:p w:rsidR="00107FC3" w:rsidRDefault="00000000">
      <w:pPr>
        <w:pStyle w:val="TOC2"/>
        <w:tabs>
          <w:tab w:val="right" w:leader="dot" w:pos="9354"/>
        </w:tabs>
        <w:ind w:leftChars="0" w:left="0" w:firstLineChars="100" w:firstLine="210"/>
      </w:pPr>
      <w:hyperlink w:anchor="_Toc14944" w:history="1">
        <w:r>
          <w:t>11.2  合作规划</w:t>
        </w:r>
        <w:r>
          <w:tab/>
        </w:r>
        <w:r>
          <w:fldChar w:fldCharType="begin"/>
        </w:r>
        <w:r>
          <w:instrText xml:space="preserve"> PAGEREF _Toc14944 \h </w:instrText>
        </w:r>
        <w:r>
          <w:fldChar w:fldCharType="separate"/>
        </w:r>
        <w:r>
          <w:t>6</w:t>
        </w:r>
        <w:r>
          <w:fldChar w:fldCharType="end"/>
        </w:r>
      </w:hyperlink>
    </w:p>
    <w:p w:rsidR="00107FC3" w:rsidRDefault="00000000">
      <w:pPr>
        <w:pStyle w:val="TOC2"/>
        <w:tabs>
          <w:tab w:val="right" w:leader="dot" w:pos="9354"/>
        </w:tabs>
        <w:ind w:leftChars="0" w:left="0" w:firstLineChars="100" w:firstLine="210"/>
      </w:pPr>
      <w:hyperlink w:anchor="_Toc27102" w:history="1">
        <w:r>
          <w:t>11.3  合作执行</w:t>
        </w:r>
        <w:r>
          <w:tab/>
        </w:r>
        <w:r>
          <w:fldChar w:fldCharType="begin"/>
        </w:r>
        <w:r>
          <w:instrText xml:space="preserve"> PAGEREF _Toc27102 \h </w:instrText>
        </w:r>
        <w:r>
          <w:fldChar w:fldCharType="separate"/>
        </w:r>
        <w:r>
          <w:t>6</w:t>
        </w:r>
        <w:r>
          <w:fldChar w:fldCharType="end"/>
        </w:r>
      </w:hyperlink>
    </w:p>
    <w:p w:rsidR="00107FC3" w:rsidRDefault="00000000">
      <w:pPr>
        <w:pStyle w:val="TOC2"/>
        <w:tabs>
          <w:tab w:val="right" w:leader="dot" w:pos="9354"/>
        </w:tabs>
        <w:ind w:leftChars="0" w:left="0" w:firstLineChars="100" w:firstLine="210"/>
      </w:pPr>
      <w:hyperlink w:anchor="_Toc20308" w:history="1">
        <w:r>
          <w:t>11.4  合作协调</w:t>
        </w:r>
        <w:r>
          <w:tab/>
        </w:r>
        <w:r>
          <w:fldChar w:fldCharType="begin"/>
        </w:r>
        <w:r>
          <w:instrText xml:space="preserve"> PAGEREF _Toc20308 \h </w:instrText>
        </w:r>
        <w:r>
          <w:fldChar w:fldCharType="separate"/>
        </w:r>
        <w:r>
          <w:t>7</w:t>
        </w:r>
        <w:r>
          <w:fldChar w:fldCharType="end"/>
        </w:r>
      </w:hyperlink>
    </w:p>
    <w:p w:rsidR="00107FC3" w:rsidRDefault="00000000">
      <w:pPr>
        <w:pStyle w:val="TOC2"/>
        <w:tabs>
          <w:tab w:val="right" w:leader="dot" w:pos="9354"/>
        </w:tabs>
        <w:ind w:leftChars="0" w:left="0" w:firstLineChars="100" w:firstLine="210"/>
      </w:pPr>
      <w:hyperlink w:anchor="_Toc18892" w:history="1">
        <w:r>
          <w:t>11.5  合作评估</w:t>
        </w:r>
        <w:r>
          <w:tab/>
        </w:r>
        <w:r>
          <w:fldChar w:fldCharType="begin"/>
        </w:r>
        <w:r>
          <w:instrText xml:space="preserve"> PAGEREF _Toc18892 \h </w:instrText>
        </w:r>
        <w:r>
          <w:fldChar w:fldCharType="separate"/>
        </w:r>
        <w:r>
          <w:t>7</w:t>
        </w:r>
        <w:r>
          <w:fldChar w:fldCharType="end"/>
        </w:r>
      </w:hyperlink>
    </w:p>
    <w:p w:rsidR="00107FC3" w:rsidRDefault="00000000">
      <w:pPr>
        <w:pStyle w:val="TOC2"/>
        <w:tabs>
          <w:tab w:val="right" w:leader="dot" w:pos="9354"/>
        </w:tabs>
        <w:ind w:leftChars="0" w:left="0" w:firstLineChars="100" w:firstLine="210"/>
      </w:pPr>
      <w:hyperlink w:anchor="_Toc1478" w:history="1">
        <w:r>
          <w:t>11.6  人才培养</w:t>
        </w:r>
        <w:r>
          <w:tab/>
        </w:r>
        <w:r>
          <w:fldChar w:fldCharType="begin"/>
        </w:r>
        <w:r>
          <w:instrText xml:space="preserve"> PAGEREF _Toc1478 \h </w:instrText>
        </w:r>
        <w:r>
          <w:fldChar w:fldCharType="separate"/>
        </w:r>
        <w:r>
          <w:t>7</w:t>
        </w:r>
        <w:r>
          <w:fldChar w:fldCharType="end"/>
        </w:r>
      </w:hyperlink>
    </w:p>
    <w:p w:rsidR="00107FC3" w:rsidRDefault="00000000">
      <w:pPr>
        <w:pStyle w:val="TOC1"/>
        <w:tabs>
          <w:tab w:val="right" w:leader="dot" w:pos="9354"/>
        </w:tabs>
      </w:pPr>
      <w:hyperlink w:anchor="_Toc3045" w:history="1">
        <w:r>
          <w:t>12  合作能力和行为</w:t>
        </w:r>
        <w:r>
          <w:tab/>
        </w:r>
        <w:r>
          <w:fldChar w:fldCharType="begin"/>
        </w:r>
        <w:r>
          <w:instrText xml:space="preserve"> PAGEREF _Toc3045 \h </w:instrText>
        </w:r>
        <w:r>
          <w:fldChar w:fldCharType="separate"/>
        </w:r>
        <w:r>
          <w:t>7</w:t>
        </w:r>
        <w:r>
          <w:fldChar w:fldCharType="end"/>
        </w:r>
      </w:hyperlink>
    </w:p>
    <w:p w:rsidR="00107FC3" w:rsidRDefault="00000000">
      <w:pPr>
        <w:pStyle w:val="TOC2"/>
        <w:tabs>
          <w:tab w:val="right" w:leader="dot" w:pos="9354"/>
        </w:tabs>
        <w:ind w:leftChars="0" w:left="0" w:firstLineChars="100" w:firstLine="210"/>
      </w:pPr>
      <w:hyperlink w:anchor="_Toc22226" w:history="1">
        <w:r>
          <w:t>12.1  供应链协作机制</w:t>
        </w:r>
        <w:r>
          <w:tab/>
        </w:r>
        <w:r>
          <w:fldChar w:fldCharType="begin"/>
        </w:r>
        <w:r>
          <w:instrText xml:space="preserve"> PAGEREF _Toc22226 \h </w:instrText>
        </w:r>
        <w:r>
          <w:fldChar w:fldCharType="separate"/>
        </w:r>
        <w:r>
          <w:t>7</w:t>
        </w:r>
        <w:r>
          <w:fldChar w:fldCharType="end"/>
        </w:r>
      </w:hyperlink>
    </w:p>
    <w:p w:rsidR="00107FC3" w:rsidRDefault="00000000">
      <w:pPr>
        <w:pStyle w:val="TOC2"/>
        <w:tabs>
          <w:tab w:val="right" w:leader="dot" w:pos="9354"/>
        </w:tabs>
        <w:ind w:leftChars="0" w:left="0" w:firstLineChars="100" w:firstLine="210"/>
      </w:pPr>
      <w:hyperlink w:anchor="_Toc31705" w:history="1">
        <w:r>
          <w:t>12.2  供应链数字化策略</w:t>
        </w:r>
        <w:r>
          <w:tab/>
        </w:r>
        <w:r>
          <w:fldChar w:fldCharType="begin"/>
        </w:r>
        <w:r>
          <w:instrText xml:space="preserve"> PAGEREF _Toc31705 \h </w:instrText>
        </w:r>
        <w:r>
          <w:fldChar w:fldCharType="separate"/>
        </w:r>
        <w:r>
          <w:t>7</w:t>
        </w:r>
        <w:r>
          <w:fldChar w:fldCharType="end"/>
        </w:r>
      </w:hyperlink>
    </w:p>
    <w:p w:rsidR="00107FC3" w:rsidRDefault="00000000">
      <w:pPr>
        <w:pStyle w:val="TOC2"/>
        <w:tabs>
          <w:tab w:val="right" w:leader="dot" w:pos="9354"/>
        </w:tabs>
        <w:ind w:leftChars="0" w:left="0" w:firstLineChars="100" w:firstLine="210"/>
      </w:pPr>
      <w:hyperlink w:anchor="_Toc25166" w:history="1">
        <w:r>
          <w:t>12.3  资源最优配置</w:t>
        </w:r>
        <w:r>
          <w:tab/>
        </w:r>
        <w:r>
          <w:fldChar w:fldCharType="begin"/>
        </w:r>
        <w:r>
          <w:instrText xml:space="preserve"> PAGEREF _Toc25166 \h </w:instrText>
        </w:r>
        <w:r>
          <w:fldChar w:fldCharType="separate"/>
        </w:r>
        <w:r>
          <w:t>7</w:t>
        </w:r>
        <w:r>
          <w:fldChar w:fldCharType="end"/>
        </w:r>
      </w:hyperlink>
    </w:p>
    <w:p w:rsidR="00107FC3" w:rsidRDefault="00000000">
      <w:pPr>
        <w:pStyle w:val="TOC2"/>
        <w:tabs>
          <w:tab w:val="right" w:leader="dot" w:pos="9354"/>
        </w:tabs>
        <w:ind w:leftChars="0" w:left="0" w:firstLineChars="100" w:firstLine="210"/>
      </w:pPr>
      <w:hyperlink w:anchor="_Toc14725" w:history="1">
        <w:r>
          <w:t>12.4  全球化发展策略</w:t>
        </w:r>
        <w:r>
          <w:tab/>
        </w:r>
        <w:r>
          <w:fldChar w:fldCharType="begin"/>
        </w:r>
        <w:r>
          <w:instrText xml:space="preserve"> PAGEREF _Toc14725 \h </w:instrText>
        </w:r>
        <w:r>
          <w:fldChar w:fldCharType="separate"/>
        </w:r>
        <w:r>
          <w:t>7</w:t>
        </w:r>
        <w:r>
          <w:fldChar w:fldCharType="end"/>
        </w:r>
      </w:hyperlink>
    </w:p>
    <w:p w:rsidR="00107FC3" w:rsidRDefault="00000000">
      <w:pPr>
        <w:pStyle w:val="TOC1"/>
        <w:tabs>
          <w:tab w:val="right" w:leader="dot" w:pos="9354"/>
        </w:tabs>
      </w:pPr>
      <w:hyperlink w:anchor="_Toc12944" w:history="1">
        <w:r>
          <w:t>13  价值创造</w:t>
        </w:r>
        <w:r>
          <w:tab/>
        </w:r>
        <w:r>
          <w:fldChar w:fldCharType="begin"/>
        </w:r>
        <w:r>
          <w:instrText xml:space="preserve"> PAGEREF _Toc12944 \h </w:instrText>
        </w:r>
        <w:r>
          <w:fldChar w:fldCharType="separate"/>
        </w:r>
        <w:r>
          <w:t>7</w:t>
        </w:r>
        <w:r>
          <w:fldChar w:fldCharType="end"/>
        </w:r>
      </w:hyperlink>
    </w:p>
    <w:p w:rsidR="00107FC3" w:rsidRDefault="00000000">
      <w:pPr>
        <w:pStyle w:val="TOC2"/>
        <w:tabs>
          <w:tab w:val="right" w:leader="dot" w:pos="9354"/>
        </w:tabs>
        <w:ind w:leftChars="0" w:left="0" w:firstLineChars="100" w:firstLine="210"/>
      </w:pPr>
      <w:hyperlink w:anchor="_Toc12297" w:history="1">
        <w:r>
          <w:t>13.1  政策支持与引导</w:t>
        </w:r>
        <w:r>
          <w:tab/>
        </w:r>
        <w:r>
          <w:fldChar w:fldCharType="begin"/>
        </w:r>
        <w:r>
          <w:instrText xml:space="preserve"> PAGEREF _Toc12297 \h </w:instrText>
        </w:r>
        <w:r>
          <w:fldChar w:fldCharType="separate"/>
        </w:r>
        <w:r>
          <w:t>7</w:t>
        </w:r>
        <w:r>
          <w:fldChar w:fldCharType="end"/>
        </w:r>
      </w:hyperlink>
    </w:p>
    <w:p w:rsidR="00107FC3" w:rsidRDefault="00000000">
      <w:pPr>
        <w:pStyle w:val="TOC2"/>
        <w:tabs>
          <w:tab w:val="right" w:leader="dot" w:pos="9354"/>
        </w:tabs>
        <w:ind w:leftChars="0" w:left="0" w:firstLineChars="100" w:firstLine="210"/>
      </w:pPr>
      <w:hyperlink w:anchor="_Toc4027" w:history="1">
        <w:r>
          <w:t>13.2  创新驱动</w:t>
        </w:r>
        <w:r>
          <w:tab/>
        </w:r>
        <w:r>
          <w:fldChar w:fldCharType="begin"/>
        </w:r>
        <w:r>
          <w:instrText xml:space="preserve"> PAGEREF _Toc4027 \h </w:instrText>
        </w:r>
        <w:r>
          <w:fldChar w:fldCharType="separate"/>
        </w:r>
        <w:r>
          <w:t>8</w:t>
        </w:r>
        <w:r>
          <w:fldChar w:fldCharType="end"/>
        </w:r>
      </w:hyperlink>
    </w:p>
    <w:p w:rsidR="00107FC3" w:rsidRDefault="00000000">
      <w:pPr>
        <w:pStyle w:val="TOC2"/>
        <w:tabs>
          <w:tab w:val="right" w:leader="dot" w:pos="9354"/>
        </w:tabs>
        <w:ind w:leftChars="0" w:left="0" w:firstLineChars="100" w:firstLine="210"/>
      </w:pPr>
      <w:hyperlink w:anchor="_Toc29311" w:history="1">
        <w:r>
          <w:t>13.3  供应链整合</w:t>
        </w:r>
        <w:r>
          <w:tab/>
        </w:r>
        <w:r>
          <w:fldChar w:fldCharType="begin"/>
        </w:r>
        <w:r>
          <w:instrText xml:space="preserve"> PAGEREF _Toc29311 \h </w:instrText>
        </w:r>
        <w:r>
          <w:fldChar w:fldCharType="separate"/>
        </w:r>
        <w:r>
          <w:t>8</w:t>
        </w:r>
        <w:r>
          <w:fldChar w:fldCharType="end"/>
        </w:r>
      </w:hyperlink>
    </w:p>
    <w:p w:rsidR="00107FC3" w:rsidRDefault="00000000">
      <w:pPr>
        <w:pStyle w:val="TOC2"/>
        <w:tabs>
          <w:tab w:val="right" w:leader="dot" w:pos="9354"/>
        </w:tabs>
        <w:ind w:leftChars="0" w:left="0" w:firstLineChars="100" w:firstLine="210"/>
      </w:pPr>
      <w:hyperlink w:anchor="_Toc26136" w:history="1">
        <w:r>
          <w:t>13.4  协同发展</w:t>
        </w:r>
        <w:r>
          <w:tab/>
        </w:r>
        <w:r>
          <w:fldChar w:fldCharType="begin"/>
        </w:r>
        <w:r>
          <w:instrText xml:space="preserve"> PAGEREF _Toc26136 \h </w:instrText>
        </w:r>
        <w:r>
          <w:fldChar w:fldCharType="separate"/>
        </w:r>
        <w:r>
          <w:t>8</w:t>
        </w:r>
        <w:r>
          <w:fldChar w:fldCharType="end"/>
        </w:r>
      </w:hyperlink>
    </w:p>
    <w:p w:rsidR="00107FC3" w:rsidRDefault="00000000">
      <w:pPr>
        <w:pStyle w:val="TOC2"/>
        <w:tabs>
          <w:tab w:val="right" w:leader="dot" w:pos="9354"/>
        </w:tabs>
        <w:ind w:leftChars="0" w:left="0" w:firstLineChars="100" w:firstLine="210"/>
      </w:pPr>
      <w:hyperlink w:anchor="_Toc4947" w:history="1">
        <w:r>
          <w:t>13.5  可持续发展</w:t>
        </w:r>
        <w:r>
          <w:tab/>
        </w:r>
        <w:r>
          <w:fldChar w:fldCharType="begin"/>
        </w:r>
        <w:r>
          <w:instrText xml:space="preserve"> PAGEREF _Toc4947 \h </w:instrText>
        </w:r>
        <w:r>
          <w:fldChar w:fldCharType="separate"/>
        </w:r>
        <w:r>
          <w:t>8</w:t>
        </w:r>
        <w:r>
          <w:fldChar w:fldCharType="end"/>
        </w:r>
      </w:hyperlink>
    </w:p>
    <w:p w:rsidR="00107FC3" w:rsidRDefault="00000000">
      <w:pPr>
        <w:pStyle w:val="TOC2"/>
        <w:tabs>
          <w:tab w:val="right" w:leader="dot" w:pos="9354"/>
        </w:tabs>
        <w:ind w:leftChars="0" w:left="0" w:firstLineChars="100" w:firstLine="210"/>
      </w:pPr>
      <w:hyperlink w:anchor="_Toc29594" w:history="1">
        <w:r>
          <w:t>13.6  人才培养</w:t>
        </w:r>
        <w:r>
          <w:tab/>
        </w:r>
        <w:r>
          <w:fldChar w:fldCharType="begin"/>
        </w:r>
        <w:r>
          <w:instrText xml:space="preserve"> PAGEREF _Toc29594 \h </w:instrText>
        </w:r>
        <w:r>
          <w:fldChar w:fldCharType="separate"/>
        </w:r>
        <w:r>
          <w:t>8</w:t>
        </w:r>
        <w:r>
          <w:fldChar w:fldCharType="end"/>
        </w:r>
      </w:hyperlink>
    </w:p>
    <w:p w:rsidR="00107FC3" w:rsidRDefault="00000000">
      <w:pPr>
        <w:pStyle w:val="TOC1"/>
        <w:tabs>
          <w:tab w:val="right" w:leader="dot" w:pos="9354"/>
        </w:tabs>
      </w:pPr>
      <w:hyperlink w:anchor="_Toc7908" w:history="1">
        <w:r>
          <w:t>14  风险管理</w:t>
        </w:r>
        <w:r>
          <w:tab/>
        </w:r>
        <w:r>
          <w:fldChar w:fldCharType="begin"/>
        </w:r>
        <w:r>
          <w:instrText xml:space="preserve"> PAGEREF _Toc7908 \h </w:instrText>
        </w:r>
        <w:r>
          <w:fldChar w:fldCharType="separate"/>
        </w:r>
        <w:r>
          <w:t>8</w:t>
        </w:r>
        <w:r>
          <w:fldChar w:fldCharType="end"/>
        </w:r>
      </w:hyperlink>
    </w:p>
    <w:p w:rsidR="00107FC3" w:rsidRDefault="00000000">
      <w:pPr>
        <w:pStyle w:val="TOC2"/>
        <w:tabs>
          <w:tab w:val="right" w:leader="dot" w:pos="9354"/>
        </w:tabs>
        <w:ind w:leftChars="0" w:left="0" w:firstLineChars="100" w:firstLine="210"/>
      </w:pPr>
      <w:hyperlink w:anchor="_Toc12755" w:history="1">
        <w:r>
          <w:t>14.1  建立风险评估机制</w:t>
        </w:r>
        <w:r>
          <w:tab/>
        </w:r>
        <w:r>
          <w:fldChar w:fldCharType="begin"/>
        </w:r>
        <w:r>
          <w:instrText xml:space="preserve"> PAGEREF _Toc12755 \h </w:instrText>
        </w:r>
        <w:r>
          <w:fldChar w:fldCharType="separate"/>
        </w:r>
        <w:r>
          <w:t>8</w:t>
        </w:r>
        <w:r>
          <w:fldChar w:fldCharType="end"/>
        </w:r>
      </w:hyperlink>
    </w:p>
    <w:p w:rsidR="00107FC3" w:rsidRDefault="00000000">
      <w:pPr>
        <w:pStyle w:val="TOC2"/>
        <w:tabs>
          <w:tab w:val="right" w:leader="dot" w:pos="9354"/>
        </w:tabs>
        <w:ind w:leftChars="0" w:left="0" w:firstLineChars="100" w:firstLine="210"/>
      </w:pPr>
      <w:hyperlink w:anchor="_Toc29326" w:history="1">
        <w:r>
          <w:t>14.2  合作伙伴风险调查</w:t>
        </w:r>
        <w:r>
          <w:tab/>
        </w:r>
        <w:r>
          <w:fldChar w:fldCharType="begin"/>
        </w:r>
        <w:r>
          <w:instrText xml:space="preserve"> PAGEREF _Toc29326 \h </w:instrText>
        </w:r>
        <w:r>
          <w:fldChar w:fldCharType="separate"/>
        </w:r>
        <w:r>
          <w:t>8</w:t>
        </w:r>
        <w:r>
          <w:fldChar w:fldCharType="end"/>
        </w:r>
      </w:hyperlink>
    </w:p>
    <w:p w:rsidR="00107FC3" w:rsidRDefault="00000000">
      <w:pPr>
        <w:pStyle w:val="TOC2"/>
        <w:tabs>
          <w:tab w:val="right" w:leader="dot" w:pos="9354"/>
        </w:tabs>
        <w:ind w:leftChars="0" w:left="0" w:firstLineChars="100" w:firstLine="210"/>
      </w:pPr>
      <w:hyperlink w:anchor="_Toc23542" w:history="1">
        <w:r>
          <w:t>14.3  强化风险预警和应对准备</w:t>
        </w:r>
        <w:r>
          <w:tab/>
        </w:r>
        <w:r>
          <w:fldChar w:fldCharType="begin"/>
        </w:r>
        <w:r>
          <w:instrText xml:space="preserve"> PAGEREF _Toc23542 \h </w:instrText>
        </w:r>
        <w:r>
          <w:fldChar w:fldCharType="separate"/>
        </w:r>
        <w:r>
          <w:t>9</w:t>
        </w:r>
        <w:r>
          <w:fldChar w:fldCharType="end"/>
        </w:r>
      </w:hyperlink>
    </w:p>
    <w:p w:rsidR="00107FC3" w:rsidRDefault="00000000">
      <w:pPr>
        <w:pStyle w:val="TOC2"/>
        <w:tabs>
          <w:tab w:val="right" w:leader="dot" w:pos="9354"/>
        </w:tabs>
        <w:ind w:leftChars="0" w:left="0" w:firstLineChars="100" w:firstLine="210"/>
      </w:pPr>
      <w:hyperlink w:anchor="_Toc5225" w:history="1">
        <w:r>
          <w:t>14.4  构建风险控制文化</w:t>
        </w:r>
        <w:r>
          <w:tab/>
        </w:r>
        <w:r>
          <w:fldChar w:fldCharType="begin"/>
        </w:r>
        <w:r>
          <w:instrText xml:space="preserve"> PAGEREF _Toc5225 \h </w:instrText>
        </w:r>
        <w:r>
          <w:fldChar w:fldCharType="separate"/>
        </w:r>
        <w:r>
          <w:t>9</w:t>
        </w:r>
        <w:r>
          <w:fldChar w:fldCharType="end"/>
        </w:r>
      </w:hyperlink>
    </w:p>
    <w:p w:rsidR="00107FC3" w:rsidRDefault="00000000">
      <w:pPr>
        <w:pStyle w:val="TOC1"/>
        <w:tabs>
          <w:tab w:val="right" w:leader="dot" w:pos="9354"/>
        </w:tabs>
      </w:pPr>
      <w:hyperlink w:anchor="_Toc26304" w:history="1">
        <w:r>
          <w:t>15  退出策略</w:t>
        </w:r>
        <w:r>
          <w:tab/>
        </w:r>
        <w:r>
          <w:fldChar w:fldCharType="begin"/>
        </w:r>
        <w:r>
          <w:instrText xml:space="preserve"> PAGEREF _Toc26304 \h </w:instrText>
        </w:r>
        <w:r>
          <w:fldChar w:fldCharType="separate"/>
        </w:r>
        <w:r>
          <w:t>9</w:t>
        </w:r>
        <w:r>
          <w:fldChar w:fldCharType="end"/>
        </w:r>
      </w:hyperlink>
    </w:p>
    <w:p w:rsidR="00107FC3" w:rsidRDefault="00000000">
      <w:pPr>
        <w:pStyle w:val="TOC2"/>
        <w:tabs>
          <w:tab w:val="right" w:leader="dot" w:pos="9354"/>
        </w:tabs>
        <w:ind w:leftChars="0" w:left="0" w:firstLineChars="100" w:firstLine="210"/>
      </w:pPr>
      <w:hyperlink w:anchor="_Toc12186" w:history="1">
        <w:r>
          <w:t>15.1  合同终止条款</w:t>
        </w:r>
        <w:r>
          <w:tab/>
        </w:r>
        <w:r>
          <w:fldChar w:fldCharType="begin"/>
        </w:r>
        <w:r>
          <w:instrText xml:space="preserve"> PAGEREF _Toc12186 \h </w:instrText>
        </w:r>
        <w:r>
          <w:fldChar w:fldCharType="separate"/>
        </w:r>
        <w:r>
          <w:t>9</w:t>
        </w:r>
        <w:r>
          <w:fldChar w:fldCharType="end"/>
        </w:r>
      </w:hyperlink>
    </w:p>
    <w:p w:rsidR="00107FC3" w:rsidRDefault="00000000">
      <w:pPr>
        <w:pStyle w:val="TOC2"/>
        <w:tabs>
          <w:tab w:val="right" w:leader="dot" w:pos="9354"/>
        </w:tabs>
        <w:ind w:leftChars="0" w:left="0" w:firstLineChars="100" w:firstLine="210"/>
      </w:pPr>
      <w:hyperlink w:anchor="_Toc15517" w:history="1">
        <w:r>
          <w:t>15.2  资产分配</w:t>
        </w:r>
        <w:r>
          <w:tab/>
        </w:r>
        <w:r>
          <w:fldChar w:fldCharType="begin"/>
        </w:r>
        <w:r>
          <w:instrText xml:space="preserve"> PAGEREF _Toc15517 \h </w:instrText>
        </w:r>
        <w:r>
          <w:fldChar w:fldCharType="separate"/>
        </w:r>
        <w:r>
          <w:t>9</w:t>
        </w:r>
        <w:r>
          <w:fldChar w:fldCharType="end"/>
        </w:r>
      </w:hyperlink>
    </w:p>
    <w:p w:rsidR="00107FC3" w:rsidRDefault="00000000">
      <w:pPr>
        <w:pStyle w:val="TOC2"/>
        <w:tabs>
          <w:tab w:val="right" w:leader="dot" w:pos="9354"/>
        </w:tabs>
        <w:ind w:leftChars="0" w:left="0" w:firstLineChars="100" w:firstLine="210"/>
      </w:pPr>
      <w:hyperlink w:anchor="_Toc10580" w:history="1">
        <w:r>
          <w:t>15.3  知识转移</w:t>
        </w:r>
        <w:r>
          <w:tab/>
        </w:r>
        <w:r>
          <w:fldChar w:fldCharType="begin"/>
        </w:r>
        <w:r>
          <w:instrText xml:space="preserve"> PAGEREF _Toc10580 \h </w:instrText>
        </w:r>
        <w:r>
          <w:fldChar w:fldCharType="separate"/>
        </w:r>
        <w:r>
          <w:t>9</w:t>
        </w:r>
        <w:r>
          <w:fldChar w:fldCharType="end"/>
        </w:r>
      </w:hyperlink>
    </w:p>
    <w:p w:rsidR="00107FC3" w:rsidRDefault="00000000">
      <w:pPr>
        <w:pStyle w:val="TOC2"/>
        <w:tabs>
          <w:tab w:val="right" w:leader="dot" w:pos="9354"/>
        </w:tabs>
        <w:ind w:leftChars="0" w:left="0" w:firstLineChars="100" w:firstLine="210"/>
      </w:pPr>
      <w:hyperlink w:anchor="_Toc2206" w:history="1">
        <w:r>
          <w:t>15.4  争议解决机制</w:t>
        </w:r>
        <w:r>
          <w:tab/>
        </w:r>
        <w:r>
          <w:fldChar w:fldCharType="begin"/>
        </w:r>
        <w:r>
          <w:instrText xml:space="preserve"> PAGEREF _Toc2206 \h </w:instrText>
        </w:r>
        <w:r>
          <w:fldChar w:fldCharType="separate"/>
        </w:r>
        <w:r>
          <w:t>10</w:t>
        </w:r>
        <w:r>
          <w:fldChar w:fldCharType="end"/>
        </w:r>
      </w:hyperlink>
    </w:p>
    <w:p w:rsidR="00107FC3" w:rsidRDefault="00000000">
      <w:pPr>
        <w:pStyle w:val="TOC2"/>
        <w:tabs>
          <w:tab w:val="right" w:leader="dot" w:pos="9354"/>
        </w:tabs>
        <w:ind w:leftChars="0" w:left="0" w:firstLineChars="100" w:firstLine="210"/>
      </w:pPr>
      <w:hyperlink w:anchor="_Toc6242" w:history="1">
        <w:r>
          <w:t>15.5  退出后的支持</w:t>
        </w:r>
        <w:r>
          <w:tab/>
        </w:r>
        <w:r>
          <w:fldChar w:fldCharType="begin"/>
        </w:r>
        <w:r>
          <w:instrText xml:space="preserve"> PAGEREF _Toc6242 \h </w:instrText>
        </w:r>
        <w:r>
          <w:fldChar w:fldCharType="separate"/>
        </w:r>
        <w:r>
          <w:t>10</w:t>
        </w:r>
        <w:r>
          <w:fldChar w:fldCharType="end"/>
        </w:r>
      </w:hyperlink>
    </w:p>
    <w:p w:rsidR="00107FC3" w:rsidRDefault="00000000">
      <w:pPr>
        <w:pStyle w:val="TOC2"/>
        <w:tabs>
          <w:tab w:val="right" w:leader="dot" w:pos="9354"/>
        </w:tabs>
        <w:ind w:leftChars="0" w:left="0" w:firstLineChars="100" w:firstLine="210"/>
      </w:pPr>
      <w:hyperlink w:anchor="_Toc18011" w:history="1">
        <w:r>
          <w:t>15.6  定期评估与调整</w:t>
        </w:r>
        <w:r>
          <w:tab/>
        </w:r>
        <w:r>
          <w:fldChar w:fldCharType="begin"/>
        </w:r>
        <w:r>
          <w:instrText xml:space="preserve"> PAGEREF _Toc18011 \h </w:instrText>
        </w:r>
        <w:r>
          <w:fldChar w:fldCharType="separate"/>
        </w:r>
        <w:r>
          <w:t>10</w:t>
        </w:r>
        <w:r>
          <w:fldChar w:fldCharType="end"/>
        </w:r>
      </w:hyperlink>
    </w:p>
    <w:p w:rsidR="00107FC3" w:rsidRDefault="00000000">
      <w:pPr>
        <w:pStyle w:val="TOC1"/>
        <w:tabs>
          <w:tab w:val="right" w:leader="dot" w:pos="9354"/>
        </w:tabs>
      </w:pPr>
      <w:hyperlink w:anchor="_Toc12819" w:history="1">
        <w:r>
          <w:t>16  关系测量和优化</w:t>
        </w:r>
        <w:r>
          <w:tab/>
        </w:r>
        <w:r>
          <w:fldChar w:fldCharType="begin"/>
        </w:r>
        <w:r>
          <w:instrText xml:space="preserve"> PAGEREF _Toc12819 \h </w:instrText>
        </w:r>
        <w:r>
          <w:fldChar w:fldCharType="separate"/>
        </w:r>
        <w:r>
          <w:t>10</w:t>
        </w:r>
        <w:r>
          <w:fldChar w:fldCharType="end"/>
        </w:r>
      </w:hyperlink>
    </w:p>
    <w:p w:rsidR="00107FC3" w:rsidRDefault="00000000">
      <w:pPr>
        <w:pStyle w:val="TOC2"/>
        <w:tabs>
          <w:tab w:val="right" w:leader="dot" w:pos="9354"/>
        </w:tabs>
        <w:ind w:leftChars="0" w:left="0" w:firstLineChars="100" w:firstLine="210"/>
      </w:pPr>
      <w:hyperlink w:anchor="_Toc9653" w:history="1">
        <w:r>
          <w:t>16.1  交货准时率</w:t>
        </w:r>
        <w:r>
          <w:tab/>
        </w:r>
        <w:r>
          <w:fldChar w:fldCharType="begin"/>
        </w:r>
        <w:r>
          <w:instrText xml:space="preserve"> PAGEREF _Toc9653 \h </w:instrText>
        </w:r>
        <w:r>
          <w:fldChar w:fldCharType="separate"/>
        </w:r>
        <w:r>
          <w:t>10</w:t>
        </w:r>
        <w:r>
          <w:fldChar w:fldCharType="end"/>
        </w:r>
      </w:hyperlink>
    </w:p>
    <w:p w:rsidR="00107FC3" w:rsidRDefault="00000000">
      <w:pPr>
        <w:pStyle w:val="TOC2"/>
        <w:tabs>
          <w:tab w:val="right" w:leader="dot" w:pos="9354"/>
        </w:tabs>
        <w:ind w:leftChars="0" w:left="0" w:firstLineChars="100" w:firstLine="210"/>
      </w:pPr>
      <w:hyperlink w:anchor="_Toc8034" w:history="1">
        <w:r>
          <w:t>16.2  产品质量</w:t>
        </w:r>
        <w:r>
          <w:tab/>
        </w:r>
        <w:r>
          <w:fldChar w:fldCharType="begin"/>
        </w:r>
        <w:r>
          <w:instrText xml:space="preserve"> PAGEREF _Toc8034 \h </w:instrText>
        </w:r>
        <w:r>
          <w:fldChar w:fldCharType="separate"/>
        </w:r>
        <w:r>
          <w:t>10</w:t>
        </w:r>
        <w:r>
          <w:fldChar w:fldCharType="end"/>
        </w:r>
      </w:hyperlink>
    </w:p>
    <w:p w:rsidR="00107FC3" w:rsidRDefault="00000000">
      <w:pPr>
        <w:pStyle w:val="TOC2"/>
        <w:tabs>
          <w:tab w:val="right" w:leader="dot" w:pos="9354"/>
        </w:tabs>
        <w:ind w:leftChars="0" w:left="0" w:firstLineChars="100" w:firstLine="210"/>
      </w:pPr>
      <w:hyperlink w:anchor="_Toc2512" w:history="1">
        <w:r>
          <w:t>16.3  成本效益</w:t>
        </w:r>
        <w:r>
          <w:tab/>
        </w:r>
        <w:r>
          <w:fldChar w:fldCharType="begin"/>
        </w:r>
        <w:r>
          <w:instrText xml:space="preserve"> PAGEREF _Toc2512 \h </w:instrText>
        </w:r>
        <w:r>
          <w:fldChar w:fldCharType="separate"/>
        </w:r>
        <w:r>
          <w:t>10</w:t>
        </w:r>
        <w:r>
          <w:fldChar w:fldCharType="end"/>
        </w:r>
      </w:hyperlink>
    </w:p>
    <w:p w:rsidR="00107FC3" w:rsidRDefault="00000000">
      <w:pPr>
        <w:pStyle w:val="TOC2"/>
        <w:tabs>
          <w:tab w:val="right" w:leader="dot" w:pos="9354"/>
        </w:tabs>
        <w:ind w:leftChars="0" w:left="0" w:firstLineChars="100" w:firstLine="210"/>
      </w:pPr>
      <w:hyperlink w:anchor="_Toc1175" w:history="1">
        <w:r>
          <w:t>16.4  创新能力</w:t>
        </w:r>
        <w:r>
          <w:tab/>
        </w:r>
        <w:r>
          <w:fldChar w:fldCharType="begin"/>
        </w:r>
        <w:r>
          <w:instrText xml:space="preserve"> PAGEREF _Toc1175 \h </w:instrText>
        </w:r>
        <w:r>
          <w:fldChar w:fldCharType="separate"/>
        </w:r>
        <w:r>
          <w:t>10</w:t>
        </w:r>
        <w:r>
          <w:fldChar w:fldCharType="end"/>
        </w:r>
      </w:hyperlink>
    </w:p>
    <w:p w:rsidR="00107FC3" w:rsidRDefault="00000000">
      <w:pPr>
        <w:pStyle w:val="TOC2"/>
        <w:tabs>
          <w:tab w:val="right" w:leader="dot" w:pos="9354"/>
        </w:tabs>
        <w:ind w:leftChars="0" w:left="0" w:firstLineChars="100" w:firstLine="210"/>
      </w:pPr>
      <w:hyperlink w:anchor="_Toc25793" w:history="1">
        <w:r>
          <w:t>16.5  信息共享程度</w:t>
        </w:r>
        <w:r>
          <w:tab/>
        </w:r>
        <w:r>
          <w:fldChar w:fldCharType="begin"/>
        </w:r>
        <w:r>
          <w:instrText xml:space="preserve"> PAGEREF _Toc25793 \h </w:instrText>
        </w:r>
        <w:r>
          <w:fldChar w:fldCharType="separate"/>
        </w:r>
        <w:r>
          <w:t>10</w:t>
        </w:r>
        <w:r>
          <w:fldChar w:fldCharType="end"/>
        </w:r>
      </w:hyperlink>
    </w:p>
    <w:p w:rsidR="00107FC3" w:rsidRDefault="00000000">
      <w:pPr>
        <w:pStyle w:val="TOC2"/>
        <w:tabs>
          <w:tab w:val="right" w:leader="dot" w:pos="9354"/>
        </w:tabs>
        <w:ind w:leftChars="0" w:left="0" w:firstLineChars="100" w:firstLine="210"/>
      </w:pPr>
      <w:hyperlink w:anchor="_Toc5809" w:history="1">
        <w:r>
          <w:t>16.6  风险管理能力</w:t>
        </w:r>
        <w:r>
          <w:tab/>
        </w:r>
        <w:r>
          <w:fldChar w:fldCharType="begin"/>
        </w:r>
        <w:r>
          <w:instrText xml:space="preserve"> PAGEREF _Toc5809 \h </w:instrText>
        </w:r>
        <w:r>
          <w:fldChar w:fldCharType="separate"/>
        </w:r>
        <w:r>
          <w:t>10</w:t>
        </w:r>
        <w:r>
          <w:fldChar w:fldCharType="end"/>
        </w:r>
      </w:hyperlink>
    </w:p>
    <w:p w:rsidR="00107FC3" w:rsidRDefault="00000000">
      <w:pPr>
        <w:pStyle w:val="TOC2"/>
        <w:tabs>
          <w:tab w:val="right" w:leader="dot" w:pos="9354"/>
        </w:tabs>
        <w:ind w:leftChars="0" w:left="0" w:firstLineChars="100" w:firstLine="210"/>
      </w:pPr>
      <w:hyperlink w:anchor="_Toc32195" w:history="1">
        <w:r>
          <w:t>16.7  持续改进率</w:t>
        </w:r>
        <w:r>
          <w:tab/>
        </w:r>
        <w:r>
          <w:fldChar w:fldCharType="begin"/>
        </w:r>
        <w:r>
          <w:instrText xml:space="preserve"> PAGEREF _Toc32195 \h </w:instrText>
        </w:r>
        <w:r>
          <w:fldChar w:fldCharType="separate"/>
        </w:r>
        <w:r>
          <w:t>10</w:t>
        </w:r>
        <w:r>
          <w:fldChar w:fldCharType="end"/>
        </w:r>
      </w:hyperlink>
    </w:p>
    <w:p w:rsidR="00107FC3" w:rsidRDefault="00000000">
      <w:pPr>
        <w:pStyle w:val="TOC1"/>
        <w:tabs>
          <w:tab w:val="right" w:leader="dot" w:pos="9354"/>
        </w:tabs>
      </w:pPr>
      <w:hyperlink w:anchor="_Toc13656" w:history="1">
        <w:r>
          <w:t>17  基于特定产业链的供应链合作</w:t>
        </w:r>
        <w:r>
          <w:tab/>
        </w:r>
        <w:r>
          <w:fldChar w:fldCharType="begin"/>
        </w:r>
        <w:r>
          <w:instrText xml:space="preserve"> PAGEREF _Toc13656 \h </w:instrText>
        </w:r>
        <w:r>
          <w:fldChar w:fldCharType="separate"/>
        </w:r>
        <w:r>
          <w:t>11</w:t>
        </w:r>
        <w:r>
          <w:fldChar w:fldCharType="end"/>
        </w:r>
      </w:hyperlink>
    </w:p>
    <w:p w:rsidR="00107FC3" w:rsidRDefault="00000000">
      <w:pPr>
        <w:pStyle w:val="TOC1"/>
        <w:tabs>
          <w:tab w:val="right" w:leader="dot" w:pos="9354"/>
        </w:tabs>
      </w:pPr>
      <w:hyperlink w:anchor="_Toc24043" w:history="1">
        <w:r>
          <w:t>附录A （资料性） 基于先进制造链供应链合作</w:t>
        </w:r>
        <w:r>
          <w:tab/>
        </w:r>
        <w:r>
          <w:fldChar w:fldCharType="begin"/>
        </w:r>
        <w:r>
          <w:instrText xml:space="preserve"> PAGEREF _Toc24043 \h </w:instrText>
        </w:r>
        <w:r>
          <w:fldChar w:fldCharType="separate"/>
        </w:r>
        <w:r>
          <w:t>12</w:t>
        </w:r>
        <w:r>
          <w:fldChar w:fldCharType="end"/>
        </w:r>
      </w:hyperlink>
    </w:p>
    <w:p w:rsidR="00107FC3" w:rsidRDefault="00000000">
      <w:pPr>
        <w:pStyle w:val="TOC1"/>
        <w:tabs>
          <w:tab w:val="right" w:leader="dot" w:pos="9354"/>
        </w:tabs>
      </w:pPr>
      <w:hyperlink w:anchor="_Toc29994" w:history="1">
        <w:r>
          <w:t>附录B （资料性） 基于清洁能源链供应链合作</w:t>
        </w:r>
        <w:r>
          <w:tab/>
        </w:r>
        <w:r>
          <w:fldChar w:fldCharType="begin"/>
        </w:r>
        <w:r>
          <w:instrText xml:space="preserve"> PAGEREF _Toc29994 \h </w:instrText>
        </w:r>
        <w:r>
          <w:fldChar w:fldCharType="separate"/>
        </w:r>
        <w:r>
          <w:t>14</w:t>
        </w:r>
        <w:r>
          <w:fldChar w:fldCharType="end"/>
        </w:r>
      </w:hyperlink>
    </w:p>
    <w:p w:rsidR="00107FC3" w:rsidRDefault="00000000">
      <w:pPr>
        <w:pStyle w:val="TOC1"/>
        <w:tabs>
          <w:tab w:val="right" w:leader="dot" w:pos="9354"/>
        </w:tabs>
      </w:pPr>
      <w:hyperlink w:anchor="_Toc16313" w:history="1">
        <w:r>
          <w:t>附录C （资料性） 基于智能汽车链供应链合作</w:t>
        </w:r>
        <w:r>
          <w:tab/>
        </w:r>
        <w:r>
          <w:fldChar w:fldCharType="begin"/>
        </w:r>
        <w:r>
          <w:instrText xml:space="preserve"> PAGEREF _Toc16313 \h </w:instrText>
        </w:r>
        <w:r>
          <w:fldChar w:fldCharType="separate"/>
        </w:r>
        <w:r>
          <w:t>16</w:t>
        </w:r>
        <w:r>
          <w:fldChar w:fldCharType="end"/>
        </w:r>
      </w:hyperlink>
    </w:p>
    <w:p w:rsidR="00107FC3" w:rsidRDefault="00000000">
      <w:pPr>
        <w:pStyle w:val="TOC1"/>
        <w:tabs>
          <w:tab w:val="right" w:leader="dot" w:pos="9354"/>
        </w:tabs>
      </w:pPr>
      <w:hyperlink w:anchor="_Toc9626" w:history="1">
        <w:r>
          <w:t>附录D （资料性） 基于数字科技链供应链合作</w:t>
        </w:r>
        <w:r>
          <w:tab/>
        </w:r>
        <w:r>
          <w:fldChar w:fldCharType="begin"/>
        </w:r>
        <w:r>
          <w:instrText xml:space="preserve"> PAGEREF _Toc9626 \h </w:instrText>
        </w:r>
        <w:r>
          <w:fldChar w:fldCharType="separate"/>
        </w:r>
        <w:r>
          <w:t>18</w:t>
        </w:r>
        <w:r>
          <w:fldChar w:fldCharType="end"/>
        </w:r>
      </w:hyperlink>
    </w:p>
    <w:p w:rsidR="00107FC3" w:rsidRDefault="00000000">
      <w:pPr>
        <w:pStyle w:val="TOC1"/>
        <w:tabs>
          <w:tab w:val="right" w:leader="dot" w:pos="9354"/>
        </w:tabs>
      </w:pPr>
      <w:hyperlink w:anchor="_Toc32760" w:history="1">
        <w:r>
          <w:t>附录E （资料性） 基于健康生活链供应链合作</w:t>
        </w:r>
        <w:r>
          <w:tab/>
        </w:r>
        <w:r>
          <w:fldChar w:fldCharType="begin"/>
        </w:r>
        <w:r>
          <w:instrText xml:space="preserve"> PAGEREF _Toc32760 \h </w:instrText>
        </w:r>
        <w:r>
          <w:fldChar w:fldCharType="separate"/>
        </w:r>
        <w:r>
          <w:t>20</w:t>
        </w:r>
        <w:r>
          <w:fldChar w:fldCharType="end"/>
        </w:r>
      </w:hyperlink>
    </w:p>
    <w:p w:rsidR="00107FC3" w:rsidRDefault="00000000">
      <w:pPr>
        <w:pStyle w:val="TOC1"/>
        <w:tabs>
          <w:tab w:val="right" w:leader="dot" w:pos="9354"/>
        </w:tabs>
      </w:pPr>
      <w:hyperlink w:anchor="_Toc30409" w:history="1">
        <w:r>
          <w:t>附录F （资料性） 基于绿色农业链供应链合作</w:t>
        </w:r>
        <w:r>
          <w:tab/>
        </w:r>
        <w:r>
          <w:fldChar w:fldCharType="begin"/>
        </w:r>
        <w:r>
          <w:instrText xml:space="preserve"> PAGEREF _Toc30409 \h </w:instrText>
        </w:r>
        <w:r>
          <w:fldChar w:fldCharType="separate"/>
        </w:r>
        <w:r>
          <w:t>22</w:t>
        </w:r>
        <w:r>
          <w:fldChar w:fldCharType="end"/>
        </w:r>
      </w:hyperlink>
    </w:p>
    <w:p w:rsidR="00107FC3" w:rsidRDefault="00000000">
      <w:pPr>
        <w:pStyle w:val="TOC1"/>
        <w:tabs>
          <w:tab w:val="right" w:leader="dot" w:pos="9354"/>
        </w:tabs>
      </w:pPr>
      <w:hyperlink w:anchor="_Toc17094" w:history="1">
        <w:r>
          <w:t>参考文献</w:t>
        </w:r>
        <w:r>
          <w:tab/>
        </w:r>
        <w:r>
          <w:fldChar w:fldCharType="begin"/>
        </w:r>
        <w:r>
          <w:instrText xml:space="preserve"> PAGEREF _Toc17094 \h </w:instrText>
        </w:r>
        <w:r>
          <w:fldChar w:fldCharType="separate"/>
        </w:r>
        <w:r>
          <w:t>24</w:t>
        </w:r>
        <w:r>
          <w:fldChar w:fldCharType="end"/>
        </w:r>
      </w:hyperlink>
    </w:p>
    <w:p w:rsidR="00107FC3" w:rsidRDefault="00000000">
      <w:pPr>
        <w:rPr>
          <w:rFonts w:hint="default"/>
        </w:rPr>
      </w:pPr>
      <w:r>
        <w:rPr>
          <w:rFonts w:hAnsi="宋体"/>
        </w:rPr>
        <w:fldChar w:fldCharType="end"/>
      </w:r>
    </w:p>
    <w:p w:rsidR="00107FC3" w:rsidRDefault="00000000">
      <w:pPr>
        <w:rPr>
          <w:rFonts w:hint="default"/>
        </w:rPr>
      </w:pPr>
      <w:r>
        <w:br w:type="page"/>
      </w:r>
    </w:p>
    <w:p w:rsidR="00107FC3" w:rsidRDefault="00000000">
      <w:pPr>
        <w:pStyle w:val="ae"/>
        <w:spacing w:after="468"/>
        <w:rPr>
          <w:rFonts w:hint="default"/>
        </w:rPr>
      </w:pPr>
      <w:bookmarkStart w:id="16" w:name="_Toc27503"/>
      <w:bookmarkStart w:id="17" w:name="_Toc27120"/>
      <w:bookmarkStart w:id="18" w:name="_Toc30785"/>
      <w:bookmarkStart w:id="19" w:name="_Toc19906"/>
      <w:bookmarkStart w:id="20" w:name="_Toc20611"/>
      <w:bookmarkStart w:id="21" w:name="_Toc11472"/>
      <w:r>
        <w:rPr>
          <w:spacing w:val="317"/>
        </w:rPr>
        <w:lastRenderedPageBreak/>
        <w:t>前</w:t>
      </w:r>
      <w:bookmarkStart w:id="22" w:name="BKQY"/>
      <w:r>
        <w:t>言</w:t>
      </w:r>
      <w:bookmarkEnd w:id="16"/>
      <w:bookmarkEnd w:id="17"/>
      <w:bookmarkEnd w:id="18"/>
      <w:bookmarkEnd w:id="19"/>
      <w:bookmarkEnd w:id="20"/>
      <w:bookmarkEnd w:id="21"/>
    </w:p>
    <w:p w:rsidR="00107FC3" w:rsidRDefault="00000000">
      <w:pPr>
        <w:pStyle w:val="affc"/>
        <w:ind w:firstLine="420"/>
        <w:rPr>
          <w:rFonts w:hint="default"/>
        </w:rPr>
      </w:pPr>
      <w:r>
        <w:t>本文件按照GB/T 1.1—2020《标准化工作导则  第1部分：标准化文件的结构和起草规则》的规定起草。</w:t>
      </w:r>
    </w:p>
    <w:p w:rsidR="00107FC3" w:rsidRDefault="00000000">
      <w:pPr>
        <w:pStyle w:val="affc"/>
        <w:ind w:firstLine="420"/>
        <w:rPr>
          <w:rFonts w:hint="default"/>
        </w:rPr>
      </w:pPr>
      <w:r>
        <w:t>请注意本文件的某些内容可能涉及专利。本文件的发布机构不承担识别专利的责任。</w:t>
      </w:r>
    </w:p>
    <w:p w:rsidR="00107FC3" w:rsidRDefault="00000000">
      <w:pPr>
        <w:pStyle w:val="affc"/>
        <w:ind w:firstLine="420"/>
        <w:rPr>
          <w:rFonts w:hint="default"/>
        </w:rPr>
      </w:pPr>
      <w:r>
        <w:t>本文件由中国国际贸易促进委员会商业行业委员会提出并归口。</w:t>
      </w:r>
    </w:p>
    <w:p w:rsidR="00107FC3" w:rsidRDefault="00000000">
      <w:pPr>
        <w:pStyle w:val="affc"/>
        <w:ind w:firstLine="420"/>
        <w:rPr>
          <w:rFonts w:hint="default"/>
        </w:rPr>
      </w:pPr>
      <w:r>
        <w:t>本文件起草单位：</w:t>
      </w:r>
    </w:p>
    <w:p w:rsidR="00107FC3" w:rsidRDefault="00000000">
      <w:pPr>
        <w:pStyle w:val="affc"/>
        <w:ind w:firstLine="420"/>
        <w:rPr>
          <w:rFonts w:hint="default"/>
        </w:rPr>
      </w:pPr>
      <w:r>
        <w:t>本文件主要起草人：</w:t>
      </w:r>
    </w:p>
    <w:p w:rsidR="00107FC3" w:rsidRDefault="00107FC3">
      <w:pPr>
        <w:pStyle w:val="affc"/>
        <w:ind w:firstLine="420"/>
        <w:rPr>
          <w:rFonts w:hint="default"/>
        </w:rPr>
      </w:pPr>
    </w:p>
    <w:bookmarkEnd w:id="22"/>
    <w:p w:rsidR="00107FC3" w:rsidRDefault="00107FC3">
      <w:pPr>
        <w:rPr>
          <w:rFonts w:hint="default"/>
        </w:rPr>
      </w:pPr>
    </w:p>
    <w:p w:rsidR="00107FC3" w:rsidRDefault="00107FC3">
      <w:pPr>
        <w:rPr>
          <w:rFonts w:hint="default"/>
        </w:rPr>
      </w:pPr>
    </w:p>
    <w:p w:rsidR="00107FC3" w:rsidRDefault="00000000">
      <w:pPr>
        <w:rPr>
          <w:rFonts w:hint="default"/>
        </w:rPr>
      </w:pPr>
      <w:r>
        <w:rPr>
          <w:rFonts w:hint="default"/>
        </w:rPr>
        <w:br w:type="page"/>
      </w:r>
    </w:p>
    <w:p w:rsidR="00107FC3" w:rsidRDefault="00000000">
      <w:pPr>
        <w:pStyle w:val="ae"/>
        <w:spacing w:after="468"/>
        <w:rPr>
          <w:rFonts w:hint="default"/>
        </w:rPr>
      </w:pPr>
      <w:bookmarkStart w:id="23" w:name="_Toc13853"/>
      <w:r>
        <w:rPr>
          <w:spacing w:val="317"/>
        </w:rPr>
        <w:lastRenderedPageBreak/>
        <w:t>引</w:t>
      </w:r>
      <w:bookmarkStart w:id="24" w:name="BKYY"/>
      <w:r>
        <w:t>言</w:t>
      </w:r>
      <w:bookmarkEnd w:id="23"/>
    </w:p>
    <w:p w:rsidR="00107FC3" w:rsidRDefault="00107FC3">
      <w:pPr>
        <w:pStyle w:val="affc"/>
        <w:ind w:firstLine="420"/>
        <w:rPr>
          <w:rFonts w:hint="default"/>
        </w:rPr>
      </w:pPr>
    </w:p>
    <w:p w:rsidR="00107FC3" w:rsidRDefault="00000000">
      <w:pPr>
        <w:pStyle w:val="affc"/>
        <w:ind w:firstLine="420"/>
        <w:rPr>
          <w:rFonts w:hint="default"/>
        </w:rPr>
      </w:pPr>
      <w:r>
        <w:rPr>
          <w:rFonts w:hint="default"/>
        </w:rPr>
        <w:t>在《基于产业链的供应链协作手册》中，产业链通过其链条式结构展示了从原料到最终消费的完整产业联系。供应链则着重于水平合作网络，围绕核心商品或服务，构建了一个由不同地域的原料供应商、生产者、分销者、零售商直至最终消费者等构成的网状结构，并与产业链布局相互作用。全球产业链的重构对区域供应链的弹性构建产生作用，产业链的定位决定了价值分配，企业通过改善供应链网络来实现价值的增加。产业链与供应链是产业经济发展的两大支柱，产业链主要负责价值的生成，而供应链则主要负责价值的传递。本指南结合了GB/T 40144《协作业务关系管理体系 要求和框架》及最佳实践，强调了产业链定位与供应链协作的管理理念，旨在通过双链协同来增强企业协作中的价值创造。这包括了自上而下的产业链定位对供应链演变方向的影响，以及自下而上的供应链优化对产业链升级的推动作用。为了实现这一目标，本指南提出了几个主要步骤：首先，明确企业在产业链上下游合作中的位置和价值核心特性，其次，根据其在产业链所处位置优化资源配置，选择合适的供应商、分销者和合作伙伴，建立长期稳定的合作关系，共同应对市场变化和风险，确保供应链的弹性和效率。此外，通过技术创新和数字化转型，提升供应链管理的智能化水平，实现信息的实时共享和协同决策。最终，企业</w:t>
      </w:r>
      <w:r>
        <w:t>宜</w:t>
      </w:r>
      <w:r>
        <w:rPr>
          <w:rFonts w:hint="default"/>
        </w:rPr>
        <w:t>持续关注产业链和供应链的发展趋势，灵活调整自身的经营策略，以便能够适应不断变化的市场环境。通过实施这些措施，企业将能够在产业链和供应链的协同作用中实现价值的最大化，从而推动整个产业经济的持续健康发展。</w:t>
      </w:r>
    </w:p>
    <w:p w:rsidR="00107FC3" w:rsidRDefault="00107FC3">
      <w:pPr>
        <w:pStyle w:val="affc"/>
        <w:ind w:firstLine="420"/>
        <w:rPr>
          <w:rFonts w:hint="default"/>
        </w:rPr>
      </w:pPr>
    </w:p>
    <w:bookmarkEnd w:id="24"/>
    <w:p w:rsidR="00107FC3" w:rsidRDefault="00107FC3">
      <w:pPr>
        <w:pStyle w:val="affc"/>
        <w:ind w:firstLine="420"/>
        <w:rPr>
          <w:rFonts w:hint="default"/>
        </w:rPr>
      </w:pPr>
    </w:p>
    <w:p w:rsidR="00107FC3" w:rsidRDefault="00107FC3">
      <w:pPr>
        <w:rPr>
          <w:rFonts w:hint="default"/>
        </w:rPr>
        <w:sectPr w:rsidR="00107FC3">
          <w:headerReference w:type="default" r:id="rId8"/>
          <w:footerReference w:type="default" r:id="rId9"/>
          <w:pgSz w:w="11906" w:h="16838"/>
          <w:pgMar w:top="2410" w:right="1134" w:bottom="1134" w:left="1134" w:header="1418" w:footer="1134" w:gutter="284"/>
          <w:pgNumType w:fmt="upperRoman" w:start="1"/>
          <w:cols w:space="425"/>
          <w:docGrid w:type="lines" w:linePitch="312"/>
        </w:sectPr>
      </w:pPr>
    </w:p>
    <w:bookmarkStart w:id="25" w:name="StandardName" w:displacedByCustomXml="next"/>
    <w:sdt>
      <w:sdtPr>
        <w:rPr>
          <w:rStyle w:val="Char"/>
        </w:rPr>
        <w:tag w:val="StandardName"/>
        <w:id w:val="147465803"/>
        <w:lock w:val="sdtLocked"/>
        <w:placeholder>
          <w:docPart w:val="{c068ef54-3e54-41c5-b505-9ef4c6dde827}"/>
        </w:placeholder>
      </w:sdtPr>
      <w:sdtContent>
        <w:p w:rsidR="00107FC3" w:rsidRDefault="00000000">
          <w:pPr>
            <w:pStyle w:val="affff4"/>
            <w:rPr>
              <w:rStyle w:val="Char"/>
            </w:rPr>
          </w:pPr>
          <w:r>
            <w:rPr>
              <w:rStyle w:val="Char"/>
            </w:rPr>
            <w:t>基于产业链的供应链合作指南</w:t>
          </w:r>
        </w:p>
        <w:bookmarkEnd w:id="25" w:displacedByCustomXml="next"/>
      </w:sdtContent>
    </w:sdt>
    <w:p w:rsidR="00107FC3" w:rsidRDefault="00000000">
      <w:pPr>
        <w:pStyle w:val="af4"/>
        <w:spacing w:before="312" w:after="312"/>
        <w:rPr>
          <w:rStyle w:val="Char"/>
        </w:rPr>
      </w:pPr>
      <w:bookmarkStart w:id="26" w:name="_Toc30235"/>
      <w:bookmarkStart w:id="27" w:name="_Toc1828"/>
      <w:bookmarkStart w:id="28" w:name="_Toc9205"/>
      <w:bookmarkStart w:id="29" w:name="_Toc10796"/>
      <w:bookmarkStart w:id="30" w:name="_Toc24400"/>
      <w:bookmarkStart w:id="31" w:name="_Toc18640"/>
      <w:bookmarkStart w:id="32" w:name="_Toc4314"/>
      <w:r>
        <w:t>范围</w:t>
      </w:r>
      <w:bookmarkEnd w:id="26"/>
      <w:bookmarkEnd w:id="27"/>
      <w:bookmarkEnd w:id="28"/>
      <w:bookmarkEnd w:id="29"/>
      <w:bookmarkEnd w:id="30"/>
      <w:bookmarkEnd w:id="31"/>
      <w:bookmarkEnd w:id="32"/>
    </w:p>
    <w:p w:rsidR="00107FC3" w:rsidRDefault="00000000">
      <w:pPr>
        <w:pStyle w:val="affc"/>
        <w:ind w:firstLine="420"/>
        <w:rPr>
          <w:rFonts w:hint="default"/>
        </w:rPr>
      </w:pPr>
      <w:r>
        <w:t>本文件给出了基于产业链的供应链合作的术语和定义、供应链合作关系共同原则、愿景和价值观、合作的领导作用、业务目标、承诺互信与共同获益、信息和知识共享、关系管理、治理和过程、合作能力和行为、价值创造、风险管理、退出策略、关系测量和优化、基于特定产业链的供应链合作等内容。</w:t>
      </w:r>
    </w:p>
    <w:p w:rsidR="00107FC3" w:rsidRDefault="00000000">
      <w:pPr>
        <w:pStyle w:val="affc"/>
        <w:ind w:firstLine="420"/>
        <w:rPr>
          <w:rFonts w:hint="default"/>
          <w:highlight w:val="yellow"/>
        </w:rPr>
      </w:pPr>
      <w:r>
        <w:t>本文件旨在指导产业链相关方参与供应链活动。</w:t>
      </w:r>
    </w:p>
    <w:p w:rsidR="00107FC3" w:rsidRDefault="00000000">
      <w:pPr>
        <w:pStyle w:val="af4"/>
        <w:spacing w:before="312" w:after="312"/>
        <w:rPr>
          <w:rFonts w:hint="default"/>
        </w:rPr>
      </w:pPr>
      <w:bookmarkStart w:id="33" w:name="_Toc417"/>
      <w:bookmarkStart w:id="34" w:name="_Toc7519"/>
      <w:bookmarkStart w:id="35" w:name="_Toc9962"/>
      <w:bookmarkStart w:id="36" w:name="_Toc19456"/>
      <w:bookmarkStart w:id="37" w:name="_Toc16755"/>
      <w:bookmarkStart w:id="38" w:name="_Toc9923"/>
      <w:bookmarkStart w:id="39" w:name="_Toc8103"/>
      <w:r>
        <w:t>规范性引用文件</w:t>
      </w:r>
      <w:bookmarkEnd w:id="33"/>
      <w:bookmarkEnd w:id="34"/>
      <w:bookmarkEnd w:id="35"/>
      <w:bookmarkEnd w:id="36"/>
      <w:bookmarkEnd w:id="37"/>
      <w:bookmarkEnd w:id="38"/>
      <w:bookmarkEnd w:id="39"/>
    </w:p>
    <w:sdt>
      <w:sdtPr>
        <w:tag w:val="StandNameFile"/>
        <w:id w:val="147471679"/>
        <w:placeholder>
          <w:docPart w:val="{b9b163dc-f190-480d-9dea-9cde406b52ac}"/>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Content>
        <w:p w:rsidR="00107FC3" w:rsidRDefault="00000000">
          <w:pPr>
            <w:pStyle w:val="affc"/>
            <w:ind w:firstLine="420"/>
            <w:rPr>
              <w:rFonts w:hint="default"/>
            </w:rPr>
          </w:pPr>
          <w: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107FC3" w:rsidRDefault="00000000">
      <w:pPr>
        <w:pStyle w:val="affc"/>
        <w:ind w:firstLine="420"/>
        <w:rPr>
          <w:rFonts w:hint="default"/>
        </w:rPr>
      </w:pPr>
      <w:bookmarkStart w:id="40" w:name="_Toc30648"/>
      <w:bookmarkStart w:id="41" w:name="_Toc10308"/>
      <w:bookmarkStart w:id="42" w:name="_Toc12070"/>
      <w:bookmarkStart w:id="43" w:name="_Toc23624"/>
      <w:r>
        <w:t>GB/T 40144  协作业务关系管理体系  要求和框架</w:t>
      </w:r>
    </w:p>
    <w:p w:rsidR="00107FC3" w:rsidRDefault="00000000">
      <w:pPr>
        <w:pStyle w:val="af4"/>
        <w:spacing w:before="312" w:after="312"/>
        <w:rPr>
          <w:rFonts w:ascii="宋体" w:eastAsia="宋体" w:cs="宋体" w:hint="default"/>
        </w:rPr>
      </w:pPr>
      <w:bookmarkStart w:id="44" w:name="_Toc22188"/>
      <w:bookmarkStart w:id="45" w:name="_Toc6846"/>
      <w:bookmarkStart w:id="46" w:name="_Toc19812"/>
      <w:r>
        <w:t>术语和定义</w:t>
      </w:r>
      <w:bookmarkEnd w:id="40"/>
      <w:bookmarkEnd w:id="41"/>
      <w:bookmarkEnd w:id="42"/>
      <w:bookmarkEnd w:id="43"/>
      <w:bookmarkEnd w:id="44"/>
      <w:bookmarkEnd w:id="45"/>
      <w:bookmarkEnd w:id="46"/>
    </w:p>
    <w:sdt>
      <w:sdtPr>
        <w:tag w:val="TermContent"/>
        <w:id w:val="147465853"/>
        <w:placeholder>
          <w:docPart w:val="{bf7b0528-bbf2-4a27-8375-d141cc457cd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107FC3" w:rsidRDefault="00000000">
          <w:pPr>
            <w:pStyle w:val="affc"/>
            <w:ind w:firstLine="420"/>
            <w:rPr>
              <w:rFonts w:hint="default"/>
            </w:rPr>
          </w:pPr>
          <w:r>
            <w:t>下列术语和定义适用于本文件。</w:t>
          </w:r>
        </w:p>
      </w:sdtContent>
    </w:sdt>
    <w:p w:rsidR="00107FC3" w:rsidRDefault="00000000">
      <w:pPr>
        <w:pStyle w:val="afffff"/>
        <w:spacing w:before="3" w:afterLines="0" w:after="0"/>
        <w:ind w:left="420" w:hanging="420"/>
      </w:pPr>
      <w:r>
        <w:br/>
        <w:t>产业链  Industrial chain</w:t>
      </w:r>
    </w:p>
    <w:p w:rsidR="00107FC3" w:rsidRDefault="00000000">
      <w:pPr>
        <w:pStyle w:val="affc"/>
        <w:ind w:firstLine="420"/>
        <w:rPr>
          <w:rFonts w:hint="default"/>
        </w:rPr>
      </w:pPr>
      <w:r>
        <w:t>一种或几种资源通过若干产业层次不断向下游产业转移直至到达消费者的路径。</w:t>
      </w:r>
    </w:p>
    <w:p w:rsidR="00107FC3" w:rsidRDefault="00000000">
      <w:pPr>
        <w:pStyle w:val="affc"/>
        <w:ind w:firstLine="420"/>
        <w:rPr>
          <w:rFonts w:ascii="Times New Roman" w:cs="Times New Roman" w:hint="default"/>
        </w:rPr>
      </w:pPr>
      <w:r>
        <w:t>[来源：</w:t>
      </w:r>
      <w:r>
        <w:rPr>
          <w:rFonts w:ascii="Times New Roman" w:cs="Times New Roman" w:hint="default"/>
        </w:rPr>
        <w:t>GB/T</w:t>
      </w:r>
      <w:r>
        <w:rPr>
          <w:rFonts w:ascii="Times New Roman" w:cs="Times New Roman"/>
        </w:rPr>
        <w:t xml:space="preserve"> </w:t>
      </w:r>
      <w:r>
        <w:rPr>
          <w:rFonts w:ascii="Times New Roman" w:cs="Times New Roman" w:hint="default"/>
        </w:rPr>
        <w:t>25469-2010</w:t>
      </w:r>
      <w:r>
        <w:rPr>
          <w:rFonts w:ascii="Times New Roman" w:cs="Times New Roman"/>
        </w:rPr>
        <w:t>，</w:t>
      </w:r>
      <w:r>
        <w:rPr>
          <w:rFonts w:ascii="Times New Roman" w:cs="Times New Roman"/>
        </w:rPr>
        <w:t>2.1]</w:t>
      </w:r>
    </w:p>
    <w:p w:rsidR="00107FC3" w:rsidRDefault="00107FC3">
      <w:pPr>
        <w:pStyle w:val="afffff"/>
        <w:spacing w:before="3" w:afterLines="0" w:after="0"/>
        <w:ind w:left="420" w:hanging="420"/>
      </w:pPr>
    </w:p>
    <w:p w:rsidR="00107FC3" w:rsidRDefault="00000000">
      <w:pPr>
        <w:pStyle w:val="afffff"/>
        <w:numPr>
          <w:ilvl w:val="1"/>
          <w:numId w:val="0"/>
        </w:numPr>
        <w:spacing w:before="3" w:afterLines="0" w:after="0"/>
        <w:ind w:leftChars="-200" w:left="-420" w:firstLineChars="400" w:firstLine="840"/>
      </w:pPr>
      <w:r>
        <w:t>供应链  supply chain</w:t>
      </w:r>
    </w:p>
    <w:p w:rsidR="00107FC3" w:rsidRDefault="00000000">
      <w:pPr>
        <w:pStyle w:val="affc"/>
        <w:ind w:firstLine="420"/>
        <w:rPr>
          <w:rFonts w:hint="default"/>
        </w:rPr>
      </w:pPr>
      <w:r>
        <w:t>在生产及流通过程中，围绕核心产品或服务，形成一个由不同区域的原材料供应商、制造商、分销商、零售商直到最终用户等所构成的网链结构，涵盖从产品研发设计、原材料采购和运输、半成品和成品的生产与分销，直至最终消费的整个过程。</w:t>
      </w:r>
    </w:p>
    <w:p w:rsidR="00107FC3" w:rsidRDefault="00000000">
      <w:pPr>
        <w:pStyle w:val="affc"/>
        <w:ind w:firstLine="420"/>
        <w:rPr>
          <w:rFonts w:ascii="Times New Roman" w:cs="Times New Roman" w:hint="default"/>
        </w:rPr>
      </w:pPr>
      <w:r>
        <w:t>[来源：</w:t>
      </w:r>
      <w:r>
        <w:rPr>
          <w:rFonts w:ascii="Times New Roman" w:cs="Times New Roman" w:hint="default"/>
        </w:rPr>
        <w:t>GB/T 1835</w:t>
      </w:r>
      <w:r>
        <w:rPr>
          <w:rFonts w:ascii="Times New Roman" w:cs="Times New Roman"/>
        </w:rPr>
        <w:t>4-</w:t>
      </w:r>
      <w:r>
        <w:rPr>
          <w:rFonts w:ascii="Times New Roman" w:cs="Times New Roman" w:hint="default"/>
        </w:rPr>
        <w:t>2021</w:t>
      </w:r>
      <w:r>
        <w:rPr>
          <w:rFonts w:ascii="Times New Roman" w:cs="Times New Roman"/>
        </w:rPr>
        <w:t>，</w:t>
      </w:r>
      <w:r>
        <w:rPr>
          <w:rFonts w:ascii="Times New Roman" w:cs="Times New Roman"/>
        </w:rPr>
        <w:t>3.8]</w:t>
      </w:r>
    </w:p>
    <w:p w:rsidR="00107FC3" w:rsidRDefault="00107FC3">
      <w:pPr>
        <w:pStyle w:val="afffff"/>
        <w:spacing w:before="3" w:afterLines="0" w:after="0"/>
        <w:ind w:left="420" w:hanging="420"/>
      </w:pPr>
    </w:p>
    <w:p w:rsidR="00107FC3" w:rsidRDefault="00000000">
      <w:pPr>
        <w:pStyle w:val="afffff"/>
        <w:numPr>
          <w:ilvl w:val="1"/>
          <w:numId w:val="0"/>
        </w:numPr>
        <w:spacing w:before="3" w:afterLines="0" w:after="0"/>
        <w:ind w:leftChars="-200" w:left="-420" w:firstLineChars="400" w:firstLine="840"/>
      </w:pPr>
      <w:r>
        <w:t>供应链合作关系  partnership of supply chain</w:t>
      </w:r>
    </w:p>
    <w:p w:rsidR="00107FC3" w:rsidRDefault="00000000">
      <w:pPr>
        <w:pStyle w:val="affc"/>
        <w:ind w:firstLine="420"/>
        <w:rPr>
          <w:rFonts w:hint="default"/>
        </w:rPr>
      </w:pPr>
      <w:r>
        <w:t>指供应链上下游企业合作基于共同的目标和利益，在长期内形成的风险共担、信息共享的协调关系。</w:t>
      </w:r>
    </w:p>
    <w:p w:rsidR="00107FC3" w:rsidRDefault="00000000">
      <w:pPr>
        <w:pStyle w:val="af4"/>
        <w:spacing w:before="312" w:after="312"/>
        <w:rPr>
          <w:rFonts w:hint="default"/>
        </w:rPr>
      </w:pPr>
      <w:bookmarkStart w:id="47" w:name="_Toc26328"/>
      <w:bookmarkStart w:id="48" w:name="_Toc28808"/>
      <w:bookmarkStart w:id="49" w:name="_Toc5896"/>
      <w:bookmarkStart w:id="50" w:name="_Toc7964"/>
      <w:bookmarkStart w:id="51" w:name="_Toc8387"/>
      <w:bookmarkStart w:id="52" w:name="_Toc20530"/>
      <w:r>
        <w:t>供应链</w:t>
      </w:r>
      <w:r>
        <w:rPr>
          <w:rFonts w:hAnsi="黑体"/>
        </w:rPr>
        <w:t>合作关系共同原则</w:t>
      </w:r>
      <w:bookmarkEnd w:id="47"/>
      <w:bookmarkEnd w:id="48"/>
      <w:bookmarkEnd w:id="49"/>
      <w:bookmarkEnd w:id="50"/>
      <w:bookmarkEnd w:id="51"/>
      <w:bookmarkEnd w:id="52"/>
    </w:p>
    <w:p w:rsidR="00107FC3" w:rsidRDefault="00000000">
      <w:pPr>
        <w:pStyle w:val="af5"/>
        <w:spacing w:before="156" w:after="156"/>
        <w:rPr>
          <w:rFonts w:hint="default"/>
        </w:rPr>
      </w:pPr>
      <w:bookmarkStart w:id="53" w:name="_Toc29371"/>
      <w:bookmarkStart w:id="54" w:name="_Toc12104"/>
      <w:bookmarkStart w:id="55" w:name="_Toc5224"/>
      <w:r>
        <w:t>基本原则</w:t>
      </w:r>
      <w:bookmarkEnd w:id="53"/>
      <w:bookmarkEnd w:id="54"/>
      <w:bookmarkEnd w:id="55"/>
    </w:p>
    <w:p w:rsidR="00107FC3" w:rsidRDefault="00000000">
      <w:pPr>
        <w:pStyle w:val="affc"/>
        <w:ind w:firstLine="420"/>
        <w:rPr>
          <w:rFonts w:hint="default"/>
        </w:rPr>
      </w:pPr>
      <w:r>
        <w:t>遵循GB/T 40144在各种规模的企业中建立和改进协作业务关系管理体系。</w:t>
      </w:r>
    </w:p>
    <w:p w:rsidR="00107FC3" w:rsidRDefault="00000000">
      <w:pPr>
        <w:pStyle w:val="af5"/>
        <w:spacing w:before="156" w:after="156"/>
        <w:rPr>
          <w:rFonts w:hint="default"/>
        </w:rPr>
      </w:pPr>
      <w:bookmarkStart w:id="56" w:name="_Toc29418"/>
      <w:bookmarkStart w:id="57" w:name="_Toc23510"/>
      <w:bookmarkStart w:id="58" w:name="_Toc9227"/>
      <w:bookmarkStart w:id="59" w:name="_Toc20430"/>
      <w:r>
        <w:t>战略协同原则</w:t>
      </w:r>
      <w:bookmarkEnd w:id="56"/>
      <w:bookmarkEnd w:id="57"/>
      <w:bookmarkEnd w:id="58"/>
      <w:bookmarkEnd w:id="59"/>
    </w:p>
    <w:p w:rsidR="00107FC3" w:rsidRDefault="00000000">
      <w:pPr>
        <w:pStyle w:val="affffb"/>
        <w:spacing w:beforeLines="0" w:before="0" w:afterLines="0" w:after="0"/>
      </w:pPr>
      <w:r>
        <w:t>覆盖要素：愿景和价值观、合作的领导作用、业务目标。</w:t>
      </w:r>
    </w:p>
    <w:p w:rsidR="00107FC3" w:rsidRDefault="00000000">
      <w:pPr>
        <w:pStyle w:val="affffb"/>
        <w:spacing w:beforeLines="0" w:before="0" w:afterLines="0" w:after="0"/>
      </w:pPr>
      <w:r>
        <w:lastRenderedPageBreak/>
        <w:t>核心原则：产业链上下游企业合作宜在战略层面上对长期愿景和短期目标达成共识，通过高层管理者积极参与战略决策推动跨企业文化融合，确保资源投入方向一致，并通过定期合作机制消除战略偏差。</w:t>
      </w:r>
    </w:p>
    <w:p w:rsidR="00107FC3" w:rsidRDefault="00000000">
      <w:pPr>
        <w:pStyle w:val="af5"/>
        <w:spacing w:before="156" w:after="156"/>
        <w:rPr>
          <w:rFonts w:hint="default"/>
        </w:rPr>
      </w:pPr>
      <w:bookmarkStart w:id="60" w:name="_Toc27011"/>
      <w:bookmarkStart w:id="61" w:name="_Toc28860"/>
      <w:bookmarkStart w:id="62" w:name="_Toc3666"/>
      <w:bookmarkStart w:id="63" w:name="_Toc31669"/>
      <w:r>
        <w:t>信任与透明原则</w:t>
      </w:r>
      <w:bookmarkEnd w:id="60"/>
      <w:bookmarkEnd w:id="61"/>
      <w:bookmarkEnd w:id="62"/>
      <w:bookmarkEnd w:id="63"/>
    </w:p>
    <w:p w:rsidR="00107FC3" w:rsidRDefault="00000000">
      <w:pPr>
        <w:pStyle w:val="affffb"/>
        <w:spacing w:beforeLines="0" w:before="0" w:afterLines="0" w:after="0"/>
      </w:pPr>
      <w:r>
        <w:t>覆盖要素：互信与共同获益的承诺、信息和知识的共享。</w:t>
      </w:r>
    </w:p>
    <w:p w:rsidR="00107FC3" w:rsidRDefault="00000000">
      <w:pPr>
        <w:pStyle w:val="affffb"/>
        <w:spacing w:beforeLines="0" w:before="0" w:afterLines="0" w:after="0"/>
      </w:pPr>
      <w:r>
        <w:t>核心原则：</w:t>
      </w:r>
      <w:r>
        <w:rPr>
          <w:rFonts w:eastAsiaTheme="minorEastAsia" w:hint="default"/>
        </w:rPr>
        <w:t>产业链上下游</w:t>
      </w:r>
      <w:r>
        <w:rPr>
          <w:rFonts w:eastAsiaTheme="minorEastAsia"/>
        </w:rPr>
        <w:t>企业合作宜</w:t>
      </w:r>
      <w:r>
        <w:t>构建开放透明的多双边信息流通机制，通过契约化承诺和技术工具巩固信任基础。</w:t>
      </w:r>
    </w:p>
    <w:p w:rsidR="00107FC3" w:rsidRDefault="00000000">
      <w:pPr>
        <w:pStyle w:val="af5"/>
        <w:spacing w:before="156" w:after="156"/>
        <w:rPr>
          <w:rFonts w:hint="default"/>
        </w:rPr>
      </w:pPr>
      <w:bookmarkStart w:id="64" w:name="_Toc14392"/>
      <w:bookmarkStart w:id="65" w:name="_Toc9710"/>
      <w:bookmarkStart w:id="66" w:name="_Toc6040"/>
      <w:bookmarkStart w:id="67" w:name="_Toc15144"/>
      <w:r>
        <w:t>治理与协同原则</w:t>
      </w:r>
      <w:bookmarkEnd w:id="64"/>
      <w:bookmarkEnd w:id="65"/>
      <w:bookmarkEnd w:id="66"/>
      <w:bookmarkEnd w:id="67"/>
    </w:p>
    <w:p w:rsidR="00107FC3" w:rsidRDefault="00000000">
      <w:pPr>
        <w:pStyle w:val="affffb"/>
        <w:spacing w:beforeLines="0" w:before="0" w:afterLines="0" w:after="0"/>
      </w:pPr>
      <w:r>
        <w:t>覆盖要素：关系管理、治理过程、合作能力和行为。</w:t>
      </w:r>
    </w:p>
    <w:p w:rsidR="00107FC3" w:rsidRDefault="00000000">
      <w:pPr>
        <w:pStyle w:val="affffb"/>
        <w:spacing w:beforeLines="0" w:before="0" w:afterLines="0" w:after="0"/>
      </w:pPr>
      <w:r>
        <w:t>核心原则：</w:t>
      </w:r>
      <w:r>
        <w:rPr>
          <w:rFonts w:eastAsiaTheme="minorEastAsia" w:hint="default"/>
        </w:rPr>
        <w:t>产业链上下游</w:t>
      </w:r>
      <w:r>
        <w:rPr>
          <w:rFonts w:eastAsiaTheme="minorEastAsia"/>
        </w:rPr>
        <w:t>企业合作宜明确</w:t>
      </w:r>
      <w:r>
        <w:t>权责分配框架，标准化合作流程，通过联合培训、技术嫁接和能力互补提升资源整合与协作执行效能，实现跨企业高效协同。</w:t>
      </w:r>
    </w:p>
    <w:p w:rsidR="00107FC3" w:rsidRDefault="00000000">
      <w:pPr>
        <w:pStyle w:val="af5"/>
        <w:spacing w:before="156" w:after="156"/>
        <w:rPr>
          <w:rFonts w:hint="default"/>
        </w:rPr>
      </w:pPr>
      <w:bookmarkStart w:id="68" w:name="_Toc8185"/>
      <w:bookmarkStart w:id="69" w:name="_Toc24514"/>
      <w:bookmarkStart w:id="70" w:name="_Toc11465"/>
      <w:bookmarkStart w:id="71" w:name="_Toc23308"/>
      <w:r>
        <w:t>价值风险共创共担原则</w:t>
      </w:r>
      <w:bookmarkEnd w:id="68"/>
      <w:bookmarkEnd w:id="69"/>
      <w:bookmarkEnd w:id="70"/>
      <w:bookmarkEnd w:id="71"/>
    </w:p>
    <w:p w:rsidR="00107FC3" w:rsidRDefault="00000000">
      <w:pPr>
        <w:pStyle w:val="affffb"/>
        <w:spacing w:beforeLines="0" w:before="0" w:afterLines="0" w:after="0"/>
      </w:pPr>
      <w:r>
        <w:t>覆盖要素：价值创造、风险管理。</w:t>
      </w:r>
    </w:p>
    <w:p w:rsidR="00107FC3" w:rsidRDefault="00000000">
      <w:pPr>
        <w:pStyle w:val="affffb"/>
        <w:numPr>
          <w:ilvl w:val="2"/>
          <w:numId w:val="18"/>
        </w:numPr>
        <w:spacing w:beforeLines="0" w:before="0" w:afterLines="0" w:after="0"/>
      </w:pPr>
      <w:r>
        <w:t>核心原则：</w:t>
      </w:r>
      <w:r>
        <w:rPr>
          <w:rFonts w:eastAsiaTheme="minorEastAsia" w:hint="default"/>
        </w:rPr>
        <w:t>产业链上下游</w:t>
      </w:r>
      <w:r>
        <w:rPr>
          <w:rFonts w:eastAsiaTheme="minorEastAsia"/>
        </w:rPr>
        <w:t>企业合作宜</w:t>
      </w:r>
      <w:r>
        <w:t>以技术创新和升级带来的新增价值为核心，通过风险识别和金融服务保障实现系统化的风险分摊与对冲管理。</w:t>
      </w:r>
    </w:p>
    <w:p w:rsidR="00107FC3" w:rsidRDefault="00000000">
      <w:pPr>
        <w:pStyle w:val="af5"/>
        <w:spacing w:before="156" w:after="156"/>
        <w:rPr>
          <w:rFonts w:hint="default"/>
        </w:rPr>
      </w:pPr>
      <w:bookmarkStart w:id="72" w:name="_Toc18623"/>
      <w:bookmarkStart w:id="73" w:name="_Toc1145"/>
      <w:bookmarkStart w:id="74" w:name="_Toc25245"/>
      <w:bookmarkStart w:id="75" w:name="_Toc10647"/>
      <w:r>
        <w:t>动态优化原则</w:t>
      </w:r>
      <w:bookmarkEnd w:id="72"/>
      <w:bookmarkEnd w:id="73"/>
      <w:bookmarkEnd w:id="74"/>
      <w:bookmarkEnd w:id="75"/>
    </w:p>
    <w:p w:rsidR="00107FC3" w:rsidRDefault="00000000">
      <w:pPr>
        <w:pStyle w:val="affffb"/>
        <w:spacing w:beforeLines="0" w:before="0" w:afterLines="0" w:after="0"/>
      </w:pPr>
      <w:r>
        <w:t>覆盖要素：退出策略、关系测量和优化。</w:t>
      </w:r>
    </w:p>
    <w:p w:rsidR="00107FC3" w:rsidRDefault="00000000">
      <w:pPr>
        <w:pStyle w:val="affffb"/>
        <w:spacing w:beforeLines="0" w:before="0" w:afterLines="0" w:after="0"/>
      </w:pPr>
      <w:r>
        <w:t>核心原则：</w:t>
      </w:r>
      <w:r>
        <w:rPr>
          <w:rFonts w:eastAsiaTheme="minorEastAsia" w:hint="default"/>
        </w:rPr>
        <w:t>产业链上下游</w:t>
      </w:r>
      <w:r>
        <w:rPr>
          <w:rFonts w:eastAsiaTheme="minorEastAsia"/>
        </w:rPr>
        <w:t>企业合作宜</w:t>
      </w:r>
      <w:r>
        <w:t>设定合作生命周期管理规则，基于数据反馈持续迭代合作模式。</w:t>
      </w:r>
    </w:p>
    <w:p w:rsidR="00107FC3" w:rsidRDefault="00000000">
      <w:pPr>
        <w:pStyle w:val="af4"/>
        <w:spacing w:before="312" w:after="312"/>
        <w:rPr>
          <w:rFonts w:hint="default"/>
        </w:rPr>
      </w:pPr>
      <w:bookmarkStart w:id="76" w:name="_Toc20307"/>
      <w:bookmarkStart w:id="77" w:name="_Toc16651"/>
      <w:bookmarkStart w:id="78" w:name="_Toc12526"/>
      <w:bookmarkStart w:id="79" w:name="_Toc30728"/>
      <w:bookmarkStart w:id="80" w:name="_Toc3947"/>
      <w:bookmarkStart w:id="81" w:name="_Toc5872"/>
      <w:bookmarkStart w:id="82" w:name="_Toc6272"/>
      <w:r>
        <w:t>愿景和价值观</w:t>
      </w:r>
      <w:bookmarkEnd w:id="76"/>
      <w:bookmarkEnd w:id="77"/>
      <w:bookmarkEnd w:id="78"/>
      <w:bookmarkEnd w:id="79"/>
      <w:bookmarkEnd w:id="80"/>
      <w:bookmarkEnd w:id="81"/>
      <w:bookmarkEnd w:id="82"/>
    </w:p>
    <w:p w:rsidR="00107FC3" w:rsidRDefault="00000000">
      <w:pPr>
        <w:pStyle w:val="af5"/>
        <w:spacing w:before="156" w:after="156"/>
        <w:rPr>
          <w:rFonts w:hint="default"/>
        </w:rPr>
      </w:pPr>
      <w:bookmarkStart w:id="83" w:name="_Toc22142"/>
      <w:bookmarkStart w:id="84" w:name="_Toc5971"/>
      <w:bookmarkStart w:id="85" w:name="_Toc9700"/>
      <w:bookmarkStart w:id="86" w:name="_Toc19610"/>
      <w:r>
        <w:t>发展理念</w:t>
      </w:r>
      <w:bookmarkEnd w:id="83"/>
      <w:bookmarkEnd w:id="84"/>
      <w:bookmarkEnd w:id="85"/>
      <w:bookmarkEnd w:id="86"/>
    </w:p>
    <w:p w:rsidR="00107FC3" w:rsidRDefault="00000000">
      <w:pPr>
        <w:pStyle w:val="af6"/>
        <w:spacing w:before="156" w:after="156"/>
      </w:pPr>
      <w:r>
        <w:t>树立全球标杆实践</w:t>
      </w:r>
    </w:p>
    <w:p w:rsidR="00107FC3" w:rsidRDefault="00000000">
      <w:pPr>
        <w:pStyle w:val="affc"/>
        <w:ind w:firstLine="420"/>
        <w:rPr>
          <w:rFonts w:hint="default"/>
        </w:rPr>
      </w:pPr>
      <w:r>
        <w:rPr>
          <w:rFonts w:eastAsiaTheme="minorEastAsia" w:hint="default"/>
        </w:rPr>
        <w:t>产业链上下游</w:t>
      </w:r>
      <w:r>
        <w:rPr>
          <w:rFonts w:eastAsiaTheme="minorEastAsia"/>
        </w:rPr>
        <w:t>企业合作宜</w:t>
      </w:r>
      <w:r>
        <w:t>坚持贯彻可持续发展理念，构建高效、绿色、低碳、可持续的供应链生态系统，树立全球标杆实践。</w:t>
      </w:r>
    </w:p>
    <w:p w:rsidR="00107FC3" w:rsidRDefault="00000000">
      <w:pPr>
        <w:pStyle w:val="af6"/>
        <w:spacing w:before="156" w:after="156"/>
      </w:pPr>
      <w:r>
        <w:t>明确核心特征</w:t>
      </w:r>
    </w:p>
    <w:p w:rsidR="00107FC3" w:rsidRDefault="00000000">
      <w:pPr>
        <w:pStyle w:val="affc"/>
        <w:ind w:firstLine="420"/>
        <w:rPr>
          <w:rFonts w:hint="default"/>
        </w:rPr>
      </w:pPr>
      <w:r>
        <w:rPr>
          <w:rFonts w:eastAsiaTheme="minorEastAsia" w:hint="default"/>
        </w:rPr>
        <w:t>产业链上下游</w:t>
      </w:r>
      <w:r>
        <w:rPr>
          <w:rFonts w:eastAsiaTheme="minorEastAsia"/>
        </w:rPr>
        <w:t>企业合作宜</w:t>
      </w:r>
      <w:r>
        <w:rPr>
          <w:rFonts w:eastAsiaTheme="minorEastAsia" w:hint="default"/>
        </w:rPr>
        <w:t>建立供应链生态系统资源</w:t>
      </w:r>
      <w:r>
        <w:rPr>
          <w:rFonts w:eastAsiaTheme="minorEastAsia"/>
        </w:rPr>
        <w:t>库，</w:t>
      </w:r>
      <w:r>
        <w:t>通过多中心化结构抵御单点失效风险，协同上下游供应链环节实现资源共享、优势互补的增值效应。</w:t>
      </w:r>
    </w:p>
    <w:p w:rsidR="00107FC3" w:rsidRDefault="00000000">
      <w:pPr>
        <w:pStyle w:val="af5"/>
        <w:spacing w:before="156" w:after="156"/>
        <w:rPr>
          <w:rFonts w:hint="default"/>
        </w:rPr>
      </w:pPr>
      <w:bookmarkStart w:id="87" w:name="_Toc22406"/>
      <w:bookmarkStart w:id="88" w:name="_Toc11568"/>
      <w:bookmarkStart w:id="89" w:name="_Toc3112"/>
      <w:bookmarkStart w:id="90" w:name="_Toc15486"/>
      <w:r>
        <w:t>供应链生态系统</w:t>
      </w:r>
      <w:bookmarkEnd w:id="87"/>
      <w:bookmarkEnd w:id="88"/>
      <w:bookmarkEnd w:id="89"/>
      <w:bookmarkEnd w:id="90"/>
    </w:p>
    <w:p w:rsidR="00107FC3" w:rsidRDefault="00000000">
      <w:pPr>
        <w:pStyle w:val="af6"/>
        <w:spacing w:before="156" w:after="156"/>
      </w:pPr>
      <w:r>
        <w:t>参与主体层</w:t>
      </w:r>
    </w:p>
    <w:p w:rsidR="00107FC3" w:rsidRDefault="00000000">
      <w:pPr>
        <w:pStyle w:val="affffc"/>
        <w:spacing w:beforeLines="0" w:before="0" w:afterLines="0" w:after="0"/>
      </w:pPr>
      <w:r>
        <w:t>核心企业：包括品牌商和制造商，负责制定供应链战略并整合资源。</w:t>
      </w:r>
    </w:p>
    <w:p w:rsidR="00107FC3" w:rsidRDefault="00000000">
      <w:pPr>
        <w:pStyle w:val="affffc"/>
        <w:spacing w:beforeLines="0" w:before="0" w:afterLines="0" w:after="0"/>
      </w:pPr>
      <w:r>
        <w:t>垂直协作方：涵盖上游的原材料供应商和技术专利持有者，以及下游的分销商、零售商和终端客户。</w:t>
      </w:r>
    </w:p>
    <w:p w:rsidR="00107FC3" w:rsidRDefault="00000000">
      <w:pPr>
        <w:pStyle w:val="affffc"/>
        <w:spacing w:beforeLines="0" w:before="0" w:afterLines="0" w:after="0"/>
      </w:pPr>
      <w:r>
        <w:lastRenderedPageBreak/>
        <w:t>服务支持方：包括提供物流服务的第三方和第四方物流服务商，以及提供供应链金融服务的金融机构。</w:t>
      </w:r>
    </w:p>
    <w:p w:rsidR="00107FC3" w:rsidRDefault="00000000">
      <w:pPr>
        <w:pStyle w:val="affffc"/>
        <w:spacing w:beforeLines="0" w:before="0" w:afterLines="0" w:after="0"/>
      </w:pPr>
      <w:r>
        <w:t>技术服务商：涵盖物联网设备供应商和数据分析公司，为供应链提供技术支持。</w:t>
      </w:r>
    </w:p>
    <w:p w:rsidR="00107FC3" w:rsidRDefault="00000000">
      <w:pPr>
        <w:pStyle w:val="affffc"/>
        <w:spacing w:beforeLines="0" w:before="0" w:afterLines="0" w:after="0"/>
      </w:pPr>
      <w:r>
        <w:t>监管与赋能方：由政府机构、行业协会和认证机构组成，负责监管和提升供应链效能。</w:t>
      </w:r>
    </w:p>
    <w:p w:rsidR="00107FC3" w:rsidRDefault="00000000">
      <w:pPr>
        <w:pStyle w:val="af6"/>
        <w:spacing w:before="156" w:after="156"/>
      </w:pPr>
      <w:r>
        <w:t>基础设施支撑层</w:t>
      </w:r>
    </w:p>
    <w:p w:rsidR="00107FC3" w:rsidRDefault="00000000">
      <w:pPr>
        <w:pStyle w:val="affffc"/>
        <w:spacing w:beforeLines="0" w:before="0" w:afterLines="0" w:after="0"/>
      </w:pPr>
      <w:r>
        <w:rPr>
          <w:rFonts w:eastAsiaTheme="minorEastAsia" w:hint="default"/>
        </w:rPr>
        <w:t>产业链上下游</w:t>
      </w:r>
      <w:r>
        <w:rPr>
          <w:rFonts w:eastAsiaTheme="minorEastAsia"/>
        </w:rPr>
        <w:t>企业合作</w:t>
      </w:r>
      <w:r>
        <w:t>宜建立备用物流通道与分布式仓储网络，提升供应链的灵活性、响应速度以及抗风险能力。</w:t>
      </w:r>
    </w:p>
    <w:p w:rsidR="00107FC3" w:rsidRDefault="00000000">
      <w:pPr>
        <w:pStyle w:val="affffc"/>
        <w:spacing w:beforeLines="0" w:before="0" w:afterLines="0" w:after="0"/>
      </w:pPr>
      <w:r>
        <w:rPr>
          <w:rFonts w:eastAsiaTheme="minorEastAsia" w:hint="default"/>
        </w:rPr>
        <w:t>产业链上下游</w:t>
      </w:r>
      <w:r>
        <w:rPr>
          <w:rFonts w:eastAsiaTheme="minorEastAsia"/>
        </w:rPr>
        <w:t>企业合作</w:t>
      </w:r>
      <w:r>
        <w:t>宜融入绿色理念，采用碳足迹追踪技术，利用可再生能源，降低碳排放，实现可持续发展。</w:t>
      </w:r>
    </w:p>
    <w:p w:rsidR="00107FC3" w:rsidRDefault="00000000">
      <w:pPr>
        <w:pStyle w:val="af6"/>
        <w:spacing w:before="156" w:after="156"/>
      </w:pPr>
      <w:r>
        <w:t>技术支撑层</w:t>
      </w:r>
    </w:p>
    <w:p w:rsidR="00107FC3" w:rsidRDefault="00000000">
      <w:pPr>
        <w:pStyle w:val="affffc"/>
        <w:spacing w:beforeLines="0" w:before="0" w:afterLines="0" w:after="0"/>
      </w:pPr>
      <w:r>
        <w:t>建立高效供应链体系的基础数字化平台，涵盖物联网技术以及区块链技术，增强</w:t>
      </w:r>
      <w:r>
        <w:rPr>
          <w:rFonts w:eastAsiaTheme="minorEastAsia" w:hint="default"/>
        </w:rPr>
        <w:t>产业链上下游</w:t>
      </w:r>
      <w:r>
        <w:rPr>
          <w:rFonts w:eastAsiaTheme="minorEastAsia"/>
        </w:rPr>
        <w:t>企业合作</w:t>
      </w:r>
      <w:r>
        <w:t>供应链的透明度和安全性。</w:t>
      </w:r>
    </w:p>
    <w:p w:rsidR="00107FC3" w:rsidRDefault="00000000">
      <w:pPr>
        <w:pStyle w:val="affffc"/>
        <w:spacing w:beforeLines="0" w:before="0" w:afterLines="0" w:after="0"/>
      </w:pPr>
      <w:r>
        <w:t>通过云计算技术为供应链管理提供灵活的计算资源和便捷的软件服务。</w:t>
      </w:r>
    </w:p>
    <w:p w:rsidR="00107FC3" w:rsidRDefault="00000000">
      <w:pPr>
        <w:pStyle w:val="affffc"/>
        <w:spacing w:beforeLines="0" w:before="0" w:afterLines="0" w:after="0"/>
      </w:pPr>
      <w:r>
        <w:t>利用数字孪生技术和人工智能模型等智能分析工具，提高供应链的智能化水平，加强</w:t>
      </w:r>
      <w:r>
        <w:rPr>
          <w:rFonts w:eastAsiaTheme="minorEastAsia" w:hint="default"/>
        </w:rPr>
        <w:t>产业链上下游</w:t>
      </w:r>
      <w:r>
        <w:rPr>
          <w:rFonts w:eastAsiaTheme="minorEastAsia"/>
        </w:rPr>
        <w:t>企业合作</w:t>
      </w:r>
      <w:r>
        <w:t>决策过程的科学性，优化供应链的响应速度。</w:t>
      </w:r>
    </w:p>
    <w:p w:rsidR="00107FC3" w:rsidRDefault="00000000">
      <w:pPr>
        <w:pStyle w:val="af4"/>
        <w:spacing w:before="312" w:after="312"/>
        <w:rPr>
          <w:rFonts w:hint="default"/>
        </w:rPr>
      </w:pPr>
      <w:bookmarkStart w:id="91" w:name="_Toc9539"/>
      <w:bookmarkStart w:id="92" w:name="_Toc26383"/>
      <w:bookmarkStart w:id="93" w:name="_Toc19128"/>
      <w:bookmarkStart w:id="94" w:name="_Toc21891"/>
      <w:bookmarkStart w:id="95" w:name="_Toc3389"/>
      <w:bookmarkStart w:id="96" w:name="_Toc27257"/>
      <w:bookmarkStart w:id="97" w:name="_Toc23589"/>
      <w:r>
        <w:t>合作的领导作用</w:t>
      </w:r>
      <w:bookmarkEnd w:id="91"/>
      <w:bookmarkEnd w:id="92"/>
      <w:bookmarkEnd w:id="93"/>
      <w:bookmarkEnd w:id="94"/>
      <w:bookmarkEnd w:id="95"/>
      <w:bookmarkEnd w:id="96"/>
      <w:bookmarkEnd w:id="97"/>
    </w:p>
    <w:p w:rsidR="00107FC3" w:rsidRDefault="00000000">
      <w:pPr>
        <w:pStyle w:val="af5"/>
        <w:spacing w:before="156" w:after="156"/>
        <w:rPr>
          <w:rFonts w:hint="default"/>
        </w:rPr>
      </w:pPr>
      <w:bookmarkStart w:id="98" w:name="_Toc21457"/>
      <w:bookmarkStart w:id="99" w:name="_Toc2258"/>
      <w:bookmarkStart w:id="100" w:name="_Toc19007"/>
      <w:bookmarkStart w:id="101" w:name="_Toc13160"/>
      <w:r>
        <w:t>战略规划</w:t>
      </w:r>
      <w:bookmarkEnd w:id="98"/>
      <w:bookmarkEnd w:id="99"/>
      <w:bookmarkEnd w:id="100"/>
      <w:bookmarkEnd w:id="101"/>
    </w:p>
    <w:p w:rsidR="00107FC3" w:rsidRDefault="00000000">
      <w:pPr>
        <w:pStyle w:val="affffb"/>
        <w:spacing w:beforeLines="0" w:before="0" w:afterLines="0" w:after="0"/>
      </w:pPr>
      <w:r>
        <w:rPr>
          <w:rFonts w:eastAsiaTheme="minorEastAsia" w:hint="default"/>
        </w:rPr>
        <w:t>产业链上下游</w:t>
      </w:r>
      <w:r>
        <w:rPr>
          <w:rFonts w:eastAsiaTheme="minorEastAsia"/>
        </w:rPr>
        <w:t>企业</w:t>
      </w:r>
      <w:r>
        <w:t>领导层负责制定清晰的战略规划和方向，包括但不限于：</w:t>
      </w:r>
    </w:p>
    <w:p w:rsidR="00107FC3" w:rsidRDefault="00000000">
      <w:pPr>
        <w:pStyle w:val="a"/>
        <w:rPr>
          <w:rFonts w:hint="default"/>
        </w:rPr>
      </w:pPr>
      <w:r>
        <w:t>明确企业在产业链中的定位；</w:t>
      </w:r>
    </w:p>
    <w:p w:rsidR="00107FC3" w:rsidRDefault="00000000">
      <w:pPr>
        <w:pStyle w:val="a"/>
        <w:rPr>
          <w:rFonts w:hint="default"/>
        </w:rPr>
      </w:pPr>
      <w:r>
        <w:t>确定供应链合作的长期目标；</w:t>
      </w:r>
    </w:p>
    <w:p w:rsidR="00107FC3" w:rsidRDefault="00000000">
      <w:pPr>
        <w:pStyle w:val="a"/>
        <w:rPr>
          <w:rFonts w:hint="default"/>
        </w:rPr>
      </w:pPr>
      <w:r>
        <w:t>关键绩效指标；</w:t>
      </w:r>
    </w:p>
    <w:p w:rsidR="00107FC3" w:rsidRDefault="00000000">
      <w:pPr>
        <w:pStyle w:val="a"/>
        <w:rPr>
          <w:rFonts w:hint="default"/>
        </w:rPr>
      </w:pPr>
      <w:r>
        <w:t>衡量成功的标准。</w:t>
      </w:r>
    </w:p>
    <w:p w:rsidR="00107FC3" w:rsidRDefault="00000000">
      <w:pPr>
        <w:pStyle w:val="affffb"/>
        <w:spacing w:beforeLines="0" w:before="0" w:afterLines="0" w:after="0"/>
      </w:pPr>
      <w:r>
        <w:t>确保</w:t>
      </w:r>
      <w:r>
        <w:rPr>
          <w:rFonts w:eastAsiaTheme="minorEastAsia" w:hint="default"/>
        </w:rPr>
        <w:t>产业链上下游</w:t>
      </w:r>
      <w:r>
        <w:rPr>
          <w:rFonts w:eastAsiaTheme="minorEastAsia"/>
        </w:rPr>
        <w:t>企业</w:t>
      </w:r>
      <w:r>
        <w:t>合作目标与企业的总体愿景和价值观相一致，并且能够适应不断变化的市场环境。</w:t>
      </w:r>
    </w:p>
    <w:p w:rsidR="00107FC3" w:rsidRDefault="00000000">
      <w:pPr>
        <w:pStyle w:val="af5"/>
        <w:spacing w:before="156" w:after="156"/>
        <w:rPr>
          <w:rFonts w:hint="default"/>
        </w:rPr>
      </w:pPr>
      <w:bookmarkStart w:id="102" w:name="_Toc12307"/>
      <w:bookmarkStart w:id="103" w:name="_Toc453"/>
      <w:bookmarkStart w:id="104" w:name="_Toc2590"/>
      <w:bookmarkStart w:id="105" w:name="_Toc15981"/>
      <w:r>
        <w:t>跨部门协调</w:t>
      </w:r>
      <w:bookmarkEnd w:id="102"/>
      <w:bookmarkEnd w:id="103"/>
      <w:bookmarkEnd w:id="104"/>
      <w:bookmarkEnd w:id="105"/>
    </w:p>
    <w:p w:rsidR="00107FC3" w:rsidRDefault="00000000">
      <w:pPr>
        <w:pStyle w:val="affc"/>
        <w:ind w:firstLine="420"/>
        <w:rPr>
          <w:rFonts w:hint="default"/>
        </w:rPr>
      </w:pPr>
      <w:r>
        <w:t>领导层宜发挥多部门协调作用，优化资源分配与沟通效率，提高</w:t>
      </w:r>
      <w:r>
        <w:rPr>
          <w:rFonts w:eastAsiaTheme="minorEastAsia" w:hint="default"/>
        </w:rPr>
        <w:t>产业链上下游</w:t>
      </w:r>
      <w:r>
        <w:rPr>
          <w:rFonts w:eastAsiaTheme="minorEastAsia"/>
        </w:rPr>
        <w:t>企业合作</w:t>
      </w:r>
      <w:r>
        <w:t>供应链效率和效果。</w:t>
      </w:r>
    </w:p>
    <w:p w:rsidR="00107FC3" w:rsidRDefault="00000000">
      <w:pPr>
        <w:pStyle w:val="af5"/>
        <w:spacing w:before="156" w:after="156"/>
        <w:rPr>
          <w:rFonts w:hint="default"/>
        </w:rPr>
      </w:pPr>
      <w:bookmarkStart w:id="106" w:name="_Toc4421"/>
      <w:bookmarkStart w:id="107" w:name="_Toc26857"/>
      <w:bookmarkStart w:id="108" w:name="_Toc29118"/>
      <w:bookmarkStart w:id="109" w:name="_Toc4259"/>
      <w:r>
        <w:t>团队文化塑造与建设</w:t>
      </w:r>
      <w:bookmarkEnd w:id="106"/>
      <w:bookmarkEnd w:id="107"/>
      <w:bookmarkEnd w:id="108"/>
      <w:bookmarkEnd w:id="109"/>
    </w:p>
    <w:p w:rsidR="00107FC3" w:rsidRDefault="00000000">
      <w:pPr>
        <w:pStyle w:val="affc"/>
        <w:ind w:firstLine="420"/>
        <w:rPr>
          <w:rFonts w:hint="default"/>
        </w:rPr>
      </w:pPr>
      <w:r>
        <w:t>领导层宜倡导开放、合作、创新、包容的文化，鼓励团队成员积极参与供应链合作项目。通过培训提升团队成员对</w:t>
      </w:r>
      <w:r>
        <w:rPr>
          <w:rFonts w:eastAsiaTheme="minorEastAsia"/>
        </w:rPr>
        <w:t>产业链上下游企业</w:t>
      </w:r>
      <w:r>
        <w:t>供应链管理能力和跨文化沟通技巧，塑造积极的企业文化。</w:t>
      </w:r>
    </w:p>
    <w:p w:rsidR="00107FC3" w:rsidRDefault="00000000">
      <w:pPr>
        <w:pStyle w:val="af5"/>
        <w:spacing w:before="156" w:after="156"/>
        <w:rPr>
          <w:rFonts w:hint="default"/>
        </w:rPr>
      </w:pPr>
      <w:bookmarkStart w:id="110" w:name="_Toc220"/>
      <w:bookmarkStart w:id="111" w:name="_Toc1054"/>
      <w:bookmarkStart w:id="112" w:name="_Toc30216"/>
      <w:bookmarkStart w:id="113" w:name="_Toc3869"/>
      <w:r>
        <w:t>利益相关者沟通</w:t>
      </w:r>
      <w:bookmarkEnd w:id="110"/>
      <w:bookmarkEnd w:id="111"/>
      <w:bookmarkEnd w:id="112"/>
      <w:bookmarkEnd w:id="113"/>
    </w:p>
    <w:p w:rsidR="00107FC3" w:rsidRDefault="00000000">
      <w:pPr>
        <w:pStyle w:val="affc"/>
        <w:ind w:firstLine="420"/>
        <w:rPr>
          <w:rFonts w:hint="default"/>
        </w:rPr>
      </w:pPr>
      <w:r>
        <w:t>领导层宜建立定期沟通机制，确保</w:t>
      </w:r>
      <w:r>
        <w:rPr>
          <w:rFonts w:eastAsiaTheme="minorEastAsia"/>
        </w:rPr>
        <w:t>产业链上下游企业</w:t>
      </w:r>
      <w:r>
        <w:t>伙伴、客户、供应商和其他利益相关者对供应链合作的目标、进展和成果有清晰了解。倾听</w:t>
      </w:r>
      <w:r>
        <w:rPr>
          <w:rFonts w:eastAsiaTheme="minorEastAsia" w:hint="default"/>
        </w:rPr>
        <w:t>产业链上下游</w:t>
      </w:r>
      <w:r>
        <w:rPr>
          <w:rFonts w:eastAsiaTheme="minorEastAsia"/>
        </w:rPr>
        <w:t>企业</w:t>
      </w:r>
      <w:r>
        <w:t>的反馈和建议，及时调整合作策略，为供应链合作的成功奠定基础。</w:t>
      </w:r>
    </w:p>
    <w:p w:rsidR="00107FC3" w:rsidRDefault="00000000">
      <w:pPr>
        <w:pStyle w:val="af5"/>
        <w:spacing w:before="156" w:after="156"/>
        <w:rPr>
          <w:rFonts w:hint="default"/>
        </w:rPr>
      </w:pPr>
      <w:bookmarkStart w:id="114" w:name="_Toc7542"/>
      <w:bookmarkStart w:id="115" w:name="_Toc3702"/>
      <w:bookmarkStart w:id="116" w:name="_Toc16180"/>
      <w:bookmarkStart w:id="117" w:name="_Toc1933"/>
      <w:r>
        <w:lastRenderedPageBreak/>
        <w:t>绩效评估与激励</w:t>
      </w:r>
      <w:bookmarkEnd w:id="114"/>
      <w:bookmarkEnd w:id="115"/>
      <w:bookmarkEnd w:id="116"/>
      <w:bookmarkEnd w:id="117"/>
    </w:p>
    <w:p w:rsidR="00107FC3" w:rsidRDefault="00000000">
      <w:pPr>
        <w:pStyle w:val="affc"/>
        <w:ind w:firstLine="420"/>
        <w:rPr>
          <w:rFonts w:hint="default"/>
        </w:rPr>
      </w:pPr>
      <w:r>
        <w:t>领导层宜设定明确的绩效指标，定期跟踪评估合作成果，并根据评估结果进行奖励和激励，通过绩效反馈和辅导，帮助团队成员提高工作表现和职业发展。</w:t>
      </w:r>
    </w:p>
    <w:p w:rsidR="00107FC3" w:rsidRDefault="00000000">
      <w:pPr>
        <w:pStyle w:val="af4"/>
        <w:spacing w:before="312" w:after="312"/>
        <w:rPr>
          <w:rFonts w:hint="default"/>
        </w:rPr>
      </w:pPr>
      <w:bookmarkStart w:id="118" w:name="_Toc14141"/>
      <w:bookmarkStart w:id="119" w:name="_Toc29856"/>
      <w:bookmarkStart w:id="120" w:name="_Toc19963"/>
      <w:bookmarkStart w:id="121" w:name="_Toc11262"/>
      <w:bookmarkStart w:id="122" w:name="_Toc6586"/>
      <w:bookmarkStart w:id="123" w:name="_Toc24839"/>
      <w:bookmarkStart w:id="124" w:name="_Toc2321"/>
      <w:r>
        <w:t>业务目标</w:t>
      </w:r>
      <w:bookmarkEnd w:id="118"/>
      <w:bookmarkEnd w:id="119"/>
      <w:bookmarkEnd w:id="120"/>
      <w:bookmarkEnd w:id="121"/>
      <w:bookmarkEnd w:id="122"/>
      <w:bookmarkEnd w:id="123"/>
      <w:bookmarkEnd w:id="124"/>
    </w:p>
    <w:p w:rsidR="00107FC3" w:rsidRDefault="00000000">
      <w:pPr>
        <w:pStyle w:val="af5"/>
        <w:spacing w:before="156" w:after="156"/>
        <w:rPr>
          <w:rFonts w:hint="default"/>
        </w:rPr>
      </w:pPr>
      <w:bookmarkStart w:id="125" w:name="_Toc28785"/>
      <w:bookmarkStart w:id="126" w:name="_Toc19173"/>
      <w:bookmarkStart w:id="127" w:name="_Toc16559"/>
      <w:bookmarkStart w:id="128" w:name="_Toc12475"/>
      <w:r>
        <w:t>协同优化</w:t>
      </w:r>
      <w:bookmarkEnd w:id="125"/>
      <w:bookmarkEnd w:id="126"/>
      <w:bookmarkEnd w:id="127"/>
      <w:bookmarkEnd w:id="128"/>
    </w:p>
    <w:p w:rsidR="00107FC3" w:rsidRDefault="00000000">
      <w:pPr>
        <w:pStyle w:val="affc"/>
        <w:ind w:firstLine="420"/>
        <w:rPr>
          <w:rFonts w:hint="default"/>
        </w:rPr>
      </w:pPr>
      <w:r>
        <w:rPr>
          <w:rFonts w:eastAsiaTheme="minorEastAsia" w:hint="default"/>
        </w:rPr>
        <w:t>产业链上下游</w:t>
      </w:r>
      <w:r>
        <w:rPr>
          <w:rFonts w:eastAsiaTheme="minorEastAsia"/>
        </w:rPr>
        <w:t>企业宜</w:t>
      </w:r>
      <w:r>
        <w:t>通过有效合作，实现协同优化，共同开发创新流程和解决方案，共享优质资源和技术，缩短产品上市时间，提升供应链效率和响应速度。</w:t>
      </w:r>
    </w:p>
    <w:p w:rsidR="00107FC3" w:rsidRDefault="00000000">
      <w:pPr>
        <w:pStyle w:val="af5"/>
        <w:spacing w:before="156" w:after="156"/>
        <w:rPr>
          <w:rFonts w:hint="default"/>
        </w:rPr>
      </w:pPr>
      <w:bookmarkStart w:id="129" w:name="_Toc1131"/>
      <w:bookmarkStart w:id="130" w:name="_Toc4579"/>
      <w:bookmarkStart w:id="131" w:name="_Toc24627"/>
      <w:bookmarkStart w:id="132" w:name="_Toc12043"/>
      <w:r>
        <w:t>成本效益</w:t>
      </w:r>
      <w:bookmarkEnd w:id="129"/>
      <w:bookmarkEnd w:id="130"/>
      <w:bookmarkEnd w:id="131"/>
      <w:bookmarkEnd w:id="132"/>
    </w:p>
    <w:p w:rsidR="00107FC3" w:rsidRDefault="00000000">
      <w:pPr>
        <w:pStyle w:val="affc"/>
        <w:ind w:firstLine="420"/>
        <w:rPr>
          <w:rFonts w:hint="default"/>
        </w:rPr>
      </w:pPr>
      <w:r>
        <w:rPr>
          <w:rFonts w:eastAsiaTheme="minorEastAsia" w:hint="default"/>
        </w:rPr>
        <w:t>产业链上下游</w:t>
      </w:r>
      <w:r>
        <w:rPr>
          <w:rFonts w:eastAsiaTheme="minorEastAsia"/>
        </w:rPr>
        <w:t>企业宜</w:t>
      </w:r>
      <w:r>
        <w:t>对供应链中的各个环节进行成本分析，通过精细化管理与流程优化降低运营成本，提高资源利用效率。</w:t>
      </w:r>
    </w:p>
    <w:p w:rsidR="00107FC3" w:rsidRDefault="00000000">
      <w:pPr>
        <w:pStyle w:val="af5"/>
        <w:spacing w:before="156" w:after="156"/>
        <w:rPr>
          <w:rFonts w:hint="default"/>
        </w:rPr>
      </w:pPr>
      <w:bookmarkStart w:id="133" w:name="_Toc24314"/>
      <w:bookmarkStart w:id="134" w:name="_Toc29159"/>
      <w:bookmarkStart w:id="135" w:name="_Toc20256"/>
      <w:bookmarkStart w:id="136" w:name="_Toc9825"/>
      <w:r>
        <w:t>技术整合</w:t>
      </w:r>
      <w:bookmarkEnd w:id="133"/>
      <w:bookmarkEnd w:id="134"/>
      <w:bookmarkEnd w:id="135"/>
      <w:bookmarkEnd w:id="136"/>
    </w:p>
    <w:p w:rsidR="00107FC3" w:rsidRDefault="00000000">
      <w:pPr>
        <w:pStyle w:val="affc"/>
        <w:ind w:firstLine="420"/>
        <w:rPr>
          <w:rFonts w:hint="default"/>
        </w:rPr>
      </w:pPr>
      <w:r>
        <w:rPr>
          <w:rFonts w:eastAsiaTheme="minorEastAsia" w:hint="default"/>
        </w:rPr>
        <w:t>产业链上下游</w:t>
      </w:r>
      <w:r>
        <w:rPr>
          <w:rFonts w:eastAsiaTheme="minorEastAsia"/>
        </w:rPr>
        <w:t>企业宜</w:t>
      </w:r>
      <w:r>
        <w:t>借助物联网、大数据分析、人工智能等前沿信息技术，实现企业供应链智能化与实时协作。</w:t>
      </w:r>
    </w:p>
    <w:p w:rsidR="00107FC3" w:rsidRDefault="00000000">
      <w:pPr>
        <w:pStyle w:val="af4"/>
        <w:spacing w:before="312" w:after="312"/>
        <w:rPr>
          <w:rFonts w:hint="default"/>
        </w:rPr>
      </w:pPr>
      <w:bookmarkStart w:id="137" w:name="_Toc20893"/>
      <w:bookmarkStart w:id="138" w:name="_Toc14169"/>
      <w:bookmarkStart w:id="139" w:name="_Toc12828"/>
      <w:bookmarkStart w:id="140" w:name="_Toc9167"/>
      <w:bookmarkStart w:id="141" w:name="_Toc10446"/>
      <w:bookmarkStart w:id="142" w:name="_Toc13059"/>
      <w:r>
        <w:t>承诺互信与共同获益</w:t>
      </w:r>
      <w:bookmarkEnd w:id="137"/>
      <w:bookmarkEnd w:id="138"/>
      <w:bookmarkEnd w:id="139"/>
      <w:bookmarkEnd w:id="140"/>
      <w:bookmarkEnd w:id="141"/>
      <w:bookmarkEnd w:id="142"/>
    </w:p>
    <w:p w:rsidR="00107FC3" w:rsidRDefault="00000000">
      <w:pPr>
        <w:pStyle w:val="af5"/>
        <w:spacing w:before="156" w:after="156"/>
        <w:rPr>
          <w:rFonts w:hint="default"/>
        </w:rPr>
      </w:pPr>
      <w:bookmarkStart w:id="143" w:name="_Toc26551"/>
      <w:bookmarkStart w:id="144" w:name="_Toc31549"/>
      <w:bookmarkStart w:id="145" w:name="_Toc15294"/>
      <w:bookmarkStart w:id="146" w:name="_Toc6364"/>
      <w:r>
        <w:t>互信基石</w:t>
      </w:r>
      <w:bookmarkEnd w:id="143"/>
      <w:bookmarkEnd w:id="144"/>
      <w:bookmarkEnd w:id="145"/>
      <w:bookmarkEnd w:id="146"/>
    </w:p>
    <w:p w:rsidR="00107FC3" w:rsidRDefault="00000000">
      <w:pPr>
        <w:pStyle w:val="affc"/>
        <w:ind w:firstLine="420"/>
        <w:rPr>
          <w:rFonts w:hint="default"/>
        </w:rPr>
      </w:pPr>
      <w:r>
        <w:rPr>
          <w:rFonts w:eastAsiaTheme="minorEastAsia" w:hint="default"/>
        </w:rPr>
        <w:t>互信是合作的基础，产业链上下游</w:t>
      </w:r>
      <w:r>
        <w:rPr>
          <w:rFonts w:eastAsiaTheme="minorEastAsia"/>
        </w:rPr>
        <w:t>企业宜</w:t>
      </w:r>
      <w:r>
        <w:rPr>
          <w:rFonts w:eastAsiaTheme="minorEastAsia" w:hint="default"/>
        </w:rPr>
        <w:t>构筑稳固的信任纽带，</w:t>
      </w:r>
      <w:r>
        <w:t>有效削减合作进程中潜在的风险。</w:t>
      </w:r>
    </w:p>
    <w:p w:rsidR="00107FC3" w:rsidRDefault="00000000">
      <w:pPr>
        <w:pStyle w:val="af5"/>
        <w:spacing w:before="156" w:after="156"/>
        <w:rPr>
          <w:rFonts w:hint="default"/>
        </w:rPr>
      </w:pPr>
      <w:bookmarkStart w:id="147" w:name="_Toc26225"/>
      <w:bookmarkStart w:id="148" w:name="_Toc1773"/>
      <w:bookmarkStart w:id="149" w:name="_Toc29583"/>
      <w:bookmarkStart w:id="150" w:name="_Toc22785"/>
      <w:r>
        <w:t>资源共用</w:t>
      </w:r>
      <w:bookmarkEnd w:id="147"/>
      <w:bookmarkEnd w:id="148"/>
      <w:bookmarkEnd w:id="149"/>
      <w:bookmarkEnd w:id="150"/>
    </w:p>
    <w:p w:rsidR="00107FC3" w:rsidRDefault="00000000">
      <w:pPr>
        <w:pStyle w:val="affc"/>
        <w:ind w:firstLine="420"/>
        <w:rPr>
          <w:rFonts w:hint="default"/>
        </w:rPr>
      </w:pPr>
      <w:r>
        <w:rPr>
          <w:rFonts w:eastAsiaTheme="minorEastAsia" w:hint="default"/>
        </w:rPr>
        <w:t>产业链上下游</w:t>
      </w:r>
      <w:r>
        <w:rPr>
          <w:rFonts w:eastAsiaTheme="minorEastAsia"/>
        </w:rPr>
        <w:t>企业宜</w:t>
      </w:r>
      <w:r>
        <w:rPr>
          <w:rFonts w:eastAsiaTheme="minorEastAsia" w:hint="default"/>
        </w:rPr>
        <w:t>共享彼此的资源与知识范畴，涵盖技术、市场信息、行业经验等，提升工作效率，激发创新思维。</w:t>
      </w:r>
    </w:p>
    <w:p w:rsidR="00107FC3" w:rsidRDefault="00000000">
      <w:pPr>
        <w:pStyle w:val="af5"/>
        <w:spacing w:before="156" w:after="156"/>
        <w:rPr>
          <w:rFonts w:hint="default"/>
        </w:rPr>
      </w:pPr>
      <w:bookmarkStart w:id="151" w:name="_Toc23807"/>
      <w:bookmarkStart w:id="152" w:name="_Toc24995"/>
      <w:bookmarkStart w:id="153" w:name="_Toc12676"/>
      <w:bookmarkStart w:id="154" w:name="_Toc17591"/>
      <w:r>
        <w:t>风险共担</w:t>
      </w:r>
      <w:bookmarkEnd w:id="151"/>
      <w:bookmarkEnd w:id="152"/>
      <w:bookmarkEnd w:id="153"/>
      <w:bookmarkEnd w:id="154"/>
    </w:p>
    <w:p w:rsidR="00107FC3" w:rsidRDefault="00000000">
      <w:pPr>
        <w:pStyle w:val="affc"/>
        <w:ind w:firstLine="420"/>
        <w:rPr>
          <w:rFonts w:hint="default"/>
        </w:rPr>
      </w:pPr>
      <w:r>
        <w:rPr>
          <w:rFonts w:eastAsiaTheme="minorEastAsia" w:hint="default"/>
        </w:rPr>
        <w:t>产业链上下游</w:t>
      </w:r>
      <w:r>
        <w:rPr>
          <w:rFonts w:eastAsiaTheme="minorEastAsia"/>
        </w:rPr>
        <w:t>企业宜</w:t>
      </w:r>
      <w:r>
        <w:rPr>
          <w:rFonts w:eastAsiaTheme="minorEastAsia" w:hint="default"/>
        </w:rPr>
        <w:t>共同应对供应链中的风险，减轻单一</w:t>
      </w:r>
      <w:r>
        <w:rPr>
          <w:rFonts w:eastAsiaTheme="minorEastAsia"/>
        </w:rPr>
        <w:t>企业</w:t>
      </w:r>
      <w:r>
        <w:rPr>
          <w:rFonts w:eastAsiaTheme="minorEastAsia" w:hint="default"/>
        </w:rPr>
        <w:t>的压力与负担，维护供应链的稳固与持续发展。</w:t>
      </w:r>
    </w:p>
    <w:p w:rsidR="00107FC3" w:rsidRDefault="00000000">
      <w:pPr>
        <w:pStyle w:val="af5"/>
        <w:spacing w:before="156" w:after="156"/>
        <w:rPr>
          <w:rFonts w:hint="default"/>
        </w:rPr>
      </w:pPr>
      <w:bookmarkStart w:id="155" w:name="_Toc19896"/>
      <w:bookmarkStart w:id="156" w:name="_Toc32034"/>
      <w:bookmarkStart w:id="157" w:name="_Toc246"/>
      <w:bookmarkStart w:id="158" w:name="_Toc14743"/>
      <w:r>
        <w:t>公平利益分配机制</w:t>
      </w:r>
      <w:bookmarkEnd w:id="155"/>
      <w:bookmarkEnd w:id="156"/>
      <w:bookmarkEnd w:id="157"/>
      <w:bookmarkEnd w:id="158"/>
    </w:p>
    <w:p w:rsidR="00107FC3" w:rsidRDefault="00000000">
      <w:pPr>
        <w:pStyle w:val="affc"/>
        <w:ind w:firstLine="420"/>
        <w:rPr>
          <w:rFonts w:hint="default"/>
        </w:rPr>
      </w:pPr>
      <w:r>
        <w:t>建立基于贡献度的利益分配机制，确保</w:t>
      </w:r>
      <w:r>
        <w:rPr>
          <w:rFonts w:eastAsiaTheme="minorEastAsia" w:hint="default"/>
        </w:rPr>
        <w:t>产业链上下游</w:t>
      </w:r>
      <w:r>
        <w:rPr>
          <w:rFonts w:eastAsiaTheme="minorEastAsia"/>
        </w:rPr>
        <w:t>企业</w:t>
      </w:r>
      <w:r>
        <w:t>各方获得合理经济与战略回报。</w:t>
      </w:r>
    </w:p>
    <w:p w:rsidR="00107FC3" w:rsidRDefault="00000000">
      <w:pPr>
        <w:pStyle w:val="af4"/>
        <w:spacing w:before="312" w:after="312"/>
        <w:rPr>
          <w:rFonts w:hint="default"/>
        </w:rPr>
      </w:pPr>
      <w:bookmarkStart w:id="159" w:name="_Toc30958"/>
      <w:bookmarkStart w:id="160" w:name="_Toc21248"/>
      <w:bookmarkStart w:id="161" w:name="_Toc11766"/>
      <w:bookmarkStart w:id="162" w:name="_Toc9215"/>
      <w:bookmarkStart w:id="163" w:name="_Toc31144"/>
      <w:bookmarkStart w:id="164" w:name="_Toc7850"/>
      <w:bookmarkStart w:id="165" w:name="_Toc15775"/>
      <w:r>
        <w:t>信息和知识共享</w:t>
      </w:r>
      <w:bookmarkEnd w:id="159"/>
      <w:bookmarkEnd w:id="160"/>
      <w:bookmarkEnd w:id="161"/>
      <w:bookmarkEnd w:id="162"/>
      <w:bookmarkEnd w:id="163"/>
      <w:bookmarkEnd w:id="164"/>
      <w:bookmarkEnd w:id="165"/>
    </w:p>
    <w:p w:rsidR="00107FC3" w:rsidRDefault="00000000">
      <w:pPr>
        <w:pStyle w:val="af5"/>
        <w:spacing w:before="156" w:after="156"/>
        <w:rPr>
          <w:rFonts w:hint="default"/>
        </w:rPr>
      </w:pPr>
      <w:bookmarkStart w:id="166" w:name="_Toc26401"/>
      <w:bookmarkStart w:id="167" w:name="_Toc30452"/>
      <w:bookmarkStart w:id="168" w:name="_Toc26997"/>
      <w:bookmarkStart w:id="169" w:name="_Toc10625"/>
      <w:r>
        <w:t>搭建信息共享平台</w:t>
      </w:r>
      <w:bookmarkEnd w:id="166"/>
      <w:bookmarkEnd w:id="167"/>
      <w:bookmarkEnd w:id="168"/>
      <w:bookmarkEnd w:id="169"/>
    </w:p>
    <w:p w:rsidR="00107FC3" w:rsidRDefault="00000000">
      <w:pPr>
        <w:pStyle w:val="affc"/>
        <w:ind w:firstLine="420"/>
        <w:rPr>
          <w:rFonts w:hint="default"/>
        </w:rPr>
      </w:pPr>
      <w:r>
        <w:rPr>
          <w:rFonts w:eastAsiaTheme="minorEastAsia" w:hint="default"/>
        </w:rPr>
        <w:t>产业链上下游</w:t>
      </w:r>
      <w:r>
        <w:rPr>
          <w:rFonts w:eastAsiaTheme="minorEastAsia"/>
        </w:rPr>
        <w:t>企业宜</w:t>
      </w:r>
      <w:r>
        <w:rPr>
          <w:rFonts w:eastAsiaTheme="minorEastAsia" w:hint="default"/>
        </w:rPr>
        <w:t>开发集中的数字化平台，</w:t>
      </w:r>
      <w:r>
        <w:t>便于企业上传、访问和共享信息。同时优化平台交互界面友好性与检索功能效率，以便用户快速获取所需信息。</w:t>
      </w:r>
    </w:p>
    <w:p w:rsidR="00107FC3" w:rsidRDefault="00000000">
      <w:pPr>
        <w:pStyle w:val="af5"/>
        <w:spacing w:before="156" w:after="156"/>
        <w:rPr>
          <w:rFonts w:hint="default"/>
        </w:rPr>
      </w:pPr>
      <w:bookmarkStart w:id="170" w:name="_Toc14702"/>
      <w:bookmarkStart w:id="171" w:name="_Toc6992"/>
      <w:bookmarkStart w:id="172" w:name="_Toc21106"/>
      <w:bookmarkStart w:id="173" w:name="_Toc24093"/>
      <w:r>
        <w:lastRenderedPageBreak/>
        <w:t>定期举办交流活动</w:t>
      </w:r>
      <w:bookmarkEnd w:id="170"/>
      <w:bookmarkEnd w:id="171"/>
      <w:bookmarkEnd w:id="172"/>
      <w:bookmarkEnd w:id="173"/>
    </w:p>
    <w:p w:rsidR="00107FC3" w:rsidRDefault="00000000">
      <w:pPr>
        <w:pStyle w:val="affc"/>
        <w:ind w:firstLine="420"/>
        <w:rPr>
          <w:rFonts w:hint="default"/>
        </w:rPr>
      </w:pPr>
      <w:r>
        <w:t>定期举办产业链各环节企业参与的交流会议、展会或研讨会，促进经验和技术的共享，同时讨论行业的发展趋势和面临的挑战。</w:t>
      </w:r>
    </w:p>
    <w:p w:rsidR="00107FC3" w:rsidRDefault="00000000">
      <w:pPr>
        <w:pStyle w:val="af5"/>
        <w:spacing w:before="156" w:after="156"/>
        <w:rPr>
          <w:rFonts w:hint="default"/>
        </w:rPr>
      </w:pPr>
      <w:bookmarkStart w:id="174" w:name="_Toc7855"/>
      <w:bookmarkStart w:id="175" w:name="_Toc5435"/>
      <w:bookmarkStart w:id="176" w:name="_Toc18914"/>
      <w:bookmarkStart w:id="177" w:name="_Toc27161"/>
      <w:r>
        <w:t>技术转移与创新合作</w:t>
      </w:r>
      <w:bookmarkEnd w:id="174"/>
      <w:bookmarkEnd w:id="175"/>
      <w:bookmarkEnd w:id="176"/>
      <w:bookmarkEnd w:id="177"/>
    </w:p>
    <w:p w:rsidR="00107FC3" w:rsidRDefault="00000000">
      <w:pPr>
        <w:pStyle w:val="affc"/>
        <w:ind w:firstLine="420"/>
        <w:rPr>
          <w:rFonts w:hint="default"/>
        </w:rPr>
      </w:pPr>
      <w:r>
        <w:t>鼓励</w:t>
      </w:r>
      <w:r>
        <w:rPr>
          <w:rFonts w:eastAsiaTheme="minorEastAsia" w:hint="default"/>
        </w:rPr>
        <w:t>产业链上下游</w:t>
      </w:r>
      <w:r>
        <w:rPr>
          <w:rFonts w:eastAsiaTheme="minorEastAsia"/>
        </w:rPr>
        <w:t>企业</w:t>
      </w:r>
      <w:r>
        <w:t>间技术转移，推动核心技术创新，缩短研发周期，降低产业风险，促进知识传播和创新，实现方式包括但不限于联合研发、技术合作、创新基金等。</w:t>
      </w:r>
    </w:p>
    <w:p w:rsidR="00107FC3" w:rsidRDefault="00000000">
      <w:pPr>
        <w:pStyle w:val="af5"/>
        <w:spacing w:before="156" w:after="156"/>
        <w:rPr>
          <w:rFonts w:hint="default"/>
        </w:rPr>
      </w:pPr>
      <w:bookmarkStart w:id="178" w:name="_Toc26228"/>
      <w:bookmarkStart w:id="179" w:name="_Toc13069"/>
      <w:bookmarkStart w:id="180" w:name="_Toc16284"/>
      <w:bookmarkStart w:id="181" w:name="_Toc29340"/>
      <w:r>
        <w:t>建立反馈机制</w:t>
      </w:r>
      <w:bookmarkEnd w:id="178"/>
      <w:bookmarkEnd w:id="179"/>
      <w:bookmarkEnd w:id="180"/>
      <w:bookmarkEnd w:id="181"/>
    </w:p>
    <w:p w:rsidR="00107FC3" w:rsidRDefault="00000000">
      <w:pPr>
        <w:pStyle w:val="affc"/>
        <w:ind w:firstLine="420"/>
        <w:rPr>
          <w:rFonts w:hint="default"/>
        </w:rPr>
      </w:pPr>
      <w:r>
        <w:t>在信息共享平台设立反馈渠道，鼓励企业提供反馈和建议，以优化改进共享机制，及时调整内容和方式，确保满足各方需求。</w:t>
      </w:r>
    </w:p>
    <w:p w:rsidR="00107FC3" w:rsidRDefault="00000000">
      <w:pPr>
        <w:pStyle w:val="af5"/>
        <w:spacing w:before="156" w:after="156"/>
        <w:rPr>
          <w:rFonts w:hint="default"/>
        </w:rPr>
      </w:pPr>
      <w:bookmarkStart w:id="182" w:name="_Toc359"/>
      <w:bookmarkStart w:id="183" w:name="_Toc11660"/>
      <w:bookmarkStart w:id="184" w:name="_Toc31575"/>
      <w:bookmarkStart w:id="185" w:name="_Toc8812"/>
      <w:r>
        <w:t>强化培训与能力建设</w:t>
      </w:r>
      <w:bookmarkEnd w:id="182"/>
      <w:bookmarkEnd w:id="183"/>
      <w:bookmarkEnd w:id="184"/>
      <w:bookmarkEnd w:id="185"/>
    </w:p>
    <w:p w:rsidR="00107FC3" w:rsidRDefault="00000000">
      <w:pPr>
        <w:ind w:firstLineChars="200" w:firstLine="420"/>
        <w:rPr>
          <w:rFonts w:eastAsiaTheme="minorEastAsia" w:hint="default"/>
        </w:rPr>
      </w:pPr>
      <w:r>
        <w:rPr>
          <w:rFonts w:eastAsiaTheme="minorEastAsia" w:hint="default"/>
        </w:rPr>
        <w:t>产业链上下游</w:t>
      </w:r>
      <w:r>
        <w:rPr>
          <w:rFonts w:eastAsiaTheme="minorEastAsia"/>
        </w:rPr>
        <w:t>企业宜</w:t>
      </w:r>
      <w:r>
        <w:rPr>
          <w:rFonts w:eastAsiaTheme="minorEastAsia" w:hint="default"/>
        </w:rPr>
        <w:t>开展培训和能力建设，提升员工的信息利用效率，推动建立知识管理体系。</w:t>
      </w:r>
    </w:p>
    <w:p w:rsidR="00107FC3" w:rsidRDefault="00000000">
      <w:pPr>
        <w:pStyle w:val="af4"/>
        <w:spacing w:before="312" w:after="312"/>
        <w:rPr>
          <w:rFonts w:hint="default"/>
        </w:rPr>
      </w:pPr>
      <w:bookmarkStart w:id="186" w:name="_Toc28791"/>
      <w:bookmarkStart w:id="187" w:name="_Toc239"/>
      <w:bookmarkStart w:id="188" w:name="_Toc11389"/>
      <w:bookmarkStart w:id="189" w:name="_Toc7763"/>
      <w:bookmarkStart w:id="190" w:name="_Toc10532"/>
      <w:bookmarkStart w:id="191" w:name="_Toc10592"/>
      <w:r>
        <w:t>关系管理</w:t>
      </w:r>
      <w:bookmarkEnd w:id="186"/>
      <w:bookmarkEnd w:id="187"/>
      <w:bookmarkEnd w:id="188"/>
      <w:bookmarkEnd w:id="189"/>
      <w:bookmarkEnd w:id="190"/>
      <w:bookmarkEnd w:id="191"/>
    </w:p>
    <w:p w:rsidR="00107FC3" w:rsidRDefault="00000000">
      <w:pPr>
        <w:pStyle w:val="af5"/>
        <w:spacing w:before="156" w:after="156"/>
        <w:rPr>
          <w:rFonts w:hint="default"/>
        </w:rPr>
      </w:pPr>
      <w:bookmarkStart w:id="192" w:name="_Toc3516"/>
      <w:bookmarkStart w:id="193" w:name="_Toc16884"/>
      <w:bookmarkStart w:id="194" w:name="_Toc24005"/>
      <w:bookmarkStart w:id="195" w:name="_Toc14861"/>
      <w:r>
        <w:t>合作关系组建</w:t>
      </w:r>
      <w:bookmarkEnd w:id="192"/>
      <w:bookmarkEnd w:id="193"/>
      <w:bookmarkEnd w:id="194"/>
      <w:bookmarkEnd w:id="195"/>
    </w:p>
    <w:p w:rsidR="00107FC3" w:rsidRDefault="00000000">
      <w:pPr>
        <w:pStyle w:val="af6"/>
        <w:spacing w:before="156" w:after="156"/>
      </w:pPr>
      <w:r>
        <w:t>合作伙伴筛选与评估</w:t>
      </w:r>
    </w:p>
    <w:p w:rsidR="00107FC3" w:rsidRDefault="00000000">
      <w:pPr>
        <w:pStyle w:val="affffc"/>
        <w:numPr>
          <w:ilvl w:val="3"/>
          <w:numId w:val="0"/>
        </w:numPr>
        <w:spacing w:beforeLines="0" w:before="0" w:afterLines="0" w:after="0"/>
        <w:ind w:firstLineChars="200" w:firstLine="420"/>
      </w:pPr>
      <w:r>
        <w:rPr>
          <w:rFonts w:eastAsiaTheme="minorEastAsia" w:hint="default"/>
        </w:rPr>
        <w:t>产业链上下游</w:t>
      </w:r>
      <w:r>
        <w:rPr>
          <w:rFonts w:eastAsiaTheme="minorEastAsia"/>
        </w:rPr>
        <w:t>企业宜</w:t>
      </w:r>
      <w:r>
        <w:rPr>
          <w:rFonts w:eastAsiaTheme="minorEastAsia" w:hint="default"/>
        </w:rPr>
        <w:t>制定评估标准，</w:t>
      </w:r>
      <w:r>
        <w:t>包括财务稳定性、行业声誉、技术能力、文化契合度等。对潜在合作伙伴进行深入的尽职调查，了解其历史表现、经营模式和战略方向。</w:t>
      </w:r>
    </w:p>
    <w:p w:rsidR="00107FC3" w:rsidRDefault="00000000">
      <w:pPr>
        <w:pStyle w:val="af6"/>
        <w:spacing w:before="156" w:after="156"/>
      </w:pPr>
      <w:r>
        <w:t>建立信任与沟通机制</w:t>
      </w:r>
    </w:p>
    <w:p w:rsidR="00107FC3" w:rsidRDefault="00000000">
      <w:pPr>
        <w:pStyle w:val="affffc"/>
        <w:spacing w:beforeLines="0" w:before="0" w:afterLines="0" w:after="0"/>
      </w:pPr>
      <w:r>
        <w:rPr>
          <w:rFonts w:eastAsiaTheme="minorEastAsia" w:hint="default"/>
        </w:rPr>
        <w:t>产业链上下游</w:t>
      </w:r>
      <w:r>
        <w:rPr>
          <w:rFonts w:eastAsiaTheme="minorEastAsia"/>
        </w:rPr>
        <w:t>企业</w:t>
      </w:r>
      <w:r>
        <w:t>高层管理者</w:t>
      </w:r>
      <w:r>
        <w:rPr>
          <w:rFonts w:eastAsiaTheme="minorEastAsia"/>
        </w:rPr>
        <w:t>宜</w:t>
      </w:r>
      <w:r>
        <w:t>定期企业召开战略对话会议，确保双方在战略目标和未来愿景上的一致性。</w:t>
      </w:r>
    </w:p>
    <w:p w:rsidR="00107FC3" w:rsidRDefault="00000000">
      <w:pPr>
        <w:pStyle w:val="affffc"/>
        <w:spacing w:beforeLines="0" w:before="0" w:afterLines="0" w:after="0"/>
      </w:pPr>
      <w:r>
        <w:t>搭建数据共享平台，实现生产、库存、需求等关键信息的实时共享，提高决策效率。</w:t>
      </w:r>
    </w:p>
    <w:p w:rsidR="00107FC3" w:rsidRDefault="00000000">
      <w:pPr>
        <w:pStyle w:val="affffc"/>
        <w:spacing w:beforeLines="0" w:before="0" w:afterLines="0" w:after="0"/>
      </w:pPr>
      <w:r>
        <w:t>设立专门的跨文化协调员，负责协调不同文化之间的沟通，促进理解与合作。</w:t>
      </w:r>
    </w:p>
    <w:p w:rsidR="00107FC3" w:rsidRDefault="00000000">
      <w:pPr>
        <w:pStyle w:val="af5"/>
        <w:spacing w:before="156" w:after="156"/>
        <w:rPr>
          <w:rFonts w:hint="default"/>
        </w:rPr>
      </w:pPr>
      <w:bookmarkStart w:id="196" w:name="_Toc28109"/>
      <w:bookmarkStart w:id="197" w:name="_Toc5033"/>
      <w:bookmarkStart w:id="198" w:name="_Toc25964"/>
      <w:bookmarkStart w:id="199" w:name="_Toc7516"/>
      <w:r>
        <w:t>运作管理</w:t>
      </w:r>
      <w:bookmarkEnd w:id="196"/>
      <w:bookmarkEnd w:id="197"/>
      <w:bookmarkEnd w:id="198"/>
      <w:bookmarkEnd w:id="199"/>
    </w:p>
    <w:p w:rsidR="00107FC3" w:rsidRDefault="00000000">
      <w:pPr>
        <w:pStyle w:val="af6"/>
        <w:spacing w:before="156" w:after="156"/>
      </w:pPr>
      <w:r>
        <w:t>日常协调</w:t>
      </w:r>
    </w:p>
    <w:p w:rsidR="00107FC3" w:rsidRDefault="00000000">
      <w:pPr>
        <w:pStyle w:val="affffc"/>
        <w:spacing w:beforeLines="0" w:before="0" w:afterLines="0" w:after="0"/>
      </w:pPr>
      <w:r>
        <w:t>产业链上下游企业宜及时分享市场信息、库存状态、生产计划等，共同制定生产和配送计划，减少库存积压和缺货现象。</w:t>
      </w:r>
    </w:p>
    <w:p w:rsidR="00107FC3" w:rsidRDefault="00000000">
      <w:pPr>
        <w:pStyle w:val="affffc"/>
        <w:spacing w:beforeLines="0" w:before="0" w:afterLines="0" w:after="0"/>
      </w:pPr>
      <w:r>
        <w:t>通过反馈机制，定期评估合作效果，发现问题并及时调整，确保整个供应链的流程不断优化。</w:t>
      </w:r>
    </w:p>
    <w:p w:rsidR="00107FC3" w:rsidRDefault="00000000">
      <w:pPr>
        <w:pStyle w:val="af6"/>
        <w:spacing w:before="156" w:after="156"/>
      </w:pPr>
      <w:r>
        <w:t>监控和调整</w:t>
      </w:r>
    </w:p>
    <w:p w:rsidR="00107FC3" w:rsidRDefault="00000000">
      <w:pPr>
        <w:pStyle w:val="affffc"/>
        <w:spacing w:beforeLines="0" w:before="0" w:afterLines="0" w:after="0"/>
      </w:pPr>
      <w:r>
        <w:t>产业链上下游企业宜共同建立绩效监控体系，跟踪交货期、订单准确率、库存周转率等关键指标，利用数据分析工具，实时监测市场趋势和客户需求。</w:t>
      </w:r>
    </w:p>
    <w:p w:rsidR="00107FC3" w:rsidRDefault="00000000">
      <w:pPr>
        <w:pStyle w:val="affffc"/>
        <w:spacing w:beforeLines="0" w:before="0" w:afterLines="0" w:after="0"/>
      </w:pPr>
      <w:r>
        <w:t>面对原材料短缺、需求激增等突发情况，具备快速调整生产和物流计划的能力，以降低影响。</w:t>
      </w:r>
    </w:p>
    <w:p w:rsidR="00107FC3" w:rsidRDefault="00000000">
      <w:pPr>
        <w:pStyle w:val="af6"/>
        <w:spacing w:before="156" w:after="156"/>
      </w:pPr>
      <w:r>
        <w:t>市场应对</w:t>
      </w:r>
    </w:p>
    <w:p w:rsidR="00107FC3" w:rsidRDefault="00000000">
      <w:pPr>
        <w:pStyle w:val="affffc"/>
        <w:spacing w:beforeLines="0" w:before="0" w:afterLines="0" w:after="0"/>
      </w:pPr>
      <w:r>
        <w:lastRenderedPageBreak/>
        <w:t>产业链上下游企业宜通过市场调研和趋势分析，预判客户需求和行业变化，制定相应策略。</w:t>
      </w:r>
    </w:p>
    <w:p w:rsidR="00107FC3" w:rsidRDefault="00000000">
      <w:pPr>
        <w:pStyle w:val="affffc"/>
        <w:spacing w:beforeLines="0" w:before="0" w:afterLines="0" w:after="0"/>
      </w:pPr>
      <w:r>
        <w:t>重视客户的反馈意见，及时调整产品和服务，提高客户满意度。</w:t>
      </w:r>
    </w:p>
    <w:p w:rsidR="00107FC3" w:rsidRDefault="00000000">
      <w:pPr>
        <w:pStyle w:val="affffc"/>
        <w:spacing w:beforeLines="0" w:before="0" w:afterLines="0" w:after="0"/>
      </w:pPr>
      <w:r>
        <w:t>定期分析竞争对手的动向，寻找差异化竞争的机会。</w:t>
      </w:r>
    </w:p>
    <w:p w:rsidR="00107FC3" w:rsidRDefault="00000000">
      <w:pPr>
        <w:pStyle w:val="af5"/>
        <w:spacing w:before="156" w:after="156"/>
        <w:rPr>
          <w:rFonts w:hint="default"/>
        </w:rPr>
      </w:pPr>
      <w:bookmarkStart w:id="200" w:name="_Toc32494"/>
      <w:bookmarkStart w:id="201" w:name="_Toc31801"/>
      <w:bookmarkStart w:id="202" w:name="_Toc20823"/>
      <w:bookmarkStart w:id="203" w:name="_Toc24989"/>
      <w:r>
        <w:t>合作关系结束</w:t>
      </w:r>
      <w:bookmarkEnd w:id="200"/>
      <w:bookmarkEnd w:id="201"/>
      <w:bookmarkEnd w:id="202"/>
      <w:bookmarkEnd w:id="203"/>
    </w:p>
    <w:p w:rsidR="00107FC3" w:rsidRDefault="00000000">
      <w:pPr>
        <w:pStyle w:val="af6"/>
        <w:spacing w:before="156" w:after="156"/>
      </w:pPr>
      <w:r>
        <w:t>合同审查与终止</w:t>
      </w:r>
    </w:p>
    <w:p w:rsidR="00107FC3" w:rsidRDefault="00000000">
      <w:pPr>
        <w:pStyle w:val="affffc"/>
        <w:spacing w:beforeLines="0" w:before="0" w:afterLines="0" w:after="0"/>
      </w:pPr>
      <w:r>
        <w:rPr>
          <w:rFonts w:hint="default"/>
        </w:rPr>
        <w:t>产业链上下游</w:t>
      </w:r>
      <w:r>
        <w:t>企业宜</w:t>
      </w:r>
      <w:r>
        <w:rPr>
          <w:rFonts w:hint="default"/>
        </w:rPr>
        <w:t>全面审核现有合同条款（含终止条件与通知期限），依据约定程序向合作方发出书面终止通知</w:t>
      </w:r>
      <w:r>
        <w:t>。</w:t>
      </w:r>
    </w:p>
    <w:p w:rsidR="00107FC3" w:rsidRDefault="00000000">
      <w:pPr>
        <w:pStyle w:val="affffc"/>
        <w:spacing w:beforeLines="0" w:before="0" w:afterLines="0" w:after="0"/>
      </w:pPr>
      <w:r>
        <w:t>按照合同规定，正式通知对方终止合作，提供必要的书面文件。</w:t>
      </w:r>
    </w:p>
    <w:p w:rsidR="00107FC3" w:rsidRDefault="00000000">
      <w:pPr>
        <w:pStyle w:val="af6"/>
        <w:spacing w:before="156" w:after="156"/>
      </w:pPr>
      <w:r>
        <w:t>资产与责任清算</w:t>
      </w:r>
    </w:p>
    <w:p w:rsidR="00107FC3" w:rsidRDefault="00000000">
      <w:pPr>
        <w:pStyle w:val="affffc"/>
        <w:spacing w:beforeLines="0" w:before="0" w:afterLines="0" w:after="0"/>
      </w:pPr>
      <w:r>
        <w:t>盘点和清理双方在合作期间产生的资产和责任，确保所有应付账款和应收账款结清。</w:t>
      </w:r>
    </w:p>
    <w:p w:rsidR="00107FC3" w:rsidRDefault="00000000">
      <w:pPr>
        <w:pStyle w:val="affffc"/>
        <w:spacing w:beforeLines="0" w:before="0" w:afterLines="0" w:after="0"/>
      </w:pPr>
      <w:r>
        <w:t>处理未完成的订单和服务，制定清算计划。</w:t>
      </w:r>
    </w:p>
    <w:p w:rsidR="00107FC3" w:rsidRDefault="00000000">
      <w:pPr>
        <w:pStyle w:val="af6"/>
        <w:spacing w:before="156" w:after="156"/>
      </w:pPr>
      <w:r>
        <w:t>沟通与关系管理</w:t>
      </w:r>
    </w:p>
    <w:p w:rsidR="00107FC3" w:rsidRDefault="00000000">
      <w:pPr>
        <w:pStyle w:val="affffc"/>
        <w:spacing w:beforeLines="0" w:before="0" w:afterLines="0" w:after="0"/>
      </w:pPr>
      <w:r>
        <w:t>与合作伙伴保持开放的沟通，确保双方在解约过程中保持透明，减少误解。</w:t>
      </w:r>
    </w:p>
    <w:p w:rsidR="00107FC3" w:rsidRDefault="00000000">
      <w:pPr>
        <w:pStyle w:val="affffc"/>
        <w:spacing w:beforeLines="0" w:before="0" w:afterLines="0" w:after="0"/>
      </w:pPr>
      <w:r>
        <w:t>在可能的情况下，努力维护良好的关系，以便未来可能的合作。</w:t>
      </w:r>
    </w:p>
    <w:p w:rsidR="00107FC3" w:rsidRDefault="00000000">
      <w:pPr>
        <w:pStyle w:val="af6"/>
        <w:spacing w:before="156" w:after="156"/>
      </w:pPr>
      <w:r>
        <w:t>总结与反思</w:t>
      </w:r>
    </w:p>
    <w:p w:rsidR="00107FC3" w:rsidRDefault="00000000">
      <w:pPr>
        <w:pStyle w:val="affffc"/>
        <w:spacing w:beforeLines="0" w:before="0" w:afterLines="0" w:after="0"/>
      </w:pPr>
      <w:r>
        <w:t>对合作过程进行全面评估，识别成功的因素和存在的问题，包括合作的优势和不足。</w:t>
      </w:r>
    </w:p>
    <w:p w:rsidR="00107FC3" w:rsidRDefault="00000000">
      <w:pPr>
        <w:pStyle w:val="affffc"/>
        <w:spacing w:beforeLines="0" w:before="0" w:afterLines="0" w:after="0"/>
      </w:pPr>
      <w:r>
        <w:t>收集团队和相关利益相关者的反馈，总结经验教训，形成书面报告。</w:t>
      </w:r>
    </w:p>
    <w:p w:rsidR="00107FC3" w:rsidRDefault="00000000">
      <w:pPr>
        <w:pStyle w:val="af6"/>
        <w:spacing w:before="156" w:after="156"/>
      </w:pPr>
      <w:r>
        <w:t>制定未来合作的策略</w:t>
      </w:r>
    </w:p>
    <w:p w:rsidR="00107FC3" w:rsidRDefault="00000000">
      <w:pPr>
        <w:pStyle w:val="affffc"/>
        <w:spacing w:beforeLines="0" w:before="0" w:afterLines="0" w:after="0"/>
      </w:pPr>
      <w:r>
        <w:t>根据总结的经验教训，调整未来的合作策略和选择合作伙伴的标准。</w:t>
      </w:r>
    </w:p>
    <w:p w:rsidR="00107FC3" w:rsidRDefault="00000000">
      <w:pPr>
        <w:pStyle w:val="affffc"/>
        <w:spacing w:beforeLines="0" w:before="0" w:afterLines="0" w:after="0"/>
      </w:pPr>
      <w:r>
        <w:t>设定明确的目标和绩效指标，以指导未来的合作关系。</w:t>
      </w:r>
    </w:p>
    <w:p w:rsidR="00107FC3" w:rsidRDefault="00000000">
      <w:pPr>
        <w:pStyle w:val="af4"/>
        <w:spacing w:before="312" w:after="312"/>
        <w:rPr>
          <w:rFonts w:hint="default"/>
        </w:rPr>
      </w:pPr>
      <w:bookmarkStart w:id="204" w:name="_Toc1177"/>
      <w:bookmarkStart w:id="205" w:name="_Toc16123"/>
      <w:bookmarkStart w:id="206" w:name="_Toc487"/>
      <w:bookmarkStart w:id="207" w:name="_Toc22966"/>
      <w:bookmarkStart w:id="208" w:name="_Toc23705"/>
      <w:bookmarkStart w:id="209" w:name="_Toc32702"/>
      <w:r>
        <w:t>治理和过程</w:t>
      </w:r>
      <w:bookmarkEnd w:id="204"/>
      <w:bookmarkEnd w:id="205"/>
      <w:bookmarkEnd w:id="206"/>
      <w:bookmarkEnd w:id="207"/>
      <w:bookmarkEnd w:id="208"/>
      <w:bookmarkEnd w:id="209"/>
    </w:p>
    <w:p w:rsidR="00107FC3" w:rsidRDefault="00000000">
      <w:pPr>
        <w:pStyle w:val="af5"/>
        <w:spacing w:before="156" w:after="156"/>
        <w:rPr>
          <w:rFonts w:hint="default"/>
        </w:rPr>
      </w:pPr>
      <w:bookmarkStart w:id="210" w:name="_Toc207"/>
      <w:bookmarkStart w:id="211" w:name="_Toc21985"/>
      <w:bookmarkStart w:id="212" w:name="_Toc26984"/>
      <w:bookmarkStart w:id="213" w:name="_Toc1119"/>
      <w:r>
        <w:t>治理框架</w:t>
      </w:r>
      <w:bookmarkEnd w:id="210"/>
      <w:bookmarkEnd w:id="211"/>
      <w:bookmarkEnd w:id="212"/>
      <w:bookmarkEnd w:id="213"/>
    </w:p>
    <w:p w:rsidR="00107FC3" w:rsidRDefault="00000000">
      <w:pPr>
        <w:pStyle w:val="affc"/>
        <w:ind w:firstLine="420"/>
        <w:rPr>
          <w:rFonts w:hint="default"/>
        </w:rPr>
      </w:pPr>
      <w:r>
        <w:t>产业链上下游企业宜建立包含明确角色和责任、决策机制、激励和约束措施的治理结构，促进各参与方之间的信任和合作，同时确保供应链的灵活性和适应性，以应对市场变化和潜在风险。</w:t>
      </w:r>
    </w:p>
    <w:p w:rsidR="00107FC3" w:rsidRDefault="00000000">
      <w:pPr>
        <w:pStyle w:val="af5"/>
        <w:spacing w:before="156" w:after="156"/>
        <w:rPr>
          <w:rFonts w:hint="default"/>
        </w:rPr>
      </w:pPr>
      <w:bookmarkStart w:id="214" w:name="_Toc22629"/>
      <w:bookmarkStart w:id="215" w:name="_Toc24694"/>
      <w:bookmarkStart w:id="216" w:name="_Toc20749"/>
      <w:bookmarkStart w:id="217" w:name="_Toc14944"/>
      <w:r>
        <w:t>合作规划</w:t>
      </w:r>
      <w:bookmarkEnd w:id="214"/>
      <w:bookmarkEnd w:id="215"/>
      <w:bookmarkEnd w:id="216"/>
      <w:bookmarkEnd w:id="217"/>
    </w:p>
    <w:p w:rsidR="00107FC3" w:rsidRDefault="00000000">
      <w:pPr>
        <w:pStyle w:val="affc"/>
        <w:ind w:firstLine="420"/>
        <w:rPr>
          <w:rFonts w:hint="default"/>
        </w:rPr>
      </w:pPr>
      <w:r>
        <w:t>企业与合作伙伴共同分析市场趋势，对产业链的需求预测、供应规划、库存管理和物流策略进行综合考量，通过精细化的规划，确保供应链的稳定性。定期评估和调整供应链策略，以应对不断变化的市场需求和潜在风险。</w:t>
      </w:r>
    </w:p>
    <w:p w:rsidR="00107FC3" w:rsidRDefault="00000000">
      <w:pPr>
        <w:pStyle w:val="af5"/>
        <w:spacing w:before="156" w:after="156"/>
        <w:rPr>
          <w:rFonts w:hint="default"/>
        </w:rPr>
      </w:pPr>
      <w:bookmarkStart w:id="218" w:name="_Toc18381"/>
      <w:bookmarkStart w:id="219" w:name="_Toc16874"/>
      <w:bookmarkStart w:id="220" w:name="_Toc30373"/>
      <w:bookmarkStart w:id="221" w:name="_Toc27102"/>
      <w:r>
        <w:t>合作执行</w:t>
      </w:r>
      <w:bookmarkEnd w:id="218"/>
      <w:bookmarkEnd w:id="219"/>
      <w:bookmarkEnd w:id="220"/>
      <w:bookmarkEnd w:id="221"/>
    </w:p>
    <w:p w:rsidR="00107FC3" w:rsidRDefault="00000000">
      <w:pPr>
        <w:pStyle w:val="affc"/>
        <w:ind w:firstLine="420"/>
        <w:rPr>
          <w:rFonts w:hint="default"/>
        </w:rPr>
      </w:pPr>
      <w:r>
        <w:lastRenderedPageBreak/>
        <w:t>将合作规划转化为具体操作，包括采购、生产、库存控制、订单处理和物流配送等环节。执行过程要求供应链中的每个参与者严格遵守既定流程和时间表，确保产品能够按时、按质、按量地交付给最终客户是至关重要的。</w:t>
      </w:r>
    </w:p>
    <w:p w:rsidR="00107FC3" w:rsidRDefault="00000000">
      <w:pPr>
        <w:pStyle w:val="af5"/>
        <w:spacing w:before="156" w:after="156"/>
        <w:rPr>
          <w:rFonts w:hint="default"/>
        </w:rPr>
      </w:pPr>
      <w:bookmarkStart w:id="222" w:name="_Toc31201"/>
      <w:bookmarkStart w:id="223" w:name="_Toc24023"/>
      <w:bookmarkStart w:id="224" w:name="_Toc18923"/>
      <w:bookmarkStart w:id="225" w:name="_Toc20308"/>
      <w:r>
        <w:t>合作协调</w:t>
      </w:r>
      <w:bookmarkEnd w:id="222"/>
      <w:bookmarkEnd w:id="223"/>
      <w:bookmarkEnd w:id="224"/>
      <w:bookmarkEnd w:id="225"/>
    </w:p>
    <w:p w:rsidR="00107FC3" w:rsidRDefault="00000000">
      <w:pPr>
        <w:pStyle w:val="affc"/>
        <w:ind w:firstLine="420"/>
        <w:rPr>
          <w:rFonts w:hint="default"/>
        </w:rPr>
      </w:pPr>
      <w:r>
        <w:t>建立协调发展机制，增强产业链韧性。企业与供应商、分销商、零售商等合作伙伴共享信息，协调行动。协调过程包括供应商管理、订单协同、库存协同和运输协同等。</w:t>
      </w:r>
    </w:p>
    <w:p w:rsidR="00107FC3" w:rsidRDefault="00000000">
      <w:pPr>
        <w:pStyle w:val="af5"/>
        <w:spacing w:before="156" w:after="156"/>
        <w:rPr>
          <w:rFonts w:hint="default"/>
        </w:rPr>
      </w:pPr>
      <w:bookmarkStart w:id="226" w:name="_Toc23226"/>
      <w:bookmarkStart w:id="227" w:name="_Toc23874"/>
      <w:bookmarkStart w:id="228" w:name="_Toc14067"/>
      <w:bookmarkStart w:id="229" w:name="_Toc18892"/>
      <w:r>
        <w:t>合作评估</w:t>
      </w:r>
      <w:bookmarkEnd w:id="226"/>
      <w:bookmarkEnd w:id="227"/>
      <w:bookmarkEnd w:id="228"/>
      <w:bookmarkEnd w:id="229"/>
    </w:p>
    <w:p w:rsidR="00107FC3" w:rsidRDefault="00000000">
      <w:pPr>
        <w:pStyle w:val="affc"/>
        <w:ind w:firstLine="420"/>
        <w:rPr>
          <w:rFonts w:hint="default"/>
        </w:rPr>
      </w:pPr>
      <w:r>
        <w:t>合作企业建立对供应链性能进行定期检查和评价机制，包括对供应链的成本、效率、质量、可靠性和可持续性等方面进行量化分析。识别供应链中的瓶颈和改进机会，为供应链的持续改进提供依据。</w:t>
      </w:r>
    </w:p>
    <w:p w:rsidR="00107FC3" w:rsidRDefault="00000000">
      <w:pPr>
        <w:pStyle w:val="af5"/>
        <w:spacing w:before="156" w:after="156"/>
        <w:rPr>
          <w:rFonts w:hint="default"/>
        </w:rPr>
      </w:pPr>
      <w:bookmarkStart w:id="230" w:name="_Toc20606"/>
      <w:bookmarkStart w:id="231" w:name="_Toc32122"/>
      <w:bookmarkStart w:id="232" w:name="_Toc10367"/>
      <w:bookmarkStart w:id="233" w:name="_Toc1478"/>
      <w:r>
        <w:t>人才培养</w:t>
      </w:r>
      <w:bookmarkEnd w:id="230"/>
      <w:bookmarkEnd w:id="231"/>
      <w:bookmarkEnd w:id="232"/>
      <w:bookmarkEnd w:id="233"/>
    </w:p>
    <w:p w:rsidR="00107FC3" w:rsidRDefault="00000000">
      <w:pPr>
        <w:pStyle w:val="affc"/>
        <w:ind w:firstLine="420"/>
        <w:rPr>
          <w:rFonts w:hint="default"/>
        </w:rPr>
      </w:pPr>
      <w:r>
        <w:t>合作双方宜坚持人才强链，构建适合人才发展的宜居宜业环境，形成产业人才和产业发展相互促进的局面。围绕产业链发展强化人才链建设，有效推进产业链、创新链、人才链的高效连接。</w:t>
      </w:r>
    </w:p>
    <w:p w:rsidR="00107FC3" w:rsidRDefault="00000000">
      <w:pPr>
        <w:pStyle w:val="af4"/>
        <w:spacing w:before="312" w:after="312"/>
        <w:rPr>
          <w:rFonts w:hint="default"/>
        </w:rPr>
      </w:pPr>
      <w:bookmarkStart w:id="234" w:name="_Toc10616"/>
      <w:bookmarkStart w:id="235" w:name="_Toc1460"/>
      <w:bookmarkStart w:id="236" w:name="_Toc25583"/>
      <w:bookmarkStart w:id="237" w:name="_Toc8481"/>
      <w:bookmarkStart w:id="238" w:name="_Toc8801"/>
      <w:bookmarkStart w:id="239" w:name="_Toc19722"/>
      <w:bookmarkStart w:id="240" w:name="_Toc3045"/>
      <w:r>
        <w:t>合作能力和行为</w:t>
      </w:r>
      <w:bookmarkEnd w:id="234"/>
      <w:bookmarkEnd w:id="235"/>
      <w:bookmarkEnd w:id="236"/>
      <w:bookmarkEnd w:id="237"/>
      <w:bookmarkEnd w:id="238"/>
      <w:bookmarkEnd w:id="239"/>
      <w:bookmarkEnd w:id="240"/>
    </w:p>
    <w:p w:rsidR="00107FC3" w:rsidRDefault="00000000">
      <w:pPr>
        <w:pStyle w:val="af5"/>
        <w:spacing w:before="156" w:after="156"/>
        <w:rPr>
          <w:rFonts w:hint="default"/>
        </w:rPr>
      </w:pPr>
      <w:bookmarkStart w:id="241" w:name="_Toc9609"/>
      <w:bookmarkStart w:id="242" w:name="_Toc8155"/>
      <w:bookmarkStart w:id="243" w:name="_Toc26853"/>
      <w:bookmarkStart w:id="244" w:name="_Toc22226"/>
      <w:r>
        <w:t>供应链协作机制</w:t>
      </w:r>
      <w:bookmarkEnd w:id="241"/>
      <w:bookmarkEnd w:id="242"/>
      <w:bookmarkEnd w:id="243"/>
      <w:bookmarkEnd w:id="244"/>
    </w:p>
    <w:p w:rsidR="00107FC3" w:rsidRDefault="00000000">
      <w:pPr>
        <w:pStyle w:val="affc"/>
        <w:ind w:firstLine="420"/>
        <w:rPr>
          <w:rFonts w:hint="default"/>
        </w:rPr>
      </w:pPr>
      <w:r>
        <w:t>合作企业宜建立专门的供应链协作机制，统筹推动内部跨部门、跨专业协作和链上企业间合作，提升协作质量效益，积极打造共生共赢的供应链合作生态。</w:t>
      </w:r>
    </w:p>
    <w:p w:rsidR="00107FC3" w:rsidRDefault="00000000">
      <w:pPr>
        <w:pStyle w:val="af5"/>
        <w:spacing w:before="156" w:after="156"/>
        <w:rPr>
          <w:rFonts w:hint="default"/>
        </w:rPr>
      </w:pPr>
      <w:bookmarkStart w:id="245" w:name="_Toc31361"/>
      <w:bookmarkStart w:id="246" w:name="_Toc8706"/>
      <w:bookmarkStart w:id="247" w:name="_Toc16048"/>
      <w:bookmarkStart w:id="248" w:name="_Toc31705"/>
      <w:r>
        <w:t>供应链数字化策略</w:t>
      </w:r>
      <w:bookmarkEnd w:id="245"/>
      <w:bookmarkEnd w:id="246"/>
      <w:bookmarkEnd w:id="247"/>
      <w:bookmarkEnd w:id="248"/>
    </w:p>
    <w:p w:rsidR="00107FC3" w:rsidRDefault="00000000">
      <w:pPr>
        <w:pStyle w:val="affc"/>
        <w:ind w:firstLine="420"/>
        <w:rPr>
          <w:rFonts w:hint="default"/>
        </w:rPr>
      </w:pPr>
      <w:r>
        <w:t>合作企业宜制定有效的供应链数字化策略，加强供应链管理系统建设。依托新一代信息技术，在研发设计、计划采购、生产制造、质量检验、物流运输、销售库存、售后服务等业务环节实现供应链流程的互联互通，降低信息不对称风险，提升市场响应能力和客户价值。</w:t>
      </w:r>
    </w:p>
    <w:p w:rsidR="00107FC3" w:rsidRDefault="00000000">
      <w:pPr>
        <w:pStyle w:val="af5"/>
        <w:spacing w:before="156" w:after="156"/>
        <w:rPr>
          <w:rFonts w:hint="default"/>
        </w:rPr>
      </w:pPr>
      <w:bookmarkStart w:id="249" w:name="_Toc14333"/>
      <w:bookmarkStart w:id="250" w:name="_Toc2337"/>
      <w:bookmarkStart w:id="251" w:name="_Toc25268"/>
      <w:bookmarkStart w:id="252" w:name="_Toc25166"/>
      <w:r>
        <w:t>资源最优配置</w:t>
      </w:r>
      <w:bookmarkEnd w:id="249"/>
      <w:bookmarkEnd w:id="250"/>
      <w:bookmarkEnd w:id="251"/>
      <w:bookmarkEnd w:id="252"/>
    </w:p>
    <w:p w:rsidR="00107FC3" w:rsidRDefault="00000000">
      <w:pPr>
        <w:pStyle w:val="affc"/>
        <w:ind w:firstLine="420"/>
        <w:rPr>
          <w:rFonts w:hint="default"/>
        </w:rPr>
      </w:pPr>
      <w:r>
        <w:t>合作企业宜通过资源的最优配置，减少供应链各环节浪费、推动供应链全链条流程优化、健全标准化供应链体系等措施，提高供应链的效率和响应速度。</w:t>
      </w:r>
    </w:p>
    <w:p w:rsidR="00107FC3" w:rsidRDefault="00000000">
      <w:pPr>
        <w:pStyle w:val="af5"/>
        <w:spacing w:before="156" w:after="156"/>
        <w:rPr>
          <w:rFonts w:hint="default"/>
        </w:rPr>
      </w:pPr>
      <w:bookmarkStart w:id="253" w:name="_Toc23534"/>
      <w:bookmarkStart w:id="254" w:name="_Toc15402"/>
      <w:bookmarkStart w:id="255" w:name="_Toc22618"/>
      <w:bookmarkStart w:id="256" w:name="_Toc14725"/>
      <w:r>
        <w:t>全球化发展策略</w:t>
      </w:r>
      <w:bookmarkEnd w:id="253"/>
      <w:bookmarkEnd w:id="254"/>
      <w:bookmarkEnd w:id="255"/>
      <w:bookmarkEnd w:id="256"/>
    </w:p>
    <w:p w:rsidR="00107FC3" w:rsidRDefault="00000000">
      <w:pPr>
        <w:pStyle w:val="affc"/>
        <w:ind w:firstLine="420"/>
        <w:rPr>
          <w:rFonts w:hint="default"/>
        </w:rPr>
      </w:pPr>
      <w:r>
        <w:t>对于采取全球化发展策略的合作企业，通过客观评估经营扩展成本、供应链组织模式、承接地政治经济环境等条件，有序融入全球供应链网络，合理布局国际物流基础设施，提高全球供应链协调能力。</w:t>
      </w:r>
    </w:p>
    <w:p w:rsidR="00107FC3" w:rsidRDefault="00000000">
      <w:pPr>
        <w:pStyle w:val="af4"/>
        <w:spacing w:before="312" w:after="312"/>
        <w:rPr>
          <w:rFonts w:hint="default"/>
        </w:rPr>
      </w:pPr>
      <w:bookmarkStart w:id="257" w:name="_Toc19190"/>
      <w:bookmarkStart w:id="258" w:name="_Toc5627"/>
      <w:bookmarkStart w:id="259" w:name="_Toc25952"/>
      <w:bookmarkStart w:id="260" w:name="_Toc21247"/>
      <w:bookmarkStart w:id="261" w:name="_Toc26902"/>
      <w:bookmarkStart w:id="262" w:name="_Toc12944"/>
      <w:r>
        <w:t>价值创造</w:t>
      </w:r>
      <w:bookmarkEnd w:id="257"/>
      <w:bookmarkEnd w:id="258"/>
      <w:bookmarkEnd w:id="259"/>
      <w:bookmarkEnd w:id="260"/>
      <w:bookmarkEnd w:id="261"/>
      <w:bookmarkEnd w:id="262"/>
    </w:p>
    <w:p w:rsidR="00107FC3" w:rsidRDefault="00000000">
      <w:pPr>
        <w:pStyle w:val="af5"/>
        <w:spacing w:before="156" w:after="156"/>
        <w:rPr>
          <w:rFonts w:hint="default"/>
        </w:rPr>
      </w:pPr>
      <w:bookmarkStart w:id="263" w:name="_Toc11419"/>
      <w:bookmarkStart w:id="264" w:name="_Toc15059"/>
      <w:bookmarkStart w:id="265" w:name="_Toc28879"/>
      <w:bookmarkStart w:id="266" w:name="_Toc17294"/>
      <w:bookmarkStart w:id="267" w:name="_Toc9011"/>
      <w:bookmarkStart w:id="268" w:name="_Toc31139"/>
      <w:bookmarkStart w:id="269" w:name="_Toc10232"/>
      <w:bookmarkStart w:id="270" w:name="_Toc12297"/>
      <w:r>
        <w:t>政策支持与引导</w:t>
      </w:r>
      <w:bookmarkEnd w:id="263"/>
      <w:bookmarkEnd w:id="264"/>
      <w:bookmarkEnd w:id="265"/>
      <w:bookmarkEnd w:id="266"/>
      <w:bookmarkEnd w:id="267"/>
      <w:bookmarkEnd w:id="268"/>
      <w:bookmarkEnd w:id="269"/>
      <w:bookmarkEnd w:id="270"/>
    </w:p>
    <w:p w:rsidR="00107FC3" w:rsidRDefault="00000000">
      <w:pPr>
        <w:pStyle w:val="affc"/>
        <w:ind w:firstLine="420"/>
        <w:rPr>
          <w:rFonts w:hint="default"/>
        </w:rPr>
      </w:pPr>
      <w:r>
        <w:rPr>
          <w:rFonts w:eastAsiaTheme="minorEastAsia" w:hint="default"/>
        </w:rPr>
        <w:t>产业链上下游</w:t>
      </w:r>
      <w:r>
        <w:rPr>
          <w:rFonts w:eastAsiaTheme="minorEastAsia"/>
        </w:rPr>
        <w:t>企业宜</w:t>
      </w:r>
      <w:r>
        <w:t>充分利用国家和地方政府的政策支持，突出在技术创新、产业升级和环保方面的政策，导入最新的行业标准和规范，以提升产业链整体竞争力。</w:t>
      </w:r>
    </w:p>
    <w:p w:rsidR="00107FC3" w:rsidRDefault="00000000">
      <w:pPr>
        <w:pStyle w:val="af5"/>
        <w:spacing w:before="156" w:after="156"/>
        <w:rPr>
          <w:rFonts w:hint="default"/>
        </w:rPr>
      </w:pPr>
      <w:bookmarkStart w:id="271" w:name="_Toc28175"/>
      <w:bookmarkStart w:id="272" w:name="_Toc30252"/>
      <w:bookmarkStart w:id="273" w:name="_Toc17917"/>
      <w:bookmarkStart w:id="274" w:name="_Toc13942"/>
      <w:bookmarkStart w:id="275" w:name="_Toc13620"/>
      <w:bookmarkStart w:id="276" w:name="_Toc12689"/>
      <w:bookmarkStart w:id="277" w:name="_Toc23204"/>
      <w:bookmarkStart w:id="278" w:name="_Toc4027"/>
      <w:r>
        <w:lastRenderedPageBreak/>
        <w:t>创新驱动</w:t>
      </w:r>
      <w:bookmarkEnd w:id="271"/>
      <w:bookmarkEnd w:id="272"/>
      <w:bookmarkEnd w:id="273"/>
      <w:bookmarkEnd w:id="274"/>
      <w:bookmarkEnd w:id="275"/>
      <w:bookmarkEnd w:id="276"/>
      <w:bookmarkEnd w:id="277"/>
      <w:bookmarkEnd w:id="278"/>
    </w:p>
    <w:p w:rsidR="00107FC3" w:rsidRDefault="00000000">
      <w:pPr>
        <w:pStyle w:val="affc"/>
        <w:ind w:firstLine="420"/>
        <w:rPr>
          <w:rFonts w:hint="default"/>
        </w:rPr>
      </w:pPr>
      <w:r>
        <w:rPr>
          <w:rFonts w:eastAsiaTheme="minorEastAsia" w:hint="default"/>
        </w:rPr>
        <w:t>产业链上下游</w:t>
      </w:r>
      <w:r>
        <w:rPr>
          <w:rFonts w:eastAsiaTheme="minorEastAsia"/>
        </w:rPr>
        <w:t>企业宜</w:t>
      </w:r>
      <w:r>
        <w:t>加大研发投入，开展技术创新和产品创新，推动新材料、新工艺和新技术的应用，提高产品和服务的附加值。注重知识产权的保护和管理，为创新成果提供保障。</w:t>
      </w:r>
    </w:p>
    <w:p w:rsidR="00107FC3" w:rsidRDefault="00000000">
      <w:pPr>
        <w:pStyle w:val="af5"/>
        <w:spacing w:before="156" w:after="156"/>
        <w:rPr>
          <w:rFonts w:hint="default"/>
        </w:rPr>
      </w:pPr>
      <w:bookmarkStart w:id="279" w:name="_Toc22182"/>
      <w:bookmarkStart w:id="280" w:name="_Toc18636"/>
      <w:bookmarkStart w:id="281" w:name="_Toc24440"/>
      <w:bookmarkStart w:id="282" w:name="_Toc10358"/>
      <w:bookmarkStart w:id="283" w:name="_Toc17092"/>
      <w:bookmarkStart w:id="284" w:name="_Toc32281"/>
      <w:bookmarkStart w:id="285" w:name="_Toc7526"/>
      <w:bookmarkStart w:id="286" w:name="_Toc29311"/>
      <w:r>
        <w:t>供应链整合</w:t>
      </w:r>
      <w:bookmarkEnd w:id="279"/>
      <w:bookmarkEnd w:id="280"/>
      <w:bookmarkEnd w:id="281"/>
      <w:bookmarkEnd w:id="282"/>
      <w:bookmarkEnd w:id="283"/>
      <w:bookmarkEnd w:id="284"/>
      <w:bookmarkEnd w:id="285"/>
      <w:bookmarkEnd w:id="286"/>
    </w:p>
    <w:p w:rsidR="00107FC3" w:rsidRDefault="00000000">
      <w:pPr>
        <w:pStyle w:val="affc"/>
        <w:ind w:firstLine="420"/>
        <w:rPr>
          <w:rFonts w:hint="default"/>
        </w:rPr>
      </w:pPr>
      <w:r>
        <w:rPr>
          <w:rFonts w:eastAsiaTheme="minorEastAsia" w:hint="default"/>
        </w:rPr>
        <w:t>产业链上下游</w:t>
      </w:r>
      <w:r>
        <w:rPr>
          <w:rFonts w:eastAsiaTheme="minorEastAsia"/>
        </w:rPr>
        <w:t>企业</w:t>
      </w:r>
      <w:r>
        <w:t>通过信息化和数字化手段，打通信息壁垒，实现数据共享和资源整合，提高供应链的透明度和响应速度。采用先进的供应链管理系统，优化库存管理和物流配送。</w:t>
      </w:r>
    </w:p>
    <w:p w:rsidR="00107FC3" w:rsidRDefault="00000000">
      <w:pPr>
        <w:pStyle w:val="af5"/>
        <w:spacing w:before="156" w:after="156"/>
        <w:rPr>
          <w:rFonts w:hint="default"/>
        </w:rPr>
      </w:pPr>
      <w:bookmarkStart w:id="287" w:name="_Toc5328"/>
      <w:bookmarkStart w:id="288" w:name="_Toc30828"/>
      <w:bookmarkStart w:id="289" w:name="_Toc12268"/>
      <w:bookmarkStart w:id="290" w:name="_Toc24282"/>
      <w:bookmarkStart w:id="291" w:name="_Toc14451"/>
      <w:bookmarkStart w:id="292" w:name="_Toc10107"/>
      <w:bookmarkStart w:id="293" w:name="_Toc21723"/>
      <w:bookmarkStart w:id="294" w:name="_Toc26136"/>
      <w:r>
        <w:t>协同发展</w:t>
      </w:r>
      <w:bookmarkEnd w:id="287"/>
      <w:bookmarkEnd w:id="288"/>
      <w:bookmarkEnd w:id="289"/>
      <w:bookmarkEnd w:id="290"/>
      <w:bookmarkEnd w:id="291"/>
      <w:bookmarkEnd w:id="292"/>
      <w:bookmarkEnd w:id="293"/>
      <w:bookmarkEnd w:id="294"/>
    </w:p>
    <w:p w:rsidR="00107FC3" w:rsidRDefault="00000000">
      <w:pPr>
        <w:pStyle w:val="affc"/>
        <w:ind w:firstLine="420"/>
        <w:rPr>
          <w:rFonts w:hint="default"/>
        </w:rPr>
      </w:pPr>
      <w:r>
        <w:rPr>
          <w:rFonts w:eastAsiaTheme="minorEastAsia" w:hint="default"/>
        </w:rPr>
        <w:t>产业链上下游</w:t>
      </w:r>
      <w:r>
        <w:rPr>
          <w:rFonts w:eastAsiaTheme="minorEastAsia"/>
        </w:rPr>
        <w:t>企业宜</w:t>
      </w:r>
      <w:r>
        <w:t>加强产业链各环节之间的合作与协同，建立战略合作伙伴关系，共同开发新市场、新产品。通过定期沟通和协调，确保各方在产品开发、生产计划和市场营销等方面的紧密配合。</w:t>
      </w:r>
    </w:p>
    <w:p w:rsidR="00107FC3" w:rsidRDefault="00000000">
      <w:pPr>
        <w:pStyle w:val="af5"/>
        <w:spacing w:before="156" w:after="156"/>
        <w:rPr>
          <w:rFonts w:hint="default"/>
        </w:rPr>
      </w:pPr>
      <w:bookmarkStart w:id="295" w:name="_Toc24730"/>
      <w:bookmarkStart w:id="296" w:name="_Toc6698"/>
      <w:bookmarkStart w:id="297" w:name="_Toc26282"/>
      <w:bookmarkStart w:id="298" w:name="_Toc23242"/>
      <w:bookmarkStart w:id="299" w:name="_Toc19388"/>
      <w:bookmarkStart w:id="300" w:name="_Toc14380"/>
      <w:bookmarkStart w:id="301" w:name="_Toc17498"/>
      <w:bookmarkStart w:id="302" w:name="_Toc4947"/>
      <w:r>
        <w:t>可持续发展</w:t>
      </w:r>
      <w:bookmarkEnd w:id="295"/>
      <w:bookmarkEnd w:id="296"/>
      <w:bookmarkEnd w:id="297"/>
      <w:bookmarkEnd w:id="298"/>
      <w:bookmarkEnd w:id="299"/>
      <w:bookmarkEnd w:id="300"/>
      <w:bookmarkEnd w:id="301"/>
      <w:bookmarkEnd w:id="302"/>
    </w:p>
    <w:p w:rsidR="00107FC3" w:rsidRDefault="00000000">
      <w:pPr>
        <w:pStyle w:val="affc"/>
        <w:ind w:firstLine="420"/>
        <w:rPr>
          <w:rFonts w:hint="default"/>
        </w:rPr>
      </w:pPr>
      <w:r>
        <w:rPr>
          <w:rFonts w:eastAsiaTheme="minorEastAsia" w:hint="default"/>
        </w:rPr>
        <w:t>产业链上下游</w:t>
      </w:r>
      <w:r>
        <w:rPr>
          <w:rFonts w:eastAsiaTheme="minorEastAsia"/>
        </w:rPr>
        <w:t>企业宜</w:t>
      </w:r>
      <w:r>
        <w:t>关注节约资源和保护环境，在生产过程中引入绿色制造理念，减少废物排放，提升资源利用效率。通过推动循环经济的发展，探索废物再利用与资源再生的模式，实现经济效益与环境效益的双赢。</w:t>
      </w:r>
    </w:p>
    <w:p w:rsidR="00107FC3" w:rsidRDefault="00000000">
      <w:pPr>
        <w:pStyle w:val="af5"/>
        <w:spacing w:before="156" w:after="156"/>
        <w:rPr>
          <w:rFonts w:hint="default"/>
        </w:rPr>
      </w:pPr>
      <w:bookmarkStart w:id="303" w:name="_Toc1870"/>
      <w:bookmarkStart w:id="304" w:name="_Toc5951"/>
      <w:bookmarkStart w:id="305" w:name="_Toc13563"/>
      <w:bookmarkStart w:id="306" w:name="_Toc16043"/>
      <w:bookmarkStart w:id="307" w:name="_Toc24647"/>
      <w:bookmarkStart w:id="308" w:name="_Toc8877"/>
      <w:bookmarkStart w:id="309" w:name="_Toc28951"/>
      <w:bookmarkStart w:id="310" w:name="_Toc29594"/>
      <w:r>
        <w:t>人才培养</w:t>
      </w:r>
      <w:bookmarkEnd w:id="303"/>
      <w:bookmarkEnd w:id="304"/>
      <w:bookmarkEnd w:id="305"/>
      <w:bookmarkEnd w:id="306"/>
      <w:bookmarkEnd w:id="307"/>
      <w:bookmarkEnd w:id="308"/>
      <w:bookmarkEnd w:id="309"/>
      <w:bookmarkEnd w:id="310"/>
    </w:p>
    <w:p w:rsidR="00107FC3" w:rsidRDefault="00000000">
      <w:pPr>
        <w:pStyle w:val="affc"/>
        <w:ind w:firstLine="420"/>
        <w:rPr>
          <w:rFonts w:hint="default"/>
        </w:rPr>
      </w:pPr>
      <w:r>
        <w:rPr>
          <w:rFonts w:eastAsiaTheme="minorEastAsia" w:hint="default"/>
        </w:rPr>
        <w:t>产业链上下游</w:t>
      </w:r>
      <w:r>
        <w:rPr>
          <w:rFonts w:eastAsiaTheme="minorEastAsia"/>
        </w:rPr>
        <w:t>企业宜</w:t>
      </w:r>
      <w:r>
        <w:t>重视人才的培养和引进，建立多层次的培训体系，提高员工的专业技能和创新能力。通过与高校、科研机构的合作，培养适应未来产业链发展需要的高素质人才。</w:t>
      </w:r>
    </w:p>
    <w:p w:rsidR="00107FC3" w:rsidRDefault="00000000">
      <w:pPr>
        <w:pStyle w:val="af4"/>
        <w:spacing w:before="312" w:after="312"/>
        <w:rPr>
          <w:rFonts w:hint="default"/>
        </w:rPr>
      </w:pPr>
      <w:bookmarkStart w:id="311" w:name="_Toc31658"/>
      <w:bookmarkStart w:id="312" w:name="_Toc28339"/>
      <w:bookmarkStart w:id="313" w:name="_Toc31823"/>
      <w:bookmarkStart w:id="314" w:name="_Toc13956"/>
      <w:bookmarkStart w:id="315" w:name="_Toc13575"/>
      <w:bookmarkStart w:id="316" w:name="_Toc32200"/>
      <w:bookmarkStart w:id="317" w:name="_Toc21208"/>
      <w:bookmarkStart w:id="318" w:name="_Toc8309"/>
      <w:bookmarkStart w:id="319" w:name="_Toc3165"/>
      <w:bookmarkStart w:id="320" w:name="_Toc7908"/>
      <w:r>
        <w:t>风险管理</w:t>
      </w:r>
      <w:bookmarkEnd w:id="311"/>
      <w:bookmarkEnd w:id="312"/>
      <w:bookmarkEnd w:id="313"/>
      <w:bookmarkEnd w:id="314"/>
      <w:bookmarkEnd w:id="315"/>
      <w:bookmarkEnd w:id="316"/>
      <w:bookmarkEnd w:id="317"/>
      <w:bookmarkEnd w:id="318"/>
      <w:bookmarkEnd w:id="319"/>
      <w:bookmarkEnd w:id="320"/>
    </w:p>
    <w:p w:rsidR="00107FC3" w:rsidRDefault="00000000">
      <w:pPr>
        <w:pStyle w:val="af5"/>
        <w:spacing w:before="156" w:after="156"/>
        <w:rPr>
          <w:rFonts w:hint="default"/>
        </w:rPr>
      </w:pPr>
      <w:bookmarkStart w:id="321" w:name="_Toc4768"/>
      <w:bookmarkStart w:id="322" w:name="_Toc22949"/>
      <w:bookmarkStart w:id="323" w:name="_Toc7012"/>
      <w:bookmarkStart w:id="324" w:name="_Toc22468"/>
      <w:bookmarkStart w:id="325" w:name="_Toc25542"/>
      <w:bookmarkStart w:id="326" w:name="_Toc31443"/>
      <w:bookmarkStart w:id="327" w:name="_Toc27262"/>
      <w:bookmarkStart w:id="328" w:name="_Toc12755"/>
      <w:r>
        <w:t>建立风险评估机制</w:t>
      </w:r>
      <w:bookmarkEnd w:id="321"/>
      <w:bookmarkEnd w:id="322"/>
      <w:bookmarkEnd w:id="323"/>
      <w:bookmarkEnd w:id="324"/>
      <w:bookmarkEnd w:id="325"/>
      <w:bookmarkEnd w:id="326"/>
      <w:bookmarkEnd w:id="327"/>
      <w:bookmarkEnd w:id="328"/>
    </w:p>
    <w:p w:rsidR="00107FC3" w:rsidRDefault="00000000">
      <w:pPr>
        <w:pStyle w:val="af6"/>
        <w:spacing w:before="156" w:after="156"/>
      </w:pPr>
      <w:r>
        <w:t>风险识别</w:t>
      </w:r>
    </w:p>
    <w:p w:rsidR="00107FC3" w:rsidRDefault="00000000">
      <w:pPr>
        <w:pStyle w:val="affc"/>
        <w:ind w:firstLine="420"/>
        <w:rPr>
          <w:rFonts w:hint="default"/>
        </w:rPr>
      </w:pPr>
      <w:r>
        <w:rPr>
          <w:rFonts w:eastAsiaTheme="minorEastAsia" w:hint="default"/>
        </w:rPr>
        <w:t>产业链上下游</w:t>
      </w:r>
      <w:r>
        <w:rPr>
          <w:rFonts w:eastAsiaTheme="minorEastAsia"/>
        </w:rPr>
        <w:t>企业</w:t>
      </w:r>
      <w:r>
        <w:t>通过数据分析、市场调研及行业趋势分析，识别供应链中的潜在风险，包括自然灾害、政治风险、经济波动等。使用定量和定性方法评估风险对供应链的影响，包括可能的财务损失、交货延误等。根据风险评估结果，为高风险领域制定相应的应对策略。</w:t>
      </w:r>
    </w:p>
    <w:p w:rsidR="00107FC3" w:rsidRDefault="00000000">
      <w:pPr>
        <w:pStyle w:val="af5"/>
        <w:spacing w:before="156" w:after="156"/>
        <w:rPr>
          <w:rFonts w:hint="default"/>
        </w:rPr>
      </w:pPr>
      <w:bookmarkStart w:id="329" w:name="_Toc31785"/>
      <w:bookmarkStart w:id="330" w:name="_Toc24277"/>
      <w:bookmarkStart w:id="331" w:name="_Toc13839"/>
      <w:bookmarkStart w:id="332" w:name="_Toc11918"/>
      <w:bookmarkStart w:id="333" w:name="_Toc21529"/>
      <w:bookmarkStart w:id="334" w:name="_Toc4382"/>
      <w:bookmarkStart w:id="335" w:name="_Toc19370"/>
      <w:bookmarkStart w:id="336" w:name="_Toc29326"/>
      <w:r>
        <w:t>合作伙伴风险调查</w:t>
      </w:r>
      <w:bookmarkEnd w:id="329"/>
      <w:bookmarkEnd w:id="330"/>
      <w:bookmarkEnd w:id="331"/>
      <w:bookmarkEnd w:id="332"/>
      <w:bookmarkEnd w:id="333"/>
      <w:bookmarkEnd w:id="334"/>
      <w:bookmarkEnd w:id="335"/>
      <w:bookmarkEnd w:id="336"/>
    </w:p>
    <w:p w:rsidR="00107FC3" w:rsidRDefault="00000000">
      <w:pPr>
        <w:pStyle w:val="af6"/>
        <w:spacing w:before="156" w:after="156"/>
      </w:pPr>
      <w:r>
        <w:t>财务稳定性评估</w:t>
      </w:r>
    </w:p>
    <w:p w:rsidR="00107FC3" w:rsidRDefault="00000000">
      <w:pPr>
        <w:pStyle w:val="affc"/>
        <w:ind w:firstLine="420"/>
        <w:rPr>
          <w:rFonts w:hint="default"/>
        </w:rPr>
      </w:pPr>
      <w:r>
        <w:rPr>
          <w:rFonts w:eastAsiaTheme="minorEastAsia" w:hint="default"/>
        </w:rPr>
        <w:t>产业链上下游</w:t>
      </w:r>
      <w:r>
        <w:rPr>
          <w:rFonts w:eastAsiaTheme="minorEastAsia"/>
        </w:rPr>
        <w:t>企业宜</w:t>
      </w:r>
      <w:r>
        <w:t>定期审核合作伙伴的财务报表，评估其财务健康状况和债务水平，以防止因合作伙伴的财务问题导致供应链中断。</w:t>
      </w:r>
    </w:p>
    <w:p w:rsidR="00107FC3" w:rsidRDefault="00000000">
      <w:pPr>
        <w:pStyle w:val="af6"/>
        <w:spacing w:before="156" w:after="156"/>
      </w:pPr>
      <w:r>
        <w:t>运营能力与合规性</w:t>
      </w:r>
    </w:p>
    <w:p w:rsidR="00107FC3" w:rsidRDefault="00000000">
      <w:pPr>
        <w:pStyle w:val="affc"/>
        <w:ind w:firstLine="420"/>
        <w:rPr>
          <w:rFonts w:hint="default"/>
        </w:rPr>
      </w:pPr>
      <w:r>
        <w:rPr>
          <w:rFonts w:eastAsiaTheme="minorEastAsia" w:hint="default"/>
        </w:rPr>
        <w:t>产业链上下游</w:t>
      </w:r>
      <w:r>
        <w:rPr>
          <w:rFonts w:eastAsiaTheme="minorEastAsia"/>
        </w:rPr>
        <w:t>企业宜</w:t>
      </w:r>
      <w:r>
        <w:t>考察合作伙伴的生产能力、交付能力以及是否遵循行业法规和标准，确保其具备稳定的运营能力。</w:t>
      </w:r>
    </w:p>
    <w:p w:rsidR="00107FC3" w:rsidRDefault="00000000">
      <w:pPr>
        <w:pStyle w:val="af6"/>
        <w:spacing w:before="156" w:after="156"/>
      </w:pPr>
      <w:r>
        <w:t>市场变化应对</w:t>
      </w:r>
    </w:p>
    <w:p w:rsidR="00107FC3" w:rsidRDefault="00000000">
      <w:pPr>
        <w:pStyle w:val="affc"/>
        <w:ind w:firstLine="420"/>
        <w:rPr>
          <w:rFonts w:hint="default"/>
        </w:rPr>
      </w:pPr>
      <w:r>
        <w:rPr>
          <w:rFonts w:eastAsiaTheme="minorEastAsia" w:hint="default"/>
        </w:rPr>
        <w:lastRenderedPageBreak/>
        <w:t>产业链上下游</w:t>
      </w:r>
      <w:r>
        <w:rPr>
          <w:rFonts w:eastAsiaTheme="minorEastAsia"/>
        </w:rPr>
        <w:t>企业宜</w:t>
      </w:r>
      <w:r>
        <w:t>保持沟通，及时了解市场动态和变化，以共同制定应对策略。</w:t>
      </w:r>
    </w:p>
    <w:p w:rsidR="00107FC3" w:rsidRDefault="00000000">
      <w:pPr>
        <w:pStyle w:val="af5"/>
        <w:spacing w:before="156" w:after="156"/>
        <w:rPr>
          <w:rFonts w:hint="default"/>
        </w:rPr>
      </w:pPr>
      <w:bookmarkStart w:id="337" w:name="_Toc20175"/>
      <w:bookmarkStart w:id="338" w:name="_Toc12596"/>
      <w:bookmarkStart w:id="339" w:name="_Toc18843"/>
      <w:bookmarkStart w:id="340" w:name="_Toc20774"/>
      <w:bookmarkStart w:id="341" w:name="_Toc25954"/>
      <w:bookmarkStart w:id="342" w:name="_Toc18900"/>
      <w:bookmarkStart w:id="343" w:name="_Toc16769"/>
      <w:bookmarkStart w:id="344" w:name="_Toc23542"/>
      <w:r>
        <w:t>强化风险预警和应对准备</w:t>
      </w:r>
      <w:bookmarkEnd w:id="337"/>
      <w:bookmarkEnd w:id="338"/>
      <w:bookmarkEnd w:id="339"/>
      <w:bookmarkEnd w:id="340"/>
      <w:bookmarkEnd w:id="341"/>
      <w:bookmarkEnd w:id="342"/>
      <w:bookmarkEnd w:id="343"/>
      <w:bookmarkEnd w:id="344"/>
    </w:p>
    <w:p w:rsidR="00107FC3" w:rsidRDefault="00000000">
      <w:pPr>
        <w:pStyle w:val="af6"/>
        <w:spacing w:before="156" w:after="156"/>
      </w:pPr>
      <w:r>
        <w:t>建立风险预警系统</w:t>
      </w:r>
    </w:p>
    <w:p w:rsidR="00107FC3" w:rsidRDefault="00000000">
      <w:pPr>
        <w:pStyle w:val="affc"/>
        <w:ind w:firstLine="420"/>
        <w:rPr>
          <w:rFonts w:hint="default"/>
        </w:rPr>
      </w:pPr>
      <w:r>
        <w:rPr>
          <w:rFonts w:eastAsiaTheme="minorEastAsia" w:hint="default"/>
        </w:rPr>
        <w:t>产业链上下游</w:t>
      </w:r>
      <w:r>
        <w:rPr>
          <w:rFonts w:eastAsiaTheme="minorEastAsia"/>
        </w:rPr>
        <w:t>企业宜</w:t>
      </w:r>
      <w:r>
        <w:t>利用数据分析和机器学习技术，实时监控供应链各环节，及时发现潜在风险并发出警报。</w:t>
      </w:r>
    </w:p>
    <w:p w:rsidR="00107FC3" w:rsidRDefault="00000000">
      <w:pPr>
        <w:pStyle w:val="af6"/>
        <w:spacing w:before="156" w:after="156"/>
      </w:pPr>
      <w:r>
        <w:t>完善供应商风险管理体系</w:t>
      </w:r>
    </w:p>
    <w:p w:rsidR="00107FC3" w:rsidRDefault="00000000">
      <w:pPr>
        <w:pStyle w:val="affc"/>
        <w:ind w:firstLine="420"/>
        <w:rPr>
          <w:rFonts w:hint="default"/>
        </w:rPr>
      </w:pPr>
      <w:r>
        <w:rPr>
          <w:rFonts w:eastAsiaTheme="minorEastAsia" w:hint="default"/>
        </w:rPr>
        <w:t>产业链上下游</w:t>
      </w:r>
      <w:r>
        <w:rPr>
          <w:rFonts w:eastAsiaTheme="minorEastAsia"/>
        </w:rPr>
        <w:t>企业宜</w:t>
      </w:r>
      <w:r>
        <w:t>制定明确的供应商评估标准和流程，对现有的供应商进行定期评估，确保其合规性和可持续经营。</w:t>
      </w:r>
    </w:p>
    <w:p w:rsidR="00107FC3" w:rsidRDefault="00000000">
      <w:pPr>
        <w:pStyle w:val="af6"/>
        <w:spacing w:before="156" w:after="156"/>
      </w:pPr>
      <w:r>
        <w:t>多元化物流运输网络</w:t>
      </w:r>
    </w:p>
    <w:p w:rsidR="00107FC3" w:rsidRDefault="00000000">
      <w:pPr>
        <w:pStyle w:val="affc"/>
        <w:ind w:firstLine="420"/>
        <w:rPr>
          <w:rFonts w:hint="default"/>
        </w:rPr>
      </w:pPr>
      <w:r>
        <w:rPr>
          <w:rFonts w:eastAsiaTheme="minorEastAsia" w:hint="default"/>
        </w:rPr>
        <w:t>产业链上下游</w:t>
      </w:r>
      <w:r>
        <w:rPr>
          <w:rFonts w:eastAsiaTheme="minorEastAsia"/>
        </w:rPr>
        <w:t>企业宜</w:t>
      </w:r>
      <w:r>
        <w:t>通过建立多个运输渠道和供应商，降低因单一来源带来的风险，确保供应链的灵活性和韧性。</w:t>
      </w:r>
    </w:p>
    <w:p w:rsidR="00107FC3" w:rsidRDefault="00000000">
      <w:pPr>
        <w:pStyle w:val="af5"/>
        <w:spacing w:before="156" w:after="156"/>
        <w:rPr>
          <w:rFonts w:hint="default"/>
        </w:rPr>
      </w:pPr>
      <w:bookmarkStart w:id="345" w:name="_Toc29678"/>
      <w:bookmarkStart w:id="346" w:name="_Toc5805"/>
      <w:bookmarkStart w:id="347" w:name="_Toc6670"/>
      <w:bookmarkStart w:id="348" w:name="_Toc31685"/>
      <w:bookmarkStart w:id="349" w:name="_Toc31803"/>
      <w:bookmarkStart w:id="350" w:name="_Toc18244"/>
      <w:bookmarkStart w:id="351" w:name="_Toc30942"/>
      <w:bookmarkStart w:id="352" w:name="_Toc5225"/>
      <w:r>
        <w:t>构建风险控制文化</w:t>
      </w:r>
      <w:bookmarkEnd w:id="345"/>
      <w:bookmarkEnd w:id="346"/>
      <w:bookmarkEnd w:id="347"/>
      <w:bookmarkEnd w:id="348"/>
      <w:bookmarkEnd w:id="349"/>
      <w:bookmarkEnd w:id="350"/>
      <w:bookmarkEnd w:id="351"/>
      <w:bookmarkEnd w:id="352"/>
    </w:p>
    <w:p w:rsidR="00107FC3" w:rsidRDefault="00000000">
      <w:pPr>
        <w:pStyle w:val="af6"/>
        <w:spacing w:before="156" w:after="156"/>
      </w:pPr>
      <w:r>
        <w:t>培训与意识提升</w:t>
      </w:r>
    </w:p>
    <w:p w:rsidR="00107FC3" w:rsidRDefault="00000000">
      <w:pPr>
        <w:pStyle w:val="affc"/>
        <w:ind w:firstLine="420"/>
        <w:rPr>
          <w:rFonts w:hint="default"/>
        </w:rPr>
      </w:pPr>
      <w:r>
        <w:rPr>
          <w:rFonts w:eastAsiaTheme="minorEastAsia" w:hint="default"/>
        </w:rPr>
        <w:t>产业链上下游</w:t>
      </w:r>
      <w:r>
        <w:rPr>
          <w:rFonts w:eastAsiaTheme="minorEastAsia"/>
        </w:rPr>
        <w:t>企业宜</w:t>
      </w:r>
      <w:r>
        <w:t>定期对员工进行风险管理培训，提高员工对供应链风险的认识和应对能力。</w:t>
      </w:r>
    </w:p>
    <w:p w:rsidR="00107FC3" w:rsidRDefault="00000000">
      <w:pPr>
        <w:pStyle w:val="af6"/>
        <w:spacing w:before="156" w:after="156"/>
      </w:pPr>
      <w:r>
        <w:t>跨部门协作</w:t>
      </w:r>
    </w:p>
    <w:p w:rsidR="00107FC3" w:rsidRDefault="00000000">
      <w:pPr>
        <w:pStyle w:val="affc"/>
        <w:ind w:firstLine="420"/>
        <w:rPr>
          <w:rFonts w:hint="default"/>
        </w:rPr>
      </w:pPr>
      <w:r>
        <w:rPr>
          <w:rFonts w:eastAsiaTheme="minorEastAsia" w:hint="default"/>
        </w:rPr>
        <w:t>产业链上下游</w:t>
      </w:r>
      <w:r>
        <w:rPr>
          <w:rFonts w:eastAsiaTheme="minorEastAsia"/>
        </w:rPr>
        <w:t>企业宜</w:t>
      </w:r>
      <w:r>
        <w:t>促进不同部门之间的沟通与合作，共同识别和评估供应链风险，确保全面覆盖。</w:t>
      </w:r>
    </w:p>
    <w:p w:rsidR="00107FC3" w:rsidRDefault="00000000">
      <w:pPr>
        <w:pStyle w:val="af6"/>
        <w:spacing w:before="156" w:after="156"/>
      </w:pPr>
      <w:r>
        <w:t>持续改进</w:t>
      </w:r>
    </w:p>
    <w:p w:rsidR="00107FC3" w:rsidRDefault="00000000">
      <w:pPr>
        <w:pStyle w:val="affc"/>
        <w:ind w:firstLine="420"/>
        <w:rPr>
          <w:rFonts w:hint="default"/>
        </w:rPr>
      </w:pPr>
      <w:r>
        <w:t>定期回顾和评估风险管理策略的有效性，根据市场变化和企业发展情况进行调整和优化。</w:t>
      </w:r>
    </w:p>
    <w:p w:rsidR="00107FC3" w:rsidRDefault="00000000">
      <w:pPr>
        <w:pStyle w:val="af4"/>
        <w:spacing w:before="312" w:after="312"/>
        <w:rPr>
          <w:rFonts w:hint="default"/>
        </w:rPr>
      </w:pPr>
      <w:bookmarkStart w:id="353" w:name="_Toc26880"/>
      <w:bookmarkStart w:id="354" w:name="_Toc21722"/>
      <w:bookmarkStart w:id="355" w:name="_Toc12849"/>
      <w:bookmarkStart w:id="356" w:name="_Toc10989"/>
      <w:bookmarkStart w:id="357" w:name="_Toc5647"/>
      <w:bookmarkStart w:id="358" w:name="_Toc15064"/>
      <w:bookmarkStart w:id="359" w:name="_Toc23780"/>
      <w:bookmarkStart w:id="360" w:name="_Toc12077"/>
      <w:bookmarkStart w:id="361" w:name="_Toc6051"/>
      <w:bookmarkStart w:id="362" w:name="_Toc26304"/>
      <w:r>
        <w:t>退出策略</w:t>
      </w:r>
      <w:bookmarkEnd w:id="353"/>
      <w:bookmarkEnd w:id="354"/>
      <w:bookmarkEnd w:id="355"/>
      <w:bookmarkEnd w:id="356"/>
      <w:bookmarkEnd w:id="357"/>
      <w:bookmarkEnd w:id="358"/>
      <w:bookmarkEnd w:id="359"/>
      <w:bookmarkEnd w:id="360"/>
      <w:bookmarkEnd w:id="361"/>
      <w:bookmarkEnd w:id="362"/>
    </w:p>
    <w:p w:rsidR="00107FC3" w:rsidRDefault="00000000">
      <w:pPr>
        <w:pStyle w:val="af5"/>
        <w:spacing w:before="156" w:after="156"/>
        <w:rPr>
          <w:rFonts w:hint="default"/>
        </w:rPr>
      </w:pPr>
      <w:bookmarkStart w:id="363" w:name="_Toc29121"/>
      <w:bookmarkStart w:id="364" w:name="_Toc7762"/>
      <w:bookmarkStart w:id="365" w:name="_Toc6042"/>
      <w:bookmarkStart w:id="366" w:name="_Toc674"/>
      <w:bookmarkStart w:id="367" w:name="_Toc8317"/>
      <w:bookmarkStart w:id="368" w:name="_Toc17680"/>
      <w:bookmarkStart w:id="369" w:name="_Toc923"/>
      <w:bookmarkStart w:id="370" w:name="_Toc12186"/>
      <w:r>
        <w:t>合同终止条款</w:t>
      </w:r>
      <w:bookmarkEnd w:id="363"/>
      <w:bookmarkEnd w:id="364"/>
      <w:bookmarkEnd w:id="365"/>
      <w:bookmarkEnd w:id="366"/>
      <w:bookmarkEnd w:id="367"/>
      <w:bookmarkEnd w:id="368"/>
      <w:bookmarkEnd w:id="369"/>
      <w:bookmarkEnd w:id="370"/>
    </w:p>
    <w:p w:rsidR="00107FC3" w:rsidRDefault="00000000">
      <w:pPr>
        <w:pStyle w:val="affc"/>
        <w:ind w:firstLine="420"/>
        <w:rPr>
          <w:rFonts w:hint="default"/>
        </w:rPr>
      </w:pPr>
      <w:r>
        <w:rPr>
          <w:rFonts w:eastAsiaTheme="minorEastAsia" w:hint="default"/>
        </w:rPr>
        <w:t>产业链上下游</w:t>
      </w:r>
      <w:r>
        <w:rPr>
          <w:rFonts w:eastAsiaTheme="minorEastAsia"/>
        </w:rPr>
        <w:t>企业宜</w:t>
      </w:r>
      <w:r>
        <w:t>明确规定任何一方在希望终止合作时提前通知的时间。设定明确的终止条件，例如未达到业绩目标、违反合同条款或不可抗力事件等。并详细描述终止合同的程序，包括必要的书面通知和对方的确认。</w:t>
      </w:r>
    </w:p>
    <w:p w:rsidR="00107FC3" w:rsidRDefault="00000000">
      <w:pPr>
        <w:pStyle w:val="af5"/>
        <w:spacing w:before="156" w:after="156"/>
        <w:rPr>
          <w:rFonts w:hint="default"/>
        </w:rPr>
      </w:pPr>
      <w:bookmarkStart w:id="371" w:name="_Toc23513"/>
      <w:bookmarkStart w:id="372" w:name="_Toc8584"/>
      <w:bookmarkStart w:id="373" w:name="_Toc7235"/>
      <w:bookmarkStart w:id="374" w:name="_Toc213"/>
      <w:bookmarkStart w:id="375" w:name="_Toc11158"/>
      <w:bookmarkStart w:id="376" w:name="_Toc17235"/>
      <w:bookmarkStart w:id="377" w:name="_Toc13054"/>
      <w:bookmarkStart w:id="378" w:name="_Toc15517"/>
      <w:r>
        <w:t>资产分配</w:t>
      </w:r>
      <w:bookmarkEnd w:id="371"/>
      <w:bookmarkEnd w:id="372"/>
      <w:bookmarkEnd w:id="373"/>
      <w:bookmarkEnd w:id="374"/>
      <w:bookmarkEnd w:id="375"/>
      <w:bookmarkEnd w:id="376"/>
      <w:bookmarkEnd w:id="377"/>
      <w:bookmarkEnd w:id="378"/>
    </w:p>
    <w:p w:rsidR="00107FC3" w:rsidRDefault="00000000">
      <w:pPr>
        <w:pStyle w:val="affc"/>
        <w:ind w:firstLine="420"/>
        <w:rPr>
          <w:rFonts w:hint="default"/>
        </w:rPr>
      </w:pPr>
      <w:r>
        <w:t>在合作终止时，</w:t>
      </w:r>
      <w:r>
        <w:rPr>
          <w:rFonts w:eastAsiaTheme="minorEastAsia" w:hint="default"/>
        </w:rPr>
        <w:t>产业链上下游</w:t>
      </w:r>
      <w:r>
        <w:rPr>
          <w:rFonts w:eastAsiaTheme="minorEastAsia"/>
        </w:rPr>
        <w:t>企业双方宜</w:t>
      </w:r>
      <w:r>
        <w:t>明确如何清算共同投资的资产。约定专业评估机构评估资产价值，以确保公平分配。并规定未分配资产的处理方式，例如出售、转让或捐赠。</w:t>
      </w:r>
    </w:p>
    <w:p w:rsidR="00107FC3" w:rsidRDefault="00000000">
      <w:pPr>
        <w:pStyle w:val="af5"/>
        <w:spacing w:before="156" w:after="156"/>
        <w:rPr>
          <w:rFonts w:hint="default"/>
        </w:rPr>
      </w:pPr>
      <w:bookmarkStart w:id="379" w:name="_Toc29271"/>
      <w:bookmarkStart w:id="380" w:name="_Toc10909"/>
      <w:bookmarkStart w:id="381" w:name="_Toc27265"/>
      <w:bookmarkStart w:id="382" w:name="_Toc8493"/>
      <w:bookmarkStart w:id="383" w:name="_Toc21689"/>
      <w:bookmarkStart w:id="384" w:name="_Toc28128"/>
      <w:bookmarkStart w:id="385" w:name="_Toc23766"/>
      <w:bookmarkStart w:id="386" w:name="_Toc10580"/>
      <w:r>
        <w:t>知识转移</w:t>
      </w:r>
      <w:bookmarkEnd w:id="379"/>
      <w:bookmarkEnd w:id="380"/>
      <w:bookmarkEnd w:id="381"/>
      <w:bookmarkEnd w:id="382"/>
      <w:bookmarkEnd w:id="383"/>
      <w:bookmarkEnd w:id="384"/>
      <w:bookmarkEnd w:id="385"/>
      <w:bookmarkEnd w:id="386"/>
    </w:p>
    <w:p w:rsidR="00107FC3" w:rsidRDefault="00000000">
      <w:pPr>
        <w:pStyle w:val="affc"/>
        <w:ind w:firstLine="420"/>
        <w:rPr>
          <w:rFonts w:hint="default"/>
        </w:rPr>
      </w:pPr>
      <w:r>
        <w:rPr>
          <w:rFonts w:eastAsiaTheme="minorEastAsia"/>
        </w:rPr>
        <w:t>产</w:t>
      </w:r>
      <w:r>
        <w:rPr>
          <w:rFonts w:eastAsiaTheme="minorEastAsia" w:hint="default"/>
        </w:rPr>
        <w:t>业链上下游</w:t>
      </w:r>
      <w:r>
        <w:rPr>
          <w:rFonts w:eastAsiaTheme="minorEastAsia"/>
        </w:rPr>
        <w:t>企业双方宜</w:t>
      </w:r>
      <w:r>
        <w:t>明确合作期间产生的知识产权归属，避免未来的法律纠纷。在合作结束时，规定必要的技术转让条款，确保双方在必要的范围内能够继续运作。即使在合作结束后，遵循保密条款，确保双方的商业机密不会被泄露是必要的。</w:t>
      </w:r>
    </w:p>
    <w:p w:rsidR="00107FC3" w:rsidRDefault="00000000">
      <w:pPr>
        <w:pStyle w:val="af5"/>
        <w:spacing w:before="156" w:after="156"/>
        <w:rPr>
          <w:rFonts w:hint="default"/>
        </w:rPr>
      </w:pPr>
      <w:bookmarkStart w:id="387" w:name="_Toc21947"/>
      <w:bookmarkStart w:id="388" w:name="_Toc21587"/>
      <w:bookmarkStart w:id="389" w:name="_Toc4285"/>
      <w:bookmarkStart w:id="390" w:name="_Toc9782"/>
      <w:bookmarkStart w:id="391" w:name="_Toc18235"/>
      <w:bookmarkStart w:id="392" w:name="_Toc25350"/>
      <w:bookmarkStart w:id="393" w:name="_Toc3212"/>
      <w:bookmarkStart w:id="394" w:name="_Toc2206"/>
      <w:r>
        <w:lastRenderedPageBreak/>
        <w:t>争议解决机制</w:t>
      </w:r>
      <w:bookmarkEnd w:id="387"/>
      <w:bookmarkEnd w:id="388"/>
      <w:bookmarkEnd w:id="389"/>
      <w:bookmarkEnd w:id="390"/>
      <w:bookmarkEnd w:id="391"/>
      <w:bookmarkEnd w:id="392"/>
      <w:bookmarkEnd w:id="393"/>
      <w:bookmarkEnd w:id="394"/>
    </w:p>
    <w:p w:rsidR="00107FC3" w:rsidRDefault="00000000">
      <w:pPr>
        <w:pStyle w:val="affc"/>
        <w:ind w:firstLine="420"/>
        <w:rPr>
          <w:rFonts w:hint="default"/>
        </w:rPr>
      </w:pPr>
      <w:r>
        <w:t>产业链上下游企业双方应在合同中明确争议解决的方式及其适用的法律和地点。建议设立调解机制，以便在争议发生时，双方能够通过协商解决问题，避免直接进入法律程序。</w:t>
      </w:r>
    </w:p>
    <w:p w:rsidR="00107FC3" w:rsidRDefault="00000000">
      <w:pPr>
        <w:pStyle w:val="af5"/>
        <w:spacing w:before="156" w:after="156"/>
        <w:rPr>
          <w:rFonts w:hint="default"/>
        </w:rPr>
      </w:pPr>
      <w:bookmarkStart w:id="395" w:name="_Toc5626"/>
      <w:bookmarkStart w:id="396" w:name="_Toc31687"/>
      <w:bookmarkStart w:id="397" w:name="_Toc4990"/>
      <w:bookmarkStart w:id="398" w:name="_Toc1482"/>
      <w:bookmarkStart w:id="399" w:name="_Toc6914"/>
      <w:bookmarkStart w:id="400" w:name="_Toc6757"/>
      <w:bookmarkStart w:id="401" w:name="_Toc25989"/>
      <w:bookmarkStart w:id="402" w:name="_Toc6242"/>
      <w:r>
        <w:t>退出后的支持</w:t>
      </w:r>
      <w:bookmarkEnd w:id="395"/>
      <w:bookmarkEnd w:id="396"/>
      <w:bookmarkEnd w:id="397"/>
      <w:bookmarkEnd w:id="398"/>
      <w:bookmarkEnd w:id="399"/>
      <w:bookmarkEnd w:id="400"/>
      <w:bookmarkEnd w:id="401"/>
      <w:bookmarkEnd w:id="402"/>
    </w:p>
    <w:p w:rsidR="00107FC3" w:rsidRDefault="00000000">
      <w:pPr>
        <w:pStyle w:val="affc"/>
        <w:ind w:firstLine="420"/>
        <w:rPr>
          <w:rFonts w:hint="default"/>
        </w:rPr>
      </w:pPr>
      <w:r>
        <w:rPr>
          <w:rFonts w:eastAsiaTheme="minorEastAsia"/>
        </w:rPr>
        <w:t>产</w:t>
      </w:r>
      <w:r>
        <w:rPr>
          <w:rFonts w:eastAsiaTheme="minorEastAsia" w:hint="default"/>
        </w:rPr>
        <w:t>业链上下游</w:t>
      </w:r>
      <w:r>
        <w:rPr>
          <w:rFonts w:eastAsiaTheme="minorEastAsia"/>
        </w:rPr>
        <w:t>企业双方宜</w:t>
      </w:r>
      <w:r>
        <w:t>约定一个过渡期，确保在合作结束后，业务能够顺利转型。并考虑提供一定期限的后续支持，以帮助对方顺利过渡。</w:t>
      </w:r>
    </w:p>
    <w:p w:rsidR="00107FC3" w:rsidRDefault="00000000">
      <w:pPr>
        <w:pStyle w:val="af5"/>
        <w:spacing w:before="156" w:after="156"/>
        <w:rPr>
          <w:rFonts w:hint="default"/>
        </w:rPr>
      </w:pPr>
      <w:bookmarkStart w:id="403" w:name="_Toc32194"/>
      <w:bookmarkStart w:id="404" w:name="_Toc12357"/>
      <w:bookmarkStart w:id="405" w:name="_Toc24498"/>
      <w:bookmarkStart w:id="406" w:name="_Toc19863"/>
      <w:bookmarkStart w:id="407" w:name="_Toc7402"/>
      <w:bookmarkStart w:id="408" w:name="_Toc32390"/>
      <w:bookmarkStart w:id="409" w:name="_Toc15836"/>
      <w:bookmarkStart w:id="410" w:name="_Toc18011"/>
      <w:r>
        <w:t>定期评估与调整</w:t>
      </w:r>
      <w:bookmarkEnd w:id="403"/>
      <w:bookmarkEnd w:id="404"/>
      <w:bookmarkEnd w:id="405"/>
      <w:bookmarkEnd w:id="406"/>
      <w:bookmarkEnd w:id="407"/>
      <w:bookmarkEnd w:id="408"/>
      <w:bookmarkEnd w:id="409"/>
      <w:bookmarkEnd w:id="410"/>
    </w:p>
    <w:p w:rsidR="00107FC3" w:rsidRDefault="00000000">
      <w:pPr>
        <w:pStyle w:val="affc"/>
        <w:ind w:firstLine="420"/>
        <w:rPr>
          <w:rFonts w:hint="default"/>
        </w:rPr>
      </w:pPr>
      <w:r>
        <w:t>建议产</w:t>
      </w:r>
      <w:r>
        <w:rPr>
          <w:rFonts w:eastAsiaTheme="minorEastAsia" w:hint="default"/>
        </w:rPr>
        <w:t>业链上下游</w:t>
      </w:r>
      <w:r>
        <w:rPr>
          <w:rFonts w:eastAsiaTheme="minorEastAsia"/>
        </w:rPr>
        <w:t>企业</w:t>
      </w:r>
      <w:r>
        <w:t>在合作过程中定期评估协议的适用性，并根据实际情况进行必要的调整，以保持协议的有效性。通过制定全面且清晰的退出策略，产</w:t>
      </w:r>
      <w:r>
        <w:rPr>
          <w:rFonts w:eastAsiaTheme="minorEastAsia" w:hint="default"/>
        </w:rPr>
        <w:t>业链上下游</w:t>
      </w:r>
      <w:r>
        <w:rPr>
          <w:rFonts w:eastAsiaTheme="minorEastAsia"/>
        </w:rPr>
        <w:t>企业双方</w:t>
      </w:r>
      <w:r>
        <w:t>能够在合作关系结束时，减少不确定性，保障各方的合法权益，并为未来的合作奠定良好的基础。</w:t>
      </w:r>
    </w:p>
    <w:p w:rsidR="00107FC3" w:rsidRDefault="00000000">
      <w:pPr>
        <w:pStyle w:val="af4"/>
        <w:spacing w:before="312" w:after="312"/>
        <w:rPr>
          <w:rFonts w:hint="default"/>
        </w:rPr>
      </w:pPr>
      <w:bookmarkStart w:id="411" w:name="_Toc12513"/>
      <w:bookmarkStart w:id="412" w:name="_Toc23044"/>
      <w:bookmarkStart w:id="413" w:name="_Toc4220"/>
      <w:bookmarkStart w:id="414" w:name="_Toc24632"/>
      <w:bookmarkStart w:id="415" w:name="_Toc20974"/>
      <w:bookmarkStart w:id="416" w:name="_Toc29192"/>
      <w:bookmarkStart w:id="417" w:name="_Toc15806"/>
      <w:bookmarkStart w:id="418" w:name="_Toc30895"/>
      <w:bookmarkStart w:id="419" w:name="_Toc26549"/>
      <w:bookmarkStart w:id="420" w:name="_Toc12819"/>
      <w:r>
        <w:t>关系测量和优化</w:t>
      </w:r>
      <w:bookmarkEnd w:id="411"/>
      <w:bookmarkEnd w:id="412"/>
      <w:bookmarkEnd w:id="413"/>
      <w:bookmarkEnd w:id="414"/>
      <w:bookmarkEnd w:id="415"/>
      <w:bookmarkEnd w:id="416"/>
      <w:bookmarkEnd w:id="417"/>
      <w:bookmarkEnd w:id="418"/>
      <w:bookmarkEnd w:id="419"/>
      <w:bookmarkEnd w:id="420"/>
    </w:p>
    <w:p w:rsidR="00107FC3" w:rsidRDefault="00000000">
      <w:pPr>
        <w:pStyle w:val="af5"/>
        <w:spacing w:before="156" w:after="156"/>
        <w:rPr>
          <w:rFonts w:hint="default"/>
        </w:rPr>
      </w:pPr>
      <w:bookmarkStart w:id="421" w:name="_Toc27856"/>
      <w:bookmarkStart w:id="422" w:name="_Toc17855"/>
      <w:bookmarkStart w:id="423" w:name="_Toc31959"/>
      <w:bookmarkStart w:id="424" w:name="_Toc9653"/>
      <w:r>
        <w:t>交货准时率</w:t>
      </w:r>
      <w:bookmarkEnd w:id="421"/>
      <w:bookmarkEnd w:id="422"/>
      <w:bookmarkEnd w:id="423"/>
      <w:bookmarkEnd w:id="424"/>
    </w:p>
    <w:p w:rsidR="00107FC3" w:rsidRDefault="00000000">
      <w:pPr>
        <w:pStyle w:val="affffb"/>
        <w:spacing w:beforeLines="0" w:before="0" w:afterLines="0" w:after="0"/>
      </w:pPr>
      <w:r>
        <w:t>统计按时交货的订单占总订单的比例。</w:t>
      </w:r>
    </w:p>
    <w:p w:rsidR="00107FC3" w:rsidRDefault="00000000">
      <w:pPr>
        <w:pStyle w:val="affffb"/>
        <w:spacing w:beforeLines="0" w:before="0" w:afterLines="0" w:after="0"/>
      </w:pPr>
      <w:r>
        <w:t>通过协调生产计划、实时跟踪运输状态和建立紧急应对机制来提高准时交货率。</w:t>
      </w:r>
    </w:p>
    <w:p w:rsidR="00107FC3" w:rsidRDefault="00000000">
      <w:pPr>
        <w:pStyle w:val="af5"/>
        <w:spacing w:before="156" w:after="156"/>
        <w:rPr>
          <w:rFonts w:hint="default"/>
        </w:rPr>
      </w:pPr>
      <w:bookmarkStart w:id="425" w:name="_Toc28604"/>
      <w:bookmarkStart w:id="426" w:name="_Toc8034"/>
      <w:r>
        <w:t>产品质量</w:t>
      </w:r>
      <w:bookmarkEnd w:id="425"/>
      <w:bookmarkEnd w:id="426"/>
    </w:p>
    <w:p w:rsidR="00107FC3" w:rsidRDefault="00000000">
      <w:pPr>
        <w:pStyle w:val="affffb"/>
        <w:spacing w:beforeLines="0" w:before="0" w:afterLines="0" w:after="0"/>
      </w:pPr>
      <w:r>
        <w:t>统计合格产品数量与总生产数量的比例。</w:t>
      </w:r>
    </w:p>
    <w:p w:rsidR="00107FC3" w:rsidRDefault="00000000">
      <w:pPr>
        <w:pStyle w:val="affffb"/>
        <w:spacing w:beforeLines="0" w:before="0" w:afterLines="0" w:after="0"/>
      </w:pPr>
      <w:r>
        <w:t>实施严格的质量控制标准，进行定期质量审查和供应商评估。</w:t>
      </w:r>
    </w:p>
    <w:p w:rsidR="00107FC3" w:rsidRDefault="00000000">
      <w:pPr>
        <w:pStyle w:val="af5"/>
        <w:spacing w:before="156" w:after="156"/>
        <w:rPr>
          <w:rFonts w:hint="default"/>
        </w:rPr>
      </w:pPr>
      <w:bookmarkStart w:id="427" w:name="_Toc10720"/>
      <w:bookmarkStart w:id="428" w:name="_Toc2512"/>
      <w:r>
        <w:t>成本效益</w:t>
      </w:r>
      <w:bookmarkEnd w:id="427"/>
      <w:bookmarkEnd w:id="428"/>
    </w:p>
    <w:p w:rsidR="00107FC3" w:rsidRDefault="00000000">
      <w:pPr>
        <w:pStyle w:val="affffb"/>
        <w:spacing w:beforeLines="0" w:before="0" w:afterLines="0" w:after="0"/>
      </w:pPr>
      <w:r>
        <w:t>产品成本与市场售价的比率，反映盈利能力。</w:t>
      </w:r>
    </w:p>
    <w:p w:rsidR="00107FC3" w:rsidRDefault="00000000">
      <w:pPr>
        <w:pStyle w:val="affffb"/>
        <w:spacing w:beforeLines="0" w:before="0" w:afterLines="0" w:after="0"/>
      </w:pPr>
      <w:r>
        <w:t>通过优化生产流程、降低材料成本和提高生产效率来提升成本效益。</w:t>
      </w:r>
    </w:p>
    <w:p w:rsidR="00107FC3" w:rsidRDefault="00000000">
      <w:pPr>
        <w:pStyle w:val="af5"/>
        <w:spacing w:before="156" w:after="156"/>
        <w:rPr>
          <w:rFonts w:hint="default"/>
        </w:rPr>
      </w:pPr>
      <w:bookmarkStart w:id="429" w:name="_Toc14832"/>
      <w:bookmarkStart w:id="430" w:name="_Toc1175"/>
      <w:r>
        <w:t>创新能力</w:t>
      </w:r>
      <w:bookmarkEnd w:id="429"/>
      <w:bookmarkEnd w:id="430"/>
    </w:p>
    <w:p w:rsidR="00107FC3" w:rsidRDefault="00000000">
      <w:pPr>
        <w:pStyle w:val="affffb"/>
        <w:spacing w:beforeLines="0" w:before="0" w:afterLines="0" w:after="0"/>
      </w:pPr>
      <w:r>
        <w:t>通过新产品或新技术的引入频率，以及其对市场份额的影响。</w:t>
      </w:r>
    </w:p>
    <w:p w:rsidR="00107FC3" w:rsidRDefault="00000000">
      <w:pPr>
        <w:pStyle w:val="affffb"/>
        <w:spacing w:beforeLines="0" w:before="0" w:afterLines="0" w:after="0"/>
      </w:pPr>
      <w:r>
        <w:t>鼓励研发投资、与高等院校及研究机构合作，促进技术交流和项目合作。</w:t>
      </w:r>
    </w:p>
    <w:p w:rsidR="00107FC3" w:rsidRDefault="00000000">
      <w:pPr>
        <w:pStyle w:val="af5"/>
        <w:spacing w:before="156" w:after="156"/>
        <w:rPr>
          <w:rFonts w:hint="default"/>
        </w:rPr>
      </w:pPr>
      <w:bookmarkStart w:id="431" w:name="_Toc10618"/>
      <w:bookmarkStart w:id="432" w:name="_Toc25793"/>
      <w:r>
        <w:t>信息共享程度</w:t>
      </w:r>
      <w:bookmarkEnd w:id="431"/>
      <w:bookmarkEnd w:id="432"/>
    </w:p>
    <w:p w:rsidR="00107FC3" w:rsidRDefault="00000000">
      <w:pPr>
        <w:pStyle w:val="affffb"/>
        <w:spacing w:beforeLines="0" w:before="0" w:afterLines="0" w:after="0"/>
      </w:pPr>
      <w:r>
        <w:t>通过调查问卷或访谈了解信息共享的渠道、内容及频率，共享数据和信息的频率和质量。</w:t>
      </w:r>
    </w:p>
    <w:p w:rsidR="00107FC3" w:rsidRDefault="00000000">
      <w:pPr>
        <w:pStyle w:val="affffb"/>
        <w:spacing w:beforeLines="0" w:before="0" w:afterLines="0" w:after="0"/>
      </w:pPr>
      <w:r>
        <w:t>建立信息共享平台，实现数据的实时更新与透明化，增强合作伙伴之间的信任。</w:t>
      </w:r>
    </w:p>
    <w:p w:rsidR="00107FC3" w:rsidRDefault="00000000">
      <w:pPr>
        <w:pStyle w:val="af5"/>
        <w:spacing w:before="156" w:after="156"/>
        <w:rPr>
          <w:rFonts w:hint="default"/>
        </w:rPr>
      </w:pPr>
      <w:bookmarkStart w:id="433" w:name="_Toc10784"/>
      <w:bookmarkStart w:id="434" w:name="_Toc5809"/>
      <w:r>
        <w:t>风险管理能力</w:t>
      </w:r>
      <w:bookmarkEnd w:id="433"/>
      <w:bookmarkEnd w:id="434"/>
    </w:p>
    <w:p w:rsidR="00107FC3" w:rsidRDefault="00000000">
      <w:pPr>
        <w:pStyle w:val="affffb"/>
        <w:spacing w:beforeLines="0" w:before="0" w:afterLines="0" w:after="0"/>
      </w:pPr>
      <w:r>
        <w:t>通过风险评估模型和实际应对案例进行评分，识别、评估和应对供应链中潜在风险的能力。</w:t>
      </w:r>
    </w:p>
    <w:p w:rsidR="00107FC3" w:rsidRDefault="00000000">
      <w:pPr>
        <w:pStyle w:val="affffb"/>
        <w:spacing w:beforeLines="0" w:before="0" w:afterLines="0" w:after="0"/>
      </w:pPr>
      <w:r>
        <w:t>定期进行风险评估，制定应急预案并进行演练，增强供应链的韧性。</w:t>
      </w:r>
    </w:p>
    <w:p w:rsidR="00107FC3" w:rsidRDefault="00000000">
      <w:pPr>
        <w:pStyle w:val="af5"/>
        <w:spacing w:before="156" w:after="156"/>
        <w:rPr>
          <w:rFonts w:hint="default"/>
        </w:rPr>
      </w:pPr>
      <w:bookmarkStart w:id="435" w:name="_Toc28429"/>
      <w:bookmarkStart w:id="436" w:name="_Toc32195"/>
      <w:r>
        <w:t>持续改进率</w:t>
      </w:r>
      <w:bookmarkEnd w:id="435"/>
      <w:bookmarkEnd w:id="436"/>
    </w:p>
    <w:p w:rsidR="00107FC3" w:rsidRDefault="00000000">
      <w:pPr>
        <w:pStyle w:val="affffb"/>
        <w:spacing w:beforeLines="0" w:before="0" w:afterLines="0" w:after="0"/>
      </w:pPr>
      <w:r>
        <w:lastRenderedPageBreak/>
        <w:t>通过持续改进活动（如精益生产、六西格玛等）所带来的效率提升程度，监测改进活动实施前后的绩效变化。</w:t>
      </w:r>
    </w:p>
    <w:p w:rsidR="00107FC3" w:rsidRDefault="00000000">
      <w:pPr>
        <w:pStyle w:val="affffb"/>
        <w:spacing w:beforeLines="0" w:before="0" w:afterLines="0" w:after="0"/>
      </w:pPr>
      <w:r>
        <w:t>定期组织改进工作坊，鼓励员工提出优化建议，形成持续改进的企业文化。</w:t>
      </w:r>
    </w:p>
    <w:p w:rsidR="00107FC3" w:rsidRDefault="00000000">
      <w:pPr>
        <w:pStyle w:val="af4"/>
        <w:spacing w:before="312" w:after="312"/>
        <w:rPr>
          <w:rFonts w:hint="default"/>
        </w:rPr>
      </w:pPr>
      <w:bookmarkStart w:id="437" w:name="_Toc10274"/>
      <w:bookmarkStart w:id="438" w:name="_Toc27209"/>
      <w:bookmarkStart w:id="439" w:name="_Toc28056"/>
      <w:bookmarkStart w:id="440" w:name="_Toc77"/>
      <w:bookmarkStart w:id="441" w:name="_Toc13656"/>
      <w:r>
        <w:t>基于特定产业链的供应链合作</w:t>
      </w:r>
      <w:bookmarkEnd w:id="437"/>
      <w:bookmarkEnd w:id="438"/>
      <w:bookmarkEnd w:id="439"/>
      <w:bookmarkEnd w:id="440"/>
      <w:bookmarkEnd w:id="441"/>
    </w:p>
    <w:p w:rsidR="00107FC3" w:rsidRDefault="00000000">
      <w:pPr>
        <w:pStyle w:val="affc"/>
        <w:ind w:firstLine="420"/>
        <w:rPr>
          <w:rFonts w:hint="default"/>
        </w:rPr>
      </w:pPr>
      <w:r>
        <w:t>结合制造、能源、汽车、科技、健康和农业六大主题，探讨产业链合作。附录A至E分别给出了各主题下供应链合作的关键点。附录A强调智能制造与产业升级；附录B展示新能源技术协同；附录C探讨智能汽车关键技术合作；附录D阐述数字科技资源共享；附录E关注健康生活与绿色农业合作。</w:t>
      </w:r>
    </w:p>
    <w:p w:rsidR="00107FC3" w:rsidRDefault="00107FC3">
      <w:pPr>
        <w:pStyle w:val="affc"/>
        <w:ind w:firstLine="420"/>
        <w:rPr>
          <w:rFonts w:hint="default"/>
        </w:rPr>
      </w:pPr>
    </w:p>
    <w:p w:rsidR="00107FC3" w:rsidRDefault="00000000">
      <w:pPr>
        <w:rPr>
          <w:rFonts w:hint="default"/>
        </w:rPr>
      </w:pPr>
      <w:r>
        <w:br w:type="page"/>
      </w:r>
      <w:bookmarkStart w:id="442" w:name="BKFL"/>
    </w:p>
    <w:p w:rsidR="00107FC3" w:rsidRDefault="00107FC3">
      <w:pPr>
        <w:pStyle w:val="a5"/>
        <w:ind w:firstLine="40"/>
        <w:rPr>
          <w:rFonts w:hint="default"/>
        </w:rPr>
      </w:pPr>
    </w:p>
    <w:p w:rsidR="00107FC3" w:rsidRDefault="00107FC3">
      <w:pPr>
        <w:pStyle w:val="a7"/>
        <w:ind w:firstLine="40"/>
        <w:rPr>
          <w:rFonts w:hint="default"/>
        </w:rPr>
      </w:pPr>
    </w:p>
    <w:p w:rsidR="00107FC3" w:rsidRDefault="00000000">
      <w:pPr>
        <w:pStyle w:val="afc"/>
        <w:spacing w:before="78" w:after="156"/>
      </w:pPr>
      <w:bookmarkStart w:id="443" w:name="_Toc13707"/>
      <w:bookmarkStart w:id="444" w:name="_Toc16635"/>
      <w:bookmarkStart w:id="445" w:name="_Toc25653"/>
      <w:bookmarkStart w:id="446" w:name="_Toc22221"/>
      <w:bookmarkStart w:id="447" w:name="_Toc24043"/>
      <w:r>
        <w:br/>
        <w:t>（资料性）</w:t>
      </w:r>
      <w:r>
        <w:br/>
        <w:t>基于先进制造链供应链合作</w:t>
      </w:r>
      <w:bookmarkEnd w:id="443"/>
      <w:bookmarkEnd w:id="444"/>
      <w:bookmarkEnd w:id="445"/>
      <w:bookmarkEnd w:id="446"/>
      <w:bookmarkEnd w:id="447"/>
    </w:p>
    <w:p w:rsidR="00107FC3" w:rsidRDefault="00000000">
      <w:pPr>
        <w:pStyle w:val="afd"/>
        <w:spacing w:before="156" w:after="156"/>
      </w:pPr>
      <w:r>
        <w:t>先进制造链合作</w:t>
      </w:r>
    </w:p>
    <w:p w:rsidR="00107FC3" w:rsidRDefault="00000000">
      <w:pPr>
        <w:pStyle w:val="afe"/>
        <w:numPr>
          <w:ilvl w:val="2"/>
          <w:numId w:val="19"/>
        </w:numPr>
        <w:spacing w:before="156" w:after="156"/>
      </w:pPr>
      <w:r>
        <w:t>技术整合与创新</w:t>
      </w:r>
    </w:p>
    <w:p w:rsidR="00107FC3" w:rsidRDefault="00000000">
      <w:pPr>
        <w:pStyle w:val="afffff6"/>
        <w:numPr>
          <w:ilvl w:val="3"/>
          <w:numId w:val="19"/>
        </w:numPr>
        <w:spacing w:beforeLines="0" w:before="0" w:afterLines="0" w:after="0"/>
      </w:pPr>
      <w:r>
        <w:t>先进制造链企业宜运用物联网、大数据、人工智能等技术推动创新和产品开发，提升生产效率和产品质量。</w:t>
      </w:r>
    </w:p>
    <w:p w:rsidR="00107FC3" w:rsidRDefault="00000000">
      <w:pPr>
        <w:pStyle w:val="afffff6"/>
        <w:numPr>
          <w:ilvl w:val="3"/>
          <w:numId w:val="19"/>
        </w:numPr>
        <w:spacing w:beforeLines="0" w:before="0" w:afterLines="0" w:after="0"/>
      </w:pPr>
      <w:r>
        <w:t>先进制造链企业通过技术整合使生产流程自动化和智能化，降低人工干预，提高效率和准确性。</w:t>
      </w:r>
    </w:p>
    <w:p w:rsidR="00107FC3" w:rsidRDefault="00000000">
      <w:pPr>
        <w:pStyle w:val="afffff6"/>
        <w:numPr>
          <w:ilvl w:val="3"/>
          <w:numId w:val="19"/>
        </w:numPr>
        <w:spacing w:beforeLines="0" w:before="0" w:afterLines="0" w:after="0"/>
      </w:pPr>
      <w:r>
        <w:t>先进制造链企业通过创新技术帮助企业开发有竞争力的产品，适应市场变化。</w:t>
      </w:r>
    </w:p>
    <w:p w:rsidR="00107FC3" w:rsidRDefault="00000000">
      <w:pPr>
        <w:pStyle w:val="afe"/>
        <w:numPr>
          <w:ilvl w:val="2"/>
          <w:numId w:val="19"/>
        </w:numPr>
        <w:spacing w:before="156" w:after="156"/>
      </w:pPr>
      <w:r>
        <w:t>构建物联网实时监控系统于先进制造链</w:t>
      </w:r>
    </w:p>
    <w:p w:rsidR="00107FC3" w:rsidRDefault="00000000">
      <w:pPr>
        <w:pStyle w:val="afffff6"/>
        <w:numPr>
          <w:ilvl w:val="3"/>
          <w:numId w:val="19"/>
        </w:numPr>
        <w:spacing w:beforeLines="0" w:before="0" w:afterLines="0" w:after="0"/>
      </w:pPr>
      <w:r>
        <w:t>先进制造链企业利用物联网技术，企业宜建立全供应链实时监控系统，从原材料到产品交付全程跟踪。</w:t>
      </w:r>
    </w:p>
    <w:p w:rsidR="00107FC3" w:rsidRDefault="00000000">
      <w:pPr>
        <w:pStyle w:val="afffff6"/>
        <w:numPr>
          <w:ilvl w:val="3"/>
          <w:numId w:val="19"/>
        </w:numPr>
        <w:spacing w:beforeLines="0" w:before="0" w:afterLines="0" w:after="0"/>
      </w:pPr>
      <w:r>
        <w:t>先进制造链企业通过增强供应链可视化，提高信息透明度，确保企业双方及时获取关键数据。</w:t>
      </w:r>
    </w:p>
    <w:p w:rsidR="00107FC3" w:rsidRDefault="00000000">
      <w:pPr>
        <w:pStyle w:val="afffff6"/>
        <w:numPr>
          <w:ilvl w:val="3"/>
          <w:numId w:val="19"/>
        </w:numPr>
        <w:spacing w:beforeLines="0" w:before="0" w:afterLines="0" w:after="0"/>
      </w:pPr>
      <w:r>
        <w:t>先进制造链企业通过物联网监控系统助企业快速识别并解决潜在问题。</w:t>
      </w:r>
    </w:p>
    <w:p w:rsidR="00107FC3" w:rsidRDefault="00000000">
      <w:pPr>
        <w:pStyle w:val="afe"/>
        <w:numPr>
          <w:ilvl w:val="2"/>
          <w:numId w:val="19"/>
        </w:numPr>
        <w:spacing w:before="156" w:after="156"/>
      </w:pPr>
      <w:r>
        <w:t>应用大数据分析工具</w:t>
      </w:r>
    </w:p>
    <w:p w:rsidR="00107FC3" w:rsidRDefault="00000000">
      <w:pPr>
        <w:pStyle w:val="afffff6"/>
        <w:numPr>
          <w:ilvl w:val="3"/>
          <w:numId w:val="19"/>
        </w:numPr>
        <w:spacing w:beforeLines="0" w:before="0" w:afterLines="0" w:after="0"/>
      </w:pPr>
      <w:r>
        <w:t>先进制造链企业通过大数据分析工具，企业可深入分析实时数据，识别供应链瓶颈和风险。</w:t>
      </w:r>
    </w:p>
    <w:p w:rsidR="00107FC3" w:rsidRDefault="00000000">
      <w:pPr>
        <w:pStyle w:val="afffff6"/>
        <w:numPr>
          <w:ilvl w:val="3"/>
          <w:numId w:val="19"/>
        </w:numPr>
        <w:spacing w:beforeLines="0" w:before="0" w:afterLines="0" w:after="0"/>
      </w:pPr>
      <w:r>
        <w:t>先进制造链企业通过数据反馈助企业快速调整策略，优化资源配置，提升运营效率。</w:t>
      </w:r>
    </w:p>
    <w:p w:rsidR="00107FC3" w:rsidRDefault="00000000">
      <w:pPr>
        <w:pStyle w:val="afffff6"/>
        <w:numPr>
          <w:ilvl w:val="3"/>
          <w:numId w:val="19"/>
        </w:numPr>
        <w:spacing w:beforeLines="0" w:before="0" w:afterLines="0" w:after="0"/>
      </w:pPr>
      <w:r>
        <w:t>先进制造链企业通过大数据工具助企业洞察市场趋势，精确预测需求，促进供应链协同和高效管理。</w:t>
      </w:r>
    </w:p>
    <w:p w:rsidR="00107FC3" w:rsidRDefault="00000000">
      <w:pPr>
        <w:pStyle w:val="afe"/>
        <w:numPr>
          <w:ilvl w:val="2"/>
          <w:numId w:val="19"/>
        </w:numPr>
        <w:spacing w:before="156" w:after="156"/>
      </w:pPr>
      <w:r>
        <w:t>引入自动化设备和智能制造技术于先进制造链</w:t>
      </w:r>
    </w:p>
    <w:p w:rsidR="00107FC3" w:rsidRDefault="00000000">
      <w:pPr>
        <w:pStyle w:val="afffff6"/>
        <w:numPr>
          <w:ilvl w:val="3"/>
          <w:numId w:val="19"/>
        </w:numPr>
        <w:spacing w:beforeLines="0" w:before="0" w:afterLines="0" w:after="0"/>
      </w:pPr>
      <w:r>
        <w:t>先进制造链企业通过自动化设备实现生产流程自动化，降低人工成本，减少误差，提升产品质量。</w:t>
      </w:r>
    </w:p>
    <w:p w:rsidR="00107FC3" w:rsidRDefault="00000000">
      <w:pPr>
        <w:pStyle w:val="afffff6"/>
        <w:numPr>
          <w:ilvl w:val="3"/>
          <w:numId w:val="19"/>
        </w:numPr>
        <w:spacing w:beforeLines="0" w:before="0" w:afterLines="0" w:after="0"/>
      </w:pPr>
      <w:r>
        <w:t>先进制造链企业通过智能制造技术如智能机器人、物联网传感器和AI算法优化生产流程，实现智能化管理，提高效率，使企业能快速调整策略，应对市场变化。</w:t>
      </w:r>
    </w:p>
    <w:p w:rsidR="00107FC3" w:rsidRDefault="00000000">
      <w:pPr>
        <w:pStyle w:val="afe"/>
        <w:numPr>
          <w:ilvl w:val="2"/>
          <w:numId w:val="19"/>
        </w:numPr>
        <w:spacing w:before="156" w:after="156"/>
      </w:pPr>
      <w:r>
        <w:t>先进制造链优化与反馈</w:t>
      </w:r>
    </w:p>
    <w:p w:rsidR="00107FC3" w:rsidRDefault="00000000">
      <w:pPr>
        <w:pStyle w:val="afffff6"/>
        <w:numPr>
          <w:ilvl w:val="3"/>
          <w:numId w:val="19"/>
        </w:numPr>
        <w:spacing w:beforeLines="0" w:before="0" w:afterLines="0" w:after="0"/>
      </w:pPr>
      <w:r>
        <w:t>先进制造链企业宜建立优化反馈机制，根据数据和市场调整技术与流程，保持竞争力。</w:t>
      </w:r>
    </w:p>
    <w:p w:rsidR="00107FC3" w:rsidRDefault="00000000">
      <w:pPr>
        <w:pStyle w:val="afffff6"/>
        <w:numPr>
          <w:ilvl w:val="3"/>
          <w:numId w:val="19"/>
        </w:numPr>
        <w:spacing w:beforeLines="0" w:before="0" w:afterLines="0" w:after="0"/>
      </w:pPr>
      <w:r>
        <w:t>先进制造链企业通过鼓励员工提建议，用数据分析评估影响，定期跨部门会议分享最佳实践，解决生产问题，优化流程降低成本，提升竞争力是必要的。</w:t>
      </w:r>
    </w:p>
    <w:p w:rsidR="00107FC3" w:rsidRDefault="00000000">
      <w:pPr>
        <w:pStyle w:val="afd"/>
        <w:numPr>
          <w:ilvl w:val="1"/>
          <w:numId w:val="19"/>
        </w:numPr>
        <w:spacing w:before="156" w:after="156"/>
      </w:pPr>
      <w:r>
        <w:t>供应链合作基础</w:t>
      </w:r>
    </w:p>
    <w:p w:rsidR="00107FC3" w:rsidRDefault="00000000">
      <w:pPr>
        <w:pStyle w:val="afe"/>
        <w:numPr>
          <w:ilvl w:val="2"/>
          <w:numId w:val="19"/>
        </w:numPr>
        <w:spacing w:before="156" w:after="156"/>
      </w:pPr>
      <w:r>
        <w:t>基础设施确保供应链全球联通</w:t>
      </w:r>
    </w:p>
    <w:p w:rsidR="00107FC3" w:rsidRDefault="00000000">
      <w:pPr>
        <w:pStyle w:val="afffff6"/>
        <w:numPr>
          <w:ilvl w:val="3"/>
          <w:numId w:val="19"/>
        </w:numPr>
        <w:spacing w:beforeLines="0" w:before="0" w:afterLines="0" w:after="0"/>
      </w:pPr>
      <w:r>
        <w:lastRenderedPageBreak/>
        <w:t>物流基础设施支持供应链顺畅运行：现代化设施如智能仓储和自动化运输系统提高效率，降低延误风险。</w:t>
      </w:r>
    </w:p>
    <w:p w:rsidR="00107FC3" w:rsidRDefault="00000000">
      <w:pPr>
        <w:pStyle w:val="afffff6"/>
        <w:numPr>
          <w:ilvl w:val="3"/>
          <w:numId w:val="19"/>
        </w:numPr>
        <w:spacing w:beforeLines="0" w:before="0" w:afterLines="0" w:after="0"/>
      </w:pPr>
      <w:r>
        <w:t>通信基础设施提升供应链透明度：通过5G和物联网技术提升供应链透明度和实时监控，增强协调和响应能力，提高整体效率和灵活性。</w:t>
      </w:r>
    </w:p>
    <w:p w:rsidR="00107FC3" w:rsidRDefault="00000000">
      <w:pPr>
        <w:pStyle w:val="afffff6"/>
        <w:numPr>
          <w:ilvl w:val="3"/>
          <w:numId w:val="19"/>
        </w:numPr>
        <w:spacing w:beforeLines="0" w:before="0" w:afterLines="0" w:after="0"/>
        <w:rPr>
          <w:rFonts w:hAnsi="Times New Roman" w:hint="default"/>
        </w:rPr>
      </w:pPr>
      <w:r>
        <w:t>通过金融基础设施的支持：提供融资、保险和结算等服务，降低融资成本，缓解资金压力，助力企业持续发展。</w:t>
      </w:r>
    </w:p>
    <w:p w:rsidR="00107FC3" w:rsidRDefault="00000000">
      <w:pPr>
        <w:pStyle w:val="afe"/>
        <w:numPr>
          <w:ilvl w:val="2"/>
          <w:numId w:val="19"/>
        </w:numPr>
        <w:spacing w:before="156" w:after="156"/>
      </w:pPr>
      <w:r>
        <w:t>多双边规则助力全球供应链发展</w:t>
      </w:r>
    </w:p>
    <w:p w:rsidR="00107FC3" w:rsidRDefault="00000000">
      <w:pPr>
        <w:pStyle w:val="afffff6"/>
        <w:numPr>
          <w:ilvl w:val="3"/>
          <w:numId w:val="19"/>
        </w:numPr>
        <w:spacing w:beforeLines="0" w:before="0" w:afterLines="0" w:after="0"/>
        <w:rPr>
          <w:rFonts w:ascii="Times New Roman" w:hAnsi="Times New Roman" w:cs="Times New Roman" w:hint="default"/>
        </w:rPr>
      </w:pPr>
      <w:r>
        <w:rPr>
          <w:rFonts w:ascii="Times New Roman" w:hAnsi="Times New Roman" w:cs="Times New Roman"/>
        </w:rPr>
        <w:t>通过</w:t>
      </w:r>
      <w:r>
        <w:rPr>
          <w:rFonts w:ascii="Times New Roman" w:hAnsi="Times New Roman" w:cs="Times New Roman"/>
        </w:rPr>
        <w:t>WTO</w:t>
      </w:r>
      <w:r>
        <w:rPr>
          <w:rFonts w:ascii="Times New Roman" w:hAnsi="Times New Roman" w:cs="Times New Roman"/>
        </w:rPr>
        <w:t>推出新议题：如数字贸易和环保标准，以适应供应链新趋势，促进贸易规则协调，增强供应链稳定性和可预测性。</w:t>
      </w:r>
    </w:p>
    <w:p w:rsidR="00107FC3" w:rsidRDefault="00000000">
      <w:pPr>
        <w:pStyle w:val="afffff6"/>
        <w:numPr>
          <w:ilvl w:val="3"/>
          <w:numId w:val="19"/>
        </w:numPr>
        <w:spacing w:beforeLines="0" w:before="0" w:afterLines="0" w:after="0"/>
        <w:rPr>
          <w:rFonts w:hAnsi="Times New Roman" w:hint="default"/>
        </w:rPr>
      </w:pPr>
      <w:r>
        <w:rPr>
          <w:rFonts w:ascii="Times New Roman" w:hAnsi="Times New Roman" w:cs="Times New Roman"/>
        </w:rPr>
        <w:t>通过</w:t>
      </w:r>
      <w:r>
        <w:rPr>
          <w:rFonts w:ascii="Times New Roman" w:hAnsi="Times New Roman" w:cs="Times New Roman"/>
        </w:rPr>
        <w:t>RTAs</w:t>
      </w:r>
      <w:r>
        <w:rPr>
          <w:rFonts w:ascii="Times New Roman" w:hAnsi="Times New Roman" w:cs="Times New Roman"/>
        </w:rPr>
        <w:t>通过降低关税和非关税壁垒：推动更广泛供应链合作，促进企业协同发展，提升全球供应链竞争力。</w:t>
      </w:r>
    </w:p>
    <w:p w:rsidR="00107FC3" w:rsidRDefault="00000000">
      <w:pPr>
        <w:pStyle w:val="afe"/>
        <w:numPr>
          <w:ilvl w:val="2"/>
          <w:numId w:val="19"/>
        </w:numPr>
        <w:spacing w:before="156" w:after="156"/>
      </w:pPr>
      <w:r>
        <w:t>主要经济体政策影响全球供应链布局与监管</w:t>
      </w:r>
    </w:p>
    <w:p w:rsidR="00107FC3" w:rsidRDefault="00000000">
      <w:pPr>
        <w:pStyle w:val="afffff6"/>
        <w:numPr>
          <w:ilvl w:val="3"/>
          <w:numId w:val="19"/>
        </w:numPr>
        <w:spacing w:beforeLines="0" w:before="0" w:afterLines="0" w:after="0"/>
      </w:pPr>
      <w:r>
        <w:t>立法提升供应链韧性：各国立法加强监管，提升供应链抗风险能力。例如，法规要求企业评估供应链可持续性，提高透明度，应对突发事件或市场波动。</w:t>
      </w:r>
    </w:p>
    <w:p w:rsidR="00107FC3" w:rsidRDefault="00000000">
      <w:pPr>
        <w:pStyle w:val="afffff6"/>
        <w:numPr>
          <w:ilvl w:val="3"/>
          <w:numId w:val="19"/>
        </w:numPr>
        <w:spacing w:beforeLines="0" w:before="0" w:afterLines="0" w:after="0"/>
      </w:pPr>
      <w:r>
        <w:t>强化供应链风险管理：政策推动建立风险管理体系，利用数据监测和预警，及时识别风险，确保供应链稳定运行。</w:t>
      </w:r>
    </w:p>
    <w:p w:rsidR="00107FC3" w:rsidRDefault="00000000">
      <w:pPr>
        <w:pStyle w:val="afe"/>
        <w:numPr>
          <w:ilvl w:val="2"/>
          <w:numId w:val="19"/>
        </w:numPr>
        <w:spacing w:before="156" w:after="156"/>
      </w:pPr>
      <w:r>
        <w:t>技术升级推动供应链创新和可持续发展</w:t>
      </w:r>
    </w:p>
    <w:p w:rsidR="00107FC3" w:rsidRDefault="00000000">
      <w:pPr>
        <w:pStyle w:val="afffff6"/>
        <w:numPr>
          <w:ilvl w:val="3"/>
          <w:numId w:val="19"/>
        </w:numPr>
        <w:spacing w:beforeLines="0" w:before="0" w:afterLines="0" w:after="0"/>
      </w:pPr>
      <w:r>
        <w:t>数字经济技术提升供应链创新：数字化转型使管理更智能化，大数据和AI优化生产流程，提高决策效率，促进创新。</w:t>
      </w:r>
    </w:p>
    <w:p w:rsidR="00107FC3" w:rsidRDefault="00000000">
      <w:pPr>
        <w:pStyle w:val="afffff6"/>
        <w:numPr>
          <w:ilvl w:val="3"/>
          <w:numId w:val="19"/>
        </w:numPr>
        <w:spacing w:beforeLines="0" w:before="0" w:afterLines="0" w:after="0"/>
      </w:pPr>
      <w:r>
        <w:t>新兴能源技术促进供应链可持续性：绿色技术和可再生能源在供应链中应用增多，低碳技术和循环经济模式推动可持续发展，符合环保趋势。</w:t>
      </w:r>
    </w:p>
    <w:p w:rsidR="00107FC3" w:rsidRDefault="00000000">
      <w:pPr>
        <w:pStyle w:val="afe"/>
        <w:numPr>
          <w:ilvl w:val="2"/>
          <w:numId w:val="19"/>
        </w:numPr>
        <w:spacing w:before="156" w:after="156"/>
      </w:pPr>
      <w:r>
        <w:t>金融服务确保供应链稳定</w:t>
      </w:r>
    </w:p>
    <w:p w:rsidR="00107FC3" w:rsidRDefault="00000000">
      <w:pPr>
        <w:pStyle w:val="afffff6"/>
        <w:spacing w:beforeLines="0" w:before="0" w:afterLines="0" w:after="0"/>
      </w:pPr>
      <w:r>
        <w:rPr>
          <w:rFonts w:hint="default"/>
        </w:rPr>
        <w:t>先进制造链技术特性与全球金融协同：先进制造链具备高精度系统集成特性及显著技术代际差异，其技术迭代速度与工艺复杂度形成行业竞争壁垒。国际金融服务业通过工业母机跨国租赁证券化、数字双生工厂保险等创新手段，为全球技术合作提供支持。</w:t>
      </w:r>
    </w:p>
    <w:p w:rsidR="00107FC3" w:rsidRDefault="00000000">
      <w:pPr>
        <w:pStyle w:val="afffff6"/>
        <w:spacing w:beforeLines="0" w:before="0" w:afterLines="0" w:after="0"/>
      </w:pPr>
      <w:r>
        <w:rPr>
          <w:rFonts w:hint="default"/>
        </w:rPr>
        <w:t>政策性金融构建智能制造生态：政府利用工业互联网平台、AI工艺优化补贴等机制，助力本土创新体系的成长。区块链技术赋能的设备全生命周期管理系统，提高了供应链备件的响应速度。结合碳能效监测平台，实现了重点行业绿色制造成本的降低，从而重塑了高端制造产业的格局。</w:t>
      </w:r>
    </w:p>
    <w:p w:rsidR="00107FC3" w:rsidRDefault="00107FC3">
      <w:pPr>
        <w:pStyle w:val="affc"/>
        <w:ind w:firstLine="420"/>
        <w:rPr>
          <w:rFonts w:hint="default"/>
        </w:rPr>
      </w:pPr>
    </w:p>
    <w:p w:rsidR="00107FC3" w:rsidRDefault="00107FC3">
      <w:pPr>
        <w:pStyle w:val="affc"/>
        <w:ind w:firstLine="420"/>
        <w:rPr>
          <w:rFonts w:hint="default"/>
        </w:rPr>
      </w:pPr>
    </w:p>
    <w:p w:rsidR="00107FC3" w:rsidRDefault="00000000">
      <w:pPr>
        <w:rPr>
          <w:rFonts w:hint="default"/>
        </w:rPr>
      </w:pPr>
      <w:r>
        <w:br w:type="page"/>
      </w:r>
    </w:p>
    <w:p w:rsidR="00107FC3" w:rsidRDefault="00107FC3">
      <w:pPr>
        <w:pStyle w:val="a5"/>
        <w:ind w:firstLine="40"/>
        <w:rPr>
          <w:rFonts w:hint="default"/>
        </w:rPr>
      </w:pPr>
    </w:p>
    <w:p w:rsidR="00107FC3" w:rsidRDefault="00107FC3">
      <w:pPr>
        <w:pStyle w:val="a7"/>
        <w:ind w:firstLine="40"/>
        <w:rPr>
          <w:rFonts w:hint="default"/>
        </w:rPr>
      </w:pPr>
    </w:p>
    <w:p w:rsidR="00107FC3" w:rsidRDefault="00000000">
      <w:pPr>
        <w:pStyle w:val="afc"/>
        <w:spacing w:before="78" w:after="156"/>
      </w:pPr>
      <w:bookmarkStart w:id="448" w:name="_Toc5187"/>
      <w:bookmarkStart w:id="449" w:name="_Toc23317"/>
      <w:bookmarkStart w:id="450" w:name="_Toc23849"/>
      <w:bookmarkStart w:id="451" w:name="_Toc32446"/>
      <w:bookmarkStart w:id="452" w:name="_Toc29994"/>
      <w:r>
        <w:br/>
        <w:t>（资料性）</w:t>
      </w:r>
      <w:r>
        <w:br/>
        <w:t>基于清洁能源链供应链合作</w:t>
      </w:r>
      <w:bookmarkEnd w:id="448"/>
      <w:bookmarkEnd w:id="449"/>
      <w:bookmarkEnd w:id="450"/>
      <w:bookmarkEnd w:id="451"/>
      <w:bookmarkEnd w:id="452"/>
    </w:p>
    <w:p w:rsidR="00107FC3" w:rsidRDefault="00000000">
      <w:pPr>
        <w:pStyle w:val="afd"/>
        <w:spacing w:before="156" w:after="156"/>
      </w:pPr>
      <w:r>
        <w:t>清洁能源链合作</w:t>
      </w:r>
    </w:p>
    <w:p w:rsidR="00107FC3" w:rsidRDefault="00000000">
      <w:pPr>
        <w:pStyle w:val="afe"/>
        <w:spacing w:before="156" w:after="156"/>
      </w:pPr>
      <w:r>
        <w:t>资源获取与存储</w:t>
      </w:r>
    </w:p>
    <w:p w:rsidR="00107FC3" w:rsidRDefault="00000000">
      <w:pPr>
        <w:pStyle w:val="afffff6"/>
        <w:spacing w:beforeLines="0" w:before="0" w:afterLines="0" w:after="0"/>
      </w:pPr>
      <w:r>
        <w:t>清洁能源链企业宜建立多元化供应渠道，确保关键原材料稳定供应与存储。深入分析原材料市场有助于降低市场波动风险。</w:t>
      </w:r>
    </w:p>
    <w:p w:rsidR="00107FC3" w:rsidRDefault="00000000">
      <w:pPr>
        <w:pStyle w:val="afffff6"/>
        <w:spacing w:beforeLines="0" w:before="0" w:afterLines="0" w:after="0"/>
      </w:pPr>
      <w:r>
        <w:t>清洁能源链企业通过长期合同和战略联盟增强关键部件供应保障，减少对单一供应商依赖，降低供应链中断风险。</w:t>
      </w:r>
    </w:p>
    <w:p w:rsidR="00107FC3" w:rsidRDefault="00000000">
      <w:pPr>
        <w:pStyle w:val="afe"/>
        <w:spacing w:before="156" w:after="156"/>
      </w:pPr>
      <w:r>
        <w:t>技术创新</w:t>
      </w:r>
    </w:p>
    <w:p w:rsidR="00107FC3" w:rsidRDefault="00000000">
      <w:pPr>
        <w:pStyle w:val="afffff6"/>
        <w:spacing w:beforeLines="0" w:before="0" w:afterLines="0" w:after="0"/>
      </w:pPr>
      <w:r>
        <w:t>清洁能源链企业技术更新快，企业宜持续研发，提升能源转换效率，降低成本。</w:t>
      </w:r>
    </w:p>
    <w:p w:rsidR="00107FC3" w:rsidRDefault="00000000">
      <w:pPr>
        <w:pStyle w:val="afffff6"/>
        <w:spacing w:beforeLines="0" w:before="0" w:afterLines="0" w:after="0"/>
      </w:pPr>
      <w:r>
        <w:t>清洁能源链企业宜关注技术趋势，如氢能、碳捕集与储存等新兴领域，以适应市场，抢占先机。</w:t>
      </w:r>
    </w:p>
    <w:p w:rsidR="00107FC3" w:rsidRDefault="00000000">
      <w:pPr>
        <w:pStyle w:val="afe"/>
        <w:spacing w:before="156" w:after="156"/>
      </w:pPr>
      <w:r>
        <w:t>政策和法规遵从</w:t>
      </w:r>
    </w:p>
    <w:p w:rsidR="00107FC3" w:rsidRDefault="00000000">
      <w:pPr>
        <w:pStyle w:val="afffff6"/>
        <w:spacing w:beforeLines="0" w:before="0" w:afterLines="0" w:after="0"/>
      </w:pPr>
      <w:r>
        <w:t>国家政策对清洁能源链有重大影响，企业建立合规体系，确保合法运营是至关重要的。</w:t>
      </w:r>
    </w:p>
    <w:p w:rsidR="00107FC3" w:rsidRDefault="00000000">
      <w:pPr>
        <w:pStyle w:val="afffff6"/>
        <w:spacing w:beforeLines="0" w:before="0" w:afterLines="0" w:after="0"/>
      </w:pPr>
      <w:r>
        <w:t>清洁能源链企业宜关注补贴和税收政策，调整战略，利用政策优势提升竞争力。</w:t>
      </w:r>
    </w:p>
    <w:p w:rsidR="00107FC3" w:rsidRDefault="00000000">
      <w:pPr>
        <w:pStyle w:val="afe"/>
        <w:spacing w:before="156" w:after="156"/>
      </w:pPr>
      <w:r>
        <w:t>跨区域合作</w:t>
      </w:r>
    </w:p>
    <w:p w:rsidR="00107FC3" w:rsidRDefault="00000000">
      <w:pPr>
        <w:pStyle w:val="afffff6"/>
        <w:spacing w:beforeLines="0" w:before="0" w:afterLines="0" w:after="0"/>
      </w:pPr>
      <w:r>
        <w:t>由于清洁能源资源分布不均，清洁能源链企业宜进行跨区域合作，整合资源，互补优势。</w:t>
      </w:r>
    </w:p>
    <w:p w:rsidR="00107FC3" w:rsidRDefault="00000000">
      <w:pPr>
        <w:pStyle w:val="afffff6"/>
        <w:spacing w:beforeLines="0" w:before="0" w:afterLines="0" w:after="0"/>
      </w:pPr>
      <w:r>
        <w:t>清洁能源链企业宜建立区域性合作网络，促进技术和经验交流，提高供应链的灵活性和响应速度。</w:t>
      </w:r>
    </w:p>
    <w:p w:rsidR="00107FC3" w:rsidRDefault="00000000">
      <w:pPr>
        <w:pStyle w:val="afd"/>
        <w:spacing w:before="156" w:after="156"/>
      </w:pPr>
      <w:r>
        <w:t>基于供应链合作</w:t>
      </w:r>
    </w:p>
    <w:p w:rsidR="00107FC3" w:rsidRDefault="00000000">
      <w:pPr>
        <w:pStyle w:val="afe"/>
        <w:spacing w:before="156" w:after="156"/>
      </w:pPr>
      <w:r>
        <w:t>基础设施确保清洁能源链顺畅运行</w:t>
      </w:r>
    </w:p>
    <w:p w:rsidR="00107FC3" w:rsidRDefault="00000000">
      <w:pPr>
        <w:pStyle w:val="afffff6"/>
        <w:spacing w:beforeLines="0" w:before="0" w:afterLines="0" w:after="0"/>
      </w:pPr>
      <w:r>
        <w:t>物流基础设施提高清洁能源链效率：高效的物流网络确保清洁能源产品及时运输，减少延误和损耗。</w:t>
      </w:r>
    </w:p>
    <w:p w:rsidR="00107FC3" w:rsidRDefault="00000000">
      <w:pPr>
        <w:pStyle w:val="afffff6"/>
        <w:spacing w:beforeLines="0" w:before="0" w:afterLines="0" w:after="0"/>
      </w:pPr>
      <w:r>
        <w:t>通信基础设施促进数据共享：先进的通信技术使清洁能源链企业能实时共享数据，提高决策效率，优化资源配置。</w:t>
      </w:r>
    </w:p>
    <w:p w:rsidR="00107FC3" w:rsidRDefault="00000000">
      <w:pPr>
        <w:pStyle w:val="afffff6"/>
        <w:spacing w:beforeLines="0" w:before="0" w:afterLines="0" w:after="0"/>
      </w:pPr>
      <w:r>
        <w:t>金融基础设施支持清洁能源投资：健全的金融体系为清洁能源项目提供资金支持，降低融资成本，促进项目实施。</w:t>
      </w:r>
    </w:p>
    <w:p w:rsidR="00107FC3" w:rsidRDefault="00000000">
      <w:pPr>
        <w:pStyle w:val="afe"/>
        <w:spacing w:before="156" w:after="156"/>
      </w:pPr>
      <w:r>
        <w:t>多双边规则支持清洁能源发展</w:t>
      </w:r>
    </w:p>
    <w:p w:rsidR="00107FC3" w:rsidRDefault="00000000">
      <w:pPr>
        <w:pStyle w:val="afffff6"/>
        <w:spacing w:beforeLines="0" w:before="0" w:afterLines="0" w:after="0"/>
      </w:pPr>
      <w:r>
        <w:t>WTO新议题推动清洁能源贸易：WTO通过绿色贸易政策和可再生能源产品自由化，为清洁能源全球布局提供政策支持。</w:t>
      </w:r>
    </w:p>
    <w:p w:rsidR="00107FC3" w:rsidRDefault="00000000">
      <w:pPr>
        <w:pStyle w:val="afffff6"/>
        <w:spacing w:beforeLines="0" w:before="0" w:afterLines="0" w:after="0"/>
      </w:pPr>
      <w:r>
        <w:lastRenderedPageBreak/>
        <w:t>RTAs新规则促进清洁能源合作：区域贸易协定通过优惠关税和投资便利化，推动各国在清洁能源领域的合作与发展。</w:t>
      </w:r>
    </w:p>
    <w:p w:rsidR="00107FC3" w:rsidRDefault="00000000">
      <w:pPr>
        <w:pStyle w:val="afe"/>
        <w:spacing w:before="156" w:after="156"/>
      </w:pPr>
      <w:r>
        <w:t>政策影响清洁能源链布局与监管</w:t>
      </w:r>
    </w:p>
    <w:p w:rsidR="00107FC3" w:rsidRDefault="00000000">
      <w:pPr>
        <w:pStyle w:val="afffff6"/>
        <w:spacing w:beforeLines="0" w:before="0" w:afterLines="0" w:after="0"/>
      </w:pPr>
      <w:r>
        <w:t>立法提升清洁能源链韧性：各国立法设定清洁能源目标，推动产业结构转型，增强能源链韧性与适应性。</w:t>
      </w:r>
    </w:p>
    <w:p w:rsidR="00107FC3" w:rsidRDefault="00000000">
      <w:pPr>
        <w:pStyle w:val="afffff6"/>
        <w:spacing w:beforeLines="0" w:before="0" w:afterLines="0" w:after="0"/>
      </w:pPr>
      <w:r>
        <w:t>强化清洁能源链风险管理：上下游企业宜通过加强风险监测与管理，确保清洁能源链稳定运行，应对市场与政策变化。</w:t>
      </w:r>
    </w:p>
    <w:p w:rsidR="00107FC3" w:rsidRDefault="00000000">
      <w:pPr>
        <w:pStyle w:val="afe"/>
        <w:spacing w:before="156" w:after="156"/>
      </w:pPr>
      <w:r>
        <w:t>技术升级创新助推清洁能源链的可持续发展</w:t>
      </w:r>
    </w:p>
    <w:p w:rsidR="00107FC3" w:rsidRDefault="00000000">
      <w:pPr>
        <w:pStyle w:val="afffff6"/>
        <w:spacing w:beforeLines="0" w:before="0" w:afterLines="0" w:after="0"/>
      </w:pPr>
      <w:r>
        <w:t>智能技术提升清洁能源效能：通过整合物联网、云计算和大数据技术，能够优化清洁能源在其全生命周期内的能效和管理。</w:t>
      </w:r>
    </w:p>
    <w:p w:rsidR="00107FC3" w:rsidRDefault="00000000">
      <w:pPr>
        <w:pStyle w:val="afffff6"/>
        <w:numPr>
          <w:ilvl w:val="3"/>
          <w:numId w:val="20"/>
        </w:numPr>
        <w:spacing w:beforeLines="0" w:before="0" w:afterLines="0" w:after="0"/>
      </w:pPr>
      <w:r>
        <w:t>新技术推动可再生能源发展：储能和氢能技术的持续研发与应用，对推动清洁能源链的创新和可持续发展是关键。</w:t>
      </w:r>
    </w:p>
    <w:p w:rsidR="00107FC3" w:rsidRDefault="00000000">
      <w:pPr>
        <w:pStyle w:val="afffff6"/>
        <w:numPr>
          <w:ilvl w:val="3"/>
          <w:numId w:val="20"/>
        </w:numPr>
        <w:spacing w:beforeLines="0" w:before="0" w:afterLines="0" w:after="0"/>
      </w:pPr>
      <w:r>
        <w:t>碳减排是清洁能源的核心目标：全球正密切关注气候变化问题，推动低碳技术的研发和应用，以实现清洁能源链的可持续发展。</w:t>
      </w:r>
    </w:p>
    <w:p w:rsidR="00107FC3" w:rsidRDefault="00000000">
      <w:pPr>
        <w:pStyle w:val="afffff6"/>
        <w:numPr>
          <w:ilvl w:val="3"/>
          <w:numId w:val="20"/>
        </w:numPr>
        <w:spacing w:beforeLines="0" w:before="0" w:afterLines="0" w:after="0"/>
      </w:pPr>
      <w:r>
        <w:t>碳交易市场优化清洁能源配置：碳市场通过提供经济激励，促进资源的优化配置，提高能源效率，并降低了碳排放的成本。</w:t>
      </w:r>
    </w:p>
    <w:p w:rsidR="00107FC3" w:rsidRDefault="00000000">
      <w:pPr>
        <w:pStyle w:val="afe"/>
        <w:spacing w:before="156" w:after="156"/>
      </w:pPr>
      <w:r>
        <w:t>金融服务确保清洁能源链稳定</w:t>
      </w:r>
    </w:p>
    <w:p w:rsidR="00107FC3" w:rsidRDefault="00000000">
      <w:pPr>
        <w:pStyle w:val="afffff6"/>
        <w:spacing w:beforeLines="0" w:before="0" w:afterLines="0" w:after="0"/>
      </w:pPr>
      <w:r>
        <w:rPr>
          <w:rFonts w:hint="default"/>
        </w:rPr>
        <w:t>绿色能源链技术特点与全球金融协作</w:t>
      </w:r>
      <w:r>
        <w:t>：</w:t>
      </w:r>
      <w:r>
        <w:rPr>
          <w:rFonts w:hint="default"/>
        </w:rPr>
        <w:t>绿色能源链技术拥有极高的密集度，面临并网波动性挑战。国际金融服务业宜通过绿色债券、碳信用跨境结算平台等创新工具，推动绿色能源技术的国际转移。</w:t>
      </w:r>
    </w:p>
    <w:p w:rsidR="00107FC3" w:rsidRDefault="00000000">
      <w:pPr>
        <w:pStyle w:val="afffff6"/>
        <w:spacing w:beforeLines="0" w:before="0" w:afterLines="0" w:after="0"/>
      </w:pPr>
      <w:r>
        <w:rPr>
          <w:rFonts w:hint="default"/>
        </w:rPr>
        <w:t>政策性金融打造本土化能源生态</w:t>
      </w:r>
      <w:r>
        <w:t>：</w:t>
      </w:r>
      <w:r>
        <w:rPr>
          <w:rFonts w:hint="default"/>
        </w:rPr>
        <w:t>通过可再生能源补贴智能发放系统、绿色能源项目风险补偿基金等机制，激发绿色能源链的创新活力。通过数字孪生电网平台的应用提高绿色能源的消纳率，结合区块链绿证交易系统，提升供应链碳足迹追踪的精确度，从而重塑了零碳能源产业的新格局。</w:t>
      </w:r>
    </w:p>
    <w:p w:rsidR="00107FC3" w:rsidRDefault="00000000">
      <w:pPr>
        <w:rPr>
          <w:rFonts w:hint="default"/>
        </w:rPr>
      </w:pPr>
      <w:r>
        <w:br w:type="page"/>
      </w:r>
    </w:p>
    <w:p w:rsidR="00107FC3" w:rsidRDefault="00107FC3">
      <w:pPr>
        <w:pStyle w:val="a5"/>
        <w:ind w:firstLine="40"/>
        <w:rPr>
          <w:rFonts w:hint="default"/>
        </w:rPr>
      </w:pPr>
    </w:p>
    <w:p w:rsidR="00107FC3" w:rsidRDefault="00107FC3">
      <w:pPr>
        <w:pStyle w:val="a7"/>
        <w:ind w:firstLine="40"/>
        <w:rPr>
          <w:rFonts w:hint="default"/>
        </w:rPr>
      </w:pPr>
    </w:p>
    <w:p w:rsidR="00107FC3" w:rsidRDefault="00000000">
      <w:pPr>
        <w:pStyle w:val="afc"/>
        <w:spacing w:before="78" w:after="156"/>
      </w:pPr>
      <w:bookmarkStart w:id="453" w:name="_Toc15531"/>
      <w:bookmarkStart w:id="454" w:name="_Toc20221"/>
      <w:bookmarkStart w:id="455" w:name="_Toc5263"/>
      <w:bookmarkStart w:id="456" w:name="_Toc4607"/>
      <w:bookmarkStart w:id="457" w:name="_Toc16313"/>
      <w:r>
        <w:br/>
        <w:t>（资料性）</w:t>
      </w:r>
      <w:r>
        <w:br/>
        <w:t>基于智能汽车链供应链合作</w:t>
      </w:r>
      <w:bookmarkEnd w:id="453"/>
      <w:bookmarkEnd w:id="454"/>
      <w:bookmarkEnd w:id="455"/>
      <w:bookmarkEnd w:id="456"/>
      <w:bookmarkEnd w:id="457"/>
    </w:p>
    <w:p w:rsidR="00107FC3" w:rsidRDefault="00000000">
      <w:pPr>
        <w:pStyle w:val="afd"/>
        <w:spacing w:before="156" w:after="156"/>
      </w:pPr>
      <w:r>
        <w:t>智能汽车链合作</w:t>
      </w:r>
    </w:p>
    <w:p w:rsidR="00107FC3" w:rsidRDefault="00000000">
      <w:pPr>
        <w:pStyle w:val="afe"/>
        <w:spacing w:before="156" w:after="156"/>
      </w:pPr>
      <w:r>
        <w:t>技术集成</w:t>
      </w:r>
    </w:p>
    <w:p w:rsidR="00107FC3" w:rsidRDefault="00000000">
      <w:pPr>
        <w:pStyle w:val="afffff6"/>
        <w:numPr>
          <w:ilvl w:val="3"/>
          <w:numId w:val="21"/>
        </w:numPr>
        <w:spacing w:beforeLines="0" w:before="0" w:afterLines="0" w:after="0"/>
      </w:pPr>
      <w:r>
        <w:t>标准化与兼容性：对于智能汽车链企业而言，遵循统一的技术标准，实现组件接口协议的兼容性，确保系统功能的安全性，并提升系统效率，是至关重要的。</w:t>
      </w:r>
    </w:p>
    <w:p w:rsidR="00107FC3" w:rsidRDefault="00000000">
      <w:pPr>
        <w:pStyle w:val="afffff6"/>
        <w:numPr>
          <w:ilvl w:val="3"/>
          <w:numId w:val="21"/>
        </w:numPr>
        <w:spacing w:beforeLines="0" w:before="0" w:afterLines="0" w:after="0"/>
      </w:pPr>
      <w:r>
        <w:t>持续创新：智能汽车链企业宜建立研发合作机制，及时集成最新技术，以确保车辆的竞争力。</w:t>
      </w:r>
    </w:p>
    <w:p w:rsidR="00107FC3" w:rsidRDefault="00000000">
      <w:pPr>
        <w:pStyle w:val="afe"/>
        <w:spacing w:before="156" w:after="156"/>
      </w:pPr>
      <w:r>
        <w:t>安全与隐私</w:t>
      </w:r>
    </w:p>
    <w:p w:rsidR="00107FC3" w:rsidRDefault="00000000">
      <w:pPr>
        <w:pStyle w:val="afffff6"/>
        <w:spacing w:beforeLines="0" w:before="0" w:afterLines="0" w:after="0"/>
      </w:pPr>
      <w:r>
        <w:t>数据管理与合规：对于智能汽车链企业而言，遵循相关法规并建立透明的数据处理流程，以保护消费者隐私，是至关重要的。</w:t>
      </w:r>
    </w:p>
    <w:p w:rsidR="00107FC3" w:rsidRDefault="00000000">
      <w:pPr>
        <w:pStyle w:val="afffff6"/>
        <w:numPr>
          <w:ilvl w:val="3"/>
          <w:numId w:val="21"/>
        </w:numPr>
        <w:spacing w:beforeLines="0" w:before="0" w:afterLines="0" w:after="0"/>
      </w:pPr>
      <w:r>
        <w:t>网络安全：智能汽车链企业构建车载防火墙、实施空中下载保护、进行渗透测试等防御措施，制定全面的网络安全策略，并定期执行安全测试与审计，以关键性地防范网络攻击和数据泄漏的风险是至关重要的。</w:t>
      </w:r>
    </w:p>
    <w:p w:rsidR="00107FC3" w:rsidRDefault="00000000">
      <w:pPr>
        <w:pStyle w:val="afe"/>
        <w:spacing w:before="156" w:after="156"/>
      </w:pPr>
      <w:r>
        <w:t>供应链响应速度</w:t>
      </w:r>
    </w:p>
    <w:p w:rsidR="00107FC3" w:rsidRDefault="00000000">
      <w:pPr>
        <w:pStyle w:val="afffff6"/>
        <w:spacing w:beforeLines="0" w:before="0" w:afterLines="0" w:after="0"/>
      </w:pPr>
      <w:r>
        <w:t>智能供应链管理宜借助大数据与人工智能技术，实现对供应链状态的实时监控，优化库存与生产计划，从而提升响应速度。</w:t>
      </w:r>
    </w:p>
    <w:p w:rsidR="00107FC3" w:rsidRDefault="00000000">
      <w:pPr>
        <w:pStyle w:val="afffff6"/>
        <w:numPr>
          <w:ilvl w:val="3"/>
          <w:numId w:val="21"/>
        </w:numPr>
        <w:spacing w:beforeLines="0" w:before="0" w:afterLines="0" w:after="0"/>
      </w:pPr>
      <w:r>
        <w:t>企业宜探索灵活的生产模式，以便迅速调整生产线，以适应市场和消费者需求的不断变化。</w:t>
      </w:r>
    </w:p>
    <w:p w:rsidR="00107FC3" w:rsidRDefault="00000000">
      <w:pPr>
        <w:pStyle w:val="afe"/>
        <w:spacing w:before="156" w:after="156"/>
      </w:pPr>
      <w:r>
        <w:t>跨行业合作</w:t>
      </w:r>
    </w:p>
    <w:p w:rsidR="00107FC3" w:rsidRDefault="00000000">
      <w:pPr>
        <w:pStyle w:val="afffff6"/>
        <w:spacing w:beforeLines="0" w:before="0" w:afterLines="0" w:after="0"/>
      </w:pPr>
      <w:r>
        <w:t>与科技公司、互联网服务提供商等非汽车行业企业合作，建立包含技术、服务和商业层的生态系统，促进资源共享。</w:t>
      </w:r>
    </w:p>
    <w:p w:rsidR="00107FC3" w:rsidRDefault="00000000">
      <w:pPr>
        <w:pStyle w:val="afffff6"/>
        <w:spacing w:beforeLines="0" w:before="0" w:afterLines="0" w:after="0"/>
      </w:pPr>
      <w:r>
        <w:t>开发智能交通、车联网等新技术和应用场景，提升智能汽车整体价值。</w:t>
      </w:r>
    </w:p>
    <w:p w:rsidR="00107FC3" w:rsidRDefault="00000000">
      <w:pPr>
        <w:pStyle w:val="afe"/>
        <w:spacing w:before="156" w:after="156"/>
      </w:pPr>
      <w:r>
        <w:t>可持续发展</w:t>
      </w:r>
    </w:p>
    <w:p w:rsidR="00107FC3" w:rsidRDefault="00000000">
      <w:pPr>
        <w:pStyle w:val="afffff6"/>
        <w:spacing w:beforeLines="0" w:before="0" w:afterLines="0" w:after="0"/>
      </w:pPr>
      <w:r>
        <w:t>智能汽车链企业在选择合作伙伴时，考虑环境影响，实施全生命周期碳管理是至关重要的。</w:t>
      </w:r>
    </w:p>
    <w:p w:rsidR="00107FC3" w:rsidRDefault="00000000">
      <w:pPr>
        <w:pStyle w:val="afffff6"/>
        <w:spacing w:beforeLines="0" w:before="0" w:afterLines="0" w:after="0"/>
      </w:pPr>
      <w:r>
        <w:t>建立完整的产品生命周期管理体系，包括车辆回收与再利用，实现资源高效循环。</w:t>
      </w:r>
    </w:p>
    <w:p w:rsidR="00107FC3" w:rsidRDefault="00000000">
      <w:pPr>
        <w:pStyle w:val="afd"/>
        <w:spacing w:before="156" w:after="156"/>
      </w:pPr>
      <w:r>
        <w:t>供应链合作基础</w:t>
      </w:r>
    </w:p>
    <w:p w:rsidR="00107FC3" w:rsidRDefault="00000000">
      <w:pPr>
        <w:pStyle w:val="afe"/>
        <w:spacing w:before="156" w:after="156"/>
      </w:pPr>
      <w:r>
        <w:t>基础设施确保供应链全球联通</w:t>
      </w:r>
    </w:p>
    <w:p w:rsidR="00107FC3" w:rsidRDefault="00000000">
      <w:pPr>
        <w:pStyle w:val="afffff6"/>
        <w:spacing w:beforeLines="0" w:before="0" w:afterLines="0" w:after="0"/>
      </w:pPr>
      <w:r>
        <w:t>物流基础设施保障供应链顺畅：智能汽车生产和交付依赖于高效的物流网络，包括运输、仓储和配送环节的协调。先进物流技术如自动驾驶运输车辆正在提升传统物流效率。</w:t>
      </w:r>
    </w:p>
    <w:p w:rsidR="00107FC3" w:rsidRDefault="00000000">
      <w:pPr>
        <w:pStyle w:val="afffff6"/>
        <w:spacing w:beforeLines="0" w:before="0" w:afterLines="0" w:after="0"/>
      </w:pPr>
      <w:r>
        <w:t>通信基础设施推动供应链升级：智能汽车依赖5G、车联网技术实现高效通信，提升生产效率，增强供应链透明度和响应速度。</w:t>
      </w:r>
    </w:p>
    <w:p w:rsidR="00107FC3" w:rsidRDefault="00000000">
      <w:pPr>
        <w:pStyle w:val="afffff6"/>
        <w:spacing w:beforeLines="0" w:before="0" w:afterLines="0" w:after="0"/>
      </w:pPr>
      <w:r>
        <w:lastRenderedPageBreak/>
        <w:t>金融基础设施便利供应链金融服务：针对智能汽车产业链的金融服务如融资租赁、供应链金融日益成熟，降低融资成本，增强资金流动性，促进产业发展。</w:t>
      </w:r>
    </w:p>
    <w:p w:rsidR="00107FC3" w:rsidRDefault="00000000">
      <w:pPr>
        <w:pStyle w:val="afe"/>
        <w:spacing w:before="156" w:after="156"/>
      </w:pPr>
      <w:r>
        <w:t>多双边规则助力全球供应链发展</w:t>
      </w:r>
    </w:p>
    <w:p w:rsidR="00107FC3" w:rsidRDefault="00000000">
      <w:pPr>
        <w:pStyle w:val="afffff6"/>
        <w:spacing w:beforeLines="0" w:before="0" w:afterLines="0" w:after="0"/>
      </w:pPr>
      <w:r>
        <w:t>WTO议题推动智能汽车全球一体化：适应贸易和技术标准的新规则，WTO议题促进国际合作，减少贸易壁垒。</w:t>
      </w:r>
    </w:p>
    <w:p w:rsidR="00107FC3" w:rsidRDefault="00000000">
      <w:pPr>
        <w:pStyle w:val="afffff6"/>
        <w:numPr>
          <w:ilvl w:val="3"/>
          <w:numId w:val="21"/>
        </w:numPr>
        <w:spacing w:beforeLines="0" w:before="0" w:afterLines="0" w:after="0"/>
      </w:pPr>
      <w:r>
        <w:t>RTAs扩展智能汽车产业的合作范围：区域贸易协定为智能汽车产业提供灵活的市场准入和合作机制，从而促进跨国投资和合作。</w:t>
      </w:r>
    </w:p>
    <w:p w:rsidR="00107FC3" w:rsidRDefault="00000000">
      <w:pPr>
        <w:pStyle w:val="afe"/>
        <w:spacing w:before="156" w:after="156"/>
      </w:pPr>
      <w:r>
        <w:t>主要经济体政策影响供应链布局与监管</w:t>
      </w:r>
    </w:p>
    <w:p w:rsidR="00107FC3" w:rsidRDefault="00000000">
      <w:pPr>
        <w:pStyle w:val="afffff6"/>
        <w:numPr>
          <w:ilvl w:val="3"/>
          <w:numId w:val="21"/>
        </w:numPr>
        <w:spacing w:beforeLines="0" w:before="0" w:afterLines="0" w:after="0"/>
      </w:pPr>
      <w:r>
        <w:t>立法增强供应链韧性：政策的调整，如环境法规和劳动法的变动，对智能汽车的生产和销售产生了影响。企业适应变化，以提升供应链的灵活性是必要的。</w:t>
      </w:r>
    </w:p>
    <w:p w:rsidR="00107FC3" w:rsidRDefault="00000000">
      <w:pPr>
        <w:pStyle w:val="afffff6"/>
        <w:numPr>
          <w:ilvl w:val="3"/>
          <w:numId w:val="21"/>
        </w:numPr>
        <w:spacing w:beforeLines="0" w:before="0" w:afterLines="0" w:after="0"/>
      </w:pPr>
      <w:r>
        <w:t>重视供应链风险管理监测：随着技术复杂性的日益增加，风险管理的重要性也随之提升。各国和企业都在加强监测力度，以确保产业链的稳定。</w:t>
      </w:r>
    </w:p>
    <w:p w:rsidR="00107FC3" w:rsidRDefault="00000000">
      <w:pPr>
        <w:pStyle w:val="afe"/>
        <w:spacing w:before="156" w:after="156"/>
      </w:pPr>
      <w:r>
        <w:t>技术升级推动供应链创新和可持续发展</w:t>
      </w:r>
    </w:p>
    <w:p w:rsidR="00107FC3" w:rsidRDefault="00000000">
      <w:pPr>
        <w:pStyle w:val="afffff6"/>
        <w:spacing w:beforeLines="0" w:before="0" w:afterLines="0" w:after="0"/>
      </w:pPr>
      <w:r>
        <w:t>数字经济中的技术，例如大数据和人工智能，正在提升智能汽车的研发效率，优化生产流程以及供应链管理，从而推动整个行业的创新。</w:t>
      </w:r>
    </w:p>
    <w:p w:rsidR="00107FC3" w:rsidRDefault="00000000">
      <w:pPr>
        <w:pStyle w:val="afffff6"/>
        <w:numPr>
          <w:ilvl w:val="3"/>
          <w:numId w:val="21"/>
        </w:numPr>
        <w:spacing w:beforeLines="0" w:before="0" w:afterLines="0" w:after="0"/>
      </w:pPr>
      <w:r>
        <w:t>新兴的能源技术，包括电池和可再生能源，正驱动着智能汽车及其供应链朝着可持续发展的方向转型。</w:t>
      </w:r>
    </w:p>
    <w:p w:rsidR="00107FC3" w:rsidRDefault="00000000">
      <w:pPr>
        <w:pStyle w:val="afe"/>
        <w:spacing w:before="156" w:after="156"/>
      </w:pPr>
      <w:r>
        <w:t>金融服务确保供应链稳定运行</w:t>
      </w:r>
    </w:p>
    <w:p w:rsidR="00107FC3" w:rsidRDefault="00000000">
      <w:pPr>
        <w:pStyle w:val="afffff6"/>
        <w:spacing w:beforeLines="0" w:before="0" w:afterLines="0" w:after="0"/>
      </w:pPr>
      <w:r>
        <w:t>智能汽车供应链技术与金融支持：智能汽车供应链特征包括高研发密度和技术快速迭代。国际金融服务通过技术并购基金和车规级芯片保险等工具，支持全球技术合作，确保车核心部件供应稳定。</w:t>
      </w:r>
    </w:p>
    <w:p w:rsidR="00107FC3" w:rsidRDefault="00000000">
      <w:pPr>
        <w:pStyle w:val="afffff6"/>
        <w:spacing w:beforeLines="0" w:before="0" w:afterLines="0" w:after="0"/>
      </w:pPr>
      <w:r>
        <w:t>政策性金融推动智能链生态重塑：政府利用专项债券和数据安全补贴等政策工具，建立供应链体系。结合区块链电池溯源系统，追踪供应链碳足迹，重塑智能汽车产业生态。</w:t>
      </w:r>
    </w:p>
    <w:p w:rsidR="00107FC3" w:rsidRDefault="00107FC3">
      <w:pPr>
        <w:pStyle w:val="affc"/>
        <w:ind w:firstLine="420"/>
        <w:rPr>
          <w:rFonts w:hint="default"/>
        </w:rPr>
      </w:pPr>
    </w:p>
    <w:p w:rsidR="00107FC3" w:rsidRDefault="00000000">
      <w:pPr>
        <w:rPr>
          <w:rFonts w:hint="default"/>
        </w:rPr>
      </w:pPr>
      <w:r>
        <w:br w:type="page"/>
      </w:r>
    </w:p>
    <w:p w:rsidR="00107FC3" w:rsidRDefault="00107FC3">
      <w:pPr>
        <w:pStyle w:val="a5"/>
        <w:ind w:firstLine="40"/>
        <w:rPr>
          <w:rFonts w:hint="default"/>
        </w:rPr>
      </w:pPr>
    </w:p>
    <w:p w:rsidR="00107FC3" w:rsidRDefault="00107FC3">
      <w:pPr>
        <w:pStyle w:val="a7"/>
        <w:ind w:firstLine="40"/>
        <w:rPr>
          <w:rFonts w:hint="default"/>
        </w:rPr>
      </w:pPr>
    </w:p>
    <w:p w:rsidR="00107FC3" w:rsidRDefault="00000000">
      <w:pPr>
        <w:pStyle w:val="afc"/>
        <w:spacing w:before="78" w:after="156"/>
      </w:pPr>
      <w:bookmarkStart w:id="458" w:name="_Toc26329"/>
      <w:bookmarkStart w:id="459" w:name="_Toc25729"/>
      <w:bookmarkStart w:id="460" w:name="_Toc22417"/>
      <w:bookmarkStart w:id="461" w:name="_Toc2392"/>
      <w:bookmarkStart w:id="462" w:name="_Toc9626"/>
      <w:r>
        <w:br/>
        <w:t>（资料性）</w:t>
      </w:r>
      <w:r>
        <w:br/>
        <w:t>基于数字科技链供应链合作</w:t>
      </w:r>
      <w:bookmarkEnd w:id="458"/>
      <w:bookmarkEnd w:id="459"/>
      <w:bookmarkEnd w:id="460"/>
      <w:bookmarkEnd w:id="461"/>
      <w:bookmarkEnd w:id="462"/>
    </w:p>
    <w:p w:rsidR="00107FC3" w:rsidRDefault="00000000">
      <w:pPr>
        <w:pStyle w:val="afd"/>
        <w:spacing w:before="156" w:after="156"/>
      </w:pPr>
      <w:r>
        <w:t>数字科技链合作</w:t>
      </w:r>
    </w:p>
    <w:p w:rsidR="00107FC3" w:rsidRDefault="00000000">
      <w:pPr>
        <w:pStyle w:val="afe"/>
        <w:spacing w:before="156" w:after="156"/>
      </w:pPr>
      <w:r>
        <w:t>数据安全与合规性</w:t>
      </w:r>
    </w:p>
    <w:p w:rsidR="00107FC3" w:rsidRDefault="00000000">
      <w:pPr>
        <w:pStyle w:val="afffff6"/>
        <w:spacing w:beforeLines="0" w:before="0" w:afterLines="0" w:after="0"/>
      </w:pPr>
      <w:r>
        <w:t>企业宜构建数据保护体系，运用加密技术，定期进行安全审计和风险评估，防止数据泄露和非法访问。严格遵守数据保护法规，确保数据处理合法透明。</w:t>
      </w:r>
    </w:p>
    <w:p w:rsidR="00107FC3" w:rsidRDefault="00000000">
      <w:pPr>
        <w:pStyle w:val="afffff6"/>
        <w:spacing w:beforeLines="0" w:before="0" w:afterLines="0" w:after="0"/>
      </w:pPr>
      <w:r>
        <w:t>建立数据跨境合规体系，符合国际法规，避免法律风险是必要的。</w:t>
      </w:r>
    </w:p>
    <w:p w:rsidR="00107FC3" w:rsidRDefault="00000000">
      <w:pPr>
        <w:pStyle w:val="afffff6"/>
        <w:spacing w:beforeLines="0" w:before="0" w:afterLines="0" w:after="0"/>
      </w:pPr>
      <w:r>
        <w:t>加强员工数据安全培训，预防数据安全隐患是关键。</w:t>
      </w:r>
    </w:p>
    <w:p w:rsidR="00107FC3" w:rsidRDefault="00000000">
      <w:pPr>
        <w:pStyle w:val="afe"/>
        <w:spacing w:before="156" w:after="156"/>
      </w:pPr>
      <w:r>
        <w:t>技术标准化</w:t>
      </w:r>
    </w:p>
    <w:p w:rsidR="00107FC3" w:rsidRDefault="00000000">
      <w:pPr>
        <w:pStyle w:val="afffff6"/>
        <w:spacing w:beforeLines="0" w:before="0" w:afterLines="0" w:after="0"/>
      </w:pPr>
      <w:r>
        <w:t>企业宜合作参与标准制定，推广开源协议和共享数据格式，促进系统互操作性，提升技术创新和市场竞争力。</w:t>
      </w:r>
    </w:p>
    <w:p w:rsidR="00107FC3" w:rsidRDefault="00000000">
      <w:pPr>
        <w:pStyle w:val="afffff6"/>
        <w:spacing w:beforeLines="0" w:before="0" w:afterLines="0" w:after="0"/>
      </w:pPr>
      <w:r>
        <w:t>宜通过技术标准化降低整合成本，提升产业链效率。参与国际标准制定，增强全球影响力。建立统一数据接口和通信协议，实现设备系统无缝连接，提升用户体验。</w:t>
      </w:r>
    </w:p>
    <w:p w:rsidR="00107FC3" w:rsidRDefault="00000000">
      <w:pPr>
        <w:pStyle w:val="afe"/>
        <w:spacing w:before="156" w:after="156"/>
      </w:pPr>
      <w:r>
        <w:t>全球市场接入</w:t>
      </w:r>
    </w:p>
    <w:p w:rsidR="00107FC3" w:rsidRDefault="00000000">
      <w:pPr>
        <w:pStyle w:val="afffff6"/>
        <w:spacing w:beforeLines="0" w:before="0" w:afterLines="0" w:after="0"/>
      </w:pPr>
      <w:r>
        <w:t>数字科技链企业开发具有全球吸引力的产品，同时考虑本地化需求，确保顺利进军全球市场是必要的。</w:t>
      </w:r>
    </w:p>
    <w:p w:rsidR="00107FC3" w:rsidRDefault="00000000">
      <w:pPr>
        <w:pStyle w:val="afffff6"/>
        <w:spacing w:beforeLines="0" w:before="0" w:afterLines="0" w:after="0"/>
      </w:pPr>
      <w:r>
        <w:t>构建高效全球分销和物流网络，支持产品全球销售和分发是关键。</w:t>
      </w:r>
    </w:p>
    <w:p w:rsidR="00107FC3" w:rsidRDefault="00000000">
      <w:pPr>
        <w:pStyle w:val="afffff6"/>
        <w:spacing w:beforeLines="0" w:before="0" w:afterLines="0" w:after="0"/>
      </w:pPr>
      <w:r>
        <w:t>深入了解市场差异，适应本地市场，提升品牌知名度和市场份额是关键。</w:t>
      </w:r>
    </w:p>
    <w:p w:rsidR="00107FC3" w:rsidRDefault="00000000">
      <w:pPr>
        <w:pStyle w:val="afffff6"/>
        <w:spacing w:beforeLines="0" w:before="0" w:afterLines="0" w:after="0"/>
      </w:pPr>
      <w:r>
        <w:t>建立多语言客服团队，提供及时专业售后服务，增强客户满意度和忠诚度是必要的。</w:t>
      </w:r>
    </w:p>
    <w:p w:rsidR="00107FC3" w:rsidRDefault="00000000">
      <w:pPr>
        <w:pStyle w:val="afd"/>
        <w:spacing w:before="156" w:after="156"/>
      </w:pPr>
      <w:r>
        <w:t>基于供应链合作</w:t>
      </w:r>
    </w:p>
    <w:p w:rsidR="00107FC3" w:rsidRDefault="00000000">
      <w:pPr>
        <w:pStyle w:val="afe"/>
        <w:spacing w:before="156" w:after="156"/>
      </w:pPr>
      <w:r>
        <w:t>基础设施联通确保供应链有效链接</w:t>
      </w:r>
    </w:p>
    <w:p w:rsidR="00107FC3" w:rsidRDefault="00000000">
      <w:pPr>
        <w:pStyle w:val="afffff6"/>
        <w:spacing w:beforeLines="0" w:before="0" w:afterLines="0" w:after="0"/>
      </w:pPr>
      <w:r>
        <w:t>通过物流基础设施智能化提升运输效率，降低成本。自动化仓储和智能配送网络快速响应市场需求，确保商品及时到达。</w:t>
      </w:r>
    </w:p>
    <w:p w:rsidR="00107FC3" w:rsidRDefault="00000000">
      <w:pPr>
        <w:pStyle w:val="afffff6"/>
        <w:spacing w:beforeLines="0" w:before="0" w:afterLines="0" w:after="0"/>
      </w:pPr>
      <w:r>
        <w:t>通信技术发展，特别是5G，提高信息传输效率，促进信息共享与数据分析，助力企业做出准确决策，实现供应链提质升级。</w:t>
      </w:r>
    </w:p>
    <w:p w:rsidR="00107FC3" w:rsidRDefault="00000000">
      <w:pPr>
        <w:pStyle w:val="afffff6"/>
        <w:spacing w:beforeLines="0" w:before="0" w:afterLines="0" w:after="0"/>
      </w:pPr>
      <w:r>
        <w:t>通过数字金融技术简化跨境支付，降低交易成本。金融科技公司提供的服务便利中小企业获取资金，推动供应链高效运作。</w:t>
      </w:r>
    </w:p>
    <w:p w:rsidR="00107FC3" w:rsidRDefault="00000000">
      <w:pPr>
        <w:pStyle w:val="afe"/>
        <w:spacing w:before="156" w:after="156"/>
      </w:pPr>
      <w:r>
        <w:t>多双边规则促进全球供应链发展</w:t>
      </w:r>
    </w:p>
    <w:p w:rsidR="00107FC3" w:rsidRDefault="00000000">
      <w:pPr>
        <w:pStyle w:val="afffff6"/>
        <w:spacing w:beforeLines="0" w:before="0" w:afterLines="0" w:after="0"/>
      </w:pPr>
      <w:r>
        <w:t>WTO新议题助力供应链布局：WTO积极应对供应链新挑战，推动成员国在数字贸易、电子商务等领域达成共识，为跨国合作和政策协调提供框架。</w:t>
      </w:r>
    </w:p>
    <w:p w:rsidR="00107FC3" w:rsidRDefault="00000000">
      <w:pPr>
        <w:pStyle w:val="afffff6"/>
        <w:spacing w:beforeLines="0" w:before="0" w:afterLines="0" w:after="0"/>
        <w:rPr>
          <w:rFonts w:ascii="Times New Roman" w:hAnsi="Times New Roman" w:cs="Times New Roman" w:hint="default"/>
        </w:rPr>
      </w:pPr>
      <w:r>
        <w:lastRenderedPageBreak/>
        <w:t>RTAs拓宽供应链合作：区域贸易协定（RTAs）发展促进供应链合作，减少贸易壁垒、简化海关程序，提高资源配置效率，推动共同发展。</w:t>
      </w:r>
    </w:p>
    <w:p w:rsidR="00107FC3" w:rsidRDefault="00000000">
      <w:pPr>
        <w:pStyle w:val="afe"/>
        <w:spacing w:before="156" w:after="156"/>
      </w:pPr>
      <w:r>
        <w:t>主要经济体政策影响供应链布局与监管</w:t>
      </w:r>
    </w:p>
    <w:p w:rsidR="00107FC3" w:rsidRDefault="00000000">
      <w:pPr>
        <w:pStyle w:val="afffff6"/>
        <w:spacing w:beforeLines="0" w:before="0" w:afterLines="0" w:after="0"/>
      </w:pPr>
      <w:r>
        <w:t>立法增强供应链韧性：各国通过立法增强供应链韧性，如疫情期间出台政策保障供应链稳定，提升抗风险能力。</w:t>
      </w:r>
    </w:p>
    <w:p w:rsidR="00107FC3" w:rsidRDefault="00000000">
      <w:pPr>
        <w:pStyle w:val="afffff6"/>
        <w:spacing w:beforeLines="0" w:before="0" w:afterLines="0" w:after="0"/>
      </w:pPr>
      <w:r>
        <w:t>加强供应链风险管理：主要经济体重视供应链风险管理，建立预警机制。</w:t>
      </w:r>
    </w:p>
    <w:p w:rsidR="00107FC3" w:rsidRDefault="00000000">
      <w:pPr>
        <w:pStyle w:val="afe"/>
        <w:spacing w:before="156" w:after="156"/>
      </w:pPr>
      <w:r>
        <w:t>技术升级推动供应链创新与可持续发展</w:t>
      </w:r>
    </w:p>
    <w:p w:rsidR="00107FC3" w:rsidRDefault="00000000">
      <w:pPr>
        <w:pStyle w:val="afffff6"/>
        <w:spacing w:beforeLines="0" w:before="0" w:afterLines="0" w:after="0"/>
      </w:pPr>
      <w:r>
        <w:t>数字经济技术提升供应链透明度和响应速度，区块链技术增强信息安全性，数字平台促进多方协同作业，提升创新能力。</w:t>
      </w:r>
    </w:p>
    <w:p w:rsidR="00107FC3" w:rsidRDefault="00000000">
      <w:pPr>
        <w:pStyle w:val="afffff6"/>
        <w:spacing w:beforeLines="0" w:before="0" w:afterLines="0" w:after="0"/>
      </w:pPr>
      <w:r>
        <w:t>新兴能源技术降低供应链环境影响，提高能源利用效率，推动循环经济，实现供应链数字转型。</w:t>
      </w:r>
    </w:p>
    <w:p w:rsidR="00107FC3" w:rsidRDefault="00000000">
      <w:pPr>
        <w:pStyle w:val="afe"/>
        <w:spacing w:before="156" w:after="156"/>
      </w:pPr>
      <w:r>
        <w:t>金融服务保障供应链稳定运转</w:t>
      </w:r>
    </w:p>
    <w:p w:rsidR="00107FC3" w:rsidRDefault="00000000">
      <w:pPr>
        <w:pStyle w:val="afffff6"/>
        <w:spacing w:beforeLines="0" w:before="0" w:afterLines="0" w:after="0"/>
      </w:pPr>
      <w:r>
        <w:t>数字科技优化国际金融供应链：通过金融服务融合区块链、物联网、大数据等技术，创建智能融资体系。利用数字贸易凭证系统减少融资成本，AI技术降低交易欺诈风险，数字孪生技术提升交付准时率。</w:t>
      </w:r>
    </w:p>
    <w:p w:rsidR="00107FC3" w:rsidRDefault="00000000">
      <w:pPr>
        <w:pStyle w:val="afffff6"/>
        <w:spacing w:beforeLines="0" w:before="0" w:afterLines="0" w:after="0"/>
      </w:pPr>
      <w:r>
        <w:t>政策性金融推动科技链生态发展：通过产业云平台、AI研发系统等支持关键行业。实现产业链数据共享，智能补贴系统促进数字化改造，提高工业互联网渗透率，降低中小企业融资成本。</w:t>
      </w:r>
    </w:p>
    <w:p w:rsidR="00107FC3" w:rsidRDefault="00107FC3">
      <w:pPr>
        <w:pStyle w:val="affc"/>
        <w:ind w:firstLine="420"/>
        <w:rPr>
          <w:rFonts w:hint="default"/>
        </w:rPr>
      </w:pPr>
    </w:p>
    <w:p w:rsidR="00107FC3" w:rsidRDefault="00107FC3">
      <w:pPr>
        <w:pStyle w:val="affc"/>
        <w:ind w:firstLine="420"/>
        <w:rPr>
          <w:rFonts w:hint="default"/>
        </w:rPr>
      </w:pPr>
    </w:p>
    <w:p w:rsidR="00107FC3" w:rsidRDefault="00107FC3">
      <w:pPr>
        <w:pStyle w:val="affc"/>
        <w:ind w:firstLine="420"/>
        <w:rPr>
          <w:rFonts w:hint="default"/>
        </w:rPr>
      </w:pPr>
    </w:p>
    <w:p w:rsidR="00107FC3" w:rsidRDefault="00107FC3">
      <w:pPr>
        <w:pStyle w:val="affc"/>
        <w:ind w:firstLine="420"/>
        <w:rPr>
          <w:rFonts w:hint="default"/>
        </w:rPr>
      </w:pPr>
    </w:p>
    <w:p w:rsidR="00107FC3" w:rsidRDefault="00107FC3">
      <w:pPr>
        <w:pStyle w:val="affc"/>
        <w:ind w:firstLine="420"/>
        <w:rPr>
          <w:rFonts w:hint="default"/>
        </w:rPr>
      </w:pPr>
    </w:p>
    <w:p w:rsidR="00107FC3" w:rsidRDefault="00107FC3">
      <w:pPr>
        <w:pStyle w:val="affc"/>
        <w:ind w:firstLine="420"/>
        <w:rPr>
          <w:rFonts w:hint="default"/>
        </w:rPr>
      </w:pPr>
    </w:p>
    <w:p w:rsidR="00107FC3" w:rsidRDefault="00107FC3">
      <w:pPr>
        <w:pStyle w:val="affc"/>
        <w:ind w:firstLine="420"/>
        <w:rPr>
          <w:rFonts w:hint="default"/>
        </w:rPr>
      </w:pPr>
    </w:p>
    <w:p w:rsidR="00107FC3" w:rsidRDefault="00107FC3">
      <w:pPr>
        <w:pStyle w:val="affc"/>
        <w:ind w:firstLine="420"/>
        <w:rPr>
          <w:rFonts w:hint="default"/>
        </w:rPr>
      </w:pPr>
    </w:p>
    <w:p w:rsidR="00107FC3" w:rsidRDefault="00107FC3">
      <w:pPr>
        <w:pStyle w:val="affc"/>
        <w:ind w:firstLine="420"/>
        <w:rPr>
          <w:rFonts w:hint="default"/>
        </w:rPr>
      </w:pPr>
    </w:p>
    <w:p w:rsidR="00107FC3" w:rsidRDefault="00107FC3">
      <w:pPr>
        <w:pStyle w:val="affc"/>
        <w:ind w:firstLine="420"/>
        <w:rPr>
          <w:rFonts w:hint="default"/>
        </w:rPr>
      </w:pPr>
    </w:p>
    <w:p w:rsidR="00107FC3" w:rsidRDefault="00107FC3">
      <w:pPr>
        <w:pStyle w:val="affc"/>
        <w:ind w:firstLine="420"/>
        <w:rPr>
          <w:rFonts w:hint="default"/>
        </w:rPr>
      </w:pPr>
    </w:p>
    <w:p w:rsidR="00107FC3" w:rsidRDefault="00107FC3">
      <w:pPr>
        <w:rPr>
          <w:rFonts w:hint="default"/>
        </w:rPr>
      </w:pPr>
    </w:p>
    <w:p w:rsidR="00107FC3" w:rsidRDefault="00107FC3">
      <w:pPr>
        <w:rPr>
          <w:rFonts w:hint="default"/>
        </w:rPr>
      </w:pPr>
    </w:p>
    <w:p w:rsidR="00107FC3" w:rsidRDefault="00107FC3">
      <w:pPr>
        <w:rPr>
          <w:rFonts w:hint="default"/>
        </w:rPr>
      </w:pPr>
    </w:p>
    <w:p w:rsidR="00107FC3" w:rsidRDefault="00107FC3">
      <w:pPr>
        <w:rPr>
          <w:rFonts w:hint="default"/>
        </w:rPr>
      </w:pPr>
    </w:p>
    <w:p w:rsidR="00107FC3" w:rsidRDefault="00107FC3">
      <w:pPr>
        <w:rPr>
          <w:rFonts w:hint="default"/>
        </w:rPr>
      </w:pPr>
    </w:p>
    <w:p w:rsidR="00107FC3" w:rsidRDefault="00107FC3">
      <w:pPr>
        <w:rPr>
          <w:rFonts w:hint="default"/>
        </w:rPr>
      </w:pPr>
    </w:p>
    <w:p w:rsidR="00107FC3" w:rsidRDefault="00107FC3">
      <w:pPr>
        <w:rPr>
          <w:rFonts w:hint="default"/>
        </w:rPr>
      </w:pPr>
    </w:p>
    <w:p w:rsidR="00107FC3" w:rsidRDefault="00107FC3">
      <w:pPr>
        <w:rPr>
          <w:rFonts w:hint="default"/>
        </w:rPr>
      </w:pPr>
    </w:p>
    <w:p w:rsidR="00107FC3" w:rsidRDefault="00107FC3">
      <w:pPr>
        <w:pStyle w:val="a5"/>
        <w:ind w:firstLine="40"/>
        <w:rPr>
          <w:rFonts w:hint="default"/>
        </w:rPr>
      </w:pPr>
    </w:p>
    <w:p w:rsidR="00107FC3" w:rsidRDefault="00107FC3">
      <w:pPr>
        <w:pStyle w:val="a7"/>
        <w:ind w:firstLine="40"/>
        <w:rPr>
          <w:rFonts w:hint="default"/>
        </w:rPr>
      </w:pPr>
    </w:p>
    <w:p w:rsidR="00107FC3" w:rsidRDefault="00000000">
      <w:pPr>
        <w:pStyle w:val="afc"/>
        <w:spacing w:before="78" w:after="156"/>
      </w:pPr>
      <w:bookmarkStart w:id="463" w:name="_Toc22756"/>
      <w:bookmarkStart w:id="464" w:name="_Toc21994"/>
      <w:bookmarkStart w:id="465" w:name="_Toc20763"/>
      <w:bookmarkStart w:id="466" w:name="_Toc20381"/>
      <w:bookmarkStart w:id="467" w:name="_Toc32760"/>
      <w:r>
        <w:lastRenderedPageBreak/>
        <w:br/>
        <w:t>（资料性）</w:t>
      </w:r>
      <w:r>
        <w:br/>
        <w:t>基于健康生活链供应链合作</w:t>
      </w:r>
      <w:bookmarkEnd w:id="463"/>
      <w:bookmarkEnd w:id="464"/>
      <w:bookmarkEnd w:id="465"/>
      <w:bookmarkEnd w:id="466"/>
      <w:bookmarkEnd w:id="467"/>
    </w:p>
    <w:p w:rsidR="00107FC3" w:rsidRDefault="00000000">
      <w:pPr>
        <w:pStyle w:val="afd"/>
        <w:spacing w:before="156" w:after="156"/>
      </w:pPr>
      <w:r>
        <w:t>健康生活链合作</w:t>
      </w:r>
    </w:p>
    <w:p w:rsidR="00107FC3" w:rsidRDefault="00000000">
      <w:pPr>
        <w:pStyle w:val="afe"/>
        <w:spacing w:before="156" w:after="156"/>
      </w:pPr>
      <w:r>
        <w:t>产品质量与安全</w:t>
      </w:r>
    </w:p>
    <w:p w:rsidR="00107FC3" w:rsidRDefault="00000000">
      <w:pPr>
        <w:pStyle w:val="afffff6"/>
        <w:spacing w:beforeLines="0" w:before="0" w:afterLines="0" w:after="0"/>
      </w:pPr>
      <w:r>
        <w:t>健康生活链企业恪守行业规范，对原材料及成品进行严格监控和测试。</w:t>
      </w:r>
    </w:p>
    <w:p w:rsidR="00107FC3" w:rsidRDefault="00000000">
      <w:pPr>
        <w:pStyle w:val="afffff6"/>
        <w:spacing w:beforeLines="0" w:before="0" w:afterLines="0" w:after="0"/>
      </w:pPr>
      <w:r>
        <w:t>通过持续的质量改进和风险管理，构建透明的供应链追溯系统，能够迅速解决各类问题，并共享质量数据。</w:t>
      </w:r>
    </w:p>
    <w:p w:rsidR="00107FC3" w:rsidRDefault="00000000">
      <w:pPr>
        <w:pStyle w:val="afffff6"/>
        <w:spacing w:beforeLines="0" w:before="0" w:afterLines="0" w:after="0"/>
      </w:pPr>
      <w:r>
        <w:t>企业定期进行审核与员工培训，确保供应链的质量管理是其核心所在。</w:t>
      </w:r>
    </w:p>
    <w:p w:rsidR="00107FC3" w:rsidRDefault="00000000">
      <w:pPr>
        <w:pStyle w:val="afe"/>
        <w:spacing w:before="156" w:after="156"/>
      </w:pPr>
      <w:r>
        <w:t>消费者健康数据保护</w:t>
      </w:r>
    </w:p>
    <w:p w:rsidR="00107FC3" w:rsidRDefault="00000000">
      <w:pPr>
        <w:pStyle w:val="afffff6"/>
        <w:spacing w:beforeLines="0" w:before="0" w:afterLines="0" w:after="0"/>
      </w:pPr>
      <w:r>
        <w:t>健康生活链企业致力于管理产品开发、销售和使用过程中的健康数据。</w:t>
      </w:r>
    </w:p>
    <w:p w:rsidR="00107FC3" w:rsidRDefault="00000000">
      <w:pPr>
        <w:pStyle w:val="afffff6"/>
        <w:spacing w:beforeLines="0" w:before="0" w:afterLines="0" w:after="0"/>
      </w:pPr>
      <w:r>
        <w:t>通过实施数据加密和安全措施，签订保密协议，明确各方责任和义务，以强化数据保护。</w:t>
      </w:r>
    </w:p>
    <w:p w:rsidR="00107FC3" w:rsidRDefault="00000000">
      <w:pPr>
        <w:pStyle w:val="afffff6"/>
        <w:spacing w:beforeLines="0" w:before="0" w:afterLines="0" w:after="0"/>
      </w:pPr>
      <w:r>
        <w:t>定期进行数据安全审计和风险评估，及时应对安全风险，确保消费者数据的安全性是至关重要的。</w:t>
      </w:r>
    </w:p>
    <w:p w:rsidR="00107FC3" w:rsidRDefault="00000000">
      <w:pPr>
        <w:pStyle w:val="afe"/>
        <w:spacing w:before="156" w:after="156"/>
      </w:pPr>
      <w:r>
        <w:t>可持续生产</w:t>
      </w:r>
    </w:p>
    <w:p w:rsidR="00107FC3" w:rsidRDefault="00000000">
      <w:pPr>
        <w:pStyle w:val="afffff6"/>
        <w:spacing w:beforeLines="0" w:before="0" w:afterLines="0" w:after="0"/>
      </w:pPr>
      <w:r>
        <w:t>健康生活链企业通过使用可再生资源，采用环保材料和方法，减少废物和包装材料使用，寻求循环经济解决方案是必要的。</w:t>
      </w:r>
    </w:p>
    <w:p w:rsidR="00107FC3" w:rsidRDefault="00000000">
      <w:pPr>
        <w:pStyle w:val="afffff6"/>
        <w:spacing w:beforeLines="0" w:before="0" w:afterLines="0" w:after="0"/>
      </w:pPr>
      <w:r>
        <w:t>健康生活链企业宜参与绿色认证和标准制定，提升产品竞争力。改进生产工艺，引入环保技术与设备，实现高效环保生产，促进可持续发展。</w:t>
      </w:r>
    </w:p>
    <w:p w:rsidR="00107FC3" w:rsidRDefault="00000000">
      <w:pPr>
        <w:pStyle w:val="afffff6"/>
        <w:spacing w:beforeLines="0" w:before="0" w:afterLines="0" w:after="0"/>
      </w:pPr>
      <w:r>
        <w:t>加强员工环保意识培训，鼓励参与环保活动，营造绿色工作环境。</w:t>
      </w:r>
    </w:p>
    <w:p w:rsidR="00107FC3" w:rsidRDefault="00000000">
      <w:pPr>
        <w:pStyle w:val="afe"/>
        <w:spacing w:before="156" w:after="156"/>
      </w:pPr>
      <w:r>
        <w:t>健康教育与推广</w:t>
      </w:r>
    </w:p>
    <w:p w:rsidR="00107FC3" w:rsidRDefault="00000000">
      <w:pPr>
        <w:pStyle w:val="afffff6"/>
        <w:spacing w:beforeLines="0" w:before="0" w:afterLines="0" w:after="0"/>
      </w:pPr>
      <w:r>
        <w:t>健康生活链企业宜利用社交媒体和网络平台传播健康知识，与专家、教育机构和社区组织合作，开展健康教育活动，强调产品健康益处，提供科学使用指导。</w:t>
      </w:r>
    </w:p>
    <w:p w:rsidR="00107FC3" w:rsidRDefault="00000000">
      <w:pPr>
        <w:pStyle w:val="afffff6"/>
        <w:spacing w:beforeLines="0" w:before="0" w:afterLines="0" w:after="0"/>
      </w:pPr>
      <w:r>
        <w:t>健康生活链企业宜提供健康咨询热线或在线平台，解答消费者关于产品使用、健康知识和数据保护的问题，确保消费者安全有效使用健康产品，享受健康生活。</w:t>
      </w:r>
    </w:p>
    <w:p w:rsidR="00107FC3" w:rsidRDefault="00000000">
      <w:pPr>
        <w:pStyle w:val="afd"/>
        <w:spacing w:before="156" w:after="156"/>
      </w:pPr>
      <w:r>
        <w:t>基于供应链合作基础</w:t>
      </w:r>
    </w:p>
    <w:p w:rsidR="00107FC3" w:rsidRDefault="00000000">
      <w:pPr>
        <w:pStyle w:val="afe"/>
        <w:spacing w:before="156" w:after="156"/>
      </w:pPr>
      <w:r>
        <w:t>基础设施确保供应链全球联通</w:t>
      </w:r>
    </w:p>
    <w:p w:rsidR="00107FC3" w:rsidRDefault="00000000">
      <w:pPr>
        <w:pStyle w:val="afffff6"/>
        <w:spacing w:beforeLines="0" w:before="0" w:afterLines="0" w:after="0"/>
      </w:pPr>
      <w:r>
        <w:t>物流基础设施保障供应链顺畅：高效的物流网络和运输系统对健康生活链供应链顺畅至关重要。现代化的港口、机场、铁路和公路网络提升运输效率，减少延误，确保货物及时到达。</w:t>
      </w:r>
    </w:p>
    <w:p w:rsidR="00107FC3" w:rsidRDefault="00000000">
      <w:pPr>
        <w:pStyle w:val="afffff6"/>
        <w:spacing w:beforeLines="0" w:before="0" w:afterLines="0" w:after="0"/>
      </w:pPr>
      <w:r>
        <w:t>通信基础设施推动供应链提质升级：信息技术和通信基础设施的发展使实时数据交换成为现实，上下游企业能快速响应健康生活链市场需求和供应链变化，提升决策精准度和效率。</w:t>
      </w:r>
    </w:p>
    <w:p w:rsidR="00107FC3" w:rsidRDefault="00000000">
      <w:pPr>
        <w:pStyle w:val="afffff6"/>
        <w:spacing w:beforeLines="0" w:before="0" w:afterLines="0" w:after="0"/>
      </w:pPr>
      <w:r>
        <w:lastRenderedPageBreak/>
        <w:t>金融基础设施便利供应链金融服务：健全的金融体系为供应链提供资金支持和风险管理工具，确保健康生活链企业在不同经济环境中获取融资，维持运营。</w:t>
      </w:r>
    </w:p>
    <w:p w:rsidR="00107FC3" w:rsidRDefault="00000000">
      <w:pPr>
        <w:pStyle w:val="afe"/>
        <w:spacing w:before="156" w:after="156"/>
      </w:pPr>
      <w:r>
        <w:t>多双边规则助力全球供应链发展</w:t>
      </w:r>
    </w:p>
    <w:p w:rsidR="00107FC3" w:rsidRDefault="00000000">
      <w:pPr>
        <w:pStyle w:val="afffff6"/>
        <w:spacing w:beforeLines="0" w:before="0" w:afterLines="0" w:after="0"/>
      </w:pPr>
      <w:r>
        <w:t>WTO新议题促进供应链布局：世界贸易组织通过适应供应链发展，提供新议题讨论和政策制定，推动全球贸易便利化和数字化转型。</w:t>
      </w:r>
    </w:p>
    <w:p w:rsidR="00107FC3" w:rsidRDefault="00000000">
      <w:pPr>
        <w:pStyle w:val="afffff6"/>
        <w:spacing w:beforeLines="0" w:before="0" w:afterLines="0" w:after="0"/>
      </w:pPr>
      <w:r>
        <w:t>RTAs新规则扩展供应链合作：通过区域贸易协定为参与国提供灵活的贸易规则，促进区域供应链合作与投资，拓宽全球供应链合作领域。</w:t>
      </w:r>
    </w:p>
    <w:p w:rsidR="00107FC3" w:rsidRDefault="00000000">
      <w:pPr>
        <w:pStyle w:val="afe"/>
        <w:spacing w:before="156" w:after="156"/>
      </w:pPr>
      <w:r>
        <w:t>主要经济体政策影响全球供应链布局与监管</w:t>
      </w:r>
    </w:p>
    <w:p w:rsidR="00107FC3" w:rsidRDefault="00000000">
      <w:pPr>
        <w:pStyle w:val="afffff6"/>
        <w:spacing w:beforeLines="0" w:before="0" w:afterLines="0" w:after="0"/>
      </w:pPr>
      <w:r>
        <w:t>立法提升供应链韧性：主要经济体宜通过应急预案和管理标准立法，增强健康生活链供应链应对风险和危机的能力。</w:t>
      </w:r>
    </w:p>
    <w:p w:rsidR="00107FC3" w:rsidRDefault="00000000">
      <w:pPr>
        <w:pStyle w:val="afffff6"/>
        <w:spacing w:beforeLines="0" w:before="0" w:afterLines="0" w:after="0"/>
      </w:pPr>
      <w:r>
        <w:t>强化供应链风险管理：政府和健康生活链企业宜建立监测机制，及时识别和应对自然灾害、政治不稳定等供应链风险。</w:t>
      </w:r>
    </w:p>
    <w:p w:rsidR="00107FC3" w:rsidRDefault="00000000">
      <w:pPr>
        <w:pStyle w:val="afe"/>
        <w:spacing w:before="156" w:after="156"/>
      </w:pPr>
      <w:r>
        <w:t>技术升级推动供应链创新与可持续发展</w:t>
      </w:r>
    </w:p>
    <w:p w:rsidR="00107FC3" w:rsidRDefault="00000000">
      <w:pPr>
        <w:pStyle w:val="afffff6"/>
        <w:spacing w:beforeLines="0" w:before="0" w:afterLines="0" w:after="0"/>
      </w:pPr>
      <w:r>
        <w:t>数字经济技术提升供应链创新：通过数字化转型，促进健康生活链企业利用大数据、AI和区块链等技术改善供应链管理，提高透明度和效率，增强竞争力。</w:t>
      </w:r>
    </w:p>
    <w:p w:rsidR="00107FC3" w:rsidRDefault="00000000">
      <w:pPr>
        <w:pStyle w:val="afffff6"/>
        <w:spacing w:beforeLines="0" w:before="0" w:afterLines="0" w:after="0"/>
      </w:pPr>
      <w:r>
        <w:t>新兴能源技术促进供应链可持续性：采用可再生能源和绿色技术，降低运营碳足迹，助力健康生活链企业可持续发展目标。</w:t>
      </w:r>
    </w:p>
    <w:p w:rsidR="00107FC3" w:rsidRDefault="00000000">
      <w:pPr>
        <w:pStyle w:val="afe"/>
        <w:spacing w:before="156" w:after="156"/>
      </w:pPr>
      <w:r>
        <w:t>金融服务促进健康生活链发展</w:t>
      </w:r>
    </w:p>
    <w:p w:rsidR="00107FC3" w:rsidRDefault="00000000">
      <w:pPr>
        <w:pStyle w:val="afffff6"/>
        <w:spacing w:beforeLines="0" w:before="0" w:afterLines="0" w:after="0"/>
      </w:pPr>
      <w:r>
        <w:t>健康生活链的核心特色与金融服务支持：健康生活链以医疗和健康食品为基础，强调质量追溯和精准供需。国际金融服务通过跨境医疗供应链融资和应急保险等提高交付效率；政策性金融通过绿色贷款和普惠补贴支持中小企业产能提升。</w:t>
      </w:r>
    </w:p>
    <w:p w:rsidR="00107FC3" w:rsidRDefault="00000000">
      <w:pPr>
        <w:pStyle w:val="afffff6"/>
        <w:spacing w:beforeLines="0" w:before="0" w:afterLines="0" w:after="0"/>
      </w:pPr>
      <w:r>
        <w:t>健康生活链供应链金融创新：宜通过医疗数据资产化处理和前置核查，结合数字风控技术，建立合规风险评估体系，发展冷链物流金融服务。</w:t>
      </w:r>
    </w:p>
    <w:p w:rsidR="00107FC3" w:rsidRDefault="00107FC3">
      <w:pPr>
        <w:pStyle w:val="affc"/>
        <w:ind w:firstLine="420"/>
        <w:rPr>
          <w:rFonts w:hint="default"/>
        </w:rPr>
      </w:pPr>
    </w:p>
    <w:p w:rsidR="00107FC3" w:rsidRDefault="00000000">
      <w:pPr>
        <w:rPr>
          <w:rFonts w:hint="default"/>
        </w:rPr>
      </w:pPr>
      <w:r>
        <w:br w:type="page"/>
      </w:r>
    </w:p>
    <w:p w:rsidR="00107FC3" w:rsidRDefault="00107FC3">
      <w:pPr>
        <w:pStyle w:val="a5"/>
        <w:ind w:firstLine="40"/>
        <w:rPr>
          <w:rFonts w:hint="default"/>
        </w:rPr>
      </w:pPr>
    </w:p>
    <w:p w:rsidR="00107FC3" w:rsidRDefault="00107FC3">
      <w:pPr>
        <w:pStyle w:val="a7"/>
        <w:ind w:firstLine="40"/>
        <w:rPr>
          <w:rFonts w:hint="default"/>
        </w:rPr>
      </w:pPr>
    </w:p>
    <w:p w:rsidR="00107FC3" w:rsidRDefault="00000000">
      <w:pPr>
        <w:pStyle w:val="afc"/>
        <w:spacing w:before="78" w:after="156"/>
      </w:pPr>
      <w:bookmarkStart w:id="468" w:name="_Toc13179"/>
      <w:bookmarkStart w:id="469" w:name="_Toc21793"/>
      <w:bookmarkStart w:id="470" w:name="_Toc10801"/>
      <w:bookmarkStart w:id="471" w:name="_Toc9204"/>
      <w:bookmarkStart w:id="472" w:name="_Toc30409"/>
      <w:r>
        <w:br/>
        <w:t>（资料性）</w:t>
      </w:r>
      <w:r>
        <w:br/>
        <w:t>基于绿色农业链供应链合作</w:t>
      </w:r>
      <w:bookmarkEnd w:id="468"/>
      <w:bookmarkEnd w:id="469"/>
      <w:bookmarkEnd w:id="470"/>
      <w:bookmarkEnd w:id="471"/>
      <w:bookmarkEnd w:id="472"/>
    </w:p>
    <w:p w:rsidR="00107FC3" w:rsidRDefault="00000000">
      <w:pPr>
        <w:pStyle w:val="afd"/>
        <w:spacing w:before="156" w:after="156"/>
      </w:pPr>
      <w:r>
        <w:t>绿色农业链合作</w:t>
      </w:r>
    </w:p>
    <w:p w:rsidR="00107FC3" w:rsidRDefault="00000000">
      <w:pPr>
        <w:pStyle w:val="afe"/>
        <w:spacing w:before="156" w:after="156"/>
      </w:pPr>
      <w:r>
        <w:t>土壤与水资源管理</w:t>
      </w:r>
    </w:p>
    <w:p w:rsidR="00107FC3" w:rsidRDefault="00000000">
      <w:pPr>
        <w:pStyle w:val="afffff6"/>
        <w:spacing w:beforeLines="0" w:before="0" w:afterLines="0" w:after="0"/>
      </w:pPr>
      <w:r>
        <w:t>绿色农业链企业采取有效土地管理，合理利用保护资源，提升土壤肥力和持水性，防止土地退化和水污染是至关重要的。</w:t>
      </w:r>
    </w:p>
    <w:p w:rsidR="00107FC3" w:rsidRDefault="00000000">
      <w:pPr>
        <w:pStyle w:val="afffff6"/>
        <w:spacing w:beforeLines="0" w:before="0" w:afterLines="0" w:after="0"/>
      </w:pPr>
      <w:r>
        <w:t>绿色农业链企业宜推广节水灌溉，减少水浪费；使用有机肥料和生物农药，保护土壤生态。</w:t>
      </w:r>
    </w:p>
    <w:p w:rsidR="00107FC3" w:rsidRDefault="00000000">
      <w:pPr>
        <w:pStyle w:val="afffff6"/>
        <w:spacing w:beforeLines="0" w:before="0" w:afterLines="0" w:after="0"/>
      </w:pPr>
      <w:r>
        <w:t>绿色农业链企业宜推动绿色农业认证，确保产品环保，提升市场价值和消费者信任。</w:t>
      </w:r>
    </w:p>
    <w:p w:rsidR="00107FC3" w:rsidRDefault="00000000">
      <w:pPr>
        <w:pStyle w:val="afffff6"/>
        <w:spacing w:beforeLines="0" w:before="0" w:afterLines="0" w:after="0"/>
      </w:pPr>
      <w:r>
        <w:t>绿色农业链企业宜加强农业科技研发，引入智能技术，提高生产效率和资源利用，促进可持续发展。</w:t>
      </w:r>
    </w:p>
    <w:p w:rsidR="00107FC3" w:rsidRDefault="00000000">
      <w:pPr>
        <w:pStyle w:val="afffff6"/>
        <w:spacing w:beforeLines="0" w:before="0" w:afterLines="0" w:after="0"/>
      </w:pPr>
      <w:r>
        <w:t>绿色农业链企业鼓励农民参与绿色培训，提升环保意识和技能，共同建设绿色农业链。</w:t>
      </w:r>
    </w:p>
    <w:p w:rsidR="00107FC3" w:rsidRDefault="00000000">
      <w:pPr>
        <w:pStyle w:val="afe"/>
        <w:spacing w:before="156" w:after="156"/>
      </w:pPr>
      <w:r>
        <w:t>生物多样性保护</w:t>
      </w:r>
    </w:p>
    <w:p w:rsidR="00107FC3" w:rsidRDefault="00000000">
      <w:pPr>
        <w:pStyle w:val="afffff6"/>
        <w:spacing w:beforeLines="0" w:before="0" w:afterLines="0" w:after="0"/>
      </w:pPr>
      <w:r>
        <w:t>绿色农业链供应链合作通过保护农田野生生物、遗传资源以及传统作物，以维护生态平衡。通过设立农业生态保护区，为野生生物提供适宜的栖息地，减少人类活动的干扰尤为必要。</w:t>
      </w:r>
    </w:p>
    <w:p w:rsidR="00107FC3" w:rsidRDefault="00000000">
      <w:pPr>
        <w:pStyle w:val="afffff6"/>
        <w:spacing w:beforeLines="0" w:before="0" w:afterLines="0" w:after="0"/>
      </w:pPr>
      <w:r>
        <w:t>绿色农业链企业宜推广使用本地作物品种，减少对外来物种依赖，保护遗传多样性。</w:t>
      </w:r>
    </w:p>
    <w:p w:rsidR="00107FC3" w:rsidRDefault="00000000">
      <w:pPr>
        <w:pStyle w:val="afffff6"/>
        <w:spacing w:beforeLines="0" w:before="0" w:afterLines="0" w:after="0"/>
      </w:pPr>
      <w:r>
        <w:t>绿色农业链企业宜开展农业生物多样性教育和宣传活动，提高保护意识，形成全社会共同参与的保护机制。</w:t>
      </w:r>
    </w:p>
    <w:p w:rsidR="00107FC3" w:rsidRDefault="00000000">
      <w:pPr>
        <w:pStyle w:val="afe"/>
        <w:spacing w:before="156" w:after="156"/>
      </w:pPr>
      <w:r>
        <w:t>有机和可持续农业实践</w:t>
      </w:r>
    </w:p>
    <w:p w:rsidR="00107FC3" w:rsidRDefault="00000000">
      <w:pPr>
        <w:pStyle w:val="afffff6"/>
        <w:spacing w:beforeLines="0" w:before="0" w:afterLines="0" w:after="0"/>
      </w:pPr>
      <w:r>
        <w:t>绿色农业链企业宜采用有机耕作和可持续方法，减少化肥和农药使用，增加土壤碳储量，减少温室气体排放，提高生物多样性，降低环境影响。</w:t>
      </w:r>
    </w:p>
    <w:p w:rsidR="00107FC3" w:rsidRDefault="00000000">
      <w:pPr>
        <w:pStyle w:val="afffff6"/>
        <w:spacing w:beforeLines="0" w:before="0" w:afterLines="0" w:after="0"/>
      </w:pPr>
      <w:r>
        <w:t>绿色农业链企业宜采用有机耕作，有助于保持土壤健康，提升农产品质量和口感，满足消费者对健康食品的需求。</w:t>
      </w:r>
    </w:p>
    <w:p w:rsidR="00107FC3" w:rsidRDefault="00000000">
      <w:pPr>
        <w:pStyle w:val="afffff6"/>
        <w:spacing w:beforeLines="0" w:before="0" w:afterLines="0" w:after="0"/>
      </w:pPr>
      <w:r>
        <w:t>绿色农业链企业采用可持续农业方法平衡经济、社会和环境需求，确保农业长期稳定发展。</w:t>
      </w:r>
    </w:p>
    <w:p w:rsidR="00107FC3" w:rsidRDefault="00000000">
      <w:pPr>
        <w:pStyle w:val="afffff6"/>
        <w:spacing w:beforeLines="0" w:before="0" w:afterLines="0" w:after="0"/>
      </w:pPr>
      <w:r>
        <w:t>绿色农业链企业宜采纳有机农业实践，以减少对化学物质的依赖，并推动农业向环保和可持续发展的方向迈进。</w:t>
      </w:r>
    </w:p>
    <w:p w:rsidR="00107FC3" w:rsidRDefault="00000000">
      <w:pPr>
        <w:pStyle w:val="afe"/>
        <w:spacing w:before="156" w:after="156"/>
      </w:pPr>
      <w:r>
        <w:t>建立食品安全管理系统和追溯机制</w:t>
      </w:r>
    </w:p>
    <w:p w:rsidR="00107FC3" w:rsidRDefault="00000000">
      <w:pPr>
        <w:pStyle w:val="afffff6"/>
        <w:spacing w:beforeLines="0" w:before="0" w:afterLines="0" w:after="0"/>
      </w:pPr>
      <w:r>
        <w:t>确保绿色农业链供应链透明和可追溯，严格控制农药、兽药、添加剂和包装材料使用，监测食品生产风险，及时消除风险，对保护消费者健康是重要的。</w:t>
      </w:r>
    </w:p>
    <w:p w:rsidR="00107FC3" w:rsidRDefault="00000000">
      <w:pPr>
        <w:pStyle w:val="afffff6"/>
        <w:numPr>
          <w:ilvl w:val="3"/>
          <w:numId w:val="22"/>
        </w:numPr>
        <w:spacing w:beforeLines="0" w:before="0" w:afterLines="0" w:after="0"/>
      </w:pPr>
      <w:r>
        <w:t>通过加强绿色农业链企业的食品质量检测和认证体系，确保市场食品安全，对违规者依法严惩，是维护市场秩序的关键。</w:t>
      </w:r>
    </w:p>
    <w:p w:rsidR="00107FC3" w:rsidRDefault="00000000">
      <w:pPr>
        <w:pStyle w:val="afffff6"/>
        <w:spacing w:beforeLines="0" w:before="0" w:afterLines="0" w:after="0"/>
      </w:pPr>
      <w:r>
        <w:t>通过加强消费者沟通，提升绿色农业链企业食品安全意识和自我保护能力，对共同创造安全健康的食品消费环境是必要的。</w:t>
      </w:r>
    </w:p>
    <w:p w:rsidR="00107FC3" w:rsidRDefault="00000000">
      <w:pPr>
        <w:pStyle w:val="afd"/>
        <w:spacing w:before="156" w:after="156"/>
      </w:pPr>
      <w:r>
        <w:lastRenderedPageBreak/>
        <w:t>基于供应链合作</w:t>
      </w:r>
    </w:p>
    <w:p w:rsidR="00107FC3" w:rsidRDefault="00000000">
      <w:pPr>
        <w:pStyle w:val="afe"/>
        <w:spacing w:before="156" w:after="156"/>
      </w:pPr>
      <w:r>
        <w:t>基础设施联通对绿色农业供应链的重要性</w:t>
      </w:r>
    </w:p>
    <w:p w:rsidR="00107FC3" w:rsidRDefault="00000000">
      <w:pPr>
        <w:pStyle w:val="afffff6"/>
        <w:spacing w:beforeLines="0" w:before="0" w:afterLines="0" w:after="0"/>
      </w:pPr>
      <w:r>
        <w:t>物流基础设施确保绿色农产品快速流通：绿色农产品易腐，宜采用高效物流以保新鲜。冷链物流和智能仓储关键，减少损耗，增强市场竞争力。</w:t>
      </w:r>
    </w:p>
    <w:p w:rsidR="00107FC3" w:rsidRDefault="00000000">
      <w:pPr>
        <w:pStyle w:val="afffff6"/>
        <w:spacing w:beforeLines="0" w:before="0" w:afterLines="0" w:after="0"/>
      </w:pPr>
      <w:r>
        <w:t>通信基础设施促进信息透明：宜采用高效通信实时传递信息，加强农民与市场联系。大数据和物联网技术使消费者追溯产品，确保绿色安全。</w:t>
      </w:r>
    </w:p>
    <w:p w:rsidR="00107FC3" w:rsidRDefault="00000000">
      <w:pPr>
        <w:pStyle w:val="afffff6"/>
        <w:spacing w:beforeLines="0" w:before="0" w:afterLines="0" w:after="0"/>
      </w:pPr>
      <w:r>
        <w:t>金融基础设施支持融资：绿色农业初期投资大，宜完善金融基础设施，提供低利率贷款和补贴，支持可持续发展。</w:t>
      </w:r>
    </w:p>
    <w:p w:rsidR="00107FC3" w:rsidRDefault="00000000">
      <w:pPr>
        <w:pStyle w:val="afe"/>
        <w:spacing w:before="156" w:after="156"/>
      </w:pPr>
      <w:r>
        <w:t>多双边规则促进绿色农业供应链发展</w:t>
      </w:r>
    </w:p>
    <w:p w:rsidR="00107FC3" w:rsidRDefault="00000000">
      <w:pPr>
        <w:pStyle w:val="afffff6"/>
        <w:spacing w:beforeLines="0" w:before="0" w:afterLines="0" w:after="0"/>
      </w:pPr>
      <w:r>
        <w:t>WTO新议题推动绿色农业贸易便利化：通过全球可持续发展关注的提升，推动WTO制定规则，降低绿色农业产品关税，促进国际贸易是有意义的。</w:t>
      </w:r>
    </w:p>
    <w:p w:rsidR="00107FC3" w:rsidRDefault="00000000">
      <w:pPr>
        <w:pStyle w:val="afffff6"/>
        <w:spacing w:beforeLines="0" w:before="0" w:afterLines="0" w:after="0"/>
      </w:pPr>
      <w:r>
        <w:t>RTA新规则助力绿色农业跨国合作：RTA宜制定绿色农业标准与规范，推动技术经验交流，促进可持续农业实践推广。</w:t>
      </w:r>
    </w:p>
    <w:p w:rsidR="00107FC3" w:rsidRDefault="00000000">
      <w:pPr>
        <w:pStyle w:val="afe"/>
        <w:spacing w:before="156" w:after="156"/>
      </w:pPr>
      <w:r>
        <w:t>政策影响绿色农业供应链布局</w:t>
      </w:r>
    </w:p>
    <w:p w:rsidR="00107FC3" w:rsidRDefault="00000000">
      <w:pPr>
        <w:pStyle w:val="afffff6"/>
        <w:spacing w:beforeLines="0" w:before="0" w:afterLines="0" w:after="0"/>
      </w:pPr>
      <w:r>
        <w:t>立法推动绿色农业政策：政府宜通过立法鼓励绿色农业，实施环保标准和绿色认证，增强供应链可持续性。</w:t>
      </w:r>
    </w:p>
    <w:p w:rsidR="00107FC3" w:rsidRDefault="00000000">
      <w:pPr>
        <w:pStyle w:val="afffff6"/>
        <w:spacing w:beforeLines="0" w:before="0" w:afterLines="0" w:after="0"/>
      </w:pPr>
      <w:r>
        <w:t>强化供应链风险管理和监测：面对自然灾害和病虫害等风险，宜加强供应链监测管理，利用科技提升预警能力。</w:t>
      </w:r>
    </w:p>
    <w:p w:rsidR="00107FC3" w:rsidRDefault="00000000">
      <w:pPr>
        <w:pStyle w:val="afe"/>
        <w:spacing w:before="156" w:after="156"/>
      </w:pPr>
      <w:r>
        <w:t>技术升级推动绿色农业可持续发展</w:t>
      </w:r>
    </w:p>
    <w:p w:rsidR="00107FC3" w:rsidRDefault="00000000">
      <w:pPr>
        <w:pStyle w:val="afffff6"/>
        <w:spacing w:beforeLines="0" w:before="0" w:afterLines="0" w:after="0"/>
      </w:pPr>
      <w:r>
        <w:t>数字经济技术提高绿色农业效率：数字化技术优化种植管理、精准施肥灌溉，减少资源浪费，提升农业产出。</w:t>
      </w:r>
    </w:p>
    <w:p w:rsidR="00107FC3" w:rsidRDefault="00000000">
      <w:pPr>
        <w:pStyle w:val="afffff6"/>
        <w:spacing w:beforeLines="0" w:before="0" w:afterLines="0" w:after="0"/>
      </w:pPr>
      <w:r>
        <w:t>新兴能源技术助力绿色农业减排：可再生能源技术如太阳能、风能减少农业碳排放，支持可持续发展目标。</w:t>
      </w:r>
    </w:p>
    <w:p w:rsidR="00107FC3" w:rsidRDefault="00000000">
      <w:pPr>
        <w:pStyle w:val="afe"/>
        <w:spacing w:before="156" w:after="156"/>
      </w:pPr>
      <w:r>
        <w:t>金融服务支持绿色农业供应链稳定</w:t>
      </w:r>
    </w:p>
    <w:p w:rsidR="00107FC3" w:rsidRDefault="00000000">
      <w:pPr>
        <w:pStyle w:val="afffff6"/>
        <w:spacing w:beforeLines="0" w:before="0" w:afterLines="0" w:after="0"/>
      </w:pPr>
      <w:r>
        <w:t>国际金融服务指导绿色农业投资：通过绿色金融产品，引导资金投向环保农业项目，推动绿色发展。</w:t>
      </w:r>
    </w:p>
    <w:p w:rsidR="00107FC3" w:rsidRDefault="00000000">
      <w:pPr>
        <w:pStyle w:val="afffff6"/>
        <w:spacing w:beforeLines="0" w:before="0" w:afterLines="0" w:after="0"/>
      </w:pPr>
      <w:r>
        <w:t>政策性金融服务提升绿色农业活力：政府通过提供绿色信贷和补贴，降低农民融资成本，能够鼓励更多人参与绿色农业。</w:t>
      </w:r>
    </w:p>
    <w:p w:rsidR="00107FC3" w:rsidRDefault="00107FC3">
      <w:pPr>
        <w:pStyle w:val="affc"/>
        <w:ind w:firstLine="420"/>
        <w:rPr>
          <w:rFonts w:hint="default"/>
        </w:rPr>
      </w:pPr>
    </w:p>
    <w:p w:rsidR="00107FC3" w:rsidRDefault="00107FC3">
      <w:pPr>
        <w:pStyle w:val="affc"/>
        <w:ind w:firstLine="420"/>
        <w:rPr>
          <w:rFonts w:hint="default"/>
        </w:rPr>
      </w:pPr>
    </w:p>
    <w:bookmarkEnd w:id="442"/>
    <w:p w:rsidR="00107FC3" w:rsidRDefault="00107FC3">
      <w:pPr>
        <w:pStyle w:val="affc"/>
        <w:ind w:firstLine="420"/>
        <w:rPr>
          <w:rFonts w:hint="default"/>
        </w:rPr>
      </w:pPr>
    </w:p>
    <w:p w:rsidR="00107FC3" w:rsidRDefault="00000000">
      <w:pPr>
        <w:rPr>
          <w:rFonts w:hint="default"/>
        </w:rPr>
      </w:pPr>
      <w:bookmarkStart w:id="473" w:name="EndLine"/>
      <w:r>
        <w:br w:type="page"/>
      </w:r>
    </w:p>
    <w:p w:rsidR="00107FC3" w:rsidRDefault="00000000">
      <w:pPr>
        <w:pStyle w:val="afff2"/>
        <w:spacing w:before="124" w:after="156"/>
        <w:rPr>
          <w:rFonts w:hint="default"/>
        </w:rPr>
      </w:pPr>
      <w:bookmarkStart w:id="474" w:name="_Toc18007"/>
      <w:bookmarkStart w:id="475" w:name="_Toc8319"/>
      <w:bookmarkStart w:id="476" w:name="_Toc17094"/>
      <w:r>
        <w:rPr>
          <w:spacing w:val="108"/>
        </w:rPr>
        <w:lastRenderedPageBreak/>
        <w:t>参</w:t>
      </w:r>
      <w:bookmarkStart w:id="477" w:name="BKCKWX"/>
      <w:r>
        <w:rPr>
          <w:spacing w:val="108"/>
        </w:rPr>
        <w:t>考文</w:t>
      </w:r>
      <w:r>
        <w:t>献</w:t>
      </w:r>
      <w:bookmarkEnd w:id="474"/>
      <w:bookmarkEnd w:id="475"/>
      <w:bookmarkEnd w:id="476"/>
    </w:p>
    <w:p w:rsidR="00107FC3" w:rsidRDefault="00000000">
      <w:pPr>
        <w:pStyle w:val="affc"/>
        <w:ind w:firstLine="420"/>
        <w:rPr>
          <w:rFonts w:ascii="Times New Roman" w:cs="Times New Roman" w:hint="default"/>
        </w:rPr>
      </w:pPr>
      <w:r>
        <w:rPr>
          <w:rFonts w:hAnsi="宋体"/>
        </w:rPr>
        <w:t>〔1〕</w:t>
      </w:r>
      <w:r>
        <w:rPr>
          <w:rFonts w:ascii="微软雅黑" w:eastAsia="微软雅黑" w:hAnsi="微软雅黑" w:cs="微软雅黑"/>
        </w:rPr>
        <w:t xml:space="preserve"> </w:t>
      </w:r>
      <w:r>
        <w:rPr>
          <w:rFonts w:ascii="Times New Roman" w:cs="Times New Roman" w:hint="default"/>
        </w:rPr>
        <w:t>GB/T 1835</w:t>
      </w:r>
      <w:r>
        <w:rPr>
          <w:rFonts w:ascii="Times New Roman" w:cs="Times New Roman"/>
        </w:rPr>
        <w:t>4-</w:t>
      </w:r>
      <w:r>
        <w:rPr>
          <w:rFonts w:ascii="Times New Roman" w:cs="Times New Roman" w:hint="default"/>
        </w:rPr>
        <w:t>2021</w:t>
      </w:r>
      <w:r>
        <w:rPr>
          <w:rFonts w:ascii="Times New Roman" w:cs="Times New Roman"/>
        </w:rPr>
        <w:t xml:space="preserve">  </w:t>
      </w:r>
      <w:r>
        <w:rPr>
          <w:rFonts w:ascii="Times New Roman" w:cs="Times New Roman"/>
        </w:rPr>
        <w:t>物流术语</w:t>
      </w:r>
    </w:p>
    <w:p w:rsidR="00107FC3" w:rsidRDefault="00000000">
      <w:pPr>
        <w:pStyle w:val="affc"/>
        <w:ind w:firstLine="420"/>
        <w:rPr>
          <w:rFonts w:hint="default"/>
        </w:rPr>
      </w:pPr>
      <w:r>
        <w:rPr>
          <w:rFonts w:hAnsi="宋体"/>
        </w:rPr>
        <w:t xml:space="preserve">〔2〕 </w:t>
      </w:r>
      <w:r>
        <w:rPr>
          <w:rFonts w:ascii="Times New Roman" w:cs="Times New Roman" w:hint="default"/>
        </w:rPr>
        <w:t>GB/T</w:t>
      </w:r>
      <w:r>
        <w:rPr>
          <w:rFonts w:ascii="Times New Roman" w:cs="Times New Roman"/>
        </w:rPr>
        <w:t xml:space="preserve"> </w:t>
      </w:r>
      <w:r>
        <w:rPr>
          <w:rFonts w:ascii="Times New Roman" w:cs="Times New Roman" w:hint="default"/>
        </w:rPr>
        <w:t>25469-2010</w:t>
      </w:r>
      <w:r>
        <w:rPr>
          <w:rFonts w:ascii="Times New Roman" w:cs="Times New Roman"/>
        </w:rPr>
        <w:t xml:space="preserve">  </w:t>
      </w:r>
      <w:r>
        <w:rPr>
          <w:rFonts w:ascii="Times New Roman" w:cs="Times New Roman"/>
        </w:rPr>
        <w:t>制造业产业链协作平台功能规范</w:t>
      </w:r>
    </w:p>
    <w:p w:rsidR="00107FC3" w:rsidRDefault="00107FC3">
      <w:pPr>
        <w:pStyle w:val="affc"/>
        <w:ind w:firstLine="420"/>
        <w:rPr>
          <w:rFonts w:hint="default"/>
        </w:rPr>
      </w:pPr>
    </w:p>
    <w:bookmarkEnd w:id="477"/>
    <w:p w:rsidR="00107FC3" w:rsidRDefault="00107FC3">
      <w:pPr>
        <w:pStyle w:val="affc"/>
        <w:ind w:firstLine="420"/>
        <w:rPr>
          <w:rFonts w:hint="default"/>
        </w:rPr>
      </w:pPr>
    </w:p>
    <w:p w:rsidR="00107FC3" w:rsidRDefault="00107FC3">
      <w:pPr>
        <w:pStyle w:val="affc"/>
        <w:ind w:firstLine="420"/>
        <w:rPr>
          <w:rFonts w:hint="default"/>
        </w:rPr>
      </w:pPr>
    </w:p>
    <w:p w:rsidR="00107FC3" w:rsidRDefault="00000000">
      <w:pPr>
        <w:pStyle w:val="afffffd"/>
        <w:framePr w:wrap="around"/>
        <w:rPr>
          <w:rFonts w:hint="default"/>
        </w:rPr>
      </w:pPr>
      <w:r>
        <w:rPr>
          <w:noProof/>
        </w:rPr>
        <w:drawing>
          <wp:inline distT="0" distB="0" distL="114300" distR="114300">
            <wp:extent cx="1485900" cy="317500"/>
            <wp:effectExtent l="0" t="0" r="0" b="0"/>
            <wp:docPr id="1" name="图片 1" descr="EndLine"/>
            <wp:cNvGraphicFramePr/>
            <a:graphic xmlns:a="http://schemas.openxmlformats.org/drawingml/2006/main">
              <a:graphicData uri="http://schemas.openxmlformats.org/drawingml/2006/picture">
                <pic:pic xmlns:pic="http://schemas.openxmlformats.org/drawingml/2006/picture">
                  <pic:nvPicPr>
                    <pic:cNvPr id="1" name="图片 1" descr="EndLine"/>
                    <pic:cNvPicPr/>
                  </pic:nvPicPr>
                  <pic:blipFill>
                    <a:blip r:embed="rId10"/>
                    <a:stretch>
                      <a:fillRect/>
                    </a:stretch>
                  </pic:blipFill>
                  <pic:spPr>
                    <a:xfrm>
                      <a:off x="0" y="0"/>
                      <a:ext cx="1485900" cy="317500"/>
                    </a:xfrm>
                    <a:prstGeom prst="rect">
                      <a:avLst/>
                    </a:prstGeom>
                  </pic:spPr>
                </pic:pic>
              </a:graphicData>
            </a:graphic>
          </wp:inline>
        </w:drawing>
      </w:r>
      <w:bookmarkEnd w:id="473"/>
    </w:p>
    <w:sectPr w:rsidR="00107FC3">
      <w:pgSz w:w="11906" w:h="16838"/>
      <w:pgMar w:top="2410" w:right="1134" w:bottom="1134" w:left="1134" w:header="1418" w:footer="1134" w:gutter="284"/>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0911" w:rsidRDefault="00030911">
      <w:pPr>
        <w:rPr>
          <w:rFonts w:hint="default"/>
        </w:rPr>
      </w:pPr>
      <w:r>
        <w:separator/>
      </w:r>
    </w:p>
  </w:endnote>
  <w:endnote w:type="continuationSeparator" w:id="0">
    <w:p w:rsidR="00030911" w:rsidRDefault="0003091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FC3" w:rsidRDefault="00000000">
    <w:pPr>
      <w:pStyle w:val="afff"/>
      <w:rPr>
        <w:rFonts w:hint="default"/>
      </w:rP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0911" w:rsidRDefault="00030911">
      <w:pPr>
        <w:rPr>
          <w:rFonts w:hint="default"/>
        </w:rPr>
      </w:pPr>
      <w:r>
        <w:separator/>
      </w:r>
    </w:p>
  </w:footnote>
  <w:footnote w:type="continuationSeparator" w:id="0">
    <w:p w:rsidR="00030911" w:rsidRDefault="00030911">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FC3" w:rsidRDefault="00000000">
    <w:pPr>
      <w:pStyle w:val="afff0"/>
      <w:rPr>
        <w:rFonts w:hint="default"/>
      </w:rPr>
    </w:pPr>
    <w:r>
      <w:t>T/CCPITCSC 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3B6628"/>
    <w:multiLevelType w:val="multilevel"/>
    <w:tmpl w:val="843B6628"/>
    <w:lvl w:ilvl="0">
      <w:start w:val="1"/>
      <w:numFmt w:val="none"/>
      <w:pStyle w:val="a"/>
      <w:lvlText w:val="%1——"/>
      <w:lvlJc w:val="left"/>
      <w:pPr>
        <w:tabs>
          <w:tab w:val="left" w:pos="851"/>
        </w:tabs>
        <w:ind w:left="851" w:hanging="426"/>
      </w:pPr>
      <w:rPr>
        <w:rFonts w:ascii="Times New Roman" w:eastAsia="宋体" w:hAnsi="Times New Roman" w:cs="Times New Roman" w:hint="default"/>
        <w:sz w:val="20"/>
      </w:rPr>
    </w:lvl>
    <w:lvl w:ilvl="1">
      <w:start w:val="1"/>
      <w:numFmt w:val="bullet"/>
      <w:pStyle w:val="2"/>
      <w:lvlText w:val=""/>
      <w:lvlJc w:val="left"/>
      <w:pPr>
        <w:tabs>
          <w:tab w:val="left" w:pos="851"/>
        </w:tabs>
        <w:ind w:left="1270" w:hanging="419"/>
      </w:pPr>
      <w:rPr>
        <w:rFonts w:ascii="Symbol" w:eastAsia="宋体" w:hAnsi="Symbol" w:cs="Symbol" w:hint="default"/>
        <w:sz w:val="21"/>
      </w:rPr>
    </w:lvl>
    <w:lvl w:ilvl="2">
      <w:start w:val="1"/>
      <w:numFmt w:val="bullet"/>
      <w:lvlText w:val=""/>
      <w:lvlJc w:val="left"/>
      <w:pPr>
        <w:tabs>
          <w:tab w:val="left" w:pos="1678"/>
        </w:tabs>
        <w:ind w:left="1678" w:hanging="414"/>
      </w:pPr>
      <w:rPr>
        <w:rFonts w:ascii="Symbol" w:hAnsi="Symbol" w:cs="Symbol" w:hint="default"/>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upp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 w15:restartNumberingAfterBreak="0">
    <w:nsid w:val="89C241EA"/>
    <w:multiLevelType w:val="multilevel"/>
    <w:tmpl w:val="89C241EA"/>
    <w:lvl w:ilvl="0">
      <w:start w:val="1"/>
      <w:numFmt w:val="lowerLetter"/>
      <w:pStyle w:val="a0"/>
      <w:lvlText w:val="%1)"/>
      <w:lvlJc w:val="left"/>
      <w:pPr>
        <w:tabs>
          <w:tab w:val="left" w:pos="851"/>
        </w:tabs>
        <w:ind w:left="851" w:hanging="426"/>
      </w:pPr>
      <w:rPr>
        <w:rFonts w:ascii="宋体" w:eastAsia="宋体" w:hAnsi="宋体" w:cs="宋体" w:hint="default"/>
        <w:sz w:val="20"/>
      </w:rPr>
    </w:lvl>
    <w:lvl w:ilvl="1">
      <w:start w:val="1"/>
      <w:numFmt w:val="decimal"/>
      <w:pStyle w:val="a1"/>
      <w:lvlText w:val="%2)"/>
      <w:lvlJc w:val="left"/>
      <w:pPr>
        <w:tabs>
          <w:tab w:val="left" w:pos="1276"/>
        </w:tabs>
        <w:ind w:left="1276" w:hanging="425"/>
      </w:pPr>
      <w:rPr>
        <w:rFonts w:ascii="宋体" w:eastAsia="宋体" w:hAnsi="Times New Roman" w:cs="Times New Roman" w:hint="default"/>
        <w:sz w:val="21"/>
      </w:rPr>
    </w:lvl>
    <w:lvl w:ilvl="2">
      <w:start w:val="1"/>
      <w:numFmt w:val="bullet"/>
      <w:pStyle w:val="a2"/>
      <w:lvlText w:val=""/>
      <w:lvlJc w:val="left"/>
      <w:pPr>
        <w:tabs>
          <w:tab w:val="left" w:pos="1678"/>
        </w:tabs>
        <w:ind w:left="1678" w:hanging="414"/>
      </w:pPr>
      <w:rPr>
        <w:rFonts w:ascii="Symbol" w:hAnsi="Symbol" w:cs="Symbol" w:hint="default"/>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upp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 w15:restartNumberingAfterBreak="0">
    <w:nsid w:val="93C19F5B"/>
    <w:multiLevelType w:val="multilevel"/>
    <w:tmpl w:val="93C19F5B"/>
    <w:lvl w:ilvl="0">
      <w:start w:val="1"/>
      <w:numFmt w:val="lowerLetter"/>
      <w:pStyle w:val="a3"/>
      <w:lvlText w:val="%1"/>
      <w:lvlJc w:val="left"/>
      <w:pPr>
        <w:tabs>
          <w:tab w:val="left" w:pos="539"/>
        </w:tabs>
        <w:ind w:left="539" w:hanging="119"/>
      </w:pPr>
      <w:rPr>
        <w:rFonts w:ascii="宋体" w:eastAsia="宋体" w:hAnsi="宋体" w:cs="宋体" w:hint="eastAsia"/>
        <w:sz w:val="15"/>
        <w:vertAlign w:val="superscript"/>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3" w15:restartNumberingAfterBreak="0">
    <w:nsid w:val="981FF786"/>
    <w:multiLevelType w:val="multilevel"/>
    <w:tmpl w:val="981FF786"/>
    <w:lvl w:ilvl="0">
      <w:start w:val="1"/>
      <w:numFmt w:val="decimal"/>
      <w:pStyle w:val="a4"/>
      <w:suff w:val="nothing"/>
      <w:lvlText w:val="示例%1："/>
      <w:lvlJc w:val="left"/>
      <w:pPr>
        <w:tabs>
          <w:tab w:val="left" w:pos="539"/>
        </w:tabs>
        <w:ind w:left="0" w:firstLine="363"/>
      </w:pPr>
      <w:rPr>
        <w:rFonts w:ascii="黑体" w:eastAsia="黑体" w:hAnsi="黑体" w:cs="黑体" w:hint="eastAsia"/>
        <w:sz w:val="18"/>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4" w15:restartNumberingAfterBreak="0">
    <w:nsid w:val="98F7A719"/>
    <w:multiLevelType w:val="multilevel"/>
    <w:tmpl w:val="98F7A719"/>
    <w:lvl w:ilvl="0">
      <w:start w:val="1"/>
      <w:numFmt w:val="upperLetter"/>
      <w:suff w:val="nothing"/>
      <w:lvlText w:val="附录%1"/>
      <w:lvlJc w:val="left"/>
      <w:pPr>
        <w:ind w:left="0" w:firstLine="0"/>
      </w:pPr>
      <w:rPr>
        <w:rFonts w:hint="default"/>
        <w:spacing w:val="102"/>
      </w:rPr>
    </w:lvl>
    <w:lvl w:ilvl="1">
      <w:start w:val="1"/>
      <w:numFmt w:val="decimal"/>
      <w:suff w:val="nothing"/>
      <w:lvlText w:val="%1.%2　"/>
      <w:lvlJc w:val="left"/>
      <w:pPr>
        <w:ind w:left="0" w:firstLine="0"/>
      </w:pPr>
      <w:rPr>
        <w:rFonts w:ascii="黑体" w:eastAsia="黑体" w:hAnsi="黑体" w:cs="黑体" w:hint="default"/>
        <w:sz w:val="20"/>
      </w:rPr>
    </w:lvl>
    <w:lvl w:ilvl="2">
      <w:start w:val="1"/>
      <w:numFmt w:val="decimal"/>
      <w:suff w:val="nothing"/>
      <w:lvlText w:val="%1.%2.%3　"/>
      <w:lvlJc w:val="left"/>
      <w:pPr>
        <w:ind w:left="0" w:firstLine="0"/>
      </w:pPr>
      <w:rPr>
        <w:rFonts w:ascii="黑体" w:eastAsia="黑体" w:hAnsi="黑体" w:cs="黑体" w:hint="default"/>
        <w:sz w:val="20"/>
      </w:rPr>
    </w:lvl>
    <w:lvl w:ilvl="3">
      <w:start w:val="1"/>
      <w:numFmt w:val="decimal"/>
      <w:suff w:val="nothing"/>
      <w:lvlText w:val="%1.%2.%3.%4　"/>
      <w:lvlJc w:val="left"/>
      <w:pPr>
        <w:ind w:left="0" w:firstLine="0"/>
      </w:pPr>
      <w:rPr>
        <w:rFonts w:ascii="黑体" w:eastAsia="黑体" w:hAnsi="黑体" w:cs="黑体" w:hint="default"/>
        <w:sz w:val="20"/>
      </w:rPr>
    </w:lvl>
    <w:lvl w:ilvl="4">
      <w:start w:val="1"/>
      <w:numFmt w:val="decimal"/>
      <w:suff w:val="nothing"/>
      <w:lvlText w:val="%1.%2.%3.%4.%5　"/>
      <w:lvlJc w:val="left"/>
      <w:pPr>
        <w:ind w:left="0" w:firstLine="0"/>
      </w:pPr>
      <w:rPr>
        <w:rFonts w:ascii="黑体" w:eastAsia="黑体" w:hAnsi="黑体" w:cs="黑体" w:hint="default"/>
        <w:sz w:val="20"/>
      </w:rPr>
    </w:lvl>
    <w:lvl w:ilvl="5">
      <w:start w:val="1"/>
      <w:numFmt w:val="decimal"/>
      <w:suff w:val="nothing"/>
      <w:lvlText w:val="%1.%2.%3.%4.%5.%6　"/>
      <w:lvlJc w:val="left"/>
      <w:pPr>
        <w:ind w:left="0" w:firstLine="0"/>
      </w:pPr>
      <w:rPr>
        <w:rFonts w:ascii="黑体" w:eastAsia="黑体" w:hAnsi="黑体" w:cs="黑体" w:hint="default"/>
        <w:sz w:val="20"/>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5" w15:restartNumberingAfterBreak="0">
    <w:nsid w:val="9A362637"/>
    <w:multiLevelType w:val="multilevel"/>
    <w:tmpl w:val="9A362637"/>
    <w:lvl w:ilvl="0">
      <w:start w:val="1"/>
      <w:numFmt w:val="upperLetter"/>
      <w:pStyle w:val="a5"/>
      <w:lvlText w:val="%1"/>
      <w:lvlJc w:val="left"/>
      <w:pPr>
        <w:tabs>
          <w:tab w:val="left" w:pos="0"/>
        </w:tabs>
        <w:ind w:left="0" w:firstLine="0"/>
      </w:pPr>
      <w:rPr>
        <w:rFonts w:hint="default"/>
      </w:rPr>
    </w:lvl>
    <w:lvl w:ilvl="1">
      <w:start w:val="1"/>
      <w:numFmt w:val="decimal"/>
      <w:pStyle w:val="a6"/>
      <w:suff w:val="nothing"/>
      <w:lvlText w:val="图%1.%2　"/>
      <w:lvlJc w:val="left"/>
      <w:pPr>
        <w:ind w:left="0" w:firstLine="0"/>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6" w15:restartNumberingAfterBreak="0">
    <w:nsid w:val="D0E8823A"/>
    <w:multiLevelType w:val="multilevel"/>
    <w:tmpl w:val="D0E8823A"/>
    <w:lvl w:ilvl="0">
      <w:start w:val="1"/>
      <w:numFmt w:val="upperLetter"/>
      <w:suff w:val="nothing"/>
      <w:lvlText w:val="附录%1"/>
      <w:lvlJc w:val="left"/>
      <w:pPr>
        <w:ind w:left="0" w:firstLine="0"/>
      </w:pPr>
      <w:rPr>
        <w:rFonts w:hint="default"/>
        <w:spacing w:val="102"/>
      </w:rPr>
    </w:lvl>
    <w:lvl w:ilvl="1">
      <w:start w:val="1"/>
      <w:numFmt w:val="decimal"/>
      <w:suff w:val="nothing"/>
      <w:lvlText w:val="%1.%2　"/>
      <w:lvlJc w:val="left"/>
      <w:pPr>
        <w:ind w:left="0" w:firstLine="0"/>
      </w:pPr>
      <w:rPr>
        <w:rFonts w:ascii="黑体" w:eastAsia="黑体" w:hAnsi="黑体" w:cs="黑体" w:hint="default"/>
        <w:sz w:val="20"/>
      </w:rPr>
    </w:lvl>
    <w:lvl w:ilvl="2">
      <w:start w:val="1"/>
      <w:numFmt w:val="decimal"/>
      <w:suff w:val="nothing"/>
      <w:lvlText w:val="%1.%2.%3　"/>
      <w:lvlJc w:val="left"/>
      <w:pPr>
        <w:ind w:left="0" w:firstLine="0"/>
      </w:pPr>
      <w:rPr>
        <w:rFonts w:ascii="黑体" w:eastAsia="黑体" w:hAnsi="黑体" w:cs="黑体" w:hint="default"/>
        <w:sz w:val="20"/>
      </w:rPr>
    </w:lvl>
    <w:lvl w:ilvl="3">
      <w:start w:val="1"/>
      <w:numFmt w:val="decimal"/>
      <w:suff w:val="nothing"/>
      <w:lvlText w:val="%1.%2.%3.%4　"/>
      <w:lvlJc w:val="left"/>
      <w:pPr>
        <w:ind w:left="0" w:firstLine="0"/>
      </w:pPr>
      <w:rPr>
        <w:rFonts w:ascii="黑体" w:eastAsia="黑体" w:hAnsi="黑体" w:cs="黑体" w:hint="default"/>
        <w:sz w:val="20"/>
      </w:rPr>
    </w:lvl>
    <w:lvl w:ilvl="4">
      <w:start w:val="1"/>
      <w:numFmt w:val="decimal"/>
      <w:suff w:val="nothing"/>
      <w:lvlText w:val="%1.%2.%3.%4.%5　"/>
      <w:lvlJc w:val="left"/>
      <w:pPr>
        <w:ind w:left="0" w:firstLine="0"/>
      </w:pPr>
      <w:rPr>
        <w:rFonts w:ascii="黑体" w:eastAsia="黑体" w:hAnsi="黑体" w:cs="黑体" w:hint="default"/>
        <w:sz w:val="20"/>
      </w:rPr>
    </w:lvl>
    <w:lvl w:ilvl="5">
      <w:start w:val="1"/>
      <w:numFmt w:val="decimal"/>
      <w:suff w:val="nothing"/>
      <w:lvlText w:val="%1.%2.%3.%4.%5.%6　"/>
      <w:lvlJc w:val="left"/>
      <w:pPr>
        <w:ind w:left="0" w:firstLine="0"/>
      </w:pPr>
      <w:rPr>
        <w:rFonts w:ascii="黑体" w:eastAsia="黑体" w:hAnsi="黑体" w:cs="黑体" w:hint="default"/>
        <w:sz w:val="20"/>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7" w15:restartNumberingAfterBreak="0">
    <w:nsid w:val="DC0D58EA"/>
    <w:multiLevelType w:val="multilevel"/>
    <w:tmpl w:val="DC0D58EA"/>
    <w:lvl w:ilvl="0">
      <w:start w:val="1"/>
      <w:numFmt w:val="upperLetter"/>
      <w:pStyle w:val="a7"/>
      <w:lvlText w:val="%1"/>
      <w:lvlJc w:val="left"/>
      <w:pPr>
        <w:tabs>
          <w:tab w:val="left" w:pos="0"/>
        </w:tabs>
        <w:ind w:left="0" w:firstLine="0"/>
      </w:pPr>
      <w:rPr>
        <w:rFonts w:hint="default"/>
      </w:rPr>
    </w:lvl>
    <w:lvl w:ilvl="1">
      <w:start w:val="1"/>
      <w:numFmt w:val="decimal"/>
      <w:pStyle w:val="a8"/>
      <w:suff w:val="nothing"/>
      <w:lvlText w:val="表%1.%2　"/>
      <w:lvlJc w:val="left"/>
      <w:pPr>
        <w:ind w:left="0" w:firstLine="0"/>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8" w15:restartNumberingAfterBreak="0">
    <w:nsid w:val="DF905185"/>
    <w:multiLevelType w:val="multilevel"/>
    <w:tmpl w:val="DF905185"/>
    <w:lvl w:ilvl="0">
      <w:start w:val="1"/>
      <w:numFmt w:val="decimal"/>
      <w:pStyle w:val="a9"/>
      <w:suff w:val="nothing"/>
      <w:lvlText w:val="注%1："/>
      <w:lvlJc w:val="left"/>
      <w:pPr>
        <w:tabs>
          <w:tab w:val="left" w:pos="539"/>
        </w:tabs>
        <w:ind w:left="811" w:hanging="448"/>
      </w:pPr>
      <w:rPr>
        <w:rFonts w:ascii="黑体" w:eastAsia="黑体" w:hAnsi="黑体" w:cs="黑体" w:hint="eastAsia"/>
        <w:sz w:val="18"/>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9" w15:restartNumberingAfterBreak="0">
    <w:nsid w:val="EC5B646B"/>
    <w:multiLevelType w:val="multilevel"/>
    <w:tmpl w:val="EC5B646B"/>
    <w:lvl w:ilvl="0">
      <w:start w:val="1"/>
      <w:numFmt w:val="decimal"/>
      <w:pStyle w:val="aa"/>
      <w:lvlText w:val="%1)"/>
      <w:lvlJc w:val="left"/>
      <w:pPr>
        <w:tabs>
          <w:tab w:val="left" w:pos="0"/>
        </w:tabs>
        <w:ind w:left="720" w:hanging="357"/>
      </w:pPr>
      <w:rPr>
        <w:rFonts w:ascii="宋体" w:eastAsia="宋体" w:hAnsi="宋体" w:cs="宋体" w:hint="eastAsia"/>
        <w:sz w:val="15"/>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0" w15:restartNumberingAfterBreak="0">
    <w:nsid w:val="EFAF2459"/>
    <w:multiLevelType w:val="multilevel"/>
    <w:tmpl w:val="EFAF2459"/>
    <w:lvl w:ilvl="0">
      <w:start w:val="1"/>
      <w:numFmt w:val="upperLetter"/>
      <w:suff w:val="nothing"/>
      <w:lvlText w:val="附录%1"/>
      <w:lvlJc w:val="left"/>
      <w:pPr>
        <w:ind w:left="0" w:firstLine="0"/>
      </w:pPr>
      <w:rPr>
        <w:rFonts w:hint="default"/>
        <w:spacing w:val="102"/>
      </w:rPr>
    </w:lvl>
    <w:lvl w:ilvl="1">
      <w:start w:val="1"/>
      <w:numFmt w:val="decimal"/>
      <w:suff w:val="nothing"/>
      <w:lvlText w:val="%1.%2　"/>
      <w:lvlJc w:val="left"/>
      <w:pPr>
        <w:ind w:left="0" w:firstLine="0"/>
      </w:pPr>
      <w:rPr>
        <w:rFonts w:ascii="黑体" w:eastAsia="黑体" w:hAnsi="黑体" w:cs="黑体" w:hint="default"/>
        <w:sz w:val="20"/>
      </w:rPr>
    </w:lvl>
    <w:lvl w:ilvl="2">
      <w:start w:val="1"/>
      <w:numFmt w:val="decimal"/>
      <w:suff w:val="nothing"/>
      <w:lvlText w:val="%1.%2.%3　"/>
      <w:lvlJc w:val="left"/>
      <w:pPr>
        <w:ind w:left="0" w:firstLine="0"/>
      </w:pPr>
      <w:rPr>
        <w:rFonts w:ascii="黑体" w:eastAsia="黑体" w:hAnsi="黑体" w:cs="黑体" w:hint="default"/>
        <w:sz w:val="20"/>
      </w:rPr>
    </w:lvl>
    <w:lvl w:ilvl="3">
      <w:start w:val="1"/>
      <w:numFmt w:val="decimal"/>
      <w:suff w:val="nothing"/>
      <w:lvlText w:val="%1.%2.%3.%4　"/>
      <w:lvlJc w:val="left"/>
      <w:pPr>
        <w:ind w:left="0" w:firstLine="0"/>
      </w:pPr>
      <w:rPr>
        <w:rFonts w:ascii="黑体" w:eastAsia="黑体" w:hAnsi="黑体" w:cs="黑体" w:hint="default"/>
        <w:sz w:val="20"/>
      </w:rPr>
    </w:lvl>
    <w:lvl w:ilvl="4">
      <w:start w:val="1"/>
      <w:numFmt w:val="decimal"/>
      <w:suff w:val="nothing"/>
      <w:lvlText w:val="%1.%2.%3.%4.%5　"/>
      <w:lvlJc w:val="left"/>
      <w:pPr>
        <w:ind w:left="0" w:firstLine="0"/>
      </w:pPr>
      <w:rPr>
        <w:rFonts w:ascii="黑体" w:eastAsia="黑体" w:hAnsi="黑体" w:cs="黑体" w:hint="default"/>
        <w:sz w:val="20"/>
      </w:rPr>
    </w:lvl>
    <w:lvl w:ilvl="5">
      <w:start w:val="1"/>
      <w:numFmt w:val="decimal"/>
      <w:suff w:val="nothing"/>
      <w:lvlText w:val="%1.%2.%3.%4.%5.%6　"/>
      <w:lvlJc w:val="left"/>
      <w:pPr>
        <w:ind w:left="0" w:firstLine="0"/>
      </w:pPr>
      <w:rPr>
        <w:rFonts w:ascii="黑体" w:eastAsia="黑体" w:hAnsi="黑体" w:cs="黑体" w:hint="default"/>
        <w:sz w:val="20"/>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1" w15:restartNumberingAfterBreak="0">
    <w:nsid w:val="106824EE"/>
    <w:multiLevelType w:val="multilevel"/>
    <w:tmpl w:val="106824EE"/>
    <w:lvl w:ilvl="0">
      <w:start w:val="1"/>
      <w:numFmt w:val="decimal"/>
      <w:pStyle w:val="ab"/>
      <w:suff w:val="nothing"/>
      <w:lvlText w:val="表%1  "/>
      <w:lvlJc w:val="left"/>
      <w:pPr>
        <w:tabs>
          <w:tab w:val="left" w:pos="539"/>
        </w:tabs>
        <w:ind w:left="0" w:firstLine="0"/>
      </w:pPr>
      <w:rPr>
        <w:rFonts w:ascii="黑体" w:eastAsia="黑体" w:hAnsi="黑体" w:cs="黑体" w:hint="eastAsia"/>
        <w:sz w:val="21"/>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2" w15:restartNumberingAfterBreak="0">
    <w:nsid w:val="11C92339"/>
    <w:multiLevelType w:val="multilevel"/>
    <w:tmpl w:val="11C92339"/>
    <w:lvl w:ilvl="0">
      <w:start w:val="1"/>
      <w:numFmt w:val="decimal"/>
      <w:pStyle w:val="ac"/>
      <w:suff w:val="nothing"/>
      <w:lvlText w:val="图%1  "/>
      <w:lvlJc w:val="left"/>
      <w:pPr>
        <w:tabs>
          <w:tab w:val="left" w:pos="539"/>
        </w:tabs>
        <w:ind w:left="0" w:firstLine="0"/>
      </w:pPr>
      <w:rPr>
        <w:rFonts w:ascii="黑体" w:eastAsia="黑体" w:hAnsi="黑体" w:cs="黑体" w:hint="eastAsia"/>
        <w:sz w:val="21"/>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3" w15:restartNumberingAfterBreak="0">
    <w:nsid w:val="1D846B3A"/>
    <w:multiLevelType w:val="multilevel"/>
    <w:tmpl w:val="1D846B3A"/>
    <w:lvl w:ilvl="0">
      <w:start w:val="1"/>
      <w:numFmt w:val="none"/>
      <w:pStyle w:val="ad"/>
      <w:suff w:val="nothing"/>
      <w:lvlText w:val="示例："/>
      <w:lvlJc w:val="left"/>
      <w:pPr>
        <w:tabs>
          <w:tab w:val="left" w:pos="539"/>
        </w:tabs>
        <w:ind w:left="0" w:firstLine="363"/>
      </w:pPr>
      <w:rPr>
        <w:rFonts w:ascii="黑体" w:eastAsia="黑体" w:hAnsi="黑体" w:cs="黑体" w:hint="eastAsia"/>
        <w:sz w:val="18"/>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4" w15:restartNumberingAfterBreak="0">
    <w:nsid w:val="234EED71"/>
    <w:multiLevelType w:val="multilevel"/>
    <w:tmpl w:val="234EED71"/>
    <w:lvl w:ilvl="0">
      <w:start w:val="1"/>
      <w:numFmt w:val="upperLetter"/>
      <w:lvlText w:val="%1"/>
      <w:lvlJc w:val="left"/>
      <w:pPr>
        <w:tabs>
          <w:tab w:val="left" w:pos="0"/>
        </w:tabs>
        <w:ind w:left="0" w:firstLine="0"/>
      </w:pPr>
      <w:rPr>
        <w:rFonts w:hint="default"/>
      </w:rPr>
    </w:lvl>
    <w:lvl w:ilvl="1">
      <w:start w:val="1"/>
      <w:numFmt w:val="decimal"/>
      <w:pStyle w:val="20"/>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5" w15:restartNumberingAfterBreak="0">
    <w:nsid w:val="2972DF3D"/>
    <w:multiLevelType w:val="multilevel"/>
    <w:tmpl w:val="2972DF3D"/>
    <w:lvl w:ilvl="0">
      <w:start w:val="1"/>
      <w:numFmt w:val="none"/>
      <w:pStyle w:val="ae"/>
      <w:suff w:val="nothing"/>
      <w:lvlText w:val="%1"/>
      <w:lvlJc w:val="left"/>
      <w:pPr>
        <w:ind w:left="425" w:hanging="425"/>
      </w:pPr>
      <w:rPr>
        <w:rFonts w:hint="default"/>
      </w:rPr>
    </w:lvl>
    <w:lvl w:ilvl="1">
      <w:start w:val="1"/>
      <w:numFmt w:val="decimal"/>
      <w:pStyle w:val="af"/>
      <w:suff w:val="nothing"/>
      <w:lvlText w:val="%10.%2 "/>
      <w:lvlJc w:val="left"/>
      <w:pPr>
        <w:ind w:left="0" w:firstLine="0"/>
      </w:pPr>
      <w:rPr>
        <w:rFonts w:ascii="黑体" w:eastAsia="黑体" w:hAnsi="黑体" w:cs="黑体" w:hint="default"/>
        <w:sz w:val="20"/>
      </w:rPr>
    </w:lvl>
    <w:lvl w:ilvl="2">
      <w:start w:val="1"/>
      <w:numFmt w:val="decimal"/>
      <w:pStyle w:val="af0"/>
      <w:suff w:val="nothing"/>
      <w:lvlText w:val="%10.%2.%3 "/>
      <w:lvlJc w:val="left"/>
      <w:pPr>
        <w:ind w:left="0" w:firstLine="0"/>
      </w:pPr>
      <w:rPr>
        <w:rFonts w:ascii="黑体" w:eastAsia="黑体" w:hAnsi="黑体" w:cs="黑体" w:hint="default"/>
        <w:sz w:val="20"/>
      </w:rPr>
    </w:lvl>
    <w:lvl w:ilvl="3">
      <w:start w:val="1"/>
      <w:numFmt w:val="decimal"/>
      <w:pStyle w:val="af1"/>
      <w:suff w:val="nothing"/>
      <w:lvlText w:val="%10.%2.%3.%4 "/>
      <w:lvlJc w:val="left"/>
      <w:pPr>
        <w:ind w:left="0" w:firstLine="0"/>
      </w:pPr>
      <w:rPr>
        <w:rFonts w:ascii="黑体" w:eastAsia="黑体" w:hAnsi="黑体" w:cs="黑体" w:hint="default"/>
        <w:sz w:val="20"/>
      </w:rPr>
    </w:lvl>
    <w:lvl w:ilvl="4">
      <w:start w:val="1"/>
      <w:numFmt w:val="decimal"/>
      <w:pStyle w:val="af2"/>
      <w:suff w:val="nothing"/>
      <w:lvlText w:val="%10.%2.%3.%4.%5 "/>
      <w:lvlJc w:val="left"/>
      <w:pPr>
        <w:ind w:left="0" w:firstLine="0"/>
      </w:pPr>
      <w:rPr>
        <w:rFonts w:ascii="黑体" w:eastAsia="黑体" w:hAnsi="黑体" w:cs="黑体" w:hint="default"/>
        <w:sz w:val="20"/>
      </w:rPr>
    </w:lvl>
    <w:lvl w:ilvl="5">
      <w:start w:val="1"/>
      <w:numFmt w:val="decimal"/>
      <w:pStyle w:val="af3"/>
      <w:suff w:val="nothing"/>
      <w:lvlText w:val="%10.%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6" w15:restartNumberingAfterBreak="0">
    <w:nsid w:val="2A100541"/>
    <w:multiLevelType w:val="multilevel"/>
    <w:tmpl w:val="2A100541"/>
    <w:lvl w:ilvl="0">
      <w:start w:val="1"/>
      <w:numFmt w:val="decimal"/>
      <w:pStyle w:val="af4"/>
      <w:suff w:val="nothing"/>
      <w:lvlText w:val="%1　"/>
      <w:lvlJc w:val="left"/>
      <w:pPr>
        <w:ind w:left="0" w:firstLine="0"/>
      </w:pPr>
      <w:rPr>
        <w:rFonts w:ascii="黑体" w:eastAsia="黑体" w:hAnsi="黑体" w:cs="黑体" w:hint="default"/>
        <w:sz w:val="20"/>
      </w:rPr>
    </w:lvl>
    <w:lvl w:ilvl="1">
      <w:start w:val="1"/>
      <w:numFmt w:val="decimal"/>
      <w:pStyle w:val="af5"/>
      <w:suff w:val="nothing"/>
      <w:lvlText w:val="%1.%2　"/>
      <w:lvlJc w:val="left"/>
      <w:pPr>
        <w:ind w:left="0" w:firstLine="0"/>
      </w:pPr>
      <w:rPr>
        <w:rFonts w:ascii="黑体" w:eastAsia="黑体" w:hAnsi="黑体" w:cs="黑体" w:hint="default"/>
        <w:sz w:val="20"/>
      </w:rPr>
    </w:lvl>
    <w:lvl w:ilvl="2">
      <w:start w:val="1"/>
      <w:numFmt w:val="decimal"/>
      <w:pStyle w:val="af6"/>
      <w:suff w:val="nothing"/>
      <w:lvlText w:val="%1.%2.%3　"/>
      <w:lvlJc w:val="left"/>
      <w:pPr>
        <w:ind w:left="0" w:firstLine="0"/>
      </w:pPr>
      <w:rPr>
        <w:rFonts w:ascii="黑体" w:eastAsia="黑体" w:hAnsi="黑体" w:cs="黑体" w:hint="default"/>
        <w:sz w:val="20"/>
      </w:rPr>
    </w:lvl>
    <w:lvl w:ilvl="3">
      <w:start w:val="1"/>
      <w:numFmt w:val="decimal"/>
      <w:pStyle w:val="af7"/>
      <w:suff w:val="nothing"/>
      <w:lvlText w:val="%1.%2.%3.%4　"/>
      <w:lvlJc w:val="left"/>
      <w:pPr>
        <w:ind w:left="0" w:firstLine="0"/>
      </w:pPr>
      <w:rPr>
        <w:rFonts w:ascii="黑体" w:eastAsia="黑体" w:hAnsi="黑体" w:cs="黑体" w:hint="default"/>
        <w:sz w:val="20"/>
      </w:rPr>
    </w:lvl>
    <w:lvl w:ilvl="4">
      <w:start w:val="1"/>
      <w:numFmt w:val="decimal"/>
      <w:pStyle w:val="af8"/>
      <w:suff w:val="nothing"/>
      <w:lvlText w:val="%1.%2.%3.%4.%5　"/>
      <w:lvlJc w:val="left"/>
      <w:pPr>
        <w:ind w:left="0" w:firstLine="0"/>
      </w:pPr>
      <w:rPr>
        <w:rFonts w:ascii="黑体" w:eastAsia="黑体" w:hAnsi="黑体" w:cs="黑体" w:hint="default"/>
        <w:sz w:val="20"/>
      </w:rPr>
    </w:lvl>
    <w:lvl w:ilvl="5">
      <w:start w:val="1"/>
      <w:numFmt w:val="decimal"/>
      <w:pStyle w:val="af9"/>
      <w:suff w:val="nothing"/>
      <w:lvlText w:val="%1.%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7" w15:restartNumberingAfterBreak="0">
    <w:nsid w:val="2F13001B"/>
    <w:multiLevelType w:val="multilevel"/>
    <w:tmpl w:val="2F13001B"/>
    <w:lvl w:ilvl="0">
      <w:start w:val="1"/>
      <w:numFmt w:val="decimal"/>
      <w:suff w:val="nothing"/>
      <w:lvlText w:val="%1　"/>
      <w:lvlJc w:val="left"/>
      <w:pPr>
        <w:ind w:left="0" w:firstLine="0"/>
      </w:pPr>
      <w:rPr>
        <w:rFonts w:ascii="黑体" w:eastAsia="黑体" w:hAnsi="黑体" w:cs="黑体" w:hint="default"/>
        <w:sz w:val="20"/>
      </w:rPr>
    </w:lvl>
    <w:lvl w:ilvl="1">
      <w:start w:val="1"/>
      <w:numFmt w:val="decimal"/>
      <w:suff w:val="nothing"/>
      <w:lvlText w:val="%1.%2　"/>
      <w:lvlJc w:val="left"/>
      <w:pPr>
        <w:ind w:left="0" w:firstLine="0"/>
      </w:pPr>
      <w:rPr>
        <w:rFonts w:ascii="黑体" w:eastAsia="黑体" w:hAnsi="黑体" w:cs="黑体" w:hint="default"/>
        <w:sz w:val="20"/>
      </w:rPr>
    </w:lvl>
    <w:lvl w:ilvl="2">
      <w:start w:val="1"/>
      <w:numFmt w:val="decimal"/>
      <w:suff w:val="nothing"/>
      <w:lvlText w:val="%1.%2.%3　"/>
      <w:lvlJc w:val="left"/>
      <w:pPr>
        <w:ind w:left="0" w:firstLine="0"/>
      </w:pPr>
      <w:rPr>
        <w:rFonts w:ascii="黑体" w:eastAsia="黑体" w:hAnsi="黑体" w:cs="黑体" w:hint="default"/>
        <w:sz w:val="20"/>
      </w:rPr>
    </w:lvl>
    <w:lvl w:ilvl="3">
      <w:start w:val="1"/>
      <w:numFmt w:val="decimal"/>
      <w:suff w:val="nothing"/>
      <w:lvlText w:val="%1.%2.%3.%4　"/>
      <w:lvlJc w:val="left"/>
      <w:pPr>
        <w:ind w:left="0" w:firstLine="0"/>
      </w:pPr>
      <w:rPr>
        <w:rFonts w:ascii="黑体" w:eastAsia="黑体" w:hAnsi="黑体" w:cs="黑体" w:hint="default"/>
        <w:sz w:val="20"/>
      </w:rPr>
    </w:lvl>
    <w:lvl w:ilvl="4">
      <w:start w:val="1"/>
      <w:numFmt w:val="decimal"/>
      <w:suff w:val="nothing"/>
      <w:lvlText w:val="%1.%2.%3.%4.%5　"/>
      <w:lvlJc w:val="left"/>
      <w:pPr>
        <w:ind w:left="0" w:firstLine="0"/>
      </w:pPr>
      <w:rPr>
        <w:rFonts w:ascii="黑体" w:eastAsia="黑体" w:hAnsi="黑体" w:cs="黑体" w:hint="default"/>
        <w:sz w:val="20"/>
      </w:rPr>
    </w:lvl>
    <w:lvl w:ilvl="5">
      <w:start w:val="1"/>
      <w:numFmt w:val="decimal"/>
      <w:suff w:val="nothing"/>
      <w:lvlText w:val="%1.%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8" w15:restartNumberingAfterBreak="0">
    <w:nsid w:val="3F878165"/>
    <w:multiLevelType w:val="multilevel"/>
    <w:tmpl w:val="3F878165"/>
    <w:lvl w:ilvl="0">
      <w:start w:val="1"/>
      <w:numFmt w:val="decimal"/>
      <w:pStyle w:val="afa"/>
      <w:suff w:val="nothing"/>
      <w:lvlText w:val="[%1]  "/>
      <w:lvlJc w:val="left"/>
      <w:pPr>
        <w:ind w:left="0" w:firstLine="363"/>
      </w:pPr>
      <w:rPr>
        <w:rFonts w:ascii="黑体" w:eastAsia="黑体" w:hAnsi="黑体" w:cs="黑体" w:hint="eastAsia"/>
        <w:sz w:val="18"/>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19" w15:restartNumberingAfterBreak="0">
    <w:nsid w:val="61D7AFCD"/>
    <w:multiLevelType w:val="multilevel"/>
    <w:tmpl w:val="61D7AFCD"/>
    <w:lvl w:ilvl="0">
      <w:start w:val="1"/>
      <w:numFmt w:val="none"/>
      <w:pStyle w:val="afb"/>
      <w:suff w:val="nothing"/>
      <w:lvlText w:val="注："/>
      <w:lvlJc w:val="left"/>
      <w:pPr>
        <w:tabs>
          <w:tab w:val="left" w:pos="539"/>
        </w:tabs>
        <w:ind w:left="737" w:hanging="374"/>
      </w:pPr>
      <w:rPr>
        <w:rFonts w:ascii="黑体" w:eastAsia="黑体" w:hAnsi="黑体" w:cs="黑体" w:hint="eastAsia"/>
        <w:sz w:val="18"/>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20" w15:restartNumberingAfterBreak="0">
    <w:nsid w:val="72D71BEF"/>
    <w:multiLevelType w:val="multilevel"/>
    <w:tmpl w:val="72D71BEF"/>
    <w:lvl w:ilvl="0">
      <w:start w:val="1"/>
      <w:numFmt w:val="upperLetter"/>
      <w:pStyle w:val="afc"/>
      <w:suff w:val="nothing"/>
      <w:lvlText w:val="附录%1"/>
      <w:lvlJc w:val="left"/>
      <w:pPr>
        <w:ind w:left="0" w:firstLine="0"/>
      </w:pPr>
      <w:rPr>
        <w:rFonts w:hint="default"/>
        <w:spacing w:val="102"/>
      </w:rPr>
    </w:lvl>
    <w:lvl w:ilvl="1">
      <w:start w:val="1"/>
      <w:numFmt w:val="decimal"/>
      <w:pStyle w:val="afd"/>
      <w:suff w:val="nothing"/>
      <w:lvlText w:val="%1.%2　"/>
      <w:lvlJc w:val="left"/>
      <w:pPr>
        <w:ind w:left="0" w:firstLine="0"/>
      </w:pPr>
      <w:rPr>
        <w:rFonts w:ascii="黑体" w:eastAsia="黑体" w:hAnsi="黑体" w:cs="黑体" w:hint="default"/>
        <w:sz w:val="20"/>
      </w:rPr>
    </w:lvl>
    <w:lvl w:ilvl="2">
      <w:start w:val="1"/>
      <w:numFmt w:val="decimal"/>
      <w:pStyle w:val="afe"/>
      <w:suff w:val="nothing"/>
      <w:lvlText w:val="%1.%2.%3　"/>
      <w:lvlJc w:val="left"/>
      <w:pPr>
        <w:ind w:left="0" w:firstLine="0"/>
      </w:pPr>
      <w:rPr>
        <w:rFonts w:ascii="黑体" w:eastAsia="黑体" w:hAnsi="黑体" w:cs="黑体" w:hint="default"/>
        <w:sz w:val="20"/>
      </w:rPr>
    </w:lvl>
    <w:lvl w:ilvl="3">
      <w:start w:val="1"/>
      <w:numFmt w:val="decimal"/>
      <w:pStyle w:val="aff"/>
      <w:suff w:val="nothing"/>
      <w:lvlText w:val="%1.%2.%3.%4　"/>
      <w:lvlJc w:val="left"/>
      <w:pPr>
        <w:ind w:left="0" w:firstLine="0"/>
      </w:pPr>
      <w:rPr>
        <w:rFonts w:ascii="黑体" w:eastAsia="黑体" w:hAnsi="黑体" w:cs="黑体" w:hint="default"/>
        <w:sz w:val="20"/>
      </w:rPr>
    </w:lvl>
    <w:lvl w:ilvl="4">
      <w:start w:val="1"/>
      <w:numFmt w:val="decimal"/>
      <w:pStyle w:val="aff0"/>
      <w:suff w:val="nothing"/>
      <w:lvlText w:val="%1.%2.%3.%4.%5　"/>
      <w:lvlJc w:val="left"/>
      <w:pPr>
        <w:ind w:left="0" w:firstLine="0"/>
      </w:pPr>
      <w:rPr>
        <w:rFonts w:ascii="黑体" w:eastAsia="黑体" w:hAnsi="黑体" w:cs="黑体" w:hint="default"/>
        <w:sz w:val="20"/>
      </w:rPr>
    </w:lvl>
    <w:lvl w:ilvl="5">
      <w:start w:val="1"/>
      <w:numFmt w:val="decimal"/>
      <w:pStyle w:val="aff1"/>
      <w:suff w:val="nothing"/>
      <w:lvlText w:val="%1.%2.%3.%4.%5.%6　"/>
      <w:lvlJc w:val="left"/>
      <w:pPr>
        <w:ind w:left="0" w:firstLine="0"/>
      </w:pPr>
      <w:rPr>
        <w:rFonts w:ascii="黑体" w:eastAsia="黑体" w:hAnsi="黑体" w:cs="黑体" w:hint="default"/>
        <w:sz w:val="20"/>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1" w15:restartNumberingAfterBreak="0">
    <w:nsid w:val="7BDB5971"/>
    <w:multiLevelType w:val="multilevel"/>
    <w:tmpl w:val="7BDB5971"/>
    <w:lvl w:ilvl="0">
      <w:start w:val="1"/>
      <w:numFmt w:val="upperLetter"/>
      <w:suff w:val="nothing"/>
      <w:lvlText w:val="附录%1"/>
      <w:lvlJc w:val="left"/>
      <w:pPr>
        <w:ind w:left="0" w:firstLine="0"/>
      </w:pPr>
      <w:rPr>
        <w:rFonts w:hint="default"/>
        <w:spacing w:val="102"/>
      </w:rPr>
    </w:lvl>
    <w:lvl w:ilvl="1">
      <w:start w:val="1"/>
      <w:numFmt w:val="decimal"/>
      <w:suff w:val="nothing"/>
      <w:lvlText w:val="%1.%2　"/>
      <w:lvlJc w:val="left"/>
      <w:pPr>
        <w:ind w:left="0" w:firstLine="0"/>
      </w:pPr>
      <w:rPr>
        <w:rFonts w:ascii="黑体" w:eastAsia="黑体" w:hAnsi="黑体" w:cs="黑体" w:hint="default"/>
        <w:sz w:val="20"/>
      </w:rPr>
    </w:lvl>
    <w:lvl w:ilvl="2">
      <w:start w:val="1"/>
      <w:numFmt w:val="decimal"/>
      <w:suff w:val="nothing"/>
      <w:lvlText w:val="%1.%2.%3　"/>
      <w:lvlJc w:val="left"/>
      <w:pPr>
        <w:ind w:left="0" w:firstLine="0"/>
      </w:pPr>
      <w:rPr>
        <w:rFonts w:ascii="黑体" w:eastAsia="黑体" w:hAnsi="黑体" w:cs="黑体" w:hint="default"/>
        <w:sz w:val="20"/>
      </w:rPr>
    </w:lvl>
    <w:lvl w:ilvl="3">
      <w:start w:val="1"/>
      <w:numFmt w:val="decimal"/>
      <w:suff w:val="nothing"/>
      <w:lvlText w:val="%1.%2.%3.%4　"/>
      <w:lvlJc w:val="left"/>
      <w:pPr>
        <w:ind w:left="0" w:firstLine="0"/>
      </w:pPr>
      <w:rPr>
        <w:rFonts w:ascii="黑体" w:eastAsia="黑体" w:hAnsi="黑体" w:cs="黑体" w:hint="default"/>
        <w:sz w:val="20"/>
      </w:rPr>
    </w:lvl>
    <w:lvl w:ilvl="4">
      <w:start w:val="1"/>
      <w:numFmt w:val="decimal"/>
      <w:suff w:val="nothing"/>
      <w:lvlText w:val="%1.%2.%3.%4.%5　"/>
      <w:lvlJc w:val="left"/>
      <w:pPr>
        <w:ind w:left="0" w:firstLine="0"/>
      </w:pPr>
      <w:rPr>
        <w:rFonts w:ascii="黑体" w:eastAsia="黑体" w:hAnsi="黑体" w:cs="黑体" w:hint="default"/>
        <w:sz w:val="20"/>
      </w:rPr>
    </w:lvl>
    <w:lvl w:ilvl="5">
      <w:start w:val="1"/>
      <w:numFmt w:val="decimal"/>
      <w:suff w:val="nothing"/>
      <w:lvlText w:val="%1.%2.%3.%4.%5.%6　"/>
      <w:lvlJc w:val="left"/>
      <w:pPr>
        <w:ind w:left="0" w:firstLine="0"/>
      </w:pPr>
      <w:rPr>
        <w:rFonts w:ascii="黑体" w:eastAsia="黑体" w:hAnsi="黑体" w:cs="黑体" w:hint="default"/>
        <w:sz w:val="20"/>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16cid:durableId="977033915">
    <w:abstractNumId w:val="14"/>
  </w:num>
  <w:num w:numId="2" w16cid:durableId="791629702">
    <w:abstractNumId w:val="5"/>
  </w:num>
  <w:num w:numId="3" w16cid:durableId="2129428208">
    <w:abstractNumId w:val="9"/>
  </w:num>
  <w:num w:numId="4" w16cid:durableId="463472972">
    <w:abstractNumId w:val="15"/>
  </w:num>
  <w:num w:numId="5" w16cid:durableId="446891048">
    <w:abstractNumId w:val="0"/>
  </w:num>
  <w:num w:numId="6" w16cid:durableId="2001343843">
    <w:abstractNumId w:val="1"/>
  </w:num>
  <w:num w:numId="7" w16cid:durableId="565653111">
    <w:abstractNumId w:val="16"/>
  </w:num>
  <w:num w:numId="8" w16cid:durableId="1294680578">
    <w:abstractNumId w:val="20"/>
  </w:num>
  <w:num w:numId="9" w16cid:durableId="722677956">
    <w:abstractNumId w:val="7"/>
  </w:num>
  <w:num w:numId="10" w16cid:durableId="748768807">
    <w:abstractNumId w:val="13"/>
  </w:num>
  <w:num w:numId="11" w16cid:durableId="1294141400">
    <w:abstractNumId w:val="3"/>
  </w:num>
  <w:num w:numId="12" w16cid:durableId="1512253462">
    <w:abstractNumId w:val="19"/>
  </w:num>
  <w:num w:numId="13" w16cid:durableId="1808475207">
    <w:abstractNumId w:val="8"/>
  </w:num>
  <w:num w:numId="14" w16cid:durableId="484472878">
    <w:abstractNumId w:val="2"/>
  </w:num>
  <w:num w:numId="15" w16cid:durableId="1471746376">
    <w:abstractNumId w:val="11"/>
  </w:num>
  <w:num w:numId="16" w16cid:durableId="1595473925">
    <w:abstractNumId w:val="12"/>
  </w:num>
  <w:num w:numId="17" w16cid:durableId="742679355">
    <w:abstractNumId w:val="18"/>
  </w:num>
  <w:num w:numId="18" w16cid:durableId="990669608">
    <w:abstractNumId w:val="17"/>
  </w:num>
  <w:num w:numId="19" w16cid:durableId="1620407233">
    <w:abstractNumId w:val="4"/>
  </w:num>
  <w:num w:numId="20" w16cid:durableId="1002050210">
    <w:abstractNumId w:val="10"/>
  </w:num>
  <w:num w:numId="21" w16cid:durableId="2118717916">
    <w:abstractNumId w:val="6"/>
  </w:num>
  <w:num w:numId="22" w16cid:durableId="12962561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F1A7AB9"/>
    <w:rsid w:val="00030911"/>
    <w:rsid w:val="00107FC3"/>
    <w:rsid w:val="001679A7"/>
    <w:rsid w:val="004D3C5D"/>
    <w:rsid w:val="004D51D6"/>
    <w:rsid w:val="00512E67"/>
    <w:rsid w:val="00531842"/>
    <w:rsid w:val="005F7592"/>
    <w:rsid w:val="00620FBD"/>
    <w:rsid w:val="00891A99"/>
    <w:rsid w:val="008E76FE"/>
    <w:rsid w:val="00AF3A23"/>
    <w:rsid w:val="00B44D8C"/>
    <w:rsid w:val="00BC21DE"/>
    <w:rsid w:val="00D83EEB"/>
    <w:rsid w:val="00DE41B3"/>
    <w:rsid w:val="00EE33EA"/>
    <w:rsid w:val="02053438"/>
    <w:rsid w:val="023C4E17"/>
    <w:rsid w:val="02621BFB"/>
    <w:rsid w:val="02A8425B"/>
    <w:rsid w:val="03806F86"/>
    <w:rsid w:val="05280385"/>
    <w:rsid w:val="054144F3"/>
    <w:rsid w:val="064E6EC7"/>
    <w:rsid w:val="065B226D"/>
    <w:rsid w:val="06B331CE"/>
    <w:rsid w:val="09175C96"/>
    <w:rsid w:val="0A36632B"/>
    <w:rsid w:val="0B676BB3"/>
    <w:rsid w:val="0BA818DD"/>
    <w:rsid w:val="0F9820AB"/>
    <w:rsid w:val="14C75B66"/>
    <w:rsid w:val="1557566D"/>
    <w:rsid w:val="1A6B493D"/>
    <w:rsid w:val="1D434E54"/>
    <w:rsid w:val="1D4D1907"/>
    <w:rsid w:val="1E75162A"/>
    <w:rsid w:val="1FD200BA"/>
    <w:rsid w:val="25D40A07"/>
    <w:rsid w:val="26901F65"/>
    <w:rsid w:val="270D71F6"/>
    <w:rsid w:val="271E0519"/>
    <w:rsid w:val="2F8F217B"/>
    <w:rsid w:val="316255FD"/>
    <w:rsid w:val="31F664E1"/>
    <w:rsid w:val="325D030E"/>
    <w:rsid w:val="325D6F3C"/>
    <w:rsid w:val="32A10D3B"/>
    <w:rsid w:val="34126ED7"/>
    <w:rsid w:val="375241BA"/>
    <w:rsid w:val="397B1434"/>
    <w:rsid w:val="3EB2640A"/>
    <w:rsid w:val="3EC05EAD"/>
    <w:rsid w:val="3F0062A9"/>
    <w:rsid w:val="403106E1"/>
    <w:rsid w:val="40747063"/>
    <w:rsid w:val="41D0226D"/>
    <w:rsid w:val="422E5823"/>
    <w:rsid w:val="423B3A9C"/>
    <w:rsid w:val="425812C7"/>
    <w:rsid w:val="445A2DE7"/>
    <w:rsid w:val="459E4A6E"/>
    <w:rsid w:val="495711BC"/>
    <w:rsid w:val="4ABB39CC"/>
    <w:rsid w:val="4F6C0852"/>
    <w:rsid w:val="4FB70C06"/>
    <w:rsid w:val="533C7A88"/>
    <w:rsid w:val="54352A41"/>
    <w:rsid w:val="56EE0AA8"/>
    <w:rsid w:val="57BF18BA"/>
    <w:rsid w:val="5CA96955"/>
    <w:rsid w:val="5D972139"/>
    <w:rsid w:val="5E5F26A2"/>
    <w:rsid w:val="631A7FA3"/>
    <w:rsid w:val="66CB1D92"/>
    <w:rsid w:val="69DD3507"/>
    <w:rsid w:val="6EC425A0"/>
    <w:rsid w:val="6F1A7AB9"/>
    <w:rsid w:val="6F974E9F"/>
    <w:rsid w:val="706E4EB9"/>
    <w:rsid w:val="72016718"/>
    <w:rsid w:val="72D56945"/>
    <w:rsid w:val="7455090C"/>
    <w:rsid w:val="74941B0C"/>
    <w:rsid w:val="771542E1"/>
    <w:rsid w:val="78D60C5A"/>
    <w:rsid w:val="7BED029F"/>
    <w:rsid w:val="7CFA2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05752ED"/>
  <w15:docId w15:val="{9CF725D0-5D60-46B0-BDE3-B804DDDF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rFonts w:ascii="宋体" w:cs="宋体" w:hint="eastAsia"/>
      <w:kern w:val="2"/>
      <w:sz w:val="21"/>
      <w:szCs w:val="24"/>
    </w:rPr>
  </w:style>
  <w:style w:type="paragraph" w:styleId="1">
    <w:name w:val="heading 1"/>
    <w:basedOn w:val="aff2"/>
    <w:next w:val="aff2"/>
    <w:qFormat/>
    <w:pPr>
      <w:spacing w:beforeAutospacing="1" w:afterAutospacing="1"/>
      <w:jc w:val="left"/>
      <w:outlineLvl w:val="0"/>
    </w:pPr>
    <w:rPr>
      <w:rFonts w:hAnsi="宋体" w:cs="Times New Roman"/>
      <w:b/>
      <w:bCs/>
      <w:kern w:val="44"/>
      <w:sz w:val="48"/>
      <w:szCs w:val="48"/>
    </w:rPr>
  </w:style>
  <w:style w:type="paragraph" w:styleId="20">
    <w:name w:val="heading 2"/>
    <w:basedOn w:val="aff2"/>
    <w:next w:val="aff2"/>
    <w:semiHidden/>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ff2"/>
    <w:next w:val="aff2"/>
    <w:semiHidden/>
    <w:unhideWhenUsed/>
    <w:qFormat/>
    <w:pPr>
      <w:keepNext/>
      <w:keepLines/>
      <w:numPr>
        <w:ilvl w:val="2"/>
        <w:numId w:val="2"/>
      </w:numPr>
      <w:spacing w:before="260" w:after="260" w:line="413" w:lineRule="auto"/>
      <w:outlineLvl w:val="2"/>
    </w:pPr>
    <w:rPr>
      <w:b/>
      <w:sz w:val="32"/>
    </w:rPr>
  </w:style>
  <w:style w:type="paragraph" w:styleId="4">
    <w:name w:val="heading 4"/>
    <w:basedOn w:val="aff2"/>
    <w:next w:val="aff2"/>
    <w:semiHidden/>
    <w:unhideWhenUsed/>
    <w:qFormat/>
    <w:pPr>
      <w:keepNext/>
      <w:keepLines/>
      <w:numPr>
        <w:ilvl w:val="3"/>
        <w:numId w:val="2"/>
      </w:numPr>
      <w:spacing w:before="280" w:after="290" w:line="372" w:lineRule="auto"/>
      <w:outlineLvl w:val="3"/>
    </w:pPr>
    <w:rPr>
      <w:rFonts w:ascii="Arial" w:eastAsia="黑体" w:hAnsi="Arial"/>
      <w:b/>
      <w:sz w:val="28"/>
    </w:rPr>
  </w:style>
  <w:style w:type="paragraph" w:styleId="5">
    <w:name w:val="heading 5"/>
    <w:basedOn w:val="aff2"/>
    <w:next w:val="aff2"/>
    <w:semiHidden/>
    <w:unhideWhenUsed/>
    <w:qFormat/>
    <w:pPr>
      <w:keepNext/>
      <w:keepLines/>
      <w:numPr>
        <w:ilvl w:val="4"/>
        <w:numId w:val="2"/>
      </w:numPr>
      <w:spacing w:before="280" w:after="290" w:line="372" w:lineRule="auto"/>
      <w:outlineLvl w:val="4"/>
    </w:pPr>
    <w:rPr>
      <w:b/>
      <w:sz w:val="28"/>
    </w:rPr>
  </w:style>
  <w:style w:type="paragraph" w:styleId="6">
    <w:name w:val="heading 6"/>
    <w:basedOn w:val="aff2"/>
    <w:next w:val="aff2"/>
    <w:semiHidden/>
    <w:unhideWhenUsed/>
    <w:qFormat/>
    <w:pPr>
      <w:keepNext/>
      <w:keepLines/>
      <w:numPr>
        <w:ilvl w:val="5"/>
        <w:numId w:val="2"/>
      </w:numPr>
      <w:spacing w:before="240" w:after="64" w:line="317" w:lineRule="auto"/>
      <w:outlineLvl w:val="5"/>
    </w:pPr>
    <w:rPr>
      <w:rFonts w:ascii="Arial" w:eastAsia="黑体" w:hAnsi="Arial"/>
      <w:b/>
      <w:sz w:val="24"/>
    </w:rPr>
  </w:style>
  <w:style w:type="paragraph" w:styleId="7">
    <w:name w:val="heading 7"/>
    <w:basedOn w:val="aff2"/>
    <w:next w:val="aff2"/>
    <w:semiHidden/>
    <w:unhideWhenUsed/>
    <w:qFormat/>
    <w:pPr>
      <w:keepNext/>
      <w:keepLines/>
      <w:numPr>
        <w:ilvl w:val="6"/>
        <w:numId w:val="2"/>
      </w:numPr>
      <w:spacing w:before="240" w:after="64" w:line="317" w:lineRule="auto"/>
      <w:outlineLvl w:val="6"/>
    </w:pPr>
    <w:rPr>
      <w:b/>
      <w:sz w:val="24"/>
    </w:rPr>
  </w:style>
  <w:style w:type="paragraph" w:styleId="8">
    <w:name w:val="heading 8"/>
    <w:basedOn w:val="aff2"/>
    <w:next w:val="aff2"/>
    <w:semiHidden/>
    <w:unhideWhenUsed/>
    <w:qFormat/>
    <w:pPr>
      <w:keepNext/>
      <w:keepLines/>
      <w:numPr>
        <w:ilvl w:val="7"/>
        <w:numId w:val="2"/>
      </w:numPr>
      <w:spacing w:before="240" w:after="64" w:line="317" w:lineRule="auto"/>
      <w:outlineLvl w:val="7"/>
    </w:pPr>
    <w:rPr>
      <w:rFonts w:ascii="Arial" w:eastAsia="黑体" w:hAnsi="Arial"/>
      <w:sz w:val="24"/>
    </w:rPr>
  </w:style>
  <w:style w:type="paragraph" w:styleId="9">
    <w:name w:val="heading 9"/>
    <w:basedOn w:val="aff2"/>
    <w:next w:val="aff2"/>
    <w:semiHidden/>
    <w:unhideWhenUsed/>
    <w:qFormat/>
    <w:pPr>
      <w:keepNext/>
      <w:keepLines/>
      <w:numPr>
        <w:ilvl w:val="8"/>
        <w:numId w:val="2"/>
      </w:numPr>
      <w:spacing w:before="240" w:after="64" w:line="317" w:lineRule="auto"/>
      <w:outlineLvl w:val="8"/>
    </w:pPr>
    <w:rPr>
      <w:rFonts w:ascii="Arial" w:eastAsia="黑体" w:hAnsi="Arial"/>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5">
    <w:name w:val="toc 5"/>
    <w:basedOn w:val="aff2"/>
    <w:next w:val="aff2"/>
    <w:qFormat/>
    <w:pPr>
      <w:spacing w:line="300" w:lineRule="exact"/>
      <w:ind w:leftChars="800" w:left="1680"/>
    </w:pPr>
    <w:rPr>
      <w:rFonts w:hAnsi="宋体"/>
    </w:rPr>
  </w:style>
  <w:style w:type="paragraph" w:styleId="TOC3">
    <w:name w:val="toc 3"/>
    <w:basedOn w:val="aff2"/>
    <w:next w:val="aff2"/>
    <w:qFormat/>
    <w:pPr>
      <w:spacing w:line="300" w:lineRule="exact"/>
      <w:ind w:leftChars="400" w:left="840"/>
    </w:pPr>
    <w:rPr>
      <w:rFonts w:hAnsi="宋体"/>
    </w:rPr>
  </w:style>
  <w:style w:type="paragraph" w:styleId="aff6">
    <w:name w:val="footer"/>
    <w:basedOn w:val="aff2"/>
    <w:qFormat/>
    <w:pPr>
      <w:tabs>
        <w:tab w:val="center" w:pos="4153"/>
        <w:tab w:val="right" w:pos="8306"/>
      </w:tabs>
      <w:snapToGrid w:val="0"/>
      <w:jc w:val="left"/>
    </w:pPr>
    <w:rPr>
      <w:sz w:val="18"/>
    </w:rPr>
  </w:style>
  <w:style w:type="paragraph" w:styleId="aff7">
    <w:name w:val="header"/>
    <w:basedOn w:val="aff2"/>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ff2"/>
    <w:next w:val="aff2"/>
    <w:qFormat/>
    <w:pPr>
      <w:spacing w:line="400" w:lineRule="exact"/>
    </w:pPr>
    <w:rPr>
      <w:rFonts w:hAnsi="宋体"/>
    </w:rPr>
  </w:style>
  <w:style w:type="paragraph" w:styleId="TOC4">
    <w:name w:val="toc 4"/>
    <w:basedOn w:val="aff2"/>
    <w:next w:val="aff2"/>
    <w:qFormat/>
    <w:pPr>
      <w:spacing w:line="300" w:lineRule="exact"/>
      <w:ind w:leftChars="600" w:left="1260"/>
    </w:pPr>
    <w:rPr>
      <w:rFonts w:hAnsi="宋体"/>
    </w:rPr>
  </w:style>
  <w:style w:type="paragraph" w:styleId="aa">
    <w:name w:val="footnote text"/>
    <w:basedOn w:val="aff2"/>
    <w:qFormat/>
    <w:pPr>
      <w:widowControl/>
      <w:numPr>
        <w:numId w:val="3"/>
      </w:numPr>
      <w:autoSpaceDE w:val="0"/>
      <w:autoSpaceDN w:val="0"/>
      <w:ind w:leftChars="200" w:left="1860" w:hangingChars="200" w:hanging="1440"/>
    </w:pPr>
    <w:rPr>
      <w:rFonts w:hAnsi="宋体"/>
      <w:sz w:val="15"/>
    </w:rPr>
  </w:style>
  <w:style w:type="paragraph" w:styleId="TOC6">
    <w:name w:val="toc 6"/>
    <w:basedOn w:val="aff2"/>
    <w:next w:val="aff2"/>
    <w:qFormat/>
    <w:pPr>
      <w:spacing w:line="300" w:lineRule="exact"/>
      <w:ind w:leftChars="1000" w:left="2100"/>
    </w:pPr>
    <w:rPr>
      <w:rFonts w:hAnsi="宋体"/>
    </w:rPr>
  </w:style>
  <w:style w:type="paragraph" w:styleId="TOC2">
    <w:name w:val="toc 2"/>
    <w:basedOn w:val="aff2"/>
    <w:next w:val="aff2"/>
    <w:qFormat/>
    <w:pPr>
      <w:spacing w:line="300" w:lineRule="exact"/>
      <w:ind w:leftChars="200" w:left="420"/>
    </w:pPr>
    <w:rPr>
      <w:rFonts w:hAnsi="宋体"/>
    </w:rPr>
  </w:style>
  <w:style w:type="paragraph" w:styleId="aff8">
    <w:name w:val="Normal (Web)"/>
    <w:basedOn w:val="aff2"/>
    <w:qFormat/>
    <w:pPr>
      <w:spacing w:beforeAutospacing="1" w:afterAutospacing="1"/>
      <w:jc w:val="left"/>
    </w:pPr>
    <w:rPr>
      <w:rFonts w:cs="Times New Roman"/>
      <w:kern w:val="0"/>
      <w:sz w:val="24"/>
    </w:rPr>
  </w:style>
  <w:style w:type="table" w:styleId="aff9">
    <w:name w:val="Table Grid"/>
    <w:basedOn w:val="aff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basedOn w:val="aff3"/>
    <w:qFormat/>
    <w:rPr>
      <w:b/>
    </w:rPr>
  </w:style>
  <w:style w:type="character" w:styleId="affb">
    <w:name w:val="footnote reference"/>
    <w:basedOn w:val="aff3"/>
    <w:qFormat/>
    <w:rPr>
      <w:rFonts w:ascii="宋体" w:eastAsia="宋体" w:hAnsi="宋体" w:cs="宋体" w:hint="eastAsia"/>
      <w:sz w:val="18"/>
      <w:vertAlign w:val="superscript"/>
    </w:rPr>
  </w:style>
  <w:style w:type="paragraph" w:customStyle="1" w:styleId="affc">
    <w:name w:val="标准文件_段"/>
    <w:qFormat/>
    <w:pPr>
      <w:ind w:firstLineChars="200" w:firstLine="1440"/>
      <w:jc w:val="both"/>
    </w:pPr>
    <w:rPr>
      <w:rFonts w:ascii="宋体" w:cs="宋体" w:hint="eastAsia"/>
      <w:sz w:val="21"/>
    </w:rPr>
  </w:style>
  <w:style w:type="paragraph" w:customStyle="1" w:styleId="affd">
    <w:name w:val="标准标志"/>
    <w:next w:val="aff2"/>
    <w:qFormat/>
    <w:pPr>
      <w:framePr w:w="2546" w:h="1134" w:hRule="exact" w:hSpace="181" w:wrap="around" w:hAnchor="margin" w:x="6521" w:y="421" w:anchorLock="1"/>
      <w:shd w:val="clear" w:color="auto" w:fill="FFFFFF"/>
      <w:spacing w:line="0" w:lineRule="atLeast"/>
      <w:jc w:val="right"/>
    </w:pPr>
    <w:rPr>
      <w:rFonts w:hint="eastAsia"/>
      <w:b/>
      <w:w w:val="170"/>
      <w:sz w:val="96"/>
    </w:rPr>
  </w:style>
  <w:style w:type="paragraph" w:customStyle="1" w:styleId="21">
    <w:name w:val="标准标志2"/>
    <w:next w:val="aff2"/>
    <w:qFormat/>
    <w:pPr>
      <w:framePr w:wrap="around" w:hAnchor="margin" w:x="5614" w:y="398" w:anchorLock="1"/>
      <w:spacing w:line="0" w:lineRule="atLeast"/>
      <w:jc w:val="right"/>
    </w:pPr>
    <w:rPr>
      <w:rFonts w:hint="eastAsia"/>
      <w:b/>
      <w:w w:val="130"/>
      <w:sz w:val="96"/>
    </w:rPr>
  </w:style>
  <w:style w:type="paragraph" w:customStyle="1" w:styleId="affe">
    <w:name w:val="标准称谓"/>
    <w:next w:val="aff2"/>
    <w:qFormat/>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ascii="宋体" w:hint="eastAsia"/>
      <w:b/>
      <w:w w:val="148"/>
      <w:sz w:val="48"/>
    </w:rPr>
  </w:style>
  <w:style w:type="paragraph" w:customStyle="1" w:styleId="22">
    <w:name w:val="标准称谓2"/>
    <w:next w:val="aff2"/>
    <w:qFormat/>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eastAsia="黑体" w:hint="eastAsia"/>
      <w:spacing w:val="-40"/>
      <w:kern w:val="2"/>
      <w:sz w:val="72"/>
      <w:szCs w:val="72"/>
    </w:rPr>
  </w:style>
  <w:style w:type="paragraph" w:customStyle="1" w:styleId="30">
    <w:name w:val="标准称谓3"/>
    <w:next w:val="aff2"/>
    <w:qFormat/>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ascii="黑体" w:eastAsia="黑体" w:hint="eastAsia"/>
      <w:sz w:val="48"/>
    </w:rPr>
  </w:style>
  <w:style w:type="paragraph" w:customStyle="1" w:styleId="afff">
    <w:name w:val="标准书脚_奇数页"/>
    <w:qFormat/>
    <w:pPr>
      <w:ind w:right="227"/>
      <w:jc w:val="right"/>
    </w:pPr>
    <w:rPr>
      <w:rFonts w:ascii="宋体" w:cs="宋体" w:hint="eastAsia"/>
      <w:sz w:val="18"/>
    </w:rPr>
  </w:style>
  <w:style w:type="paragraph" w:customStyle="1" w:styleId="afff0">
    <w:name w:val="标准书眉_奇数页"/>
    <w:next w:val="aff2"/>
    <w:qFormat/>
    <w:pPr>
      <w:tabs>
        <w:tab w:val="center" w:pos="4153"/>
        <w:tab w:val="right" w:pos="8306"/>
      </w:tabs>
      <w:spacing w:after="120"/>
      <w:jc w:val="right"/>
    </w:pPr>
    <w:rPr>
      <w:rFonts w:ascii="黑体" w:eastAsia="黑体" w:cs="黑体" w:hint="eastAsia"/>
      <w:sz w:val="21"/>
    </w:rPr>
  </w:style>
  <w:style w:type="paragraph" w:customStyle="1" w:styleId="afff1">
    <w:name w:val="标准书眉_偶数页"/>
    <w:next w:val="aff2"/>
    <w:qFormat/>
    <w:pPr>
      <w:spacing w:after="120"/>
    </w:pPr>
    <w:rPr>
      <w:rFonts w:ascii="黑体" w:eastAsia="黑体" w:cs="黑体" w:hint="eastAsia"/>
      <w:sz w:val="21"/>
    </w:rPr>
  </w:style>
  <w:style w:type="paragraph" w:customStyle="1" w:styleId="afff2">
    <w:name w:val="标准文件_参考文献标题"/>
    <w:basedOn w:val="aff2"/>
    <w:next w:val="aff2"/>
    <w:qFormat/>
    <w:pPr>
      <w:widowControl/>
      <w:spacing w:beforeLines="40" w:before="126" w:afterLines="50" w:after="157"/>
      <w:jc w:val="center"/>
      <w:outlineLvl w:val="0"/>
    </w:pPr>
    <w:rPr>
      <w:rFonts w:ascii="黑体" w:eastAsia="黑体" w:cs="黑体"/>
      <w:kern w:val="0"/>
    </w:rPr>
  </w:style>
  <w:style w:type="paragraph" w:customStyle="1" w:styleId="afff3">
    <w:name w:val="封面标准顶部线"/>
    <w:qFormat/>
    <w:pPr>
      <w:framePr w:w="9673" w:hSpace="181" w:wrap="around" w:vAnchor="page" w:hAnchor="page" w:x="1390" w:y="4242"/>
      <w:spacing w:line="0" w:lineRule="atLeast"/>
    </w:pPr>
    <w:rPr>
      <w:rFonts w:ascii="宋体" w:hint="eastAsia"/>
      <w:sz w:val="21"/>
    </w:rPr>
  </w:style>
  <w:style w:type="paragraph" w:customStyle="1" w:styleId="afff4">
    <w:name w:val="发布部门"/>
    <w:next w:val="affc"/>
    <w:qFormat/>
    <w:pPr>
      <w:framePr w:w="7938" w:h="1134" w:hRule="exact" w:hSpace="125" w:vSpace="181" w:wrap="around" w:vAnchor="page" w:hAnchor="page" w:x="2150" w:y="14630" w:anchorLock="1"/>
      <w:spacing w:before="100"/>
      <w:jc w:val="center"/>
    </w:pPr>
    <w:rPr>
      <w:rFonts w:ascii="宋体" w:hint="eastAsia"/>
      <w:spacing w:val="20"/>
      <w:w w:val="135"/>
      <w:sz w:val="28"/>
    </w:rPr>
  </w:style>
  <w:style w:type="paragraph" w:customStyle="1" w:styleId="afff5">
    <w:name w:val="发布日期"/>
    <w:qFormat/>
    <w:pPr>
      <w:framePr w:w="3997" w:h="471" w:hRule="exact" w:hSpace="181" w:vSpace="181" w:wrap="around" w:hAnchor="page" w:y="14080" w:anchorLock="1"/>
      <w:spacing w:line="360" w:lineRule="exact"/>
    </w:pPr>
    <w:rPr>
      <w:rFonts w:ascii="黑体" w:eastAsia="黑体" w:hint="eastAsia"/>
      <w:sz w:val="28"/>
    </w:rPr>
  </w:style>
  <w:style w:type="paragraph" w:customStyle="1" w:styleId="afff6">
    <w:name w:val="实施日期"/>
    <w:basedOn w:val="afff5"/>
    <w:qFormat/>
    <w:pPr>
      <w:framePr w:hSpace="0" w:wrap="around" w:vAnchor="page" w:x="7089" w:y="14176"/>
      <w:jc w:val="right"/>
    </w:pPr>
  </w:style>
  <w:style w:type="paragraph" w:customStyle="1" w:styleId="afff7">
    <w:name w:val="封面日期"/>
    <w:qFormat/>
    <w:pPr>
      <w:framePr w:w="9673" w:vSpace="181" w:wrap="around" w:vAnchor="page" w:hAnchor="page" w:x="1419" w:y="14176" w:anchorLock="1"/>
      <w:spacing w:line="360" w:lineRule="exact"/>
    </w:pPr>
    <w:rPr>
      <w:rFonts w:ascii="黑体" w:eastAsia="黑体" w:hint="eastAsia"/>
      <w:sz w:val="28"/>
    </w:rPr>
  </w:style>
  <w:style w:type="paragraph" w:customStyle="1" w:styleId="afff8">
    <w:name w:val="封面标准代替信息"/>
    <w:qFormat/>
    <w:pPr>
      <w:framePr w:w="9355" w:h="624" w:hRule="exact" w:hSpace="181" w:vSpace="181" w:wrap="around" w:vAnchor="page" w:hAnchor="page" w:x="1419" w:y="3284"/>
      <w:spacing w:before="57" w:line="280" w:lineRule="exact"/>
      <w:jc w:val="right"/>
    </w:pPr>
    <w:rPr>
      <w:rFonts w:ascii="黑体" w:eastAsia="黑体" w:hint="eastAsia"/>
      <w:sz w:val="21"/>
    </w:rPr>
  </w:style>
  <w:style w:type="paragraph" w:customStyle="1" w:styleId="23">
    <w:name w:val="封面标准号2"/>
    <w:qFormat/>
    <w:pPr>
      <w:framePr w:w="9355" w:h="624" w:hRule="exact" w:hSpace="181" w:vSpace="181" w:wrap="around" w:vAnchor="page" w:hAnchor="page" w:x="1419" w:y="3284"/>
      <w:spacing w:line="280" w:lineRule="exact"/>
      <w:jc w:val="right"/>
    </w:pPr>
    <w:rPr>
      <w:rFonts w:ascii="黑体" w:eastAsia="黑体" w:hint="eastAsia"/>
      <w:sz w:val="28"/>
    </w:rPr>
  </w:style>
  <w:style w:type="paragraph" w:customStyle="1" w:styleId="afff9">
    <w:name w:val="封面标准名称"/>
    <w:qFormat/>
    <w:pPr>
      <w:framePr w:w="9639" w:h="6974" w:hRule="exact" w:wrap="around" w:vAnchor="page" w:hAnchor="page" w:x="1419" w:y="6408"/>
      <w:spacing w:line="700" w:lineRule="exact"/>
      <w:jc w:val="center"/>
    </w:pPr>
    <w:rPr>
      <w:rFonts w:ascii="黑体" w:eastAsia="黑体" w:hint="eastAsia"/>
      <w:sz w:val="52"/>
    </w:rPr>
  </w:style>
  <w:style w:type="paragraph" w:customStyle="1" w:styleId="afffa">
    <w:name w:val="封面标准英文名称"/>
    <w:basedOn w:val="afff9"/>
    <w:qFormat/>
    <w:pPr>
      <w:framePr w:wrap="around"/>
      <w:widowControl w:val="0"/>
      <w:spacing w:before="410" w:line="360" w:lineRule="exact"/>
      <w:textAlignment w:val="bottom"/>
    </w:pPr>
    <w:rPr>
      <w:rFonts w:ascii="Times New Roman"/>
      <w:sz w:val="28"/>
    </w:rPr>
  </w:style>
  <w:style w:type="paragraph" w:customStyle="1" w:styleId="afffb">
    <w:name w:val="封面一致性程度标识"/>
    <w:basedOn w:val="afffa"/>
    <w:qFormat/>
    <w:pPr>
      <w:framePr w:wrap="around"/>
      <w:spacing w:before="760"/>
    </w:pPr>
  </w:style>
  <w:style w:type="paragraph" w:customStyle="1" w:styleId="afffc">
    <w:name w:val="封面标准文稿类别"/>
    <w:basedOn w:val="afffb"/>
    <w:qFormat/>
    <w:pPr>
      <w:framePr w:wrap="around"/>
      <w:spacing w:before="440" w:after="160"/>
    </w:pPr>
    <w:rPr>
      <w:rFonts w:ascii="黑体" w:hAnsi="黑体" w:cs="黑体"/>
      <w:sz w:val="24"/>
    </w:rPr>
  </w:style>
  <w:style w:type="paragraph" w:customStyle="1" w:styleId="afffd">
    <w:name w:val="封面标准文稿编辑信息"/>
    <w:basedOn w:val="afffc"/>
    <w:qFormat/>
    <w:pPr>
      <w:framePr w:wrap="around"/>
      <w:spacing w:before="180" w:line="240" w:lineRule="atLeast"/>
    </w:pPr>
    <w:rPr>
      <w:sz w:val="21"/>
    </w:rPr>
  </w:style>
  <w:style w:type="paragraph" w:customStyle="1" w:styleId="afffe">
    <w:name w:val="封面标准文稿附件"/>
    <w:basedOn w:val="afffc"/>
    <w:qFormat/>
    <w:pPr>
      <w:framePr w:wrap="around"/>
      <w:spacing w:beforeLines="300" w:before="937" w:afterLines="30" w:line="240" w:lineRule="auto"/>
    </w:pPr>
    <w:rPr>
      <w:rFonts w:ascii="Times New Roman" w:hAnsi="Times New Roman" w:cs="Times New Roman"/>
      <w:b/>
      <w:sz w:val="21"/>
    </w:rPr>
  </w:style>
  <w:style w:type="paragraph" w:customStyle="1" w:styleId="affff">
    <w:name w:val="其他发布部门"/>
    <w:basedOn w:val="afff4"/>
    <w:qFormat/>
    <w:pPr>
      <w:framePr w:wrap="around" w:y="15310"/>
      <w:spacing w:line="0" w:lineRule="atLeast"/>
    </w:pPr>
    <w:rPr>
      <w:rFonts w:ascii="黑体" w:eastAsia="黑体" w:hAnsi="黑体" w:cs="黑体"/>
    </w:rPr>
  </w:style>
  <w:style w:type="paragraph" w:customStyle="1" w:styleId="24">
    <w:name w:val="其他发布部门2"/>
    <w:basedOn w:val="afff4"/>
    <w:qFormat/>
    <w:pPr>
      <w:framePr w:w="7433" w:h="584" w:hRule="exact" w:hSpace="181" w:wrap="around" w:vAnchor="margin" w:hAnchor="margin" w:xAlign="center" w:y="15027"/>
      <w:spacing w:line="0" w:lineRule="atLeast"/>
    </w:pPr>
    <w:rPr>
      <w:rFonts w:ascii="黑体" w:eastAsia="黑体" w:hAnsi="黑体"/>
      <w:spacing w:val="0"/>
      <w:w w:val="100"/>
    </w:rPr>
  </w:style>
  <w:style w:type="paragraph" w:customStyle="1" w:styleId="31">
    <w:name w:val="其他发布部门3"/>
    <w:qFormat/>
    <w:pPr>
      <w:framePr w:w="9248" w:h="1259" w:hRule="exact" w:hSpace="181" w:vSpace="181" w:wrap="auto" w:hAnchor="margin" w:xAlign="center" w:y="14545"/>
      <w:spacing w:line="0" w:lineRule="atLeast"/>
      <w:jc w:val="center"/>
    </w:pPr>
    <w:rPr>
      <w:rFonts w:ascii="黑体" w:eastAsia="黑体" w:hint="eastAsia"/>
      <w:sz w:val="28"/>
    </w:rPr>
  </w:style>
  <w:style w:type="paragraph" w:customStyle="1" w:styleId="affff0">
    <w:name w:val="其他发布日期"/>
    <w:basedOn w:val="afff5"/>
    <w:qFormat/>
    <w:pPr>
      <w:framePr w:hSpace="0" w:wrap="around" w:vAnchor="page" w:x="1419" w:y="14176"/>
    </w:pPr>
  </w:style>
  <w:style w:type="paragraph" w:customStyle="1" w:styleId="affff1">
    <w:name w:val="其他实施日期"/>
    <w:basedOn w:val="afff6"/>
    <w:qFormat/>
    <w:pPr>
      <w:framePr w:wrap="around"/>
    </w:pPr>
  </w:style>
  <w:style w:type="paragraph" w:customStyle="1" w:styleId="affff2">
    <w:name w:val="文献分类号"/>
    <w:qFormat/>
    <w:pPr>
      <w:framePr w:wrap="around" w:vAnchor="page" w:hAnchor="page" w:x="1373" w:y="568"/>
      <w:widowControl w:val="0"/>
      <w:textAlignment w:val="center"/>
    </w:pPr>
    <w:rPr>
      <w:rFonts w:ascii="黑体" w:eastAsia="黑体" w:hint="eastAsia"/>
      <w:kern w:val="21"/>
      <w:sz w:val="21"/>
    </w:rPr>
  </w:style>
  <w:style w:type="paragraph" w:customStyle="1" w:styleId="affff3">
    <w:name w:val="标准文件_目录标题"/>
    <w:basedOn w:val="aff2"/>
    <w:qFormat/>
    <w:pPr>
      <w:shd w:val="clear" w:color="auto" w:fill="FFFFFF"/>
      <w:spacing w:afterLines="150" w:after="469"/>
      <w:jc w:val="center"/>
    </w:pPr>
    <w:rPr>
      <w:rFonts w:ascii="黑体" w:eastAsia="黑体" w:cs="黑体"/>
      <w:kern w:val="0"/>
      <w:sz w:val="32"/>
    </w:rPr>
  </w:style>
  <w:style w:type="paragraph" w:customStyle="1" w:styleId="ae">
    <w:name w:val="标准文件_前言、引言标题"/>
    <w:next w:val="aff2"/>
    <w:qFormat/>
    <w:pPr>
      <w:numPr>
        <w:numId w:val="4"/>
      </w:numPr>
      <w:spacing w:afterLines="150" w:after="469"/>
      <w:jc w:val="center"/>
      <w:outlineLvl w:val="0"/>
    </w:pPr>
    <w:rPr>
      <w:rFonts w:ascii="黑体" w:eastAsia="黑体" w:cs="黑体" w:hint="eastAsia"/>
      <w:sz w:val="32"/>
    </w:rPr>
  </w:style>
  <w:style w:type="paragraph" w:customStyle="1" w:styleId="af">
    <w:name w:val="标准文件_引言一级条标题"/>
    <w:basedOn w:val="affc"/>
    <w:next w:val="affc"/>
    <w:qFormat/>
    <w:pPr>
      <w:numPr>
        <w:ilvl w:val="1"/>
        <w:numId w:val="4"/>
      </w:numPr>
      <w:spacing w:beforeLines="50" w:before="157" w:afterLines="50" w:after="157"/>
    </w:pPr>
    <w:rPr>
      <w:rFonts w:ascii="黑体" w:eastAsia="黑体" w:hAnsi="黑体" w:cs="黑体"/>
    </w:rPr>
  </w:style>
  <w:style w:type="paragraph" w:customStyle="1" w:styleId="af0">
    <w:name w:val="标准文件_引言二级条标题"/>
    <w:basedOn w:val="affc"/>
    <w:next w:val="affc"/>
    <w:qFormat/>
    <w:pPr>
      <w:numPr>
        <w:ilvl w:val="2"/>
        <w:numId w:val="4"/>
      </w:numPr>
      <w:spacing w:beforeLines="50" w:before="157" w:afterLines="50" w:after="157"/>
    </w:pPr>
    <w:rPr>
      <w:rFonts w:ascii="黑体" w:eastAsia="黑体" w:hAnsi="黑体" w:cs="黑体"/>
    </w:rPr>
  </w:style>
  <w:style w:type="paragraph" w:customStyle="1" w:styleId="af1">
    <w:name w:val="标准文件_引言三级条标题"/>
    <w:basedOn w:val="affc"/>
    <w:next w:val="affc"/>
    <w:qFormat/>
    <w:pPr>
      <w:numPr>
        <w:ilvl w:val="3"/>
        <w:numId w:val="4"/>
      </w:numPr>
      <w:spacing w:beforeLines="50" w:before="157" w:afterLines="50" w:after="157"/>
    </w:pPr>
    <w:rPr>
      <w:rFonts w:ascii="黑体" w:eastAsia="黑体" w:hAnsi="黑体" w:cs="黑体"/>
    </w:rPr>
  </w:style>
  <w:style w:type="paragraph" w:customStyle="1" w:styleId="af2">
    <w:name w:val="标准文件_引言四级条标题"/>
    <w:basedOn w:val="affc"/>
    <w:next w:val="affc"/>
    <w:qFormat/>
    <w:pPr>
      <w:numPr>
        <w:ilvl w:val="4"/>
        <w:numId w:val="4"/>
      </w:numPr>
      <w:spacing w:beforeLines="50" w:before="157" w:afterLines="50" w:after="157"/>
    </w:pPr>
    <w:rPr>
      <w:rFonts w:ascii="黑体" w:eastAsia="黑体" w:hAnsi="黑体" w:cs="黑体"/>
    </w:rPr>
  </w:style>
  <w:style w:type="paragraph" w:customStyle="1" w:styleId="af3">
    <w:name w:val="标准文件_引言五级条标题"/>
    <w:basedOn w:val="affc"/>
    <w:next w:val="affc"/>
    <w:qFormat/>
    <w:pPr>
      <w:numPr>
        <w:ilvl w:val="5"/>
        <w:numId w:val="4"/>
      </w:numPr>
      <w:spacing w:beforeLines="50" w:before="157" w:afterLines="50" w:after="157"/>
    </w:pPr>
    <w:rPr>
      <w:rFonts w:ascii="黑体" w:eastAsia="黑体" w:hAnsi="黑体" w:cs="黑体"/>
    </w:rPr>
  </w:style>
  <w:style w:type="paragraph" w:customStyle="1" w:styleId="affff4">
    <w:name w:val="标准文件_正文标准名称"/>
    <w:basedOn w:val="aff2"/>
    <w:link w:val="Char"/>
    <w:qFormat/>
    <w:pPr>
      <w:widowControl/>
      <w:spacing w:after="640" w:line="400" w:lineRule="exact"/>
      <w:jc w:val="center"/>
    </w:pPr>
    <w:rPr>
      <w:rFonts w:ascii="黑体" w:eastAsia="黑体" w:hAnsi="黑体" w:cs="黑体"/>
      <w:sz w:val="32"/>
    </w:rPr>
  </w:style>
  <w:style w:type="paragraph" w:customStyle="1" w:styleId="a">
    <w:name w:val="标准文件_一级项"/>
    <w:next w:val="affc"/>
    <w:qFormat/>
    <w:pPr>
      <w:numPr>
        <w:numId w:val="5"/>
      </w:numPr>
    </w:pPr>
    <w:rPr>
      <w:rFonts w:ascii="宋体" w:cs="宋体" w:hint="eastAsia"/>
      <w:sz w:val="21"/>
    </w:rPr>
  </w:style>
  <w:style w:type="paragraph" w:customStyle="1" w:styleId="2">
    <w:name w:val="标准文件_二级项2"/>
    <w:basedOn w:val="affc"/>
    <w:next w:val="affc"/>
    <w:qFormat/>
    <w:pPr>
      <w:numPr>
        <w:ilvl w:val="1"/>
        <w:numId w:val="5"/>
      </w:numPr>
    </w:pPr>
  </w:style>
  <w:style w:type="paragraph" w:customStyle="1" w:styleId="a2">
    <w:name w:val="标准文件_三级项"/>
    <w:basedOn w:val="aff2"/>
    <w:next w:val="affc"/>
    <w:qFormat/>
    <w:pPr>
      <w:numPr>
        <w:ilvl w:val="2"/>
        <w:numId w:val="6"/>
      </w:numPr>
      <w:spacing w:line="300" w:lineRule="exact"/>
    </w:pPr>
    <w:rPr>
      <w:rFonts w:hAnsi="Calibri"/>
    </w:rPr>
  </w:style>
  <w:style w:type="paragraph" w:customStyle="1" w:styleId="a0">
    <w:name w:val="标准文件_字母编号列项（一级）"/>
    <w:next w:val="affc"/>
    <w:qFormat/>
    <w:pPr>
      <w:numPr>
        <w:numId w:val="6"/>
      </w:numPr>
      <w:tabs>
        <w:tab w:val="clear" w:pos="851"/>
        <w:tab w:val="left" w:pos="839"/>
      </w:tabs>
      <w:jc w:val="both"/>
    </w:pPr>
    <w:rPr>
      <w:rFonts w:ascii="宋体" w:cs="宋体" w:hint="eastAsia"/>
      <w:sz w:val="21"/>
    </w:rPr>
  </w:style>
  <w:style w:type="paragraph" w:customStyle="1" w:styleId="a1">
    <w:name w:val="标准文件_数字编号列项（二级）"/>
    <w:next w:val="affc"/>
    <w:qFormat/>
    <w:pPr>
      <w:numPr>
        <w:ilvl w:val="1"/>
        <w:numId w:val="6"/>
      </w:numPr>
      <w:tabs>
        <w:tab w:val="clear" w:pos="1276"/>
        <w:tab w:val="left" w:pos="1259"/>
      </w:tabs>
      <w:ind w:left="1259" w:hanging="419"/>
      <w:jc w:val="both"/>
    </w:pPr>
    <w:rPr>
      <w:rFonts w:ascii="宋体" w:hint="eastAsia"/>
      <w:sz w:val="21"/>
    </w:rPr>
  </w:style>
  <w:style w:type="paragraph" w:customStyle="1" w:styleId="affff5">
    <w:name w:val="标准文件_引言一级无标题"/>
    <w:basedOn w:val="af"/>
    <w:next w:val="affc"/>
    <w:qFormat/>
    <w:pPr>
      <w:spacing w:beforeLines="1" w:before="4" w:afterLines="1" w:after="4" w:line="276" w:lineRule="auto"/>
    </w:pPr>
    <w:rPr>
      <w:rFonts w:ascii="宋体" w:eastAsia="宋体" w:hAnsi="宋体" w:cs="宋体"/>
    </w:rPr>
  </w:style>
  <w:style w:type="paragraph" w:customStyle="1" w:styleId="affff6">
    <w:name w:val="标准文件_引言二级无标题"/>
    <w:basedOn w:val="af0"/>
    <w:next w:val="affc"/>
    <w:qFormat/>
    <w:pPr>
      <w:spacing w:beforeLines="1" w:before="4" w:afterLines="1" w:after="4" w:line="276" w:lineRule="auto"/>
    </w:pPr>
    <w:rPr>
      <w:rFonts w:ascii="宋体" w:eastAsia="宋体" w:hAnsi="宋体" w:cs="宋体"/>
    </w:rPr>
  </w:style>
  <w:style w:type="paragraph" w:customStyle="1" w:styleId="affff7">
    <w:name w:val="标准文件_引言三级无标题"/>
    <w:basedOn w:val="af1"/>
    <w:next w:val="affc"/>
    <w:qFormat/>
    <w:pPr>
      <w:spacing w:beforeLines="1" w:before="4" w:afterLines="1" w:after="4" w:line="276" w:lineRule="auto"/>
    </w:pPr>
    <w:rPr>
      <w:rFonts w:ascii="宋体" w:eastAsia="宋体" w:hAnsi="宋体" w:cs="宋体"/>
    </w:rPr>
  </w:style>
  <w:style w:type="paragraph" w:customStyle="1" w:styleId="affff8">
    <w:name w:val="标准文件_引言四级无标题"/>
    <w:basedOn w:val="af2"/>
    <w:next w:val="affc"/>
    <w:qFormat/>
    <w:pPr>
      <w:spacing w:beforeLines="1" w:before="4" w:afterLines="1" w:after="4" w:line="276" w:lineRule="auto"/>
    </w:pPr>
    <w:rPr>
      <w:rFonts w:ascii="宋体" w:eastAsia="宋体" w:hAnsi="宋体" w:cs="宋体"/>
    </w:rPr>
  </w:style>
  <w:style w:type="paragraph" w:customStyle="1" w:styleId="affff9">
    <w:name w:val="标准文件_引言五级无标题"/>
    <w:basedOn w:val="af3"/>
    <w:next w:val="affc"/>
    <w:qFormat/>
    <w:pPr>
      <w:spacing w:beforeLines="1" w:before="4" w:afterLines="1" w:after="4" w:line="276" w:lineRule="auto"/>
    </w:pPr>
    <w:rPr>
      <w:rFonts w:ascii="宋体" w:eastAsia="宋体" w:hAnsi="宋体" w:cs="宋体"/>
    </w:rPr>
  </w:style>
  <w:style w:type="paragraph" w:customStyle="1" w:styleId="af4">
    <w:name w:val="标准文件_章标题"/>
    <w:next w:val="affc"/>
    <w:qFormat/>
    <w:pPr>
      <w:numPr>
        <w:numId w:val="7"/>
      </w:numPr>
      <w:spacing w:beforeLines="100" w:before="313" w:afterLines="100" w:after="313"/>
      <w:jc w:val="both"/>
      <w:outlineLvl w:val="0"/>
    </w:pPr>
    <w:rPr>
      <w:rFonts w:ascii="黑体" w:eastAsia="黑体" w:cs="黑体" w:hint="eastAsia"/>
      <w:sz w:val="21"/>
    </w:rPr>
  </w:style>
  <w:style w:type="paragraph" w:customStyle="1" w:styleId="af5">
    <w:name w:val="标准文件_一级条标题"/>
    <w:basedOn w:val="af4"/>
    <w:next w:val="affc"/>
    <w:qFormat/>
    <w:pPr>
      <w:numPr>
        <w:ilvl w:val="1"/>
      </w:numPr>
      <w:spacing w:beforeLines="50" w:before="157" w:afterLines="50" w:after="157"/>
      <w:outlineLvl w:val="1"/>
    </w:pPr>
  </w:style>
  <w:style w:type="paragraph" w:customStyle="1" w:styleId="af6">
    <w:name w:val="标准文件_二级条标题"/>
    <w:next w:val="affc"/>
    <w:qFormat/>
    <w:pPr>
      <w:numPr>
        <w:ilvl w:val="2"/>
        <w:numId w:val="7"/>
      </w:numPr>
      <w:spacing w:beforeLines="50" w:before="157" w:afterLines="50" w:after="157"/>
      <w:jc w:val="both"/>
      <w:outlineLvl w:val="2"/>
    </w:pPr>
    <w:rPr>
      <w:rFonts w:ascii="黑体" w:eastAsia="黑体" w:hAnsi="黑体" w:cs="黑体" w:hint="eastAsia"/>
      <w:sz w:val="21"/>
    </w:rPr>
  </w:style>
  <w:style w:type="paragraph" w:customStyle="1" w:styleId="af7">
    <w:name w:val="标准文件_三级条标题"/>
    <w:basedOn w:val="af6"/>
    <w:next w:val="affc"/>
    <w:qFormat/>
    <w:pPr>
      <w:numPr>
        <w:ilvl w:val="3"/>
      </w:numPr>
      <w:outlineLvl w:val="3"/>
    </w:pPr>
  </w:style>
  <w:style w:type="paragraph" w:customStyle="1" w:styleId="af8">
    <w:name w:val="标准文件_四级条标题"/>
    <w:next w:val="affc"/>
    <w:qFormat/>
    <w:pPr>
      <w:numPr>
        <w:ilvl w:val="4"/>
        <w:numId w:val="7"/>
      </w:numPr>
      <w:spacing w:beforeLines="50" w:before="157" w:afterLines="50" w:after="157"/>
      <w:jc w:val="both"/>
      <w:outlineLvl w:val="4"/>
    </w:pPr>
    <w:rPr>
      <w:rFonts w:ascii="黑体" w:eastAsia="黑体" w:hAnsi="黑体" w:cs="黑体" w:hint="eastAsia"/>
      <w:sz w:val="21"/>
    </w:rPr>
  </w:style>
  <w:style w:type="paragraph" w:customStyle="1" w:styleId="af9">
    <w:name w:val="标准文件_五级条标题"/>
    <w:next w:val="affc"/>
    <w:qFormat/>
    <w:pPr>
      <w:numPr>
        <w:ilvl w:val="5"/>
        <w:numId w:val="7"/>
      </w:numPr>
      <w:spacing w:beforeLines="50" w:before="157" w:afterLines="50" w:after="157"/>
      <w:jc w:val="both"/>
      <w:outlineLvl w:val="4"/>
    </w:pPr>
    <w:rPr>
      <w:rFonts w:ascii="黑体" w:eastAsia="黑体" w:hAnsi="黑体" w:cs="黑体" w:hint="eastAsia"/>
      <w:sz w:val="21"/>
    </w:rPr>
  </w:style>
  <w:style w:type="paragraph" w:customStyle="1" w:styleId="affffa">
    <w:name w:val="标准文件_一级无标题"/>
    <w:basedOn w:val="af5"/>
    <w:qFormat/>
    <w:pPr>
      <w:spacing w:beforeLines="1" w:before="4" w:afterLines="1" w:after="4"/>
      <w:outlineLvl w:val="9"/>
    </w:pPr>
    <w:rPr>
      <w:rFonts w:ascii="宋体" w:eastAsia="宋体" w:hAnsi="宋体" w:cs="宋体"/>
    </w:rPr>
  </w:style>
  <w:style w:type="paragraph" w:customStyle="1" w:styleId="affffb">
    <w:name w:val="标准文件_二级无标题"/>
    <w:basedOn w:val="af6"/>
    <w:qFormat/>
    <w:pPr>
      <w:spacing w:beforeLines="1" w:before="4" w:afterLines="1" w:after="4"/>
      <w:outlineLvl w:val="9"/>
    </w:pPr>
    <w:rPr>
      <w:rFonts w:ascii="宋体" w:eastAsia="宋体" w:hAnsi="宋体" w:cs="宋体"/>
    </w:rPr>
  </w:style>
  <w:style w:type="paragraph" w:customStyle="1" w:styleId="affffc">
    <w:name w:val="标准文件_三级无标题"/>
    <w:basedOn w:val="af7"/>
    <w:qFormat/>
    <w:pPr>
      <w:spacing w:beforeLines="1" w:before="4" w:afterLines="1" w:after="4"/>
      <w:outlineLvl w:val="9"/>
    </w:pPr>
    <w:rPr>
      <w:rFonts w:ascii="宋体" w:eastAsia="宋体" w:hAnsi="宋体" w:cs="宋体"/>
    </w:rPr>
  </w:style>
  <w:style w:type="paragraph" w:customStyle="1" w:styleId="affffd">
    <w:name w:val="标准文件_四级无标题"/>
    <w:basedOn w:val="af8"/>
    <w:qFormat/>
    <w:pPr>
      <w:spacing w:beforeLines="1" w:before="4" w:afterLines="1" w:after="4"/>
      <w:outlineLvl w:val="9"/>
    </w:pPr>
    <w:rPr>
      <w:rFonts w:ascii="宋体" w:eastAsia="宋体" w:hAnsi="宋体" w:cs="宋体"/>
    </w:rPr>
  </w:style>
  <w:style w:type="paragraph" w:customStyle="1" w:styleId="affffe">
    <w:name w:val="标准文件_五级无标题"/>
    <w:basedOn w:val="af9"/>
    <w:qFormat/>
    <w:pPr>
      <w:spacing w:beforeLines="1" w:before="4" w:afterLines="1" w:after="4"/>
      <w:outlineLvl w:val="9"/>
    </w:pPr>
    <w:rPr>
      <w:rFonts w:ascii="宋体" w:eastAsia="宋体" w:hAnsi="宋体" w:cs="宋体"/>
    </w:rPr>
  </w:style>
  <w:style w:type="paragraph" w:customStyle="1" w:styleId="afffff">
    <w:name w:val="标准文件_术语条一"/>
    <w:basedOn w:val="affffa"/>
    <w:next w:val="affc"/>
    <w:qFormat/>
    <w:pPr>
      <w:ind w:left="1440" w:hangingChars="200" w:hanging="1440"/>
    </w:pPr>
    <w:rPr>
      <w:rFonts w:ascii="黑体" w:eastAsia="黑体" w:hAnsi="黑体" w:cs="黑体"/>
    </w:rPr>
  </w:style>
  <w:style w:type="paragraph" w:customStyle="1" w:styleId="afffff0">
    <w:name w:val="标准文件_术语条二"/>
    <w:basedOn w:val="affffb"/>
    <w:next w:val="affc"/>
    <w:qFormat/>
    <w:pPr>
      <w:ind w:left="1440" w:hangingChars="200" w:hanging="1440"/>
    </w:pPr>
    <w:rPr>
      <w:rFonts w:ascii="黑体" w:eastAsia="黑体" w:hAnsi="黑体" w:cs="黑体"/>
    </w:rPr>
  </w:style>
  <w:style w:type="paragraph" w:customStyle="1" w:styleId="afffff1">
    <w:name w:val="标准文件_术语条三"/>
    <w:basedOn w:val="affffc"/>
    <w:next w:val="affc"/>
    <w:qFormat/>
    <w:pPr>
      <w:ind w:left="1440" w:hangingChars="200" w:hanging="1440"/>
    </w:pPr>
    <w:rPr>
      <w:rFonts w:ascii="黑体" w:eastAsia="黑体" w:hAnsi="黑体" w:cs="黑体"/>
    </w:rPr>
  </w:style>
  <w:style w:type="paragraph" w:customStyle="1" w:styleId="afffff2">
    <w:name w:val="标准文件_术语条四"/>
    <w:basedOn w:val="affffd"/>
    <w:next w:val="affc"/>
    <w:qFormat/>
    <w:pPr>
      <w:ind w:left="1440" w:hangingChars="200" w:hanging="1440"/>
    </w:pPr>
    <w:rPr>
      <w:rFonts w:ascii="黑体" w:eastAsia="黑体" w:hAnsi="黑体" w:cs="黑体"/>
    </w:rPr>
  </w:style>
  <w:style w:type="paragraph" w:customStyle="1" w:styleId="afffff3">
    <w:name w:val="标准文件_术语条五"/>
    <w:basedOn w:val="affffe"/>
    <w:next w:val="affc"/>
    <w:qFormat/>
    <w:pPr>
      <w:ind w:left="1440" w:hangingChars="200" w:hanging="1440"/>
    </w:pPr>
    <w:rPr>
      <w:rFonts w:ascii="黑体" w:eastAsia="黑体" w:hAnsi="黑体" w:cs="黑体"/>
    </w:rPr>
  </w:style>
  <w:style w:type="paragraph" w:customStyle="1" w:styleId="afc">
    <w:name w:val="标准文件_附录标识"/>
    <w:basedOn w:val="aff2"/>
    <w:next w:val="affc"/>
    <w:qFormat/>
    <w:pPr>
      <w:widowControl/>
      <w:numPr>
        <w:numId w:val="8"/>
      </w:numPr>
      <w:spacing w:beforeLines="25" w:before="79" w:afterLines="50" w:after="157"/>
      <w:jc w:val="center"/>
      <w:outlineLvl w:val="0"/>
    </w:pPr>
    <w:rPr>
      <w:rFonts w:ascii="黑体" w:eastAsia="黑体" w:hAnsi="黑体" w:cs="黑体"/>
    </w:rPr>
  </w:style>
  <w:style w:type="paragraph" w:customStyle="1" w:styleId="afd">
    <w:name w:val="标准文件_附录一级条标题"/>
    <w:next w:val="affc"/>
    <w:qFormat/>
    <w:pPr>
      <w:numPr>
        <w:ilvl w:val="1"/>
        <w:numId w:val="8"/>
      </w:numPr>
      <w:spacing w:beforeLines="50" w:before="157" w:afterLines="50" w:after="157"/>
      <w:jc w:val="both"/>
      <w:outlineLvl w:val="2"/>
    </w:pPr>
    <w:rPr>
      <w:rFonts w:ascii="黑体" w:eastAsia="黑体" w:hAnsi="黑体" w:cs="黑体" w:hint="eastAsia"/>
      <w:sz w:val="21"/>
    </w:rPr>
  </w:style>
  <w:style w:type="paragraph" w:customStyle="1" w:styleId="afe">
    <w:name w:val="标准文件_附录二级条标题"/>
    <w:next w:val="affc"/>
    <w:qFormat/>
    <w:pPr>
      <w:numPr>
        <w:ilvl w:val="2"/>
        <w:numId w:val="8"/>
      </w:numPr>
      <w:spacing w:beforeLines="50" w:before="157" w:afterLines="50" w:after="157"/>
      <w:jc w:val="both"/>
      <w:outlineLvl w:val="2"/>
    </w:pPr>
    <w:rPr>
      <w:rFonts w:ascii="黑体" w:eastAsia="黑体" w:hAnsi="黑体" w:cs="黑体" w:hint="eastAsia"/>
      <w:sz w:val="21"/>
    </w:rPr>
  </w:style>
  <w:style w:type="paragraph" w:customStyle="1" w:styleId="aff">
    <w:name w:val="标准文件_附录三级条标题"/>
    <w:next w:val="affc"/>
    <w:qFormat/>
    <w:pPr>
      <w:numPr>
        <w:ilvl w:val="3"/>
        <w:numId w:val="8"/>
      </w:numPr>
      <w:spacing w:beforeLines="50" w:before="157" w:afterLines="50" w:after="157"/>
      <w:jc w:val="both"/>
      <w:outlineLvl w:val="2"/>
    </w:pPr>
    <w:rPr>
      <w:rFonts w:ascii="黑体" w:eastAsia="黑体" w:hAnsi="黑体" w:cs="黑体" w:hint="eastAsia"/>
      <w:sz w:val="21"/>
    </w:rPr>
  </w:style>
  <w:style w:type="paragraph" w:customStyle="1" w:styleId="aff0">
    <w:name w:val="标准文件_附录四级条标题"/>
    <w:next w:val="affc"/>
    <w:qFormat/>
    <w:pPr>
      <w:numPr>
        <w:ilvl w:val="4"/>
        <w:numId w:val="8"/>
      </w:numPr>
      <w:spacing w:beforeLines="50" w:before="157" w:afterLines="50" w:after="157"/>
      <w:jc w:val="both"/>
      <w:outlineLvl w:val="2"/>
    </w:pPr>
    <w:rPr>
      <w:rFonts w:ascii="黑体" w:eastAsia="黑体" w:hAnsi="黑体" w:cs="黑体" w:hint="eastAsia"/>
      <w:sz w:val="21"/>
    </w:rPr>
  </w:style>
  <w:style w:type="paragraph" w:customStyle="1" w:styleId="aff1">
    <w:name w:val="标准文件_附录五级条标题"/>
    <w:next w:val="affc"/>
    <w:qFormat/>
    <w:pPr>
      <w:numPr>
        <w:ilvl w:val="5"/>
        <w:numId w:val="8"/>
      </w:numPr>
      <w:spacing w:beforeLines="50" w:before="157" w:afterLines="50" w:after="157"/>
      <w:jc w:val="both"/>
      <w:outlineLvl w:val="2"/>
    </w:pPr>
    <w:rPr>
      <w:rFonts w:ascii="黑体" w:eastAsia="黑体" w:hAnsi="黑体" w:cs="黑体" w:hint="eastAsia"/>
      <w:sz w:val="21"/>
    </w:rPr>
  </w:style>
  <w:style w:type="paragraph" w:customStyle="1" w:styleId="afffff4">
    <w:name w:val="标准文件_附录一级无标题"/>
    <w:basedOn w:val="afd"/>
    <w:qFormat/>
    <w:pPr>
      <w:spacing w:beforeLines="1" w:before="4" w:afterLines="1" w:after="4" w:line="276" w:lineRule="auto"/>
    </w:pPr>
    <w:rPr>
      <w:rFonts w:ascii="宋体" w:eastAsia="宋体" w:hAnsi="宋体" w:cs="宋体"/>
    </w:rPr>
  </w:style>
  <w:style w:type="paragraph" w:customStyle="1" w:styleId="afffff5">
    <w:name w:val="标准文件_附录二级无标题"/>
    <w:basedOn w:val="afe"/>
    <w:qFormat/>
    <w:pPr>
      <w:spacing w:beforeLines="1" w:before="4" w:afterLines="1" w:after="4" w:line="276" w:lineRule="auto"/>
    </w:pPr>
    <w:rPr>
      <w:rFonts w:ascii="宋体" w:eastAsia="宋体" w:hAnsi="宋体" w:cs="宋体"/>
    </w:rPr>
  </w:style>
  <w:style w:type="paragraph" w:customStyle="1" w:styleId="afffff6">
    <w:name w:val="标准文件_附录三级无标题"/>
    <w:basedOn w:val="aff"/>
    <w:qFormat/>
    <w:pPr>
      <w:spacing w:beforeLines="1" w:before="4" w:afterLines="1" w:after="4" w:line="276" w:lineRule="auto"/>
    </w:pPr>
    <w:rPr>
      <w:rFonts w:ascii="宋体" w:eastAsia="宋体" w:hAnsi="宋体" w:cs="宋体"/>
    </w:rPr>
  </w:style>
  <w:style w:type="paragraph" w:customStyle="1" w:styleId="afffff7">
    <w:name w:val="标准文件_附录四级无标题"/>
    <w:basedOn w:val="aff0"/>
    <w:qFormat/>
    <w:pPr>
      <w:spacing w:beforeLines="1" w:before="4" w:afterLines="1" w:after="4" w:line="276" w:lineRule="auto"/>
    </w:pPr>
    <w:rPr>
      <w:rFonts w:ascii="宋体" w:eastAsia="宋体" w:hAnsi="宋体" w:cs="宋体"/>
    </w:rPr>
  </w:style>
  <w:style w:type="paragraph" w:customStyle="1" w:styleId="afffff8">
    <w:name w:val="标准文件_附录五级无标题"/>
    <w:basedOn w:val="aff1"/>
    <w:qFormat/>
    <w:pPr>
      <w:spacing w:beforeLines="1" w:before="4" w:afterLines="1" w:after="4" w:line="276" w:lineRule="auto"/>
    </w:pPr>
    <w:rPr>
      <w:rFonts w:ascii="宋体" w:eastAsia="宋体" w:hAnsi="宋体" w:cs="宋体"/>
    </w:rPr>
  </w:style>
  <w:style w:type="paragraph" w:customStyle="1" w:styleId="a5">
    <w:name w:val="附录图标号"/>
    <w:basedOn w:val="affc"/>
    <w:next w:val="affc"/>
    <w:qFormat/>
    <w:pPr>
      <w:numPr>
        <w:numId w:val="2"/>
      </w:numPr>
      <w:spacing w:line="14" w:lineRule="exact"/>
      <w:jc w:val="center"/>
    </w:pPr>
    <w:rPr>
      <w:sz w:val="2"/>
    </w:rPr>
  </w:style>
  <w:style w:type="paragraph" w:customStyle="1" w:styleId="a6">
    <w:name w:val="附录图标题"/>
    <w:next w:val="affc"/>
    <w:qFormat/>
    <w:pPr>
      <w:numPr>
        <w:ilvl w:val="1"/>
        <w:numId w:val="2"/>
      </w:numPr>
      <w:spacing w:beforeLines="50" w:before="157" w:afterLines="50" w:after="157"/>
      <w:jc w:val="center"/>
    </w:pPr>
    <w:rPr>
      <w:rFonts w:ascii="黑体" w:eastAsia="黑体" w:hAnsi="黑体" w:cs="黑体" w:hint="eastAsia"/>
      <w:sz w:val="21"/>
    </w:rPr>
  </w:style>
  <w:style w:type="paragraph" w:customStyle="1" w:styleId="a7">
    <w:name w:val="附录表标号"/>
    <w:basedOn w:val="affc"/>
    <w:next w:val="affc"/>
    <w:qFormat/>
    <w:pPr>
      <w:numPr>
        <w:numId w:val="9"/>
      </w:numPr>
      <w:spacing w:line="14" w:lineRule="exact"/>
      <w:jc w:val="center"/>
    </w:pPr>
    <w:rPr>
      <w:sz w:val="2"/>
    </w:rPr>
  </w:style>
  <w:style w:type="paragraph" w:customStyle="1" w:styleId="a8">
    <w:name w:val="附录表标题"/>
    <w:next w:val="affc"/>
    <w:qFormat/>
    <w:pPr>
      <w:numPr>
        <w:ilvl w:val="1"/>
        <w:numId w:val="9"/>
      </w:numPr>
      <w:spacing w:beforeLines="50" w:before="157" w:afterLines="50" w:after="157"/>
      <w:jc w:val="center"/>
    </w:pPr>
    <w:rPr>
      <w:rFonts w:ascii="黑体" w:eastAsia="黑体" w:hAnsi="黑体" w:cs="黑体" w:hint="eastAsia"/>
      <w:sz w:val="21"/>
    </w:rPr>
  </w:style>
  <w:style w:type="paragraph" w:customStyle="1" w:styleId="afffff9">
    <w:name w:val="标准文件_示例内容"/>
    <w:basedOn w:val="affc"/>
    <w:qFormat/>
    <w:rPr>
      <w:rFonts w:hAnsi="宋体"/>
      <w:sz w:val="18"/>
    </w:rPr>
  </w:style>
  <w:style w:type="paragraph" w:customStyle="1" w:styleId="ad">
    <w:name w:val="标准文件_示例"/>
    <w:next w:val="afffff9"/>
    <w:qFormat/>
    <w:pPr>
      <w:numPr>
        <w:numId w:val="10"/>
      </w:numPr>
      <w:jc w:val="both"/>
    </w:pPr>
    <w:rPr>
      <w:rFonts w:ascii="宋体" w:hAnsi="宋体" w:cs="宋体" w:hint="eastAsia"/>
      <w:sz w:val="18"/>
    </w:rPr>
  </w:style>
  <w:style w:type="paragraph" w:customStyle="1" w:styleId="a4">
    <w:name w:val="标准文件_示例×"/>
    <w:basedOn w:val="aff2"/>
    <w:next w:val="afffff9"/>
    <w:qFormat/>
    <w:pPr>
      <w:widowControl/>
      <w:numPr>
        <w:numId w:val="11"/>
      </w:numPr>
    </w:pPr>
    <w:rPr>
      <w:sz w:val="18"/>
    </w:rPr>
  </w:style>
  <w:style w:type="paragraph" w:customStyle="1" w:styleId="afb">
    <w:name w:val="标准文件_注"/>
    <w:next w:val="affc"/>
    <w:qFormat/>
    <w:pPr>
      <w:numPr>
        <w:numId w:val="12"/>
      </w:numPr>
      <w:autoSpaceDE w:val="0"/>
      <w:autoSpaceDN w:val="0"/>
      <w:jc w:val="both"/>
    </w:pPr>
    <w:rPr>
      <w:rFonts w:ascii="宋体" w:hAnsi="宋体" w:cs="宋体" w:hint="eastAsia"/>
      <w:sz w:val="18"/>
    </w:rPr>
  </w:style>
  <w:style w:type="paragraph" w:customStyle="1" w:styleId="a9">
    <w:name w:val="标准文件_注×"/>
    <w:next w:val="affc"/>
    <w:qFormat/>
    <w:pPr>
      <w:numPr>
        <w:numId w:val="13"/>
      </w:numPr>
      <w:jc w:val="both"/>
    </w:pPr>
    <w:rPr>
      <w:rFonts w:ascii="宋体" w:hAnsi="宋体" w:cs="宋体" w:hint="eastAsia"/>
      <w:sz w:val="18"/>
    </w:rPr>
  </w:style>
  <w:style w:type="paragraph" w:customStyle="1" w:styleId="a3">
    <w:name w:val="标准文件_图表脚注"/>
    <w:basedOn w:val="aff2"/>
    <w:next w:val="affc"/>
    <w:qFormat/>
    <w:pPr>
      <w:numPr>
        <w:numId w:val="14"/>
      </w:numPr>
      <w:adjustRightInd w:val="0"/>
      <w:jc w:val="left"/>
    </w:pPr>
    <w:rPr>
      <w:rFonts w:hAnsi="宋体"/>
      <w:sz w:val="18"/>
    </w:rPr>
  </w:style>
  <w:style w:type="paragraph" w:customStyle="1" w:styleId="afffffa">
    <w:name w:val="标准文件_标准正文"/>
    <w:basedOn w:val="aff2"/>
    <w:next w:val="affc"/>
    <w:qFormat/>
    <w:pPr>
      <w:ind w:firstLineChars="200" w:firstLine="1440"/>
    </w:pPr>
  </w:style>
  <w:style w:type="paragraph" w:customStyle="1" w:styleId="afffffb">
    <w:name w:val="标准文件_正文公式"/>
    <w:basedOn w:val="aff2"/>
    <w:next w:val="afffffa"/>
    <w:qFormat/>
    <w:pPr>
      <w:tabs>
        <w:tab w:val="center" w:pos="4678"/>
        <w:tab w:val="right" w:leader="middleDot" w:pos="9355"/>
      </w:tabs>
    </w:pPr>
  </w:style>
  <w:style w:type="paragraph" w:customStyle="1" w:styleId="afffffc">
    <w:name w:val="标准文件_表格"/>
    <w:basedOn w:val="affc"/>
    <w:qFormat/>
    <w:pPr>
      <w:jc w:val="center"/>
    </w:pPr>
    <w:rPr>
      <w:sz w:val="18"/>
    </w:rPr>
  </w:style>
  <w:style w:type="paragraph" w:customStyle="1" w:styleId="afffffd">
    <w:name w:val="终结线"/>
    <w:basedOn w:val="aff2"/>
    <w:qFormat/>
    <w:pPr>
      <w:framePr w:hSpace="181" w:vSpace="181" w:wrap="around" w:vAnchor="text" w:hAnchor="margin" w:xAlign="center" w:y="285"/>
    </w:pPr>
    <w:rPr>
      <w:rFonts w:ascii="Times New Roman" w:cs="Times New Roman"/>
      <w:b/>
      <w:sz w:val="34"/>
    </w:rPr>
  </w:style>
  <w:style w:type="paragraph" w:customStyle="1" w:styleId="ab">
    <w:name w:val="标准文件_正文表标题"/>
    <w:next w:val="affc"/>
    <w:qFormat/>
    <w:pPr>
      <w:numPr>
        <w:numId w:val="15"/>
      </w:numPr>
      <w:spacing w:beforeLines="50" w:before="157" w:afterLines="50" w:after="157"/>
      <w:jc w:val="center"/>
    </w:pPr>
    <w:rPr>
      <w:rFonts w:ascii="黑体" w:eastAsia="黑体" w:hAnsi="黑体" w:cs="黑体" w:hint="eastAsia"/>
      <w:sz w:val="21"/>
    </w:rPr>
  </w:style>
  <w:style w:type="paragraph" w:customStyle="1" w:styleId="ac">
    <w:name w:val="标准文件_正文图标题"/>
    <w:next w:val="affc"/>
    <w:qFormat/>
    <w:pPr>
      <w:numPr>
        <w:numId w:val="16"/>
      </w:numPr>
      <w:spacing w:beforeLines="50" w:before="157" w:afterLines="50" w:after="157"/>
      <w:jc w:val="center"/>
    </w:pPr>
    <w:rPr>
      <w:rFonts w:ascii="黑体" w:eastAsia="黑体" w:hAnsi="黑体" w:cs="黑体" w:hint="eastAsia"/>
      <w:sz w:val="21"/>
    </w:rPr>
  </w:style>
  <w:style w:type="paragraph" w:customStyle="1" w:styleId="afffffe">
    <w:name w:val="标准文件_索引标题"/>
    <w:basedOn w:val="afff2"/>
    <w:next w:val="affc"/>
    <w:qFormat/>
    <w:rPr>
      <w:rFonts w:hAnsi="黑体"/>
    </w:rPr>
  </w:style>
  <w:style w:type="paragraph" w:customStyle="1" w:styleId="affffff">
    <w:name w:val="标准文件_索引项"/>
    <w:basedOn w:val="affc"/>
    <w:next w:val="affc"/>
    <w:qFormat/>
    <w:pPr>
      <w:tabs>
        <w:tab w:val="right" w:leader="dot" w:pos="9355"/>
      </w:tabs>
      <w:autoSpaceDE w:val="0"/>
      <w:autoSpaceDN w:val="0"/>
      <w:ind w:left="266" w:hangingChars="37" w:hanging="266"/>
      <w:jc w:val="left"/>
    </w:pPr>
  </w:style>
  <w:style w:type="paragraph" w:customStyle="1" w:styleId="affffff0">
    <w:name w:val="标准文件_索引字母"/>
    <w:next w:val="affc"/>
    <w:qFormat/>
    <w:pPr>
      <w:jc w:val="center"/>
    </w:pPr>
    <w:rPr>
      <w:rFonts w:ascii="宋体" w:hAnsi="宋体" w:cs="宋体" w:hint="eastAsia"/>
      <w:b/>
      <w:kern w:val="2"/>
      <w:sz w:val="21"/>
    </w:rPr>
  </w:style>
  <w:style w:type="paragraph" w:customStyle="1" w:styleId="affffff1">
    <w:name w:val="标准文件_提示"/>
    <w:basedOn w:val="aff2"/>
    <w:qFormat/>
    <w:pPr>
      <w:ind w:firstLineChars="200" w:firstLine="1440"/>
    </w:pPr>
    <w:rPr>
      <w:rFonts w:ascii="黑体" w:eastAsia="黑体" w:hAnsi="黑体" w:cs="黑体"/>
    </w:rPr>
  </w:style>
  <w:style w:type="paragraph" w:customStyle="1" w:styleId="afa">
    <w:name w:val="标准文件_参考文献编号"/>
    <w:basedOn w:val="affc"/>
    <w:qFormat/>
    <w:pPr>
      <w:numPr>
        <w:numId w:val="17"/>
      </w:numPr>
    </w:pPr>
  </w:style>
  <w:style w:type="character" w:customStyle="1" w:styleId="Char">
    <w:name w:val="标准文件_正文标准名称 Char"/>
    <w:link w:val="affff4"/>
    <w:qFormat/>
    <w:rPr>
      <w:rFonts w:ascii="黑体" w:eastAsia="黑体" w:hAnsi="黑体" w:cs="黑体"/>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b163dc-f190-480d-9dea-9cde406b52ac}"/>
        <w:category>
          <w:name w:val="常规"/>
          <w:gallery w:val="placeholder"/>
        </w:category>
        <w:types>
          <w:type w:val="bbPlcHdr"/>
        </w:types>
        <w:behaviors>
          <w:behavior w:val="content"/>
        </w:behaviors>
        <w:guid w:val="{B9B163DC-F190-480D-9DEA-9CDE406B52AC}"/>
      </w:docPartPr>
      <w:docPartBody>
        <w:p w:rsidR="00EE369B" w:rsidRDefault="00000000">
          <w:pPr>
            <w:rPr>
              <w:rFonts w:hint="eastAsia"/>
            </w:rPr>
          </w:pPr>
          <w:r>
            <w:rPr>
              <w:color w:val="808080"/>
            </w:rPr>
            <w:t>选择一项。</w:t>
          </w:r>
        </w:p>
      </w:docPartBody>
    </w:docPart>
    <w:docPart>
      <w:docPartPr>
        <w:name w:val="{bf7b0528-bbf2-4a27-8375-d141cc457cde}"/>
        <w:category>
          <w:name w:val="常规"/>
          <w:gallery w:val="placeholder"/>
        </w:category>
        <w:types>
          <w:type w:val="bbPlcHdr"/>
        </w:types>
        <w:behaviors>
          <w:behavior w:val="content"/>
        </w:behaviors>
        <w:guid w:val="{BF7B0528-BBF2-4A27-8375-D141CC457CDE}"/>
      </w:docPartPr>
      <w:docPartBody>
        <w:p w:rsidR="00EE369B" w:rsidRDefault="00000000">
          <w:pPr>
            <w:rPr>
              <w:rFonts w:hint="eastAsia"/>
            </w:rPr>
          </w:pPr>
          <w:r>
            <w:rPr>
              <w:color w:val="808080"/>
            </w:rPr>
            <w:t>选择一项。</w:t>
          </w:r>
        </w:p>
      </w:docPartBody>
    </w:docPart>
    <w:docPart>
      <w:docPartPr>
        <w:name w:val="{c068ef54-3e54-41c5-b505-9ef4c6dde827}"/>
        <w:category>
          <w:name w:val="常规"/>
          <w:gallery w:val="placeholder"/>
        </w:category>
        <w:types>
          <w:type w:val="bbPlcHdr"/>
        </w:types>
        <w:behaviors>
          <w:behavior w:val="content"/>
        </w:behaviors>
        <w:guid w:val="{C068EF54-3E54-41C5-B505-9EF4C6DDE827}"/>
      </w:docPartPr>
      <w:docPartBody>
        <w:p w:rsidR="00EE369B" w:rsidRDefault="00000000">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4107E3"/>
    <w:rsid w:val="00196E2A"/>
    <w:rsid w:val="004107E3"/>
    <w:rsid w:val="004D51D6"/>
    <w:rsid w:val="007D6283"/>
    <w:rsid w:val="009D2ADE"/>
    <w:rsid w:val="00B44D8C"/>
    <w:rsid w:val="00EE3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30</Pages>
  <Words>3440</Words>
  <Characters>19609</Characters>
  <Application>Microsoft Office Word</Application>
  <DocSecurity>0</DocSecurity>
  <Lines>163</Lines>
  <Paragraphs>46</Paragraphs>
  <ScaleCrop>false</ScaleCrop>
  <Company/>
  <LinksUpToDate>false</LinksUpToDate>
  <CharactersWithSpaces>23003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佳莹</dc:creator>
  <cp:lastModifiedBy>Will Wang</cp:lastModifiedBy>
  <cp:revision>17</cp:revision>
  <dcterms:created xsi:type="dcterms:W3CDTF">2025-03-03T11:41:00Z</dcterms:created>
  <dcterms:modified xsi:type="dcterms:W3CDTF">2025-03-14T07:57:00Z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48FA67759D814A27A241B61D463F65FE_13</vt:lpwstr>
  </property>
  <property fmtid="{D5CDD505-2E9C-101B-9397-08002B2CF9AE}" pid="4" name="KSOTemplateDocerSaveRecord">
    <vt:lpwstr>eyJoZGlkIjoiZjA4YmY2MzNlZGU2OWM1NzhmZjAwNmFlZWZmOGJhMzMiLCJ1c2VySWQiOiIxMjA5MTEzMDU2In0=</vt:lpwstr>
  </property>
</Properties>
</file>