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0EAC" w14:textId="77777777" w:rsidR="00690865" w:rsidRDefault="00000000">
      <w:pPr>
        <w:framePr w:wrap="auto" w:yAlign="inline"/>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t>《基于产业链的供应链合作指南》</w:t>
      </w:r>
    </w:p>
    <w:p w14:paraId="39C73EA1" w14:textId="77777777" w:rsidR="00690865" w:rsidRDefault="00000000">
      <w:pPr>
        <w:framePr w:wrap="auto" w:yAlign="inline"/>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t>团体标准编制说明</w:t>
      </w:r>
    </w:p>
    <w:p w14:paraId="401D5240" w14:textId="77777777" w:rsidR="00690865" w:rsidRDefault="00000000" w:rsidP="00E56377">
      <w:pPr>
        <w:framePr w:wrap="auto" w:yAlign="inline"/>
        <w:ind w:firstLineChars="200" w:firstLine="560"/>
        <w:rPr>
          <w:rFonts w:ascii="黑体" w:eastAsia="黑体" w:hAnsi="黑体" w:cs="黑体"/>
          <w:sz w:val="28"/>
          <w:szCs w:val="28"/>
        </w:rPr>
      </w:pPr>
      <w:r>
        <w:rPr>
          <w:rFonts w:ascii="黑体" w:eastAsia="黑体" w:hAnsi="黑体" w:cs="黑体"/>
          <w:sz w:val="28"/>
          <w:szCs w:val="28"/>
        </w:rPr>
        <w:t>一、标准项目来源</w:t>
      </w:r>
    </w:p>
    <w:p w14:paraId="36A8E24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当前</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全球经济格局</w:t>
      </w:r>
      <w:r>
        <w:rPr>
          <w:rFonts w:asciiTheme="minorEastAsia" w:eastAsiaTheme="minorEastAsia" w:hAnsiTheme="minorEastAsia" w:cstheme="minorEastAsia"/>
          <w:sz w:val="28"/>
          <w:szCs w:val="28"/>
        </w:rPr>
        <w:t>正面临</w:t>
      </w:r>
      <w:r>
        <w:rPr>
          <w:rFonts w:asciiTheme="minorEastAsia" w:eastAsiaTheme="minorEastAsia" w:hAnsiTheme="minorEastAsia" w:cstheme="minorEastAsia" w:hint="default"/>
          <w:sz w:val="28"/>
          <w:szCs w:val="28"/>
        </w:rPr>
        <w:t>深刻变革</w:t>
      </w:r>
      <w:r>
        <w:rPr>
          <w:rFonts w:asciiTheme="minorEastAsia" w:eastAsiaTheme="minorEastAsia" w:hAnsiTheme="minorEastAsia" w:cstheme="minorEastAsia"/>
          <w:sz w:val="28"/>
          <w:szCs w:val="28"/>
        </w:rPr>
        <w:t>，全球产业</w:t>
      </w:r>
      <w:proofErr w:type="gramStart"/>
      <w:r>
        <w:rPr>
          <w:rFonts w:asciiTheme="minorEastAsia" w:eastAsiaTheme="minorEastAsia" w:hAnsiTheme="minorEastAsia" w:cstheme="minorEastAsia"/>
          <w:sz w:val="28"/>
          <w:szCs w:val="28"/>
        </w:rPr>
        <w:t>链供应</w:t>
      </w:r>
      <w:proofErr w:type="gramEnd"/>
      <w:r>
        <w:rPr>
          <w:rFonts w:asciiTheme="minorEastAsia" w:eastAsiaTheme="minorEastAsia" w:hAnsiTheme="minorEastAsia" w:cstheme="minorEastAsia"/>
          <w:sz w:val="28"/>
          <w:szCs w:val="28"/>
        </w:rPr>
        <w:t>链体系正经历深度调整与重构。</w:t>
      </w:r>
      <w:r>
        <w:rPr>
          <w:rFonts w:asciiTheme="minorEastAsia" w:eastAsiaTheme="minorEastAsia" w:hAnsiTheme="minorEastAsia" w:cstheme="minorEastAsia" w:hint="default"/>
          <w:sz w:val="28"/>
          <w:szCs w:val="28"/>
        </w:rPr>
        <w:t>本土化、区域化、</w:t>
      </w:r>
      <w:proofErr w:type="gramStart"/>
      <w:r>
        <w:rPr>
          <w:rFonts w:asciiTheme="minorEastAsia" w:eastAsiaTheme="minorEastAsia" w:hAnsiTheme="minorEastAsia" w:cstheme="minorEastAsia" w:hint="default"/>
          <w:sz w:val="28"/>
          <w:szCs w:val="28"/>
        </w:rPr>
        <w:t>短链化等</w:t>
      </w:r>
      <w:proofErr w:type="gramEnd"/>
      <w:r>
        <w:rPr>
          <w:rFonts w:asciiTheme="minorEastAsia" w:eastAsiaTheme="minorEastAsia" w:hAnsiTheme="minorEastAsia" w:cstheme="minorEastAsia" w:hint="default"/>
          <w:sz w:val="28"/>
          <w:szCs w:val="28"/>
        </w:rPr>
        <w:t>新趋势新动向</w:t>
      </w:r>
      <w:r>
        <w:rPr>
          <w:rFonts w:asciiTheme="minorEastAsia" w:eastAsiaTheme="minorEastAsia" w:hAnsiTheme="minorEastAsia" w:cstheme="minorEastAsia"/>
          <w:sz w:val="28"/>
          <w:szCs w:val="28"/>
        </w:rPr>
        <w:t>的</w:t>
      </w:r>
      <w:r>
        <w:rPr>
          <w:rFonts w:asciiTheme="minorEastAsia" w:eastAsiaTheme="minorEastAsia" w:hAnsiTheme="minorEastAsia" w:cstheme="minorEastAsia" w:hint="default"/>
          <w:sz w:val="28"/>
          <w:szCs w:val="28"/>
        </w:rPr>
        <w:t>不断涌现，进一步加剧了全球产业</w:t>
      </w:r>
      <w:proofErr w:type="gramStart"/>
      <w:r>
        <w:rPr>
          <w:rFonts w:asciiTheme="minorEastAsia" w:eastAsiaTheme="minorEastAsia" w:hAnsiTheme="minorEastAsia" w:cstheme="minorEastAsia" w:hint="default"/>
          <w:sz w:val="28"/>
          <w:szCs w:val="28"/>
        </w:rPr>
        <w:t>链供应</w:t>
      </w:r>
      <w:proofErr w:type="gramEnd"/>
      <w:r>
        <w:rPr>
          <w:rFonts w:asciiTheme="minorEastAsia" w:eastAsiaTheme="minorEastAsia" w:hAnsiTheme="minorEastAsia" w:cstheme="minorEastAsia" w:hint="default"/>
          <w:sz w:val="28"/>
          <w:szCs w:val="28"/>
        </w:rPr>
        <w:t>链的复杂性和不确定性。在此背景下，我国作为全球</w:t>
      </w:r>
      <w:r>
        <w:rPr>
          <w:rFonts w:asciiTheme="minorEastAsia" w:eastAsiaTheme="minorEastAsia" w:hAnsiTheme="minorEastAsia" w:cstheme="minorEastAsia"/>
          <w:sz w:val="28"/>
          <w:szCs w:val="28"/>
        </w:rPr>
        <w:t>产业</w:t>
      </w:r>
      <w:r>
        <w:rPr>
          <w:rFonts w:asciiTheme="minorEastAsia" w:eastAsiaTheme="minorEastAsia" w:hAnsiTheme="minorEastAsia" w:cstheme="minorEastAsia" w:hint="default"/>
          <w:sz w:val="28"/>
          <w:szCs w:val="28"/>
        </w:rPr>
        <w:t>规模最大、产业配套最完整的国家，</w:t>
      </w:r>
      <w:r>
        <w:rPr>
          <w:rFonts w:asciiTheme="minorEastAsia" w:eastAsiaTheme="minorEastAsia" w:hAnsiTheme="minorEastAsia" w:cstheme="minorEastAsia"/>
          <w:sz w:val="28"/>
          <w:szCs w:val="28"/>
        </w:rPr>
        <w:t>基于产业链的供应链合作，作为增强产业韧性、优化资源配置的关键抓手，其战略价值愈发凸显。因此，特制定《基于产业链的供应链合作指南》团体标准，</w:t>
      </w:r>
      <w:r>
        <w:rPr>
          <w:rFonts w:ascii="宋体" w:eastAsia="宋体" w:hAnsi="宋体" w:cs="宋体"/>
          <w:sz w:val="28"/>
          <w:szCs w:val="28"/>
        </w:rPr>
        <w:t>旨在通过科学和合理的管理方法，引导产业</w:t>
      </w:r>
      <w:proofErr w:type="gramStart"/>
      <w:r>
        <w:rPr>
          <w:rFonts w:ascii="宋体" w:eastAsia="宋体" w:hAnsi="宋体" w:cs="宋体"/>
          <w:sz w:val="28"/>
          <w:szCs w:val="28"/>
        </w:rPr>
        <w:t>链各方</w:t>
      </w:r>
      <w:proofErr w:type="gramEnd"/>
      <w:r>
        <w:rPr>
          <w:rFonts w:ascii="宋体" w:eastAsia="宋体" w:hAnsi="宋体" w:cs="宋体"/>
          <w:sz w:val="28"/>
          <w:szCs w:val="28"/>
        </w:rPr>
        <w:t>参与供应链活动，为经济的高质量可持续发展提供标准化动力，助力企业实现高质量发展。</w:t>
      </w:r>
    </w:p>
    <w:p w14:paraId="43ADE578" w14:textId="77777777" w:rsidR="00690865" w:rsidRDefault="00000000" w:rsidP="00E56377">
      <w:pPr>
        <w:framePr w:wrap="auto" w:yAlign="inline"/>
        <w:numPr>
          <w:ilvl w:val="0"/>
          <w:numId w:val="6"/>
        </w:numPr>
        <w:ind w:firstLineChars="200" w:firstLine="560"/>
        <w:rPr>
          <w:rFonts w:ascii="黑体" w:eastAsia="黑体" w:hAnsi="黑体" w:cs="黑体"/>
          <w:sz w:val="28"/>
          <w:szCs w:val="28"/>
        </w:rPr>
      </w:pPr>
      <w:r>
        <w:rPr>
          <w:rFonts w:ascii="黑体" w:eastAsia="黑体" w:hAnsi="黑体" w:cs="黑体"/>
          <w:sz w:val="28"/>
          <w:szCs w:val="28"/>
        </w:rPr>
        <w:t>标准制定的目的和意义</w:t>
      </w:r>
    </w:p>
    <w:p w14:paraId="529B686E" w14:textId="77777777" w:rsidR="00690865" w:rsidRDefault="00000000" w:rsidP="00E56377">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lang w:val="zh-TW"/>
        </w:rPr>
        <w:t>（</w:t>
      </w:r>
      <w:r>
        <w:rPr>
          <w:rFonts w:asciiTheme="minorEastAsia" w:eastAsiaTheme="minorEastAsia" w:hAnsiTheme="minorEastAsia" w:cstheme="minorEastAsia"/>
          <w:b/>
          <w:bCs/>
          <w:sz w:val="28"/>
          <w:szCs w:val="28"/>
        </w:rPr>
        <w:t>一</w:t>
      </w:r>
      <w:r>
        <w:rPr>
          <w:rFonts w:asciiTheme="minorEastAsia" w:eastAsiaTheme="minorEastAsia" w:hAnsiTheme="minorEastAsia" w:cstheme="minorEastAsia"/>
          <w:b/>
          <w:bCs/>
          <w:sz w:val="28"/>
          <w:szCs w:val="28"/>
          <w:lang w:val="zh-TW"/>
        </w:rPr>
        <w:t>）标准制定的目的</w:t>
      </w:r>
    </w:p>
    <w:p w14:paraId="3C6FCFA8" w14:textId="77777777" w:rsidR="00690865" w:rsidRDefault="00000000">
      <w:pPr>
        <w:framePr w:wrap="auto" w:yAlign="inline"/>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产业链通过其链条式结构展示了从原料到最终消费的完整产业联系。</w:t>
      </w:r>
      <w:proofErr w:type="gramStart"/>
      <w:r>
        <w:rPr>
          <w:rFonts w:asciiTheme="minorEastAsia" w:eastAsiaTheme="minorEastAsia" w:hAnsiTheme="minorEastAsia" w:cstheme="minorEastAsia"/>
          <w:sz w:val="28"/>
          <w:szCs w:val="28"/>
        </w:rPr>
        <w:t>供应链则着重于</w:t>
      </w:r>
      <w:proofErr w:type="gramEnd"/>
      <w:r>
        <w:rPr>
          <w:rFonts w:asciiTheme="minorEastAsia" w:eastAsiaTheme="minorEastAsia" w:hAnsiTheme="minorEastAsia" w:cstheme="minorEastAsia"/>
          <w:sz w:val="28"/>
          <w:szCs w:val="28"/>
        </w:rPr>
        <w:t>水平合作网络，围绕核心商品或服务，构建了一个由不同地域的原料供应商、生产者、分销者、零售商直至最终消费者等构成的网状结构，并与产业链布局相互作用。全球产业链的重构对区域供应链的弹性构建产生作用，产业链的定位决定了价值分配，企业通过改善供应</w:t>
      </w:r>
      <w:proofErr w:type="gramStart"/>
      <w:r>
        <w:rPr>
          <w:rFonts w:asciiTheme="minorEastAsia" w:eastAsiaTheme="minorEastAsia" w:hAnsiTheme="minorEastAsia" w:cstheme="minorEastAsia"/>
          <w:sz w:val="28"/>
          <w:szCs w:val="28"/>
        </w:rPr>
        <w:t>链网络</w:t>
      </w:r>
      <w:proofErr w:type="gramEnd"/>
      <w:r>
        <w:rPr>
          <w:rFonts w:asciiTheme="minorEastAsia" w:eastAsiaTheme="minorEastAsia" w:hAnsiTheme="minorEastAsia" w:cstheme="minorEastAsia"/>
          <w:sz w:val="28"/>
          <w:szCs w:val="28"/>
        </w:rPr>
        <w:t>来实现价值的增加。产业链与供应链是产业经济发展的两大支柱，产业链主要负责价值的生成，而</w:t>
      </w:r>
      <w:proofErr w:type="gramStart"/>
      <w:r>
        <w:rPr>
          <w:rFonts w:asciiTheme="minorEastAsia" w:eastAsiaTheme="minorEastAsia" w:hAnsiTheme="minorEastAsia" w:cstheme="minorEastAsia"/>
          <w:sz w:val="28"/>
          <w:szCs w:val="28"/>
        </w:rPr>
        <w:t>供应链则主要</w:t>
      </w:r>
      <w:proofErr w:type="gramEnd"/>
      <w:r>
        <w:rPr>
          <w:rFonts w:asciiTheme="minorEastAsia" w:eastAsiaTheme="minorEastAsia" w:hAnsiTheme="minorEastAsia" w:cstheme="minorEastAsia"/>
          <w:sz w:val="28"/>
          <w:szCs w:val="28"/>
        </w:rPr>
        <w:t>负责价值的传递。本指南结合了GB/T 40144《协作业务关系管</w:t>
      </w:r>
      <w:r>
        <w:rPr>
          <w:rFonts w:asciiTheme="minorEastAsia" w:eastAsiaTheme="minorEastAsia" w:hAnsiTheme="minorEastAsia" w:cstheme="minorEastAsia"/>
          <w:sz w:val="28"/>
          <w:szCs w:val="28"/>
        </w:rPr>
        <w:lastRenderedPageBreak/>
        <w:t>理体系 要求和框架</w:t>
      </w:r>
      <w:proofErr w:type="gramStart"/>
      <w:r>
        <w:rPr>
          <w:rFonts w:asciiTheme="minorEastAsia" w:eastAsiaTheme="minorEastAsia" w:hAnsiTheme="minorEastAsia" w:cstheme="minorEastAsia"/>
          <w:sz w:val="28"/>
          <w:szCs w:val="28"/>
        </w:rPr>
        <w:t>》</w:t>
      </w:r>
      <w:proofErr w:type="gramEnd"/>
      <w:r>
        <w:rPr>
          <w:rFonts w:asciiTheme="minorEastAsia" w:eastAsiaTheme="minorEastAsia" w:hAnsiTheme="minorEastAsia" w:cstheme="minorEastAsia"/>
          <w:sz w:val="28"/>
          <w:szCs w:val="28"/>
        </w:rPr>
        <w:t>及最佳实践，强调了产业链定位与供应链协作的管理理念，旨在通过双链协同来增强企业协作中的价值创造。这包括了自上而下的产业链定位对供应链演变方向的影响，以及自下而上的供应链优化对产业链升级的推动作用。为了实现这一目标，本指南提出了几个主要步骤：首先，明确企业在产业链上下游合作中的位置和价值核心特性，其次，根据其在产业链所处位置优化资源配置，选择合适的供应商、分销者和合作伙伴，建立长期稳定的合作关系，共同应对市场变化和风险，确保供应链的弹性和效率。此外，通过技术创新和数字化转型，提升供应链管理的智能化水平，实现信息的实时共享和协同决策。最终，企业宜持续关注产业链和供应链的发展趋势，灵活调整自身的经营策略，以便能够适应不断变化的市场环境。通过实施这些措施，企业将能够在产业链和供应链的协同作用中实现价值的最大化，从而推动整个产业经济的持续健康发展。</w:t>
      </w:r>
    </w:p>
    <w:p w14:paraId="51238BE1" w14:textId="77777777" w:rsidR="00690865" w:rsidRDefault="00000000" w:rsidP="00E56377">
      <w:pPr>
        <w:framePr w:wrap="auto" w:yAlign="inline"/>
        <w:numPr>
          <w:ilvl w:val="0"/>
          <w:numId w:val="7"/>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项目任务的意义</w:t>
      </w:r>
    </w:p>
    <w:p w14:paraId="7CF83325" w14:textId="77777777" w:rsidR="00690865" w:rsidRDefault="00000000">
      <w:pPr>
        <w:pStyle w:val="1"/>
        <w:framePr w:wrap="auto" w:yAlign="inline"/>
        <w:spacing w:line="360" w:lineRule="auto"/>
        <w:ind w:firstLineChars="200" w:firstLine="560"/>
        <w:rPr>
          <w:rFonts w:asciiTheme="minorEastAsia" w:eastAsiaTheme="minorEastAsia" w:hAnsiTheme="minorEastAsia" w:cstheme="minorEastAsia"/>
          <w:color w:val="auto"/>
          <w:sz w:val="28"/>
          <w:szCs w:val="28"/>
          <w:lang w:val="zh-TW"/>
        </w:rPr>
      </w:pPr>
      <w:r>
        <w:rPr>
          <w:rFonts w:asciiTheme="minorEastAsia" w:eastAsiaTheme="minorEastAsia" w:hAnsiTheme="minorEastAsia" w:cstheme="minorEastAsia"/>
          <w:color w:val="auto"/>
          <w:sz w:val="28"/>
          <w:szCs w:val="28"/>
          <w:lang w:val="zh-TW"/>
        </w:rPr>
        <w:t>《基于产业链的供应链合作指南》团体标准，旨在构建一个全面覆盖全产业链的协同机制，通过七大核心产业链的推动，促进产业升级和高质量发展。首先，该标准致力于建立一个标准化的合作框架，明确上下游企业合作所应覆盖的基本内容，以适应各种不同场景的需求。其次，它推动各项合作事项与产业</w:t>
      </w:r>
      <w:proofErr w:type="gramStart"/>
      <w:r>
        <w:rPr>
          <w:rFonts w:asciiTheme="minorEastAsia" w:eastAsiaTheme="minorEastAsia" w:hAnsiTheme="minorEastAsia" w:cstheme="minorEastAsia"/>
          <w:color w:val="auto"/>
          <w:sz w:val="28"/>
          <w:szCs w:val="28"/>
          <w:lang w:val="zh-TW"/>
        </w:rPr>
        <w:t>链合作</w:t>
      </w:r>
      <w:proofErr w:type="gramEnd"/>
      <w:r>
        <w:rPr>
          <w:rFonts w:asciiTheme="minorEastAsia" w:eastAsiaTheme="minorEastAsia" w:hAnsiTheme="minorEastAsia" w:cstheme="minorEastAsia"/>
          <w:color w:val="auto"/>
          <w:sz w:val="28"/>
          <w:szCs w:val="28"/>
          <w:lang w:val="zh-TW"/>
        </w:rPr>
        <w:t>的有序发展，以实现对市场需求的准确预测。第三，该标准强调合</w:t>
      </w:r>
      <w:proofErr w:type="gramStart"/>
      <w:r>
        <w:rPr>
          <w:rFonts w:asciiTheme="minorEastAsia" w:eastAsiaTheme="minorEastAsia" w:hAnsiTheme="minorEastAsia" w:cstheme="minorEastAsia"/>
          <w:color w:val="auto"/>
          <w:sz w:val="28"/>
          <w:szCs w:val="28"/>
          <w:lang w:val="zh-TW"/>
        </w:rPr>
        <w:t>规</w:t>
      </w:r>
      <w:proofErr w:type="gramEnd"/>
      <w:r>
        <w:rPr>
          <w:rFonts w:asciiTheme="minorEastAsia" w:eastAsiaTheme="minorEastAsia" w:hAnsiTheme="minorEastAsia" w:cstheme="minorEastAsia"/>
          <w:color w:val="auto"/>
          <w:sz w:val="28"/>
          <w:szCs w:val="28"/>
          <w:lang w:val="zh-TW"/>
        </w:rPr>
        <w:t>管理的重要性，建立一个全面的风险评估机制。最后，它构建了一个动态的评价体系，旨在为全行业提供可复制的实践经验。此外，该标准的实施具有多维的战</w:t>
      </w:r>
      <w:r>
        <w:rPr>
          <w:rFonts w:asciiTheme="minorEastAsia" w:eastAsiaTheme="minorEastAsia" w:hAnsiTheme="minorEastAsia" w:cstheme="minorEastAsia"/>
          <w:color w:val="auto"/>
          <w:sz w:val="28"/>
          <w:szCs w:val="28"/>
          <w:lang w:val="zh-TW"/>
        </w:rPr>
        <w:lastRenderedPageBreak/>
        <w:t>略价值。在产业层面，它有助于提升协同效率，推动智能制造的渗透率，加速新旧动能转换。对企业层面而言，通过标准化的流程，可以显著降低沟通成本，并建立一个覆盖常见风险的防控体系。在国际竞争层面，该标准对接RCEP等国际规则，有助于降低外贸合</w:t>
      </w:r>
      <w:proofErr w:type="gramStart"/>
      <w:r>
        <w:rPr>
          <w:rFonts w:asciiTheme="minorEastAsia" w:eastAsiaTheme="minorEastAsia" w:hAnsiTheme="minorEastAsia" w:cstheme="minorEastAsia"/>
          <w:color w:val="auto"/>
          <w:sz w:val="28"/>
          <w:szCs w:val="28"/>
          <w:lang w:val="zh-TW"/>
        </w:rPr>
        <w:t>规</w:t>
      </w:r>
      <w:proofErr w:type="gramEnd"/>
      <w:r>
        <w:rPr>
          <w:rFonts w:asciiTheme="minorEastAsia" w:eastAsiaTheme="minorEastAsia" w:hAnsiTheme="minorEastAsia" w:cstheme="minorEastAsia"/>
          <w:color w:val="auto"/>
          <w:sz w:val="28"/>
          <w:szCs w:val="28"/>
          <w:lang w:val="zh-TW"/>
        </w:rPr>
        <w:t>成本，并输出“中国方案”以增强在全球范围内的影响力和话语权。在可持续发展层面，它推动单位产值的碳排放降低，提高再生资源的利用率。在创新层面，该标准催生了供应</w:t>
      </w:r>
      <w:proofErr w:type="gramStart"/>
      <w:r>
        <w:rPr>
          <w:rFonts w:asciiTheme="minorEastAsia" w:eastAsiaTheme="minorEastAsia" w:hAnsiTheme="minorEastAsia" w:cstheme="minorEastAsia"/>
          <w:color w:val="auto"/>
          <w:sz w:val="28"/>
          <w:szCs w:val="28"/>
          <w:lang w:val="zh-TW"/>
        </w:rPr>
        <w:t>链金融</w:t>
      </w:r>
      <w:proofErr w:type="gramEnd"/>
      <w:r>
        <w:rPr>
          <w:rFonts w:asciiTheme="minorEastAsia" w:eastAsiaTheme="minorEastAsia" w:hAnsiTheme="minorEastAsia" w:cstheme="minorEastAsia"/>
          <w:color w:val="auto"/>
          <w:sz w:val="28"/>
          <w:szCs w:val="28"/>
          <w:lang w:val="zh-TW"/>
        </w:rPr>
        <w:t>等新兴业态，促进了技术替代率的提升。在社会效益层面，它有助于减少供应链中断的损失，并推动中小企业数字化的普及。</w:t>
      </w:r>
    </w:p>
    <w:p w14:paraId="4DBAC290" w14:textId="77777777" w:rsidR="00690865" w:rsidRDefault="00000000" w:rsidP="00E56377">
      <w:pPr>
        <w:framePr w:wrap="auto" w:yAlign="inline"/>
        <w:ind w:firstLineChars="200" w:firstLine="560"/>
        <w:rPr>
          <w:rFonts w:ascii="黑体" w:eastAsia="黑体" w:hAnsi="黑体" w:cs="黑体"/>
          <w:sz w:val="28"/>
          <w:szCs w:val="28"/>
        </w:rPr>
      </w:pPr>
      <w:r>
        <w:rPr>
          <w:rFonts w:ascii="黑体" w:eastAsia="黑体" w:hAnsi="黑体" w:cs="黑体"/>
          <w:sz w:val="28"/>
          <w:szCs w:val="28"/>
        </w:rPr>
        <w:t>三、标准起草的过程简述</w:t>
      </w:r>
    </w:p>
    <w:p w14:paraId="6580D269" w14:textId="77777777" w:rsidR="00690865" w:rsidRDefault="00000000" w:rsidP="00E56377">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（一）预研阶段</w:t>
      </w:r>
      <w:r>
        <w:rPr>
          <w:rFonts w:asciiTheme="minorEastAsia" w:eastAsiaTheme="minorEastAsia" w:hAnsiTheme="minorEastAsia" w:cstheme="minorEastAsia"/>
          <w:b/>
          <w:bCs/>
          <w:color w:val="auto"/>
          <w:sz w:val="28"/>
          <w:szCs w:val="28"/>
        </w:rPr>
        <w:t>（2024年07月—2024年08月）</w:t>
      </w:r>
    </w:p>
    <w:p w14:paraId="234B344C"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在标准起草的初始阶段，即预研阶段，主要工作集中在市场与需求分析上。这一阶段的工作重点是通过多种调研手段，全面了解和分析市场需求、现存问题以及行业的发展趋势。具体来说，调研团队会利用资料检索、企业实地走访、专家焦点小组会议等多种维度的调研方法，深入研究包括制造业、新能源在内的重点行业。这些行业覆盖了当前市场的主要领域，它们的需求分析和问题诊断对于后续标准框架的设计至关重要。通过这些详尽的调研工作，可以为标准的制定提供坚实的数据支撑和理论基础，确保标准的实用性和前瞻性。</w:t>
      </w:r>
    </w:p>
    <w:p w14:paraId="67D3D4C4" w14:textId="77777777" w:rsidR="00690865" w:rsidRDefault="00000000" w:rsidP="00E56377">
      <w:pPr>
        <w:framePr w:wrap="auto" w:yAlign="inline"/>
        <w:ind w:firstLineChars="200" w:firstLine="562"/>
        <w:rPr>
          <w:rFonts w:asciiTheme="minorEastAsia" w:eastAsiaTheme="minorEastAsia" w:hAnsiTheme="minorEastAsia" w:cstheme="minorEastAsia"/>
          <w:b/>
          <w:bCs/>
          <w:sz w:val="28"/>
          <w:szCs w:val="28"/>
          <w:highlight w:val="yellow"/>
        </w:rPr>
      </w:pPr>
      <w:r>
        <w:rPr>
          <w:rFonts w:asciiTheme="minorEastAsia" w:eastAsiaTheme="minorEastAsia" w:hAnsiTheme="minorEastAsia" w:cstheme="minorEastAsia"/>
          <w:b/>
          <w:bCs/>
          <w:sz w:val="28"/>
          <w:szCs w:val="28"/>
        </w:rPr>
        <w:t>（二）立项阶段</w:t>
      </w:r>
      <w:r>
        <w:rPr>
          <w:rFonts w:asciiTheme="minorEastAsia" w:eastAsiaTheme="minorEastAsia" w:hAnsiTheme="minorEastAsia" w:cstheme="minorEastAsia"/>
          <w:b/>
          <w:bCs/>
          <w:color w:val="auto"/>
          <w:sz w:val="28"/>
          <w:szCs w:val="28"/>
        </w:rPr>
        <w:t>（2024年09月—2024年10月）</w:t>
      </w:r>
    </w:p>
    <w:p w14:paraId="0AA34E05"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1.立项准备。整合前期预研阶段的成果，编制标准制定的初步方案和目标。</w:t>
      </w:r>
    </w:p>
    <w:p w14:paraId="6F8D04F3"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2.正式立项。根据《中国贸促会</w:t>
      </w:r>
      <w:r>
        <w:rPr>
          <w:rFonts w:ascii="Times New Roman" w:eastAsiaTheme="minorEastAsia" w:hAnsi="Times New Roman" w:cs="Times New Roman" w:hint="default"/>
          <w:sz w:val="28"/>
          <w:szCs w:val="28"/>
        </w:rPr>
        <w:t>商业行业委员会关于下达</w:t>
      </w:r>
      <w:r>
        <w:rPr>
          <w:rFonts w:ascii="Times New Roman" w:eastAsiaTheme="minorEastAsia" w:hAnsi="Times New Roman" w:cs="Times New Roman" w:hint="default"/>
          <w:sz w:val="28"/>
          <w:szCs w:val="28"/>
        </w:rPr>
        <w:t xml:space="preserve"> 2024 </w:t>
      </w:r>
      <w:r>
        <w:rPr>
          <w:rFonts w:ascii="Times New Roman" w:eastAsiaTheme="minorEastAsia" w:hAnsi="Times New Roman" w:cs="Times New Roman" w:hint="default"/>
          <w:sz w:val="28"/>
          <w:szCs w:val="28"/>
        </w:rPr>
        <w:t>年第七批团体标准项目计划的通知》（</w:t>
      </w:r>
      <w:proofErr w:type="gramStart"/>
      <w:r>
        <w:rPr>
          <w:rFonts w:ascii="Times New Roman" w:eastAsiaTheme="minorEastAsia" w:hAnsi="Times New Roman" w:cs="Times New Roman" w:hint="default"/>
          <w:sz w:val="28"/>
          <w:szCs w:val="28"/>
        </w:rPr>
        <w:t>商贸促字〔</w:t>
      </w:r>
      <w:r>
        <w:rPr>
          <w:rFonts w:ascii="Times New Roman" w:eastAsiaTheme="minorEastAsia" w:hAnsi="Times New Roman" w:cs="Times New Roman" w:hint="default"/>
          <w:sz w:val="28"/>
          <w:szCs w:val="28"/>
        </w:rPr>
        <w:t>2024</w:t>
      </w:r>
      <w:r>
        <w:rPr>
          <w:rFonts w:ascii="Times New Roman" w:eastAsiaTheme="minorEastAsia" w:hAnsi="Times New Roman" w:cs="Times New Roman" w:hint="default"/>
          <w:sz w:val="28"/>
          <w:szCs w:val="28"/>
        </w:rPr>
        <w:t>〕</w:t>
      </w:r>
      <w:proofErr w:type="gramEnd"/>
      <w:r>
        <w:rPr>
          <w:rFonts w:ascii="Times New Roman" w:eastAsiaTheme="minorEastAsia" w:hAnsi="Times New Roman" w:cs="Times New Roman" w:hint="default"/>
          <w:sz w:val="28"/>
          <w:szCs w:val="28"/>
        </w:rPr>
        <w:t xml:space="preserve">199 </w:t>
      </w:r>
      <w:r>
        <w:rPr>
          <w:rFonts w:ascii="Times New Roman" w:eastAsiaTheme="minorEastAsia" w:hAnsi="Times New Roman" w:cs="Times New Roman" w:hint="default"/>
          <w:sz w:val="28"/>
          <w:szCs w:val="28"/>
        </w:rPr>
        <w:t>号）</w:t>
      </w:r>
      <w:r>
        <w:rPr>
          <w:rFonts w:asciiTheme="minorEastAsia" w:eastAsiaTheme="minorEastAsia" w:hAnsiTheme="minorEastAsia" w:cstheme="minorEastAsia"/>
          <w:sz w:val="28"/>
          <w:szCs w:val="28"/>
        </w:rPr>
        <w:t>，中国贸促会商业行业委员会、中国国际展览中心集团有限公司牵头组织起草了《基于产业链的供应链合作指南》团体标准。</w:t>
      </w:r>
    </w:p>
    <w:p w14:paraId="7CDBB5A9" w14:textId="77777777" w:rsidR="00690865" w:rsidRDefault="00000000" w:rsidP="00E56377">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（三）起草阶段（2024年11月—2025年03月）</w:t>
      </w:r>
    </w:p>
    <w:p w14:paraId="2410BBE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1.政策与法规研究。在标准起草的初期，对与产业</w:t>
      </w:r>
      <w:proofErr w:type="gramStart"/>
      <w:r>
        <w:rPr>
          <w:rFonts w:asciiTheme="minorEastAsia" w:eastAsiaTheme="minorEastAsia" w:hAnsiTheme="minorEastAsia" w:cstheme="minorEastAsia"/>
          <w:sz w:val="28"/>
          <w:szCs w:val="28"/>
        </w:rPr>
        <w:t>链供应</w:t>
      </w:r>
      <w:proofErr w:type="gramEnd"/>
      <w:r>
        <w:rPr>
          <w:rFonts w:asciiTheme="minorEastAsia" w:eastAsiaTheme="minorEastAsia" w:hAnsiTheme="minorEastAsia" w:cstheme="minorEastAsia"/>
          <w:sz w:val="28"/>
          <w:szCs w:val="28"/>
        </w:rPr>
        <w:t>链相关的国内外法律法规、政策导向进行详细梳理，分析其对标准草案可能产生的影响，确保草案内容的合法性和适用性，避免与现行法规发生冲突。</w:t>
      </w:r>
    </w:p>
    <w:p w14:paraId="2290697D"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3.技术调研。系统分析产业</w:t>
      </w:r>
      <w:proofErr w:type="gramStart"/>
      <w:r>
        <w:rPr>
          <w:rFonts w:asciiTheme="minorEastAsia" w:eastAsiaTheme="minorEastAsia" w:hAnsiTheme="minorEastAsia" w:cstheme="minorEastAsia"/>
          <w:sz w:val="28"/>
          <w:szCs w:val="28"/>
        </w:rPr>
        <w:t>链供应</w:t>
      </w:r>
      <w:proofErr w:type="gramEnd"/>
      <w:r>
        <w:rPr>
          <w:rFonts w:asciiTheme="minorEastAsia" w:eastAsiaTheme="minorEastAsia" w:hAnsiTheme="minorEastAsia" w:cstheme="minorEastAsia"/>
          <w:sz w:val="28"/>
          <w:szCs w:val="28"/>
        </w:rPr>
        <w:t>链国内外政策，结合</w:t>
      </w:r>
      <w:r>
        <w:rPr>
          <w:rFonts w:ascii="Times New Roman" w:eastAsiaTheme="minorEastAsia" w:hAnsi="Times New Roman" w:cs="Times New Roman" w:hint="default"/>
          <w:sz w:val="28"/>
          <w:szCs w:val="28"/>
        </w:rPr>
        <w:t>GB/T 40144</w:t>
      </w:r>
      <w:r>
        <w:rPr>
          <w:rFonts w:asciiTheme="minorEastAsia" w:eastAsiaTheme="minorEastAsia" w:hAnsiTheme="minorEastAsia" w:cstheme="minorEastAsia"/>
          <w:sz w:val="28"/>
          <w:szCs w:val="28"/>
        </w:rPr>
        <w:t xml:space="preserve">《协作业务关系管理体系 要求和框架》等标准体系，明确标准需重点突破的领域。通过技术分析和研究，为标准草案提供坚实的技术支撑，确保标准的先进性和实用性。 </w:t>
      </w:r>
    </w:p>
    <w:p w14:paraId="597F1D21"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3.行业最佳实践。深度解析行业内成功的典型案例，分析其成功的关键因素，提炼可复制经验，为标准起草提供实践指导。</w:t>
      </w:r>
    </w:p>
    <w:p w14:paraId="2D889A7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4.组建项目团队。在预研阶段结束之后，确立团体标准研制项目团队，根据标准研制的需要，合理分配团队成员的角色和任务，确保团队成员能够各司其职，高效推进标准的起草工作。</w:t>
      </w:r>
    </w:p>
    <w:p w14:paraId="398B3082" w14:textId="77777777" w:rsidR="00690865" w:rsidRDefault="00000000">
      <w:pPr>
        <w:framePr w:wrap="auto" w:yAlign="inline"/>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sz w:val="28"/>
          <w:szCs w:val="28"/>
        </w:rPr>
        <w:t>5.</w:t>
      </w:r>
      <w:r>
        <w:rPr>
          <w:rFonts w:ascii="宋体" w:eastAsia="宋体" w:hAnsi="宋体" w:cs="宋体"/>
          <w:sz w:val="28"/>
          <w:szCs w:val="28"/>
        </w:rPr>
        <w:t>举办研讨会议。2025年3月13日早晨，由来自中国工商银行股份有限公司、鞍山钢铁集团有限公司、广州交易集团有限公司、陆海新通道（北京）数据服务有限公司、中国管理科学学会、中国石油规划总院、浙江经贸职业技术学院等单位的近20位专家参与了本次研讨</w:t>
      </w:r>
      <w:r>
        <w:rPr>
          <w:rFonts w:ascii="宋体" w:eastAsia="宋体" w:hAnsi="宋体" w:cs="宋体"/>
          <w:sz w:val="28"/>
          <w:szCs w:val="28"/>
        </w:rPr>
        <w:lastRenderedPageBreak/>
        <w:t>会议。</w:t>
      </w:r>
      <w:r>
        <w:rPr>
          <w:rFonts w:ascii="Times New Roman" w:eastAsiaTheme="minorEastAsia" w:hAnsi="Times New Roman" w:cs="Times New Roman" w:hint="default"/>
          <w:sz w:val="28"/>
          <w:szCs w:val="28"/>
        </w:rPr>
        <w:t>在</w:t>
      </w:r>
      <w:r>
        <w:rPr>
          <w:rFonts w:ascii="Times New Roman" w:eastAsiaTheme="minorEastAsia" w:hAnsi="Times New Roman" w:cs="Times New Roman"/>
          <w:sz w:val="28"/>
          <w:szCs w:val="28"/>
        </w:rPr>
        <w:t>会议室</w:t>
      </w:r>
      <w:r>
        <w:rPr>
          <w:rFonts w:ascii="Times New Roman" w:eastAsiaTheme="minorEastAsia" w:hAnsi="Times New Roman" w:cs="Times New Roman" w:hint="default"/>
          <w:sz w:val="28"/>
          <w:szCs w:val="28"/>
        </w:rPr>
        <w:t>听取了来自不同产业链和供应</w:t>
      </w:r>
      <w:proofErr w:type="gramStart"/>
      <w:r>
        <w:rPr>
          <w:rFonts w:ascii="Times New Roman" w:eastAsiaTheme="minorEastAsia" w:hAnsi="Times New Roman" w:cs="Times New Roman" w:hint="default"/>
          <w:sz w:val="28"/>
          <w:szCs w:val="28"/>
        </w:rPr>
        <w:t>链领域</w:t>
      </w:r>
      <w:proofErr w:type="gramEnd"/>
      <w:r>
        <w:rPr>
          <w:rFonts w:ascii="Times New Roman" w:eastAsiaTheme="minorEastAsia" w:hAnsi="Times New Roman" w:cs="Times New Roman" w:hint="default"/>
          <w:sz w:val="28"/>
          <w:szCs w:val="28"/>
        </w:rPr>
        <w:t>的专家们的意见和建议</w:t>
      </w:r>
      <w:r>
        <w:rPr>
          <w:rFonts w:ascii="Times New Roman" w:eastAsiaTheme="minorEastAsia" w:hAnsi="Times New Roman" w:cs="Times New Roman"/>
          <w:sz w:val="28"/>
          <w:szCs w:val="28"/>
        </w:rPr>
        <w:t>，修改后，</w:t>
      </w:r>
      <w:r>
        <w:rPr>
          <w:rFonts w:ascii="Times New Roman" w:eastAsiaTheme="minorEastAsia" w:hAnsi="Times New Roman" w:cs="Times New Roman" w:hint="default"/>
          <w:sz w:val="28"/>
          <w:szCs w:val="28"/>
        </w:rPr>
        <w:t>形成标准征求意见稿</w:t>
      </w:r>
      <w:r>
        <w:rPr>
          <w:rFonts w:ascii="Times New Roman" w:eastAsiaTheme="minorEastAsia" w:hAnsi="Times New Roman" w:cs="Times New Roman"/>
          <w:sz w:val="28"/>
          <w:szCs w:val="28"/>
        </w:rPr>
        <w:t>。</w:t>
      </w:r>
    </w:p>
    <w:p w14:paraId="6AD2278D" w14:textId="4619688B" w:rsidR="00690865" w:rsidRDefault="00000000" w:rsidP="00E56377">
      <w:pPr>
        <w:framePr w:wrap="auto" w:yAlign="inline"/>
        <w:ind w:firstLineChars="200" w:firstLine="562"/>
        <w:rPr>
          <w:rFonts w:asciiTheme="minorEastAsia" w:eastAsiaTheme="minorEastAsia" w:hAnsiTheme="minorEastAsia" w:cstheme="minorEastAsia"/>
          <w:b/>
          <w:bCs/>
          <w:sz w:val="28"/>
          <w:szCs w:val="28"/>
          <w:highlight w:val="yellow"/>
        </w:rPr>
      </w:pPr>
      <w:r>
        <w:rPr>
          <w:rFonts w:asciiTheme="minorEastAsia" w:eastAsiaTheme="minorEastAsia" w:hAnsiTheme="minorEastAsia" w:cstheme="minorEastAsia"/>
          <w:b/>
          <w:bCs/>
          <w:sz w:val="28"/>
          <w:szCs w:val="28"/>
        </w:rPr>
        <w:t>（四）征求意见阶段（2025年03月1</w:t>
      </w:r>
      <w:r w:rsidR="00E56377">
        <w:rPr>
          <w:rFonts w:asciiTheme="minorEastAsia" w:eastAsiaTheme="minorEastAsia" w:hAnsiTheme="minorEastAsia" w:cstheme="minorEastAsia"/>
          <w:b/>
          <w:bCs/>
          <w:sz w:val="28"/>
          <w:szCs w:val="28"/>
        </w:rPr>
        <w:t>7</w:t>
      </w:r>
      <w:r>
        <w:rPr>
          <w:rFonts w:asciiTheme="minorEastAsia" w:eastAsiaTheme="minorEastAsia" w:hAnsiTheme="minorEastAsia" w:cstheme="minorEastAsia"/>
          <w:b/>
          <w:bCs/>
          <w:sz w:val="28"/>
          <w:szCs w:val="28"/>
        </w:rPr>
        <w:t>日——2025年04月1</w:t>
      </w:r>
      <w:r w:rsidR="00E56377">
        <w:rPr>
          <w:rFonts w:asciiTheme="minorEastAsia" w:eastAsiaTheme="minorEastAsia" w:hAnsiTheme="minorEastAsia" w:cstheme="minorEastAsia"/>
          <w:b/>
          <w:bCs/>
          <w:sz w:val="28"/>
          <w:szCs w:val="28"/>
        </w:rPr>
        <w:t>6</w:t>
      </w:r>
      <w:r>
        <w:rPr>
          <w:rFonts w:asciiTheme="minorEastAsia" w:eastAsiaTheme="minorEastAsia" w:hAnsiTheme="minorEastAsia" w:cstheme="minorEastAsia"/>
          <w:b/>
          <w:bCs/>
          <w:sz w:val="28"/>
          <w:szCs w:val="28"/>
        </w:rPr>
        <w:t>日）</w:t>
      </w:r>
    </w:p>
    <w:p w14:paraId="33D5BC10"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1.公开征求意见。通过官方网站、行业会议、邮件列表等多种渠道，向社会公众、行业企业、相关机构公开征求对标准草案的意见。</w:t>
      </w:r>
    </w:p>
    <w:p w14:paraId="4BFA0735"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2.意见整理与分析。对收到的反馈进行归纳整理，分析意见的合理性和可行性，为下一步修订提供依据。</w:t>
      </w:r>
    </w:p>
    <w:p w14:paraId="5C96895B" w14:textId="77777777" w:rsidR="00690865" w:rsidRDefault="00000000" w:rsidP="00E56377">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（五）预计送审阶段（2025年04月）——</w:t>
      </w:r>
    </w:p>
    <w:p w14:paraId="21825186" w14:textId="77777777" w:rsidR="00690865" w:rsidRDefault="00000000" w:rsidP="009E21D9">
      <w:pPr>
        <w:framePr w:wrap="auto" w:yAlign="inline"/>
        <w:ind w:firstLineChars="200" w:firstLine="560"/>
        <w:rPr>
          <w:rFonts w:ascii="黑体" w:eastAsia="黑体" w:hAnsi="黑体" w:cs="黑体"/>
          <w:sz w:val="28"/>
          <w:szCs w:val="28"/>
        </w:rPr>
      </w:pPr>
      <w:r>
        <w:rPr>
          <w:rFonts w:ascii="黑体" w:eastAsia="黑体" w:hAnsi="黑体" w:cs="黑体"/>
          <w:sz w:val="28"/>
          <w:szCs w:val="28"/>
        </w:rPr>
        <w:t>四、标准的主要内容和依据</w:t>
      </w:r>
    </w:p>
    <w:p w14:paraId="67CB706D" w14:textId="77777777" w:rsidR="00690865" w:rsidRDefault="00000000">
      <w:pPr>
        <w:framePr w:wrap="auto" w:yAlign="inline"/>
        <w:ind w:firstLineChars="200" w:firstLine="560"/>
        <w:rPr>
          <w:rFonts w:ascii="宋体" w:eastAsia="宋体" w:hAnsi="宋体" w:cs="宋体"/>
          <w:sz w:val="28"/>
          <w:szCs w:val="28"/>
          <w:highlight w:val="yellow"/>
        </w:rPr>
      </w:pPr>
      <w:r>
        <w:rPr>
          <w:rFonts w:ascii="宋体" w:eastAsia="宋体" w:hAnsi="宋体" w:cs="宋体"/>
          <w:sz w:val="28"/>
          <w:szCs w:val="28"/>
        </w:rPr>
        <w:t>本标准结合了</w:t>
      </w:r>
      <w:r>
        <w:rPr>
          <w:rFonts w:ascii="Times New Roman" w:eastAsia="宋体" w:hAnsi="Times New Roman" w:cs="Times New Roman" w:hint="default"/>
          <w:sz w:val="28"/>
          <w:szCs w:val="28"/>
        </w:rPr>
        <w:t>GB/T 40144</w:t>
      </w:r>
      <w:r>
        <w:rPr>
          <w:rFonts w:ascii="宋体" w:eastAsia="宋体" w:hAnsi="宋体" w:cs="宋体"/>
          <w:sz w:val="28"/>
          <w:szCs w:val="28"/>
        </w:rPr>
        <w:t>《协作业务关系管理体系 要求和框架》及最佳实践，强调了产业链定位与供应链协作的管理理念，旨在通过双链协同来增强企业协作中的价值创造。这包括了自上而下的产业链定位对供应链演变方向的影响，以及自下而上的供应链优化对产业链升级的推动作用。为了实现这一目标，本标准提出了几个主要步骤：首先，明确企业在产业链上下游合作中的位置和价值核心特性，其次，根据其在产业链所处位置优化资源配置，选择合适的供应商、分销者和合作伙伴，建立长期稳定的合作关系，共同应对市场变化和风险，确保供应链的弹性和效率。此外，通过技术创新和数字化转型，提升供应链管理的智能化水平，实现信息的实时共享和协同决策。最终，企业需要持续关注产业链和供应链的发展趋势，灵活调整自身的经营策略，以便能够适应不断变化的市场环境。通过实施这些措施，企业</w:t>
      </w:r>
      <w:r>
        <w:rPr>
          <w:rFonts w:ascii="宋体" w:eastAsia="宋体" w:hAnsi="宋体" w:cs="宋体"/>
          <w:sz w:val="28"/>
          <w:szCs w:val="28"/>
        </w:rPr>
        <w:lastRenderedPageBreak/>
        <w:t>将能够在产业链和供应链的协同作用中实现价值的最大化，从而推动整个产业经济的持续健康发展。</w:t>
      </w:r>
    </w:p>
    <w:p w14:paraId="58FE1CBF" w14:textId="77777777" w:rsidR="00690865" w:rsidRDefault="00000000" w:rsidP="009E21D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（一）原则</w:t>
      </w:r>
    </w:p>
    <w:p w14:paraId="3AAF1E77" w14:textId="77777777" w:rsidR="00690865" w:rsidRDefault="00000000" w:rsidP="009E21D9">
      <w:pPr>
        <w:framePr w:wrap="auto" w:yAlign="inline"/>
        <w:ind w:firstLineChars="200" w:firstLine="562"/>
        <w:rPr>
          <w:rFonts w:ascii="宋体" w:eastAsia="宋体" w:hAnsi="宋体" w:cs="宋体"/>
          <w:b/>
          <w:bCs/>
          <w:sz w:val="28"/>
          <w:szCs w:val="28"/>
        </w:rPr>
      </w:pPr>
      <w:r>
        <w:rPr>
          <w:rFonts w:ascii="宋体" w:eastAsia="宋体" w:hAnsi="宋体" w:cs="宋体"/>
          <w:b/>
          <w:bCs/>
          <w:sz w:val="28"/>
          <w:szCs w:val="28"/>
        </w:rPr>
        <w:t>1.战略协同原则</w:t>
      </w:r>
    </w:p>
    <w:p w14:paraId="5F37FDE3" w14:textId="77777777" w:rsidR="00690865" w:rsidRDefault="00000000">
      <w:pPr>
        <w:framePr w:wrap="auto" w:yAlign="inline"/>
        <w:ind w:firstLineChars="200" w:firstLine="560"/>
        <w:rPr>
          <w:rFonts w:ascii="宋体" w:eastAsia="宋体" w:hAnsi="宋体" w:cs="宋体"/>
          <w:sz w:val="28"/>
          <w:szCs w:val="28"/>
        </w:rPr>
      </w:pPr>
      <w:r>
        <w:rPr>
          <w:rFonts w:ascii="宋体" w:eastAsia="宋体" w:hAnsi="宋体" w:cs="宋体"/>
          <w:sz w:val="28"/>
          <w:szCs w:val="28"/>
        </w:rPr>
        <w:t>产业链上下游企业合作宜在战略层面上对</w:t>
      </w:r>
      <w:proofErr w:type="gramStart"/>
      <w:r>
        <w:rPr>
          <w:rFonts w:ascii="宋体" w:eastAsia="宋体" w:hAnsi="宋体" w:cs="宋体"/>
          <w:sz w:val="28"/>
          <w:szCs w:val="28"/>
        </w:rPr>
        <w:t>长期愿景和</w:t>
      </w:r>
      <w:proofErr w:type="gramEnd"/>
      <w:r>
        <w:rPr>
          <w:rFonts w:ascii="宋体" w:eastAsia="宋体" w:hAnsi="宋体" w:cs="宋体"/>
          <w:sz w:val="28"/>
          <w:szCs w:val="28"/>
        </w:rPr>
        <w:t>短期目标达成共识，通过高层管理者积极参与战略决策推动跨企业文化融合，确保资源投入方向一致，并通过定期合作机制消除战略偏差。</w:t>
      </w:r>
    </w:p>
    <w:p w14:paraId="09B14645" w14:textId="77777777" w:rsidR="00690865" w:rsidRDefault="00000000" w:rsidP="009E21D9">
      <w:pPr>
        <w:framePr w:wrap="auto" w:yAlign="inline"/>
        <w:ind w:firstLineChars="200" w:firstLine="562"/>
        <w:rPr>
          <w:rFonts w:ascii="宋体" w:eastAsia="宋体" w:hAnsi="宋体" w:cs="宋体"/>
          <w:b/>
          <w:bCs/>
          <w:sz w:val="28"/>
          <w:szCs w:val="28"/>
        </w:rPr>
      </w:pPr>
      <w:r>
        <w:rPr>
          <w:rFonts w:ascii="宋体" w:eastAsia="宋体" w:hAnsi="宋体" w:cs="宋体"/>
          <w:b/>
          <w:bCs/>
          <w:sz w:val="28"/>
          <w:szCs w:val="28"/>
        </w:rPr>
        <w:t>2.信任与透明原则</w:t>
      </w:r>
    </w:p>
    <w:p w14:paraId="02791A9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产业链上下游企业合作宜构建开放透明的多双边信息流通机制，通过契约</w:t>
      </w:r>
      <w:proofErr w:type="gramStart"/>
      <w:r>
        <w:rPr>
          <w:rFonts w:asciiTheme="minorEastAsia" w:eastAsiaTheme="minorEastAsia" w:hAnsiTheme="minorEastAsia" w:cstheme="minorEastAsia"/>
          <w:sz w:val="28"/>
          <w:szCs w:val="28"/>
        </w:rPr>
        <w:t>化承诺</w:t>
      </w:r>
      <w:proofErr w:type="gramEnd"/>
      <w:r>
        <w:rPr>
          <w:rFonts w:asciiTheme="minorEastAsia" w:eastAsiaTheme="minorEastAsia" w:hAnsiTheme="minorEastAsia" w:cstheme="minorEastAsia"/>
          <w:sz w:val="28"/>
          <w:szCs w:val="28"/>
        </w:rPr>
        <w:t>和技术工具巩固信任基础。</w:t>
      </w:r>
    </w:p>
    <w:p w14:paraId="59C3DB87" w14:textId="77777777" w:rsidR="00690865" w:rsidRDefault="00000000" w:rsidP="009E21D9">
      <w:pPr>
        <w:framePr w:wrap="auto" w:yAlign="inline"/>
        <w:ind w:firstLineChars="200" w:firstLine="562"/>
        <w:rPr>
          <w:rFonts w:ascii="宋体" w:eastAsia="宋体" w:hAnsi="宋体" w:cs="宋体"/>
          <w:b/>
          <w:bCs/>
          <w:sz w:val="28"/>
          <w:szCs w:val="28"/>
        </w:rPr>
      </w:pPr>
      <w:r>
        <w:rPr>
          <w:rFonts w:asciiTheme="minorEastAsia" w:eastAsiaTheme="minorEastAsia" w:hAnsiTheme="minorEastAsia" w:cstheme="minorEastAsia"/>
          <w:b/>
          <w:bCs/>
          <w:sz w:val="28"/>
          <w:szCs w:val="28"/>
        </w:rPr>
        <w:t>3.</w:t>
      </w:r>
      <w:r>
        <w:rPr>
          <w:rFonts w:ascii="宋体" w:eastAsia="宋体" w:hAnsi="宋体" w:cs="宋体"/>
          <w:b/>
          <w:bCs/>
          <w:sz w:val="28"/>
          <w:szCs w:val="28"/>
        </w:rPr>
        <w:t>治理与协同原则</w:t>
      </w:r>
    </w:p>
    <w:p w14:paraId="2E48723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产业链上下游企业合作</w:t>
      </w:r>
      <w:proofErr w:type="gramStart"/>
      <w:r>
        <w:rPr>
          <w:rFonts w:asciiTheme="minorEastAsia" w:eastAsiaTheme="minorEastAsia" w:hAnsiTheme="minorEastAsia" w:cstheme="minorEastAsia"/>
          <w:sz w:val="28"/>
          <w:szCs w:val="28"/>
        </w:rPr>
        <w:t>宜明确</w:t>
      </w:r>
      <w:proofErr w:type="gramEnd"/>
      <w:r>
        <w:rPr>
          <w:rFonts w:asciiTheme="minorEastAsia" w:eastAsiaTheme="minorEastAsia" w:hAnsiTheme="minorEastAsia" w:cstheme="minorEastAsia"/>
          <w:sz w:val="28"/>
          <w:szCs w:val="28"/>
        </w:rPr>
        <w:t>权责分配框架，标准化合作流程，通过联合培训、技术嫁接和能力互补提升资源整合与协作执行效能，实现跨企业高效协同。</w:t>
      </w:r>
    </w:p>
    <w:p w14:paraId="59EA0DD2" w14:textId="77777777" w:rsidR="00690865" w:rsidRDefault="00000000" w:rsidP="009E21D9">
      <w:pPr>
        <w:framePr w:wrap="auto" w:yAlign="inline"/>
        <w:ind w:firstLineChars="200" w:firstLine="562"/>
        <w:rPr>
          <w:rFonts w:ascii="宋体" w:eastAsia="宋体" w:hAnsi="宋体" w:cs="宋体"/>
          <w:b/>
          <w:bCs/>
          <w:sz w:val="28"/>
          <w:szCs w:val="28"/>
        </w:rPr>
      </w:pPr>
      <w:r>
        <w:rPr>
          <w:rFonts w:asciiTheme="minorEastAsia" w:eastAsiaTheme="minorEastAsia" w:hAnsiTheme="minorEastAsia" w:cstheme="minorEastAsia"/>
          <w:b/>
          <w:bCs/>
          <w:sz w:val="28"/>
          <w:szCs w:val="28"/>
        </w:rPr>
        <w:t>4.</w:t>
      </w:r>
      <w:r>
        <w:rPr>
          <w:rFonts w:ascii="宋体" w:eastAsia="宋体" w:hAnsi="宋体" w:cs="宋体"/>
          <w:b/>
          <w:bCs/>
          <w:sz w:val="28"/>
          <w:szCs w:val="28"/>
        </w:rPr>
        <w:t>价值风险共创共担原则</w:t>
      </w:r>
    </w:p>
    <w:p w14:paraId="3934E521" w14:textId="77777777" w:rsidR="00690865" w:rsidRDefault="00000000">
      <w:pPr>
        <w:framePr w:wrap="auto" w:yAlign="inline"/>
        <w:ind w:firstLineChars="200" w:firstLine="560"/>
        <w:rPr>
          <w:rFonts w:ascii="宋体" w:eastAsia="宋体" w:hAnsi="宋体" w:cs="宋体"/>
          <w:sz w:val="28"/>
          <w:szCs w:val="28"/>
        </w:rPr>
      </w:pPr>
      <w:r>
        <w:rPr>
          <w:rFonts w:ascii="宋体" w:eastAsia="宋体" w:hAnsi="宋体" w:cs="宋体"/>
          <w:sz w:val="28"/>
          <w:szCs w:val="28"/>
        </w:rPr>
        <w:t>产业链上下游企业合作宜以技术创新和升级带来的新增价值为核心，通过风险识别和金融服务保障实现系统化的风险分摊与对冲管理。</w:t>
      </w:r>
    </w:p>
    <w:p w14:paraId="6488BA0E" w14:textId="77777777" w:rsidR="00690865" w:rsidRDefault="00000000" w:rsidP="009E21D9">
      <w:pPr>
        <w:framePr w:wrap="auto" w:yAlign="inline"/>
        <w:ind w:firstLineChars="200" w:firstLine="562"/>
        <w:rPr>
          <w:rFonts w:ascii="宋体" w:eastAsia="宋体" w:hAnsi="宋体" w:cs="宋体"/>
          <w:b/>
          <w:bCs/>
          <w:sz w:val="28"/>
          <w:szCs w:val="28"/>
        </w:rPr>
      </w:pPr>
      <w:r>
        <w:rPr>
          <w:rFonts w:ascii="宋体" w:eastAsia="宋体" w:hAnsi="宋体" w:cs="宋体"/>
          <w:b/>
          <w:bCs/>
          <w:sz w:val="28"/>
          <w:szCs w:val="28"/>
        </w:rPr>
        <w:t>5.动态优化原则</w:t>
      </w:r>
    </w:p>
    <w:p w14:paraId="3D055E4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产业链上下游企业合作宜设定合作生命周期管理规则，基于数据反馈持续迭代合作模式。</w:t>
      </w:r>
    </w:p>
    <w:p w14:paraId="3FF62E4B" w14:textId="77777777" w:rsidR="00690865" w:rsidRDefault="00000000" w:rsidP="009E21D9">
      <w:pPr>
        <w:framePr w:wrap="auto" w:yAlign="inline"/>
        <w:numPr>
          <w:ilvl w:val="0"/>
          <w:numId w:val="8"/>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主要技术内容的说明</w:t>
      </w:r>
    </w:p>
    <w:p w14:paraId="32F0D8CD" w14:textId="77777777" w:rsidR="00690865" w:rsidRDefault="00000000" w:rsidP="009E21D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lastRenderedPageBreak/>
        <w:t xml:space="preserve">第5章  </w:t>
      </w:r>
      <w:proofErr w:type="gramStart"/>
      <w:r>
        <w:rPr>
          <w:rFonts w:asciiTheme="minorEastAsia" w:eastAsiaTheme="minorEastAsia" w:hAnsiTheme="minorEastAsia" w:cstheme="minorEastAsia"/>
          <w:b/>
          <w:bCs/>
          <w:sz w:val="28"/>
          <w:szCs w:val="28"/>
        </w:rPr>
        <w:t>愿景和</w:t>
      </w:r>
      <w:proofErr w:type="gramEnd"/>
      <w:r>
        <w:rPr>
          <w:rFonts w:asciiTheme="minorEastAsia" w:eastAsiaTheme="minorEastAsia" w:hAnsiTheme="minorEastAsia" w:cstheme="minorEastAsia"/>
          <w:b/>
          <w:bCs/>
          <w:sz w:val="28"/>
          <w:szCs w:val="28"/>
        </w:rPr>
        <w:t>价值观</w:t>
      </w:r>
    </w:p>
    <w:p w14:paraId="611E58CD"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从发展理念和供应链生态系统两个方面出发对基于产业链的供应</w:t>
      </w:r>
      <w:proofErr w:type="gramStart"/>
      <w:r>
        <w:rPr>
          <w:rFonts w:asciiTheme="minorEastAsia" w:eastAsiaTheme="minorEastAsia" w:hAnsiTheme="minorEastAsia" w:cstheme="minorEastAsia"/>
          <w:sz w:val="28"/>
          <w:szCs w:val="28"/>
        </w:rPr>
        <w:t>链合作的愿景</w:t>
      </w:r>
      <w:proofErr w:type="gramEnd"/>
      <w:r>
        <w:rPr>
          <w:rFonts w:asciiTheme="minorEastAsia" w:eastAsiaTheme="minorEastAsia" w:hAnsiTheme="minorEastAsia" w:cstheme="minorEastAsia"/>
          <w:sz w:val="28"/>
          <w:szCs w:val="28"/>
        </w:rPr>
        <w:t>和价值观进行阐述：</w:t>
      </w:r>
    </w:p>
    <w:p w14:paraId="0B76C9DD"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w:t>
      </w:r>
      <w:r>
        <w:rPr>
          <w:rFonts w:asciiTheme="minorEastAsia" w:eastAsiaTheme="minorEastAsia" w:hAnsiTheme="minorEastAsia" w:cstheme="minorEastAsia" w:hint="default"/>
          <w:sz w:val="28"/>
          <w:szCs w:val="28"/>
        </w:rPr>
        <w:t>发展理念</w:t>
      </w:r>
    </w:p>
    <w:p w14:paraId="51286FD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树立全球标杆实践</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产业链上下游企业合作宜坚持贯彻可持续发展理念，构建高效、绿色、低碳、可持续的供应链生态系统，树立全球标杆实践。</w:t>
      </w:r>
    </w:p>
    <w:p w14:paraId="12C13E3B"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明确核心特征</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产业链上下游企业合作</w:t>
      </w:r>
      <w:proofErr w:type="gramStart"/>
      <w:r>
        <w:rPr>
          <w:rFonts w:asciiTheme="minorEastAsia" w:eastAsiaTheme="minorEastAsia" w:hAnsiTheme="minorEastAsia" w:cstheme="minorEastAsia" w:hint="default"/>
          <w:sz w:val="28"/>
          <w:szCs w:val="28"/>
        </w:rPr>
        <w:t>宜建立</w:t>
      </w:r>
      <w:proofErr w:type="gramEnd"/>
      <w:r>
        <w:rPr>
          <w:rFonts w:asciiTheme="minorEastAsia" w:eastAsiaTheme="minorEastAsia" w:hAnsiTheme="minorEastAsia" w:cstheme="minorEastAsia" w:hint="default"/>
          <w:sz w:val="28"/>
          <w:szCs w:val="28"/>
        </w:rPr>
        <w:t>供应链生态系统资源库，通过多中心化结构抵御单点失效风险，协同上下游供应链环节实现资源共享、优势互补的增值效应。</w:t>
      </w:r>
    </w:p>
    <w:p w14:paraId="0E41BC3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w:t>
      </w:r>
      <w:r>
        <w:rPr>
          <w:rFonts w:asciiTheme="minorEastAsia" w:eastAsiaTheme="minorEastAsia" w:hAnsiTheme="minorEastAsia" w:cstheme="minorEastAsia" w:hint="default"/>
          <w:sz w:val="28"/>
          <w:szCs w:val="28"/>
        </w:rPr>
        <w:t>供应链生态系统</w:t>
      </w:r>
    </w:p>
    <w:p w14:paraId="387D15FB"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参与主体层</w:t>
      </w:r>
      <w:r>
        <w:rPr>
          <w:rFonts w:asciiTheme="minorEastAsia" w:eastAsiaTheme="minorEastAsia" w:hAnsiTheme="minorEastAsia" w:cstheme="minorEastAsia"/>
          <w:sz w:val="28"/>
          <w:szCs w:val="28"/>
        </w:rPr>
        <w:t>：包含</w:t>
      </w:r>
      <w:r>
        <w:rPr>
          <w:rFonts w:asciiTheme="minorEastAsia" w:eastAsiaTheme="minorEastAsia" w:hAnsiTheme="minorEastAsia" w:cstheme="minorEastAsia" w:hint="default"/>
          <w:sz w:val="28"/>
          <w:szCs w:val="28"/>
        </w:rPr>
        <w:t>核心企业</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垂直协作方</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服务支持方</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技术服务商</w:t>
      </w:r>
      <w:r>
        <w:rPr>
          <w:rFonts w:asciiTheme="minorEastAsia" w:eastAsiaTheme="minorEastAsia" w:hAnsiTheme="minorEastAsia" w:cstheme="minorEastAsia"/>
          <w:sz w:val="28"/>
          <w:szCs w:val="28"/>
        </w:rPr>
        <w:t>以及</w:t>
      </w:r>
      <w:r>
        <w:rPr>
          <w:rFonts w:asciiTheme="minorEastAsia" w:eastAsiaTheme="minorEastAsia" w:hAnsiTheme="minorEastAsia" w:cstheme="minorEastAsia" w:hint="default"/>
          <w:sz w:val="28"/>
          <w:szCs w:val="28"/>
        </w:rPr>
        <w:t>监管与赋能方</w:t>
      </w:r>
      <w:r>
        <w:rPr>
          <w:rFonts w:asciiTheme="minorEastAsia" w:eastAsiaTheme="minorEastAsia" w:hAnsiTheme="minorEastAsia" w:cstheme="minorEastAsia"/>
          <w:sz w:val="28"/>
          <w:szCs w:val="28"/>
        </w:rPr>
        <w:t>，并对各</w:t>
      </w:r>
      <w:r>
        <w:rPr>
          <w:rFonts w:asciiTheme="minorEastAsia" w:eastAsiaTheme="minorEastAsia" w:hAnsiTheme="minorEastAsia" w:cstheme="minorEastAsia" w:hint="default"/>
          <w:sz w:val="28"/>
          <w:szCs w:val="28"/>
        </w:rPr>
        <w:t>主体层</w:t>
      </w:r>
      <w:r>
        <w:rPr>
          <w:rFonts w:asciiTheme="minorEastAsia" w:eastAsiaTheme="minorEastAsia" w:hAnsiTheme="minorEastAsia" w:cstheme="minorEastAsia"/>
          <w:sz w:val="28"/>
          <w:szCs w:val="28"/>
        </w:rPr>
        <w:t>的职责进行了介绍。</w:t>
      </w:r>
    </w:p>
    <w:p w14:paraId="31521D42"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基础设施支撑层</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产业链上下游企业合作</w:t>
      </w:r>
      <w:proofErr w:type="gramStart"/>
      <w:r>
        <w:rPr>
          <w:rFonts w:asciiTheme="minorEastAsia" w:eastAsiaTheme="minorEastAsia" w:hAnsiTheme="minorEastAsia" w:cstheme="minorEastAsia" w:hint="default"/>
          <w:sz w:val="28"/>
          <w:szCs w:val="28"/>
        </w:rPr>
        <w:t>宜建立</w:t>
      </w:r>
      <w:proofErr w:type="gramEnd"/>
      <w:r>
        <w:rPr>
          <w:rFonts w:asciiTheme="minorEastAsia" w:eastAsiaTheme="minorEastAsia" w:hAnsiTheme="minorEastAsia" w:cstheme="minorEastAsia" w:hint="default"/>
          <w:sz w:val="28"/>
          <w:szCs w:val="28"/>
        </w:rPr>
        <w:t>备用物流通道与分布式仓储网络，提升供应链的灵活性、响应速度以及抗风险能力</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产业链上下游企业合作宜融入绿色理念，采用碳足迹追踪技术，利用可再生能源，降低碳排放，实现可持续发展。</w:t>
      </w:r>
    </w:p>
    <w:p w14:paraId="1B39CE5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技术支撑层</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建立高效供应链体系的基础数字化平台，涵盖物联网技术以及区块链技术，增强产业链上下游企业合作供应链的透明度和安全性</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通过云计算技术为供应链管理提供灵活的计算资源和便捷的软件服务</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利用数字孪生技术和人工智能模型等智能分析工具，提高供应链的智能化水平，加强产业链上下游企业合作决策过程的科学</w:t>
      </w:r>
      <w:r>
        <w:rPr>
          <w:rFonts w:asciiTheme="minorEastAsia" w:eastAsiaTheme="minorEastAsia" w:hAnsiTheme="minorEastAsia" w:cstheme="minorEastAsia" w:hint="default"/>
          <w:sz w:val="28"/>
          <w:szCs w:val="28"/>
        </w:rPr>
        <w:lastRenderedPageBreak/>
        <w:t>性，优化供应链的响应速度。</w:t>
      </w:r>
    </w:p>
    <w:p w14:paraId="41BDD78C" w14:textId="77777777" w:rsidR="00690865" w:rsidRDefault="00000000" w:rsidP="009E21D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第6章  合作的领导作用</w:t>
      </w:r>
    </w:p>
    <w:p w14:paraId="4EA47554"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从战略规划、跨部门协调、团队文化塑造与建设、利益相关者沟通以及绩效评估与激励等</w:t>
      </w:r>
      <w:r>
        <w:rPr>
          <w:rFonts w:ascii="Times New Roman" w:eastAsiaTheme="minorEastAsia" w:hAnsi="Times New Roman" w:cs="Times New Roman" w:hint="default"/>
          <w:sz w:val="28"/>
          <w:szCs w:val="28"/>
        </w:rPr>
        <w:t>5</w:t>
      </w:r>
      <w:r>
        <w:rPr>
          <w:rFonts w:asciiTheme="minorEastAsia" w:eastAsiaTheme="minorEastAsia" w:hAnsiTheme="minorEastAsia" w:cstheme="minorEastAsia"/>
          <w:sz w:val="28"/>
          <w:szCs w:val="28"/>
        </w:rPr>
        <w:t>点对基于产业链的供应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中合作的领导作用内容进行阐述：</w:t>
      </w:r>
    </w:p>
    <w:p w14:paraId="2C55D559"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1.战略规划</w:t>
      </w:r>
    </w:p>
    <w:p w14:paraId="1E6153BC"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产业链上下游企业领导</w:t>
      </w:r>
      <w:proofErr w:type="gramStart"/>
      <w:r>
        <w:rPr>
          <w:rFonts w:asciiTheme="minorEastAsia" w:eastAsiaTheme="minorEastAsia" w:hAnsiTheme="minorEastAsia" w:cstheme="minorEastAsia"/>
          <w:sz w:val="28"/>
          <w:szCs w:val="28"/>
        </w:rPr>
        <w:t>层负责</w:t>
      </w:r>
      <w:proofErr w:type="gramEnd"/>
      <w:r>
        <w:rPr>
          <w:rFonts w:asciiTheme="minorEastAsia" w:eastAsiaTheme="minorEastAsia" w:hAnsiTheme="minorEastAsia" w:cstheme="minorEastAsia"/>
          <w:sz w:val="28"/>
          <w:szCs w:val="28"/>
        </w:rPr>
        <w:t>制定清晰的战略规划和方向，包括但不限于明确企业在产业链中的定位、确定供应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的长期目标、关键绩效指标、衡量成功的标准。</w:t>
      </w:r>
    </w:p>
    <w:p w14:paraId="5EE8749B"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确保产业链上下游企业合作目标与企业的</w:t>
      </w:r>
      <w:proofErr w:type="gramStart"/>
      <w:r>
        <w:rPr>
          <w:rFonts w:asciiTheme="minorEastAsia" w:eastAsiaTheme="minorEastAsia" w:hAnsiTheme="minorEastAsia" w:cstheme="minorEastAsia"/>
          <w:sz w:val="28"/>
          <w:szCs w:val="28"/>
        </w:rPr>
        <w:t>总体愿景和</w:t>
      </w:r>
      <w:proofErr w:type="gramEnd"/>
      <w:r>
        <w:rPr>
          <w:rFonts w:asciiTheme="minorEastAsia" w:eastAsiaTheme="minorEastAsia" w:hAnsiTheme="minorEastAsia" w:cstheme="minorEastAsia"/>
          <w:sz w:val="28"/>
          <w:szCs w:val="28"/>
        </w:rPr>
        <w:t>价值观相一致，并且能够适应不断变化的市场环境。</w:t>
      </w:r>
    </w:p>
    <w:p w14:paraId="7377DD03"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2.跨部门协调</w:t>
      </w:r>
    </w:p>
    <w:p w14:paraId="00FC4DB3"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sz w:val="28"/>
          <w:szCs w:val="28"/>
        </w:rPr>
        <w:t>领导层宜发挥</w:t>
      </w:r>
      <w:proofErr w:type="gramEnd"/>
      <w:r>
        <w:rPr>
          <w:rFonts w:asciiTheme="minorEastAsia" w:eastAsiaTheme="minorEastAsia" w:hAnsiTheme="minorEastAsia" w:cstheme="minorEastAsia"/>
          <w:sz w:val="28"/>
          <w:szCs w:val="28"/>
        </w:rPr>
        <w:t>多部门协调作用，优化资源分配与沟通效率，提高产业链上下游企业合作供应链效率和效果。</w:t>
      </w:r>
    </w:p>
    <w:p w14:paraId="7D1F85DB"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3.团队文化塑造与建设</w:t>
      </w:r>
    </w:p>
    <w:p w14:paraId="3A46D39E"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sz w:val="28"/>
          <w:szCs w:val="28"/>
        </w:rPr>
        <w:t>领导层宜倡导</w:t>
      </w:r>
      <w:proofErr w:type="gramEnd"/>
      <w:r>
        <w:rPr>
          <w:rFonts w:asciiTheme="minorEastAsia" w:eastAsiaTheme="minorEastAsia" w:hAnsiTheme="minorEastAsia" w:cstheme="minorEastAsia"/>
          <w:sz w:val="28"/>
          <w:szCs w:val="28"/>
        </w:rPr>
        <w:t>开放、合作、创新、包容的文化，鼓励团队成员积极参与供应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项目。通过培训提升团队成员对产业链上下游企业供应链管理能力和跨文化沟通技巧，塑造积极的企业文化。</w:t>
      </w:r>
    </w:p>
    <w:p w14:paraId="55BE5999"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4.利益相关者沟通</w:t>
      </w:r>
    </w:p>
    <w:p w14:paraId="57D9B8F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领导</w:t>
      </w:r>
      <w:proofErr w:type="gramStart"/>
      <w:r>
        <w:rPr>
          <w:rFonts w:asciiTheme="minorEastAsia" w:eastAsiaTheme="minorEastAsia" w:hAnsiTheme="minorEastAsia" w:cstheme="minorEastAsia"/>
          <w:sz w:val="28"/>
          <w:szCs w:val="28"/>
        </w:rPr>
        <w:t>层宜建立</w:t>
      </w:r>
      <w:proofErr w:type="gramEnd"/>
      <w:r>
        <w:rPr>
          <w:rFonts w:asciiTheme="minorEastAsia" w:eastAsiaTheme="minorEastAsia" w:hAnsiTheme="minorEastAsia" w:cstheme="minorEastAsia"/>
          <w:sz w:val="28"/>
          <w:szCs w:val="28"/>
        </w:rPr>
        <w:t>定期沟通机制，确保产业链上下游企业伙伴、客户、供应商和其他利益相关者对供应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的目标、进展和成果有清晰了解。倾听产业链上下游企业的反馈和建议，及时调整合作策略，为供</w:t>
      </w:r>
      <w:r>
        <w:rPr>
          <w:rFonts w:asciiTheme="minorEastAsia" w:eastAsiaTheme="minorEastAsia" w:hAnsiTheme="minorEastAsia" w:cstheme="minorEastAsia"/>
          <w:sz w:val="28"/>
          <w:szCs w:val="28"/>
        </w:rPr>
        <w:lastRenderedPageBreak/>
        <w:t>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的成功奠定基础。</w:t>
      </w:r>
    </w:p>
    <w:p w14:paraId="13EB1A10"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5.绩效评估与激励</w:t>
      </w:r>
    </w:p>
    <w:p w14:paraId="06F23EDD" w14:textId="77777777" w:rsidR="00690865" w:rsidRDefault="00000000" w:rsidP="009E21D9">
      <w:pPr>
        <w:framePr w:wrap="auto" w:yAlign="inline"/>
        <w:ind w:firstLineChars="200" w:firstLine="560"/>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sz w:val="28"/>
          <w:szCs w:val="28"/>
        </w:rPr>
        <w:t>领导层宜设定</w:t>
      </w:r>
      <w:proofErr w:type="gramEnd"/>
      <w:r>
        <w:rPr>
          <w:rFonts w:asciiTheme="minorEastAsia" w:eastAsiaTheme="minorEastAsia" w:hAnsiTheme="minorEastAsia" w:cstheme="minorEastAsia"/>
          <w:sz w:val="28"/>
          <w:szCs w:val="28"/>
        </w:rPr>
        <w:t>明确的绩效指标，定期跟踪评估合作成果，并根据评估结果进行奖励和激励，通过绩效反馈和辅导，帮助团队成员提高工作表现和职业发展。</w:t>
      </w:r>
    </w:p>
    <w:p w14:paraId="4FFB6C11" w14:textId="77777777" w:rsidR="00690865" w:rsidRDefault="00000000" w:rsidP="009E21D9">
      <w:pPr>
        <w:framePr w:wrap="auto" w:yAlign="inline"/>
        <w:numPr>
          <w:ilvl w:val="0"/>
          <w:numId w:val="9"/>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业务目标</w:t>
      </w:r>
    </w:p>
    <w:p w14:paraId="0B34C916"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从协同优化、成本效益和技术整合三个方面出发对基于产业链的供应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的业务目标进行阐述：</w:t>
      </w:r>
    </w:p>
    <w:p w14:paraId="3D78717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协同优化：产业链上下游企业宜通过有效合作，实现协同优化，共同开发创新流程和解决方案，共享优质资源和技术，缩短产品上市时间，提升供应链效率和响应速度。</w:t>
      </w:r>
    </w:p>
    <w:p w14:paraId="7FF108A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成本效益：产业链上下游企业宜对供应链中的各个环节进行成本分析，通过精细化管理与流程优化降低运营成本，提高资源利用效率。</w:t>
      </w:r>
    </w:p>
    <w:p w14:paraId="1219D1B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技术整合：产业链上下游企业宜借助物联网、大数据分析、人工智能等前沿信息技术，实现企业供应链智能化与实时协作。</w:t>
      </w:r>
    </w:p>
    <w:p w14:paraId="2F1A994D" w14:textId="77777777" w:rsidR="00690865" w:rsidRDefault="00000000" w:rsidP="009E21D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第8章  承诺互信与共同获益</w:t>
      </w:r>
    </w:p>
    <w:p w14:paraId="7EBA8903"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给出了互信基石、资源共用、风险共担以及公平利益分配机制四个方面的基于产业链的供应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的承诺互信与共同获益内容：</w:t>
      </w:r>
    </w:p>
    <w:p w14:paraId="1582DB65"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互信基石：互信是合作的基础，产业链上下游企业宜构筑稳固的信任纽带，有效削减合作进程中潜在的风险。</w:t>
      </w:r>
    </w:p>
    <w:p w14:paraId="7AE6331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资源共用：产业链上下游企业宜共享彼此的资源与知识范畴，涵盖技术、市场信息、行业经验等，提升工作效率，激发创新思维。</w:t>
      </w:r>
    </w:p>
    <w:p w14:paraId="5BA59B56"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风险共担：产业链上下游企业</w:t>
      </w:r>
      <w:proofErr w:type="gramStart"/>
      <w:r>
        <w:rPr>
          <w:rFonts w:asciiTheme="minorEastAsia" w:eastAsiaTheme="minorEastAsia" w:hAnsiTheme="minorEastAsia" w:cstheme="minorEastAsia"/>
          <w:sz w:val="28"/>
          <w:szCs w:val="28"/>
        </w:rPr>
        <w:t>宜共同</w:t>
      </w:r>
      <w:proofErr w:type="gramEnd"/>
      <w:r>
        <w:rPr>
          <w:rFonts w:asciiTheme="minorEastAsia" w:eastAsiaTheme="minorEastAsia" w:hAnsiTheme="minorEastAsia" w:cstheme="minorEastAsia"/>
          <w:sz w:val="28"/>
          <w:szCs w:val="28"/>
        </w:rPr>
        <w:t>应对供应链中的风险，减轻单一企业的压力与负担，维护供应链的稳固与持续发展。</w:t>
      </w:r>
    </w:p>
    <w:p w14:paraId="31689A9A" w14:textId="77777777" w:rsidR="00690865" w:rsidRDefault="00000000">
      <w:pPr>
        <w:framePr w:wrap="auto" w:yAlign="inline"/>
        <w:ind w:firstLineChars="200"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sz w:val="28"/>
          <w:szCs w:val="28"/>
        </w:rPr>
        <w:t>公平利益分配机制：建立基于贡献度的利益分配机制，确保产业链上下游企业各方获得合理经济与战略回报。</w:t>
      </w:r>
    </w:p>
    <w:p w14:paraId="65523E16" w14:textId="77777777" w:rsidR="00690865" w:rsidRDefault="00000000" w:rsidP="009E21D9">
      <w:pPr>
        <w:framePr w:wrap="auto" w:yAlign="inline"/>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bCs/>
          <w:sz w:val="28"/>
          <w:szCs w:val="28"/>
        </w:rPr>
        <w:t>第9章  信息和知识共享</w:t>
      </w:r>
    </w:p>
    <w:p w14:paraId="626B9F3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从以下五点对基于产业链的供应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中信息和知识共享内容进行阐述：</w:t>
      </w:r>
    </w:p>
    <w:p w14:paraId="572153C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bookmarkStart w:id="0" w:name="_Toc26997"/>
      <w:bookmarkStart w:id="1" w:name="_Toc10625"/>
      <w:bookmarkStart w:id="2" w:name="_Toc26401"/>
      <w:bookmarkStart w:id="3" w:name="_Toc30452"/>
      <w:r>
        <w:rPr>
          <w:rFonts w:asciiTheme="minorEastAsia" w:eastAsiaTheme="minorEastAsia" w:hAnsiTheme="minorEastAsia" w:cstheme="minorEastAsia"/>
          <w:sz w:val="28"/>
          <w:szCs w:val="28"/>
        </w:rPr>
        <w:t>搭建信息共享平台</w:t>
      </w:r>
      <w:bookmarkEnd w:id="0"/>
      <w:bookmarkEnd w:id="1"/>
      <w:bookmarkEnd w:id="2"/>
      <w:bookmarkEnd w:id="3"/>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w:t>
      </w:r>
      <w:r>
        <w:rPr>
          <w:rFonts w:asciiTheme="minorEastAsia" w:eastAsiaTheme="minorEastAsia" w:hAnsiTheme="minorEastAsia" w:cstheme="minorEastAsia"/>
          <w:sz w:val="28"/>
          <w:szCs w:val="28"/>
        </w:rPr>
        <w:t>企业宜</w:t>
      </w:r>
      <w:r>
        <w:rPr>
          <w:rFonts w:asciiTheme="minorEastAsia" w:eastAsiaTheme="minorEastAsia" w:hAnsiTheme="minorEastAsia" w:cstheme="minorEastAsia" w:hint="default"/>
          <w:sz w:val="28"/>
          <w:szCs w:val="28"/>
        </w:rPr>
        <w:t>开发集中的数字化平台，</w:t>
      </w:r>
      <w:r>
        <w:rPr>
          <w:rFonts w:asciiTheme="minorEastAsia" w:eastAsiaTheme="minorEastAsia" w:hAnsiTheme="minorEastAsia" w:cstheme="minorEastAsia"/>
          <w:sz w:val="28"/>
          <w:szCs w:val="28"/>
        </w:rPr>
        <w:t>便于企业上传、访问和共享信息。同时优化平台交互界面友好性与检索功能效率，以便用户快速获取所需信息。</w:t>
      </w:r>
    </w:p>
    <w:p w14:paraId="46FA7B6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bookmarkStart w:id="4" w:name="_Toc14702"/>
      <w:bookmarkStart w:id="5" w:name="_Toc24093"/>
      <w:bookmarkStart w:id="6" w:name="_Toc21106"/>
      <w:bookmarkStart w:id="7" w:name="_Toc6992"/>
      <w:r>
        <w:rPr>
          <w:rFonts w:asciiTheme="minorEastAsia" w:eastAsiaTheme="minorEastAsia" w:hAnsiTheme="minorEastAsia" w:cstheme="minorEastAsia"/>
          <w:sz w:val="28"/>
          <w:szCs w:val="28"/>
        </w:rPr>
        <w:t>定期举办交流活动</w:t>
      </w:r>
      <w:bookmarkEnd w:id="4"/>
      <w:bookmarkEnd w:id="5"/>
      <w:bookmarkEnd w:id="6"/>
      <w:bookmarkEnd w:id="7"/>
      <w:r>
        <w:rPr>
          <w:rFonts w:asciiTheme="minorEastAsia" w:eastAsiaTheme="minorEastAsia" w:hAnsiTheme="minorEastAsia" w:cstheme="minorEastAsia"/>
          <w:sz w:val="28"/>
          <w:szCs w:val="28"/>
        </w:rPr>
        <w:t>：定期举办</w:t>
      </w:r>
      <w:proofErr w:type="gramStart"/>
      <w:r>
        <w:rPr>
          <w:rFonts w:asciiTheme="minorEastAsia" w:eastAsiaTheme="minorEastAsia" w:hAnsiTheme="minorEastAsia" w:cstheme="minorEastAsia"/>
          <w:sz w:val="28"/>
          <w:szCs w:val="28"/>
        </w:rPr>
        <w:t>产业链各环节</w:t>
      </w:r>
      <w:proofErr w:type="gramEnd"/>
      <w:r>
        <w:rPr>
          <w:rFonts w:asciiTheme="minorEastAsia" w:eastAsiaTheme="minorEastAsia" w:hAnsiTheme="minorEastAsia" w:cstheme="minorEastAsia"/>
          <w:sz w:val="28"/>
          <w:szCs w:val="28"/>
        </w:rPr>
        <w:t>企业参与的交流会议、展会或研讨会，促进经验和技术的共享，同时讨论行业的发展趋势和面临的挑战。</w:t>
      </w:r>
    </w:p>
    <w:p w14:paraId="1E74517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bookmarkStart w:id="8" w:name="_Toc18914"/>
      <w:bookmarkStart w:id="9" w:name="_Toc7855"/>
      <w:bookmarkStart w:id="10" w:name="_Toc27161"/>
      <w:bookmarkStart w:id="11" w:name="_Toc5435"/>
      <w:r>
        <w:rPr>
          <w:rFonts w:asciiTheme="minorEastAsia" w:eastAsiaTheme="minorEastAsia" w:hAnsiTheme="minorEastAsia" w:cstheme="minorEastAsia"/>
          <w:sz w:val="28"/>
          <w:szCs w:val="28"/>
        </w:rPr>
        <w:t>技术转移与创新合作</w:t>
      </w:r>
      <w:bookmarkEnd w:id="8"/>
      <w:bookmarkEnd w:id="9"/>
      <w:bookmarkEnd w:id="10"/>
      <w:bookmarkEnd w:id="11"/>
      <w:r>
        <w:rPr>
          <w:rFonts w:asciiTheme="minorEastAsia" w:eastAsiaTheme="minorEastAsia" w:hAnsiTheme="minorEastAsia" w:cstheme="minorEastAsia"/>
          <w:sz w:val="28"/>
          <w:szCs w:val="28"/>
        </w:rPr>
        <w:t>：鼓励</w:t>
      </w:r>
      <w:r>
        <w:rPr>
          <w:rFonts w:asciiTheme="minorEastAsia" w:eastAsiaTheme="minorEastAsia" w:hAnsiTheme="minorEastAsia" w:cstheme="minorEastAsia" w:hint="default"/>
          <w:sz w:val="28"/>
          <w:szCs w:val="28"/>
        </w:rPr>
        <w:t>产业链上下游</w:t>
      </w:r>
      <w:r>
        <w:rPr>
          <w:rFonts w:asciiTheme="minorEastAsia" w:eastAsiaTheme="minorEastAsia" w:hAnsiTheme="minorEastAsia" w:cstheme="minorEastAsia"/>
          <w:sz w:val="28"/>
          <w:szCs w:val="28"/>
        </w:rPr>
        <w:t>企业间技术转移，推动核心技术创新，缩短研发周期，降低产业风险，促进知识传播和创新，实现方式包括但不限于联合研发、技术合作、创新基金等。</w:t>
      </w:r>
    </w:p>
    <w:p w14:paraId="6884678B"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bookmarkStart w:id="12" w:name="_Toc26228"/>
      <w:bookmarkStart w:id="13" w:name="_Toc29340"/>
      <w:bookmarkStart w:id="14" w:name="_Toc13069"/>
      <w:bookmarkStart w:id="15" w:name="_Toc16284"/>
      <w:r>
        <w:rPr>
          <w:rFonts w:asciiTheme="minorEastAsia" w:eastAsiaTheme="minorEastAsia" w:hAnsiTheme="minorEastAsia" w:cstheme="minorEastAsia"/>
          <w:sz w:val="28"/>
          <w:szCs w:val="28"/>
        </w:rPr>
        <w:t>建立反馈机制</w:t>
      </w:r>
      <w:bookmarkEnd w:id="12"/>
      <w:bookmarkEnd w:id="13"/>
      <w:bookmarkEnd w:id="14"/>
      <w:bookmarkEnd w:id="15"/>
      <w:r>
        <w:rPr>
          <w:rFonts w:asciiTheme="minorEastAsia" w:eastAsiaTheme="minorEastAsia" w:hAnsiTheme="minorEastAsia" w:cstheme="minorEastAsia"/>
          <w:sz w:val="28"/>
          <w:szCs w:val="28"/>
        </w:rPr>
        <w:t>：在信息共享平台设立反馈渠道，鼓励企业提供反馈和建议，以优化改进共享机制，及时调整内容和方式，确保满足各方需求。</w:t>
      </w:r>
    </w:p>
    <w:p w14:paraId="73000340"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bookmarkStart w:id="16" w:name="_Toc31575"/>
      <w:bookmarkStart w:id="17" w:name="_Toc8812"/>
      <w:bookmarkStart w:id="18" w:name="_Toc11660"/>
      <w:bookmarkStart w:id="19" w:name="_Toc359"/>
      <w:r>
        <w:rPr>
          <w:rFonts w:asciiTheme="minorEastAsia" w:eastAsiaTheme="minorEastAsia" w:hAnsiTheme="minorEastAsia" w:cstheme="minorEastAsia"/>
          <w:sz w:val="28"/>
          <w:szCs w:val="28"/>
        </w:rPr>
        <w:t>强化培训与能力建设</w:t>
      </w:r>
      <w:bookmarkEnd w:id="16"/>
      <w:bookmarkEnd w:id="17"/>
      <w:bookmarkEnd w:id="18"/>
      <w:bookmarkEnd w:id="19"/>
      <w:r>
        <w:rPr>
          <w:rFonts w:asciiTheme="minorEastAsia" w:eastAsiaTheme="minorEastAsia" w:hAnsiTheme="minorEastAsia" w:cstheme="minorEastAsia"/>
          <w:sz w:val="28"/>
          <w:szCs w:val="28"/>
        </w:rPr>
        <w:t>：产业链上下游企业</w:t>
      </w:r>
      <w:proofErr w:type="gramStart"/>
      <w:r>
        <w:rPr>
          <w:rFonts w:asciiTheme="minorEastAsia" w:eastAsiaTheme="minorEastAsia" w:hAnsiTheme="minorEastAsia" w:cstheme="minorEastAsia"/>
          <w:sz w:val="28"/>
          <w:szCs w:val="28"/>
        </w:rPr>
        <w:t>宜开展</w:t>
      </w:r>
      <w:proofErr w:type="gramEnd"/>
      <w:r>
        <w:rPr>
          <w:rFonts w:asciiTheme="minorEastAsia" w:eastAsiaTheme="minorEastAsia" w:hAnsiTheme="minorEastAsia" w:cstheme="minorEastAsia"/>
          <w:sz w:val="28"/>
          <w:szCs w:val="28"/>
        </w:rPr>
        <w:t>培训和能力建设，提升员工的信息利用效率，推动建立知识管理体系。</w:t>
      </w:r>
    </w:p>
    <w:p w14:paraId="39D9B698"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关系管理</w:t>
      </w:r>
    </w:p>
    <w:p w14:paraId="6A8C3FC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从合作关系组建、运作管理、合作关系结束三个方面对基于产业链的供应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中关系管理内容进行阐述：</w:t>
      </w:r>
    </w:p>
    <w:p w14:paraId="0304952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合作关系组建：包含合作伙伴筛选与评估与建立信任与沟通机制两个方面的内容。</w:t>
      </w:r>
    </w:p>
    <w:p w14:paraId="4580336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运作管理</w:t>
      </w:r>
      <w:r>
        <w:rPr>
          <w:rFonts w:asciiTheme="minorEastAsia" w:eastAsiaTheme="minorEastAsia" w:hAnsiTheme="minorEastAsia" w:cstheme="minorEastAsia"/>
          <w:sz w:val="28"/>
          <w:szCs w:val="28"/>
        </w:rPr>
        <w:t>：包含</w:t>
      </w:r>
      <w:r>
        <w:rPr>
          <w:rFonts w:asciiTheme="minorEastAsia" w:eastAsiaTheme="minorEastAsia" w:hAnsiTheme="minorEastAsia" w:cstheme="minorEastAsia" w:hint="default"/>
          <w:sz w:val="28"/>
          <w:szCs w:val="28"/>
        </w:rPr>
        <w:t>日常协调</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监控和调整</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市场应对</w:t>
      </w:r>
      <w:r>
        <w:rPr>
          <w:rFonts w:asciiTheme="minorEastAsia" w:eastAsiaTheme="minorEastAsia" w:hAnsiTheme="minorEastAsia" w:cstheme="minorEastAsia"/>
          <w:sz w:val="28"/>
          <w:szCs w:val="28"/>
        </w:rPr>
        <w:t>等三个方面的内容。</w:t>
      </w:r>
    </w:p>
    <w:p w14:paraId="363240E9" w14:textId="77777777" w:rsidR="00690865" w:rsidRDefault="00000000">
      <w:pPr>
        <w:framePr w:wrap="auto" w:yAlign="inline"/>
        <w:ind w:firstLineChars="200"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default"/>
          <w:sz w:val="28"/>
          <w:szCs w:val="28"/>
        </w:rPr>
        <w:t>合作关系结束</w:t>
      </w:r>
      <w:r>
        <w:rPr>
          <w:rFonts w:asciiTheme="minorEastAsia" w:eastAsiaTheme="minorEastAsia" w:hAnsiTheme="minorEastAsia" w:cstheme="minorEastAsia"/>
          <w:sz w:val="28"/>
          <w:szCs w:val="28"/>
        </w:rPr>
        <w:t>：包含</w:t>
      </w:r>
      <w:r>
        <w:rPr>
          <w:rFonts w:asciiTheme="minorEastAsia" w:eastAsiaTheme="minorEastAsia" w:hAnsiTheme="minorEastAsia" w:cstheme="minorEastAsia" w:hint="default"/>
          <w:sz w:val="28"/>
          <w:szCs w:val="28"/>
        </w:rPr>
        <w:t>合同审查与终止</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资产与责任清算</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沟通与关系管理</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总结与反思</w:t>
      </w:r>
      <w:r>
        <w:rPr>
          <w:rFonts w:asciiTheme="minorEastAsia" w:eastAsiaTheme="minorEastAsia" w:hAnsiTheme="minorEastAsia" w:cstheme="minorEastAsia"/>
          <w:sz w:val="28"/>
          <w:szCs w:val="28"/>
        </w:rPr>
        <w:t>以及</w:t>
      </w:r>
      <w:r>
        <w:rPr>
          <w:rFonts w:asciiTheme="minorEastAsia" w:eastAsiaTheme="minorEastAsia" w:hAnsiTheme="minorEastAsia" w:cstheme="minorEastAsia" w:hint="default"/>
          <w:sz w:val="28"/>
          <w:szCs w:val="28"/>
        </w:rPr>
        <w:t>制定未来合作的策略</w:t>
      </w:r>
      <w:r>
        <w:rPr>
          <w:rFonts w:asciiTheme="minorEastAsia" w:eastAsiaTheme="minorEastAsia" w:hAnsiTheme="minorEastAsia" w:cstheme="minorEastAsia"/>
          <w:sz w:val="28"/>
          <w:szCs w:val="28"/>
        </w:rPr>
        <w:t>等五个方面的内容。</w:t>
      </w:r>
    </w:p>
    <w:p w14:paraId="417039F1"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治理和过程</w:t>
      </w:r>
    </w:p>
    <w:p w14:paraId="33C17122"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从治理框架、合作规划、合作执行、合作协调、合作评估以及人才培养六个方面对基于产业链的供应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治理和过程内容进行阐述：</w:t>
      </w:r>
    </w:p>
    <w:p w14:paraId="1B437802"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治理框架：产业链上下游企业</w:t>
      </w:r>
      <w:proofErr w:type="gramStart"/>
      <w:r>
        <w:rPr>
          <w:rFonts w:asciiTheme="minorEastAsia" w:eastAsiaTheme="minorEastAsia" w:hAnsiTheme="minorEastAsia" w:cstheme="minorEastAsia"/>
          <w:sz w:val="28"/>
          <w:szCs w:val="28"/>
        </w:rPr>
        <w:t>宜建立</w:t>
      </w:r>
      <w:proofErr w:type="gramEnd"/>
      <w:r>
        <w:rPr>
          <w:rFonts w:asciiTheme="minorEastAsia" w:eastAsiaTheme="minorEastAsia" w:hAnsiTheme="minorEastAsia" w:cstheme="minorEastAsia"/>
          <w:sz w:val="28"/>
          <w:szCs w:val="28"/>
        </w:rPr>
        <w:t>包含明确角色和责任、决策机制、激励和约束措施的治理结构，促进各参与方之间的信任和合作，同时确保供应链的灵活性和适应性，以应对市场变化和潜在风险。</w:t>
      </w:r>
    </w:p>
    <w:p w14:paraId="519944E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合作规划：企业与合作伙伴共同分析市场趋势，对产业链的需求预测、供应规划、库存管理和物流策略进行综合</w:t>
      </w:r>
      <w:proofErr w:type="gramStart"/>
      <w:r>
        <w:rPr>
          <w:rFonts w:asciiTheme="minorEastAsia" w:eastAsiaTheme="minorEastAsia" w:hAnsiTheme="minorEastAsia" w:cstheme="minorEastAsia"/>
          <w:sz w:val="28"/>
          <w:szCs w:val="28"/>
        </w:rPr>
        <w:t>考量</w:t>
      </w:r>
      <w:proofErr w:type="gramEnd"/>
      <w:r>
        <w:rPr>
          <w:rFonts w:asciiTheme="minorEastAsia" w:eastAsiaTheme="minorEastAsia" w:hAnsiTheme="minorEastAsia" w:cstheme="minorEastAsia"/>
          <w:sz w:val="28"/>
          <w:szCs w:val="28"/>
        </w:rPr>
        <w:t>，通过精细化的规划，确保供应链的稳定性。定期评估和调整供应链策略，以应对不断变化的市场需求和潜在风险。</w:t>
      </w:r>
    </w:p>
    <w:p w14:paraId="74817E00"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合作执行：将合作规划转化为具体操作，包括采购、生产、库存控制、订单处理和物流配送等环节。执行过程要求供应链中的每个参与者严格遵守既定流程和时间表，确保产品能够按时、按质、按量地</w:t>
      </w:r>
      <w:r>
        <w:rPr>
          <w:rFonts w:asciiTheme="minorEastAsia" w:eastAsiaTheme="minorEastAsia" w:hAnsiTheme="minorEastAsia" w:cstheme="minorEastAsia"/>
          <w:sz w:val="28"/>
          <w:szCs w:val="28"/>
        </w:rPr>
        <w:lastRenderedPageBreak/>
        <w:t>交付给最终客户是至关重要的。</w:t>
      </w:r>
    </w:p>
    <w:p w14:paraId="1AA0D3E6"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合作协调：建立协调发展机制，增强产业链韧性。企业与供应商、分销商、零售商等合作伙伴共享信息，协调行动。协调过程包括供应商管理、订单协同、库存协同和运输协同等。</w:t>
      </w:r>
    </w:p>
    <w:p w14:paraId="7D947390"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合作评估：合作企业建立对供应链性能进行定期检查和评价机制，包括对供应链的成本、效率、质量、可靠性和</w:t>
      </w:r>
      <w:proofErr w:type="gramStart"/>
      <w:r>
        <w:rPr>
          <w:rFonts w:asciiTheme="minorEastAsia" w:eastAsiaTheme="minorEastAsia" w:hAnsiTheme="minorEastAsia" w:cstheme="minorEastAsia"/>
          <w:sz w:val="28"/>
          <w:szCs w:val="28"/>
        </w:rPr>
        <w:t>可</w:t>
      </w:r>
      <w:proofErr w:type="gramEnd"/>
      <w:r>
        <w:rPr>
          <w:rFonts w:asciiTheme="minorEastAsia" w:eastAsiaTheme="minorEastAsia" w:hAnsiTheme="minorEastAsia" w:cstheme="minorEastAsia"/>
          <w:sz w:val="28"/>
          <w:szCs w:val="28"/>
        </w:rPr>
        <w:t>持续性等方面进行量化分析。识别供应链中的瓶颈和改进机会，为供应链的持续改进提供依据。</w:t>
      </w:r>
    </w:p>
    <w:p w14:paraId="400343E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人才培养：合作双方宜坚持人才强链，构建适合人才发展的宜</w:t>
      </w:r>
      <w:proofErr w:type="gramStart"/>
      <w:r>
        <w:rPr>
          <w:rFonts w:asciiTheme="minorEastAsia" w:eastAsiaTheme="minorEastAsia" w:hAnsiTheme="minorEastAsia" w:cstheme="minorEastAsia"/>
          <w:sz w:val="28"/>
          <w:szCs w:val="28"/>
        </w:rPr>
        <w:t>居宜业</w:t>
      </w:r>
      <w:proofErr w:type="gramEnd"/>
      <w:r>
        <w:rPr>
          <w:rFonts w:asciiTheme="minorEastAsia" w:eastAsiaTheme="minorEastAsia" w:hAnsiTheme="minorEastAsia" w:cstheme="minorEastAsia"/>
          <w:sz w:val="28"/>
          <w:szCs w:val="28"/>
        </w:rPr>
        <w:t>环境，形成产业人才和产业发展相互促进的局面。围绕产业</w:t>
      </w:r>
      <w:proofErr w:type="gramStart"/>
      <w:r>
        <w:rPr>
          <w:rFonts w:asciiTheme="minorEastAsia" w:eastAsiaTheme="minorEastAsia" w:hAnsiTheme="minorEastAsia" w:cstheme="minorEastAsia"/>
          <w:sz w:val="28"/>
          <w:szCs w:val="28"/>
        </w:rPr>
        <w:t>链发展</w:t>
      </w:r>
      <w:proofErr w:type="gramEnd"/>
      <w:r>
        <w:rPr>
          <w:rFonts w:asciiTheme="minorEastAsia" w:eastAsiaTheme="minorEastAsia" w:hAnsiTheme="minorEastAsia" w:cstheme="minorEastAsia"/>
          <w:sz w:val="28"/>
          <w:szCs w:val="28"/>
        </w:rPr>
        <w:t>强化人才链建设，有效推进产业链、创新链、人才链的高效连接。</w:t>
      </w:r>
    </w:p>
    <w:p w14:paraId="4B780551"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合作能力和行为</w:t>
      </w:r>
    </w:p>
    <w:p w14:paraId="3B5C88D3"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从供应链协作机制、供应链数字化策略、资源最优配置以及全球化发展策略四个方面对基于产业链的供应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中合作能力和行为内容进行阐述：</w:t>
      </w:r>
    </w:p>
    <w:p w14:paraId="19864DDC"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供应链协作机制：合作企业</w:t>
      </w:r>
      <w:proofErr w:type="gramStart"/>
      <w:r>
        <w:rPr>
          <w:rFonts w:asciiTheme="minorEastAsia" w:eastAsiaTheme="minorEastAsia" w:hAnsiTheme="minorEastAsia" w:cstheme="minorEastAsia"/>
          <w:sz w:val="28"/>
          <w:szCs w:val="28"/>
        </w:rPr>
        <w:t>宜建立</w:t>
      </w:r>
      <w:proofErr w:type="gramEnd"/>
      <w:r>
        <w:rPr>
          <w:rFonts w:asciiTheme="minorEastAsia" w:eastAsiaTheme="minorEastAsia" w:hAnsiTheme="minorEastAsia" w:cstheme="minorEastAsia"/>
          <w:sz w:val="28"/>
          <w:szCs w:val="28"/>
        </w:rPr>
        <w:t>专门的供应链协作机制，统筹推动内部跨部门、跨专业协作和链上企业间合作，提升协作质量效益，积极打造共生共赢的供应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生态。</w:t>
      </w:r>
    </w:p>
    <w:p w14:paraId="7102A5D4"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供应链数字化策略：合作企业</w:t>
      </w:r>
      <w:proofErr w:type="gramStart"/>
      <w:r>
        <w:rPr>
          <w:rFonts w:asciiTheme="minorEastAsia" w:eastAsiaTheme="minorEastAsia" w:hAnsiTheme="minorEastAsia" w:cstheme="minorEastAsia"/>
          <w:sz w:val="28"/>
          <w:szCs w:val="28"/>
        </w:rPr>
        <w:t>宜制定</w:t>
      </w:r>
      <w:proofErr w:type="gramEnd"/>
      <w:r>
        <w:rPr>
          <w:rFonts w:asciiTheme="minorEastAsia" w:eastAsiaTheme="minorEastAsia" w:hAnsiTheme="minorEastAsia" w:cstheme="minorEastAsia"/>
          <w:sz w:val="28"/>
          <w:szCs w:val="28"/>
        </w:rPr>
        <w:t>有效的供应链数字化策略，加强供应链管理系统建设。依托新一代信息技术，在研发设计、计划采购、生产制造、质量检验、物流运输、销售库存、售后服务等业务环节实现供应链流程的互联互通，降低信息不对称风险，提升市场响</w:t>
      </w:r>
      <w:r>
        <w:rPr>
          <w:rFonts w:asciiTheme="minorEastAsia" w:eastAsiaTheme="minorEastAsia" w:hAnsiTheme="minorEastAsia" w:cstheme="minorEastAsia"/>
          <w:sz w:val="28"/>
          <w:szCs w:val="28"/>
        </w:rPr>
        <w:lastRenderedPageBreak/>
        <w:t>应能力和客户价值。</w:t>
      </w:r>
    </w:p>
    <w:p w14:paraId="6D6CFE2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资源最优配置：合作企业宜通过资源的最优配置，减少</w:t>
      </w:r>
      <w:proofErr w:type="gramStart"/>
      <w:r>
        <w:rPr>
          <w:rFonts w:asciiTheme="minorEastAsia" w:eastAsiaTheme="minorEastAsia" w:hAnsiTheme="minorEastAsia" w:cstheme="minorEastAsia"/>
          <w:sz w:val="28"/>
          <w:szCs w:val="28"/>
        </w:rPr>
        <w:t>供应链各环节</w:t>
      </w:r>
      <w:proofErr w:type="gramEnd"/>
      <w:r>
        <w:rPr>
          <w:rFonts w:asciiTheme="minorEastAsia" w:eastAsiaTheme="minorEastAsia" w:hAnsiTheme="minorEastAsia" w:cstheme="minorEastAsia"/>
          <w:sz w:val="28"/>
          <w:szCs w:val="28"/>
        </w:rPr>
        <w:t>浪费、推动</w:t>
      </w:r>
      <w:proofErr w:type="gramStart"/>
      <w:r>
        <w:rPr>
          <w:rFonts w:asciiTheme="minorEastAsia" w:eastAsiaTheme="minorEastAsia" w:hAnsiTheme="minorEastAsia" w:cstheme="minorEastAsia"/>
          <w:sz w:val="28"/>
          <w:szCs w:val="28"/>
        </w:rPr>
        <w:t>供应链全链条</w:t>
      </w:r>
      <w:proofErr w:type="gramEnd"/>
      <w:r>
        <w:rPr>
          <w:rFonts w:asciiTheme="minorEastAsia" w:eastAsiaTheme="minorEastAsia" w:hAnsiTheme="minorEastAsia" w:cstheme="minorEastAsia"/>
          <w:sz w:val="28"/>
          <w:szCs w:val="28"/>
        </w:rPr>
        <w:t>流程优化、健全标准化供应链体系等措施，提高供应链的效率和响应速度。</w:t>
      </w:r>
    </w:p>
    <w:p w14:paraId="4616130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全球化发展策略：对于采取全球化发展策略的合作企业，通过客观评估经营扩展成本、供应</w:t>
      </w:r>
      <w:proofErr w:type="gramStart"/>
      <w:r>
        <w:rPr>
          <w:rFonts w:asciiTheme="minorEastAsia" w:eastAsiaTheme="minorEastAsia" w:hAnsiTheme="minorEastAsia" w:cstheme="minorEastAsia"/>
          <w:sz w:val="28"/>
          <w:szCs w:val="28"/>
        </w:rPr>
        <w:t>链组织</w:t>
      </w:r>
      <w:proofErr w:type="gramEnd"/>
      <w:r>
        <w:rPr>
          <w:rFonts w:asciiTheme="minorEastAsia" w:eastAsiaTheme="minorEastAsia" w:hAnsiTheme="minorEastAsia" w:cstheme="minorEastAsia"/>
          <w:sz w:val="28"/>
          <w:szCs w:val="28"/>
        </w:rPr>
        <w:t>模式、承接地政治经济环境等条件，有序融入全球供应链网络，合理布局国际物流基础设施，提高全球供应</w:t>
      </w:r>
      <w:proofErr w:type="gramStart"/>
      <w:r>
        <w:rPr>
          <w:rFonts w:asciiTheme="minorEastAsia" w:eastAsiaTheme="minorEastAsia" w:hAnsiTheme="minorEastAsia" w:cstheme="minorEastAsia"/>
          <w:sz w:val="28"/>
          <w:szCs w:val="28"/>
        </w:rPr>
        <w:t>链协调</w:t>
      </w:r>
      <w:proofErr w:type="gramEnd"/>
      <w:r>
        <w:rPr>
          <w:rFonts w:asciiTheme="minorEastAsia" w:eastAsiaTheme="minorEastAsia" w:hAnsiTheme="minorEastAsia" w:cstheme="minorEastAsia"/>
          <w:sz w:val="28"/>
          <w:szCs w:val="28"/>
        </w:rPr>
        <w:t>能力。</w:t>
      </w:r>
    </w:p>
    <w:p w14:paraId="1FC66B57"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价值创造</w:t>
      </w:r>
    </w:p>
    <w:p w14:paraId="39026AF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从政策支持与引导、创新驱动、供应链整合、协同发展、可持续发展以及人才培养六个方面对基于产业链的供应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中价值创造内容进行阐述：</w:t>
      </w:r>
    </w:p>
    <w:p w14:paraId="4BEF2DA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政策支持与引导：产业链上下游企业宜充分利用国家和地方政府的政策支持，突出在技术创新、产业升级和环保方面的政策，导入最新的行业标准和规范，以提升产业链整体竞争力。</w:t>
      </w:r>
    </w:p>
    <w:p w14:paraId="3979944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创新驱动：产业链上下游企业宜加大研发投入，开展技术创新和产品创新，推动新材料、新工艺和新技术的应用，提高产品和服务的附加值。注重知识产权的保护和管理，为创新成果提供保障。</w:t>
      </w:r>
    </w:p>
    <w:p w14:paraId="65DC393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供应链整合：产业链上下游企业通过信息化和数字化手段，打通信息壁垒，实现数据共享和资源整合，提高供应链的透明度和响应速度。采用先进的供应链管理系统，优化库存管理和物流配送。</w:t>
      </w:r>
    </w:p>
    <w:p w14:paraId="18C5821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协同发展：产业链上下游企业宜加强</w:t>
      </w:r>
      <w:proofErr w:type="gramStart"/>
      <w:r>
        <w:rPr>
          <w:rFonts w:asciiTheme="minorEastAsia" w:eastAsiaTheme="minorEastAsia" w:hAnsiTheme="minorEastAsia" w:cstheme="minorEastAsia"/>
          <w:sz w:val="28"/>
          <w:szCs w:val="28"/>
        </w:rPr>
        <w:t>产业链各环节</w:t>
      </w:r>
      <w:proofErr w:type="gramEnd"/>
      <w:r>
        <w:rPr>
          <w:rFonts w:asciiTheme="minorEastAsia" w:eastAsiaTheme="minorEastAsia" w:hAnsiTheme="minorEastAsia" w:cstheme="minorEastAsia"/>
          <w:sz w:val="28"/>
          <w:szCs w:val="28"/>
        </w:rPr>
        <w:t>之间的合作与</w:t>
      </w:r>
      <w:r>
        <w:rPr>
          <w:rFonts w:asciiTheme="minorEastAsia" w:eastAsiaTheme="minorEastAsia" w:hAnsiTheme="minorEastAsia" w:cstheme="minorEastAsia"/>
          <w:sz w:val="28"/>
          <w:szCs w:val="28"/>
        </w:rPr>
        <w:lastRenderedPageBreak/>
        <w:t>协同，建立战略合作伙伴关系，共同开发新市场、新产品。通过定期沟通和协调，确保各方在产品开发、生产计划和市场营销等方面的紧密配合。</w:t>
      </w:r>
    </w:p>
    <w:p w14:paraId="351E536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可持续发展：产业链上下游企业宜关注节约资源和保护环境，在生产过程中引入绿色制造理念，减少废物排放，提升资源利用效率。通过推动循环经济的发展，探索废物再利用与资源再生的模式，实现经济效益与环境效益的双赢。</w:t>
      </w:r>
    </w:p>
    <w:p w14:paraId="03E98985" w14:textId="77777777" w:rsidR="00690865" w:rsidRDefault="00000000">
      <w:pPr>
        <w:framePr w:wrap="auto" w:yAlign="inline"/>
        <w:ind w:firstLineChars="200"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sz w:val="28"/>
          <w:szCs w:val="28"/>
        </w:rPr>
        <w:t>人才培养：产业链上下游企业宜重视人才的培养和引进，建立多层次的培训体系，提高员工的专业技能和创新能力。通过与高校、科研机构的合作，培养适应未来产业</w:t>
      </w:r>
      <w:proofErr w:type="gramStart"/>
      <w:r>
        <w:rPr>
          <w:rFonts w:asciiTheme="minorEastAsia" w:eastAsiaTheme="minorEastAsia" w:hAnsiTheme="minorEastAsia" w:cstheme="minorEastAsia"/>
          <w:sz w:val="28"/>
          <w:szCs w:val="28"/>
        </w:rPr>
        <w:t>链发展</w:t>
      </w:r>
      <w:proofErr w:type="gramEnd"/>
      <w:r>
        <w:rPr>
          <w:rFonts w:asciiTheme="minorEastAsia" w:eastAsiaTheme="minorEastAsia" w:hAnsiTheme="minorEastAsia" w:cstheme="minorEastAsia"/>
          <w:sz w:val="28"/>
          <w:szCs w:val="28"/>
        </w:rPr>
        <w:t>需要的高素质人才。</w:t>
      </w:r>
    </w:p>
    <w:p w14:paraId="1AA82C2F"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风险管理</w:t>
      </w:r>
    </w:p>
    <w:p w14:paraId="512FAE4A"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w:t>
      </w:r>
      <w:bookmarkStart w:id="20" w:name="_Toc22468"/>
      <w:bookmarkStart w:id="21" w:name="_Toc12755"/>
      <w:bookmarkStart w:id="22" w:name="_Toc22949"/>
      <w:bookmarkStart w:id="23" w:name="_Toc31443"/>
      <w:bookmarkStart w:id="24" w:name="_Toc25542"/>
      <w:bookmarkStart w:id="25" w:name="_Toc4768"/>
      <w:bookmarkStart w:id="26" w:name="_Toc27262"/>
      <w:bookmarkStart w:id="27" w:name="_Toc7012"/>
      <w:r>
        <w:rPr>
          <w:rFonts w:asciiTheme="minorEastAsia" w:eastAsiaTheme="minorEastAsia" w:hAnsiTheme="minorEastAsia" w:cstheme="minorEastAsia"/>
          <w:sz w:val="28"/>
          <w:szCs w:val="28"/>
        </w:rPr>
        <w:t>建立风险评估机制</w:t>
      </w:r>
      <w:bookmarkEnd w:id="20"/>
      <w:bookmarkEnd w:id="21"/>
      <w:bookmarkEnd w:id="22"/>
      <w:bookmarkEnd w:id="23"/>
      <w:bookmarkEnd w:id="24"/>
      <w:bookmarkEnd w:id="25"/>
      <w:bookmarkEnd w:id="26"/>
      <w:bookmarkEnd w:id="27"/>
      <w:r>
        <w:rPr>
          <w:rFonts w:asciiTheme="minorEastAsia" w:eastAsiaTheme="minorEastAsia" w:hAnsiTheme="minorEastAsia" w:cstheme="minorEastAsia"/>
          <w:sz w:val="28"/>
          <w:szCs w:val="28"/>
        </w:rPr>
        <w:t>、合作伙伴风险调查、强化风险预警和应对准备、构建风险控制文化等四个方面对基于产业链的供应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中风险管理内容进行阐述：</w:t>
      </w:r>
    </w:p>
    <w:p w14:paraId="55B3312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建立风险评估机制：产业链上下游企业通过数据分析、市场调研及行业趋势分析，识别供应链中的潜在风险，包括自然灾害、政治风险、经济波动等。使用定量和定性方法评估风险对供应链的影响，包括可能的财务损失、交货延误等。根据风险评估结果，为高风险领域制定相应的应对策略。</w:t>
      </w:r>
    </w:p>
    <w:p w14:paraId="6C2B4BF5"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合作伙伴风险调查</w:t>
      </w:r>
      <w:r>
        <w:rPr>
          <w:rFonts w:asciiTheme="minorEastAsia" w:eastAsiaTheme="minorEastAsia" w:hAnsiTheme="minorEastAsia" w:cstheme="minorEastAsia"/>
          <w:sz w:val="28"/>
          <w:szCs w:val="28"/>
        </w:rPr>
        <w:t>：包含财务稳定性评估、运营能力与合</w:t>
      </w:r>
      <w:proofErr w:type="gramStart"/>
      <w:r>
        <w:rPr>
          <w:rFonts w:asciiTheme="minorEastAsia" w:eastAsiaTheme="minorEastAsia" w:hAnsiTheme="minorEastAsia" w:cstheme="minorEastAsia"/>
          <w:sz w:val="28"/>
          <w:szCs w:val="28"/>
        </w:rPr>
        <w:t>规</w:t>
      </w:r>
      <w:proofErr w:type="gramEnd"/>
      <w:r>
        <w:rPr>
          <w:rFonts w:asciiTheme="minorEastAsia" w:eastAsiaTheme="minorEastAsia" w:hAnsiTheme="minorEastAsia" w:cstheme="minorEastAsia"/>
          <w:sz w:val="28"/>
          <w:szCs w:val="28"/>
        </w:rPr>
        <w:t>性、市场变化应对等三个方面的内容。</w:t>
      </w:r>
    </w:p>
    <w:p w14:paraId="2C8A8DF5"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强化风险预警和应对准备：包含建立风险预警系统、完善供应</w:t>
      </w:r>
      <w:proofErr w:type="gramStart"/>
      <w:r>
        <w:rPr>
          <w:rFonts w:asciiTheme="minorEastAsia" w:eastAsiaTheme="minorEastAsia" w:hAnsiTheme="minorEastAsia" w:cstheme="minorEastAsia"/>
          <w:sz w:val="28"/>
          <w:szCs w:val="28"/>
        </w:rPr>
        <w:t>商</w:t>
      </w:r>
      <w:r>
        <w:rPr>
          <w:rFonts w:asciiTheme="minorEastAsia" w:eastAsiaTheme="minorEastAsia" w:hAnsiTheme="minorEastAsia" w:cstheme="minorEastAsia"/>
          <w:sz w:val="28"/>
          <w:szCs w:val="28"/>
        </w:rPr>
        <w:lastRenderedPageBreak/>
        <w:t>风险</w:t>
      </w:r>
      <w:proofErr w:type="gramEnd"/>
      <w:r>
        <w:rPr>
          <w:rFonts w:asciiTheme="minorEastAsia" w:eastAsiaTheme="minorEastAsia" w:hAnsiTheme="minorEastAsia" w:cstheme="minorEastAsia"/>
          <w:sz w:val="28"/>
          <w:szCs w:val="28"/>
        </w:rPr>
        <w:t>管理体系以及多元化物流运输网络等三个方面的内容。</w:t>
      </w:r>
    </w:p>
    <w:p w14:paraId="7218DF22"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构建风险控制文化</w:t>
      </w:r>
      <w:r>
        <w:rPr>
          <w:rFonts w:asciiTheme="minorEastAsia" w:eastAsiaTheme="minorEastAsia" w:hAnsiTheme="minorEastAsia" w:cstheme="minorEastAsia"/>
          <w:sz w:val="28"/>
          <w:szCs w:val="28"/>
        </w:rPr>
        <w:t>：包含培训与意识提升、跨部门协作以及持续改进等三个方面的内容。</w:t>
      </w:r>
    </w:p>
    <w:p w14:paraId="251481BF"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退出策略</w:t>
      </w:r>
    </w:p>
    <w:p w14:paraId="3BACBD9B"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从合同终止条款、资产分配、知识转移、争议解决机制、退出后的支持、定期评估与调整六个方面对基于产业链的供应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中退出策略内容进行阐述：</w:t>
      </w:r>
    </w:p>
    <w:p w14:paraId="7876E146"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合同终止条款</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w:t>
      </w:r>
      <w:proofErr w:type="gramStart"/>
      <w:r>
        <w:rPr>
          <w:rFonts w:asciiTheme="minorEastAsia" w:eastAsiaTheme="minorEastAsia" w:hAnsiTheme="minorEastAsia" w:cstheme="minorEastAsia" w:hint="default"/>
          <w:sz w:val="28"/>
          <w:szCs w:val="28"/>
        </w:rPr>
        <w:t>宜明确</w:t>
      </w:r>
      <w:proofErr w:type="gramEnd"/>
      <w:r>
        <w:rPr>
          <w:rFonts w:asciiTheme="minorEastAsia" w:eastAsiaTheme="minorEastAsia" w:hAnsiTheme="minorEastAsia" w:cstheme="minorEastAsia" w:hint="default"/>
          <w:sz w:val="28"/>
          <w:szCs w:val="28"/>
        </w:rPr>
        <w:t>规定任何一方在希望终止合作时提前通知的时间。设定明确的终止条件，例如未达到业绩目标、违反合同条款或不可抗力事件等。并详细描述终止合同的程序，包括必要的书面通知和对方的确认。</w:t>
      </w:r>
    </w:p>
    <w:p w14:paraId="76FE1FD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资产分配</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在合作终止时，产业链上下游企业双方</w:t>
      </w:r>
      <w:proofErr w:type="gramStart"/>
      <w:r>
        <w:rPr>
          <w:rFonts w:asciiTheme="minorEastAsia" w:eastAsiaTheme="minorEastAsia" w:hAnsiTheme="minorEastAsia" w:cstheme="minorEastAsia" w:hint="default"/>
          <w:sz w:val="28"/>
          <w:szCs w:val="28"/>
        </w:rPr>
        <w:t>宜明确</w:t>
      </w:r>
      <w:proofErr w:type="gramEnd"/>
      <w:r>
        <w:rPr>
          <w:rFonts w:asciiTheme="minorEastAsia" w:eastAsiaTheme="minorEastAsia" w:hAnsiTheme="minorEastAsia" w:cstheme="minorEastAsia" w:hint="default"/>
          <w:sz w:val="28"/>
          <w:szCs w:val="28"/>
        </w:rPr>
        <w:t>如何清算共同投资的资产。约定专业评估机构评估资产价值，以确保公平分配。并规定未分配资产的处理方式，例如出售、转让或捐赠。</w:t>
      </w:r>
    </w:p>
    <w:p w14:paraId="368AE791"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知识转移</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产业链上下游企业双方</w:t>
      </w:r>
      <w:proofErr w:type="gramStart"/>
      <w:r>
        <w:rPr>
          <w:rFonts w:asciiTheme="minorEastAsia" w:eastAsiaTheme="minorEastAsia" w:hAnsiTheme="minorEastAsia" w:cstheme="minorEastAsia" w:hint="default"/>
          <w:sz w:val="28"/>
          <w:szCs w:val="28"/>
        </w:rPr>
        <w:t>宜明确</w:t>
      </w:r>
      <w:proofErr w:type="gramEnd"/>
      <w:r>
        <w:rPr>
          <w:rFonts w:asciiTheme="minorEastAsia" w:eastAsiaTheme="minorEastAsia" w:hAnsiTheme="minorEastAsia" w:cstheme="minorEastAsia" w:hint="default"/>
          <w:sz w:val="28"/>
          <w:szCs w:val="28"/>
        </w:rPr>
        <w:t>合作期间产生的知识产权归属，避免未来的法律纠纷。在合作结束时，规定必要的技术转让条款，确保双方在必要的范围内能够继续运作。即使在合作结束后，遵循保密条款，确保双方的商业机密不会被泄露是必要的。</w:t>
      </w:r>
    </w:p>
    <w:p w14:paraId="6DE65183"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争议解决机制</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产业链上下游企业双方应在合同中明确争议解决的方式及其适用的法律和地点。建议设立调解机制，以便在争议发生时，双方能够通过协商解决问题，避免直接进入法律程序。</w:t>
      </w:r>
    </w:p>
    <w:p w14:paraId="73F8C58C"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退出后的支持</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产业链上下游企业双方宜约定一个过渡期，确保</w:t>
      </w:r>
      <w:r>
        <w:rPr>
          <w:rFonts w:asciiTheme="minorEastAsia" w:eastAsiaTheme="minorEastAsia" w:hAnsiTheme="minorEastAsia" w:cstheme="minorEastAsia" w:hint="default"/>
          <w:sz w:val="28"/>
          <w:szCs w:val="28"/>
        </w:rPr>
        <w:lastRenderedPageBreak/>
        <w:t>在合作结束后，业务能够顺利转型。并考虑提供一定期限的后续支持，以帮助对方顺利过渡。</w:t>
      </w:r>
    </w:p>
    <w:p w14:paraId="607791B4" w14:textId="77777777" w:rsidR="00690865" w:rsidRDefault="00000000">
      <w:pPr>
        <w:framePr w:wrap="auto" w:yAlign="inline"/>
        <w:ind w:firstLineChars="200"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default"/>
          <w:sz w:val="28"/>
          <w:szCs w:val="28"/>
        </w:rPr>
        <w:t>定期评估与调整</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建议产业链上下游企业在合作过程中定期评估协议的适用性，并根据实际情况进行必要的调整，以保持协议的有效性。通过制定全面且清晰的退出策略，产业链上下游企业双方能够在合作关系结束时，减少不确定性，保障各方的合法权益，并为未来的合作奠定良好的基础。</w:t>
      </w:r>
    </w:p>
    <w:p w14:paraId="1C64F338" w14:textId="77777777" w:rsidR="00690865" w:rsidRDefault="00000000" w:rsidP="009E21D9">
      <w:pPr>
        <w:framePr w:wrap="auto" w:yAlign="inline"/>
        <w:numPr>
          <w:ilvl w:val="0"/>
          <w:numId w:val="10"/>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 xml:space="preserve"> 关系测量和优化</w:t>
      </w:r>
    </w:p>
    <w:p w14:paraId="70015BC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从交货准时率、产品质量、成本效益、创新能力、信息共享程度、风险管理能力、持续改进率等七个方面对基于产业链的供应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中关系测量和优化内容进行阐述：</w:t>
      </w:r>
    </w:p>
    <w:p w14:paraId="32B89F61"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交货准时率</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统计按时交货的订单占总订单的比例</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通过协调生产计划、实时跟踪运输状态和建立紧急应对机制来提高准时交货率。</w:t>
      </w:r>
    </w:p>
    <w:p w14:paraId="3E4B89B2" w14:textId="77777777" w:rsidR="00690865" w:rsidRDefault="00000000">
      <w:pPr>
        <w:framePr w:wrap="auto" w:yAlign="inline"/>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产品质量</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统计合格产品数量与总生产数量的比例</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实施严格的质量控制标准，进行定期质量审查和供应商评估。</w:t>
      </w:r>
    </w:p>
    <w:p w14:paraId="2DC8D11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成本效益</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产品成本与市场售价的比率，反映盈利能力</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通过优化生产流程、降低材料成本和提高生产效率来提升成本效益。</w:t>
      </w:r>
    </w:p>
    <w:p w14:paraId="406B904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创新能力</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通过新产品或新技术的引入频率，以及其对市场份额的影响</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鼓励研发投资、与高等院校及研究机构合作，促进技术交流和项目合作。</w:t>
      </w:r>
    </w:p>
    <w:p w14:paraId="6DFE92E4"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信息共享程度</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通过调查问卷或访谈了解信息共享的渠道、内容及频率，共享数据和信息的频率和质量</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建立信息共享平台，实现数</w:t>
      </w:r>
      <w:r>
        <w:rPr>
          <w:rFonts w:asciiTheme="minorEastAsia" w:eastAsiaTheme="minorEastAsia" w:hAnsiTheme="minorEastAsia" w:cstheme="minorEastAsia" w:hint="default"/>
          <w:sz w:val="28"/>
          <w:szCs w:val="28"/>
        </w:rPr>
        <w:lastRenderedPageBreak/>
        <w:t>据的实时更新与透明化，增强合作伙伴之间的信任。</w:t>
      </w:r>
    </w:p>
    <w:p w14:paraId="40BE3BAE"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风险管理能力</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通过风险评估模型和实际应对案例进行评分，识别、评估和应对供应链中潜在风险的能力</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定期进行风险评估，制定应急预案并进行演练，增强供应链的韧性。</w:t>
      </w:r>
    </w:p>
    <w:p w14:paraId="267F354F"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持续改进率</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通过持续改进活动（如精益生产、</w:t>
      </w:r>
      <w:proofErr w:type="gramStart"/>
      <w:r>
        <w:rPr>
          <w:rFonts w:asciiTheme="minorEastAsia" w:eastAsiaTheme="minorEastAsia" w:hAnsiTheme="minorEastAsia" w:cstheme="minorEastAsia" w:hint="default"/>
          <w:sz w:val="28"/>
          <w:szCs w:val="28"/>
        </w:rPr>
        <w:t>六西格玛</w:t>
      </w:r>
      <w:proofErr w:type="gramEnd"/>
      <w:r>
        <w:rPr>
          <w:rFonts w:asciiTheme="minorEastAsia" w:eastAsiaTheme="minorEastAsia" w:hAnsiTheme="minorEastAsia" w:cstheme="minorEastAsia" w:hint="default"/>
          <w:sz w:val="28"/>
          <w:szCs w:val="28"/>
        </w:rPr>
        <w:t>等）所带来的效率提升程度，监测改进活动实施前后的绩效变化</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default"/>
          <w:sz w:val="28"/>
          <w:szCs w:val="28"/>
        </w:rPr>
        <w:t>定期组织改进工作坊，鼓励员工提出优化建议，形成持续改进的企业文化。</w:t>
      </w:r>
    </w:p>
    <w:p w14:paraId="5F554452" w14:textId="77777777" w:rsidR="00690865" w:rsidRDefault="00000000" w:rsidP="009E21D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第17章  基于特定产业链的供应链合作</w:t>
      </w:r>
    </w:p>
    <w:p w14:paraId="37A509EA" w14:textId="77777777" w:rsidR="00690865" w:rsidRDefault="00000000" w:rsidP="009E21D9">
      <w:pPr>
        <w:framePr w:wrap="auto" w:yAlign="inline"/>
        <w:ind w:firstLineChars="200"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sz w:val="28"/>
          <w:szCs w:val="28"/>
        </w:rPr>
        <w:t>结合制造、能源、汽车、科技、健康和农业六大主题，探讨产业链合作。给出了</w:t>
      </w:r>
      <w:proofErr w:type="gramStart"/>
      <w:r>
        <w:rPr>
          <w:rFonts w:asciiTheme="minorEastAsia" w:eastAsiaTheme="minorEastAsia" w:hAnsiTheme="minorEastAsia" w:cstheme="minorEastAsia"/>
          <w:sz w:val="28"/>
          <w:szCs w:val="28"/>
        </w:rPr>
        <w:t>各主题下供应链合作</w:t>
      </w:r>
      <w:proofErr w:type="gramEnd"/>
      <w:r>
        <w:rPr>
          <w:rFonts w:asciiTheme="minorEastAsia" w:eastAsiaTheme="minorEastAsia" w:hAnsiTheme="minorEastAsia" w:cstheme="minorEastAsia"/>
          <w:sz w:val="28"/>
          <w:szCs w:val="28"/>
        </w:rPr>
        <w:t>的关键点。</w:t>
      </w:r>
    </w:p>
    <w:p w14:paraId="282C7451" w14:textId="77777777" w:rsidR="00690865" w:rsidRDefault="00000000" w:rsidP="009E21D9">
      <w:pPr>
        <w:framePr w:wrap="auto" w:yAlign="inline"/>
        <w:ind w:firstLineChars="200" w:firstLine="560"/>
        <w:rPr>
          <w:rFonts w:ascii="黑体" w:eastAsia="黑体" w:hAnsi="黑体" w:cs="黑体"/>
          <w:sz w:val="28"/>
          <w:szCs w:val="28"/>
        </w:rPr>
      </w:pPr>
      <w:r>
        <w:rPr>
          <w:rFonts w:ascii="黑体" w:eastAsia="黑体" w:hAnsi="黑体" w:cs="黑体"/>
          <w:sz w:val="28"/>
          <w:szCs w:val="28"/>
        </w:rPr>
        <w:t>五、标准的水平</w:t>
      </w:r>
    </w:p>
    <w:p w14:paraId="6F3B9B91"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在制定《基于产业链的供应链合作指南》的标准水平时，立足全球产业链数字化、绿色化、区域化重构趋势，构建了兼具实用性、前瞻性与灵活性的现代化供应链协作框架，确保基于产业链的供应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能够高效、稳定地进行，为构建自主可控的现代化产业链、支撑经济高质量可持续发展提供标准化范式。</w:t>
      </w:r>
    </w:p>
    <w:p w14:paraId="04CF5B97" w14:textId="77777777" w:rsidR="00690865" w:rsidRDefault="00000000" w:rsidP="009E21D9">
      <w:pPr>
        <w:framePr w:wrap="auto" w:yAlign="inline"/>
        <w:numPr>
          <w:ilvl w:val="0"/>
          <w:numId w:val="11"/>
        </w:numPr>
        <w:ind w:firstLineChars="200" w:firstLine="560"/>
        <w:rPr>
          <w:rFonts w:ascii="黑体" w:eastAsia="黑体" w:hAnsi="黑体" w:cs="黑体"/>
          <w:sz w:val="28"/>
          <w:szCs w:val="28"/>
        </w:rPr>
      </w:pPr>
      <w:r>
        <w:rPr>
          <w:rFonts w:ascii="黑体" w:eastAsia="黑体" w:hAnsi="黑体" w:cs="黑体"/>
          <w:sz w:val="28"/>
          <w:szCs w:val="28"/>
        </w:rPr>
        <w:t>与有关的现行法律法规和强制性国家标准的关系</w:t>
      </w:r>
    </w:p>
    <w:p w14:paraId="4BE5B752" w14:textId="46B6A48C" w:rsidR="002D1B44" w:rsidRPr="002D1B44" w:rsidRDefault="00000000" w:rsidP="002D1B44">
      <w:pPr>
        <w:pStyle w:val="af0"/>
        <w:framePr w:wrap="auto" w:yAlign="inline"/>
        <w:numPr>
          <w:ilvl w:val="0"/>
          <w:numId w:val="12"/>
        </w:numPr>
        <w:ind w:firstLineChars="0"/>
        <w:rPr>
          <w:rFonts w:asciiTheme="minorEastAsia" w:eastAsiaTheme="minorEastAsia" w:hAnsiTheme="minorEastAsia" w:cstheme="minorEastAsia" w:hint="default"/>
          <w:sz w:val="28"/>
          <w:szCs w:val="28"/>
        </w:rPr>
      </w:pPr>
      <w:r w:rsidRPr="002D1B44">
        <w:rPr>
          <w:rFonts w:asciiTheme="minorEastAsia" w:eastAsiaTheme="minorEastAsia" w:hAnsiTheme="minorEastAsia" w:cstheme="minorEastAsia"/>
          <w:sz w:val="28"/>
          <w:szCs w:val="28"/>
        </w:rPr>
        <w:t>规范性引用了下列标准：</w:t>
      </w:r>
    </w:p>
    <w:p w14:paraId="2E605542" w14:textId="56E2C4DE" w:rsidR="00690865" w:rsidRPr="002D1B44" w:rsidRDefault="00000000" w:rsidP="002D1B44">
      <w:pPr>
        <w:framePr w:wrap="auto" w:yAlign="inline"/>
        <w:ind w:left="560"/>
        <w:rPr>
          <w:rFonts w:asciiTheme="minorEastAsia" w:eastAsiaTheme="minorEastAsia" w:hAnsiTheme="minorEastAsia" w:cstheme="minorEastAsia"/>
          <w:sz w:val="28"/>
          <w:szCs w:val="28"/>
        </w:rPr>
      </w:pPr>
      <w:r w:rsidRPr="002D1B44">
        <w:rPr>
          <w:rFonts w:ascii="Times New Roman" w:eastAsiaTheme="minorEastAsia" w:hAnsi="Times New Roman" w:cs="Times New Roman" w:hint="default"/>
          <w:sz w:val="28"/>
          <w:szCs w:val="28"/>
        </w:rPr>
        <w:t>GB/T 40144</w:t>
      </w:r>
      <w:r w:rsidRPr="002D1B44">
        <w:rPr>
          <w:rFonts w:asciiTheme="minorEastAsia" w:eastAsiaTheme="minorEastAsia" w:hAnsiTheme="minorEastAsia" w:cstheme="minorEastAsia"/>
          <w:sz w:val="28"/>
          <w:szCs w:val="28"/>
        </w:rPr>
        <w:t xml:space="preserve">  协作业务关系管理体系  要求和框架</w:t>
      </w:r>
    </w:p>
    <w:p w14:paraId="5D1B9F42" w14:textId="77777777" w:rsidR="002D1B44" w:rsidRDefault="00000000" w:rsidP="002D1B44">
      <w:pPr>
        <w:framePr w:wrap="auto" w:yAlign="inline"/>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2.参考了下列标准的内容：</w:t>
      </w:r>
    </w:p>
    <w:p w14:paraId="59A88F58" w14:textId="77777777" w:rsidR="002D1B44" w:rsidRDefault="00000000" w:rsidP="002D1B44">
      <w:pPr>
        <w:framePr w:wrap="auto" w:yAlign="inline"/>
        <w:ind w:firstLineChars="200" w:firstLine="560"/>
        <w:rPr>
          <w:rFonts w:asciiTheme="minorEastAsia" w:eastAsiaTheme="minorEastAsia" w:hAnsiTheme="minorEastAsia" w:cstheme="minorEastAsia" w:hint="default"/>
          <w:sz w:val="28"/>
          <w:szCs w:val="28"/>
        </w:rPr>
      </w:pPr>
      <w:r>
        <w:rPr>
          <w:rFonts w:ascii="Times New Roman" w:eastAsiaTheme="minorEastAsia" w:hAnsi="Times New Roman" w:cs="Times New Roman" w:hint="default"/>
          <w:sz w:val="28"/>
          <w:szCs w:val="28"/>
        </w:rPr>
        <w:t xml:space="preserve">[1]  GB/T 18354-2021  </w:t>
      </w:r>
      <w:r>
        <w:rPr>
          <w:rFonts w:ascii="Times New Roman" w:eastAsiaTheme="minorEastAsia" w:hAnsi="Times New Roman" w:cs="Times New Roman" w:hint="default"/>
          <w:sz w:val="28"/>
          <w:szCs w:val="28"/>
        </w:rPr>
        <w:t>物流术语</w:t>
      </w:r>
    </w:p>
    <w:p w14:paraId="36BA7CB6" w14:textId="76529845" w:rsidR="00690865" w:rsidRDefault="00000000" w:rsidP="002D1B44">
      <w:pPr>
        <w:framePr w:wrap="auto" w:yAlign="inline"/>
        <w:ind w:firstLineChars="200" w:firstLine="560"/>
        <w:rPr>
          <w:rFonts w:asciiTheme="minorEastAsia" w:eastAsiaTheme="minorEastAsia" w:hAnsiTheme="minorEastAsia" w:cstheme="minorEastAsia"/>
          <w:sz w:val="28"/>
          <w:szCs w:val="28"/>
        </w:rPr>
      </w:pPr>
      <w:r>
        <w:rPr>
          <w:rFonts w:ascii="Times New Roman" w:eastAsiaTheme="minorEastAsia" w:hAnsi="Times New Roman" w:cs="Times New Roman" w:hint="default"/>
          <w:sz w:val="28"/>
          <w:szCs w:val="28"/>
        </w:rPr>
        <w:t>[2]  GB/T 25469-2010</w:t>
      </w:r>
      <w:r>
        <w:rPr>
          <w:rFonts w:asciiTheme="minorEastAsia" w:eastAsiaTheme="minorEastAsia" w:hAnsiTheme="minorEastAsia" w:cstheme="minorEastAsia"/>
          <w:sz w:val="28"/>
          <w:szCs w:val="28"/>
        </w:rPr>
        <w:t xml:space="preserve">  制造业产业链协作平台功能规范</w:t>
      </w:r>
      <w:r>
        <w:rPr>
          <w:rFonts w:asciiTheme="minorEastAsia" w:eastAsiaTheme="minorEastAsia" w:hAnsiTheme="minorEastAsia" w:cstheme="minorEastAsia"/>
          <w:sz w:val="28"/>
          <w:szCs w:val="28"/>
        </w:rPr>
        <w:tab/>
      </w:r>
    </w:p>
    <w:p w14:paraId="4B459207"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本标准与有关的现行法律法规和强制性国家标准的关系紧密且互补。</w:t>
      </w:r>
      <w:r>
        <w:rPr>
          <w:rFonts w:ascii="宋体" w:eastAsia="宋体" w:hAnsi="宋体" w:cs="宋体"/>
          <w:sz w:val="28"/>
          <w:szCs w:val="28"/>
        </w:rPr>
        <w:t>在制定本标准的过程中，我们充分考虑了现有的法律法规以及强制性的国家标准，确保标准内容不仅严格遵循国家的相关规定，而且进一步细化并补充了特定领域的具体操作标准，增强了合法性和规范性。此外，我们还深入考虑了国际通用性的重要性，致力于为基于产业链的供应</w:t>
      </w:r>
      <w:proofErr w:type="gramStart"/>
      <w:r>
        <w:rPr>
          <w:rFonts w:ascii="宋体" w:eastAsia="宋体" w:hAnsi="宋体" w:cs="宋体"/>
          <w:sz w:val="28"/>
          <w:szCs w:val="28"/>
        </w:rPr>
        <w:t>链合作</w:t>
      </w:r>
      <w:proofErr w:type="gramEnd"/>
      <w:r>
        <w:rPr>
          <w:rFonts w:ascii="宋体" w:eastAsia="宋体" w:hAnsi="宋体" w:cs="宋体"/>
          <w:sz w:val="28"/>
          <w:szCs w:val="28"/>
        </w:rPr>
        <w:t>提供一个既符合合法性要求，又具备实际操作性的行动指南。我们认识到，在全球化的经济环境中，供应链的运作必须遵循国际规则和标准，以确保其广泛接受和有效实施。因此，我们制定的行动指南不仅考虑了不同国家和地区的法律法规，还兼顾了行业最佳实践和国际组织的指导原则。我们的目标是创建一个既能够促进合作，又能够确保所有参与方权益得到保护的框架，从而为供应链的稳定和可持续发展提供支持。通过这样的标准化支撑，我们旨在构建现代化产业体系，进而推动整个行业的健康、有序发展。</w:t>
      </w:r>
    </w:p>
    <w:p w14:paraId="339E1C0F" w14:textId="77777777" w:rsidR="00690865" w:rsidRDefault="00000000" w:rsidP="00BC64E4">
      <w:pPr>
        <w:framePr w:wrap="auto" w:yAlign="inline"/>
        <w:numPr>
          <w:ilvl w:val="0"/>
          <w:numId w:val="11"/>
        </w:numPr>
        <w:ind w:firstLineChars="200" w:firstLine="560"/>
        <w:rPr>
          <w:rFonts w:ascii="黑体" w:eastAsia="黑体" w:hAnsi="黑体" w:cs="黑体"/>
          <w:sz w:val="28"/>
          <w:szCs w:val="28"/>
        </w:rPr>
      </w:pPr>
      <w:r>
        <w:rPr>
          <w:rFonts w:ascii="黑体" w:eastAsia="黑体" w:hAnsi="黑体" w:cs="黑体"/>
          <w:sz w:val="28"/>
          <w:szCs w:val="28"/>
        </w:rPr>
        <w:t>贯彻标准的要求和措施建议</w:t>
      </w:r>
    </w:p>
    <w:p w14:paraId="2430BFDF" w14:textId="77777777" w:rsidR="00690865" w:rsidRDefault="00000000">
      <w:pPr>
        <w:framePr w:wrap="auto" w:yAlign="inline"/>
        <w:ind w:firstLineChars="200" w:firstLine="560"/>
        <w:rPr>
          <w:rFonts w:ascii="宋体" w:eastAsia="宋体" w:hAnsi="宋体" w:cs="宋体"/>
          <w:sz w:val="28"/>
          <w:szCs w:val="28"/>
        </w:rPr>
      </w:pPr>
      <w:r>
        <w:rPr>
          <w:rFonts w:ascii="宋体" w:eastAsia="宋体" w:hAnsi="宋体" w:cs="宋体"/>
          <w:sz w:val="28"/>
          <w:szCs w:val="28"/>
        </w:rPr>
        <w:t>1.彻底了解规范内容。组织专门学习会议，掌握标准的目标、应用范围、主要技术内容以及相关标准和要求。对标准里的重点条款、核心指标、操作流程等进行深入解读和案例分析，协助企业更好地理解和记忆。</w:t>
      </w:r>
    </w:p>
    <w:p w14:paraId="2CCBEF88" w14:textId="77777777" w:rsidR="00690865" w:rsidRDefault="00000000">
      <w:pPr>
        <w:framePr w:wrap="auto" w:yAlign="inline"/>
        <w:ind w:firstLineChars="200" w:firstLine="560"/>
        <w:rPr>
          <w:rFonts w:ascii="宋体" w:eastAsia="宋体" w:hAnsi="宋体" w:cs="宋体"/>
          <w:sz w:val="28"/>
          <w:szCs w:val="28"/>
          <w:highlight w:val="yellow"/>
        </w:rPr>
      </w:pPr>
      <w:r>
        <w:rPr>
          <w:rFonts w:ascii="宋体" w:eastAsia="宋体" w:hAnsi="宋体" w:cs="宋体"/>
          <w:sz w:val="28"/>
          <w:szCs w:val="28"/>
        </w:rPr>
        <w:t>2.制定详细的项目计划。</w:t>
      </w:r>
      <w:proofErr w:type="gramStart"/>
      <w:r>
        <w:rPr>
          <w:rFonts w:ascii="宋体" w:eastAsia="宋体" w:hAnsi="宋体" w:cs="宋体"/>
          <w:sz w:val="28"/>
          <w:szCs w:val="28"/>
        </w:rPr>
        <w:t>通过链博会</w:t>
      </w:r>
      <w:proofErr w:type="gramEnd"/>
      <w:r>
        <w:rPr>
          <w:rFonts w:ascii="宋体" w:eastAsia="宋体" w:hAnsi="宋体" w:cs="宋体"/>
          <w:sz w:val="28"/>
          <w:szCs w:val="28"/>
        </w:rPr>
        <w:t>等平台，进行标准的贯彻实施工作。依据标准的指导。</w:t>
      </w:r>
    </w:p>
    <w:p w14:paraId="17C67B3A" w14:textId="77777777" w:rsidR="00690865" w:rsidRDefault="00000000">
      <w:pPr>
        <w:framePr w:wrap="auto" w:yAlign="inline"/>
        <w:ind w:firstLineChars="200" w:firstLine="560"/>
        <w:rPr>
          <w:rFonts w:ascii="宋体" w:eastAsia="宋体" w:hAnsi="宋体" w:cs="宋体"/>
          <w:sz w:val="28"/>
          <w:szCs w:val="28"/>
        </w:rPr>
      </w:pPr>
      <w:r>
        <w:rPr>
          <w:rFonts w:ascii="宋体" w:eastAsia="宋体" w:hAnsi="宋体" w:cs="宋体"/>
          <w:sz w:val="28"/>
          <w:szCs w:val="28"/>
        </w:rPr>
        <w:t>3.定期进行规范评估和更新。定期评估基于产业链的供应</w:t>
      </w:r>
      <w:proofErr w:type="gramStart"/>
      <w:r>
        <w:rPr>
          <w:rFonts w:ascii="宋体" w:eastAsia="宋体" w:hAnsi="宋体" w:cs="宋体"/>
          <w:sz w:val="28"/>
          <w:szCs w:val="28"/>
        </w:rPr>
        <w:t>链合作</w:t>
      </w:r>
      <w:proofErr w:type="gramEnd"/>
      <w:r>
        <w:rPr>
          <w:rFonts w:ascii="宋体" w:eastAsia="宋体" w:hAnsi="宋体" w:cs="宋体"/>
          <w:sz w:val="28"/>
          <w:szCs w:val="28"/>
        </w:rPr>
        <w:t>指南的执行情况，并进行必要的更新和改进。跟踪技术发展、行业标</w:t>
      </w:r>
      <w:r>
        <w:rPr>
          <w:rFonts w:ascii="宋体" w:eastAsia="宋体" w:hAnsi="宋体" w:cs="宋体"/>
          <w:sz w:val="28"/>
          <w:szCs w:val="28"/>
        </w:rPr>
        <w:lastRenderedPageBreak/>
        <w:t>准的变化，及时更新规范，确保其与最新技术和要求保持一致。</w:t>
      </w:r>
    </w:p>
    <w:p w14:paraId="40530B9A" w14:textId="77777777" w:rsidR="00690865" w:rsidRDefault="00000000">
      <w:pPr>
        <w:framePr w:wrap="auto" w:yAlign="inline"/>
        <w:ind w:firstLineChars="200" w:firstLine="560"/>
        <w:rPr>
          <w:rFonts w:ascii="黑体" w:eastAsia="黑体" w:hAnsi="黑体" w:cs="黑体"/>
          <w:sz w:val="28"/>
          <w:szCs w:val="28"/>
        </w:rPr>
      </w:pPr>
      <w:r>
        <w:rPr>
          <w:rFonts w:ascii="宋体" w:eastAsia="宋体" w:hAnsi="宋体" w:cs="宋体"/>
          <w:sz w:val="28"/>
          <w:szCs w:val="28"/>
        </w:rPr>
        <w:t>4.培训和沟通。制定详细的培训计划，针对不同岗位和层级的员工开展有针对性的培训活动。采用多种培训方式相结合，包括内部培训课程、外部专家讲座、在线学习平台、实践操作培训等。同时，与团队成员和相关利益相关者保持沟通，解答问题，解决疑虑，推动规范的有效实施。</w:t>
      </w:r>
    </w:p>
    <w:p w14:paraId="1293DD2B" w14:textId="77777777" w:rsidR="00690865" w:rsidRDefault="00000000" w:rsidP="00BC64E4">
      <w:pPr>
        <w:framePr w:wrap="auto" w:yAlign="inline"/>
        <w:ind w:firstLineChars="200" w:firstLine="560"/>
        <w:rPr>
          <w:rFonts w:ascii="黑体" w:eastAsia="黑体" w:hAnsi="黑体" w:cs="黑体"/>
          <w:sz w:val="28"/>
          <w:szCs w:val="28"/>
        </w:rPr>
      </w:pPr>
      <w:r>
        <w:rPr>
          <w:rFonts w:ascii="黑体" w:eastAsia="黑体" w:hAnsi="黑体" w:cs="黑体"/>
          <w:sz w:val="28"/>
          <w:szCs w:val="28"/>
        </w:rPr>
        <w:t>八、标准实施的预期效果</w:t>
      </w:r>
    </w:p>
    <w:p w14:paraId="43F61659"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1.推动规范化与标准化进程。标准的实施为供应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提供了统一的准则和框架，有助于促进</w:t>
      </w:r>
      <w:proofErr w:type="gramStart"/>
      <w:r>
        <w:rPr>
          <w:rFonts w:asciiTheme="minorEastAsia" w:eastAsiaTheme="minorEastAsia" w:hAnsiTheme="minorEastAsia" w:cstheme="minorEastAsia"/>
          <w:sz w:val="28"/>
          <w:szCs w:val="28"/>
        </w:rPr>
        <w:t>产业链各环节</w:t>
      </w:r>
      <w:proofErr w:type="gramEnd"/>
      <w:r>
        <w:rPr>
          <w:rFonts w:asciiTheme="minorEastAsia" w:eastAsiaTheme="minorEastAsia" w:hAnsiTheme="minorEastAsia" w:cstheme="minorEastAsia"/>
          <w:sz w:val="28"/>
          <w:szCs w:val="28"/>
        </w:rPr>
        <w:t>的规范化与标准化发展，确保企业在供应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过程中遵循行业最佳实践和标准要求。通过统一的规范，帮助企业减少因标准差异导致的沟通成本和协调难度，提升合作效率，同时为整个产业链的协同发展奠定坚实基础。</w:t>
      </w:r>
    </w:p>
    <w:p w14:paraId="04A5C2B4"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降低运营成本，提升发展效率。标准实施后，企业能够依据规范要求优化供应链流程，减少不必要的重复工作和资源浪费。提高开发效率，减少因技术不兼容或流程不清晰导致的额外投入，从而为企业提供更经济高效的运营方式。</w:t>
      </w:r>
    </w:p>
    <w:p w14:paraId="170051F8"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3.提升合作质量和稳定性。标准能够帮助企业建立更加稳定和可靠的合作关系，优化合作流程和绩效评估机制，不仅能够有效减少合作中的摩擦和冲突，提升合作质量，促进产业链的长期健康发展。</w:t>
      </w:r>
    </w:p>
    <w:p w14:paraId="603FFCFB" w14:textId="77777777" w:rsidR="00690865" w:rsidRDefault="00000000">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4.增强企业竞争力与市场适应性。标准实施后，企业在供应</w:t>
      </w:r>
      <w:proofErr w:type="gramStart"/>
      <w:r>
        <w:rPr>
          <w:rFonts w:asciiTheme="minorEastAsia" w:eastAsiaTheme="minorEastAsia" w:hAnsiTheme="minorEastAsia" w:cstheme="minorEastAsia"/>
          <w:sz w:val="28"/>
          <w:szCs w:val="28"/>
        </w:rPr>
        <w:t>链合作</w:t>
      </w:r>
      <w:proofErr w:type="gramEnd"/>
      <w:r>
        <w:rPr>
          <w:rFonts w:asciiTheme="minorEastAsia" w:eastAsiaTheme="minorEastAsia" w:hAnsiTheme="minorEastAsia" w:cstheme="minorEastAsia"/>
          <w:sz w:val="28"/>
          <w:szCs w:val="28"/>
        </w:rPr>
        <w:t>中能够更好地满足客户需求，提供高质量的产品和服务。提升企业的品牌形象和行业声誉，从而在激烈的市场竞争中占据优势地位。</w:t>
      </w:r>
    </w:p>
    <w:sectPr w:rsidR="00690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B6628"/>
    <w:multiLevelType w:val="multilevel"/>
    <w:tmpl w:val="843B6628"/>
    <w:lvl w:ilvl="0">
      <w:start w:val="1"/>
      <w:numFmt w:val="none"/>
      <w:pStyle w:val="a"/>
      <w:lvlText w:val="%1——"/>
      <w:lvlJc w:val="left"/>
      <w:pPr>
        <w:tabs>
          <w:tab w:val="left" w:pos="851"/>
        </w:tabs>
        <w:ind w:left="851" w:hanging="426"/>
      </w:pPr>
      <w:rPr>
        <w:rFonts w:ascii="Times New Roman" w:eastAsia="宋体" w:hAnsi="Times New Roman" w:cs="Times New Roman" w:hint="default"/>
        <w:sz w:val="20"/>
      </w:rPr>
    </w:lvl>
    <w:lvl w:ilvl="1">
      <w:start w:val="1"/>
      <w:numFmt w:val="bullet"/>
      <w:lvlText w:val=""/>
      <w:lvlJc w:val="left"/>
      <w:pPr>
        <w:tabs>
          <w:tab w:val="left" w:pos="851"/>
        </w:tabs>
        <w:ind w:left="1270" w:hanging="419"/>
      </w:pPr>
      <w:rPr>
        <w:rFonts w:ascii="Symbol" w:eastAsia="宋体" w:hAnsi="Symbol" w:cs="Symbol"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8834F29D"/>
    <w:multiLevelType w:val="singleLevel"/>
    <w:tmpl w:val="8834F29D"/>
    <w:lvl w:ilvl="0">
      <w:start w:val="2"/>
      <w:numFmt w:val="chineseCounting"/>
      <w:suff w:val="nothing"/>
      <w:lvlText w:val="（%1）"/>
      <w:lvlJc w:val="left"/>
      <w:rPr>
        <w:rFonts w:hint="eastAsia"/>
      </w:rPr>
    </w:lvl>
  </w:abstractNum>
  <w:abstractNum w:abstractNumId="2" w15:restartNumberingAfterBreak="0">
    <w:nsid w:val="A8909F1B"/>
    <w:multiLevelType w:val="multilevel"/>
    <w:tmpl w:val="A8909F1B"/>
    <w:lvl w:ilvl="0">
      <w:start w:val="1"/>
      <w:numFmt w:val="decimal"/>
      <w:pStyle w:val="a0"/>
      <w:suff w:val="nothing"/>
      <w:lvlText w:val="%1　"/>
      <w:lvlJc w:val="left"/>
      <w:pPr>
        <w:ind w:left="0" w:firstLine="0"/>
      </w:pPr>
      <w:rPr>
        <w:rFonts w:ascii="黑体" w:eastAsia="黑体" w:hAnsi="黑体" w:cs="黑体" w:hint="default"/>
        <w:sz w:val="20"/>
      </w:rPr>
    </w:lvl>
    <w:lvl w:ilvl="1">
      <w:start w:val="1"/>
      <w:numFmt w:val="decimal"/>
      <w:pStyle w:val="a1"/>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 w15:restartNumberingAfterBreak="0">
    <w:nsid w:val="B74880FB"/>
    <w:multiLevelType w:val="singleLevel"/>
    <w:tmpl w:val="B74880FB"/>
    <w:lvl w:ilvl="0">
      <w:start w:val="10"/>
      <w:numFmt w:val="decimal"/>
      <w:suff w:val="space"/>
      <w:lvlText w:val="第%1章"/>
      <w:lvlJc w:val="left"/>
    </w:lvl>
  </w:abstractNum>
  <w:abstractNum w:abstractNumId="4" w15:restartNumberingAfterBreak="0">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100541"/>
    <w:multiLevelType w:val="multilevel"/>
    <w:tmpl w:val="2A100541"/>
    <w:lvl w:ilvl="0">
      <w:start w:val="1"/>
      <w:numFmt w:val="decimal"/>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pStyle w:val="a3"/>
      <w:suff w:val="nothing"/>
      <w:lvlText w:val="%1.%2.%3　"/>
      <w:lvlJc w:val="left"/>
      <w:pPr>
        <w:ind w:left="0" w:firstLine="0"/>
      </w:pPr>
      <w:rPr>
        <w:rFonts w:ascii="黑体" w:eastAsia="黑体" w:hAnsi="黑体" w:cs="黑体" w:hint="default"/>
        <w:sz w:val="20"/>
      </w:rPr>
    </w:lvl>
    <w:lvl w:ilvl="3">
      <w:start w:val="1"/>
      <w:numFmt w:val="decimal"/>
      <w:pStyle w:val="a4"/>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6" w15:restartNumberingAfterBreak="0">
    <w:nsid w:val="3CCC7C2C"/>
    <w:multiLevelType w:val="singleLevel"/>
    <w:tmpl w:val="3CCC7C2C"/>
    <w:lvl w:ilvl="0">
      <w:start w:val="7"/>
      <w:numFmt w:val="decimal"/>
      <w:suff w:val="space"/>
      <w:lvlText w:val="第%1章"/>
      <w:lvlJc w:val="left"/>
    </w:lvl>
  </w:abstractNum>
  <w:abstractNum w:abstractNumId="7" w15:restartNumberingAfterBreak="0">
    <w:nsid w:val="3E230BCE"/>
    <w:multiLevelType w:val="singleLevel"/>
    <w:tmpl w:val="3E230BCE"/>
    <w:lvl w:ilvl="0">
      <w:start w:val="2"/>
      <w:numFmt w:val="chineseCounting"/>
      <w:suff w:val="nothing"/>
      <w:lvlText w:val="（%1）"/>
      <w:lvlJc w:val="left"/>
      <w:rPr>
        <w:rFonts w:hint="eastAsia"/>
      </w:rPr>
    </w:lvl>
  </w:abstractNum>
  <w:abstractNum w:abstractNumId="8" w15:restartNumberingAfterBreak="0">
    <w:nsid w:val="41CE2C59"/>
    <w:multiLevelType w:val="hybridMultilevel"/>
    <w:tmpl w:val="7E88B076"/>
    <w:lvl w:ilvl="0" w:tplc="C0F4ECBC">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52B050D2"/>
    <w:multiLevelType w:val="singleLevel"/>
    <w:tmpl w:val="52B050D2"/>
    <w:lvl w:ilvl="0">
      <w:start w:val="2"/>
      <w:numFmt w:val="chineseCounting"/>
      <w:suff w:val="space"/>
      <w:lvlText w:val="%1、"/>
      <w:lvlJc w:val="left"/>
      <w:rPr>
        <w:rFonts w:hint="eastAsia"/>
      </w:rPr>
    </w:lvl>
  </w:abstractNum>
  <w:abstractNum w:abstractNumId="10" w15:restartNumberingAfterBreak="0">
    <w:nsid w:val="7179A81A"/>
    <w:multiLevelType w:val="singleLevel"/>
    <w:tmpl w:val="7179A81A"/>
    <w:lvl w:ilvl="0">
      <w:start w:val="6"/>
      <w:numFmt w:val="chineseCounting"/>
      <w:suff w:val="nothing"/>
      <w:lvlText w:val="%1、"/>
      <w:lvlJc w:val="left"/>
      <w:rPr>
        <w:rFonts w:hint="eastAsia"/>
      </w:rPr>
    </w:lvl>
  </w:abstractNum>
  <w:abstractNum w:abstractNumId="11" w15:restartNumberingAfterBreak="0">
    <w:nsid w:val="7D3B7EC1"/>
    <w:multiLevelType w:val="multilevel"/>
    <w:tmpl w:val="7D3B7EC1"/>
    <w:lvl w:ilvl="0">
      <w:start w:val="1"/>
      <w:numFmt w:val="decimal"/>
      <w:pStyle w:val="a5"/>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1032416929">
    <w:abstractNumId w:val="4"/>
  </w:num>
  <w:num w:numId="2" w16cid:durableId="1542783695">
    <w:abstractNumId w:val="2"/>
  </w:num>
  <w:num w:numId="3" w16cid:durableId="195241821">
    <w:abstractNumId w:val="11"/>
  </w:num>
  <w:num w:numId="4" w16cid:durableId="1444610121">
    <w:abstractNumId w:val="5"/>
  </w:num>
  <w:num w:numId="5" w16cid:durableId="1050497464">
    <w:abstractNumId w:val="0"/>
  </w:num>
  <w:num w:numId="6" w16cid:durableId="424689854">
    <w:abstractNumId w:val="9"/>
  </w:num>
  <w:num w:numId="7" w16cid:durableId="974799168">
    <w:abstractNumId w:val="1"/>
  </w:num>
  <w:num w:numId="8" w16cid:durableId="1113596347">
    <w:abstractNumId w:val="7"/>
  </w:num>
  <w:num w:numId="9" w16cid:durableId="1107194360">
    <w:abstractNumId w:val="6"/>
  </w:num>
  <w:num w:numId="10" w16cid:durableId="852183791">
    <w:abstractNumId w:val="3"/>
  </w:num>
  <w:num w:numId="11" w16cid:durableId="21976836">
    <w:abstractNumId w:val="10"/>
  </w:num>
  <w:num w:numId="12" w16cid:durableId="180954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4B0397"/>
    <w:rsid w:val="002D1B44"/>
    <w:rsid w:val="00486BB1"/>
    <w:rsid w:val="00690865"/>
    <w:rsid w:val="009E21D9"/>
    <w:rsid w:val="00BC64E4"/>
    <w:rsid w:val="00E56377"/>
    <w:rsid w:val="079C1028"/>
    <w:rsid w:val="0D334FA3"/>
    <w:rsid w:val="127A5E73"/>
    <w:rsid w:val="148E7D5F"/>
    <w:rsid w:val="1BCB46BE"/>
    <w:rsid w:val="20BC7B42"/>
    <w:rsid w:val="27415F34"/>
    <w:rsid w:val="27743E5C"/>
    <w:rsid w:val="324B0397"/>
    <w:rsid w:val="36617CA1"/>
    <w:rsid w:val="3D35131C"/>
    <w:rsid w:val="50E61A9E"/>
    <w:rsid w:val="531719BC"/>
    <w:rsid w:val="6D2D0C5E"/>
    <w:rsid w:val="71E338E5"/>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FBA8C"/>
  <w15:docId w15:val="{3D129FF1-4665-447B-A1A3-8F882A2D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3">
    <w:name w:val="heading 3"/>
    <w:basedOn w:val="a6"/>
    <w:next w:val="a6"/>
    <w:semiHidden/>
    <w:unhideWhenUsed/>
    <w:qFormat/>
    <w:pPr>
      <w:framePr w:wrap="around"/>
      <w:spacing w:beforeAutospacing="1" w:afterAutospacing="1"/>
      <w:jc w:val="left"/>
      <w:outlineLvl w:val="2"/>
    </w:pPr>
    <w:rPr>
      <w:rFonts w:ascii="宋体" w:eastAsia="宋体" w:hAnsi="宋体" w:cs="Times New Roman"/>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3">
    <w:name w:val="toc 3"/>
    <w:basedOn w:val="a6"/>
    <w:next w:val="a6"/>
    <w:qFormat/>
    <w:pPr>
      <w:framePr w:wrap="around"/>
      <w:spacing w:line="300" w:lineRule="exact"/>
      <w:ind w:leftChars="400" w:left="840"/>
    </w:pPr>
    <w:rPr>
      <w:rFonts w:hAnsi="宋体"/>
    </w:rPr>
  </w:style>
  <w:style w:type="paragraph" w:styleId="TOC2">
    <w:name w:val="toc 2"/>
    <w:basedOn w:val="a6"/>
    <w:next w:val="a6"/>
    <w:qFormat/>
    <w:pPr>
      <w:framePr w:wrap="around"/>
      <w:spacing w:line="300" w:lineRule="exact"/>
      <w:ind w:leftChars="200" w:left="420"/>
    </w:pPr>
    <w:rPr>
      <w:rFonts w:hAnsi="宋体"/>
    </w:rPr>
  </w:style>
  <w:style w:type="paragraph" w:styleId="aa">
    <w:name w:val="Normal (Web)"/>
    <w:basedOn w:val="a6"/>
    <w:qFormat/>
    <w:pPr>
      <w:framePr w:wrap="around"/>
      <w:spacing w:beforeAutospacing="1" w:afterAutospacing="1"/>
      <w:jc w:val="left"/>
    </w:pPr>
    <w:rPr>
      <w:rFonts w:cs="Times New Roman"/>
      <w:kern w:val="0"/>
      <w:sz w:val="24"/>
    </w:rPr>
  </w:style>
  <w:style w:type="character" w:styleId="ab">
    <w:name w:val="Strong"/>
    <w:basedOn w:val="a7"/>
    <w:qFormat/>
    <w:rPr>
      <w:b/>
    </w:rPr>
  </w:style>
  <w:style w:type="paragraph" w:customStyle="1" w:styleId="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a2">
    <w:name w:val="章标题"/>
    <w:next w:val="ac"/>
    <w:qFormat/>
    <w:pPr>
      <w:numPr>
        <w:numId w:val="1"/>
      </w:numPr>
      <w:spacing w:beforeLines="100" w:before="312" w:afterLines="100" w:after="312"/>
      <w:jc w:val="both"/>
      <w:outlineLvl w:val="1"/>
    </w:pPr>
    <w:rPr>
      <w:rFonts w:ascii="黑体" w:eastAsia="黑体"/>
      <w:sz w:val="21"/>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1">
    <w:name w:val="标准文件_一级条标题"/>
    <w:basedOn w:val="a0"/>
    <w:next w:val="ad"/>
    <w:qFormat/>
    <w:pPr>
      <w:numPr>
        <w:ilvl w:val="1"/>
      </w:numPr>
      <w:spacing w:beforeLines="50" w:before="157" w:afterLines="50" w:after="157"/>
      <w:outlineLvl w:val="1"/>
    </w:pPr>
  </w:style>
  <w:style w:type="paragraph" w:customStyle="1" w:styleId="a0">
    <w:name w:val="标准文件_章标题"/>
    <w:next w:val="ad"/>
    <w:qFormat/>
    <w:pPr>
      <w:numPr>
        <w:numId w:val="2"/>
      </w:numPr>
      <w:spacing w:beforeLines="100" w:before="313" w:afterLines="100" w:after="313"/>
      <w:jc w:val="both"/>
      <w:outlineLvl w:val="0"/>
    </w:pPr>
    <w:rPr>
      <w:rFonts w:ascii="黑体" w:eastAsia="黑体" w:cs="黑体" w:hint="eastAsia"/>
      <w:sz w:val="21"/>
    </w:rPr>
  </w:style>
  <w:style w:type="paragraph" w:customStyle="1" w:styleId="ad">
    <w:name w:val="标准文件_段"/>
    <w:qFormat/>
    <w:pPr>
      <w:ind w:firstLineChars="200" w:firstLine="960"/>
      <w:jc w:val="both"/>
    </w:pPr>
    <w:rPr>
      <w:rFonts w:ascii="宋体" w:cs="宋体" w:hint="eastAsia"/>
      <w:sz w:val="21"/>
    </w:rPr>
  </w:style>
  <w:style w:type="paragraph" w:customStyle="1" w:styleId="a5">
    <w:name w:val="标准文件_参考文献编号"/>
    <w:basedOn w:val="ad"/>
    <w:qFormat/>
    <w:pPr>
      <w:numPr>
        <w:numId w:val="3"/>
      </w:numPr>
    </w:pPr>
  </w:style>
  <w:style w:type="paragraph" w:customStyle="1" w:styleId="a3">
    <w:name w:val="标准文件_二级条标题"/>
    <w:next w:val="ad"/>
    <w:qFormat/>
    <w:pPr>
      <w:numPr>
        <w:ilvl w:val="2"/>
        <w:numId w:val="4"/>
      </w:numPr>
      <w:spacing w:beforeLines="50" w:before="157" w:afterLines="50" w:after="157"/>
      <w:jc w:val="both"/>
      <w:outlineLvl w:val="2"/>
    </w:pPr>
    <w:rPr>
      <w:rFonts w:ascii="黑体" w:eastAsia="黑体" w:hAnsi="黑体" w:cs="黑体" w:hint="eastAsia"/>
      <w:sz w:val="21"/>
    </w:rPr>
  </w:style>
  <w:style w:type="paragraph" w:customStyle="1" w:styleId="ae">
    <w:name w:val="标准文件_三级无标题"/>
    <w:basedOn w:val="a4"/>
    <w:qFormat/>
    <w:pPr>
      <w:spacing w:beforeLines="1" w:before="4" w:afterLines="1" w:after="4"/>
      <w:outlineLvl w:val="9"/>
    </w:pPr>
    <w:rPr>
      <w:rFonts w:ascii="宋体" w:eastAsia="宋体" w:hAnsi="宋体" w:cs="宋体"/>
    </w:rPr>
  </w:style>
  <w:style w:type="paragraph" w:customStyle="1" w:styleId="a4">
    <w:name w:val="标准文件_三级条标题"/>
    <w:basedOn w:val="a3"/>
    <w:next w:val="ad"/>
    <w:qFormat/>
    <w:pPr>
      <w:numPr>
        <w:ilvl w:val="3"/>
      </w:numPr>
      <w:outlineLvl w:val="3"/>
    </w:pPr>
  </w:style>
  <w:style w:type="paragraph" w:customStyle="1" w:styleId="af">
    <w:name w:val="标准文件_二级无标题"/>
    <w:basedOn w:val="a3"/>
    <w:qFormat/>
    <w:pPr>
      <w:spacing w:beforeLines="1" w:before="4" w:afterLines="1" w:after="4"/>
      <w:outlineLvl w:val="9"/>
    </w:pPr>
    <w:rPr>
      <w:rFonts w:ascii="宋体" w:eastAsia="宋体" w:hAnsi="宋体" w:cs="宋体"/>
    </w:rPr>
  </w:style>
  <w:style w:type="paragraph" w:customStyle="1" w:styleId="a">
    <w:name w:val="标准文件_一级项"/>
    <w:next w:val="ad"/>
    <w:qFormat/>
    <w:pPr>
      <w:numPr>
        <w:numId w:val="5"/>
      </w:numPr>
    </w:pPr>
    <w:rPr>
      <w:rFonts w:ascii="宋体" w:cs="宋体" w:hint="eastAsia"/>
      <w:sz w:val="21"/>
    </w:rPr>
  </w:style>
  <w:style w:type="paragraph" w:styleId="af0">
    <w:name w:val="List Paragraph"/>
    <w:basedOn w:val="a6"/>
    <w:uiPriority w:val="99"/>
    <w:unhideWhenUsed/>
    <w:rsid w:val="002D1B44"/>
    <w:pPr>
      <w:framePr w:wrap="around"/>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佳莹</dc:creator>
  <cp:lastModifiedBy>Will Wang</cp:lastModifiedBy>
  <cp:revision>5</cp:revision>
  <dcterms:created xsi:type="dcterms:W3CDTF">2025-03-06T09:11:00Z</dcterms:created>
  <dcterms:modified xsi:type="dcterms:W3CDTF">2025-03-14T07:47:00Z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337585A5EA91451B8D0FF7F17616D9C2_13</vt:lpwstr>
  </property>
  <property fmtid="{D5CDD505-2E9C-101B-9397-08002B2CF9AE}" pid="4" name="KSOTemplateDocerSaveRecord">
    <vt:lpwstr>eyJoZGlkIjoiZjA4YmY2MzNlZGU2OWM1NzhmZjAwNmFlZWZmOGJhMzMiLCJ1c2VySWQiOiIxMjA5MTEzMDU2In0=</vt:lpwstr>
  </property>
</Properties>
</file>