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1EE8A">
      <w:pPr>
        <w:pageBreakBefore w:val="0"/>
        <w:kinsoku/>
        <w:overflowPunct/>
        <w:topLinePunct w:val="0"/>
        <w:bidi w:val="0"/>
        <w:spacing w:line="360" w:lineRule="auto"/>
        <w:jc w:val="center"/>
        <w:textAlignment w:val="auto"/>
        <w:rPr>
          <w:rFonts w:hint="eastAsia"/>
          <w:b/>
          <w:bCs/>
          <w:sz w:val="32"/>
          <w:szCs w:val="40"/>
        </w:rPr>
      </w:pPr>
      <w:r>
        <w:rPr>
          <w:rFonts w:hint="eastAsia"/>
          <w:b/>
          <w:bCs/>
          <w:sz w:val="32"/>
          <w:szCs w:val="40"/>
        </w:rPr>
        <w:t>《</w:t>
      </w:r>
      <w:r>
        <w:rPr>
          <w:rFonts w:hint="default"/>
          <w:b/>
          <w:bCs/>
          <w:sz w:val="32"/>
          <w:szCs w:val="40"/>
          <w:lang w:eastAsia="zh-CN"/>
        </w:rPr>
        <w:t>医疗产品消毒器、灭菌器和清洗消毒器用水质量指南</w:t>
      </w:r>
      <w:r>
        <w:rPr>
          <w:rFonts w:hint="eastAsia"/>
          <w:b/>
          <w:bCs/>
          <w:sz w:val="32"/>
          <w:szCs w:val="40"/>
        </w:rPr>
        <w:t>》</w:t>
      </w:r>
    </w:p>
    <w:p w14:paraId="3018F3DA">
      <w:pPr>
        <w:pageBreakBefore w:val="0"/>
        <w:kinsoku/>
        <w:overflowPunct/>
        <w:topLinePunct w:val="0"/>
        <w:bidi w:val="0"/>
        <w:spacing w:line="360" w:lineRule="auto"/>
        <w:jc w:val="center"/>
        <w:textAlignment w:val="auto"/>
        <w:rPr>
          <w:rFonts w:hint="eastAsia"/>
          <w:sz w:val="32"/>
          <w:szCs w:val="40"/>
          <w:lang w:val="en-US" w:eastAsia="zh-CN"/>
        </w:rPr>
      </w:pPr>
      <w:r>
        <w:rPr>
          <w:rFonts w:hint="eastAsia"/>
          <w:b/>
          <w:bCs/>
          <w:sz w:val="32"/>
          <w:szCs w:val="40"/>
          <w:lang w:val="en-US" w:eastAsia="zh-CN"/>
        </w:rPr>
        <w:t>编制说明</w:t>
      </w:r>
    </w:p>
    <w:p w14:paraId="5B79697D">
      <w:pPr>
        <w:pageBreakBefore w:val="0"/>
        <w:numPr>
          <w:ilvl w:val="0"/>
          <w:numId w:val="0"/>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一、编制工作简况</w:t>
      </w:r>
    </w:p>
    <w:p w14:paraId="30BA1289">
      <w:pPr>
        <w:pageBreakBefore w:val="0"/>
        <w:numPr>
          <w:ilvl w:val="0"/>
          <w:numId w:val="2"/>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任务来源</w:t>
      </w:r>
    </w:p>
    <w:p w14:paraId="58B3A34E">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sz w:val="24"/>
          <w:szCs w:val="24"/>
        </w:rPr>
      </w:pPr>
      <w:r>
        <w:rPr>
          <w:rFonts w:hint="eastAsia"/>
          <w:sz w:val="24"/>
          <w:szCs w:val="24"/>
          <w:lang w:val="en-US" w:eastAsia="zh-CN"/>
        </w:rPr>
        <w:t>《</w:t>
      </w:r>
      <w:r>
        <w:rPr>
          <w:rFonts w:hint="default"/>
          <w:sz w:val="24"/>
          <w:szCs w:val="24"/>
          <w:lang w:eastAsia="zh-CN"/>
        </w:rPr>
        <w:t>医疗产品消毒器、灭菌器和清洗消毒器用水质量指南</w:t>
      </w:r>
      <w:r>
        <w:rPr>
          <w:rFonts w:hint="eastAsia"/>
          <w:sz w:val="24"/>
          <w:szCs w:val="24"/>
          <w:lang w:val="en-US" w:eastAsia="zh-CN"/>
        </w:rPr>
        <w:t>》主要是</w:t>
      </w:r>
      <w:r>
        <w:rPr>
          <w:rFonts w:hint="eastAsia"/>
          <w:sz w:val="24"/>
          <w:szCs w:val="24"/>
        </w:rPr>
        <w:t>制定</w:t>
      </w:r>
      <w:r>
        <w:rPr>
          <w:rFonts w:hint="eastAsia"/>
          <w:sz w:val="24"/>
          <w:szCs w:val="24"/>
          <w:lang w:val="en-US" w:eastAsia="zh-CN"/>
        </w:rPr>
        <w:t>提供医疗产品</w:t>
      </w:r>
      <w:r>
        <w:rPr>
          <w:rFonts w:hint="eastAsia"/>
          <w:sz w:val="24"/>
          <w:szCs w:val="24"/>
        </w:rPr>
        <w:t>清洗消毒器</w:t>
      </w:r>
      <w:r>
        <w:rPr>
          <w:rFonts w:hint="eastAsia"/>
          <w:sz w:val="24"/>
          <w:szCs w:val="24"/>
          <w:lang w:eastAsia="zh-CN"/>
        </w:rPr>
        <w:t>、</w:t>
      </w:r>
      <w:r>
        <w:rPr>
          <w:rFonts w:hint="eastAsia"/>
          <w:sz w:val="24"/>
          <w:szCs w:val="24"/>
          <w:lang w:val="en-US" w:eastAsia="zh-CN"/>
        </w:rPr>
        <w:t>灭菌</w:t>
      </w:r>
      <w:r>
        <w:rPr>
          <w:rFonts w:hint="eastAsia"/>
          <w:sz w:val="24"/>
          <w:szCs w:val="24"/>
        </w:rPr>
        <w:t>器</w:t>
      </w:r>
      <w:r>
        <w:rPr>
          <w:rFonts w:hint="eastAsia"/>
          <w:sz w:val="24"/>
          <w:szCs w:val="24"/>
          <w:lang w:val="en-US" w:eastAsia="zh-CN"/>
        </w:rPr>
        <w:t>用</w:t>
      </w:r>
      <w:r>
        <w:rPr>
          <w:rFonts w:hint="eastAsia"/>
          <w:sz w:val="24"/>
          <w:szCs w:val="24"/>
        </w:rPr>
        <w:t>水</w:t>
      </w:r>
      <w:r>
        <w:rPr>
          <w:rFonts w:hint="eastAsia"/>
          <w:sz w:val="24"/>
          <w:szCs w:val="24"/>
          <w:lang w:val="en-US" w:eastAsia="zh-CN"/>
        </w:rPr>
        <w:t>质量的规范要求的质量指南</w:t>
      </w:r>
      <w:r>
        <w:rPr>
          <w:rFonts w:hint="eastAsia"/>
          <w:sz w:val="24"/>
          <w:szCs w:val="24"/>
        </w:rPr>
        <w:t>。</w:t>
      </w:r>
      <w:r>
        <w:rPr>
          <w:rFonts w:hint="eastAsia"/>
          <w:sz w:val="24"/>
          <w:szCs w:val="24"/>
          <w:lang w:val="en-US" w:eastAsia="zh-CN"/>
        </w:rPr>
        <w:t>一方面是保障设备有效运行，另一方面也是保障医疗器械和其他正在处理的医疗相关产品的最终安全性和功能性。</w:t>
      </w:r>
      <w:r>
        <w:rPr>
          <w:rFonts w:hint="eastAsia"/>
          <w:sz w:val="24"/>
          <w:szCs w:val="24"/>
        </w:rPr>
        <w:t>本</w:t>
      </w:r>
      <w:r>
        <w:rPr>
          <w:rFonts w:hint="eastAsia"/>
          <w:sz w:val="24"/>
          <w:szCs w:val="24"/>
          <w:lang w:val="en-US" w:eastAsia="zh-CN"/>
        </w:rPr>
        <w:t>标准</w:t>
      </w:r>
      <w:r>
        <w:rPr>
          <w:rFonts w:hint="eastAsia"/>
          <w:sz w:val="24"/>
          <w:szCs w:val="24"/>
        </w:rPr>
        <w:t>是对</w:t>
      </w:r>
      <w:r>
        <w:rPr>
          <w:rFonts w:hint="eastAsia"/>
          <w:sz w:val="24"/>
          <w:szCs w:val="24"/>
          <w:lang w:val="en-US" w:eastAsia="zh-CN"/>
        </w:rPr>
        <w:t>ISO/TS 5111</w:t>
      </w:r>
      <w:r>
        <w:rPr>
          <w:rFonts w:hint="eastAsia"/>
          <w:sz w:val="24"/>
          <w:szCs w:val="24"/>
        </w:rPr>
        <w:t>的</w:t>
      </w:r>
      <w:r>
        <w:rPr>
          <w:rFonts w:hint="eastAsia"/>
          <w:sz w:val="24"/>
          <w:szCs w:val="24"/>
          <w:lang w:val="en-US" w:eastAsia="zh-CN"/>
        </w:rPr>
        <w:t>转化，</w:t>
      </w:r>
      <w:r>
        <w:rPr>
          <w:rFonts w:hint="eastAsia"/>
          <w:sz w:val="24"/>
          <w:szCs w:val="24"/>
        </w:rPr>
        <w:t xml:space="preserve"> 本文件不与各个国家的法律法规和其他标准冲突。</w:t>
      </w:r>
    </w:p>
    <w:p w14:paraId="0A0C9026">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sz w:val="24"/>
          <w:szCs w:val="24"/>
          <w:highlight w:val="yellow"/>
          <w:lang w:val="en-US" w:eastAsia="zh-CN"/>
        </w:rPr>
      </w:pPr>
      <w:r>
        <w:rPr>
          <w:rFonts w:hint="eastAsia" w:ascii="宋体" w:hAnsi="宋体" w:eastAsia="宋体" w:cs="宋体"/>
          <w:color w:val="000000"/>
          <w:kern w:val="0"/>
          <w:sz w:val="24"/>
          <w:szCs w:val="24"/>
          <w:lang w:val="en-US" w:eastAsia="zh-CN" w:bidi="ar"/>
        </w:rPr>
        <w:t>标准的归口单位为中国食品药品企业质量安全促进会，负责起草单位是</w:t>
      </w:r>
      <w:bookmarkStart w:id="16" w:name="_GoBack"/>
      <w:r>
        <w:rPr>
          <w:rFonts w:hint="eastAsia" w:ascii="宋体" w:hAnsi="宋体" w:eastAsia="宋体" w:cs="宋体"/>
          <w:color w:val="000000"/>
          <w:kern w:val="0"/>
          <w:sz w:val="24"/>
          <w:szCs w:val="24"/>
          <w:lang w:val="en-US" w:eastAsia="zh-CN" w:bidi="ar"/>
        </w:rPr>
        <w:t>山东新华</w:t>
      </w:r>
      <w:r>
        <w:rPr>
          <w:rFonts w:hint="eastAsia"/>
          <w:sz w:val="24"/>
          <w:szCs w:val="24"/>
        </w:rPr>
        <w:t>医疗器械股份有限公司</w:t>
      </w:r>
      <w:bookmarkEnd w:id="16"/>
      <w:r>
        <w:rPr>
          <w:rFonts w:hint="eastAsia"/>
          <w:sz w:val="24"/>
          <w:szCs w:val="24"/>
        </w:rPr>
        <w:t>、首都医科大学附属北京朝阳医院</w:t>
      </w:r>
      <w:r>
        <w:rPr>
          <w:rFonts w:hint="eastAsia"/>
          <w:sz w:val="24"/>
          <w:szCs w:val="24"/>
          <w:lang w:eastAsia="zh-CN"/>
        </w:rPr>
        <w:t>、</w:t>
      </w:r>
      <w:r>
        <w:rPr>
          <w:rFonts w:hint="eastAsia"/>
          <w:sz w:val="24"/>
          <w:szCs w:val="24"/>
        </w:rPr>
        <w:t>苏州大学附属第一医院、</w:t>
      </w:r>
      <w:r>
        <w:rPr>
          <w:rFonts w:hint="eastAsia"/>
          <w:sz w:val="24"/>
          <w:szCs w:val="24"/>
          <w:highlight w:val="none"/>
          <w:lang w:val="en-US" w:eastAsia="zh-CN"/>
        </w:rPr>
        <w:t>...</w:t>
      </w:r>
      <w:r>
        <w:rPr>
          <w:rFonts w:hint="eastAsia"/>
          <w:sz w:val="24"/>
          <w:szCs w:val="24"/>
          <w:lang w:val="en-US" w:eastAsia="zh-CN"/>
        </w:rPr>
        <w:t>。</w:t>
      </w:r>
    </w:p>
    <w:p w14:paraId="422B248A">
      <w:pPr>
        <w:pageBreakBefore w:val="0"/>
        <w:numPr>
          <w:ilvl w:val="0"/>
          <w:numId w:val="0"/>
        </w:numPr>
        <w:kinsoku/>
        <w:overflowPunct/>
        <w:topLinePunct w:val="0"/>
        <w:bidi w:val="0"/>
        <w:spacing w:line="360" w:lineRule="auto"/>
        <w:ind w:firstLine="420" w:firstLineChars="0"/>
        <w:textAlignment w:val="auto"/>
        <w:rPr>
          <w:rFonts w:hint="eastAsia"/>
          <w:lang w:val="en-US" w:eastAsia="zh-CN"/>
        </w:rPr>
      </w:pPr>
      <w:r>
        <w:rPr>
          <w:rFonts w:hint="eastAsia"/>
          <w:sz w:val="24"/>
          <w:szCs w:val="32"/>
          <w:lang w:val="en-US" w:eastAsia="zh-CN"/>
        </w:rPr>
        <w:t>项目的执行周期为2024年12月~2025年12月。</w:t>
      </w:r>
    </w:p>
    <w:p w14:paraId="3C07D86E">
      <w:pPr>
        <w:pageBreakBefore w:val="0"/>
        <w:numPr>
          <w:ilvl w:val="0"/>
          <w:numId w:val="2"/>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承担单位</w:t>
      </w:r>
    </w:p>
    <w:p w14:paraId="4122A48D">
      <w:pPr>
        <w:pageBreakBefore w:val="0"/>
        <w:widowControl w:val="0"/>
        <w:numPr>
          <w:ilvl w:val="0"/>
          <w:numId w:val="0"/>
        </w:numPr>
        <w:kinsoku/>
        <w:overflowPunct/>
        <w:topLinePunct w:val="0"/>
        <w:bidi w:val="0"/>
        <w:spacing w:line="360" w:lineRule="auto"/>
        <w:ind w:firstLine="420" w:firstLineChars="0"/>
        <w:jc w:val="both"/>
        <w:textAlignment w:val="auto"/>
        <w:rPr>
          <w:rFonts w:hint="default" w:asciiTheme="minorHAnsi" w:hAnsiTheme="minorHAnsi" w:eastAsiaTheme="minorEastAsia" w:cstheme="minorBidi"/>
          <w:kern w:val="2"/>
          <w:sz w:val="24"/>
          <w:szCs w:val="32"/>
          <w:highlight w:val="yellow"/>
          <w:lang w:val="en-US" w:eastAsia="zh-CN" w:bidi="ar-SA"/>
        </w:rPr>
      </w:pPr>
      <w:r>
        <w:rPr>
          <w:rFonts w:hint="eastAsia"/>
          <w:sz w:val="24"/>
          <w:szCs w:val="24"/>
        </w:rPr>
        <w:t>山东新华医疗器械股份有限公司</w:t>
      </w:r>
    </w:p>
    <w:p w14:paraId="611CEE10">
      <w:pPr>
        <w:pageBreakBefore w:val="0"/>
        <w:numPr>
          <w:ilvl w:val="0"/>
          <w:numId w:val="2"/>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主要工作过程</w:t>
      </w:r>
    </w:p>
    <w:p w14:paraId="4E100365">
      <w:pPr>
        <w:pageBreakBefore w:val="0"/>
        <w:numPr>
          <w:ilvl w:val="0"/>
          <w:numId w:val="3"/>
        </w:numPr>
        <w:kinsoku/>
        <w:overflowPunct/>
        <w:topLinePunct w:val="0"/>
        <w:bidi w:val="0"/>
        <w:spacing w:line="360" w:lineRule="auto"/>
        <w:ind w:left="0" w:leftChars="0" w:firstLine="0" w:firstLineChars="0"/>
        <w:jc w:val="both"/>
        <w:textAlignment w:val="auto"/>
      </w:pPr>
      <w:r>
        <w:rPr>
          <w:rFonts w:hint="eastAsia"/>
          <w:sz w:val="24"/>
          <w:szCs w:val="32"/>
          <w:lang w:val="en-US" w:eastAsia="zh-CN"/>
        </w:rPr>
        <w:t>成立《</w:t>
      </w:r>
      <w:r>
        <w:rPr>
          <w:rFonts w:hint="default"/>
          <w:sz w:val="24"/>
          <w:szCs w:val="32"/>
          <w:lang w:eastAsia="zh-CN"/>
        </w:rPr>
        <w:t>医疗产品消毒器、灭菌器和清洗消毒器用水质量指南</w:t>
      </w:r>
      <w:r>
        <w:rPr>
          <w:rFonts w:hint="eastAsia"/>
          <w:sz w:val="24"/>
          <w:szCs w:val="32"/>
          <w:lang w:val="en-US" w:eastAsia="zh-CN"/>
        </w:rPr>
        <w:t>》标准编制小组；</w:t>
      </w:r>
    </w:p>
    <w:p w14:paraId="75EBCD05">
      <w:pPr>
        <w:pageBreakBefore w:val="0"/>
        <w:numPr>
          <w:ilvl w:val="0"/>
          <w:numId w:val="3"/>
        </w:numPr>
        <w:kinsoku/>
        <w:overflowPunct/>
        <w:topLinePunct w:val="0"/>
        <w:bidi w:val="0"/>
        <w:spacing w:line="360" w:lineRule="auto"/>
        <w:ind w:left="0" w:leftChars="0" w:firstLine="0" w:firstLineChars="0"/>
        <w:jc w:val="both"/>
        <w:textAlignment w:val="auto"/>
      </w:pPr>
      <w:r>
        <w:rPr>
          <w:rFonts w:hint="eastAsia"/>
          <w:sz w:val="24"/>
          <w:szCs w:val="32"/>
          <w:lang w:val="en-US" w:eastAsia="zh-CN"/>
        </w:rPr>
        <w:t>2024年12月29日，标准立项评审。通过9位评审专家，收集7条建议，采纳6条；</w:t>
      </w:r>
    </w:p>
    <w:p w14:paraId="66063757">
      <w:pPr>
        <w:pageBreakBefore w:val="0"/>
        <w:numPr>
          <w:ilvl w:val="0"/>
          <w:numId w:val="3"/>
        </w:numPr>
        <w:kinsoku/>
        <w:overflowPunct/>
        <w:topLinePunct w:val="0"/>
        <w:bidi w:val="0"/>
        <w:spacing w:line="36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2025年1月7日，项目组召开项目启动大会：</w:t>
      </w:r>
      <w:r>
        <w:rPr>
          <w:rFonts w:hint="eastAsia" w:ascii="宋体" w:hAnsi="宋体" w:eastAsia="宋体" w:cs="宋体"/>
          <w:color w:val="000000"/>
          <w:kern w:val="0"/>
          <w:sz w:val="24"/>
          <w:szCs w:val="24"/>
          <w:lang w:val="en-US" w:eastAsia="zh-CN" w:bidi="ar"/>
        </w:rPr>
        <w:t>邀请相关专家和主要企业的工作人员参与项目；</w:t>
      </w:r>
    </w:p>
    <w:p w14:paraId="3405B952">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制定计划：制定标准编制工作计划；</w:t>
      </w:r>
    </w:p>
    <w:p w14:paraId="43DB5DEF">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收集资料：收集与该标准可能相关的资料；</w:t>
      </w:r>
    </w:p>
    <w:p w14:paraId="527AC574">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2025年X月X日，项目组召开针对的研讨会：针对标准发布征求意见稿，并征集各方专家、企业的反馈意见；</w:t>
      </w:r>
    </w:p>
    <w:p w14:paraId="76C8ECE8">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汇总各方意见：形成反馈意见汇总表；</w:t>
      </w:r>
    </w:p>
    <w:p w14:paraId="4C4DE181">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根据标准中的任务划分，开始撰写《</w:t>
      </w:r>
      <w:r>
        <w:rPr>
          <w:rFonts w:hint="default"/>
          <w:sz w:val="24"/>
          <w:szCs w:val="32"/>
          <w:lang w:eastAsia="zh-CN"/>
        </w:rPr>
        <w:t>医疗产品消毒器、灭菌器和清洗消毒器用水质量指南</w:t>
      </w:r>
      <w:r>
        <w:rPr>
          <w:rFonts w:hint="eastAsia"/>
          <w:sz w:val="24"/>
          <w:szCs w:val="32"/>
          <w:lang w:val="en-US" w:eastAsia="zh-CN"/>
        </w:rPr>
        <w:t>》；</w:t>
      </w:r>
    </w:p>
    <w:p w14:paraId="1909B23B">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形成</w:t>
      </w:r>
      <w:r>
        <w:rPr>
          <w:rFonts w:hint="eastAsia"/>
          <w:sz w:val="24"/>
          <w:szCs w:val="32"/>
          <w:highlight w:val="none"/>
          <w:lang w:val="en-US" w:eastAsia="zh-CN"/>
        </w:rPr>
        <w:t>《</w:t>
      </w:r>
      <w:r>
        <w:rPr>
          <w:rFonts w:hint="default"/>
          <w:sz w:val="24"/>
          <w:szCs w:val="32"/>
          <w:highlight w:val="none"/>
          <w:lang w:eastAsia="zh-CN"/>
        </w:rPr>
        <w:t>医疗产品消毒器、灭菌器和清洗消毒器用水质量指南</w:t>
      </w:r>
      <w:r>
        <w:rPr>
          <w:rFonts w:hint="eastAsia"/>
          <w:sz w:val="24"/>
          <w:szCs w:val="32"/>
          <w:lang w:val="en-US" w:eastAsia="zh-CN"/>
        </w:rPr>
        <w:t>》（讨论稿）；</w:t>
      </w:r>
    </w:p>
    <w:p w14:paraId="1E86F281">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2025年X月X日，项目组召开针对讨论稿的研讨会，征集各专家对讨论稿的意见；</w:t>
      </w:r>
    </w:p>
    <w:p w14:paraId="76B93AB6">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汇总各方意见：形成反馈意见汇总表；</w:t>
      </w:r>
    </w:p>
    <w:p w14:paraId="2106E593">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2025年X月X日，项目组完成《</w:t>
      </w:r>
      <w:r>
        <w:rPr>
          <w:rFonts w:hint="default"/>
          <w:sz w:val="24"/>
          <w:szCs w:val="32"/>
          <w:lang w:eastAsia="zh-CN"/>
        </w:rPr>
        <w:t>医疗产品消毒器、灭菌器和清洗消毒器用水质量指南</w:t>
      </w:r>
      <w:r>
        <w:rPr>
          <w:rFonts w:hint="eastAsia"/>
          <w:sz w:val="24"/>
          <w:szCs w:val="32"/>
          <w:lang w:val="en-US" w:eastAsia="zh-CN"/>
        </w:rPr>
        <w:t>》（征求意见稿）撰写；</w:t>
      </w:r>
    </w:p>
    <w:p w14:paraId="58C643AB">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2025年X月X日，项目组召开针对征求意见稿的研讨会：介绍针对讨论稿的意见汇总处理情况；</w:t>
      </w:r>
    </w:p>
    <w:p w14:paraId="713F6AF4">
      <w:pPr>
        <w:pageBreakBefore w:val="0"/>
        <w:numPr>
          <w:ilvl w:val="0"/>
          <w:numId w:val="3"/>
        </w:numPr>
        <w:kinsoku/>
        <w:overflowPunct/>
        <w:topLinePunct w:val="0"/>
        <w:bidi w:val="0"/>
        <w:spacing w:line="360" w:lineRule="auto"/>
        <w:ind w:left="0" w:leftChars="0" w:firstLine="0" w:firstLineChars="0"/>
        <w:jc w:val="both"/>
        <w:textAlignment w:val="auto"/>
        <w:rPr>
          <w:rFonts w:hint="default"/>
          <w:sz w:val="24"/>
          <w:szCs w:val="32"/>
          <w:lang w:val="en-US" w:eastAsia="zh-CN"/>
        </w:rPr>
      </w:pPr>
      <w:r>
        <w:rPr>
          <w:rFonts w:hint="eastAsia"/>
          <w:sz w:val="24"/>
          <w:szCs w:val="32"/>
          <w:lang w:val="en-US" w:eastAsia="zh-CN"/>
        </w:rPr>
        <w:t>标准对外公开征求意见。</w:t>
      </w:r>
    </w:p>
    <w:p w14:paraId="35BF4078">
      <w:pPr>
        <w:pageBreakBefore w:val="0"/>
        <w:numPr>
          <w:ilvl w:val="0"/>
          <w:numId w:val="2"/>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主要起草单位</w:t>
      </w:r>
    </w:p>
    <w:p w14:paraId="570C3FCB">
      <w:pPr>
        <w:pStyle w:val="12"/>
        <w:pageBreakBefore w:val="0"/>
        <w:kinsoku/>
        <w:overflowPunct/>
        <w:topLinePunct w:val="0"/>
        <w:bidi w:val="0"/>
        <w:spacing w:line="360" w:lineRule="auto"/>
        <w:ind w:firstLine="420"/>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本文件的主要起草单位：山东新华医疗器械股份有限公司、</w:t>
      </w:r>
      <w:r>
        <w:rPr>
          <w:rFonts w:hint="eastAsia"/>
          <w:sz w:val="24"/>
          <w:szCs w:val="24"/>
        </w:rPr>
        <w:t>首都医科大学附属北京朝阳医院</w:t>
      </w:r>
      <w:r>
        <w:rPr>
          <w:rFonts w:hint="eastAsia"/>
          <w:sz w:val="24"/>
          <w:szCs w:val="24"/>
          <w:lang w:eastAsia="zh-CN"/>
        </w:rPr>
        <w:t>、</w:t>
      </w:r>
      <w:r>
        <w:rPr>
          <w:rFonts w:hint="eastAsia"/>
          <w:sz w:val="24"/>
          <w:szCs w:val="24"/>
        </w:rPr>
        <w:t>苏州大学附属第一医院、</w:t>
      </w:r>
      <w:r>
        <w:rPr>
          <w:rFonts w:hint="eastAsia" w:asciiTheme="minorHAnsi" w:hAnsiTheme="minorHAnsi" w:eastAsiaTheme="minorEastAsia" w:cstheme="minorBidi"/>
          <w:kern w:val="2"/>
          <w:sz w:val="24"/>
          <w:szCs w:val="32"/>
          <w:lang w:val="en-US" w:eastAsia="zh-CN" w:bidi="ar-SA"/>
        </w:rPr>
        <w:t>山东威高宏瑞医学科技有限公司、陆军军医大学第二附属医院（新桥医院）、湖南省人民医院、中关村国际医药检验认证科技有限公、湖北省疾病预防控制中心、山东康辉水处理设备有限公司、广州市顺元医疗器械有限公司、天津市疾病预防控制中心、武警特色医学中心、北京市海淀区疾病预防控制中心。</w:t>
      </w:r>
    </w:p>
    <w:p w14:paraId="17A62991">
      <w:pPr>
        <w:pageBreakBefore w:val="0"/>
        <w:numPr>
          <w:ilvl w:val="0"/>
          <w:numId w:val="2"/>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主要起草人</w:t>
      </w:r>
    </w:p>
    <w:p w14:paraId="6C4AC2B8">
      <w:pPr>
        <w:pageBreakBefore w:val="0"/>
        <w:widowControl w:val="0"/>
        <w:numPr>
          <w:ilvl w:val="0"/>
          <w:numId w:val="0"/>
        </w:numPr>
        <w:kinsoku/>
        <w:overflowPunct/>
        <w:topLinePunct w:val="0"/>
        <w:bidi w:val="0"/>
        <w:spacing w:line="360" w:lineRule="auto"/>
        <w:ind w:firstLine="420" w:firstLineChars="0"/>
        <w:jc w:val="both"/>
        <w:textAlignment w:val="auto"/>
        <w:rPr>
          <w:rFonts w:hint="default" w:cstheme="minorBidi"/>
          <w:kern w:val="2"/>
          <w:sz w:val="24"/>
          <w:szCs w:val="32"/>
          <w:highlight w:val="none"/>
          <w:lang w:val="en-US" w:eastAsia="zh-CN" w:bidi="ar-SA"/>
        </w:rPr>
      </w:pPr>
      <w:r>
        <w:rPr>
          <w:rFonts w:hint="eastAsia" w:cstheme="minorBidi"/>
          <w:kern w:val="2"/>
          <w:sz w:val="24"/>
          <w:szCs w:val="32"/>
          <w:highlight w:val="none"/>
          <w:lang w:val="en-US" w:eastAsia="zh-CN" w:bidi="ar-SA"/>
        </w:rPr>
        <w:t>王宜震、李保华、程平、沈兆兵、曹秋莲、周娟、苏裕心、曾其莉、孙超、黄修华、费春楠、石莹、王磊。</w:t>
      </w:r>
    </w:p>
    <w:p w14:paraId="5A712D9D">
      <w:pPr>
        <w:pageBreakBefore w:val="0"/>
        <w:numPr>
          <w:ilvl w:val="0"/>
          <w:numId w:val="4"/>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标准制定的意义</w:t>
      </w:r>
    </w:p>
    <w:p w14:paraId="7DD90D15">
      <w:pPr>
        <w:pageBreakBefore w:val="0"/>
        <w:widowControl w:val="0"/>
        <w:numPr>
          <w:ilvl w:val="0"/>
          <w:numId w:val="0"/>
        </w:numPr>
        <w:kinsoku/>
        <w:overflowPunct/>
        <w:topLinePunct w:val="0"/>
        <w:bidi w:val="0"/>
        <w:spacing w:line="360" w:lineRule="auto"/>
        <w:ind w:firstLine="420" w:firstLineChars="0"/>
        <w:jc w:val="both"/>
        <w:textAlignment w:val="auto"/>
        <w:rPr>
          <w:rFonts w:hint="eastAsia"/>
          <w:sz w:val="24"/>
          <w:szCs w:val="32"/>
          <w:lang w:val="en-US" w:eastAsia="zh-CN"/>
        </w:rPr>
      </w:pPr>
      <w:r>
        <w:rPr>
          <w:rFonts w:hint="eastAsia"/>
          <w:sz w:val="24"/>
          <w:szCs w:val="32"/>
          <w:lang w:val="en-US" w:eastAsia="zh-CN"/>
        </w:rPr>
        <w:t>清洗消毒器、灭菌器是医疗机构广泛使用的设备，其在使用过程中均有涉及到水的应用。由于水的供应来源、传送或分配方式以及储存方式的不同，水质情况可能不同或产生变化。尽管水可以普遍提供，因为其微生物和化学质量差异很大，其质量不一定满足处理医疗器械需求。因此，水在用于处理医疗器械和其他医疗卫生相关产品的清洗消毒器、灭菌器中使用之前，可能需要进行某种形式的处理。水处理的方式有软化、去离子、过滤、反渗透（RO）、臭氧化、蒸馏和消毒等众多形式。水的质量受到许多变量的影响，例如化学纯度、溶解固体、硬度、微粒、温度和微生物质量。所以需要通过水处理系统，使水质达到适用于产品和每个处理步骤的水质要求。通过各种方法处理，可以产生不同水平的水质，例如软化水、去离子水（DI）等。只有保障水的质量，才不会损坏清洗消毒器、灭菌器，保障产品使用寿命，保障不损坏产品和保障处理工艺的有效性。</w:t>
      </w:r>
    </w:p>
    <w:p w14:paraId="5C5463BC">
      <w:pPr>
        <w:pageBreakBefore w:val="0"/>
        <w:widowControl w:val="0"/>
        <w:numPr>
          <w:ilvl w:val="0"/>
          <w:numId w:val="0"/>
        </w:numPr>
        <w:kinsoku/>
        <w:overflowPunct/>
        <w:topLinePunct w:val="0"/>
        <w:bidi w:val="0"/>
        <w:spacing w:line="360" w:lineRule="auto"/>
        <w:ind w:firstLine="420" w:firstLineChars="0"/>
        <w:jc w:val="both"/>
        <w:textAlignment w:val="auto"/>
        <w:rPr>
          <w:rFonts w:hint="eastAsia"/>
          <w:sz w:val="24"/>
          <w:szCs w:val="32"/>
          <w:lang w:val="en-US" w:eastAsia="zh-CN"/>
        </w:rPr>
      </w:pPr>
      <w:r>
        <w:rPr>
          <w:rFonts w:hint="eastAsia"/>
          <w:sz w:val="24"/>
          <w:szCs w:val="32"/>
          <w:lang w:val="en-US" w:eastAsia="zh-CN"/>
        </w:rPr>
        <w:t>因此，制定提供医疗机构清洗消毒器、灭菌器用水质量的规范要求，对保障设备有效运行，保障医疗器械和其他正在处理的医疗相关产品的最终安全性和功能性，至关重要。</w:t>
      </w:r>
    </w:p>
    <w:p w14:paraId="1E014831">
      <w:pPr>
        <w:pageBreakBefore w:val="0"/>
        <w:numPr>
          <w:ilvl w:val="0"/>
          <w:numId w:val="4"/>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编制原则与主要内容</w:t>
      </w:r>
    </w:p>
    <w:p w14:paraId="415878A5">
      <w:pPr>
        <w:pageBreakBefore w:val="0"/>
        <w:numPr>
          <w:ilvl w:val="0"/>
          <w:numId w:val="5"/>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标准编制原则</w:t>
      </w:r>
    </w:p>
    <w:p w14:paraId="2D0FDA29">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黑体" w:hAnsi="黑体" w:eastAsia="黑体" w:cs="黑体"/>
          <w:sz w:val="24"/>
          <w:szCs w:val="32"/>
          <w:lang w:val="en-US" w:eastAsia="zh-CN"/>
        </w:rPr>
      </w:pPr>
      <w:r>
        <w:rPr>
          <w:rFonts w:hint="eastAsia"/>
          <w:sz w:val="24"/>
          <w:szCs w:val="32"/>
          <w:lang w:val="en-US" w:eastAsia="zh-CN"/>
        </w:rPr>
        <w:t xml:space="preserve">标准的编写格式遵循 </w:t>
      </w:r>
      <w:r>
        <w:rPr>
          <w:rFonts w:hint="default"/>
          <w:sz w:val="24"/>
          <w:szCs w:val="32"/>
          <w:lang w:val="en-US" w:eastAsia="zh-CN"/>
        </w:rPr>
        <w:t>GB/T1.1</w:t>
      </w:r>
      <w:r>
        <w:rPr>
          <w:rFonts w:hint="eastAsia"/>
          <w:sz w:val="24"/>
          <w:szCs w:val="32"/>
          <w:lang w:val="en-US" w:eastAsia="zh-CN"/>
        </w:rPr>
        <w:t>－</w:t>
      </w:r>
      <w:r>
        <w:rPr>
          <w:rFonts w:hint="default"/>
          <w:sz w:val="24"/>
          <w:szCs w:val="32"/>
          <w:lang w:val="en-US" w:eastAsia="zh-CN"/>
        </w:rPr>
        <w:t>20</w:t>
      </w:r>
      <w:r>
        <w:rPr>
          <w:rFonts w:hint="eastAsia"/>
          <w:sz w:val="24"/>
          <w:szCs w:val="32"/>
          <w:lang w:val="en-US" w:eastAsia="zh-CN"/>
        </w:rPr>
        <w:t xml:space="preserve">20《标准化工作导则 第 </w:t>
      </w:r>
      <w:r>
        <w:rPr>
          <w:rFonts w:hint="default"/>
          <w:sz w:val="24"/>
          <w:szCs w:val="32"/>
          <w:lang w:val="en-US" w:eastAsia="zh-CN"/>
        </w:rPr>
        <w:t xml:space="preserve">1 </w:t>
      </w:r>
      <w:r>
        <w:rPr>
          <w:rFonts w:hint="eastAsia"/>
          <w:sz w:val="24"/>
          <w:szCs w:val="32"/>
          <w:lang w:val="en-US" w:eastAsia="zh-CN"/>
        </w:rPr>
        <w:t>部分：标准的结构和编写》的规定。</w:t>
      </w:r>
      <w:r>
        <w:rPr>
          <w:rFonts w:hint="eastAsia" w:ascii="宋体" w:hAnsi="宋体" w:eastAsia="宋体" w:cs="宋体"/>
          <w:color w:val="000000"/>
          <w:kern w:val="0"/>
          <w:sz w:val="24"/>
          <w:szCs w:val="24"/>
          <w:lang w:val="en-US" w:eastAsia="zh-CN" w:bidi="ar"/>
        </w:rPr>
        <w:t xml:space="preserve"> </w:t>
      </w:r>
    </w:p>
    <w:p w14:paraId="538B3E14">
      <w:pPr>
        <w:pageBreakBefore w:val="0"/>
        <w:numPr>
          <w:ilvl w:val="0"/>
          <w:numId w:val="5"/>
        </w:numPr>
        <w:kinsoku/>
        <w:overflowPunct/>
        <w:topLinePunct w:val="0"/>
        <w:bidi w:val="0"/>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本标注主要结构和内容</w:t>
      </w:r>
    </w:p>
    <w:p w14:paraId="28CFDFF6">
      <w:pPr>
        <w:pageBreakBefore w:val="0"/>
        <w:numPr>
          <w:ilvl w:val="0"/>
          <w:numId w:val="0"/>
        </w:numPr>
        <w:kinsoku/>
        <w:overflowPunct/>
        <w:topLinePunct w:val="0"/>
        <w:bidi w:val="0"/>
        <w:spacing w:line="360" w:lineRule="auto"/>
        <w:ind w:leftChars="0" w:firstLine="420" w:firstLineChars="0"/>
        <w:jc w:val="left"/>
        <w:textAlignment w:val="auto"/>
        <w:rPr>
          <w:rFonts w:hint="eastAsia"/>
          <w:sz w:val="24"/>
          <w:szCs w:val="32"/>
          <w:lang w:val="en-US" w:eastAsia="zh-CN"/>
        </w:rPr>
      </w:pPr>
      <w:r>
        <w:rPr>
          <w:rFonts w:hint="eastAsia"/>
          <w:sz w:val="24"/>
          <w:szCs w:val="32"/>
          <w:lang w:val="en-US" w:eastAsia="zh-CN"/>
        </w:rPr>
        <w:t>本标准为新制定的产品标准。</w:t>
      </w:r>
      <w:r>
        <w:rPr>
          <w:rFonts w:hint="eastAsia"/>
          <w:sz w:val="24"/>
          <w:szCs w:val="32"/>
          <w:highlight w:val="none"/>
          <w:lang w:val="en-US" w:eastAsia="zh-CN"/>
        </w:rPr>
        <w:t>本标准内容涉及范围、规范性引用文件、术语和定义、不同应用/工艺的水质要求、与被处理产品直接接触的水、与产品接触蒸汽的用水、不直接接触产品的设备用水、水处理系统、水分配和储存、监测、维护和控制、不合规结果调查、保持水质、水处理系统的清洁和消毒等。</w:t>
      </w:r>
    </w:p>
    <w:p w14:paraId="450FD408">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主要编制情况</w:t>
      </w:r>
    </w:p>
    <w:p w14:paraId="79BA707E">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标准起草的依据和过程 </w:t>
      </w:r>
    </w:p>
    <w:p w14:paraId="5AB91995">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本标准任务在编制过程中主要进行国内外资料的收集整理、专家线上研讨、工作组讨论、召开标准设计规范研讨会、起草标准讨论稿、征求意见、起草标准征求意见稿、征求意见等工作。</w:t>
      </w:r>
    </w:p>
    <w:p w14:paraId="1150D453">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2. 标准内容的建立 </w:t>
      </w:r>
    </w:p>
    <w:p w14:paraId="783CFE26">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2.1 关于前言和范围 </w:t>
      </w:r>
    </w:p>
    <w:p w14:paraId="74F651D3">
      <w:pPr>
        <w:pStyle w:val="12"/>
        <w:pageBreakBefore w:val="0"/>
        <w:kinsoku/>
        <w:overflowPunct/>
        <w:topLinePunct w:val="0"/>
        <w:bidi w:val="0"/>
        <w:spacing w:line="360" w:lineRule="auto"/>
        <w:ind w:firstLine="440"/>
        <w:textAlignment w:val="auto"/>
        <w:rPr>
          <w:rFonts w:hint="eastAsia" w:asciiTheme="minorHAnsi" w:hAnsiTheme="minorHAnsi" w:eastAsiaTheme="minorEastAsia" w:cstheme="minorBidi"/>
          <w:kern w:val="2"/>
          <w:sz w:val="24"/>
          <w:szCs w:val="32"/>
          <w:highlight w:val="none"/>
          <w:lang w:val="en-US" w:eastAsia="zh-CN" w:bidi="ar-SA"/>
        </w:rPr>
      </w:pPr>
      <w:r>
        <w:rPr>
          <w:rFonts w:hint="eastAsia" w:asciiTheme="minorHAnsi" w:hAnsiTheme="minorHAnsi" w:eastAsiaTheme="minorEastAsia" w:cstheme="minorBidi"/>
          <w:kern w:val="2"/>
          <w:sz w:val="24"/>
          <w:szCs w:val="32"/>
          <w:highlight w:val="none"/>
          <w:lang w:val="en-US" w:eastAsia="zh-CN" w:bidi="ar-SA"/>
        </w:rPr>
        <w:t xml:space="preserve">按 </w:t>
      </w:r>
      <w:r>
        <w:rPr>
          <w:rFonts w:hint="default" w:asciiTheme="minorHAnsi" w:hAnsiTheme="minorHAnsi" w:eastAsiaTheme="minorEastAsia" w:cstheme="minorBidi"/>
          <w:kern w:val="2"/>
          <w:sz w:val="24"/>
          <w:szCs w:val="32"/>
          <w:highlight w:val="none"/>
          <w:lang w:val="en-US" w:eastAsia="zh-CN" w:bidi="ar-SA"/>
        </w:rPr>
        <w:t>GB/T 1.1</w:t>
      </w:r>
      <w:r>
        <w:rPr>
          <w:rFonts w:hint="eastAsia" w:asciiTheme="minorHAnsi" w:hAnsiTheme="minorHAnsi" w:eastAsiaTheme="minorEastAsia" w:cstheme="minorBidi"/>
          <w:kern w:val="2"/>
          <w:sz w:val="24"/>
          <w:szCs w:val="32"/>
          <w:highlight w:val="none"/>
          <w:lang w:val="en-US" w:eastAsia="zh-CN" w:bidi="ar-SA"/>
        </w:rPr>
        <w:t>－2020</w:t>
      </w:r>
      <w:r>
        <w:rPr>
          <w:rFonts w:hint="default" w:asciiTheme="minorHAnsi" w:hAnsiTheme="minorHAnsi" w:eastAsiaTheme="minorEastAsia" w:cstheme="minorBidi"/>
          <w:kern w:val="2"/>
          <w:sz w:val="24"/>
          <w:szCs w:val="32"/>
          <w:highlight w:val="none"/>
          <w:lang w:val="en-US" w:eastAsia="zh-CN" w:bidi="ar-SA"/>
        </w:rPr>
        <w:t xml:space="preserve"> </w:t>
      </w:r>
      <w:r>
        <w:rPr>
          <w:rFonts w:hint="eastAsia" w:asciiTheme="minorHAnsi" w:hAnsiTheme="minorHAnsi" w:eastAsiaTheme="minorEastAsia" w:cstheme="minorBidi"/>
          <w:kern w:val="2"/>
          <w:sz w:val="24"/>
          <w:szCs w:val="32"/>
          <w:highlight w:val="none"/>
          <w:lang w:val="en-US" w:eastAsia="zh-CN" w:bidi="ar-SA"/>
        </w:rPr>
        <w:t>的要求，编制范围、规范性引用文件、术语和定义、不同应用/工艺的水质要求、与被处理产品直接接触的水、水产生与产品接触的蒸汽、不与产品直接接触的设备用水、水处理系统、水分配和储存、监测、维护和控制、不合规结果调查、保持水质、水处理系统的清洁和消毒条目，使本标准的范围得到具体化。本文件规定了</w:t>
      </w:r>
      <w:r>
        <w:rPr>
          <w:rFonts w:hint="default" w:asciiTheme="minorHAnsi" w:hAnsiTheme="minorHAnsi" w:eastAsiaTheme="minorEastAsia" w:cstheme="minorBidi"/>
          <w:kern w:val="2"/>
          <w:sz w:val="24"/>
          <w:szCs w:val="32"/>
          <w:highlight w:val="none"/>
          <w:lang w:eastAsia="zh-CN" w:bidi="ar-SA"/>
        </w:rPr>
        <w:t>医疗产品消毒器、灭菌器和清洗消毒器用水质量指南</w:t>
      </w:r>
      <w:r>
        <w:rPr>
          <w:rFonts w:hint="eastAsia" w:asciiTheme="minorHAnsi" w:hAnsiTheme="minorHAnsi" w:eastAsiaTheme="minorEastAsia" w:cstheme="minorBidi"/>
          <w:kern w:val="2"/>
          <w:sz w:val="24"/>
          <w:szCs w:val="32"/>
          <w:highlight w:val="none"/>
          <w:lang w:val="en-US" w:eastAsia="zh-CN" w:bidi="ar-SA"/>
        </w:rPr>
        <w:t>。</w:t>
      </w:r>
    </w:p>
    <w:p w14:paraId="72F65278">
      <w:pPr>
        <w:pStyle w:val="12"/>
        <w:pageBreakBefore w:val="0"/>
        <w:kinsoku/>
        <w:overflowPunct/>
        <w:topLinePunct w:val="0"/>
        <w:bidi w:val="0"/>
        <w:spacing w:line="360" w:lineRule="auto"/>
        <w:ind w:firstLine="440"/>
        <w:textAlignment w:val="auto"/>
        <w:rPr>
          <w:rFonts w:hint="default"/>
          <w:sz w:val="24"/>
          <w:szCs w:val="32"/>
          <w:lang w:val="en-US" w:eastAsia="zh-CN"/>
        </w:rPr>
      </w:pPr>
      <w:r>
        <w:rPr>
          <w:rFonts w:hint="eastAsia" w:asciiTheme="minorHAnsi" w:hAnsiTheme="minorHAnsi" w:eastAsiaTheme="minorEastAsia" w:cstheme="minorBidi"/>
          <w:kern w:val="2"/>
          <w:sz w:val="24"/>
          <w:szCs w:val="32"/>
          <w:highlight w:val="none"/>
          <w:lang w:val="en-US" w:eastAsia="zh-CN" w:bidi="ar-SA"/>
        </w:rPr>
        <w:t>本文件提供了用于终端灭菌的灭菌器和用于处理医疗产品的清洗消毒器的水质要求。本文件涵盖了直接用于清洁、热和化学消毒、冲洗和灭菌的水的质量，包括作为产生蒸汽的给水，作为消毒器或清洗消毒器的服务，或作为冷却剂。</w:t>
      </w:r>
    </w:p>
    <w:p w14:paraId="5941C70E">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2.2 关于规范性引用文件</w:t>
      </w:r>
    </w:p>
    <w:sdt>
      <w:sdtPr>
        <w:rPr>
          <w:rFonts w:hint="eastAsia" w:asciiTheme="minorHAnsi" w:hAnsiTheme="minorHAnsi" w:eastAsiaTheme="minorEastAsia" w:cstheme="minorBidi"/>
          <w:kern w:val="2"/>
          <w:sz w:val="24"/>
          <w:szCs w:val="32"/>
          <w:lang w:val="en-US" w:eastAsia="zh-CN" w:bidi="ar-SA"/>
        </w:rPr>
        <w:id w:val="715848253"/>
        <w:placeholder>
          <w:docPart w:val="{61498e06-2088-49e3-b997-25aaca7e55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heme="minorHAnsi" w:hAnsiTheme="minorHAnsi" w:eastAsiaTheme="minorEastAsia" w:cstheme="minorBidi"/>
          <w:kern w:val="2"/>
          <w:sz w:val="24"/>
          <w:szCs w:val="32"/>
          <w:lang w:val="en-US" w:eastAsia="zh-CN" w:bidi="ar-SA"/>
        </w:rPr>
      </w:sdtEndPr>
      <w:sdtContent>
        <w:p w14:paraId="19946BE1">
          <w:pPr>
            <w:pStyle w:val="12"/>
            <w:pageBreakBefore w:val="0"/>
            <w:kinsoku/>
            <w:overflowPunct/>
            <w:topLinePunct w:val="0"/>
            <w:bidi w:val="0"/>
            <w:spacing w:line="360" w:lineRule="auto"/>
            <w:ind w:firstLine="420"/>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71B6EA">
      <w:pPr>
        <w:pStyle w:val="12"/>
        <w:pageBreakBefore w:val="0"/>
        <w:kinsoku/>
        <w:overflowPunct/>
        <w:topLinePunct w:val="0"/>
        <w:bidi w:val="0"/>
        <w:spacing w:line="360" w:lineRule="auto"/>
        <w:ind w:firstLine="420"/>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GB 5749-2022 生活饮用水卫生标准</w:t>
      </w:r>
    </w:p>
    <w:p w14:paraId="58718449">
      <w:pPr>
        <w:keepNext w:val="0"/>
        <w:keepLines w:val="0"/>
        <w:pageBreakBefore w:val="0"/>
        <w:widowControl/>
        <w:suppressLineNumbers w:val="0"/>
        <w:kinsoku/>
        <w:overflowPunct/>
        <w:topLinePunct w:val="0"/>
        <w:bidi w:val="0"/>
        <w:spacing w:line="360" w:lineRule="auto"/>
        <w:jc w:val="left"/>
        <w:textAlignment w:val="auto"/>
        <w:rPr>
          <w:rFonts w:hint="default"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2.3 关于术语和定义</w:t>
      </w:r>
    </w:p>
    <w:p w14:paraId="0CFD0855">
      <w:pPr>
        <w:pStyle w:val="12"/>
        <w:pageBreakBefore w:val="0"/>
        <w:kinsoku/>
        <w:overflowPunct/>
        <w:topLinePunct w:val="0"/>
        <w:bidi w:val="0"/>
        <w:spacing w:line="360" w:lineRule="auto"/>
        <w:ind w:firstLine="420"/>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术语和定义主要包含</w:t>
      </w:r>
      <w:r>
        <w:rPr>
          <w:rFonts w:hint="eastAsia"/>
          <w:sz w:val="24"/>
          <w:szCs w:val="24"/>
          <w:lang w:val="en-US" w:eastAsia="zh-CN"/>
        </w:rPr>
        <w:t>消毒器、灭菌器和清洗消毒器用水的</w:t>
      </w:r>
      <w:r>
        <w:rPr>
          <w:rFonts w:hint="eastAsia" w:asciiTheme="minorHAnsi" w:hAnsiTheme="minorHAnsi" w:eastAsiaTheme="minorEastAsia" w:cstheme="minorBidi"/>
          <w:kern w:val="2"/>
          <w:sz w:val="24"/>
          <w:szCs w:val="32"/>
          <w:lang w:val="en-US" w:eastAsia="zh-CN" w:bidi="ar-SA"/>
        </w:rPr>
        <w:t>相关的术语。</w:t>
      </w:r>
    </w:p>
    <w:p w14:paraId="059C1FC7">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2.4 </w:t>
      </w:r>
      <w:bookmarkStart w:id="0" w:name="_Toc20280"/>
      <w:r>
        <w:rPr>
          <w:rFonts w:hint="eastAsia" w:ascii="黑体" w:hAnsi="黑体" w:eastAsia="黑体" w:cs="黑体"/>
          <w:color w:val="000000"/>
          <w:kern w:val="0"/>
          <w:sz w:val="24"/>
          <w:szCs w:val="24"/>
          <w:lang w:val="en-US" w:eastAsia="zh-CN" w:bidi="ar"/>
        </w:rPr>
        <w:t>饮用水水质</w:t>
      </w:r>
      <w:bookmarkEnd w:id="0"/>
    </w:p>
    <w:p w14:paraId="71E98829">
      <w:pPr>
        <w:pStyle w:val="12"/>
        <w:pageBreakBefore w:val="0"/>
        <w:kinsoku/>
        <w:overflowPunct/>
        <w:topLinePunct w:val="0"/>
        <w:bidi w:val="0"/>
        <w:spacing w:line="360" w:lineRule="auto"/>
        <w:ind w:firstLine="420"/>
        <w:textAlignment w:val="auto"/>
        <w:rPr>
          <w:rFonts w:hint="eastAsia"/>
          <w:sz w:val="24"/>
          <w:szCs w:val="24"/>
          <w:lang w:val="en-US" w:eastAsia="zh-CN"/>
        </w:rPr>
      </w:pPr>
      <w:r>
        <w:rPr>
          <w:rFonts w:hint="eastAsia"/>
          <w:sz w:val="24"/>
          <w:szCs w:val="24"/>
          <w:lang w:val="en-US" w:eastAsia="zh-CN"/>
        </w:rPr>
        <w:t>章节主要包含饮用水水质应符合GB 5749-2022要求。</w:t>
      </w:r>
    </w:p>
    <w:p w14:paraId="5A4DD428">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2.5 </w:t>
      </w:r>
      <w:bookmarkStart w:id="1" w:name="_Toc16904"/>
      <w:r>
        <w:rPr>
          <w:rFonts w:hint="eastAsia" w:ascii="黑体" w:hAnsi="黑体" w:eastAsia="黑体" w:cs="黑体"/>
          <w:color w:val="000000"/>
          <w:kern w:val="0"/>
          <w:sz w:val="24"/>
          <w:szCs w:val="24"/>
          <w:lang w:val="en-US" w:eastAsia="zh-CN" w:bidi="ar"/>
        </w:rPr>
        <w:t>不同应用/工艺的水质要求</w:t>
      </w:r>
      <w:bookmarkEnd w:id="1"/>
    </w:p>
    <w:p w14:paraId="063F094D">
      <w:pPr>
        <w:pStyle w:val="12"/>
        <w:pageBreakBefore w:val="0"/>
        <w:kinsoku/>
        <w:overflowPunct/>
        <w:topLinePunct w:val="0"/>
        <w:bidi w:val="0"/>
        <w:spacing w:line="360" w:lineRule="auto"/>
        <w:ind w:firstLine="420"/>
        <w:textAlignment w:val="auto"/>
        <w:rPr>
          <w:rFonts w:hint="eastAsia"/>
          <w:sz w:val="24"/>
          <w:szCs w:val="24"/>
          <w:lang w:val="en-US" w:eastAsia="zh-CN"/>
        </w:rPr>
      </w:pPr>
      <w:r>
        <w:rPr>
          <w:rFonts w:hint="eastAsia"/>
          <w:sz w:val="24"/>
          <w:szCs w:val="24"/>
          <w:lang w:val="en-US" w:eastAsia="zh-CN"/>
        </w:rPr>
        <w:t>本章内容：水</w:t>
      </w:r>
      <w:r>
        <w:rPr>
          <w:rFonts w:hint="default"/>
          <w:sz w:val="24"/>
          <w:szCs w:val="24"/>
          <w:lang w:val="en-US" w:eastAsia="zh-CN"/>
        </w:rPr>
        <w:t>质要求需根据风险评估确定，考虑设备规范、水质限制及产品接触程度。WD与消毒器各阶段用水须遵循相关标准或设备说明书，如ISO系列等。水可用于直接接触产品、产生蒸汽或加热/冷却设备，不损坏设备、工艺或产品。供水要求及水质规格应明确，确保水质符合特定需求。</w:t>
      </w:r>
    </w:p>
    <w:p w14:paraId="00E0F2F6">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2.6 </w:t>
      </w:r>
      <w:bookmarkStart w:id="2" w:name="_Toc21838"/>
      <w:bookmarkStart w:id="3" w:name="_TOC_250047"/>
      <w:r>
        <w:rPr>
          <w:rFonts w:hint="eastAsia" w:ascii="黑体" w:hAnsi="黑体" w:eastAsia="黑体" w:cs="黑体"/>
          <w:color w:val="000000"/>
          <w:kern w:val="0"/>
          <w:sz w:val="24"/>
          <w:szCs w:val="24"/>
          <w:lang w:val="en-US" w:eastAsia="zh-CN" w:bidi="ar"/>
        </w:rPr>
        <w:t>与被处理产品直接接触的水</w:t>
      </w:r>
      <w:bookmarkEnd w:id="2"/>
      <w:bookmarkEnd w:id="3"/>
    </w:p>
    <w:p w14:paraId="4541FBA3">
      <w:pPr>
        <w:keepNext w:val="0"/>
        <w:keepLines w:val="0"/>
        <w:pageBreakBefore w:val="0"/>
        <w:widowControl/>
        <w:suppressLineNumbers w:val="0"/>
        <w:kinsoku/>
        <w:overflowPunct/>
        <w:topLinePunct w:val="0"/>
        <w:bidi w:val="0"/>
        <w:spacing w:line="360" w:lineRule="auto"/>
        <w:ind w:firstLine="480" w:firstLineChars="200"/>
        <w:jc w:val="left"/>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本章介绍了与被处理产品直接接触的水在清洗消毒器（WD）中的应用要求，包括水质标准、最终冲洗水质的重要性、以及运行和性能鉴定期间使用的水质对测试结果和符合标准声明的影响。同时，也强调了湿热消毒过程中产品接触水和冷却水的质量要求。</w:t>
      </w:r>
    </w:p>
    <w:p w14:paraId="692727C9">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2.7 与产品接触蒸汽的用水</w:t>
      </w:r>
    </w:p>
    <w:p w14:paraId="4DFB4866">
      <w:pPr>
        <w:keepNext w:val="0"/>
        <w:keepLines w:val="0"/>
        <w:pageBreakBefore w:val="0"/>
        <w:widowControl/>
        <w:suppressLineNumbers w:val="0"/>
        <w:kinsoku/>
        <w:overflowPunct/>
        <w:topLinePunct w:val="0"/>
        <w:bidi w:val="0"/>
        <w:spacing w:line="360" w:lineRule="auto"/>
        <w:ind w:firstLine="480" w:firstLineChars="200"/>
        <w:jc w:val="left"/>
        <w:textAlignment w:val="auto"/>
        <w:rPr>
          <w:rFonts w:hint="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本章介绍了不同类型灭菌过程中水产生与产品接触的蒸汽的质量要求，包括湿热灭菌、环氧乙烷灭菌、低温蒸汽甲醛灭菌和汽化过氧化氢灭菌。强调了给水质量对灭菌效果、设备保护和负载安全的重要性，并提出了相应的水质控制建议和监测要求。确保水质符合规定标准。</w:t>
      </w:r>
    </w:p>
    <w:p w14:paraId="0F03FFF1">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2.8不直接接触产品的设备用水</w:t>
      </w:r>
    </w:p>
    <w:p w14:paraId="49EF9C01">
      <w:pPr>
        <w:keepNext w:val="0"/>
        <w:keepLines w:val="0"/>
        <w:pageBreakBefore w:val="0"/>
        <w:widowControl/>
        <w:suppressLineNumbers w:val="0"/>
        <w:kinsoku/>
        <w:overflowPunct/>
        <w:topLinePunct w:val="0"/>
        <w:bidi w:val="0"/>
        <w:spacing w:line="360" w:lineRule="auto"/>
        <w:ind w:firstLine="480" w:firstLineChars="200"/>
        <w:jc w:val="left"/>
        <w:textAlignment w:val="auto"/>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本章介绍不与产品直接接触的设备用水在清洗消毒器、湿热消毒器、环氧乙烷消毒器、低温蒸汽甲醛消毒器和汽化过氧化氢消毒器中的应用及要求，强调了回流保护装置的安装、饮用水供应、硬度值控制等关键要点，以确保设备用水不会对分配系统造成污染，同时避免结垢和腐蚀问题。</w:t>
      </w:r>
    </w:p>
    <w:p w14:paraId="5D46DF7E">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bookmarkStart w:id="4" w:name="_TOC_250033"/>
      <w:bookmarkStart w:id="5" w:name="_Toc21411"/>
      <w:r>
        <w:rPr>
          <w:rFonts w:hint="eastAsia" w:ascii="黑体" w:hAnsi="黑体" w:eastAsia="黑体" w:cs="黑体"/>
          <w:color w:val="000000"/>
          <w:kern w:val="0"/>
          <w:sz w:val="24"/>
          <w:szCs w:val="24"/>
          <w:lang w:val="en-US" w:eastAsia="zh-CN" w:bidi="ar"/>
        </w:rPr>
        <w:t>2.9水处理系统</w:t>
      </w:r>
      <w:bookmarkEnd w:id="4"/>
      <w:bookmarkEnd w:id="5"/>
    </w:p>
    <w:p w14:paraId="216BCA5B">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zh-CN" w:eastAsia="zh-CN" w:bidi="ar-SA"/>
        </w:rPr>
        <w:t>本章介绍了饮用水处理系统的常用方法、注意事项及具体技术，包括预处理、去离子、软化、反渗透、电去离子、超滤和蒸馏等，旨在确保供应给医疗设备处理步骤的水质符合规定标准，以满足不同消毒器和清洗消毒器的水质需求。</w:t>
      </w:r>
    </w:p>
    <w:p w14:paraId="7EE14756">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bookmarkStart w:id="6" w:name="_Toc15624"/>
      <w:bookmarkStart w:id="7" w:name="_TOC_250022"/>
      <w:r>
        <w:rPr>
          <w:rFonts w:hint="eastAsia" w:ascii="黑体" w:hAnsi="黑体" w:eastAsia="黑体" w:cs="黑体"/>
          <w:color w:val="000000"/>
          <w:kern w:val="0"/>
          <w:sz w:val="24"/>
          <w:szCs w:val="24"/>
          <w:lang w:val="en-US" w:eastAsia="zh-CN" w:bidi="ar"/>
        </w:rPr>
        <w:t>2.10水分配储存</w:t>
      </w:r>
      <w:bookmarkEnd w:id="6"/>
      <w:bookmarkEnd w:id="7"/>
    </w:p>
    <w:p w14:paraId="7F4247F6">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zh-CN" w:eastAsia="zh-CN" w:bidi="ar-SA"/>
        </w:rPr>
        <w:t>本章介绍了水分配和储存系统的设计要求，包括保持水质、满足使用点需求、兼容消毒方法及具体设计要点，如储存容器材质、排气过滤器、分配管道设计、消毒措施、分配泵材料及内联紫外线灯的应用，旨在确保水系统安全有效地服务于医疗设备处理步骤。</w:t>
      </w:r>
    </w:p>
    <w:p w14:paraId="13BCDBEA">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bookmarkStart w:id="8" w:name="_TOC_250015"/>
      <w:bookmarkStart w:id="9" w:name="_Toc23771"/>
      <w:r>
        <w:rPr>
          <w:rFonts w:hint="eastAsia" w:ascii="黑体" w:hAnsi="黑体" w:eastAsia="黑体" w:cs="黑体"/>
          <w:color w:val="000000"/>
          <w:kern w:val="0"/>
          <w:sz w:val="24"/>
          <w:szCs w:val="24"/>
          <w:lang w:val="en-US" w:eastAsia="zh-CN" w:bidi="ar"/>
        </w:rPr>
        <w:t>2.11监测、维护和控制</w:t>
      </w:r>
      <w:bookmarkEnd w:id="8"/>
      <w:bookmarkEnd w:id="9"/>
    </w:p>
    <w:p w14:paraId="47852B41">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zh-CN" w:eastAsia="zh-CN" w:bidi="ar-SA"/>
        </w:rPr>
        <w:t>本章目的介绍水质监测、维护和控制的重要性及具体方法。本章</w:t>
      </w:r>
      <w:r>
        <w:rPr>
          <w:rFonts w:hint="eastAsia" w:asciiTheme="minorHAnsi" w:hAnsiTheme="minorHAnsi" w:eastAsiaTheme="minorEastAsia" w:cstheme="minorBidi"/>
          <w:kern w:val="2"/>
          <w:sz w:val="24"/>
          <w:szCs w:val="32"/>
          <w:lang w:val="en-US" w:eastAsia="zh-CN" w:bidi="ar-SA"/>
        </w:rPr>
        <w:t>主要</w:t>
      </w:r>
      <w:r>
        <w:rPr>
          <w:rFonts w:hint="eastAsia" w:asciiTheme="minorHAnsi" w:hAnsiTheme="minorHAnsi" w:eastAsiaTheme="minorEastAsia" w:cstheme="minorBidi"/>
          <w:kern w:val="2"/>
          <w:sz w:val="24"/>
          <w:szCs w:val="32"/>
          <w:lang w:val="zh-CN" w:eastAsia="zh-CN" w:bidi="ar-SA"/>
        </w:rPr>
        <w:t>阐述了根据水的预期用途进行水质监测的频率、取样技术、灭菌器与WD的水取样和测试要求，以及微生物质量和细菌内毒素的检测标准，确保水系统满足医疗设备处理的水质需求，保障处理效果。</w:t>
      </w:r>
    </w:p>
    <w:p w14:paraId="48840A9B">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bookmarkStart w:id="10" w:name="_TOC_250010"/>
      <w:bookmarkStart w:id="11" w:name="_Toc21709"/>
      <w:r>
        <w:rPr>
          <w:rFonts w:hint="eastAsia" w:ascii="黑体" w:hAnsi="黑体" w:eastAsia="黑体" w:cs="黑体"/>
          <w:color w:val="000000"/>
          <w:kern w:val="0"/>
          <w:sz w:val="24"/>
          <w:szCs w:val="24"/>
          <w:lang w:val="en-US" w:eastAsia="zh-CN" w:bidi="ar"/>
        </w:rPr>
        <w:t>2.12不合规结果调查</w:t>
      </w:r>
      <w:bookmarkEnd w:id="10"/>
      <w:bookmarkEnd w:id="11"/>
    </w:p>
    <w:p w14:paraId="11656759">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zh-CN" w:eastAsia="zh-CN" w:bidi="ar-SA"/>
        </w:rPr>
        <w:t>本章目的介绍不合规水质结果的调查流程。阐述了当水样测试结果超过规定标准时，如何通过解释结果、开展调查以确定根本原因，并采取纠正预防措施来重新建立水系统的控制状态，确保水质达标，减少污染风险，保障水系统安全有效运行。</w:t>
      </w:r>
    </w:p>
    <w:p w14:paraId="79D57614">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bookmarkStart w:id="12" w:name="_Toc1422"/>
      <w:bookmarkStart w:id="13" w:name="_TOC_250007"/>
      <w:r>
        <w:rPr>
          <w:rFonts w:hint="eastAsia" w:ascii="黑体" w:hAnsi="黑体" w:eastAsia="黑体" w:cs="黑体"/>
          <w:color w:val="000000"/>
          <w:kern w:val="0"/>
          <w:sz w:val="24"/>
          <w:szCs w:val="24"/>
          <w:lang w:val="en-US" w:eastAsia="zh-CN" w:bidi="ar"/>
        </w:rPr>
        <w:t>2.13保持水质</w:t>
      </w:r>
      <w:bookmarkEnd w:id="12"/>
      <w:bookmarkEnd w:id="13"/>
    </w:p>
    <w:p w14:paraId="09B12AA2">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zh-CN" w:eastAsia="zh-CN" w:bidi="ar-SA"/>
        </w:rPr>
        <w:t>本章目的介绍如何保持水质，特别是针对灭菌器和清洗消毒器的水质管理。阐述了蒸汽发生器给水处理对蒸汽质量的影响，以及如何通过不添加化学物质的处理工艺保持蒸汽纯度；同时，提出了清洗消毒器水质监测和微生物质量控制的措施，以确保最终冲洗水适合其预期用途，降低污染风险。</w:t>
      </w:r>
    </w:p>
    <w:p w14:paraId="5FB2C14D">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color w:val="000000"/>
          <w:kern w:val="0"/>
          <w:sz w:val="24"/>
          <w:szCs w:val="24"/>
          <w:lang w:val="en-US" w:eastAsia="zh-CN" w:bidi="ar"/>
        </w:rPr>
      </w:pPr>
      <w:bookmarkStart w:id="14" w:name="_TOC_250004"/>
      <w:bookmarkStart w:id="15" w:name="_Toc2061"/>
      <w:r>
        <w:rPr>
          <w:rFonts w:hint="eastAsia" w:ascii="黑体" w:hAnsi="黑体" w:eastAsia="黑体" w:cs="黑体"/>
          <w:color w:val="000000"/>
          <w:kern w:val="0"/>
          <w:sz w:val="24"/>
          <w:szCs w:val="24"/>
          <w:lang w:val="en-US" w:eastAsia="zh-CN" w:bidi="ar"/>
        </w:rPr>
        <w:t>2.14水处理系统的清洁和消毒</w:t>
      </w:r>
      <w:bookmarkEnd w:id="14"/>
      <w:bookmarkEnd w:id="15"/>
    </w:p>
    <w:p w14:paraId="0DE662C1">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本章目的介绍水处理系统的清洁和消毒的重要性及其实施方法。阐述了清洁和消毒的具体工艺需根据系统特性、污染程度和类型等因素确定，强调了系统设计的用户友好性和可维护性，提供了包括冲洗、热消毒和化学消毒在内的多种清洁和消毒方法，以确保水处理系统的卫生安全和高效运行。</w:t>
      </w:r>
    </w:p>
    <w:p w14:paraId="670C4E4A">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四、采用国内外同类标准程度及标准水平分析 </w:t>
      </w:r>
    </w:p>
    <w:p w14:paraId="20EF4474">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sz w:val="24"/>
          <w:szCs w:val="32"/>
          <w:lang w:val="en-US" w:eastAsia="zh-CN"/>
        </w:rPr>
      </w:pPr>
      <w:r>
        <w:rPr>
          <w:rFonts w:hint="eastAsia"/>
          <w:sz w:val="24"/>
          <w:szCs w:val="32"/>
          <w:lang w:val="en-US" w:eastAsia="zh-CN"/>
        </w:rPr>
        <w:t xml:space="preserve">本标准为首次制定。 </w:t>
      </w:r>
    </w:p>
    <w:p w14:paraId="58841C80">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五、与有关的现行法律、法规和强制性国家标准的关系 </w:t>
      </w:r>
    </w:p>
    <w:p w14:paraId="6A4FDAFA">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sz w:val="24"/>
          <w:szCs w:val="32"/>
          <w:lang w:val="en-US" w:eastAsia="zh-CN"/>
        </w:rPr>
      </w:pPr>
      <w:r>
        <w:rPr>
          <w:rFonts w:hint="eastAsia"/>
          <w:sz w:val="24"/>
          <w:szCs w:val="32"/>
          <w:lang w:val="en-US" w:eastAsia="zh-CN"/>
        </w:rPr>
        <w:t xml:space="preserve">本标准与现行相关的法律、法规、规章及相关标准保持一致，没有冲突。 </w:t>
      </w:r>
    </w:p>
    <w:p w14:paraId="60AC11E1">
      <w:pPr>
        <w:keepNext w:val="0"/>
        <w:keepLines w:val="0"/>
        <w:pageBreakBefore w:val="0"/>
        <w:widowControl/>
        <w:numPr>
          <w:ilvl w:val="0"/>
          <w:numId w:val="0"/>
        </w:numPr>
        <w:suppressLineNumbers w:val="0"/>
        <w:kinsoku/>
        <w:overflowPunct/>
        <w:topLinePunct w:val="0"/>
        <w:bidi w:val="0"/>
        <w:spacing w:line="360" w:lineRule="auto"/>
        <w:ind w:leftChars="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六、主要不同意见的处理</w:t>
      </w:r>
    </w:p>
    <w:p w14:paraId="6C52E5B9">
      <w:pPr>
        <w:keepNext w:val="0"/>
        <w:keepLines w:val="0"/>
        <w:pageBreakBefore w:val="0"/>
        <w:widowControl/>
        <w:suppressLineNumbers w:val="0"/>
        <w:kinsoku/>
        <w:overflowPunct/>
        <w:topLinePunct w:val="0"/>
        <w:bidi w:val="0"/>
        <w:spacing w:line="360" w:lineRule="auto"/>
        <w:ind w:firstLine="420" w:firstLineChars="0"/>
        <w:jc w:val="left"/>
        <w:textAlignment w:val="auto"/>
        <w:rPr>
          <w:rFonts w:ascii="宋体" w:hAnsi="宋体" w:eastAsia="宋体" w:cs="宋体"/>
          <w:sz w:val="24"/>
          <w:szCs w:val="24"/>
        </w:rPr>
      </w:pPr>
      <w:r>
        <w:rPr>
          <w:rFonts w:ascii="宋体" w:hAnsi="宋体" w:eastAsia="宋体" w:cs="宋体"/>
          <w:sz w:val="24"/>
          <w:szCs w:val="24"/>
        </w:rPr>
        <w:t>具体征求意见处理结果见意见汇总表。</w:t>
      </w:r>
    </w:p>
    <w:p w14:paraId="5DBAAA31">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七、作为强制性标准或推荐性标准的建议 </w:t>
      </w:r>
    </w:p>
    <w:p w14:paraId="43C71EE0">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sz w:val="24"/>
          <w:szCs w:val="32"/>
          <w:lang w:val="en-US" w:eastAsia="zh-CN"/>
        </w:rPr>
      </w:pPr>
      <w:r>
        <w:rPr>
          <w:rFonts w:hint="eastAsia"/>
          <w:sz w:val="24"/>
          <w:szCs w:val="32"/>
          <w:lang w:val="en-US" w:eastAsia="zh-CN"/>
        </w:rPr>
        <w:t>本标准为</w:t>
      </w:r>
      <w:r>
        <w:rPr>
          <w:rFonts w:hint="default" w:ascii="宋体" w:hAnsi="宋体" w:eastAsia="宋体" w:cs="宋体"/>
          <w:color w:val="000000"/>
          <w:kern w:val="0"/>
          <w:sz w:val="24"/>
          <w:szCs w:val="24"/>
          <w:lang w:eastAsia="zh-CN" w:bidi="ar"/>
        </w:rPr>
        <w:t>医疗产品消毒器、灭菌器和清洗消毒器用水质量指南</w:t>
      </w:r>
      <w:r>
        <w:rPr>
          <w:rFonts w:hint="eastAsia"/>
          <w:sz w:val="24"/>
          <w:szCs w:val="32"/>
          <w:lang w:val="en-US" w:eastAsia="zh-CN"/>
        </w:rPr>
        <w:t xml:space="preserve">的相关标准，建议作为推荐性行业标准。 </w:t>
      </w:r>
    </w:p>
    <w:p w14:paraId="3736D5C0">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八、贯彻标准的要求和措施建议 </w:t>
      </w:r>
    </w:p>
    <w:p w14:paraId="365E350F">
      <w:pPr>
        <w:keepNext w:val="0"/>
        <w:keepLines w:val="0"/>
        <w:pageBreakBefore w:val="0"/>
        <w:widowControl/>
        <w:suppressLineNumbers w:val="0"/>
        <w:kinsoku/>
        <w:overflowPunct/>
        <w:topLinePunct w:val="0"/>
        <w:bidi w:val="0"/>
        <w:spacing w:line="360" w:lineRule="auto"/>
        <w:ind w:firstLine="420" w:firstLineChars="0"/>
        <w:jc w:val="left"/>
        <w:textAlignment w:val="auto"/>
        <w:rPr>
          <w:rFonts w:hint="eastAsia" w:ascii="黑体" w:hAnsi="黑体" w:eastAsia="黑体" w:cs="黑体"/>
        </w:rPr>
      </w:pPr>
      <w:r>
        <w:rPr>
          <w:rFonts w:hint="eastAsia"/>
          <w:sz w:val="24"/>
          <w:szCs w:val="32"/>
          <w:lang w:val="en-US" w:eastAsia="zh-CN"/>
        </w:rPr>
        <w:t>无。</w:t>
      </w:r>
      <w:r>
        <w:rPr>
          <w:rFonts w:hint="eastAsia" w:ascii="黑体" w:hAnsi="黑体" w:eastAsia="黑体" w:cs="黑体"/>
          <w:color w:val="000000"/>
          <w:kern w:val="0"/>
          <w:sz w:val="24"/>
          <w:szCs w:val="24"/>
          <w:lang w:val="en-US" w:eastAsia="zh-CN" w:bidi="ar"/>
        </w:rPr>
        <w:t xml:space="preserve"> </w:t>
      </w:r>
    </w:p>
    <w:p w14:paraId="0D364863">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九、废止现行有关标准的建议 </w:t>
      </w:r>
    </w:p>
    <w:p w14:paraId="7125E63C">
      <w:pPr>
        <w:pageBreakBefore w:val="0"/>
        <w:numPr>
          <w:ilvl w:val="0"/>
          <w:numId w:val="0"/>
        </w:numPr>
        <w:kinsoku/>
        <w:overflowPunct/>
        <w:topLinePunct w:val="0"/>
        <w:bidi w:val="0"/>
        <w:spacing w:line="360" w:lineRule="auto"/>
        <w:ind w:leftChars="0" w:firstLine="420" w:firstLineChars="0"/>
        <w:jc w:val="left"/>
        <w:textAlignment w:val="auto"/>
        <w:rPr>
          <w:rFonts w:hint="eastAsia"/>
          <w:sz w:val="24"/>
          <w:szCs w:val="32"/>
          <w:lang w:val="en-US" w:eastAsia="zh-CN"/>
        </w:rPr>
      </w:pPr>
      <w:r>
        <w:rPr>
          <w:rFonts w:hint="eastAsia"/>
          <w:sz w:val="24"/>
          <w:szCs w:val="32"/>
          <w:lang w:val="en-US" w:eastAsia="zh-CN"/>
        </w:rPr>
        <w:t xml:space="preserve">无。 </w:t>
      </w:r>
    </w:p>
    <w:p w14:paraId="5C821668">
      <w:pPr>
        <w:keepNext w:val="0"/>
        <w:keepLines w:val="0"/>
        <w:pageBreakBefore w:val="0"/>
        <w:widowControl/>
        <w:suppressLineNumbers w:val="0"/>
        <w:kinsoku/>
        <w:overflowPunct/>
        <w:topLinePunct w:val="0"/>
        <w:bidi w:val="0"/>
        <w:spacing w:line="360" w:lineRule="auto"/>
        <w:jc w:val="left"/>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十、其他说明事项 </w:t>
      </w:r>
    </w:p>
    <w:p w14:paraId="3C78002A">
      <w:pPr>
        <w:pageBreakBefore w:val="0"/>
        <w:numPr>
          <w:ilvl w:val="0"/>
          <w:numId w:val="0"/>
        </w:numPr>
        <w:kinsoku/>
        <w:overflowPunct/>
        <w:topLinePunct w:val="0"/>
        <w:bidi w:val="0"/>
        <w:spacing w:line="360" w:lineRule="auto"/>
        <w:ind w:leftChars="0" w:firstLine="420" w:firstLineChars="0"/>
        <w:jc w:val="left"/>
        <w:textAlignment w:val="auto"/>
        <w:rPr>
          <w:rFonts w:hint="eastAsia"/>
          <w:sz w:val="24"/>
          <w:szCs w:val="32"/>
          <w:lang w:val="en-US" w:eastAsia="zh-CN"/>
        </w:rPr>
      </w:pPr>
      <w:r>
        <w:rPr>
          <w:rFonts w:hint="eastAsia"/>
          <w:sz w:val="24"/>
          <w:szCs w:val="32"/>
          <w:lang w:val="en-US" w:eastAsia="zh-CN"/>
        </w:rPr>
        <w:t xml:space="preserve">无。 </w:t>
      </w:r>
    </w:p>
    <w:p w14:paraId="3D37E053">
      <w:pPr>
        <w:pageBreakBefore w:val="0"/>
        <w:widowControl w:val="0"/>
        <w:numPr>
          <w:ilvl w:val="0"/>
          <w:numId w:val="0"/>
        </w:numPr>
        <w:kinsoku/>
        <w:overflowPunct/>
        <w:topLinePunct w:val="0"/>
        <w:bidi w:val="0"/>
        <w:spacing w:line="360" w:lineRule="auto"/>
        <w:jc w:val="both"/>
        <w:textAlignment w:val="auto"/>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066CC"/>
    <w:multiLevelType w:val="singleLevel"/>
    <w:tmpl w:val="310066CC"/>
    <w:lvl w:ilvl="0" w:tentative="0">
      <w:start w:val="1"/>
      <w:numFmt w:val="decimal"/>
      <w:lvlText w:val="(%1)"/>
      <w:lvlJc w:val="left"/>
      <w:pPr>
        <w:ind w:left="425" w:hanging="425"/>
      </w:pPr>
      <w:rPr>
        <w:rFonts w:hint="default" w:asciiTheme="minorEastAsia" w:hAnsiTheme="minorEastAsia" w:eastAsiaTheme="minorEastAsia" w:cstheme="minorEastAsia"/>
        <w:sz w:val="24"/>
        <w:szCs w:val="24"/>
      </w:rPr>
    </w:lvl>
  </w:abstractNum>
  <w:abstractNum w:abstractNumId="1">
    <w:nsid w:val="35AAF598"/>
    <w:multiLevelType w:val="singleLevel"/>
    <w:tmpl w:val="35AAF598"/>
    <w:lvl w:ilvl="0" w:tentative="0">
      <w:start w:val="2"/>
      <w:numFmt w:val="chineseCounting"/>
      <w:suff w:val="nothing"/>
      <w:lvlText w:val="%1、"/>
      <w:lvlJc w:val="left"/>
      <w:rPr>
        <w:rFonts w:hint="eastAsia"/>
      </w:rPr>
    </w:lvl>
  </w:abstractNum>
  <w:abstractNum w:abstractNumId="2">
    <w:nsid w:val="4BA8B9CF"/>
    <w:multiLevelType w:val="singleLevel"/>
    <w:tmpl w:val="4BA8B9CF"/>
    <w:lvl w:ilvl="0" w:tentative="0">
      <w:start w:val="1"/>
      <w:numFmt w:val="decimal"/>
      <w:lvlText w:val="%1."/>
      <w:lvlJc w:val="left"/>
      <w:pPr>
        <w:tabs>
          <w:tab w:val="left" w:pos="312"/>
        </w:tabs>
      </w:pPr>
    </w:lvl>
  </w:abstractNum>
  <w:abstractNum w:abstractNumId="3">
    <w:nsid w:val="607DC247"/>
    <w:multiLevelType w:val="singleLevel"/>
    <w:tmpl w:val="607DC247"/>
    <w:lvl w:ilvl="0" w:tentative="0">
      <w:start w:val="1"/>
      <w:numFmt w:val="decimal"/>
      <w:suff w:val="space"/>
      <w:lvlText w:val="%1."/>
      <w:lvlJc w:val="left"/>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18"/>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D5566A8"/>
    <w:multiLevelType w:val="singleLevel"/>
    <w:tmpl w:val="7D5566A8"/>
    <w:lvl w:ilvl="0" w:tentative="0">
      <w:start w:val="1"/>
      <w:numFmt w:val="decimal"/>
      <w:lvlText w:val="%1."/>
      <w:lvlJc w:val="left"/>
      <w:pPr>
        <w:tabs>
          <w:tab w:val="left" w:pos="312"/>
        </w:tabs>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jE4OWRhNTQ5NmZjYWI3NDE1ZjljMjRjOGIwMmQifQ=="/>
  </w:docVars>
  <w:rsids>
    <w:rsidRoot w:val="00000000"/>
    <w:rsid w:val="02FE293F"/>
    <w:rsid w:val="04861149"/>
    <w:rsid w:val="06414B11"/>
    <w:rsid w:val="0BFB0FDB"/>
    <w:rsid w:val="14D03D51"/>
    <w:rsid w:val="19F8206F"/>
    <w:rsid w:val="1F725038"/>
    <w:rsid w:val="25ED11B9"/>
    <w:rsid w:val="26EB6073"/>
    <w:rsid w:val="2A390C0D"/>
    <w:rsid w:val="2CF14BDB"/>
    <w:rsid w:val="43201C64"/>
    <w:rsid w:val="43A90ACE"/>
    <w:rsid w:val="43AB7A1F"/>
    <w:rsid w:val="449A35DA"/>
    <w:rsid w:val="44B042CE"/>
    <w:rsid w:val="46DA33B6"/>
    <w:rsid w:val="4D581850"/>
    <w:rsid w:val="5A487B6E"/>
    <w:rsid w:val="5D691EB7"/>
    <w:rsid w:val="60BE49B6"/>
    <w:rsid w:val="68936813"/>
    <w:rsid w:val="754D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spacing w:before="50" w:beforeLines="50" w:after="50" w:afterLines="50"/>
      <w:outlineLvl w:val="2"/>
    </w:pPr>
    <w:rPr>
      <w:rFonts w:ascii="Calibri" w:hAnsi="Calibri" w:eastAsia="黑体"/>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15"/>
    <w:qFormat/>
    <w:uiPriority w:val="0"/>
    <w:pPr>
      <w:spacing w:line="360" w:lineRule="auto"/>
      <w:jc w:val="center"/>
    </w:pPr>
    <w:rPr>
      <w:rFonts w:ascii="宋体" w:hAnsi="宋体"/>
      <w:b/>
      <w:spacing w:val="20"/>
      <w:w w:val="80"/>
      <w:sz w:val="7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NormalTok"/>
    <w:basedOn w:val="14"/>
    <w:qFormat/>
    <w:uiPriority w:val="0"/>
    <w:rPr>
      <w:lang w:val="zh-CN" w:eastAsia="zh-CN" w:bidi="zh-CN"/>
    </w:rPr>
  </w:style>
  <w:style w:type="character" w:customStyle="1" w:styleId="14">
    <w:name w:val="Verbatim Char"/>
    <w:basedOn w:val="15"/>
    <w:link w:val="16"/>
    <w:qFormat/>
    <w:uiPriority w:val="0"/>
    <w:rPr>
      <w:rFonts w:ascii="Calibri" w:hAnsi="Calibri"/>
    </w:rPr>
  </w:style>
  <w:style w:type="character" w:customStyle="1" w:styleId="15">
    <w:name w:val="Body Text Char"/>
    <w:basedOn w:val="10"/>
    <w:link w:val="6"/>
    <w:qFormat/>
    <w:uiPriority w:val="0"/>
    <w:rPr>
      <w:rFonts w:ascii="宋体" w:hAnsi="宋体"/>
      <w:b/>
      <w:spacing w:val="20"/>
      <w:w w:val="80"/>
      <w:sz w:val="72"/>
    </w:rPr>
  </w:style>
  <w:style w:type="paragraph" w:customStyle="1" w:styleId="16">
    <w:name w:val="Source Code"/>
    <w:basedOn w:val="1"/>
    <w:link w:val="14"/>
    <w:qFormat/>
    <w:uiPriority w:val="0"/>
    <w:pPr>
      <w:wordWrap w:val="0"/>
    </w:pPr>
    <w:rPr>
      <w:rFonts w:ascii="Calibri" w:hAnsi="Calibri"/>
    </w:rPr>
  </w:style>
  <w:style w:type="paragraph" w:customStyle="1" w:styleId="17">
    <w:name w:val="标准文件_三级无标题"/>
    <w:basedOn w:val="18"/>
    <w:qFormat/>
    <w:uiPriority w:val="0"/>
    <w:pPr>
      <w:spacing w:before="0" w:beforeLines="0" w:after="0" w:afterLines="0"/>
      <w:outlineLvl w:val="9"/>
    </w:pPr>
    <w:rPr>
      <w:rFonts w:ascii="宋体" w:eastAsia="宋体"/>
    </w:rPr>
  </w:style>
  <w:style w:type="paragraph" w:customStyle="1" w:styleId="18">
    <w:name w:val="标准文件_三级条标题"/>
    <w:basedOn w:val="19"/>
    <w:next w:val="12"/>
    <w:qFormat/>
    <w:uiPriority w:val="0"/>
    <w:pPr>
      <w:widowControl/>
      <w:numPr>
        <w:ilvl w:val="4"/>
      </w:numPr>
      <w:outlineLvl w:val="3"/>
    </w:pPr>
  </w:style>
  <w:style w:type="paragraph" w:customStyle="1" w:styleId="19">
    <w:name w:val="标准文件_二级条标题"/>
    <w:next w:val="12"/>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
    <w:name w:val="标准文件_二级无标题"/>
    <w:basedOn w:val="19"/>
    <w:qFormat/>
    <w:uiPriority w:val="0"/>
    <w:pPr>
      <w:spacing w:before="0" w:beforeLines="0" w:after="0" w:afterLines="0"/>
      <w:outlineLvl w:val="9"/>
    </w:pPr>
    <w:rPr>
      <w:rFonts w:ascii="宋体" w:eastAsia="宋体"/>
    </w:rPr>
  </w:style>
  <w:style w:type="paragraph" w:customStyle="1" w:styleId="21">
    <w:name w:val="paragraph"/>
    <w:basedOn w:val="1"/>
    <w:semiHidden/>
    <w:qFormat/>
    <w:uiPriority w:val="0"/>
    <w:pPr>
      <w:widowControl/>
      <w:spacing w:before="100" w:beforeAutospacing="1" w:after="100" w:afterAutospacing="1"/>
    </w:pPr>
    <w:rPr>
      <w:rFonts w:ascii="等线" w:hAnsi="等线" w:eastAsia="等线" w:cs="Times New Roman"/>
      <w:kern w:val="0"/>
    </w:rPr>
  </w:style>
  <w:style w:type="paragraph" w:customStyle="1" w:styleId="22">
    <w:name w:val="标准文件_章标题"/>
    <w:next w:val="1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1498e06-2088-49e3-b997-25aaca7e55c0}"/>
        <w:style w:val=""/>
        <w:category>
          <w:name w:val="常规"/>
          <w:gallery w:val="placeholder"/>
        </w:category>
        <w:types>
          <w:type w:val="bbPlcHdr"/>
        </w:types>
        <w:behaviors>
          <w:behavior w:val="content"/>
        </w:behaviors>
        <w:description w:val=""/>
        <w:guid w:val="{61498e06-2088-49e3-b997-25aaca7e55c0}"/>
      </w:docPartPr>
      <w:docPartBody>
        <w:p w14:paraId="7A3C1479">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007FE8EE19BB4616AD0EF47293054EE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3698</Words>
  <Characters>3813</Characters>
  <Lines>0</Lines>
  <Paragraphs>0</Paragraphs>
  <TotalTime>0</TotalTime>
  <ScaleCrop>false</ScaleCrop>
  <LinksUpToDate>false</LinksUpToDate>
  <CharactersWithSpaces>3849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2022-11-18T00:39:00Z</dcterms:created>
  <dc:creator>Lenovo</dc:creator>
  <cp:lastModifiedBy>孙金鑫</cp:lastModifiedBy>
  <dcterms:modified xsi:type="dcterms:W3CDTF">2025-03-11T08:29:36Z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5572DF0C8EA74236AD8672377401E3E4_13</vt:lpwstr>
  </property>
  <property fmtid="{D5CDD505-2E9C-101B-9397-08002B2CF9AE}" pid="4" name="KSOTemplateDocerSaveRecord">
    <vt:lpwstr>eyJoZGlkIjoiOTEwZWIwOTk5ZDcwZjQ3YTU3Njc3MWQwZTFiMGJiZDIiLCJ1c2VySWQiOiIxMjk1MDU3MDA5In0=</vt:lpwstr>
  </property>
</Properties>
</file>