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D43D">
      <w:pPr>
        <w:pStyle w:val="97"/>
        <w:framePr w:w="0" w:hRule="auto" w:wrap="around" w:x="1590" w:y="2356"/>
        <w:rPr>
          <w:rFonts w:ascii="Times New Roman"/>
          <w:color w:val="000000"/>
          <w:szCs w:val="48"/>
        </w:rPr>
      </w:pPr>
      <w:r>
        <w:rPr>
          <w:rFonts w:ascii="Times New Roman"/>
          <w:color w:val="000000"/>
        </w:rPr>
        <w:t>团体标准</w:t>
      </w:r>
    </w:p>
    <w:p w14:paraId="19BD09F2">
      <w:pPr>
        <w:pStyle w:val="78"/>
        <w:framePr w:wrap="around"/>
        <w:pBdr>
          <w:bottom w:val="single" w:color="auto" w:sz="4" w:space="1"/>
        </w:pBdr>
        <w:wordWrap w:val="0"/>
        <w:rPr>
          <w:rFonts w:hint="default" w:ascii="Times New Roman" w:eastAsia="宋体"/>
          <w:lang w:val="en-US" w:eastAsia="zh-CN"/>
        </w:rPr>
      </w:pPr>
      <w:r>
        <w:rPr>
          <w:rFonts w:ascii="Times New Roman" w:eastAsia="宋体"/>
        </w:rPr>
        <w:t>T/SSEA XXXX—</w:t>
      </w:r>
      <w:r>
        <w:rPr>
          <w:rFonts w:hint="eastAsia" w:ascii="Times New Roman" w:eastAsia="宋体"/>
          <w:lang w:val="en-US" w:eastAsia="zh-CN"/>
        </w:rPr>
        <w:t>2025</w:t>
      </w:r>
    </w:p>
    <w:p w14:paraId="04333DF8">
      <w:pPr>
        <w:pStyle w:val="78"/>
        <w:framePr w:wrap="around"/>
        <w:rPr>
          <w:rFonts w:ascii="Times New Roman" w:eastAsia="宋体"/>
        </w:rPr>
      </w:pPr>
    </w:p>
    <w:p w14:paraId="3CDCF749">
      <w:pPr>
        <w:pStyle w:val="78"/>
        <w:framePr w:wrap="around"/>
        <w:rPr>
          <w:rFonts w:ascii="Times New Roman" w:eastAsia="宋体"/>
        </w:rPr>
      </w:pPr>
    </w:p>
    <w:p w14:paraId="04077B19">
      <w:pPr>
        <w:pStyle w:val="68"/>
        <w:framePr w:wrap="around" w:x="1365" w:y="5859"/>
        <w:rPr>
          <w:rFonts w:ascii="Times New Roman"/>
        </w:rPr>
      </w:pPr>
      <w:bookmarkStart w:id="0" w:name="_Hlk183955743"/>
      <w:bookmarkStart w:id="1" w:name="_Hlk174707920"/>
      <w:r>
        <w:rPr>
          <w:rFonts w:hint="eastAsia" w:ascii="Times New Roman"/>
        </w:rPr>
        <w:t>输电线路钢管塔架用焊接钢管</w:t>
      </w:r>
      <w:bookmarkEnd w:id="0"/>
    </w:p>
    <w:bookmarkEnd w:id="1"/>
    <w:p w14:paraId="55268316">
      <w:pPr>
        <w:pStyle w:val="66"/>
        <w:framePr w:wrap="around" w:x="1365" w:y="5859"/>
        <w:spacing w:before="156" w:after="156"/>
        <w:rPr>
          <w:rFonts w:ascii="Times New Roman"/>
        </w:rPr>
      </w:pPr>
      <w:r>
        <w:rPr>
          <w:rFonts w:ascii="Times New Roman" w:eastAsia="仿宋_GB2312"/>
          <w:sz w:val="32"/>
          <w:szCs w:val="32"/>
        </w:rPr>
        <w:t>Welded steel pipes for transmission line steel tubular towers</w:t>
      </w:r>
    </w:p>
    <w:p w14:paraId="417FCA9E">
      <w:pPr>
        <w:pStyle w:val="109"/>
        <w:framePr w:wrap="around" w:hAnchor="page" w:x="1175" w:y="14086"/>
        <w:rPr>
          <w:rFonts w:eastAsia="宋体"/>
        </w:rPr>
      </w:pPr>
      <w:bookmarkStart w:id="2" w:name="FM"/>
      <w:r>
        <w:rPr>
          <w:rFonts w:hint="eastAsia" w:eastAsia="宋体"/>
          <w:lang w:val="en-US" w:eastAsia="zh-CN"/>
        </w:rPr>
        <w:t>2025</w:t>
      </w:r>
      <w:r>
        <w:rPr>
          <w:rFonts w:eastAsia="宋体"/>
        </w:rPr>
        <w:t>-</w:t>
      </w:r>
      <w:bookmarkEnd w:id="2"/>
      <w:r>
        <w:rPr>
          <w:rFonts w:eastAsia="宋体"/>
        </w:rPr>
        <w:t>XX-XX</w:t>
      </w:r>
      <w:r>
        <w:t>发布</w:t>
      </w:r>
    </w:p>
    <w:p w14:paraId="5E8CF141">
      <w:pPr>
        <w:pStyle w:val="140"/>
        <w:framePr w:wrap="around" w:hAnchor="page" w:x="6661" w:y="14041"/>
      </w:pPr>
      <w:r>
        <w:rPr>
          <w:rFonts w:hint="eastAsia" w:eastAsia="宋体"/>
          <w:lang w:val="en-US" w:eastAsia="zh-CN"/>
        </w:rPr>
        <w:t>2025</w:t>
      </w:r>
      <w:r>
        <w:rPr>
          <w:rFonts w:eastAsia="宋体"/>
        </w:rPr>
        <w:t>-XX-XX</w:t>
      </w:r>
      <w:r>
        <w:t>实施</w:t>
      </w:r>
    </w:p>
    <w:p w14:paraId="60102CFE">
      <w:pPr>
        <w:pStyle w:val="132"/>
        <w:framePr w:wrap="around" w:x="2156" w:y="15196"/>
        <w:rPr>
          <w:rFonts w:ascii="Times New Roman"/>
        </w:rPr>
      </w:pPr>
      <w:r>
        <w:rPr>
          <w:rFonts w:ascii="Times New Roman"/>
          <w:sz w:val="36"/>
          <w:szCs w:val="36"/>
        </w:rPr>
        <w:t>中国特钢企业协会</w:t>
      </w:r>
      <w:r>
        <w:rPr>
          <w:rFonts w:ascii="Times New Roman"/>
        </w:rPr>
        <w:t>发布</w:t>
      </w:r>
    </w:p>
    <w:p w14:paraId="679AF911">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77.1</w:t>
      </w:r>
      <w:r>
        <w:rPr>
          <w:rFonts w:hint="eastAsia" w:ascii="Times New Roman"/>
          <w:kern w:val="2"/>
          <w:sz w:val="22"/>
          <w:szCs w:val="22"/>
        </w:rPr>
        <w:t>40</w:t>
      </w:r>
      <w:r>
        <w:rPr>
          <w:rFonts w:ascii="Times New Roman"/>
          <w:kern w:val="2"/>
          <w:sz w:val="22"/>
          <w:szCs w:val="22"/>
        </w:rPr>
        <w:t>.</w:t>
      </w:r>
      <w:r>
        <w:rPr>
          <w:rFonts w:hint="eastAsia" w:ascii="Times New Roman"/>
          <w:kern w:val="2"/>
          <w:sz w:val="22"/>
          <w:szCs w:val="22"/>
        </w:rPr>
        <w:t>50</w:t>
      </w:r>
    </w:p>
    <w:p w14:paraId="3F51F77D">
      <w:pPr>
        <w:pStyle w:val="22"/>
        <w:spacing w:line="340" w:lineRule="exact"/>
        <w:rPr>
          <w:rFonts w:ascii="Times New Roman"/>
        </w:rPr>
      </w:pPr>
      <w:r>
        <w:rPr>
          <w:rFonts w:ascii="Times New Roman"/>
        </w:rPr>
        <w:t>CCS H 4</w:t>
      </w:r>
      <w:r>
        <w:rPr>
          <w:rFonts w:hint="eastAsia" w:ascii="Times New Roman"/>
        </w:rPr>
        <w:t>6</w:t>
      </w:r>
    </w:p>
    <w:p w14:paraId="469048FB">
      <w:pPr>
        <w:pStyle w:val="22"/>
        <w:spacing w:line="340" w:lineRule="exact"/>
        <w:rPr>
          <w:rFonts w:ascii="Times New Roman"/>
        </w:rPr>
      </w:pPr>
    </w:p>
    <w:p w14:paraId="284CA578">
      <w:pPr>
        <w:jc w:val="center"/>
        <w:rPr>
          <w:spacing w:val="20"/>
          <w:sz w:val="28"/>
          <w:szCs w:val="28"/>
        </w:rPr>
      </w:pPr>
    </w:p>
    <w:p w14:paraId="1F74AFBB">
      <w:pPr>
        <w:jc w:val="center"/>
        <w:rPr>
          <w:spacing w:val="20"/>
          <w:sz w:val="28"/>
          <w:szCs w:val="28"/>
        </w:rPr>
      </w:pPr>
    </w:p>
    <w:p w14:paraId="5A86692E">
      <w:pPr>
        <w:jc w:val="center"/>
        <w:rPr>
          <w:spacing w:val="20"/>
          <w:sz w:val="28"/>
          <w:szCs w:val="28"/>
        </w:rPr>
      </w:pPr>
      <w:r>
        <mc:AlternateContent>
          <mc:Choice Requires="wps">
            <w:drawing>
              <wp:anchor distT="0" distB="0" distL="114300" distR="114300" simplePos="0" relativeHeight="251659264" behindDoc="1" locked="0" layoutInCell="1" allowOverlap="1">
                <wp:simplePos x="0" y="0"/>
                <wp:positionH relativeFrom="column">
                  <wp:posOffset>-142875</wp:posOffset>
                </wp:positionH>
                <wp:positionV relativeFrom="paragraph">
                  <wp:posOffset>5877560</wp:posOffset>
                </wp:positionV>
                <wp:extent cx="5948680" cy="0"/>
                <wp:effectExtent l="0" t="0" r="0" b="0"/>
                <wp:wrapTight wrapText="bothSides">
                  <wp:wrapPolygon>
                    <wp:start x="1" y="1"/>
                    <wp:lineTo x="626" y="1"/>
                    <wp:lineTo x="626" y="1"/>
                    <wp:lineTo x="1" y="1"/>
                    <wp:lineTo x="1" y="1"/>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11.25pt;margin-top:462.8pt;height:0pt;width:468.4pt;mso-wrap-distance-left:9pt;mso-wrap-distance-right:9pt;z-index:-251657216;mso-width-relative:page;mso-height-relative:page;" filled="f" stroked="t" coordsize="21600,21600" wrapcoords="1 1 626 1 626 1 1 1 1 1" o:gfxdata="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hTkdgAAAALAQAADwAAAAAAAAABACAAAAAiAAAA&#10;ZHJzL2Rvd25yZXYueG1sUEsBAhQAFAAAAAgAh07iQDnCkJPOAQAArQMAAA4AAAAAAAAAAQAgAAAA&#10;JwEAAGRycy9lMm9Eb2MueG1sUEsFBgAAAAAGAAYAWQEAAGcFAAAAAA==&#10;">
                <v:fill on="f" focussize="0,0"/>
                <v:stroke color="#000000" joinstyle="round"/>
                <v:imagedata o:title=""/>
                <o:lock v:ext="edit" aspectratio="f"/>
                <w10:wrap type="tight"/>
              </v:line>
            </w:pict>
          </mc:Fallback>
        </mc:AlternateContent>
      </w:r>
    </w:p>
    <w:p w14:paraId="1049FADC">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14:paraId="08A5E655">
      <w:pPr>
        <w:pStyle w:val="81"/>
        <w:rPr>
          <w:rFonts w:ascii="Times New Roman"/>
        </w:rPr>
      </w:pPr>
      <w:bookmarkStart w:id="3" w:name="_Toc520380389"/>
      <w:r>
        <w:rPr>
          <w:rFonts w:ascii="Times New Roman"/>
        </w:rPr>
        <w:t>前言</w:t>
      </w:r>
      <w:bookmarkEnd w:id="3"/>
    </w:p>
    <w:p w14:paraId="5F820F96">
      <w:pPr>
        <w:pStyle w:val="22"/>
        <w:rPr>
          <w:rFonts w:ascii="Times New Roman"/>
        </w:rPr>
      </w:pPr>
      <w:r>
        <w:rPr>
          <w:rFonts w:ascii="Times New Roman"/>
        </w:rPr>
        <w:t>本文件按照GB/T 1.1-2020《标准化工作导则</w:t>
      </w:r>
      <w:r>
        <w:rPr>
          <w:rFonts w:hint="eastAsia" w:ascii="Times New Roman"/>
        </w:rPr>
        <w:t xml:space="preserve"> </w:t>
      </w:r>
      <w:r>
        <w:rPr>
          <w:rFonts w:ascii="Times New Roman"/>
        </w:rPr>
        <w:t xml:space="preserve"> 第1部分：标准化文件的结构和起草规则》的</w:t>
      </w:r>
      <w:r>
        <w:rPr>
          <w:rFonts w:hint="eastAsia" w:ascii="Times New Roman"/>
        </w:rPr>
        <w:t>规定</w:t>
      </w:r>
      <w:r>
        <w:rPr>
          <w:rFonts w:ascii="Times New Roman"/>
        </w:rPr>
        <w:t>起草。</w:t>
      </w:r>
    </w:p>
    <w:p w14:paraId="1B9CDCFD">
      <w:pPr>
        <w:pStyle w:val="22"/>
        <w:rPr>
          <w:rFonts w:ascii="Times New Roman"/>
        </w:rPr>
      </w:pPr>
      <w:r>
        <w:t>请注意本文件的某些内容可能涉及专利。本文件的发布机构不承担识别专利的责任。</w:t>
      </w:r>
    </w:p>
    <w:p w14:paraId="6BD6942C">
      <w:pPr>
        <w:pStyle w:val="22"/>
        <w:rPr>
          <w:rFonts w:ascii="Times New Roman"/>
        </w:rPr>
      </w:pPr>
      <w:r>
        <w:rPr>
          <w:rFonts w:ascii="Times New Roman"/>
        </w:rPr>
        <w:t>本文件由中国特钢企业协会团体标准化工作委员会提出并归口。</w:t>
      </w:r>
    </w:p>
    <w:p w14:paraId="21FF5A04">
      <w:pPr>
        <w:pStyle w:val="22"/>
        <w:rPr>
          <w:rFonts w:ascii="Times New Roman"/>
        </w:rPr>
      </w:pPr>
      <w:r>
        <w:rPr>
          <w:rFonts w:ascii="Times New Roman"/>
        </w:rPr>
        <w:t>本文件起草单位：</w:t>
      </w:r>
    </w:p>
    <w:p w14:paraId="5C2D1302">
      <w:pPr>
        <w:pStyle w:val="22"/>
        <w:rPr>
          <w:rFonts w:ascii="Times New Roman"/>
        </w:rPr>
      </w:pPr>
      <w:r>
        <w:rPr>
          <w:rFonts w:ascii="Times New Roman"/>
        </w:rPr>
        <w:t>本文件主要起草人：</w:t>
      </w:r>
    </w:p>
    <w:p w14:paraId="483F1F79">
      <w:pPr>
        <w:pStyle w:val="22"/>
        <w:rPr>
          <w:rFonts w:ascii="Times New Roman"/>
        </w:rPr>
      </w:pPr>
    </w:p>
    <w:p w14:paraId="38A74671">
      <w:pPr>
        <w:pStyle w:val="22"/>
        <w:rPr>
          <w:rFonts w:ascii="Times New Roman"/>
        </w:rPr>
      </w:pPr>
    </w:p>
    <w:p w14:paraId="04461C98">
      <w:pPr>
        <w:widowControl/>
        <w:jc w:val="left"/>
      </w:pPr>
      <w:r>
        <w:br w:type="page"/>
      </w:r>
    </w:p>
    <w:p w14:paraId="10C3A7E6">
      <w:pPr>
        <w:pStyle w:val="81"/>
      </w:pPr>
    </w:p>
    <w:p w14:paraId="3D0CCA44">
      <w:pPr>
        <w:pStyle w:val="22"/>
      </w:pPr>
    </w:p>
    <w:p w14:paraId="2EB876E2">
      <w:pPr>
        <w:pStyle w:val="22"/>
      </w:pPr>
    </w:p>
    <w:p w14:paraId="75B59051">
      <w:pPr>
        <w:pStyle w:val="22"/>
      </w:pPr>
    </w:p>
    <w:p w14:paraId="516E79EC">
      <w:pPr>
        <w:pStyle w:val="22"/>
      </w:pPr>
    </w:p>
    <w:p w14:paraId="16482E60">
      <w:pPr>
        <w:pStyle w:val="22"/>
      </w:pPr>
    </w:p>
    <w:p w14:paraId="6A27D1F8">
      <w:pPr>
        <w:pStyle w:val="22"/>
      </w:pPr>
    </w:p>
    <w:p w14:paraId="14AF00AC">
      <w:pPr>
        <w:pStyle w:val="22"/>
      </w:pPr>
    </w:p>
    <w:p w14:paraId="18B97757">
      <w:pPr>
        <w:pStyle w:val="22"/>
      </w:pPr>
    </w:p>
    <w:p w14:paraId="1E240891">
      <w:pPr>
        <w:pStyle w:val="22"/>
      </w:pPr>
    </w:p>
    <w:p w14:paraId="676972D9">
      <w:pPr>
        <w:pStyle w:val="22"/>
      </w:pPr>
    </w:p>
    <w:p w14:paraId="5367D64F">
      <w:pPr>
        <w:pStyle w:val="22"/>
      </w:pPr>
    </w:p>
    <w:p w14:paraId="5195689E">
      <w:pPr>
        <w:pStyle w:val="22"/>
      </w:pPr>
    </w:p>
    <w:p w14:paraId="6BDB6005">
      <w:pPr>
        <w:pStyle w:val="22"/>
      </w:pPr>
    </w:p>
    <w:p w14:paraId="59FF8BDD">
      <w:pPr>
        <w:pStyle w:val="22"/>
      </w:pPr>
    </w:p>
    <w:p w14:paraId="3BA5746D">
      <w:pPr>
        <w:pStyle w:val="22"/>
      </w:pPr>
    </w:p>
    <w:p w14:paraId="55705CF4">
      <w:pPr>
        <w:pStyle w:val="22"/>
      </w:pPr>
    </w:p>
    <w:p w14:paraId="52AAD0EF">
      <w:pPr>
        <w:pStyle w:val="22"/>
      </w:pPr>
    </w:p>
    <w:p w14:paraId="7E1E47EC">
      <w:pPr>
        <w:pStyle w:val="22"/>
      </w:pPr>
    </w:p>
    <w:p w14:paraId="6ABA2689">
      <w:pPr>
        <w:pStyle w:val="22"/>
      </w:pPr>
    </w:p>
    <w:p w14:paraId="02655514">
      <w:pPr>
        <w:pStyle w:val="22"/>
      </w:pPr>
    </w:p>
    <w:p w14:paraId="047D84AF">
      <w:pPr>
        <w:pStyle w:val="22"/>
      </w:pPr>
    </w:p>
    <w:p w14:paraId="5E57EBB1">
      <w:pPr>
        <w:pStyle w:val="22"/>
      </w:pPr>
    </w:p>
    <w:p w14:paraId="6DF9C605">
      <w:pPr>
        <w:pStyle w:val="22"/>
      </w:pPr>
    </w:p>
    <w:p w14:paraId="222EB1D8">
      <w:pPr>
        <w:pStyle w:val="22"/>
      </w:pPr>
    </w:p>
    <w:p w14:paraId="7469610A">
      <w:pPr>
        <w:pStyle w:val="22"/>
      </w:pPr>
    </w:p>
    <w:p w14:paraId="09BCB7F8">
      <w:pPr>
        <w:pStyle w:val="22"/>
      </w:pPr>
    </w:p>
    <w:p w14:paraId="27EA57F9">
      <w:pPr>
        <w:pStyle w:val="22"/>
      </w:pPr>
    </w:p>
    <w:p w14:paraId="643DABBE">
      <w:pPr>
        <w:pStyle w:val="22"/>
      </w:pPr>
    </w:p>
    <w:p w14:paraId="2CF29262">
      <w:pPr>
        <w:pStyle w:val="22"/>
      </w:pPr>
    </w:p>
    <w:p w14:paraId="70E684D4">
      <w:pPr>
        <w:rPr>
          <w:rFonts w:ascii="宋体"/>
        </w:rPr>
      </w:pPr>
      <w:r>
        <w:rPr>
          <w:rFonts w:ascii="宋体"/>
        </w:rPr>
        <w:drawing>
          <wp:inline distT="0" distB="0" distL="0" distR="0">
            <wp:extent cx="809625" cy="76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rFonts w:hint="eastAsia" w:ascii="宋体"/>
        </w:rPr>
        <w:t>版权保护文件</w:t>
      </w:r>
    </w:p>
    <w:p w14:paraId="3AAEBD3C">
      <w:pPr>
        <w:ind w:firstLine="420" w:firstLineChars="200"/>
        <w:sectPr>
          <w:headerReference r:id="rId6" w:type="first"/>
          <w:footerReference r:id="rId9" w:type="first"/>
          <w:headerReference r:id="rId4" w:type="default"/>
          <w:footerReference r:id="rId7" w:type="default"/>
          <w:headerReference r:id="rId5" w:type="even"/>
          <w:footerReference r:id="rId8" w:type="even"/>
          <w:pgSz w:w="11906" w:h="16838"/>
          <w:pgMar w:top="567" w:right="1134" w:bottom="1134" w:left="1418" w:header="1418" w:footer="1134" w:gutter="0"/>
          <w:pgNumType w:fmt="upperRoman" w:start="1"/>
          <w:cols w:space="720" w:num="1"/>
          <w:formProt w:val="0"/>
          <w:docGrid w:type="lines" w:linePitch="312" w:charSpace="0"/>
        </w:sectPr>
      </w:pPr>
      <w:r>
        <w:rPr>
          <w:rFonts w:hint="eastAsia" w:ascii="宋体"/>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6C6514FD">
      <w:pPr>
        <w:pStyle w:val="58"/>
        <w:spacing w:after="624" w:afterLines="200"/>
        <w:rPr>
          <w:rFonts w:ascii="Times New Roman"/>
        </w:rPr>
      </w:pPr>
      <w:bookmarkStart w:id="4" w:name="_Hlk183952996"/>
      <w:bookmarkStart w:id="5" w:name="OLE_LINK17"/>
      <w:r>
        <w:rPr>
          <w:rFonts w:hint="eastAsia" w:ascii="Times New Roman"/>
        </w:rPr>
        <w:t>输电线路钢管塔架用焊接钢管</w:t>
      </w:r>
      <w:bookmarkEnd w:id="4"/>
    </w:p>
    <w:bookmarkEnd w:id="5"/>
    <w:p w14:paraId="7CE32D23">
      <w:pPr>
        <w:pStyle w:val="45"/>
        <w:numPr>
          <w:ilvl w:val="0"/>
          <w:numId w:val="3"/>
        </w:numPr>
        <w:spacing w:before="312" w:after="312"/>
        <w:rPr>
          <w:rFonts w:ascii="Times New Roman"/>
        </w:rPr>
      </w:pPr>
      <w:bookmarkStart w:id="6" w:name="_Toc520380391"/>
      <w:r>
        <w:rPr>
          <w:rFonts w:ascii="Times New Roman"/>
        </w:rPr>
        <w:t>范围</w:t>
      </w:r>
      <w:bookmarkEnd w:id="6"/>
    </w:p>
    <w:p w14:paraId="3247820A">
      <w:pPr>
        <w:pStyle w:val="22"/>
        <w:rPr>
          <w:rFonts w:ascii="Times New Roman"/>
        </w:rPr>
      </w:pPr>
      <w:bookmarkStart w:id="7" w:name="_Toc520380392"/>
      <w:bookmarkStart w:id="8" w:name="_Hlk75611764"/>
      <w:r>
        <w:rPr>
          <w:rFonts w:ascii="Times New Roman"/>
        </w:rPr>
        <w:t>本</w:t>
      </w:r>
      <w:r>
        <w:rPr>
          <w:rFonts w:hint="eastAsia" w:ascii="Times New Roman"/>
        </w:rPr>
        <w:t>标准</w:t>
      </w:r>
      <w:r>
        <w:rPr>
          <w:rFonts w:ascii="Times New Roman"/>
        </w:rPr>
        <w:t>规定了</w:t>
      </w:r>
      <w:r>
        <w:rPr>
          <w:rFonts w:hint="eastAsia" w:ascii="Times New Roman"/>
        </w:rPr>
        <w:t>输电线路钢管塔架用焊接钢管</w:t>
      </w:r>
      <w:r>
        <w:rPr>
          <w:rFonts w:ascii="Times New Roman"/>
        </w:rPr>
        <w:t>的订货内容、</w:t>
      </w:r>
      <w:r>
        <w:rPr>
          <w:rFonts w:hint="eastAsia" w:ascii="Times New Roman"/>
        </w:rPr>
        <w:t>制造工艺</w:t>
      </w:r>
      <w:r>
        <w:rPr>
          <w:rFonts w:ascii="Times New Roman"/>
        </w:rPr>
        <w:t>、技术要求、试验方法、检验规则、包装、标志和质量证明书。</w:t>
      </w:r>
    </w:p>
    <w:p w14:paraId="7C5489E1">
      <w:pPr>
        <w:pStyle w:val="22"/>
        <w:rPr>
          <w:rFonts w:ascii="Times New Roman"/>
        </w:rPr>
      </w:pPr>
      <w:r>
        <w:rPr>
          <w:rFonts w:ascii="Times New Roman"/>
        </w:rPr>
        <w:t>本标准适用于</w:t>
      </w:r>
      <w:bookmarkStart w:id="9" w:name="_Hlk174708903"/>
      <w:bookmarkStart w:id="10" w:name="_Hlk183954517"/>
      <w:r>
        <w:rPr>
          <w:rFonts w:hint="eastAsia" w:ascii="Times New Roman"/>
        </w:rPr>
        <w:t>制造输电线路钢管塔架用</w:t>
      </w:r>
      <w:bookmarkEnd w:id="9"/>
      <w:r>
        <w:rPr>
          <w:rFonts w:hint="eastAsia" w:ascii="Times New Roman"/>
        </w:rPr>
        <w:t>外径不大于711mm的直缝电焊钢管</w:t>
      </w:r>
      <w:bookmarkEnd w:id="10"/>
      <w:r>
        <w:rPr>
          <w:rFonts w:hint="eastAsia" w:ascii="Times New Roman"/>
        </w:rPr>
        <w:t>（以下简称钢管）。</w:t>
      </w:r>
    </w:p>
    <w:bookmarkEnd w:id="7"/>
    <w:bookmarkEnd w:id="8"/>
    <w:p w14:paraId="523A6B2F">
      <w:pPr>
        <w:pStyle w:val="45"/>
        <w:numPr>
          <w:ilvl w:val="0"/>
          <w:numId w:val="3"/>
        </w:numPr>
        <w:spacing w:before="312" w:after="312"/>
        <w:rPr>
          <w:rFonts w:ascii="Times New Roman"/>
        </w:rPr>
      </w:pPr>
      <w:bookmarkStart w:id="11" w:name="_Toc520380393"/>
      <w:r>
        <w:rPr>
          <w:rFonts w:ascii="Times New Roman"/>
        </w:rPr>
        <w:t>规范性引用文件</w:t>
      </w:r>
    </w:p>
    <w:p w14:paraId="262EBA06">
      <w:pPr>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11"/>
    <w:p w14:paraId="69A34AC0">
      <w:pPr>
        <w:ind w:firstLine="420" w:firstLineChars="200"/>
      </w:pPr>
      <w:bookmarkStart w:id="12" w:name="_Toc520380394"/>
      <w:r>
        <w:rPr>
          <w:rFonts w:hint="eastAsia"/>
        </w:rPr>
        <w:t>G</w:t>
      </w:r>
      <w:r>
        <w:t xml:space="preserve">B/T </w:t>
      </w:r>
      <w:r>
        <w:rPr>
          <w:rFonts w:hint="eastAsia"/>
        </w:rPr>
        <w:t>222</w:t>
      </w:r>
      <w:r>
        <w:t xml:space="preserve">  钢的成品化学成分允许偏差</w:t>
      </w:r>
    </w:p>
    <w:p w14:paraId="51BF0B9B">
      <w:pPr>
        <w:ind w:firstLine="420" w:firstLineChars="200"/>
      </w:pPr>
      <w:r>
        <w:rPr>
          <w:rFonts w:hint="eastAsia"/>
        </w:rPr>
        <w:t>GB/T 223.3  钢铁及合金化学分析方法  二安替比林甲烷磷钼酸重量法测定磷量</w:t>
      </w:r>
    </w:p>
    <w:p w14:paraId="292D14A6">
      <w:pPr>
        <w:ind w:firstLine="420" w:firstLineChars="200"/>
      </w:pPr>
      <w:r>
        <w:rPr>
          <w:rFonts w:hint="eastAsia"/>
        </w:rPr>
        <w:t>G</w:t>
      </w:r>
      <w:r>
        <w:t xml:space="preserve">B/T 223.5  </w:t>
      </w:r>
      <w:r>
        <w:rPr>
          <w:rFonts w:hint="eastAsia"/>
        </w:rPr>
        <w:t>钢铁</w:t>
      </w:r>
      <w:r>
        <w:t xml:space="preserve">  </w:t>
      </w:r>
      <w:r>
        <w:rPr>
          <w:rFonts w:hint="eastAsia"/>
        </w:rPr>
        <w:t>酸溶硅和全硅含量的测定</w:t>
      </w:r>
      <w:r>
        <w:t xml:space="preserve">  </w:t>
      </w:r>
      <w:r>
        <w:rPr>
          <w:rFonts w:hint="eastAsia"/>
        </w:rPr>
        <w:t>还原型硅钼酸盐分光光度法</w:t>
      </w:r>
    </w:p>
    <w:p w14:paraId="417DE7E4">
      <w:pPr>
        <w:ind w:firstLine="420" w:firstLineChars="200"/>
      </w:pPr>
      <w:r>
        <w:rPr>
          <w:rFonts w:hint="eastAsia"/>
        </w:rPr>
        <w:t>G</w:t>
      </w:r>
      <w:r>
        <w:t xml:space="preserve">B/T 223.9  </w:t>
      </w:r>
      <w:r>
        <w:rPr>
          <w:rFonts w:hint="eastAsia"/>
        </w:rPr>
        <w:t xml:space="preserve">钢铁及合金 </w:t>
      </w:r>
      <w:r>
        <w:t xml:space="preserve"> </w:t>
      </w:r>
      <w:r>
        <w:rPr>
          <w:rFonts w:hint="eastAsia"/>
        </w:rPr>
        <w:t xml:space="preserve">铝含量的测定 </w:t>
      </w:r>
      <w:r>
        <w:t xml:space="preserve"> </w:t>
      </w:r>
      <w:r>
        <w:rPr>
          <w:rFonts w:hint="eastAsia"/>
        </w:rPr>
        <w:t>铬天青S分光光度法</w:t>
      </w:r>
    </w:p>
    <w:p w14:paraId="1635E987">
      <w:pPr>
        <w:ind w:firstLine="420" w:firstLineChars="200"/>
      </w:pPr>
      <w:r>
        <w:rPr>
          <w:rFonts w:hint="eastAsia"/>
        </w:rPr>
        <w:t>GB/T 223.</w:t>
      </w:r>
      <w:r>
        <w:t xml:space="preserve">11  </w:t>
      </w:r>
      <w:r>
        <w:rPr>
          <w:rFonts w:hint="eastAsia"/>
        </w:rPr>
        <w:t xml:space="preserve">钢铁及合金 </w:t>
      </w:r>
      <w:r>
        <w:t xml:space="preserve"> </w:t>
      </w:r>
      <w:r>
        <w:rPr>
          <w:rFonts w:hint="eastAsia"/>
        </w:rPr>
        <w:t>铬含量的测定</w:t>
      </w:r>
      <w:r>
        <w:t xml:space="preserve">  </w:t>
      </w:r>
      <w:r>
        <w:rPr>
          <w:rFonts w:hint="eastAsia"/>
        </w:rPr>
        <w:t>可视滴定或电位滴定法</w:t>
      </w:r>
    </w:p>
    <w:p w14:paraId="2D4C8F66">
      <w:pPr>
        <w:ind w:firstLine="420" w:firstLineChars="200"/>
      </w:pPr>
      <w:r>
        <w:rPr>
          <w:rFonts w:hint="eastAsia"/>
        </w:rPr>
        <w:t>GB/T 223.12  钢铁及合金化学分析方法  碳酸钠分离-二苯碳酰二肼光度法测定铬量</w:t>
      </w:r>
    </w:p>
    <w:p w14:paraId="6D260E19">
      <w:pPr>
        <w:ind w:firstLine="420" w:firstLineChars="200"/>
      </w:pPr>
      <w:r>
        <w:t xml:space="preserve">GB/T 223.14  </w:t>
      </w:r>
      <w:r>
        <w:rPr>
          <w:rFonts w:hint="eastAsia"/>
        </w:rPr>
        <w:t xml:space="preserve">钢铁及合金化学分析方法 </w:t>
      </w:r>
      <w:r>
        <w:t xml:space="preserve"> </w:t>
      </w:r>
      <w:r>
        <w:rPr>
          <w:rFonts w:hint="eastAsia"/>
        </w:rPr>
        <w:t>钽试剂萃取光度法测定钒含量</w:t>
      </w:r>
    </w:p>
    <w:p w14:paraId="67F7D150">
      <w:pPr>
        <w:ind w:firstLine="420" w:firstLineChars="200"/>
      </w:pPr>
      <w:r>
        <w:t>GB/T 223.1</w:t>
      </w:r>
      <w:r>
        <w:rPr>
          <w:rFonts w:hint="eastAsia"/>
        </w:rPr>
        <w:t>6  钢铁及合金化学分析方法  变色酸光度法测定钛量</w:t>
      </w:r>
    </w:p>
    <w:p w14:paraId="2925CA32">
      <w:pPr>
        <w:ind w:firstLine="420" w:firstLineChars="200"/>
      </w:pPr>
      <w:r>
        <w:t>G</w:t>
      </w:r>
      <w:r>
        <w:rPr>
          <w:rFonts w:hint="eastAsia"/>
        </w:rPr>
        <w:t>B/T 223.18  钢铁及合金化学分析方法　硫代硫酸钠分离-碘量法测定铜量</w:t>
      </w:r>
    </w:p>
    <w:p w14:paraId="29CABBBA">
      <w:pPr>
        <w:ind w:firstLine="420" w:firstLineChars="200"/>
      </w:pPr>
      <w:r>
        <w:rPr>
          <w:rFonts w:hint="eastAsia"/>
        </w:rPr>
        <w:t>GB/T 223.1</w:t>
      </w:r>
      <w:r>
        <w:t xml:space="preserve">9  </w:t>
      </w:r>
      <w:r>
        <w:rPr>
          <w:rFonts w:hint="eastAsia"/>
        </w:rPr>
        <w:t>钢铁及合金化学分析方法</w:t>
      </w:r>
      <w:r>
        <w:t xml:space="preserve">  </w:t>
      </w:r>
      <w:r>
        <w:rPr>
          <w:rFonts w:hint="eastAsia"/>
        </w:rPr>
        <w:t>新亚铜灵-三氯甲烷萃取光度法测定铜量</w:t>
      </w:r>
    </w:p>
    <w:p w14:paraId="6190A70F">
      <w:pPr>
        <w:ind w:firstLine="420" w:firstLineChars="200"/>
      </w:pPr>
      <w:r>
        <w:rPr>
          <w:rFonts w:hint="eastAsia"/>
        </w:rPr>
        <w:t>GB/T 223.</w:t>
      </w:r>
      <w:r>
        <w:t xml:space="preserve">23  </w:t>
      </w:r>
      <w:r>
        <w:rPr>
          <w:rFonts w:hint="eastAsia"/>
        </w:rPr>
        <w:t xml:space="preserve">钢铁及合金 </w:t>
      </w:r>
      <w:r>
        <w:t xml:space="preserve"> </w:t>
      </w:r>
      <w:r>
        <w:rPr>
          <w:rFonts w:hint="eastAsia"/>
        </w:rPr>
        <w:t xml:space="preserve">镍含量的测定 </w:t>
      </w:r>
      <w:r>
        <w:t xml:space="preserve"> </w:t>
      </w:r>
      <w:r>
        <w:rPr>
          <w:rFonts w:hint="eastAsia"/>
        </w:rPr>
        <w:t>丁二酮肟分光光度法</w:t>
      </w:r>
    </w:p>
    <w:p w14:paraId="0565D826">
      <w:pPr>
        <w:ind w:firstLine="420" w:firstLineChars="200"/>
      </w:pPr>
      <w:r>
        <w:rPr>
          <w:rFonts w:hint="eastAsia"/>
        </w:rPr>
        <w:t>GB/T 223.32  钢铁及合金化学分析方法  次磷酸钠还原-碘量法测定砷量</w:t>
      </w:r>
    </w:p>
    <w:p w14:paraId="2F21DA49">
      <w:pPr>
        <w:ind w:firstLine="420" w:firstLineChars="200"/>
      </w:pPr>
      <w:r>
        <w:rPr>
          <w:rFonts w:hint="eastAsia"/>
        </w:rPr>
        <w:t>GB/T 223.37  钢铁及合金　氮含量的测定　蒸馏分离靛酚蓝分光光度法</w:t>
      </w:r>
    </w:p>
    <w:p w14:paraId="40BFEA00">
      <w:pPr>
        <w:ind w:firstLine="420" w:firstLineChars="200"/>
      </w:pPr>
      <w:r>
        <w:rPr>
          <w:rFonts w:hint="eastAsia"/>
        </w:rPr>
        <w:t>GB/T 223.</w:t>
      </w:r>
      <w:r>
        <w:t xml:space="preserve">40  </w:t>
      </w:r>
      <w:r>
        <w:rPr>
          <w:rFonts w:hint="eastAsia"/>
        </w:rPr>
        <w:t>钢铁及合金</w:t>
      </w:r>
      <w:r>
        <w:t xml:space="preserve">  </w:t>
      </w:r>
      <w:r>
        <w:rPr>
          <w:rFonts w:hint="eastAsia"/>
        </w:rPr>
        <w:t>铌含量的测定</w:t>
      </w:r>
      <w:r>
        <w:t xml:space="preserve">  </w:t>
      </w:r>
      <w:r>
        <w:rPr>
          <w:rFonts w:hint="eastAsia"/>
        </w:rPr>
        <w:t>氯磺酚S分光光度法</w:t>
      </w:r>
    </w:p>
    <w:p w14:paraId="1D80E6C8">
      <w:pPr>
        <w:ind w:firstLine="420" w:firstLineChars="200"/>
      </w:pPr>
      <w:r>
        <w:rPr>
          <w:rFonts w:hint="eastAsia"/>
        </w:rPr>
        <w:t>GB/T 223.53  钢铁及合金化学分析方法  火焰原子吸收光谱法测定铜量</w:t>
      </w:r>
    </w:p>
    <w:p w14:paraId="752245E5">
      <w:pPr>
        <w:ind w:firstLine="420" w:firstLineChars="200"/>
      </w:pPr>
      <w:r>
        <w:rPr>
          <w:rFonts w:hint="eastAsia"/>
        </w:rPr>
        <w:t>GB/T 223.54  钢铁及合金  镍含量的测定  火焰原子吸收光谱法</w:t>
      </w:r>
    </w:p>
    <w:p w14:paraId="3EE047B8">
      <w:pPr>
        <w:ind w:firstLine="420" w:firstLineChars="200"/>
      </w:pPr>
      <w:r>
        <w:rPr>
          <w:rFonts w:hint="eastAsia"/>
        </w:rPr>
        <w:t>GB/T 223.</w:t>
      </w:r>
      <w:r>
        <w:t xml:space="preserve">58  </w:t>
      </w:r>
      <w:r>
        <w:rPr>
          <w:rFonts w:hint="eastAsia"/>
        </w:rPr>
        <w:t>钢铁及合金化学分析方法  亚砷酸钠-亚硝酸钠滴定法测定锰量</w:t>
      </w:r>
    </w:p>
    <w:p w14:paraId="3D2C3C7B">
      <w:pPr>
        <w:ind w:firstLine="420" w:firstLineChars="200"/>
      </w:pPr>
      <w:r>
        <w:rPr>
          <w:rFonts w:hint="eastAsia"/>
        </w:rPr>
        <w:t>GB/T 223.</w:t>
      </w:r>
      <w:r>
        <w:t>5</w:t>
      </w:r>
      <w:r>
        <w:rPr>
          <w:rFonts w:hint="eastAsia"/>
        </w:rPr>
        <w:t>9  钢铁及合金  磷含量的测定　铋磷钼蓝分光光度法和锑磷钼蓝分光光度法</w:t>
      </w:r>
    </w:p>
    <w:p w14:paraId="6518FDF8">
      <w:pPr>
        <w:ind w:firstLine="420" w:firstLineChars="200"/>
      </w:pPr>
      <w:r>
        <w:rPr>
          <w:rFonts w:hint="eastAsia"/>
        </w:rPr>
        <w:t>GB/T 223.60  钢铁及合金  硅含量的测定  重量法</w:t>
      </w:r>
    </w:p>
    <w:p w14:paraId="0AD3F148">
      <w:pPr>
        <w:ind w:firstLine="420" w:firstLineChars="200"/>
      </w:pPr>
      <w:r>
        <w:rPr>
          <w:rFonts w:hint="eastAsia"/>
        </w:rPr>
        <w:t>GB/T 223.61  钢铁及合金化学分析方法  磷钼酸铵容量法测定磷量</w:t>
      </w:r>
    </w:p>
    <w:p w14:paraId="7FDC16FE">
      <w:pPr>
        <w:ind w:firstLine="420" w:firstLineChars="200"/>
      </w:pPr>
      <w:r>
        <w:rPr>
          <w:rFonts w:hint="eastAsia"/>
        </w:rPr>
        <w:t>GB/T 223.6</w:t>
      </w:r>
      <w:r>
        <w:t xml:space="preserve">2  </w:t>
      </w:r>
      <w:r>
        <w:rPr>
          <w:rFonts w:hint="eastAsia"/>
        </w:rPr>
        <w:t>钢铁及合金化学分析方法　乙酸丁酯萃取光度法测定磷量</w:t>
      </w:r>
    </w:p>
    <w:p w14:paraId="396B052F">
      <w:pPr>
        <w:ind w:firstLine="420" w:firstLineChars="200"/>
      </w:pPr>
      <w:r>
        <w:rPr>
          <w:rFonts w:hint="eastAsia"/>
        </w:rPr>
        <w:t>GB/T 223.63  钢铁及合金  锰含量的测定  高碘酸钠（钾）分光光度法</w:t>
      </w:r>
    </w:p>
    <w:p w14:paraId="59B2C01A">
      <w:pPr>
        <w:ind w:firstLine="420" w:firstLineChars="200"/>
      </w:pPr>
      <w:r>
        <w:rPr>
          <w:rFonts w:hint="eastAsia"/>
        </w:rPr>
        <w:t>GB/T 223.64  钢铁及合金  锰含量的测定  火焰原子吸收光谱法</w:t>
      </w:r>
    </w:p>
    <w:p w14:paraId="39809218">
      <w:pPr>
        <w:ind w:firstLine="420" w:firstLineChars="200"/>
      </w:pPr>
      <w:r>
        <w:rPr>
          <w:rFonts w:hint="eastAsia"/>
        </w:rPr>
        <w:t>GB/T 223.67  钢铁及合金　硫含量的测定　次甲基蓝分光光度法</w:t>
      </w:r>
    </w:p>
    <w:p w14:paraId="147164BC">
      <w:pPr>
        <w:ind w:firstLine="420" w:firstLineChars="200"/>
      </w:pPr>
      <w:r>
        <w:t>G</w:t>
      </w:r>
      <w:r>
        <w:rPr>
          <w:rFonts w:hint="eastAsia"/>
        </w:rPr>
        <w:t>B/T 224.68  钢铁及合金化学分析方法　管式炉内燃烧后碘酸钾滴定法测定硫含量</w:t>
      </w:r>
    </w:p>
    <w:p w14:paraId="5D3234BF">
      <w:pPr>
        <w:ind w:firstLine="420" w:firstLineChars="200"/>
      </w:pPr>
      <w:r>
        <w:rPr>
          <w:rFonts w:hint="eastAsia"/>
        </w:rPr>
        <w:t>GB/T 223.69</w:t>
      </w:r>
      <w:r>
        <w:t xml:space="preserve">  </w:t>
      </w:r>
      <w:r>
        <w:rPr>
          <w:rFonts w:hint="eastAsia"/>
        </w:rPr>
        <w:t xml:space="preserve">钢铁及合金 </w:t>
      </w:r>
      <w:r>
        <w:t xml:space="preserve"> </w:t>
      </w:r>
      <w:r>
        <w:rPr>
          <w:rFonts w:hint="eastAsia"/>
        </w:rPr>
        <w:t xml:space="preserve">碳含量的测定 </w:t>
      </w:r>
      <w:r>
        <w:t xml:space="preserve"> </w:t>
      </w:r>
      <w:r>
        <w:rPr>
          <w:rFonts w:hint="eastAsia"/>
        </w:rPr>
        <w:t>管式炉内燃烧后气体容量法</w:t>
      </w:r>
    </w:p>
    <w:p w14:paraId="6A1E62EB">
      <w:pPr>
        <w:ind w:firstLine="420" w:firstLineChars="200"/>
      </w:pPr>
      <w:r>
        <w:rPr>
          <w:rFonts w:hint="eastAsia"/>
        </w:rPr>
        <w:t>GB/T 223.</w:t>
      </w:r>
      <w:r>
        <w:t>7</w:t>
      </w:r>
      <w:r>
        <w:rPr>
          <w:rFonts w:hint="eastAsia"/>
        </w:rPr>
        <w:t>1</w:t>
      </w:r>
      <w:r>
        <w:t xml:space="preserve">  </w:t>
      </w:r>
      <w:r>
        <w:rPr>
          <w:rFonts w:hint="eastAsia"/>
        </w:rPr>
        <w:t>钢铁及合金化学分析方法  管式炉内燃烧后重量法测定碳含量</w:t>
      </w:r>
    </w:p>
    <w:p w14:paraId="2AC5C1EA">
      <w:pPr>
        <w:ind w:firstLine="420" w:firstLineChars="200"/>
      </w:pPr>
      <w:r>
        <w:rPr>
          <w:rFonts w:hint="eastAsia"/>
        </w:rPr>
        <w:t>GB/T 223.</w:t>
      </w:r>
      <w:r>
        <w:t>7</w:t>
      </w:r>
      <w:r>
        <w:rPr>
          <w:rFonts w:hint="eastAsia"/>
        </w:rPr>
        <w:t>2  钢铁及合金  硫含量的测定  重量法</w:t>
      </w:r>
    </w:p>
    <w:p w14:paraId="7FAD011A">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GB/T 223.</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钢铁及合金化学分析方法  非化合碳含量的测定</w:t>
      </w:r>
    </w:p>
    <w:p w14:paraId="3B5C065C">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GB/T 228.1  </w:t>
      </w:r>
      <w:r>
        <w:rPr>
          <w:rFonts w:hint="eastAsia"/>
          <w:color w:val="000000" w:themeColor="text1"/>
          <w14:textFill>
            <w14:solidFill>
              <w14:schemeClr w14:val="tx1"/>
            </w14:solidFill>
          </w14:textFill>
        </w:rPr>
        <w:t xml:space="preserve">金属材料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拉伸试验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第1部分：室温试验方法</w:t>
      </w:r>
    </w:p>
    <w:p w14:paraId="600A8CB6">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GB/T 229  金属材料  夏比摆锤冲击试验方法</w:t>
      </w:r>
    </w:p>
    <w:p w14:paraId="395AF37F">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w:t>
      </w:r>
      <w:r>
        <w:rPr>
          <w:rFonts w:hint="eastAsia"/>
          <w:color w:val="000000" w:themeColor="text1"/>
          <w14:textFill>
            <w14:solidFill>
              <w14:schemeClr w14:val="tx1"/>
            </w14:solidFill>
          </w14:textFill>
        </w:rPr>
        <w:t>B/T 241  金属管  液压试验方法</w:t>
      </w:r>
    </w:p>
    <w:p w14:paraId="6681B720">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GB/T 242  金属管  扩口试验方法</w:t>
      </w:r>
    </w:p>
    <w:p w14:paraId="61D402D9">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244</w:t>
      </w:r>
      <w:r>
        <w:rPr>
          <w:rFonts w:hint="eastAsia"/>
          <w:color w:val="000000" w:themeColor="text1"/>
          <w14:textFill>
            <w14:solidFill>
              <w14:schemeClr w14:val="tx1"/>
            </w14:solidFill>
          </w14:textFill>
        </w:rPr>
        <w:t xml:space="preserve">  金属材料  管  弯曲试验方法</w:t>
      </w:r>
    </w:p>
    <w:p w14:paraId="031841BE">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GB/T 246  金属材料  管  压扁试验方法</w:t>
      </w:r>
    </w:p>
    <w:p w14:paraId="69A58B14">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GB/T 699-2015  优质碳素结构钢</w:t>
      </w:r>
    </w:p>
    <w:p w14:paraId="47E68DD7">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w:t>
      </w:r>
      <w:r>
        <w:rPr>
          <w:rFonts w:hint="eastAsia"/>
          <w:color w:val="000000" w:themeColor="text1"/>
          <w14:textFill>
            <w14:solidFill>
              <w14:schemeClr w14:val="tx1"/>
            </w14:solidFill>
          </w14:textFill>
        </w:rPr>
        <w:t>B/T 700-2006  碳素结构钢</w:t>
      </w:r>
    </w:p>
    <w:p w14:paraId="16456D02">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GB/T 1591-2018  低合金高强度结构钢</w:t>
      </w:r>
    </w:p>
    <w:p w14:paraId="4A26EFBB">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GB/T </w:t>
      </w:r>
      <w:r>
        <w:rPr>
          <w:rFonts w:hint="eastAsia"/>
          <w:color w:val="000000" w:themeColor="text1"/>
          <w14:textFill>
            <w14:solidFill>
              <w14:schemeClr w14:val="tx1"/>
            </w14:solidFill>
          </w14:textFill>
        </w:rPr>
        <w:t>2102  钢管的验收、包装、标志及质量证明书</w:t>
      </w:r>
    </w:p>
    <w:p w14:paraId="7312110B">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GB/T 2650  焊接接头冲击试验方法</w:t>
      </w:r>
    </w:p>
    <w:p w14:paraId="4D8D05AE">
      <w:pPr>
        <w:ind w:firstLine="420" w:firstLineChars="200"/>
      </w:pPr>
      <w:r>
        <w:rPr>
          <w:rFonts w:hint="eastAsia"/>
        </w:rPr>
        <w:t>GB/T 2651  焊接接头拉伸试验方法</w:t>
      </w:r>
    </w:p>
    <w:p w14:paraId="514D712C">
      <w:pPr>
        <w:ind w:firstLine="420" w:firstLineChars="200"/>
      </w:pPr>
      <w:r>
        <w:t xml:space="preserve">GB/T 2975  </w:t>
      </w:r>
      <w:r>
        <w:rPr>
          <w:rFonts w:hint="eastAsia"/>
        </w:rPr>
        <w:t xml:space="preserve">钢及钢产品 </w:t>
      </w:r>
      <w:r>
        <w:t xml:space="preserve"> </w:t>
      </w:r>
      <w:r>
        <w:rPr>
          <w:rFonts w:hint="eastAsia"/>
        </w:rPr>
        <w:t>力学性能试验取样位置及试样的制备</w:t>
      </w:r>
    </w:p>
    <w:p w14:paraId="22FB7C6E">
      <w:pPr>
        <w:ind w:firstLine="420" w:firstLineChars="200"/>
      </w:pPr>
      <w:r>
        <w:rPr>
          <w:rFonts w:hint="eastAsia"/>
        </w:rPr>
        <w:t>GB/T 4336</w:t>
      </w:r>
      <w:r>
        <w:t xml:space="preserve">  </w:t>
      </w:r>
      <w:r>
        <w:rPr>
          <w:rFonts w:hint="eastAsia"/>
        </w:rPr>
        <w:t xml:space="preserve">碳素钢和中低合金钢 </w:t>
      </w:r>
      <w:r>
        <w:t xml:space="preserve"> </w:t>
      </w:r>
      <w:r>
        <w:rPr>
          <w:rFonts w:hint="eastAsia"/>
        </w:rPr>
        <w:t xml:space="preserve">多元素含量的测定 </w:t>
      </w:r>
      <w:r>
        <w:t xml:space="preserve"> </w:t>
      </w:r>
      <w:r>
        <w:rPr>
          <w:rFonts w:hint="eastAsia"/>
        </w:rPr>
        <w:t>火花放电原子发射光谱方法（常规法）</w:t>
      </w:r>
    </w:p>
    <w:p w14:paraId="24E13A77">
      <w:pPr>
        <w:ind w:firstLine="420" w:firstLineChars="200"/>
      </w:pPr>
      <w:r>
        <w:t xml:space="preserve">GB/T </w:t>
      </w:r>
      <w:r>
        <w:rPr>
          <w:rFonts w:hint="eastAsia"/>
        </w:rPr>
        <w:t>7735-2016  无缝和焊接（埋弧焊除外）钢管缺欠的自动涡流检测</w:t>
      </w:r>
    </w:p>
    <w:p w14:paraId="028A873D">
      <w:pPr>
        <w:ind w:firstLine="420" w:firstLineChars="200"/>
      </w:pPr>
      <w:r>
        <w:t>GB</w:t>
      </w:r>
      <w:r>
        <w:rPr>
          <w:rFonts w:hint="eastAsia"/>
        </w:rPr>
        <w:t>/</w:t>
      </w:r>
      <w:r>
        <w:t xml:space="preserve">T 8170  </w:t>
      </w:r>
      <w:r>
        <w:rPr>
          <w:rFonts w:hint="eastAsia"/>
        </w:rPr>
        <w:t>数值修约规则与极限数值的表示和判定</w:t>
      </w:r>
    </w:p>
    <w:p w14:paraId="736B570F">
      <w:pPr>
        <w:ind w:firstLine="420" w:firstLineChars="200"/>
        <w:rPr>
          <w:rFonts w:hint="eastAsia"/>
        </w:rPr>
      </w:pPr>
      <w:r>
        <w:t>G</w:t>
      </w:r>
      <w:r>
        <w:rPr>
          <w:rFonts w:hint="eastAsia"/>
        </w:rPr>
        <w:t xml:space="preserve">B/T </w:t>
      </w:r>
      <w:bookmarkStart w:id="13" w:name="OLE_LINK36"/>
      <w:r>
        <w:rPr>
          <w:rFonts w:hint="eastAsia"/>
        </w:rPr>
        <w:t xml:space="preserve">13793 </w:t>
      </w:r>
      <w:bookmarkEnd w:id="13"/>
      <w:r>
        <w:rPr>
          <w:rFonts w:hint="eastAsia"/>
        </w:rPr>
        <w:t xml:space="preserve"> 直缝电焊钢管</w:t>
      </w:r>
    </w:p>
    <w:p w14:paraId="19CB93B7">
      <w:pPr>
        <w:ind w:firstLine="420" w:firstLineChars="200"/>
        <w:rPr>
          <w:rFonts w:hint="eastAsia"/>
        </w:rPr>
      </w:pPr>
      <w:bookmarkStart w:id="14" w:name="OLE_LINK35"/>
      <w:r>
        <w:rPr>
          <w:rFonts w:hint="eastAsia"/>
        </w:rPr>
        <w:t>GB/T 13912  金属覆盖层  钢铁制件热浸镀锌层  技术要求及试验方法</w:t>
      </w:r>
    </w:p>
    <w:bookmarkEnd w:id="14"/>
    <w:p w14:paraId="1772D228">
      <w:pPr>
        <w:ind w:firstLine="420" w:firstLineChars="200"/>
      </w:pPr>
      <w:r>
        <w:rPr>
          <w:rFonts w:hint="eastAsia"/>
        </w:rPr>
        <w:t>GB/T 20066</w:t>
      </w:r>
      <w:r>
        <w:t xml:space="preserve">  </w:t>
      </w:r>
      <w:r>
        <w:rPr>
          <w:rFonts w:hint="eastAsia"/>
        </w:rPr>
        <w:t xml:space="preserve">钢和铁 </w:t>
      </w:r>
      <w:r>
        <w:t xml:space="preserve"> </w:t>
      </w:r>
      <w:r>
        <w:rPr>
          <w:rFonts w:hint="eastAsia"/>
        </w:rPr>
        <w:t>化学成分测定用试样的取样和制样方法</w:t>
      </w:r>
    </w:p>
    <w:p w14:paraId="2AF4F558">
      <w:pPr>
        <w:ind w:firstLine="420" w:firstLineChars="200"/>
      </w:pPr>
      <w:r>
        <w:rPr>
          <w:rFonts w:hint="eastAsia"/>
        </w:rPr>
        <w:t>GB/T 20123</w:t>
      </w:r>
      <w:r>
        <w:t xml:space="preserve">  </w:t>
      </w:r>
      <w:r>
        <w:rPr>
          <w:rFonts w:hint="eastAsia"/>
        </w:rPr>
        <w:t xml:space="preserve">钢铁 </w:t>
      </w:r>
      <w:r>
        <w:t xml:space="preserve"> </w:t>
      </w:r>
      <w:r>
        <w:rPr>
          <w:rFonts w:hint="eastAsia"/>
        </w:rPr>
        <w:t xml:space="preserve">总碳硫含量的测定 </w:t>
      </w:r>
      <w:r>
        <w:t xml:space="preserve"> </w:t>
      </w:r>
      <w:r>
        <w:rPr>
          <w:rFonts w:hint="eastAsia"/>
        </w:rPr>
        <w:t>高频感应炉燃烧后红外吸收法(常规方法)</w:t>
      </w:r>
    </w:p>
    <w:p w14:paraId="1274ECEA">
      <w:pPr>
        <w:ind w:firstLine="420" w:firstLineChars="200"/>
      </w:pPr>
      <w:r>
        <w:rPr>
          <w:rFonts w:hint="eastAsia"/>
        </w:rPr>
        <w:t>GB/T 20125</w:t>
      </w:r>
      <w:r>
        <w:t xml:space="preserve">  </w:t>
      </w:r>
      <w:r>
        <w:rPr>
          <w:rFonts w:hint="eastAsia"/>
        </w:rPr>
        <w:t xml:space="preserve">低合金钢 </w:t>
      </w:r>
      <w:r>
        <w:t xml:space="preserve"> </w:t>
      </w:r>
      <w:r>
        <w:rPr>
          <w:rFonts w:hint="eastAsia"/>
        </w:rPr>
        <w:t xml:space="preserve">多元素含量的测定 </w:t>
      </w:r>
      <w:r>
        <w:t xml:space="preserve"> </w:t>
      </w:r>
      <w:r>
        <w:rPr>
          <w:rFonts w:hint="eastAsia"/>
        </w:rPr>
        <w:t>电感耦合等离子体原子发射光谱法</w:t>
      </w:r>
    </w:p>
    <w:p w14:paraId="423D464E">
      <w:pPr>
        <w:ind w:firstLine="420" w:firstLineChars="200"/>
      </w:pPr>
      <w:r>
        <w:rPr>
          <w:rFonts w:hint="eastAsia"/>
        </w:rPr>
        <w:t>GB/T 21835  焊接钢管尺寸及单位长度重量</w:t>
      </w:r>
    </w:p>
    <w:p w14:paraId="558AA0FA">
      <w:pPr>
        <w:ind w:firstLine="420" w:firstLineChars="200"/>
      </w:pPr>
      <w:r>
        <w:rPr>
          <w:rFonts w:hint="eastAsia"/>
        </w:rPr>
        <w:t>SY/T 6423.2-2013  石油天然气工业  钢管无损检测方法  第2部分：焊接钢管焊缝纵向和或横向缺欠的自动超声检测</w:t>
      </w:r>
    </w:p>
    <w:p w14:paraId="799F6DA8">
      <w:pPr>
        <w:ind w:firstLine="420" w:firstLineChars="200"/>
      </w:pPr>
      <w:r>
        <w:t>SY/T 6423.5</w:t>
      </w:r>
      <w:r>
        <w:rPr>
          <w:rFonts w:hint="eastAsia"/>
        </w:rPr>
        <w:t>-2014  石油天然气工业 钢管无损检测方法 第5部分：焊接钢管焊缝缺欠的数字射线检测</w:t>
      </w:r>
    </w:p>
    <w:p w14:paraId="0AE92741">
      <w:pPr>
        <w:ind w:firstLine="420" w:firstLineChars="200"/>
        <w:rPr>
          <w:rFonts w:hint="eastAsia"/>
        </w:rPr>
      </w:pPr>
      <w:bookmarkStart w:id="15" w:name="OLE_LINK39"/>
      <w:r>
        <w:rPr>
          <w:rFonts w:hint="eastAsia"/>
        </w:rPr>
        <w:t>T/CEC 137-2017  输电线路钢管塔力加工技术规程</w:t>
      </w:r>
    </w:p>
    <w:bookmarkEnd w:id="15"/>
    <w:p w14:paraId="2AB18C79">
      <w:pPr>
        <w:pStyle w:val="45"/>
        <w:numPr>
          <w:ilvl w:val="0"/>
          <w:numId w:val="3"/>
        </w:numPr>
        <w:spacing w:before="312" w:after="312"/>
        <w:rPr>
          <w:rFonts w:ascii="Times New Roman"/>
        </w:rPr>
      </w:pPr>
      <w:r>
        <w:rPr>
          <w:rFonts w:ascii="Times New Roman"/>
        </w:rPr>
        <w:t>术语和定义</w:t>
      </w:r>
    </w:p>
    <w:p w14:paraId="7866D206">
      <w:pPr>
        <w:pStyle w:val="22"/>
        <w:rPr>
          <w:rFonts w:ascii="Times New Roman"/>
        </w:rPr>
      </w:pPr>
      <w:r>
        <w:rPr>
          <w:rFonts w:ascii="Times New Roman"/>
        </w:rPr>
        <w:t>本文件没有需要界定的术语和定义。</w:t>
      </w:r>
    </w:p>
    <w:p w14:paraId="51288DA5">
      <w:pPr>
        <w:pStyle w:val="45"/>
        <w:numPr>
          <w:ilvl w:val="0"/>
          <w:numId w:val="3"/>
        </w:numPr>
        <w:spacing w:before="312" w:after="312"/>
        <w:rPr>
          <w:rFonts w:ascii="Times New Roman"/>
        </w:rPr>
      </w:pPr>
      <w:r>
        <w:rPr>
          <w:rFonts w:ascii="Times New Roman"/>
        </w:rPr>
        <w:t>订货内容</w:t>
      </w:r>
    </w:p>
    <w:p w14:paraId="1BCED6F9">
      <w:pPr>
        <w:pStyle w:val="50"/>
        <w:numPr>
          <w:ilvl w:val="1"/>
          <w:numId w:val="3"/>
        </w:numPr>
        <w:spacing w:beforeLines="0" w:afterLines="0"/>
        <w:rPr>
          <w:rFonts w:ascii="Times New Roman" w:eastAsia="宋体"/>
        </w:rPr>
      </w:pPr>
      <w:bookmarkStart w:id="16" w:name="_Hlk174709305"/>
      <w:r>
        <w:rPr>
          <w:rFonts w:ascii="Times New Roman" w:eastAsia="宋体"/>
        </w:rPr>
        <w:t>按本文件订货</w:t>
      </w:r>
      <w:r>
        <w:rPr>
          <w:rFonts w:hint="eastAsia" w:ascii="Times New Roman" w:eastAsia="宋体"/>
        </w:rPr>
        <w:t>的</w:t>
      </w:r>
      <w:r>
        <w:rPr>
          <w:rFonts w:ascii="Times New Roman" w:eastAsia="宋体"/>
        </w:rPr>
        <w:t>合同或订单应包括下列内容</w:t>
      </w:r>
      <w:bookmarkEnd w:id="16"/>
      <w:r>
        <w:rPr>
          <w:rFonts w:ascii="Times New Roman" w:eastAsia="宋体"/>
        </w:rPr>
        <w:t>：</w:t>
      </w:r>
    </w:p>
    <w:p w14:paraId="6919D4BD">
      <w:pPr>
        <w:pStyle w:val="102"/>
        <w:numPr>
          <w:ilvl w:val="0"/>
          <w:numId w:val="4"/>
        </w:numPr>
        <w:rPr>
          <w:rFonts w:ascii="Times New Roman"/>
        </w:rPr>
      </w:pPr>
      <w:bookmarkStart w:id="17" w:name="_Hlk75612193"/>
      <w:r>
        <w:rPr>
          <w:rFonts w:hint="eastAsia" w:ascii="Times New Roman"/>
        </w:rPr>
        <w:t>本文件编号</w:t>
      </w:r>
      <w:r>
        <w:rPr>
          <w:rFonts w:ascii="Times New Roman"/>
        </w:rPr>
        <w:t>；</w:t>
      </w:r>
    </w:p>
    <w:p w14:paraId="1F033F0A">
      <w:pPr>
        <w:pStyle w:val="102"/>
        <w:numPr>
          <w:ilvl w:val="0"/>
          <w:numId w:val="4"/>
        </w:numPr>
        <w:rPr>
          <w:rFonts w:ascii="Times New Roman"/>
        </w:rPr>
      </w:pPr>
      <w:r>
        <w:rPr>
          <w:rFonts w:hint="eastAsia" w:ascii="Times New Roman"/>
        </w:rPr>
        <w:t>产品名称</w:t>
      </w:r>
      <w:r>
        <w:rPr>
          <w:rFonts w:ascii="Times New Roman"/>
        </w:rPr>
        <w:t>；</w:t>
      </w:r>
    </w:p>
    <w:p w14:paraId="5A961715">
      <w:pPr>
        <w:pStyle w:val="102"/>
        <w:numPr>
          <w:ilvl w:val="0"/>
          <w:numId w:val="4"/>
        </w:numPr>
        <w:rPr>
          <w:rFonts w:ascii="Times New Roman"/>
        </w:rPr>
      </w:pPr>
      <w:r>
        <w:rPr>
          <w:rFonts w:ascii="Times New Roman"/>
        </w:rPr>
        <w:t>牌号；</w:t>
      </w:r>
    </w:p>
    <w:p w14:paraId="6875F56F">
      <w:pPr>
        <w:pStyle w:val="102"/>
        <w:numPr>
          <w:ilvl w:val="0"/>
          <w:numId w:val="4"/>
        </w:numPr>
        <w:rPr>
          <w:rFonts w:ascii="Times New Roman"/>
        </w:rPr>
      </w:pPr>
      <w:r>
        <w:rPr>
          <w:rFonts w:hint="eastAsia" w:ascii="Times New Roman"/>
        </w:rPr>
        <w:t>尺寸规格；</w:t>
      </w:r>
    </w:p>
    <w:p w14:paraId="10559CC9">
      <w:pPr>
        <w:pStyle w:val="102"/>
        <w:numPr>
          <w:ilvl w:val="0"/>
          <w:numId w:val="4"/>
        </w:numPr>
        <w:rPr>
          <w:rFonts w:ascii="Times New Roman"/>
        </w:rPr>
      </w:pPr>
      <w:r>
        <w:rPr>
          <w:rFonts w:hint="eastAsia" w:ascii="Times New Roman"/>
        </w:rPr>
        <w:t>数量（总重量或总长度）。</w:t>
      </w:r>
    </w:p>
    <w:p w14:paraId="3F6C8F5B">
      <w:pPr>
        <w:pStyle w:val="50"/>
        <w:numPr>
          <w:ilvl w:val="1"/>
          <w:numId w:val="3"/>
        </w:numPr>
        <w:spacing w:beforeLines="0" w:afterLines="0"/>
        <w:rPr>
          <w:rFonts w:ascii="Times New Roman" w:eastAsia="宋体"/>
        </w:rPr>
      </w:pPr>
      <w:r>
        <w:rPr>
          <w:rFonts w:hint="eastAsia" w:ascii="Times New Roman" w:eastAsia="宋体"/>
        </w:rPr>
        <w:t>由供需双方协商确定，并在合同中注明，</w:t>
      </w:r>
      <w:bookmarkStart w:id="18" w:name="_Hlk183954690"/>
      <w:r>
        <w:rPr>
          <w:rFonts w:hint="eastAsia" w:ascii="Times New Roman" w:eastAsia="宋体"/>
        </w:rPr>
        <w:t>需方可选择下列补充要求</w:t>
      </w:r>
      <w:bookmarkEnd w:id="18"/>
      <w:r>
        <w:rPr>
          <w:rFonts w:hint="eastAsia" w:ascii="Times New Roman" w:eastAsia="宋体"/>
        </w:rPr>
        <w:t>：</w:t>
      </w:r>
    </w:p>
    <w:p w14:paraId="34718F03">
      <w:pPr>
        <w:pStyle w:val="102"/>
        <w:numPr>
          <w:ilvl w:val="0"/>
          <w:numId w:val="5"/>
        </w:numPr>
        <w:rPr>
          <w:rFonts w:ascii="Times New Roman"/>
        </w:rPr>
      </w:pPr>
      <w:bookmarkStart w:id="19" w:name="_Hlk183954710"/>
      <w:r>
        <w:rPr>
          <w:rFonts w:hint="eastAsia"/>
        </w:rPr>
        <w:t>夏比V型缺口冲击试验；</w:t>
      </w:r>
    </w:p>
    <w:p w14:paraId="2B4B41C5">
      <w:pPr>
        <w:pStyle w:val="102"/>
        <w:numPr>
          <w:ilvl w:val="0"/>
          <w:numId w:val="5"/>
        </w:numPr>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化学成分；</w:t>
      </w:r>
    </w:p>
    <w:p w14:paraId="72ED02B3">
      <w:pPr>
        <w:pStyle w:val="102"/>
        <w:numPr>
          <w:ilvl w:val="0"/>
          <w:numId w:val="5"/>
        </w:numPr>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无损检测；</w:t>
      </w:r>
    </w:p>
    <w:p w14:paraId="074D975D">
      <w:pPr>
        <w:pStyle w:val="102"/>
        <w:numPr>
          <w:ilvl w:val="0"/>
          <w:numId w:val="5"/>
        </w:numPr>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压扁试验；</w:t>
      </w:r>
    </w:p>
    <w:p w14:paraId="13A934F0">
      <w:pPr>
        <w:pStyle w:val="102"/>
        <w:numPr>
          <w:ilvl w:val="0"/>
          <w:numId w:val="5"/>
        </w:numPr>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拉伸试验；</w:t>
      </w:r>
    </w:p>
    <w:p w14:paraId="66F04505">
      <w:pPr>
        <w:pStyle w:val="102"/>
        <w:numPr>
          <w:ilvl w:val="0"/>
          <w:numId w:val="5"/>
        </w:numPr>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弯曲试验；</w:t>
      </w:r>
    </w:p>
    <w:p w14:paraId="5FAED43E">
      <w:pPr>
        <w:pStyle w:val="102"/>
        <w:numPr>
          <w:ilvl w:val="0"/>
          <w:numId w:val="5"/>
        </w:numPr>
        <w:rPr>
          <w:rFonts w:ascii="Times New Roman"/>
        </w:rPr>
      </w:pPr>
      <w:r>
        <w:rPr>
          <w:rFonts w:hint="eastAsia"/>
        </w:rPr>
        <w:t>钢管热处理；</w:t>
      </w:r>
    </w:p>
    <w:p w14:paraId="05701515">
      <w:pPr>
        <w:pStyle w:val="102"/>
        <w:numPr>
          <w:ilvl w:val="0"/>
          <w:numId w:val="5"/>
        </w:numPr>
        <w:rPr>
          <w:rFonts w:ascii="Times New Roman"/>
        </w:rPr>
      </w:pPr>
      <w:r>
        <w:rPr>
          <w:rFonts w:hint="eastAsia"/>
        </w:rPr>
        <w:t>其他要求。</w:t>
      </w:r>
    </w:p>
    <w:bookmarkEnd w:id="12"/>
    <w:bookmarkEnd w:id="17"/>
    <w:bookmarkEnd w:id="19"/>
    <w:p w14:paraId="42C462B6">
      <w:pPr>
        <w:pStyle w:val="45"/>
        <w:numPr>
          <w:ilvl w:val="0"/>
          <w:numId w:val="3"/>
        </w:numPr>
        <w:spacing w:before="312" w:after="312"/>
        <w:rPr>
          <w:rFonts w:ascii="Times New Roman"/>
        </w:rPr>
      </w:pPr>
      <w:r>
        <w:rPr>
          <w:rFonts w:hint="eastAsia" w:ascii="Times New Roman"/>
        </w:rPr>
        <w:t>制造工艺</w:t>
      </w:r>
    </w:p>
    <w:p w14:paraId="042C4203">
      <w:pPr>
        <w:pStyle w:val="47"/>
        <w:numPr>
          <w:ilvl w:val="1"/>
          <w:numId w:val="3"/>
        </w:numPr>
        <w:spacing w:before="156" w:after="156"/>
        <w:rPr>
          <w:rFonts w:ascii="Times New Roman"/>
        </w:rPr>
      </w:pPr>
      <w:r>
        <w:rPr>
          <w:rFonts w:hint="eastAsia" w:ascii="Times New Roman"/>
        </w:rPr>
        <w:t>制造方法</w:t>
      </w:r>
    </w:p>
    <w:p w14:paraId="28BCCCB3">
      <w:pPr>
        <w:pStyle w:val="22"/>
      </w:pPr>
      <w:bookmarkStart w:id="20" w:name="_Hlk183954771"/>
      <w:r>
        <w:rPr>
          <w:rFonts w:hint="eastAsia"/>
        </w:rPr>
        <w:t>钢管应以热轧钢带采用高频电阻焊接方法制造。需方制定某一种轧制状态的原材料时，应在合同中注明。</w:t>
      </w:r>
    </w:p>
    <w:bookmarkEnd w:id="20"/>
    <w:p w14:paraId="345B2BF7">
      <w:pPr>
        <w:pStyle w:val="47"/>
        <w:numPr>
          <w:ilvl w:val="1"/>
          <w:numId w:val="3"/>
        </w:numPr>
        <w:spacing w:before="156" w:after="156"/>
        <w:rPr>
          <w:rFonts w:ascii="Times New Roman"/>
        </w:rPr>
      </w:pPr>
      <w:r>
        <w:rPr>
          <w:rFonts w:hint="eastAsia" w:ascii="Times New Roman"/>
        </w:rPr>
        <w:t>交货状态</w:t>
      </w:r>
    </w:p>
    <w:p w14:paraId="4D110145">
      <w:pPr>
        <w:pStyle w:val="22"/>
      </w:pPr>
      <w:bookmarkStart w:id="21" w:name="_Hlk183954799"/>
      <w:r>
        <w:rPr>
          <w:rFonts w:hint="eastAsia"/>
        </w:rPr>
        <w:t>钢管以焊接状态或热处理状态交货。经供需双方协商，并在合同中注明，钢管可以整体热处理或焊缝热处理状态交货。</w:t>
      </w:r>
    </w:p>
    <w:bookmarkEnd w:id="21"/>
    <w:p w14:paraId="79492287">
      <w:pPr>
        <w:pStyle w:val="45"/>
        <w:numPr>
          <w:ilvl w:val="0"/>
          <w:numId w:val="3"/>
        </w:numPr>
        <w:spacing w:before="312" w:after="312"/>
        <w:rPr>
          <w:rFonts w:ascii="Times New Roman"/>
        </w:rPr>
      </w:pPr>
      <w:r>
        <w:rPr>
          <w:rFonts w:hint="eastAsia" w:ascii="Times New Roman"/>
        </w:rPr>
        <w:t>技术要求</w:t>
      </w:r>
    </w:p>
    <w:p w14:paraId="0735EB2E">
      <w:pPr>
        <w:pStyle w:val="47"/>
        <w:numPr>
          <w:ilvl w:val="1"/>
          <w:numId w:val="3"/>
        </w:numPr>
        <w:spacing w:before="156" w:after="156"/>
        <w:rPr>
          <w:rFonts w:ascii="Times New Roman"/>
        </w:rPr>
      </w:pPr>
      <w:r>
        <w:rPr>
          <w:rFonts w:hint="eastAsia" w:ascii="Times New Roman"/>
        </w:rPr>
        <w:t>钢的牌号和化学成分</w:t>
      </w:r>
    </w:p>
    <w:p w14:paraId="5F4DC2B2">
      <w:pPr>
        <w:pStyle w:val="50"/>
        <w:numPr>
          <w:ilvl w:val="2"/>
          <w:numId w:val="3"/>
        </w:numPr>
        <w:spacing w:beforeLines="0" w:afterLines="0"/>
        <w:rPr>
          <w:rFonts w:ascii="Times New Roman" w:eastAsia="宋体"/>
        </w:rPr>
      </w:pPr>
      <w:bookmarkStart w:id="22" w:name="_Hlk183954817"/>
      <w:r>
        <w:rPr>
          <w:rFonts w:hint="eastAsia" w:ascii="Times New Roman" w:eastAsia="宋体"/>
        </w:rPr>
        <w:t>钢的牌号和化学成分（熔炼分析）应分别</w:t>
      </w:r>
      <w:r>
        <w:rPr>
          <w:rFonts w:ascii="Times New Roman" w:eastAsia="宋体"/>
        </w:rPr>
        <w:t>符合</w:t>
      </w:r>
      <w:bookmarkStart w:id="23" w:name="_Hlk191037901"/>
      <w:r>
        <w:rPr>
          <w:rFonts w:hint="eastAsia" w:ascii="Times New Roman" w:eastAsia="宋体"/>
        </w:rPr>
        <w:t>GB/T 700-2006中Q235B、</w:t>
      </w:r>
      <w:bookmarkStart w:id="24" w:name="OLE_LINK1"/>
      <w:r>
        <w:rPr>
          <w:rFonts w:hint="eastAsia" w:ascii="Times New Roman" w:eastAsia="宋体"/>
        </w:rPr>
        <w:t>Q235C、</w:t>
      </w:r>
      <w:bookmarkEnd w:id="24"/>
      <w:r>
        <w:rPr>
          <w:rFonts w:hint="eastAsia" w:ascii="Times New Roman" w:eastAsia="宋体"/>
        </w:rPr>
        <w:t>Q235D、Q275B</w:t>
      </w:r>
      <w:bookmarkStart w:id="25" w:name="OLE_LINK2"/>
      <w:r>
        <w:rPr>
          <w:rFonts w:hint="eastAsia" w:ascii="Times New Roman" w:eastAsia="宋体"/>
        </w:rPr>
        <w:t>、Q275C</w:t>
      </w:r>
      <w:bookmarkEnd w:id="25"/>
      <w:r>
        <w:rPr>
          <w:rFonts w:hint="eastAsia" w:ascii="Times New Roman" w:eastAsia="宋体"/>
        </w:rPr>
        <w:t>、Q275D</w:t>
      </w:r>
      <w:r>
        <w:rPr>
          <w:rFonts w:hint="eastAsia" w:ascii="Times New Roman" w:eastAsia="宋体"/>
          <w:color w:val="000000" w:themeColor="text1"/>
          <w14:textFill>
            <w14:solidFill>
              <w14:schemeClr w14:val="tx1"/>
            </w14:solidFill>
          </w14:textFill>
        </w:rPr>
        <w:t>或GB/T 1591-2018中</w:t>
      </w:r>
      <w:r>
        <w:rPr>
          <w:rFonts w:hint="eastAsia" w:ascii="Times New Roman" w:eastAsia="宋体"/>
        </w:rPr>
        <w:t>Q355B、Q355C、</w:t>
      </w:r>
      <w:r>
        <w:rPr>
          <w:rFonts w:hint="eastAsia" w:ascii="Times New Roman" w:eastAsia="宋体"/>
          <w:color w:val="000000" w:themeColor="text1"/>
          <w14:textFill>
            <w14:solidFill>
              <w14:schemeClr w14:val="tx1"/>
            </w14:solidFill>
          </w14:textFill>
        </w:rPr>
        <w:t>Q355D</w:t>
      </w:r>
      <w:r>
        <w:rPr>
          <w:rFonts w:hint="eastAsia" w:ascii="Times New Roman" w:eastAsia="宋体"/>
        </w:rPr>
        <w:t>、Q390B、Q390C、Q390D、Q420B、Q420C、Q460C、Q500MC的规定。经双方协商，并在合同中注明，可供应其他牌号钢管</w:t>
      </w:r>
      <w:bookmarkEnd w:id="23"/>
      <w:r>
        <w:rPr>
          <w:rFonts w:hint="eastAsia" w:ascii="Times New Roman" w:eastAsia="宋体"/>
        </w:rPr>
        <w:t>。</w:t>
      </w:r>
    </w:p>
    <w:bookmarkEnd w:id="22"/>
    <w:p w14:paraId="357658B0">
      <w:pPr>
        <w:pStyle w:val="50"/>
        <w:numPr>
          <w:ilvl w:val="2"/>
          <w:numId w:val="3"/>
        </w:numPr>
        <w:spacing w:beforeLines="0" w:afterLines="0"/>
        <w:rPr>
          <w:rFonts w:ascii="Times New Roman" w:eastAsia="宋体"/>
        </w:rPr>
      </w:pPr>
      <w:bookmarkStart w:id="26" w:name="_Hlk75612206"/>
      <w:r>
        <w:rPr>
          <w:rFonts w:hint="eastAsia" w:ascii="Times New Roman" w:eastAsia="宋体"/>
        </w:rPr>
        <w:t>钢管的化学成分按熔炼成分验收。当需方要求进行成品分析时，应在合同中注明，成品化学成分允许偏差应符合GB/T222的规定。</w:t>
      </w:r>
    </w:p>
    <w:p w14:paraId="64671863">
      <w:pPr>
        <w:pStyle w:val="47"/>
        <w:numPr>
          <w:ilvl w:val="1"/>
          <w:numId w:val="3"/>
        </w:numPr>
        <w:spacing w:before="156" w:after="156"/>
        <w:rPr>
          <w:rFonts w:ascii="Times New Roman"/>
        </w:rPr>
      </w:pPr>
      <w:r>
        <w:rPr>
          <w:rFonts w:hint="eastAsia" w:ascii="Times New Roman"/>
        </w:rPr>
        <w:t>力学性能</w:t>
      </w:r>
    </w:p>
    <w:p w14:paraId="0B0481B2">
      <w:pPr>
        <w:pStyle w:val="50"/>
        <w:numPr>
          <w:ilvl w:val="2"/>
          <w:numId w:val="3"/>
        </w:numPr>
        <w:spacing w:beforeLines="0" w:afterLines="0"/>
        <w:rPr>
          <w:rFonts w:ascii="Times New Roman" w:eastAsia="宋体"/>
        </w:rPr>
      </w:pPr>
      <w:r>
        <w:rPr>
          <w:rFonts w:hint="eastAsia" w:ascii="Times New Roman" w:eastAsia="宋体"/>
        </w:rPr>
        <w:t>原材料力学性能和工艺性能</w:t>
      </w:r>
    </w:p>
    <w:p w14:paraId="67C31758">
      <w:pPr>
        <w:pStyle w:val="50"/>
        <w:numPr>
          <w:ilvl w:val="3"/>
          <w:numId w:val="3"/>
        </w:numPr>
        <w:spacing w:beforeLines="0" w:afterLines="0"/>
        <w:rPr>
          <w:rFonts w:ascii="Times New Roman" w:eastAsia="宋体"/>
        </w:rPr>
      </w:pPr>
      <w:r>
        <w:rPr>
          <w:rFonts w:hint="eastAsia" w:ascii="Times New Roman" w:eastAsia="宋体"/>
        </w:rPr>
        <w:t>钢带的力学性能和工艺性能应符合表1的规定</w:t>
      </w:r>
    </w:p>
    <w:p w14:paraId="6D2F7C73">
      <w:pPr>
        <w:pStyle w:val="22"/>
        <w:numPr>
          <w:ilvl w:val="0"/>
          <w:numId w:val="6"/>
        </w:numPr>
        <w:tabs>
          <w:tab w:val="clear" w:pos="4201"/>
          <w:tab w:val="clear" w:pos="9298"/>
        </w:tabs>
        <w:spacing w:before="156" w:beforeLines="50" w:after="156" w:afterLines="50"/>
        <w:ind w:left="0" w:firstLine="0" w:firstLineChars="0"/>
        <w:jc w:val="center"/>
        <w:rPr>
          <w:rFonts w:ascii="Times New Roman" w:eastAsia="黑体"/>
        </w:rPr>
      </w:pPr>
      <w:bookmarkStart w:id="27" w:name="_Hlk191038068"/>
      <w:r>
        <w:rPr>
          <w:rFonts w:hint="eastAsia" w:ascii="Times New Roman" w:eastAsia="黑体"/>
        </w:rPr>
        <w:t>钢带的力学性能和工艺性能</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2"/>
        <w:gridCol w:w="721"/>
        <w:gridCol w:w="1462"/>
        <w:gridCol w:w="1085"/>
        <w:gridCol w:w="1624"/>
        <w:gridCol w:w="692"/>
        <w:gridCol w:w="1416"/>
        <w:gridCol w:w="1242"/>
      </w:tblGrid>
      <w:tr w14:paraId="633D6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102" w:type="dxa"/>
            <w:vMerge w:val="restart"/>
            <w:shd w:val="clear" w:color="auto" w:fill="auto"/>
            <w:vAlign w:val="center"/>
          </w:tcPr>
          <w:p w14:paraId="51C63240">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牌号</w:t>
            </w:r>
          </w:p>
        </w:tc>
        <w:tc>
          <w:tcPr>
            <w:tcW w:w="721" w:type="dxa"/>
            <w:vMerge w:val="restart"/>
            <w:shd w:val="clear" w:color="auto" w:fill="auto"/>
            <w:vAlign w:val="center"/>
          </w:tcPr>
          <w:p w14:paraId="0DED1BD3">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钢级</w:t>
            </w:r>
          </w:p>
        </w:tc>
        <w:tc>
          <w:tcPr>
            <w:tcW w:w="1462" w:type="dxa"/>
            <w:vMerge w:val="restart"/>
            <w:shd w:val="clear" w:color="auto" w:fill="auto"/>
            <w:vAlign w:val="center"/>
          </w:tcPr>
          <w:p w14:paraId="3B829F6F">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下屈服强度</w:t>
            </w:r>
            <w:r>
              <w:rPr>
                <w:rFonts w:ascii="Times New Roman"/>
                <w:color w:val="000000" w:themeColor="text1"/>
                <w:szCs w:val="18"/>
                <w:vertAlign w:val="superscript"/>
                <w14:textFill>
                  <w14:solidFill>
                    <w14:schemeClr w14:val="tx1"/>
                  </w14:solidFill>
                </w14:textFill>
              </w:rPr>
              <w:t>a</w:t>
            </w:r>
          </w:p>
          <w:p w14:paraId="1D2B4B87">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ReL/MPa，不小于</w:t>
            </w:r>
          </w:p>
        </w:tc>
        <w:tc>
          <w:tcPr>
            <w:tcW w:w="1085" w:type="dxa"/>
            <w:vMerge w:val="restart"/>
            <w:shd w:val="clear" w:color="auto" w:fill="auto"/>
            <w:vAlign w:val="center"/>
          </w:tcPr>
          <w:p w14:paraId="20FD4A98">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抗拉强度</w:t>
            </w:r>
          </w:p>
          <w:p w14:paraId="302366D0">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Rm/MPa</w:t>
            </w:r>
          </w:p>
        </w:tc>
        <w:tc>
          <w:tcPr>
            <w:tcW w:w="1624" w:type="dxa"/>
            <w:vMerge w:val="restart"/>
            <w:shd w:val="clear" w:color="auto" w:fill="auto"/>
            <w:vAlign w:val="center"/>
          </w:tcPr>
          <w:p w14:paraId="592BF8E0">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断后伸长率A/%，不小于</w:t>
            </w:r>
          </w:p>
        </w:tc>
        <w:tc>
          <w:tcPr>
            <w:tcW w:w="2108" w:type="dxa"/>
            <w:gridSpan w:val="2"/>
            <w:shd w:val="clear" w:color="auto" w:fill="auto"/>
            <w:vAlign w:val="center"/>
          </w:tcPr>
          <w:p w14:paraId="06F795E0">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冲击试验（V型缺口）</w:t>
            </w:r>
          </w:p>
        </w:tc>
        <w:tc>
          <w:tcPr>
            <w:tcW w:w="1242" w:type="dxa"/>
            <w:shd w:val="clear" w:color="auto" w:fill="auto"/>
            <w:vAlign w:val="center"/>
          </w:tcPr>
          <w:p w14:paraId="0391986D">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180°弯曲试验</w:t>
            </w:r>
          </w:p>
        </w:tc>
      </w:tr>
      <w:tr w14:paraId="3CB61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102" w:type="dxa"/>
            <w:vMerge w:val="continue"/>
            <w:shd w:val="clear" w:color="auto" w:fill="auto"/>
            <w:vAlign w:val="center"/>
          </w:tcPr>
          <w:p w14:paraId="325F1E8E">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721" w:type="dxa"/>
            <w:vMerge w:val="continue"/>
            <w:shd w:val="clear" w:color="auto" w:fill="auto"/>
            <w:vAlign w:val="center"/>
          </w:tcPr>
          <w:p w14:paraId="0623EE2E">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462" w:type="dxa"/>
            <w:vMerge w:val="continue"/>
            <w:shd w:val="clear" w:color="auto" w:fill="auto"/>
            <w:vAlign w:val="center"/>
          </w:tcPr>
          <w:p w14:paraId="2B74FDDB">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085" w:type="dxa"/>
            <w:vMerge w:val="continue"/>
            <w:shd w:val="clear" w:color="auto" w:fill="auto"/>
            <w:vAlign w:val="center"/>
          </w:tcPr>
          <w:p w14:paraId="423B754D">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624" w:type="dxa"/>
            <w:vMerge w:val="continue"/>
            <w:shd w:val="clear" w:color="auto" w:fill="auto"/>
            <w:vAlign w:val="center"/>
          </w:tcPr>
          <w:p w14:paraId="7E0FF465">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692" w:type="dxa"/>
            <w:shd w:val="clear" w:color="auto" w:fill="auto"/>
            <w:vAlign w:val="center"/>
          </w:tcPr>
          <w:p w14:paraId="451FB656">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温度/℃</w:t>
            </w:r>
          </w:p>
        </w:tc>
        <w:tc>
          <w:tcPr>
            <w:tcW w:w="1416" w:type="dxa"/>
            <w:shd w:val="clear" w:color="auto" w:fill="auto"/>
            <w:vAlign w:val="center"/>
          </w:tcPr>
          <w:p w14:paraId="6CA2CD97">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冲击吸收功/J，不小于</w:t>
            </w:r>
          </w:p>
        </w:tc>
        <w:tc>
          <w:tcPr>
            <w:tcW w:w="1242" w:type="dxa"/>
            <w:shd w:val="clear" w:color="auto" w:fill="auto"/>
          </w:tcPr>
          <w:p w14:paraId="74F35929">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D——弯曲压头直径，a——试样厚度或直径</w:t>
            </w:r>
          </w:p>
        </w:tc>
      </w:tr>
      <w:tr w14:paraId="05D77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1102" w:type="dxa"/>
            <w:vMerge w:val="restart"/>
            <w:shd w:val="clear" w:color="auto" w:fill="auto"/>
            <w:vAlign w:val="center"/>
          </w:tcPr>
          <w:p w14:paraId="1C375E65">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Q235</w:t>
            </w:r>
          </w:p>
        </w:tc>
        <w:tc>
          <w:tcPr>
            <w:tcW w:w="721" w:type="dxa"/>
            <w:shd w:val="clear" w:color="auto" w:fill="auto"/>
            <w:vAlign w:val="center"/>
          </w:tcPr>
          <w:p w14:paraId="4B6D901F">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B</w:t>
            </w:r>
          </w:p>
        </w:tc>
        <w:tc>
          <w:tcPr>
            <w:tcW w:w="1462" w:type="dxa"/>
            <w:vMerge w:val="restart"/>
            <w:shd w:val="clear" w:color="auto" w:fill="auto"/>
            <w:vAlign w:val="center"/>
          </w:tcPr>
          <w:p w14:paraId="132CF8E0">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235</w:t>
            </w:r>
          </w:p>
        </w:tc>
        <w:tc>
          <w:tcPr>
            <w:tcW w:w="1085" w:type="dxa"/>
            <w:vMerge w:val="restart"/>
            <w:shd w:val="clear" w:color="auto" w:fill="auto"/>
            <w:vAlign w:val="center"/>
          </w:tcPr>
          <w:p w14:paraId="3F5454FC">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370~500</w:t>
            </w:r>
          </w:p>
        </w:tc>
        <w:tc>
          <w:tcPr>
            <w:tcW w:w="1624" w:type="dxa"/>
            <w:vMerge w:val="restart"/>
            <w:shd w:val="clear" w:color="auto" w:fill="auto"/>
            <w:vAlign w:val="center"/>
          </w:tcPr>
          <w:p w14:paraId="2562F785">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26</w:t>
            </w:r>
          </w:p>
        </w:tc>
        <w:tc>
          <w:tcPr>
            <w:tcW w:w="692" w:type="dxa"/>
            <w:shd w:val="clear" w:color="auto" w:fill="auto"/>
            <w:vAlign w:val="center"/>
          </w:tcPr>
          <w:p w14:paraId="7CC8CDB4">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20</w:t>
            </w:r>
          </w:p>
        </w:tc>
        <w:tc>
          <w:tcPr>
            <w:tcW w:w="1416" w:type="dxa"/>
            <w:shd w:val="clear" w:color="auto" w:fill="auto"/>
            <w:vAlign w:val="center"/>
          </w:tcPr>
          <w:p w14:paraId="60BE7691">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27</w:t>
            </w:r>
          </w:p>
        </w:tc>
        <w:tc>
          <w:tcPr>
            <w:tcW w:w="1242" w:type="dxa"/>
            <w:vMerge w:val="restart"/>
            <w:shd w:val="clear" w:color="auto" w:fill="auto"/>
            <w:vAlign w:val="center"/>
          </w:tcPr>
          <w:p w14:paraId="28F8BD79">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D=a</w:t>
            </w:r>
          </w:p>
        </w:tc>
      </w:tr>
      <w:tr w14:paraId="26BA7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102" w:type="dxa"/>
            <w:vMerge w:val="continue"/>
            <w:shd w:val="clear" w:color="auto" w:fill="auto"/>
            <w:vAlign w:val="center"/>
          </w:tcPr>
          <w:p w14:paraId="6C308589">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721" w:type="dxa"/>
            <w:shd w:val="clear" w:color="auto" w:fill="auto"/>
            <w:vAlign w:val="center"/>
          </w:tcPr>
          <w:p w14:paraId="1C7FD5E7">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C</w:t>
            </w:r>
          </w:p>
        </w:tc>
        <w:tc>
          <w:tcPr>
            <w:tcW w:w="1462" w:type="dxa"/>
            <w:vMerge w:val="continue"/>
            <w:shd w:val="clear" w:color="auto" w:fill="auto"/>
            <w:vAlign w:val="center"/>
          </w:tcPr>
          <w:p w14:paraId="6F3DBF94">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085" w:type="dxa"/>
            <w:vMerge w:val="continue"/>
            <w:shd w:val="clear" w:color="auto" w:fill="auto"/>
            <w:vAlign w:val="center"/>
          </w:tcPr>
          <w:p w14:paraId="2EEB879A">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624" w:type="dxa"/>
            <w:vMerge w:val="continue"/>
            <w:shd w:val="clear" w:color="auto" w:fill="auto"/>
            <w:vAlign w:val="center"/>
          </w:tcPr>
          <w:p w14:paraId="1CBDFC15">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692" w:type="dxa"/>
            <w:shd w:val="clear" w:color="auto" w:fill="auto"/>
            <w:vAlign w:val="center"/>
          </w:tcPr>
          <w:p w14:paraId="55922357">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0</w:t>
            </w:r>
          </w:p>
        </w:tc>
        <w:tc>
          <w:tcPr>
            <w:tcW w:w="1416" w:type="dxa"/>
            <w:shd w:val="clear" w:color="auto" w:fill="auto"/>
            <w:vAlign w:val="center"/>
          </w:tcPr>
          <w:p w14:paraId="3F7C8300">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27</w:t>
            </w:r>
          </w:p>
        </w:tc>
        <w:tc>
          <w:tcPr>
            <w:tcW w:w="1242" w:type="dxa"/>
            <w:vMerge w:val="continue"/>
            <w:shd w:val="clear" w:color="auto" w:fill="auto"/>
            <w:vAlign w:val="center"/>
          </w:tcPr>
          <w:p w14:paraId="5C7C0635">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p>
        </w:tc>
      </w:tr>
      <w:tr w14:paraId="3B5AE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102" w:type="dxa"/>
            <w:vMerge w:val="continue"/>
            <w:shd w:val="clear" w:color="auto" w:fill="auto"/>
            <w:vAlign w:val="center"/>
          </w:tcPr>
          <w:p w14:paraId="5B08E872">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721" w:type="dxa"/>
            <w:shd w:val="clear" w:color="auto" w:fill="auto"/>
            <w:vAlign w:val="center"/>
          </w:tcPr>
          <w:p w14:paraId="7FCA4E07">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D</w:t>
            </w:r>
          </w:p>
        </w:tc>
        <w:tc>
          <w:tcPr>
            <w:tcW w:w="1462" w:type="dxa"/>
            <w:vMerge w:val="continue"/>
            <w:shd w:val="clear" w:color="auto" w:fill="auto"/>
            <w:vAlign w:val="center"/>
          </w:tcPr>
          <w:p w14:paraId="0F2062F9">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085" w:type="dxa"/>
            <w:vMerge w:val="continue"/>
            <w:shd w:val="clear" w:color="auto" w:fill="auto"/>
            <w:vAlign w:val="center"/>
          </w:tcPr>
          <w:p w14:paraId="6881AAD1">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624" w:type="dxa"/>
            <w:vMerge w:val="continue"/>
            <w:shd w:val="clear" w:color="auto" w:fill="auto"/>
            <w:vAlign w:val="center"/>
          </w:tcPr>
          <w:p w14:paraId="51831540">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692" w:type="dxa"/>
            <w:shd w:val="clear" w:color="auto" w:fill="auto"/>
            <w:vAlign w:val="center"/>
          </w:tcPr>
          <w:p w14:paraId="16E7197B">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-20</w:t>
            </w:r>
          </w:p>
        </w:tc>
        <w:tc>
          <w:tcPr>
            <w:tcW w:w="1416" w:type="dxa"/>
            <w:shd w:val="clear" w:color="auto" w:fill="auto"/>
            <w:vAlign w:val="center"/>
          </w:tcPr>
          <w:p w14:paraId="2CD325B9">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27</w:t>
            </w:r>
          </w:p>
        </w:tc>
        <w:tc>
          <w:tcPr>
            <w:tcW w:w="1242" w:type="dxa"/>
            <w:vMerge w:val="continue"/>
            <w:shd w:val="clear" w:color="auto" w:fill="auto"/>
            <w:vAlign w:val="center"/>
          </w:tcPr>
          <w:p w14:paraId="32BC5ACB">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p>
        </w:tc>
      </w:tr>
      <w:tr w14:paraId="78763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1102" w:type="dxa"/>
            <w:vMerge w:val="restart"/>
            <w:shd w:val="clear" w:color="auto" w:fill="auto"/>
            <w:vAlign w:val="center"/>
          </w:tcPr>
          <w:p w14:paraId="36E091A6">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Q275</w:t>
            </w:r>
          </w:p>
        </w:tc>
        <w:tc>
          <w:tcPr>
            <w:tcW w:w="721" w:type="dxa"/>
            <w:shd w:val="clear" w:color="auto" w:fill="auto"/>
            <w:vAlign w:val="center"/>
          </w:tcPr>
          <w:p w14:paraId="144019C5">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B</w:t>
            </w:r>
          </w:p>
        </w:tc>
        <w:tc>
          <w:tcPr>
            <w:tcW w:w="1462" w:type="dxa"/>
            <w:vMerge w:val="restart"/>
            <w:shd w:val="clear" w:color="auto" w:fill="auto"/>
            <w:vAlign w:val="center"/>
          </w:tcPr>
          <w:p w14:paraId="60406951">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275</w:t>
            </w:r>
          </w:p>
        </w:tc>
        <w:tc>
          <w:tcPr>
            <w:tcW w:w="1085" w:type="dxa"/>
            <w:vMerge w:val="restart"/>
            <w:shd w:val="clear" w:color="auto" w:fill="auto"/>
            <w:vAlign w:val="center"/>
          </w:tcPr>
          <w:p w14:paraId="2215245D">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410~540</w:t>
            </w:r>
          </w:p>
        </w:tc>
        <w:tc>
          <w:tcPr>
            <w:tcW w:w="1624" w:type="dxa"/>
            <w:vMerge w:val="restart"/>
            <w:shd w:val="clear" w:color="auto" w:fill="auto"/>
            <w:vAlign w:val="center"/>
          </w:tcPr>
          <w:p w14:paraId="27283D34">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22</w:t>
            </w:r>
          </w:p>
        </w:tc>
        <w:tc>
          <w:tcPr>
            <w:tcW w:w="692" w:type="dxa"/>
            <w:shd w:val="clear" w:color="auto" w:fill="auto"/>
            <w:vAlign w:val="center"/>
          </w:tcPr>
          <w:p w14:paraId="12357539">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20</w:t>
            </w:r>
          </w:p>
        </w:tc>
        <w:tc>
          <w:tcPr>
            <w:tcW w:w="1416" w:type="dxa"/>
            <w:shd w:val="clear" w:color="auto" w:fill="auto"/>
            <w:vAlign w:val="center"/>
          </w:tcPr>
          <w:p w14:paraId="4DC0CC9B">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27</w:t>
            </w:r>
          </w:p>
        </w:tc>
        <w:tc>
          <w:tcPr>
            <w:tcW w:w="1242" w:type="dxa"/>
            <w:vMerge w:val="restart"/>
            <w:shd w:val="clear" w:color="auto" w:fill="auto"/>
            <w:vAlign w:val="center"/>
          </w:tcPr>
          <w:p w14:paraId="4B1D06B1">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D=1.5a</w:t>
            </w:r>
          </w:p>
        </w:tc>
      </w:tr>
      <w:tr w14:paraId="4A29F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102" w:type="dxa"/>
            <w:vMerge w:val="continue"/>
            <w:shd w:val="clear" w:color="auto" w:fill="auto"/>
            <w:vAlign w:val="center"/>
          </w:tcPr>
          <w:p w14:paraId="5FBD33B2">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721" w:type="dxa"/>
            <w:shd w:val="clear" w:color="auto" w:fill="auto"/>
            <w:vAlign w:val="center"/>
          </w:tcPr>
          <w:p w14:paraId="7875233B">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C</w:t>
            </w:r>
          </w:p>
        </w:tc>
        <w:tc>
          <w:tcPr>
            <w:tcW w:w="1462" w:type="dxa"/>
            <w:vMerge w:val="continue"/>
            <w:shd w:val="clear" w:color="auto" w:fill="auto"/>
            <w:vAlign w:val="center"/>
          </w:tcPr>
          <w:p w14:paraId="40D57A08">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085" w:type="dxa"/>
            <w:vMerge w:val="continue"/>
            <w:shd w:val="clear" w:color="auto" w:fill="auto"/>
            <w:vAlign w:val="center"/>
          </w:tcPr>
          <w:p w14:paraId="58B75873">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624" w:type="dxa"/>
            <w:vMerge w:val="continue"/>
            <w:shd w:val="clear" w:color="auto" w:fill="auto"/>
            <w:vAlign w:val="center"/>
          </w:tcPr>
          <w:p w14:paraId="0CC921ED">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692" w:type="dxa"/>
            <w:shd w:val="clear" w:color="auto" w:fill="auto"/>
            <w:vAlign w:val="center"/>
          </w:tcPr>
          <w:p w14:paraId="07439E21">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0</w:t>
            </w:r>
          </w:p>
        </w:tc>
        <w:tc>
          <w:tcPr>
            <w:tcW w:w="1416" w:type="dxa"/>
            <w:shd w:val="clear" w:color="auto" w:fill="auto"/>
            <w:vAlign w:val="center"/>
          </w:tcPr>
          <w:p w14:paraId="1B273507">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27</w:t>
            </w:r>
          </w:p>
        </w:tc>
        <w:tc>
          <w:tcPr>
            <w:tcW w:w="1242" w:type="dxa"/>
            <w:vMerge w:val="continue"/>
            <w:shd w:val="clear" w:color="auto" w:fill="auto"/>
          </w:tcPr>
          <w:p w14:paraId="3247E7B5">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p>
        </w:tc>
      </w:tr>
      <w:tr w14:paraId="3C573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102" w:type="dxa"/>
            <w:vMerge w:val="continue"/>
            <w:shd w:val="clear" w:color="auto" w:fill="auto"/>
            <w:vAlign w:val="center"/>
          </w:tcPr>
          <w:p w14:paraId="47C0D6A3">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721" w:type="dxa"/>
            <w:shd w:val="clear" w:color="auto" w:fill="auto"/>
            <w:vAlign w:val="center"/>
          </w:tcPr>
          <w:p w14:paraId="4BF6FBB0">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D</w:t>
            </w:r>
          </w:p>
        </w:tc>
        <w:tc>
          <w:tcPr>
            <w:tcW w:w="1462" w:type="dxa"/>
            <w:vMerge w:val="continue"/>
            <w:shd w:val="clear" w:color="auto" w:fill="auto"/>
            <w:vAlign w:val="center"/>
          </w:tcPr>
          <w:p w14:paraId="5D226BEC">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085" w:type="dxa"/>
            <w:vMerge w:val="continue"/>
            <w:shd w:val="clear" w:color="auto" w:fill="auto"/>
            <w:vAlign w:val="center"/>
          </w:tcPr>
          <w:p w14:paraId="0C932689">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624" w:type="dxa"/>
            <w:vMerge w:val="continue"/>
            <w:shd w:val="clear" w:color="auto" w:fill="auto"/>
            <w:vAlign w:val="center"/>
          </w:tcPr>
          <w:p w14:paraId="043A1B88">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692" w:type="dxa"/>
            <w:shd w:val="clear" w:color="auto" w:fill="auto"/>
            <w:vAlign w:val="center"/>
          </w:tcPr>
          <w:p w14:paraId="5057166B">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-20</w:t>
            </w:r>
          </w:p>
        </w:tc>
        <w:tc>
          <w:tcPr>
            <w:tcW w:w="1416" w:type="dxa"/>
            <w:shd w:val="clear" w:color="auto" w:fill="auto"/>
            <w:vAlign w:val="center"/>
          </w:tcPr>
          <w:p w14:paraId="443EE801">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27</w:t>
            </w:r>
          </w:p>
        </w:tc>
        <w:tc>
          <w:tcPr>
            <w:tcW w:w="1242" w:type="dxa"/>
            <w:vMerge w:val="continue"/>
            <w:shd w:val="clear" w:color="auto" w:fill="auto"/>
          </w:tcPr>
          <w:p w14:paraId="4F765A36">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p>
        </w:tc>
      </w:tr>
      <w:tr w14:paraId="503FF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1102" w:type="dxa"/>
            <w:vMerge w:val="restart"/>
            <w:shd w:val="clear" w:color="auto" w:fill="auto"/>
            <w:vAlign w:val="center"/>
          </w:tcPr>
          <w:p w14:paraId="697DEF56">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Q355</w:t>
            </w:r>
          </w:p>
        </w:tc>
        <w:tc>
          <w:tcPr>
            <w:tcW w:w="721" w:type="dxa"/>
            <w:shd w:val="clear" w:color="auto" w:fill="auto"/>
            <w:vAlign w:val="center"/>
          </w:tcPr>
          <w:p w14:paraId="1D8FAE93">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B</w:t>
            </w:r>
          </w:p>
        </w:tc>
        <w:tc>
          <w:tcPr>
            <w:tcW w:w="1462" w:type="dxa"/>
            <w:vMerge w:val="restart"/>
            <w:shd w:val="clear" w:color="auto" w:fill="auto"/>
            <w:vAlign w:val="center"/>
          </w:tcPr>
          <w:p w14:paraId="1F53A55D">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355</w:t>
            </w:r>
          </w:p>
        </w:tc>
        <w:tc>
          <w:tcPr>
            <w:tcW w:w="1085" w:type="dxa"/>
            <w:vMerge w:val="restart"/>
            <w:shd w:val="clear" w:color="auto" w:fill="auto"/>
            <w:vAlign w:val="center"/>
          </w:tcPr>
          <w:p w14:paraId="66FBA292">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470~630</w:t>
            </w:r>
          </w:p>
        </w:tc>
        <w:tc>
          <w:tcPr>
            <w:tcW w:w="1624" w:type="dxa"/>
            <w:vMerge w:val="restart"/>
            <w:shd w:val="clear" w:color="auto" w:fill="auto"/>
            <w:vAlign w:val="center"/>
          </w:tcPr>
          <w:p w14:paraId="21576D99">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21</w:t>
            </w:r>
          </w:p>
        </w:tc>
        <w:tc>
          <w:tcPr>
            <w:tcW w:w="692" w:type="dxa"/>
            <w:shd w:val="clear" w:color="auto" w:fill="auto"/>
            <w:vAlign w:val="center"/>
          </w:tcPr>
          <w:p w14:paraId="25CC0F17">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20</w:t>
            </w:r>
          </w:p>
        </w:tc>
        <w:tc>
          <w:tcPr>
            <w:tcW w:w="1416" w:type="dxa"/>
            <w:shd w:val="clear" w:color="auto" w:fill="auto"/>
            <w:vAlign w:val="center"/>
          </w:tcPr>
          <w:p w14:paraId="32144FA3">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34</w:t>
            </w:r>
          </w:p>
        </w:tc>
        <w:tc>
          <w:tcPr>
            <w:tcW w:w="1242" w:type="dxa"/>
            <w:vMerge w:val="restart"/>
            <w:shd w:val="clear" w:color="auto" w:fill="auto"/>
            <w:vAlign w:val="center"/>
          </w:tcPr>
          <w:p w14:paraId="508A4A5C">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D=2a</w:t>
            </w:r>
          </w:p>
        </w:tc>
      </w:tr>
      <w:tr w14:paraId="3C94D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1102" w:type="dxa"/>
            <w:vMerge w:val="continue"/>
            <w:shd w:val="clear" w:color="auto" w:fill="auto"/>
            <w:vAlign w:val="center"/>
          </w:tcPr>
          <w:p w14:paraId="449430D7">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721" w:type="dxa"/>
            <w:shd w:val="clear" w:color="auto" w:fill="auto"/>
            <w:vAlign w:val="center"/>
          </w:tcPr>
          <w:p w14:paraId="042284CC">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C</w:t>
            </w:r>
          </w:p>
        </w:tc>
        <w:tc>
          <w:tcPr>
            <w:tcW w:w="1462" w:type="dxa"/>
            <w:vMerge w:val="continue"/>
            <w:shd w:val="clear" w:color="auto" w:fill="auto"/>
            <w:vAlign w:val="center"/>
          </w:tcPr>
          <w:p w14:paraId="3B4D2DAC">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085" w:type="dxa"/>
            <w:vMerge w:val="continue"/>
            <w:shd w:val="clear" w:color="auto" w:fill="auto"/>
            <w:vAlign w:val="center"/>
          </w:tcPr>
          <w:p w14:paraId="1ADDF5BB">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624" w:type="dxa"/>
            <w:vMerge w:val="continue"/>
            <w:shd w:val="clear" w:color="auto" w:fill="auto"/>
            <w:vAlign w:val="center"/>
          </w:tcPr>
          <w:p w14:paraId="5028BD08">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692" w:type="dxa"/>
            <w:shd w:val="clear" w:color="auto" w:fill="auto"/>
            <w:vAlign w:val="center"/>
          </w:tcPr>
          <w:p w14:paraId="7D64E3C8">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0</w:t>
            </w:r>
          </w:p>
        </w:tc>
        <w:tc>
          <w:tcPr>
            <w:tcW w:w="1416" w:type="dxa"/>
            <w:shd w:val="clear" w:color="auto" w:fill="auto"/>
            <w:vAlign w:val="center"/>
          </w:tcPr>
          <w:p w14:paraId="45E8BB4A">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34</w:t>
            </w:r>
          </w:p>
        </w:tc>
        <w:tc>
          <w:tcPr>
            <w:tcW w:w="1242" w:type="dxa"/>
            <w:vMerge w:val="continue"/>
            <w:shd w:val="clear" w:color="auto" w:fill="auto"/>
            <w:vAlign w:val="center"/>
          </w:tcPr>
          <w:p w14:paraId="0C65E87E">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r>
      <w:tr w14:paraId="38262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1102" w:type="dxa"/>
            <w:vMerge w:val="continue"/>
            <w:shd w:val="clear" w:color="auto" w:fill="auto"/>
            <w:vAlign w:val="center"/>
          </w:tcPr>
          <w:p w14:paraId="36322F56">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721" w:type="dxa"/>
            <w:shd w:val="clear" w:color="auto" w:fill="auto"/>
            <w:vAlign w:val="center"/>
          </w:tcPr>
          <w:p w14:paraId="3E4EC9F0">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D</w:t>
            </w:r>
          </w:p>
        </w:tc>
        <w:tc>
          <w:tcPr>
            <w:tcW w:w="1462" w:type="dxa"/>
            <w:vMerge w:val="continue"/>
            <w:shd w:val="clear" w:color="auto" w:fill="auto"/>
            <w:vAlign w:val="center"/>
          </w:tcPr>
          <w:p w14:paraId="6FA5D1E7">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085" w:type="dxa"/>
            <w:vMerge w:val="continue"/>
            <w:shd w:val="clear" w:color="auto" w:fill="auto"/>
            <w:vAlign w:val="center"/>
          </w:tcPr>
          <w:p w14:paraId="47728354">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624" w:type="dxa"/>
            <w:vMerge w:val="continue"/>
            <w:shd w:val="clear" w:color="auto" w:fill="auto"/>
            <w:vAlign w:val="center"/>
          </w:tcPr>
          <w:p w14:paraId="0F250376">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692" w:type="dxa"/>
            <w:shd w:val="clear" w:color="auto" w:fill="auto"/>
            <w:vAlign w:val="center"/>
          </w:tcPr>
          <w:p w14:paraId="5AAC81AB">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-20</w:t>
            </w:r>
          </w:p>
        </w:tc>
        <w:tc>
          <w:tcPr>
            <w:tcW w:w="1416" w:type="dxa"/>
            <w:shd w:val="clear" w:color="auto" w:fill="auto"/>
            <w:vAlign w:val="center"/>
          </w:tcPr>
          <w:p w14:paraId="1A028675">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34</w:t>
            </w:r>
          </w:p>
        </w:tc>
        <w:tc>
          <w:tcPr>
            <w:tcW w:w="1242" w:type="dxa"/>
            <w:vMerge w:val="continue"/>
            <w:shd w:val="clear" w:color="auto" w:fill="auto"/>
            <w:vAlign w:val="center"/>
          </w:tcPr>
          <w:p w14:paraId="6DED0002">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r>
      <w:tr w14:paraId="13A61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102" w:type="dxa"/>
            <w:vMerge w:val="restart"/>
            <w:shd w:val="clear" w:color="auto" w:fill="auto"/>
            <w:vAlign w:val="center"/>
          </w:tcPr>
          <w:p w14:paraId="41FB562A">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bookmarkStart w:id="28" w:name="_Hlk191021306"/>
            <w:r>
              <w:rPr>
                <w:rFonts w:ascii="Times New Roman"/>
                <w:color w:val="000000" w:themeColor="text1"/>
                <w:szCs w:val="18"/>
                <w14:textFill>
                  <w14:solidFill>
                    <w14:schemeClr w14:val="tx1"/>
                  </w14:solidFill>
                </w14:textFill>
              </w:rPr>
              <w:t>Q390</w:t>
            </w:r>
          </w:p>
        </w:tc>
        <w:tc>
          <w:tcPr>
            <w:tcW w:w="721" w:type="dxa"/>
            <w:shd w:val="clear" w:color="auto" w:fill="auto"/>
            <w:vAlign w:val="center"/>
          </w:tcPr>
          <w:p w14:paraId="3DF20844">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B</w:t>
            </w:r>
          </w:p>
        </w:tc>
        <w:tc>
          <w:tcPr>
            <w:tcW w:w="1462" w:type="dxa"/>
            <w:vMerge w:val="restart"/>
            <w:shd w:val="clear" w:color="auto" w:fill="auto"/>
            <w:vAlign w:val="center"/>
          </w:tcPr>
          <w:p w14:paraId="6225504A">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390</w:t>
            </w:r>
          </w:p>
        </w:tc>
        <w:tc>
          <w:tcPr>
            <w:tcW w:w="1085" w:type="dxa"/>
            <w:vMerge w:val="restart"/>
            <w:shd w:val="clear" w:color="auto" w:fill="auto"/>
            <w:vAlign w:val="center"/>
          </w:tcPr>
          <w:p w14:paraId="4C860837">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490~650</w:t>
            </w:r>
          </w:p>
        </w:tc>
        <w:tc>
          <w:tcPr>
            <w:tcW w:w="1624" w:type="dxa"/>
            <w:vMerge w:val="restart"/>
            <w:shd w:val="clear" w:color="auto" w:fill="auto"/>
            <w:vAlign w:val="center"/>
          </w:tcPr>
          <w:p w14:paraId="4CF5FDF2">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19</w:t>
            </w:r>
          </w:p>
        </w:tc>
        <w:tc>
          <w:tcPr>
            <w:tcW w:w="692" w:type="dxa"/>
            <w:shd w:val="clear" w:color="auto" w:fill="auto"/>
            <w:vAlign w:val="center"/>
          </w:tcPr>
          <w:p w14:paraId="1E555EBC">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20</w:t>
            </w:r>
          </w:p>
        </w:tc>
        <w:tc>
          <w:tcPr>
            <w:tcW w:w="1416" w:type="dxa"/>
            <w:shd w:val="clear" w:color="auto" w:fill="auto"/>
            <w:vAlign w:val="center"/>
          </w:tcPr>
          <w:p w14:paraId="141C1032">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34</w:t>
            </w:r>
          </w:p>
        </w:tc>
        <w:tc>
          <w:tcPr>
            <w:tcW w:w="1242" w:type="dxa"/>
            <w:vMerge w:val="restart"/>
            <w:shd w:val="clear" w:color="auto" w:fill="auto"/>
            <w:vAlign w:val="center"/>
          </w:tcPr>
          <w:p w14:paraId="740F42CB">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D=2a</w:t>
            </w:r>
          </w:p>
        </w:tc>
      </w:tr>
      <w:tr w14:paraId="19429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102" w:type="dxa"/>
            <w:vMerge w:val="continue"/>
            <w:shd w:val="clear" w:color="auto" w:fill="auto"/>
            <w:vAlign w:val="center"/>
          </w:tcPr>
          <w:p w14:paraId="447C97BC">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721" w:type="dxa"/>
            <w:shd w:val="clear" w:color="auto" w:fill="auto"/>
            <w:vAlign w:val="center"/>
          </w:tcPr>
          <w:p w14:paraId="7AD5EFD2">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C</w:t>
            </w:r>
          </w:p>
        </w:tc>
        <w:tc>
          <w:tcPr>
            <w:tcW w:w="1462" w:type="dxa"/>
            <w:vMerge w:val="continue"/>
            <w:shd w:val="clear" w:color="auto" w:fill="auto"/>
            <w:vAlign w:val="center"/>
          </w:tcPr>
          <w:p w14:paraId="7C5E3409">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085" w:type="dxa"/>
            <w:vMerge w:val="continue"/>
            <w:shd w:val="clear" w:color="auto" w:fill="auto"/>
            <w:vAlign w:val="center"/>
          </w:tcPr>
          <w:p w14:paraId="44FF3B13">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624" w:type="dxa"/>
            <w:vMerge w:val="continue"/>
            <w:shd w:val="clear" w:color="auto" w:fill="auto"/>
            <w:vAlign w:val="center"/>
          </w:tcPr>
          <w:p w14:paraId="0E8A20D8">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692" w:type="dxa"/>
            <w:shd w:val="clear" w:color="auto" w:fill="auto"/>
            <w:vAlign w:val="center"/>
          </w:tcPr>
          <w:p w14:paraId="580855CC">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0</w:t>
            </w:r>
          </w:p>
        </w:tc>
        <w:tc>
          <w:tcPr>
            <w:tcW w:w="1416" w:type="dxa"/>
            <w:shd w:val="clear" w:color="auto" w:fill="auto"/>
            <w:vAlign w:val="center"/>
          </w:tcPr>
          <w:p w14:paraId="641AC93F">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34</w:t>
            </w:r>
          </w:p>
        </w:tc>
        <w:tc>
          <w:tcPr>
            <w:tcW w:w="1242" w:type="dxa"/>
            <w:vMerge w:val="continue"/>
            <w:shd w:val="clear" w:color="auto" w:fill="auto"/>
            <w:vAlign w:val="center"/>
          </w:tcPr>
          <w:p w14:paraId="72A75A5D">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r>
      <w:bookmarkEnd w:id="28"/>
      <w:tr w14:paraId="75D68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102" w:type="dxa"/>
            <w:vMerge w:val="continue"/>
            <w:shd w:val="clear" w:color="auto" w:fill="auto"/>
            <w:vAlign w:val="center"/>
          </w:tcPr>
          <w:p w14:paraId="29E33464">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721" w:type="dxa"/>
            <w:shd w:val="clear" w:color="auto" w:fill="auto"/>
            <w:vAlign w:val="center"/>
          </w:tcPr>
          <w:p w14:paraId="0C5D9707">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D</w:t>
            </w:r>
          </w:p>
        </w:tc>
        <w:tc>
          <w:tcPr>
            <w:tcW w:w="1462" w:type="dxa"/>
            <w:vMerge w:val="continue"/>
            <w:shd w:val="clear" w:color="auto" w:fill="auto"/>
            <w:vAlign w:val="center"/>
          </w:tcPr>
          <w:p w14:paraId="7D77B1F1">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085" w:type="dxa"/>
            <w:vMerge w:val="continue"/>
            <w:shd w:val="clear" w:color="auto" w:fill="auto"/>
            <w:vAlign w:val="center"/>
          </w:tcPr>
          <w:p w14:paraId="73F278E9">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624" w:type="dxa"/>
            <w:vMerge w:val="continue"/>
            <w:shd w:val="clear" w:color="auto" w:fill="auto"/>
            <w:vAlign w:val="center"/>
          </w:tcPr>
          <w:p w14:paraId="38158758">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692" w:type="dxa"/>
            <w:shd w:val="clear" w:color="auto" w:fill="auto"/>
            <w:vAlign w:val="center"/>
          </w:tcPr>
          <w:p w14:paraId="507B009C">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-20</w:t>
            </w:r>
          </w:p>
        </w:tc>
        <w:tc>
          <w:tcPr>
            <w:tcW w:w="1416" w:type="dxa"/>
            <w:shd w:val="clear" w:color="auto" w:fill="auto"/>
            <w:vAlign w:val="center"/>
          </w:tcPr>
          <w:p w14:paraId="2CF608D2">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34</w:t>
            </w:r>
          </w:p>
        </w:tc>
        <w:tc>
          <w:tcPr>
            <w:tcW w:w="1242" w:type="dxa"/>
            <w:vMerge w:val="continue"/>
            <w:shd w:val="clear" w:color="auto" w:fill="auto"/>
            <w:vAlign w:val="center"/>
          </w:tcPr>
          <w:p w14:paraId="75BD2F8F">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r>
      <w:tr w14:paraId="61896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1102" w:type="dxa"/>
            <w:vMerge w:val="restart"/>
            <w:shd w:val="clear" w:color="auto" w:fill="auto"/>
            <w:vAlign w:val="center"/>
          </w:tcPr>
          <w:p w14:paraId="667975A1">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Q420</w:t>
            </w:r>
          </w:p>
        </w:tc>
        <w:tc>
          <w:tcPr>
            <w:tcW w:w="721" w:type="dxa"/>
            <w:shd w:val="clear" w:color="auto" w:fill="auto"/>
            <w:vAlign w:val="center"/>
          </w:tcPr>
          <w:p w14:paraId="29E3C50C">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B</w:t>
            </w:r>
          </w:p>
        </w:tc>
        <w:tc>
          <w:tcPr>
            <w:tcW w:w="1462" w:type="dxa"/>
            <w:vMerge w:val="restart"/>
            <w:shd w:val="clear" w:color="auto" w:fill="auto"/>
            <w:vAlign w:val="center"/>
          </w:tcPr>
          <w:p w14:paraId="5CA29EEB">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420</w:t>
            </w:r>
          </w:p>
        </w:tc>
        <w:tc>
          <w:tcPr>
            <w:tcW w:w="1085" w:type="dxa"/>
            <w:vMerge w:val="restart"/>
            <w:shd w:val="clear" w:color="auto" w:fill="auto"/>
            <w:vAlign w:val="center"/>
          </w:tcPr>
          <w:p w14:paraId="65B779C1">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520~680</w:t>
            </w:r>
          </w:p>
        </w:tc>
        <w:tc>
          <w:tcPr>
            <w:tcW w:w="1624" w:type="dxa"/>
            <w:vMerge w:val="restart"/>
            <w:shd w:val="clear" w:color="auto" w:fill="auto"/>
            <w:vAlign w:val="center"/>
          </w:tcPr>
          <w:p w14:paraId="4AC6DFE4">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19</w:t>
            </w:r>
          </w:p>
        </w:tc>
        <w:tc>
          <w:tcPr>
            <w:tcW w:w="692" w:type="dxa"/>
            <w:shd w:val="clear" w:color="auto" w:fill="auto"/>
            <w:vAlign w:val="center"/>
          </w:tcPr>
          <w:p w14:paraId="55260704">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20</w:t>
            </w:r>
          </w:p>
        </w:tc>
        <w:tc>
          <w:tcPr>
            <w:tcW w:w="1416" w:type="dxa"/>
            <w:shd w:val="clear" w:color="auto" w:fill="auto"/>
            <w:vAlign w:val="center"/>
          </w:tcPr>
          <w:p w14:paraId="4A88148E">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34</w:t>
            </w:r>
          </w:p>
        </w:tc>
        <w:tc>
          <w:tcPr>
            <w:tcW w:w="1242" w:type="dxa"/>
            <w:vMerge w:val="restart"/>
            <w:shd w:val="clear" w:color="auto" w:fill="auto"/>
            <w:vAlign w:val="center"/>
          </w:tcPr>
          <w:p w14:paraId="0AB0EDEE">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D=2a</w:t>
            </w:r>
          </w:p>
        </w:tc>
      </w:tr>
      <w:tr w14:paraId="780D0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trPr>
        <w:tc>
          <w:tcPr>
            <w:tcW w:w="1102" w:type="dxa"/>
            <w:vMerge w:val="continue"/>
            <w:shd w:val="clear" w:color="auto" w:fill="auto"/>
            <w:vAlign w:val="center"/>
          </w:tcPr>
          <w:p w14:paraId="24E4C397">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721" w:type="dxa"/>
            <w:shd w:val="clear" w:color="auto" w:fill="auto"/>
            <w:vAlign w:val="center"/>
          </w:tcPr>
          <w:p w14:paraId="773041A8">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C</w:t>
            </w:r>
          </w:p>
        </w:tc>
        <w:tc>
          <w:tcPr>
            <w:tcW w:w="1462" w:type="dxa"/>
            <w:vMerge w:val="continue"/>
            <w:shd w:val="clear" w:color="auto" w:fill="auto"/>
            <w:vAlign w:val="center"/>
          </w:tcPr>
          <w:p w14:paraId="1153C704">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085" w:type="dxa"/>
            <w:vMerge w:val="continue"/>
            <w:shd w:val="clear" w:color="auto" w:fill="auto"/>
            <w:vAlign w:val="center"/>
          </w:tcPr>
          <w:p w14:paraId="56069707">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1624" w:type="dxa"/>
            <w:vMerge w:val="continue"/>
            <w:shd w:val="clear" w:color="auto" w:fill="auto"/>
            <w:vAlign w:val="center"/>
          </w:tcPr>
          <w:p w14:paraId="55DCD8AF">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c>
          <w:tcPr>
            <w:tcW w:w="692" w:type="dxa"/>
            <w:shd w:val="clear" w:color="auto" w:fill="auto"/>
            <w:vAlign w:val="center"/>
          </w:tcPr>
          <w:p w14:paraId="6E7CA5B7">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0</w:t>
            </w:r>
          </w:p>
        </w:tc>
        <w:tc>
          <w:tcPr>
            <w:tcW w:w="1416" w:type="dxa"/>
            <w:shd w:val="clear" w:color="auto" w:fill="auto"/>
            <w:vAlign w:val="center"/>
          </w:tcPr>
          <w:p w14:paraId="1471960E">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34</w:t>
            </w:r>
          </w:p>
        </w:tc>
        <w:tc>
          <w:tcPr>
            <w:tcW w:w="1242" w:type="dxa"/>
            <w:vMerge w:val="continue"/>
            <w:shd w:val="clear" w:color="auto" w:fill="auto"/>
            <w:vAlign w:val="center"/>
          </w:tcPr>
          <w:p w14:paraId="649660D0">
            <w:pPr>
              <w:pStyle w:val="22"/>
              <w:keepNext w:val="0"/>
              <w:keepLines w:val="0"/>
              <w:pageBreakBefore w:val="0"/>
              <w:widowControl/>
              <w:numPr>
                <w:numId w:val="1"/>
              </w:numPr>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color w:val="000000" w:themeColor="text1"/>
                <w:szCs w:val="18"/>
                <w14:textFill>
                  <w14:solidFill>
                    <w14:schemeClr w14:val="tx1"/>
                  </w14:solidFill>
                </w14:textFill>
              </w:rPr>
            </w:pPr>
          </w:p>
        </w:tc>
      </w:tr>
      <w:tr w14:paraId="18848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1102" w:type="dxa"/>
            <w:shd w:val="clear" w:color="auto" w:fill="auto"/>
            <w:vAlign w:val="center"/>
          </w:tcPr>
          <w:p w14:paraId="6F2FF654">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Q460</w:t>
            </w:r>
          </w:p>
        </w:tc>
        <w:tc>
          <w:tcPr>
            <w:tcW w:w="721" w:type="dxa"/>
            <w:shd w:val="clear" w:color="auto" w:fill="auto"/>
            <w:vAlign w:val="center"/>
          </w:tcPr>
          <w:p w14:paraId="21E181C1">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C</w:t>
            </w:r>
          </w:p>
        </w:tc>
        <w:tc>
          <w:tcPr>
            <w:tcW w:w="1462" w:type="dxa"/>
            <w:shd w:val="clear" w:color="auto" w:fill="auto"/>
            <w:vAlign w:val="center"/>
          </w:tcPr>
          <w:p w14:paraId="1E09DCD1">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460</w:t>
            </w:r>
          </w:p>
        </w:tc>
        <w:tc>
          <w:tcPr>
            <w:tcW w:w="1085" w:type="dxa"/>
            <w:shd w:val="clear" w:color="auto" w:fill="auto"/>
            <w:vAlign w:val="center"/>
          </w:tcPr>
          <w:p w14:paraId="7B6911C4">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550~720</w:t>
            </w:r>
          </w:p>
        </w:tc>
        <w:tc>
          <w:tcPr>
            <w:tcW w:w="1624" w:type="dxa"/>
            <w:shd w:val="clear" w:color="auto" w:fill="auto"/>
            <w:vAlign w:val="center"/>
          </w:tcPr>
          <w:p w14:paraId="08DB963A">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17</w:t>
            </w:r>
          </w:p>
        </w:tc>
        <w:tc>
          <w:tcPr>
            <w:tcW w:w="692" w:type="dxa"/>
            <w:shd w:val="clear" w:color="auto" w:fill="auto"/>
            <w:vAlign w:val="center"/>
          </w:tcPr>
          <w:p w14:paraId="60ABE379">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0</w:t>
            </w:r>
          </w:p>
        </w:tc>
        <w:tc>
          <w:tcPr>
            <w:tcW w:w="1416" w:type="dxa"/>
            <w:shd w:val="clear" w:color="auto" w:fill="auto"/>
            <w:vAlign w:val="center"/>
          </w:tcPr>
          <w:p w14:paraId="6B1ED2A9">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34</w:t>
            </w:r>
          </w:p>
        </w:tc>
        <w:tc>
          <w:tcPr>
            <w:tcW w:w="1242" w:type="dxa"/>
            <w:shd w:val="clear" w:color="auto" w:fill="auto"/>
            <w:vAlign w:val="center"/>
          </w:tcPr>
          <w:p w14:paraId="02A42DA5">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D=2a</w:t>
            </w:r>
          </w:p>
        </w:tc>
      </w:tr>
      <w:tr w14:paraId="57054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1102" w:type="dxa"/>
            <w:shd w:val="clear" w:color="auto" w:fill="auto"/>
            <w:vAlign w:val="center"/>
          </w:tcPr>
          <w:p w14:paraId="73384ED7">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Q500M</w:t>
            </w:r>
          </w:p>
        </w:tc>
        <w:tc>
          <w:tcPr>
            <w:tcW w:w="721" w:type="dxa"/>
            <w:shd w:val="clear" w:color="auto" w:fill="auto"/>
            <w:vAlign w:val="center"/>
          </w:tcPr>
          <w:p w14:paraId="523573B5">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C</w:t>
            </w:r>
          </w:p>
        </w:tc>
        <w:tc>
          <w:tcPr>
            <w:tcW w:w="1462" w:type="dxa"/>
            <w:shd w:val="clear" w:color="auto" w:fill="auto"/>
            <w:vAlign w:val="center"/>
          </w:tcPr>
          <w:p w14:paraId="67A4CC48">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500</w:t>
            </w:r>
          </w:p>
        </w:tc>
        <w:tc>
          <w:tcPr>
            <w:tcW w:w="1085" w:type="dxa"/>
            <w:shd w:val="clear" w:color="auto" w:fill="auto"/>
            <w:vAlign w:val="center"/>
          </w:tcPr>
          <w:p w14:paraId="383DC4B7">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610~770</w:t>
            </w:r>
          </w:p>
        </w:tc>
        <w:tc>
          <w:tcPr>
            <w:tcW w:w="1624" w:type="dxa"/>
            <w:shd w:val="clear" w:color="auto" w:fill="auto"/>
            <w:vAlign w:val="center"/>
          </w:tcPr>
          <w:p w14:paraId="34B08329">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17</w:t>
            </w:r>
          </w:p>
        </w:tc>
        <w:tc>
          <w:tcPr>
            <w:tcW w:w="692" w:type="dxa"/>
            <w:shd w:val="clear" w:color="auto" w:fill="auto"/>
            <w:vAlign w:val="center"/>
          </w:tcPr>
          <w:p w14:paraId="72A49E33">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0</w:t>
            </w:r>
          </w:p>
        </w:tc>
        <w:tc>
          <w:tcPr>
            <w:tcW w:w="1416" w:type="dxa"/>
            <w:shd w:val="clear" w:color="auto" w:fill="auto"/>
            <w:vAlign w:val="center"/>
          </w:tcPr>
          <w:p w14:paraId="3055F05B">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55</w:t>
            </w:r>
          </w:p>
        </w:tc>
        <w:tc>
          <w:tcPr>
            <w:tcW w:w="1242" w:type="dxa"/>
            <w:shd w:val="clear" w:color="auto" w:fill="auto"/>
            <w:vAlign w:val="center"/>
          </w:tcPr>
          <w:p w14:paraId="6BF2A733">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D=2a</w:t>
            </w:r>
          </w:p>
        </w:tc>
      </w:tr>
      <w:tr w14:paraId="188C1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344" w:type="dxa"/>
            <w:gridSpan w:val="8"/>
            <w:shd w:val="clear" w:color="auto" w:fill="auto"/>
          </w:tcPr>
          <w:p w14:paraId="614025D4">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left"/>
              <w:textAlignment w:val="auto"/>
              <w:rPr>
                <w:rFonts w:ascii="Times New Roman"/>
                <w:color w:val="000000" w:themeColor="text1"/>
                <w:szCs w:val="18"/>
                <w:vertAlign w:val="superscript"/>
                <w14:textFill>
                  <w14:solidFill>
                    <w14:schemeClr w14:val="tx1"/>
                  </w14:solidFill>
                </w14:textFill>
              </w:rPr>
            </w:pPr>
            <w:r>
              <w:rPr>
                <w:rFonts w:ascii="Times New Roman"/>
                <w:color w:val="000000" w:themeColor="text1"/>
                <w:szCs w:val="18"/>
                <w:vertAlign w:val="superscript"/>
                <w14:textFill>
                  <w14:solidFill>
                    <w14:schemeClr w14:val="tx1"/>
                  </w14:solidFill>
                </w14:textFill>
              </w:rPr>
              <w:t>a</w:t>
            </w:r>
            <w:r>
              <w:rPr>
                <w:rFonts w:ascii="Times New Roman"/>
                <w:color w:val="000000" w:themeColor="text1"/>
                <w:szCs w:val="18"/>
                <w14:textFill>
                  <w14:solidFill>
                    <w14:schemeClr w14:val="tx1"/>
                  </w14:solidFill>
                </w14:textFill>
              </w:rPr>
              <w:t>当屈服强度不明显时，可测量R</w:t>
            </w:r>
            <w:r>
              <w:rPr>
                <w:rFonts w:ascii="Times New Roman"/>
                <w:color w:val="000000" w:themeColor="text1"/>
                <w:szCs w:val="18"/>
                <w:vertAlign w:val="subscript"/>
                <w14:textFill>
                  <w14:solidFill>
                    <w14:schemeClr w14:val="tx1"/>
                  </w14:solidFill>
                </w14:textFill>
              </w:rPr>
              <w:t>p0.2</w:t>
            </w:r>
            <w:r>
              <w:rPr>
                <w:rFonts w:ascii="Times New Roman"/>
                <w:color w:val="000000" w:themeColor="text1"/>
                <w:szCs w:val="18"/>
                <w14:textFill>
                  <w14:solidFill>
                    <w14:schemeClr w14:val="tx1"/>
                  </w14:solidFill>
                </w14:textFill>
              </w:rPr>
              <w:t>或R</w:t>
            </w:r>
            <w:r>
              <w:rPr>
                <w:rFonts w:ascii="Times New Roman"/>
                <w:color w:val="000000" w:themeColor="text1"/>
                <w:szCs w:val="18"/>
                <w:vertAlign w:val="subscript"/>
                <w14:textFill>
                  <w14:solidFill>
                    <w14:schemeClr w14:val="tx1"/>
                  </w14:solidFill>
                </w14:textFill>
              </w:rPr>
              <w:t>t0.5</w:t>
            </w:r>
            <w:r>
              <w:rPr>
                <w:rFonts w:ascii="Times New Roman"/>
                <w:color w:val="000000" w:themeColor="text1"/>
                <w:szCs w:val="18"/>
                <w14:textFill>
                  <w14:solidFill>
                    <w14:schemeClr w14:val="tx1"/>
                  </w14:solidFill>
                </w14:textFill>
              </w:rPr>
              <w:t>代替下屈服强度。</w:t>
            </w:r>
          </w:p>
        </w:tc>
      </w:tr>
      <w:bookmarkEnd w:id="27"/>
    </w:tbl>
    <w:p w14:paraId="5AC9BD95">
      <w:pPr>
        <w:pStyle w:val="50"/>
        <w:numPr>
          <w:ilvl w:val="2"/>
          <w:numId w:val="3"/>
        </w:numPr>
        <w:spacing w:beforeLines="0" w:afterLines="0"/>
        <w:rPr>
          <w:rFonts w:ascii="Times New Roman" w:eastAsia="宋体"/>
        </w:rPr>
      </w:pPr>
      <w:bookmarkStart w:id="29" w:name="_Hlk191038703"/>
      <w:r>
        <w:rPr>
          <w:rFonts w:hint="eastAsia" w:ascii="Times New Roman" w:eastAsia="宋体"/>
        </w:rPr>
        <w:t>钢管力学性能</w:t>
      </w:r>
    </w:p>
    <w:bookmarkEnd w:id="29"/>
    <w:p w14:paraId="093E6E49">
      <w:pPr>
        <w:pStyle w:val="50"/>
        <w:numPr>
          <w:ilvl w:val="3"/>
          <w:numId w:val="3"/>
        </w:numPr>
        <w:spacing w:beforeLines="0" w:afterLines="0"/>
        <w:rPr>
          <w:rFonts w:ascii="Times New Roman" w:eastAsia="宋体"/>
        </w:rPr>
      </w:pPr>
      <w:bookmarkStart w:id="30" w:name="_Hlk183954888"/>
      <w:r>
        <w:rPr>
          <w:rFonts w:hint="eastAsia" w:ascii="Times New Roman" w:eastAsia="宋体"/>
        </w:rPr>
        <w:t>钢管的力学性能应符合表2的规定。</w:t>
      </w:r>
    </w:p>
    <w:p w14:paraId="6B3068DB">
      <w:pPr>
        <w:pStyle w:val="50"/>
        <w:numPr>
          <w:ilvl w:val="3"/>
          <w:numId w:val="3"/>
        </w:numPr>
        <w:spacing w:beforeLines="0" w:afterLines="0"/>
        <w:rPr>
          <w:rFonts w:ascii="Times New Roman" w:eastAsia="宋体"/>
        </w:rPr>
      </w:pPr>
      <w:r>
        <w:rPr>
          <w:rFonts w:hint="eastAsia" w:ascii="Times New Roman" w:eastAsia="宋体"/>
        </w:rPr>
        <w:t>冲击吸收能量按一组3个试样的算术平均值计算，允许一个试验值低于平均值，但不得低于规定值的 70%。</w:t>
      </w:r>
    </w:p>
    <w:p w14:paraId="7F349816">
      <w:pPr>
        <w:pStyle w:val="143"/>
        <w:numPr>
          <w:ilvl w:val="3"/>
          <w:numId w:val="3"/>
        </w:numPr>
        <w:ind w:firstLineChars="0"/>
        <w:rPr>
          <w:rFonts w:ascii="Times New Roman" w:hAnsi="Times New Roman"/>
          <w:kern w:val="0"/>
          <w:szCs w:val="21"/>
        </w:rPr>
      </w:pPr>
      <w:r>
        <w:rPr>
          <w:rFonts w:hint="eastAsia"/>
        </w:rPr>
        <w:t>钢管厚度不</w:t>
      </w:r>
      <w:r>
        <w:rPr>
          <w:rFonts w:ascii="Times New Roman" w:hAnsi="Times New Roman"/>
        </w:rPr>
        <w:t>大于10mm时，可分别取10mm×7.5mm×55mm 或10mm×5mm×55mm的小尺寸试样，此时的冲击吸收能量不小于规定值的75%、50%。</w:t>
      </w:r>
      <w:r>
        <w:rPr>
          <w:rFonts w:ascii="Times New Roman" w:hAnsi="Times New Roman"/>
          <w:kern w:val="0"/>
          <w:szCs w:val="21"/>
        </w:rPr>
        <w:t>优先采用较大尺寸试样。</w:t>
      </w:r>
      <w:r>
        <w:rPr>
          <w:rFonts w:ascii="Times New Roman" w:hAnsi="Times New Roman"/>
        </w:rPr>
        <w:t>管厚度不大于6mm 且外径不大于219mm时，不要求进行冲击试验。</w:t>
      </w:r>
    </w:p>
    <w:bookmarkEnd w:id="30"/>
    <w:p w14:paraId="2F016B2D">
      <w:pPr>
        <w:pStyle w:val="22"/>
        <w:numPr>
          <w:ilvl w:val="0"/>
          <w:numId w:val="6"/>
        </w:numPr>
        <w:tabs>
          <w:tab w:val="clear" w:pos="4201"/>
          <w:tab w:val="clear" w:pos="9298"/>
        </w:tabs>
        <w:spacing w:before="156" w:beforeLines="50" w:after="156" w:afterLines="50"/>
        <w:ind w:left="0" w:firstLine="0" w:firstLineChars="0"/>
        <w:jc w:val="center"/>
        <w:rPr>
          <w:rFonts w:ascii="Times New Roman" w:eastAsia="黑体"/>
        </w:rPr>
      </w:pPr>
      <w:bookmarkStart w:id="31" w:name="_Hlk183954928"/>
      <w:r>
        <w:rPr>
          <w:rFonts w:hint="eastAsia" w:ascii="Times New Roman" w:eastAsia="黑体"/>
        </w:rPr>
        <w:t>钢管的力学性能</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
        <w:gridCol w:w="1217"/>
        <w:gridCol w:w="1134"/>
        <w:gridCol w:w="1275"/>
        <w:gridCol w:w="1283"/>
        <w:gridCol w:w="1412"/>
        <w:gridCol w:w="1978"/>
      </w:tblGrid>
      <w:tr w14:paraId="1B808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 w:type="dxa"/>
            <w:vMerge w:val="restart"/>
            <w:shd w:val="clear" w:color="auto" w:fill="auto"/>
            <w:vAlign w:val="center"/>
          </w:tcPr>
          <w:p w14:paraId="62A5DA54">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牌号</w:t>
            </w:r>
          </w:p>
        </w:tc>
        <w:tc>
          <w:tcPr>
            <w:tcW w:w="2351" w:type="dxa"/>
            <w:gridSpan w:val="2"/>
            <w:shd w:val="clear" w:color="auto" w:fill="auto"/>
            <w:vAlign w:val="center"/>
          </w:tcPr>
          <w:p w14:paraId="40889591">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下屈服强度</w:t>
            </w:r>
            <w:r>
              <w:rPr>
                <w:rFonts w:ascii="Times New Roman"/>
                <w:color w:val="000000" w:themeColor="text1"/>
                <w:szCs w:val="18"/>
                <w:vertAlign w:val="superscript"/>
                <w14:textFill>
                  <w14:solidFill>
                    <w14:schemeClr w14:val="tx1"/>
                  </w14:solidFill>
                </w14:textFill>
              </w:rPr>
              <w:t>a</w:t>
            </w:r>
          </w:p>
          <w:p w14:paraId="0FB5A548">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ReL/MPa</w:t>
            </w:r>
          </w:p>
        </w:tc>
        <w:tc>
          <w:tcPr>
            <w:tcW w:w="1275" w:type="dxa"/>
            <w:vMerge w:val="restart"/>
            <w:shd w:val="clear" w:color="auto" w:fill="auto"/>
            <w:vAlign w:val="center"/>
          </w:tcPr>
          <w:p w14:paraId="69C44CE5">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抗拉强度</w:t>
            </w:r>
          </w:p>
          <w:p w14:paraId="469269B0">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Rm/MPa</w:t>
            </w:r>
          </w:p>
        </w:tc>
        <w:tc>
          <w:tcPr>
            <w:tcW w:w="2695" w:type="dxa"/>
            <w:gridSpan w:val="2"/>
            <w:shd w:val="clear" w:color="auto" w:fill="auto"/>
            <w:vAlign w:val="center"/>
          </w:tcPr>
          <w:p w14:paraId="2131B74A">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断后伸长率A/%</w:t>
            </w:r>
          </w:p>
        </w:tc>
        <w:tc>
          <w:tcPr>
            <w:tcW w:w="1978" w:type="dxa"/>
            <w:vMerge w:val="restart"/>
            <w:shd w:val="clear" w:color="auto" w:fill="auto"/>
            <w:vAlign w:val="center"/>
          </w:tcPr>
          <w:p w14:paraId="4E034B80">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bookmarkStart w:id="32" w:name="OLE_LINK15"/>
            <w:r>
              <w:rPr>
                <w:rFonts w:hint="eastAsia" w:ascii="Times New Roman"/>
                <w:color w:val="000000" w:themeColor="text1"/>
                <w:szCs w:val="18"/>
                <w14:textFill>
                  <w14:solidFill>
                    <w14:schemeClr w14:val="tx1"/>
                  </w14:solidFill>
                </w14:textFill>
              </w:rPr>
              <w:t>冲击吸收能量</w:t>
            </w:r>
            <w:r>
              <w:rPr>
                <w:rFonts w:hint="eastAsia" w:ascii="Times New Roman"/>
                <w:color w:val="000000" w:themeColor="text1"/>
                <w:szCs w:val="18"/>
                <w:vertAlign w:val="superscript"/>
                <w14:textFill>
                  <w14:solidFill>
                    <w14:schemeClr w14:val="tx1"/>
                  </w14:solidFill>
                </w14:textFill>
              </w:rPr>
              <w:t>b</w:t>
            </w:r>
            <w:r>
              <w:rPr>
                <w:rFonts w:hint="eastAsia" w:ascii="Times New Roman"/>
                <w:color w:val="000000" w:themeColor="text1"/>
                <w:szCs w:val="18"/>
                <w14:textFill>
                  <w14:solidFill>
                    <w14:schemeClr w14:val="tx1"/>
                  </w14:solidFill>
                </w14:textFill>
              </w:rPr>
              <w:t>（KV</w:t>
            </w:r>
            <w:r>
              <w:rPr>
                <w:rFonts w:hint="eastAsia" w:ascii="Times New Roman"/>
                <w:color w:val="000000" w:themeColor="text1"/>
                <w:szCs w:val="18"/>
                <w:vertAlign w:val="subscript"/>
                <w14:textFill>
                  <w14:solidFill>
                    <w14:schemeClr w14:val="tx1"/>
                  </w14:solidFill>
                </w14:textFill>
              </w:rPr>
              <w:t>2</w:t>
            </w:r>
            <w:r>
              <w:rPr>
                <w:rFonts w:hint="eastAsia" w:ascii="Times New Roman"/>
                <w:color w:val="000000" w:themeColor="text1"/>
                <w:szCs w:val="18"/>
                <w14:textFill>
                  <w14:solidFill>
                    <w14:schemeClr w14:val="tx1"/>
                  </w14:solidFill>
                </w14:textFill>
              </w:rPr>
              <w:t>）J</w:t>
            </w:r>
            <w:bookmarkEnd w:id="32"/>
          </w:p>
        </w:tc>
      </w:tr>
      <w:tr w14:paraId="65C23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 w:type="dxa"/>
            <w:vMerge w:val="continue"/>
            <w:shd w:val="clear" w:color="auto" w:fill="auto"/>
          </w:tcPr>
          <w:p w14:paraId="482F2879">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textAlignment w:val="auto"/>
              <w:rPr>
                <w:rFonts w:ascii="Times New Roman"/>
                <w:color w:val="000000" w:themeColor="text1"/>
                <w:szCs w:val="18"/>
                <w14:textFill>
                  <w14:solidFill>
                    <w14:schemeClr w14:val="tx1"/>
                  </w14:solidFill>
                </w14:textFill>
              </w:rPr>
            </w:pPr>
            <w:bookmarkStart w:id="33" w:name="_Hlk191038938"/>
          </w:p>
        </w:tc>
        <w:tc>
          <w:tcPr>
            <w:tcW w:w="1217" w:type="dxa"/>
            <w:shd w:val="clear" w:color="auto" w:fill="auto"/>
          </w:tcPr>
          <w:p w14:paraId="4A794586">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t≤16mm</w:t>
            </w:r>
          </w:p>
        </w:tc>
        <w:tc>
          <w:tcPr>
            <w:tcW w:w="1134" w:type="dxa"/>
            <w:shd w:val="clear" w:color="auto" w:fill="auto"/>
          </w:tcPr>
          <w:p w14:paraId="5430830C">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t＞16mm</w:t>
            </w:r>
          </w:p>
        </w:tc>
        <w:tc>
          <w:tcPr>
            <w:tcW w:w="1275" w:type="dxa"/>
            <w:vMerge w:val="continue"/>
            <w:shd w:val="clear" w:color="auto" w:fill="auto"/>
          </w:tcPr>
          <w:p w14:paraId="64203C13">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textAlignment w:val="auto"/>
              <w:rPr>
                <w:rFonts w:ascii="Times New Roman"/>
                <w:color w:val="000000" w:themeColor="text1"/>
                <w:szCs w:val="18"/>
                <w14:textFill>
                  <w14:solidFill>
                    <w14:schemeClr w14:val="tx1"/>
                  </w14:solidFill>
                </w14:textFill>
              </w:rPr>
            </w:pPr>
          </w:p>
        </w:tc>
        <w:tc>
          <w:tcPr>
            <w:tcW w:w="1283" w:type="dxa"/>
            <w:shd w:val="clear" w:color="auto" w:fill="auto"/>
          </w:tcPr>
          <w:p w14:paraId="43AD8124">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left"/>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D≤168.3mm</w:t>
            </w:r>
          </w:p>
        </w:tc>
        <w:tc>
          <w:tcPr>
            <w:tcW w:w="1412" w:type="dxa"/>
            <w:shd w:val="clear" w:color="auto" w:fill="auto"/>
          </w:tcPr>
          <w:p w14:paraId="72400C8E">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left"/>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D＞168.3mm</w:t>
            </w:r>
          </w:p>
        </w:tc>
        <w:tc>
          <w:tcPr>
            <w:tcW w:w="1978" w:type="dxa"/>
            <w:vMerge w:val="continue"/>
            <w:shd w:val="clear" w:color="auto" w:fill="auto"/>
          </w:tcPr>
          <w:p w14:paraId="0F010582">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left"/>
              <w:textAlignment w:val="auto"/>
              <w:rPr>
                <w:rFonts w:ascii="Times New Roman"/>
                <w:color w:val="000000" w:themeColor="text1"/>
                <w:szCs w:val="18"/>
                <w14:textFill>
                  <w14:solidFill>
                    <w14:schemeClr w14:val="tx1"/>
                  </w14:solidFill>
                </w14:textFill>
              </w:rPr>
            </w:pPr>
          </w:p>
        </w:tc>
      </w:tr>
      <w:bookmarkEnd w:id="33"/>
      <w:tr w14:paraId="49D0A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 w:type="dxa"/>
            <w:vMerge w:val="continue"/>
            <w:shd w:val="clear" w:color="auto" w:fill="auto"/>
          </w:tcPr>
          <w:p w14:paraId="7BB92BDF">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textAlignment w:val="auto"/>
              <w:rPr>
                <w:rFonts w:ascii="Times New Roman"/>
                <w:color w:val="000000" w:themeColor="text1"/>
                <w:szCs w:val="18"/>
                <w14:textFill>
                  <w14:solidFill>
                    <w14:schemeClr w14:val="tx1"/>
                  </w14:solidFill>
                </w14:textFill>
              </w:rPr>
            </w:pPr>
          </w:p>
        </w:tc>
        <w:tc>
          <w:tcPr>
            <w:tcW w:w="8299" w:type="dxa"/>
            <w:gridSpan w:val="6"/>
            <w:shd w:val="clear" w:color="auto" w:fill="auto"/>
            <w:vAlign w:val="center"/>
          </w:tcPr>
          <w:p w14:paraId="4F1C0FB0">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不小于</w:t>
            </w:r>
          </w:p>
        </w:tc>
      </w:tr>
      <w:tr w14:paraId="384EF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 w:type="dxa"/>
            <w:shd w:val="clear" w:color="auto" w:fill="auto"/>
            <w:vAlign w:val="center"/>
          </w:tcPr>
          <w:p w14:paraId="77161175">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bookmarkStart w:id="34" w:name="_Hlk191039709"/>
            <w:r>
              <w:rPr>
                <w:rFonts w:ascii="Times New Roman"/>
                <w:color w:val="000000" w:themeColor="text1"/>
                <w:szCs w:val="18"/>
                <w14:textFill>
                  <w14:solidFill>
                    <w14:schemeClr w14:val="tx1"/>
                  </w14:solidFill>
                </w14:textFill>
              </w:rPr>
              <w:t>Q235B、Q235C</w:t>
            </w:r>
            <w:r>
              <w:rPr>
                <w:rFonts w:hint="eastAsia" w:ascii="Times New Roman"/>
                <w:color w:val="000000" w:themeColor="text1"/>
                <w:szCs w:val="18"/>
                <w14:textFill>
                  <w14:solidFill>
                    <w14:schemeClr w14:val="tx1"/>
                  </w14:solidFill>
                </w14:textFill>
              </w:rPr>
              <w:t>、Q235D</w:t>
            </w:r>
          </w:p>
        </w:tc>
        <w:tc>
          <w:tcPr>
            <w:tcW w:w="1217" w:type="dxa"/>
            <w:shd w:val="clear" w:color="auto" w:fill="auto"/>
            <w:vAlign w:val="center"/>
          </w:tcPr>
          <w:p w14:paraId="7419B5CA">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235</w:t>
            </w:r>
          </w:p>
        </w:tc>
        <w:tc>
          <w:tcPr>
            <w:tcW w:w="1134" w:type="dxa"/>
            <w:shd w:val="clear" w:color="auto" w:fill="auto"/>
            <w:vAlign w:val="center"/>
          </w:tcPr>
          <w:p w14:paraId="24A8A4A0">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225</w:t>
            </w:r>
          </w:p>
        </w:tc>
        <w:tc>
          <w:tcPr>
            <w:tcW w:w="1275" w:type="dxa"/>
            <w:shd w:val="clear" w:color="auto" w:fill="auto"/>
            <w:vAlign w:val="center"/>
          </w:tcPr>
          <w:p w14:paraId="74C04FFC">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37</w:t>
            </w:r>
            <w:r>
              <w:rPr>
                <w:rFonts w:hint="eastAsia" w:ascii="Times New Roman"/>
                <w:color w:val="000000" w:themeColor="text1"/>
                <w:szCs w:val="18"/>
                <w14:textFill>
                  <w14:solidFill>
                    <w14:schemeClr w14:val="tx1"/>
                  </w14:solidFill>
                </w14:textFill>
              </w:rPr>
              <w:t>5~500</w:t>
            </w:r>
          </w:p>
        </w:tc>
        <w:tc>
          <w:tcPr>
            <w:tcW w:w="1283" w:type="dxa"/>
            <w:shd w:val="clear" w:color="auto" w:fill="auto"/>
            <w:vAlign w:val="center"/>
          </w:tcPr>
          <w:p w14:paraId="266A65F3">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15</w:t>
            </w:r>
          </w:p>
        </w:tc>
        <w:tc>
          <w:tcPr>
            <w:tcW w:w="1412" w:type="dxa"/>
            <w:shd w:val="clear" w:color="auto" w:fill="auto"/>
            <w:vAlign w:val="center"/>
          </w:tcPr>
          <w:p w14:paraId="10C969CA">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20</w:t>
            </w:r>
          </w:p>
        </w:tc>
        <w:tc>
          <w:tcPr>
            <w:tcW w:w="1978" w:type="dxa"/>
            <w:shd w:val="clear" w:color="auto" w:fill="auto"/>
            <w:vAlign w:val="center"/>
          </w:tcPr>
          <w:p w14:paraId="0ABC20C9">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27</w:t>
            </w:r>
          </w:p>
        </w:tc>
      </w:tr>
      <w:tr w14:paraId="6AB29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 w:type="dxa"/>
            <w:shd w:val="clear" w:color="auto" w:fill="auto"/>
            <w:vAlign w:val="center"/>
          </w:tcPr>
          <w:p w14:paraId="7DC6BF05">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Q275B、</w:t>
            </w:r>
            <w:bookmarkStart w:id="35" w:name="OLE_LINK5"/>
            <w:r>
              <w:rPr>
                <w:rFonts w:ascii="Times New Roman"/>
                <w:color w:val="000000" w:themeColor="text1"/>
                <w:szCs w:val="18"/>
                <w14:textFill>
                  <w14:solidFill>
                    <w14:schemeClr w14:val="tx1"/>
                  </w14:solidFill>
                </w14:textFill>
              </w:rPr>
              <w:t>Q275C</w:t>
            </w:r>
            <w:bookmarkEnd w:id="35"/>
          </w:p>
          <w:p w14:paraId="15824C17">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Q275</w:t>
            </w:r>
            <w:r>
              <w:rPr>
                <w:rFonts w:hint="eastAsia" w:ascii="Times New Roman"/>
                <w:color w:val="000000" w:themeColor="text1"/>
                <w:szCs w:val="18"/>
                <w14:textFill>
                  <w14:solidFill>
                    <w14:schemeClr w14:val="tx1"/>
                  </w14:solidFill>
                </w14:textFill>
              </w:rPr>
              <w:t>D</w:t>
            </w:r>
          </w:p>
        </w:tc>
        <w:tc>
          <w:tcPr>
            <w:tcW w:w="1217" w:type="dxa"/>
            <w:shd w:val="clear" w:color="auto" w:fill="auto"/>
            <w:vAlign w:val="center"/>
          </w:tcPr>
          <w:p w14:paraId="2CC1533D">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275</w:t>
            </w:r>
          </w:p>
        </w:tc>
        <w:tc>
          <w:tcPr>
            <w:tcW w:w="1134" w:type="dxa"/>
            <w:shd w:val="clear" w:color="auto" w:fill="auto"/>
            <w:vAlign w:val="center"/>
          </w:tcPr>
          <w:p w14:paraId="42ADCFEB">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265</w:t>
            </w:r>
          </w:p>
        </w:tc>
        <w:tc>
          <w:tcPr>
            <w:tcW w:w="1275" w:type="dxa"/>
            <w:shd w:val="clear" w:color="auto" w:fill="auto"/>
            <w:vAlign w:val="center"/>
          </w:tcPr>
          <w:p w14:paraId="210E41BD">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410</w:t>
            </w:r>
            <w:r>
              <w:rPr>
                <w:rFonts w:hint="eastAsia" w:ascii="Times New Roman"/>
                <w:color w:val="000000" w:themeColor="text1"/>
                <w:szCs w:val="18"/>
                <w14:textFill>
                  <w14:solidFill>
                    <w14:schemeClr w14:val="tx1"/>
                  </w14:solidFill>
                </w14:textFill>
              </w:rPr>
              <w:t>~540</w:t>
            </w:r>
          </w:p>
        </w:tc>
        <w:tc>
          <w:tcPr>
            <w:tcW w:w="1283" w:type="dxa"/>
            <w:shd w:val="clear" w:color="auto" w:fill="auto"/>
            <w:vAlign w:val="center"/>
          </w:tcPr>
          <w:p w14:paraId="02C80C4A">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13</w:t>
            </w:r>
          </w:p>
        </w:tc>
        <w:tc>
          <w:tcPr>
            <w:tcW w:w="1412" w:type="dxa"/>
            <w:shd w:val="clear" w:color="auto" w:fill="auto"/>
            <w:vAlign w:val="center"/>
          </w:tcPr>
          <w:p w14:paraId="3AFCC18F">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18</w:t>
            </w:r>
          </w:p>
        </w:tc>
        <w:tc>
          <w:tcPr>
            <w:tcW w:w="1978" w:type="dxa"/>
            <w:shd w:val="clear" w:color="auto" w:fill="auto"/>
            <w:vAlign w:val="center"/>
          </w:tcPr>
          <w:p w14:paraId="65F08E0A">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27</w:t>
            </w:r>
          </w:p>
        </w:tc>
      </w:tr>
      <w:tr w14:paraId="7784B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 w:type="dxa"/>
            <w:shd w:val="clear" w:color="auto" w:fill="auto"/>
            <w:vAlign w:val="center"/>
          </w:tcPr>
          <w:p w14:paraId="67AFF927">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Q3</w:t>
            </w:r>
            <w:r>
              <w:rPr>
                <w:rFonts w:hint="eastAsia" w:ascii="Times New Roman"/>
                <w:color w:val="000000" w:themeColor="text1"/>
                <w:szCs w:val="18"/>
                <w14:textFill>
                  <w14:solidFill>
                    <w14:schemeClr w14:val="tx1"/>
                  </w14:solidFill>
                </w14:textFill>
              </w:rPr>
              <w:t>5</w:t>
            </w:r>
            <w:r>
              <w:rPr>
                <w:rFonts w:ascii="Times New Roman"/>
                <w:color w:val="000000" w:themeColor="text1"/>
                <w:szCs w:val="18"/>
                <w14:textFill>
                  <w14:solidFill>
                    <w14:schemeClr w14:val="tx1"/>
                  </w14:solidFill>
                </w14:textFill>
              </w:rPr>
              <w:t>5</w:t>
            </w:r>
            <w:r>
              <w:rPr>
                <w:rFonts w:hint="eastAsia" w:ascii="Times New Roman"/>
                <w:color w:val="000000" w:themeColor="text1"/>
                <w:szCs w:val="18"/>
                <w14:textFill>
                  <w14:solidFill>
                    <w14:schemeClr w14:val="tx1"/>
                  </w14:solidFill>
                </w14:textFill>
              </w:rPr>
              <w:t>B</w:t>
            </w:r>
            <w:r>
              <w:rPr>
                <w:rFonts w:ascii="Times New Roman"/>
                <w:color w:val="000000" w:themeColor="text1"/>
                <w:szCs w:val="18"/>
                <w14:textFill>
                  <w14:solidFill>
                    <w14:schemeClr w14:val="tx1"/>
                  </w14:solidFill>
                </w14:textFill>
              </w:rPr>
              <w:t>、Q3</w:t>
            </w:r>
            <w:r>
              <w:rPr>
                <w:rFonts w:hint="eastAsia" w:ascii="Times New Roman"/>
                <w:color w:val="000000" w:themeColor="text1"/>
                <w:szCs w:val="18"/>
                <w14:textFill>
                  <w14:solidFill>
                    <w14:schemeClr w14:val="tx1"/>
                  </w14:solidFill>
                </w14:textFill>
              </w:rPr>
              <w:t>5</w:t>
            </w:r>
            <w:r>
              <w:rPr>
                <w:rFonts w:ascii="Times New Roman"/>
                <w:color w:val="000000" w:themeColor="text1"/>
                <w:szCs w:val="18"/>
                <w14:textFill>
                  <w14:solidFill>
                    <w14:schemeClr w14:val="tx1"/>
                  </w14:solidFill>
                </w14:textFill>
              </w:rPr>
              <w:t>5</w:t>
            </w:r>
            <w:r>
              <w:rPr>
                <w:rFonts w:hint="eastAsia" w:ascii="Times New Roman"/>
                <w:color w:val="000000" w:themeColor="text1"/>
                <w:szCs w:val="18"/>
                <w14:textFill>
                  <w14:solidFill>
                    <w14:schemeClr w14:val="tx1"/>
                  </w14:solidFill>
                </w14:textFill>
              </w:rPr>
              <w:t>C</w:t>
            </w:r>
            <w:r>
              <w:rPr>
                <w:rFonts w:ascii="Times New Roman"/>
                <w:color w:val="000000" w:themeColor="text1"/>
                <w:szCs w:val="18"/>
                <w14:textFill>
                  <w14:solidFill>
                    <w14:schemeClr w14:val="tx1"/>
                  </w14:solidFill>
                </w14:textFill>
              </w:rPr>
              <w:t>、Q3</w:t>
            </w:r>
            <w:r>
              <w:rPr>
                <w:rFonts w:hint="eastAsia" w:ascii="Times New Roman"/>
                <w:color w:val="000000" w:themeColor="text1"/>
                <w:szCs w:val="18"/>
                <w14:textFill>
                  <w14:solidFill>
                    <w14:schemeClr w14:val="tx1"/>
                  </w14:solidFill>
                </w14:textFill>
              </w:rPr>
              <w:t>5</w:t>
            </w:r>
            <w:r>
              <w:rPr>
                <w:rFonts w:ascii="Times New Roman"/>
                <w:color w:val="000000" w:themeColor="text1"/>
                <w:szCs w:val="18"/>
                <w14:textFill>
                  <w14:solidFill>
                    <w14:schemeClr w14:val="tx1"/>
                  </w14:solidFill>
                </w14:textFill>
              </w:rPr>
              <w:t>5</w:t>
            </w:r>
            <w:r>
              <w:rPr>
                <w:rFonts w:hint="eastAsia" w:ascii="Times New Roman"/>
                <w:color w:val="000000" w:themeColor="text1"/>
                <w:szCs w:val="18"/>
                <w14:textFill>
                  <w14:solidFill>
                    <w14:schemeClr w14:val="tx1"/>
                  </w14:solidFill>
                </w14:textFill>
              </w:rPr>
              <w:t>D</w:t>
            </w:r>
          </w:p>
        </w:tc>
        <w:tc>
          <w:tcPr>
            <w:tcW w:w="1217" w:type="dxa"/>
            <w:shd w:val="clear" w:color="auto" w:fill="auto"/>
            <w:vAlign w:val="center"/>
          </w:tcPr>
          <w:p w14:paraId="1DD6AA18">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355</w:t>
            </w:r>
          </w:p>
        </w:tc>
        <w:tc>
          <w:tcPr>
            <w:tcW w:w="1134" w:type="dxa"/>
            <w:shd w:val="clear" w:color="auto" w:fill="auto"/>
            <w:vAlign w:val="center"/>
          </w:tcPr>
          <w:p w14:paraId="64F63B76">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345</w:t>
            </w:r>
          </w:p>
        </w:tc>
        <w:tc>
          <w:tcPr>
            <w:tcW w:w="1275" w:type="dxa"/>
            <w:shd w:val="clear" w:color="auto" w:fill="auto"/>
            <w:vAlign w:val="center"/>
          </w:tcPr>
          <w:p w14:paraId="55540617">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470</w:t>
            </w:r>
            <w:r>
              <w:rPr>
                <w:rFonts w:hint="eastAsia" w:ascii="Times New Roman"/>
                <w:color w:val="000000" w:themeColor="text1"/>
                <w:szCs w:val="18"/>
                <w14:textFill>
                  <w14:solidFill>
                    <w14:schemeClr w14:val="tx1"/>
                  </w14:solidFill>
                </w14:textFill>
              </w:rPr>
              <w:t>~630</w:t>
            </w:r>
          </w:p>
        </w:tc>
        <w:tc>
          <w:tcPr>
            <w:tcW w:w="1283" w:type="dxa"/>
            <w:shd w:val="clear" w:color="auto" w:fill="auto"/>
            <w:vAlign w:val="center"/>
          </w:tcPr>
          <w:p w14:paraId="49116309">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13</w:t>
            </w:r>
          </w:p>
        </w:tc>
        <w:tc>
          <w:tcPr>
            <w:tcW w:w="1412" w:type="dxa"/>
            <w:shd w:val="clear" w:color="auto" w:fill="auto"/>
            <w:vAlign w:val="center"/>
          </w:tcPr>
          <w:p w14:paraId="137A9399">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18</w:t>
            </w:r>
          </w:p>
        </w:tc>
        <w:tc>
          <w:tcPr>
            <w:tcW w:w="1978" w:type="dxa"/>
            <w:shd w:val="clear" w:color="auto" w:fill="auto"/>
            <w:vAlign w:val="center"/>
          </w:tcPr>
          <w:p w14:paraId="5B0A02C3">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34</w:t>
            </w:r>
          </w:p>
        </w:tc>
      </w:tr>
      <w:tr w14:paraId="7761A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 w:type="dxa"/>
            <w:shd w:val="clear" w:color="auto" w:fill="auto"/>
            <w:vAlign w:val="center"/>
          </w:tcPr>
          <w:p w14:paraId="7C4A6384">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Q390B、Q390C、Q390</w:t>
            </w:r>
            <w:r>
              <w:rPr>
                <w:rFonts w:hint="eastAsia" w:ascii="Times New Roman"/>
                <w:color w:val="000000" w:themeColor="text1"/>
                <w:szCs w:val="18"/>
                <w14:textFill>
                  <w14:solidFill>
                    <w14:schemeClr w14:val="tx1"/>
                  </w14:solidFill>
                </w14:textFill>
              </w:rPr>
              <w:t>D</w:t>
            </w:r>
          </w:p>
        </w:tc>
        <w:tc>
          <w:tcPr>
            <w:tcW w:w="1217" w:type="dxa"/>
            <w:shd w:val="clear" w:color="auto" w:fill="auto"/>
            <w:vAlign w:val="center"/>
          </w:tcPr>
          <w:p w14:paraId="2B4F3323">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390</w:t>
            </w:r>
          </w:p>
        </w:tc>
        <w:tc>
          <w:tcPr>
            <w:tcW w:w="1134" w:type="dxa"/>
            <w:shd w:val="clear" w:color="auto" w:fill="auto"/>
            <w:vAlign w:val="center"/>
          </w:tcPr>
          <w:p w14:paraId="4CD8B4D1">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380</w:t>
            </w:r>
          </w:p>
        </w:tc>
        <w:tc>
          <w:tcPr>
            <w:tcW w:w="1275" w:type="dxa"/>
            <w:shd w:val="clear" w:color="auto" w:fill="auto"/>
            <w:vAlign w:val="center"/>
          </w:tcPr>
          <w:p w14:paraId="309D8520">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490</w:t>
            </w:r>
            <w:r>
              <w:rPr>
                <w:rFonts w:hint="eastAsia" w:ascii="Times New Roman"/>
                <w:color w:val="000000" w:themeColor="text1"/>
                <w:szCs w:val="18"/>
                <w14:textFill>
                  <w14:solidFill>
                    <w14:schemeClr w14:val="tx1"/>
                  </w14:solidFill>
                </w14:textFill>
              </w:rPr>
              <w:t>~650</w:t>
            </w:r>
          </w:p>
        </w:tc>
        <w:tc>
          <w:tcPr>
            <w:tcW w:w="2695" w:type="dxa"/>
            <w:gridSpan w:val="2"/>
            <w:shd w:val="clear" w:color="auto" w:fill="auto"/>
            <w:vAlign w:val="center"/>
          </w:tcPr>
          <w:p w14:paraId="2608F63E">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19</w:t>
            </w:r>
          </w:p>
        </w:tc>
        <w:tc>
          <w:tcPr>
            <w:tcW w:w="1978" w:type="dxa"/>
            <w:shd w:val="clear" w:color="auto" w:fill="auto"/>
            <w:vAlign w:val="center"/>
          </w:tcPr>
          <w:p w14:paraId="17CC4C26">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34</w:t>
            </w:r>
          </w:p>
        </w:tc>
      </w:tr>
      <w:tr w14:paraId="665B0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 w:type="dxa"/>
            <w:shd w:val="clear" w:color="auto" w:fill="auto"/>
            <w:vAlign w:val="center"/>
          </w:tcPr>
          <w:p w14:paraId="19888968">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Q420B、Q420C</w:t>
            </w:r>
          </w:p>
        </w:tc>
        <w:tc>
          <w:tcPr>
            <w:tcW w:w="1217" w:type="dxa"/>
            <w:shd w:val="clear" w:color="auto" w:fill="auto"/>
            <w:vAlign w:val="center"/>
          </w:tcPr>
          <w:p w14:paraId="1777EA9C">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420</w:t>
            </w:r>
          </w:p>
        </w:tc>
        <w:tc>
          <w:tcPr>
            <w:tcW w:w="1134" w:type="dxa"/>
            <w:shd w:val="clear" w:color="auto" w:fill="auto"/>
            <w:vAlign w:val="center"/>
          </w:tcPr>
          <w:p w14:paraId="260C1766">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410</w:t>
            </w:r>
          </w:p>
        </w:tc>
        <w:tc>
          <w:tcPr>
            <w:tcW w:w="1275" w:type="dxa"/>
            <w:shd w:val="clear" w:color="auto" w:fill="auto"/>
            <w:vAlign w:val="center"/>
          </w:tcPr>
          <w:p w14:paraId="38EA7BDF">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520</w:t>
            </w:r>
            <w:r>
              <w:rPr>
                <w:rFonts w:hint="eastAsia" w:ascii="Times New Roman"/>
                <w:color w:val="000000" w:themeColor="text1"/>
                <w:szCs w:val="18"/>
                <w14:textFill>
                  <w14:solidFill>
                    <w14:schemeClr w14:val="tx1"/>
                  </w14:solidFill>
                </w14:textFill>
              </w:rPr>
              <w:t>~680</w:t>
            </w:r>
          </w:p>
        </w:tc>
        <w:tc>
          <w:tcPr>
            <w:tcW w:w="2695" w:type="dxa"/>
            <w:gridSpan w:val="2"/>
            <w:shd w:val="clear" w:color="auto" w:fill="auto"/>
            <w:vAlign w:val="center"/>
          </w:tcPr>
          <w:p w14:paraId="169EEF5C">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19</w:t>
            </w:r>
          </w:p>
        </w:tc>
        <w:tc>
          <w:tcPr>
            <w:tcW w:w="1978" w:type="dxa"/>
            <w:shd w:val="clear" w:color="auto" w:fill="auto"/>
            <w:vAlign w:val="center"/>
          </w:tcPr>
          <w:p w14:paraId="01AB9662">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34</w:t>
            </w:r>
          </w:p>
        </w:tc>
      </w:tr>
      <w:tr w14:paraId="0D1AA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1045" w:type="dxa"/>
            <w:shd w:val="clear" w:color="auto" w:fill="auto"/>
            <w:vAlign w:val="center"/>
          </w:tcPr>
          <w:p w14:paraId="16DEEF45">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Q460C</w:t>
            </w:r>
          </w:p>
        </w:tc>
        <w:tc>
          <w:tcPr>
            <w:tcW w:w="1217" w:type="dxa"/>
            <w:shd w:val="clear" w:color="auto" w:fill="auto"/>
            <w:vAlign w:val="center"/>
          </w:tcPr>
          <w:p w14:paraId="68B8D13E">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460</w:t>
            </w:r>
          </w:p>
        </w:tc>
        <w:tc>
          <w:tcPr>
            <w:tcW w:w="1134" w:type="dxa"/>
            <w:shd w:val="clear" w:color="auto" w:fill="auto"/>
            <w:vAlign w:val="center"/>
          </w:tcPr>
          <w:p w14:paraId="018DECE8">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450</w:t>
            </w:r>
          </w:p>
        </w:tc>
        <w:tc>
          <w:tcPr>
            <w:tcW w:w="1275" w:type="dxa"/>
            <w:shd w:val="clear" w:color="auto" w:fill="auto"/>
            <w:vAlign w:val="center"/>
          </w:tcPr>
          <w:p w14:paraId="3CC634A8">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550</w:t>
            </w:r>
            <w:r>
              <w:rPr>
                <w:rFonts w:hint="eastAsia" w:ascii="Times New Roman"/>
                <w:color w:val="000000" w:themeColor="text1"/>
                <w:szCs w:val="18"/>
                <w14:textFill>
                  <w14:solidFill>
                    <w14:schemeClr w14:val="tx1"/>
                  </w14:solidFill>
                </w14:textFill>
              </w:rPr>
              <w:t>~720</w:t>
            </w:r>
          </w:p>
        </w:tc>
        <w:tc>
          <w:tcPr>
            <w:tcW w:w="2695" w:type="dxa"/>
            <w:gridSpan w:val="2"/>
            <w:shd w:val="clear" w:color="auto" w:fill="auto"/>
            <w:vAlign w:val="center"/>
          </w:tcPr>
          <w:p w14:paraId="1ADEE99A">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17</w:t>
            </w:r>
          </w:p>
        </w:tc>
        <w:tc>
          <w:tcPr>
            <w:tcW w:w="1978" w:type="dxa"/>
            <w:shd w:val="clear" w:color="auto" w:fill="auto"/>
            <w:vAlign w:val="center"/>
          </w:tcPr>
          <w:p w14:paraId="288F5704">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34</w:t>
            </w:r>
          </w:p>
        </w:tc>
      </w:tr>
      <w:tr w14:paraId="2FAE0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1045" w:type="dxa"/>
            <w:shd w:val="clear" w:color="auto" w:fill="auto"/>
            <w:vAlign w:val="center"/>
          </w:tcPr>
          <w:p w14:paraId="02C30F1F">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bookmarkStart w:id="36" w:name="OLE_LINK19"/>
            <w:bookmarkStart w:id="37" w:name="_Hlk191039131"/>
            <w:r>
              <w:rPr>
                <w:rFonts w:hint="eastAsia" w:ascii="Times New Roman"/>
                <w:color w:val="000000" w:themeColor="text1"/>
                <w:szCs w:val="18"/>
                <w14:textFill>
                  <w14:solidFill>
                    <w14:schemeClr w14:val="tx1"/>
                  </w14:solidFill>
                </w14:textFill>
              </w:rPr>
              <w:t>Q500MC</w:t>
            </w:r>
            <w:bookmarkEnd w:id="36"/>
          </w:p>
        </w:tc>
        <w:tc>
          <w:tcPr>
            <w:tcW w:w="1217" w:type="dxa"/>
            <w:shd w:val="clear" w:color="auto" w:fill="auto"/>
            <w:vAlign w:val="center"/>
          </w:tcPr>
          <w:p w14:paraId="1027DC3A">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500</w:t>
            </w:r>
          </w:p>
        </w:tc>
        <w:tc>
          <w:tcPr>
            <w:tcW w:w="1134" w:type="dxa"/>
            <w:shd w:val="clear" w:color="auto" w:fill="auto"/>
            <w:vAlign w:val="center"/>
          </w:tcPr>
          <w:p w14:paraId="643846E1">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490</w:t>
            </w:r>
          </w:p>
        </w:tc>
        <w:tc>
          <w:tcPr>
            <w:tcW w:w="1275" w:type="dxa"/>
            <w:shd w:val="clear" w:color="auto" w:fill="auto"/>
            <w:vAlign w:val="center"/>
          </w:tcPr>
          <w:p w14:paraId="5E042437">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610~770</w:t>
            </w:r>
          </w:p>
        </w:tc>
        <w:tc>
          <w:tcPr>
            <w:tcW w:w="2695" w:type="dxa"/>
            <w:gridSpan w:val="2"/>
            <w:shd w:val="clear" w:color="auto" w:fill="auto"/>
            <w:vAlign w:val="center"/>
          </w:tcPr>
          <w:p w14:paraId="5FEE4332">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17</w:t>
            </w:r>
          </w:p>
        </w:tc>
        <w:tc>
          <w:tcPr>
            <w:tcW w:w="1978" w:type="dxa"/>
            <w:shd w:val="clear" w:color="auto" w:fill="auto"/>
            <w:vAlign w:val="center"/>
          </w:tcPr>
          <w:p w14:paraId="5294C09C">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color w:val="000000" w:themeColor="text1"/>
                <w:szCs w:val="18"/>
                <w14:textFill>
                  <w14:solidFill>
                    <w14:schemeClr w14:val="tx1"/>
                  </w14:solidFill>
                </w14:textFill>
              </w:rPr>
            </w:pPr>
            <w:r>
              <w:rPr>
                <w:rFonts w:hint="eastAsia" w:ascii="Times New Roman"/>
                <w:color w:val="000000" w:themeColor="text1"/>
                <w:szCs w:val="18"/>
                <w14:textFill>
                  <w14:solidFill>
                    <w14:schemeClr w14:val="tx1"/>
                  </w14:solidFill>
                </w14:textFill>
              </w:rPr>
              <w:t>34</w:t>
            </w:r>
          </w:p>
        </w:tc>
      </w:tr>
      <w:bookmarkEnd w:id="34"/>
      <w:bookmarkEnd w:id="37"/>
      <w:tr w14:paraId="26008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344" w:type="dxa"/>
            <w:gridSpan w:val="7"/>
            <w:shd w:val="clear" w:color="auto" w:fill="auto"/>
            <w:vAlign w:val="center"/>
          </w:tcPr>
          <w:p w14:paraId="15E2FE3F">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420" w:firstLineChars="200"/>
              <w:jc w:val="left"/>
              <w:textAlignment w:val="auto"/>
              <w:rPr>
                <w:rFonts w:ascii="Times New Roman"/>
                <w:color w:val="000000" w:themeColor="text1"/>
                <w:szCs w:val="18"/>
                <w14:textFill>
                  <w14:solidFill>
                    <w14:schemeClr w14:val="tx1"/>
                  </w14:solidFill>
                </w14:textFill>
              </w:rPr>
            </w:pPr>
            <w:r>
              <w:rPr>
                <w:rFonts w:ascii="Times New Roman"/>
                <w:color w:val="000000" w:themeColor="text1"/>
                <w:szCs w:val="18"/>
                <w:vertAlign w:val="superscript"/>
                <w14:textFill>
                  <w14:solidFill>
                    <w14:schemeClr w14:val="tx1"/>
                  </w14:solidFill>
                </w14:textFill>
              </w:rPr>
              <w:t>a</w:t>
            </w:r>
            <w:r>
              <w:rPr>
                <w:rFonts w:ascii="Times New Roman"/>
                <w:color w:val="000000" w:themeColor="text1"/>
                <w:szCs w:val="18"/>
                <w14:textFill>
                  <w14:solidFill>
                    <w14:schemeClr w14:val="tx1"/>
                  </w14:solidFill>
                </w14:textFill>
              </w:rPr>
              <w:t>当屈服强度不明显时，可测量R</w:t>
            </w:r>
            <w:r>
              <w:rPr>
                <w:rFonts w:ascii="Times New Roman"/>
                <w:color w:val="000000" w:themeColor="text1"/>
                <w:szCs w:val="18"/>
                <w:vertAlign w:val="subscript"/>
                <w14:textFill>
                  <w14:solidFill>
                    <w14:schemeClr w14:val="tx1"/>
                  </w14:solidFill>
                </w14:textFill>
              </w:rPr>
              <w:t>p0.2</w:t>
            </w:r>
            <w:r>
              <w:rPr>
                <w:rFonts w:ascii="Times New Roman"/>
                <w:color w:val="000000" w:themeColor="text1"/>
                <w:szCs w:val="18"/>
                <w14:textFill>
                  <w14:solidFill>
                    <w14:schemeClr w14:val="tx1"/>
                  </w14:solidFill>
                </w14:textFill>
              </w:rPr>
              <w:t>或R</w:t>
            </w:r>
            <w:r>
              <w:rPr>
                <w:rFonts w:ascii="Times New Roman"/>
                <w:color w:val="000000" w:themeColor="text1"/>
                <w:szCs w:val="18"/>
                <w:vertAlign w:val="subscript"/>
                <w14:textFill>
                  <w14:solidFill>
                    <w14:schemeClr w14:val="tx1"/>
                  </w14:solidFill>
                </w14:textFill>
              </w:rPr>
              <w:t>t0.5</w:t>
            </w:r>
            <w:r>
              <w:rPr>
                <w:rFonts w:ascii="Times New Roman"/>
                <w:color w:val="000000" w:themeColor="text1"/>
                <w:szCs w:val="18"/>
                <w14:textFill>
                  <w14:solidFill>
                    <w14:schemeClr w14:val="tx1"/>
                  </w14:solidFill>
                </w14:textFill>
              </w:rPr>
              <w:t>代替下屈服强度。</w:t>
            </w:r>
          </w:p>
          <w:p w14:paraId="3E51A86C">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420" w:firstLineChars="200"/>
              <w:jc w:val="left"/>
              <w:textAlignment w:val="auto"/>
              <w:rPr>
                <w:rFonts w:ascii="Times New Roman"/>
                <w:color w:val="000000" w:themeColor="text1"/>
                <w:szCs w:val="18"/>
                <w:vertAlign w:val="superscript"/>
                <w14:textFill>
                  <w14:solidFill>
                    <w14:schemeClr w14:val="tx1"/>
                  </w14:solidFill>
                </w14:textFill>
              </w:rPr>
            </w:pPr>
            <w:r>
              <w:rPr>
                <w:rFonts w:ascii="Times New Roman"/>
                <w:color w:val="000000" w:themeColor="text1"/>
                <w:szCs w:val="18"/>
                <w:vertAlign w:val="superscript"/>
                <w14:textFill>
                  <w14:solidFill>
                    <w14:schemeClr w14:val="tx1"/>
                  </w14:solidFill>
                </w14:textFill>
              </w:rPr>
              <w:t>b</w:t>
            </w:r>
            <w:r>
              <w:rPr>
                <w:rFonts w:ascii="Times New Roman"/>
                <w:szCs w:val="18"/>
              </w:rPr>
              <w:t>冲击试验温度</w:t>
            </w:r>
            <w:r>
              <w:rPr>
                <w:rFonts w:hint="eastAsia" w:ascii="Times New Roman"/>
                <w:szCs w:val="18"/>
              </w:rPr>
              <w:t>，</w:t>
            </w:r>
            <w:r>
              <w:rPr>
                <w:rFonts w:ascii="Times New Roman"/>
                <w:szCs w:val="18"/>
              </w:rPr>
              <w:t>B级钢为20℃，C级钢为0℃</w:t>
            </w:r>
            <w:r>
              <w:rPr>
                <w:rFonts w:hint="eastAsia" w:ascii="Times New Roman"/>
                <w:szCs w:val="18"/>
              </w:rPr>
              <w:t>，</w:t>
            </w:r>
            <w:r>
              <w:rPr>
                <w:rFonts w:ascii="Times New Roman"/>
                <w:szCs w:val="18"/>
              </w:rPr>
              <w:t>D级钢为-20℃</w:t>
            </w:r>
            <w:r>
              <w:rPr>
                <w:rFonts w:hint="eastAsia" w:ascii="Times New Roman"/>
                <w:szCs w:val="18"/>
              </w:rPr>
              <w:t>。</w:t>
            </w:r>
          </w:p>
        </w:tc>
      </w:tr>
      <w:bookmarkEnd w:id="31"/>
    </w:tbl>
    <w:p w14:paraId="52307D2F">
      <w:pPr>
        <w:pStyle w:val="50"/>
        <w:numPr>
          <w:ilvl w:val="2"/>
          <w:numId w:val="3"/>
        </w:numPr>
        <w:spacing w:beforeLines="0" w:afterLines="0"/>
        <w:rPr>
          <w:rFonts w:ascii="Times New Roman"/>
        </w:rPr>
      </w:pPr>
      <w:bookmarkStart w:id="38" w:name="_Hlk191040339"/>
      <w:r>
        <w:rPr>
          <w:rFonts w:ascii="Times New Roman"/>
        </w:rPr>
        <w:t>焊缝横向拉伸试验</w:t>
      </w:r>
    </w:p>
    <w:bookmarkEnd w:id="38"/>
    <w:p w14:paraId="3CAF6790">
      <w:pPr>
        <w:pStyle w:val="22"/>
        <w:rPr>
          <w:rFonts w:ascii="Times New Roman"/>
        </w:rPr>
      </w:pPr>
      <w:bookmarkStart w:id="39" w:name="_Hlk183955249"/>
      <w:r>
        <w:rPr>
          <w:rFonts w:ascii="Times New Roman"/>
        </w:rPr>
        <w:t>外径不小于 219</w:t>
      </w:r>
      <w:r>
        <w:rPr>
          <w:rFonts w:hint="eastAsia" w:ascii="Times New Roman"/>
        </w:rPr>
        <w:t>.1</w:t>
      </w:r>
      <w:r>
        <w:rPr>
          <w:rFonts w:ascii="Times New Roman"/>
        </w:rPr>
        <w:t>mm 的钢管应进行焊缝横向拉伸试验。焊缝横向拉伸试验只测定抗拉强度,其值应符合表</w:t>
      </w:r>
      <w:r>
        <w:rPr>
          <w:rFonts w:hint="eastAsia" w:ascii="Times New Roman"/>
        </w:rPr>
        <w:t>1</w:t>
      </w:r>
      <w:r>
        <w:rPr>
          <w:rFonts w:ascii="Times New Roman"/>
        </w:rPr>
        <w:t>的规定。焊缝横向拉伸试验取样部位应垂直焊缝，焊缝位于试样的中心</w:t>
      </w:r>
      <w:r>
        <w:rPr>
          <w:rFonts w:hint="eastAsia" w:ascii="Times New Roman"/>
        </w:rPr>
        <w:t>。</w:t>
      </w:r>
    </w:p>
    <w:bookmarkEnd w:id="39"/>
    <w:p w14:paraId="67E7FA37">
      <w:pPr>
        <w:pStyle w:val="47"/>
        <w:numPr>
          <w:ilvl w:val="1"/>
          <w:numId w:val="3"/>
        </w:numPr>
        <w:spacing w:before="156" w:after="156"/>
        <w:rPr>
          <w:rFonts w:ascii="Times New Roman"/>
        </w:rPr>
      </w:pPr>
      <w:r>
        <w:rPr>
          <w:rFonts w:hint="eastAsia" w:ascii="Times New Roman"/>
        </w:rPr>
        <w:t>工艺性能</w:t>
      </w:r>
    </w:p>
    <w:p w14:paraId="723D2D17">
      <w:pPr>
        <w:pStyle w:val="50"/>
        <w:numPr>
          <w:ilvl w:val="2"/>
          <w:numId w:val="3"/>
        </w:numPr>
        <w:spacing w:beforeLines="0" w:afterLines="0"/>
        <w:rPr>
          <w:rFonts w:ascii="Times New Roman"/>
        </w:rPr>
      </w:pPr>
      <w:r>
        <w:rPr>
          <w:rFonts w:ascii="Times New Roman"/>
        </w:rPr>
        <w:t>压扁试验</w:t>
      </w:r>
    </w:p>
    <w:p w14:paraId="7064CB8B">
      <w:pPr>
        <w:pStyle w:val="22"/>
        <w:rPr>
          <w:rFonts w:ascii="Times New Roman"/>
        </w:rPr>
      </w:pPr>
      <w:bookmarkStart w:id="40" w:name="_Hlk191040506"/>
      <w:r>
        <w:t>焊管应进行</w:t>
      </w:r>
      <w:r>
        <w:rPr>
          <w:rFonts w:ascii="Times New Roman"/>
        </w:rPr>
        <w:t>压扁试验。试验时焊缝与施力方向成90°，如图1所示，当两压板间距离为钢管外径的 2/3 时，焊缝处应不出现裂纹；当两压平板间距离为钢管外径的 1/3 时，焊缝以外的其他部位应不出现裂纹。压扁试验其他要求应符合GB/T 246的规定。</w:t>
      </w:r>
    </w:p>
    <w:bookmarkEnd w:id="40"/>
    <w:p w14:paraId="17795E7C">
      <w:pPr>
        <w:pStyle w:val="22"/>
        <w:jc w:val="center"/>
      </w:pPr>
      <w:r>
        <w:drawing>
          <wp:inline distT="0" distB="0" distL="0" distR="0">
            <wp:extent cx="1802765" cy="1166495"/>
            <wp:effectExtent l="0" t="0" r="6985" b="0"/>
            <wp:docPr id="9979592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959214" name="图片 1"/>
                    <pic:cNvPicPr>
                      <a:picLocks noChangeAspect="1"/>
                    </pic:cNvPicPr>
                  </pic:nvPicPr>
                  <pic:blipFill>
                    <a:blip r:embed="rId12"/>
                    <a:stretch>
                      <a:fillRect/>
                    </a:stretch>
                  </pic:blipFill>
                  <pic:spPr>
                    <a:xfrm>
                      <a:off x="0" y="0"/>
                      <a:ext cx="1809520" cy="1170866"/>
                    </a:xfrm>
                    <a:prstGeom prst="rect">
                      <a:avLst/>
                    </a:prstGeom>
                  </pic:spPr>
                </pic:pic>
              </a:graphicData>
            </a:graphic>
          </wp:inline>
        </w:drawing>
      </w:r>
    </w:p>
    <w:p w14:paraId="3D4C87F5">
      <w:pPr>
        <w:pStyle w:val="22"/>
        <w:ind w:firstLine="0" w:firstLineChars="0"/>
        <w:jc w:val="center"/>
        <w:rPr>
          <w:rFonts w:hint="eastAsia" w:ascii="黑体" w:hAnsi="黑体" w:eastAsia="黑体"/>
        </w:rPr>
      </w:pPr>
      <w:bookmarkStart w:id="41" w:name="_Hlk191040528"/>
      <w:r>
        <w:rPr>
          <w:rFonts w:hint="eastAsia" w:ascii="黑体" w:hAnsi="黑体" w:eastAsia="黑体"/>
        </w:rPr>
        <w:t>图1 压扁试样焊缝位置</w:t>
      </w:r>
    </w:p>
    <w:bookmarkEnd w:id="41"/>
    <w:p w14:paraId="6AA868BA">
      <w:pPr>
        <w:pStyle w:val="50"/>
        <w:numPr>
          <w:ilvl w:val="2"/>
          <w:numId w:val="3"/>
        </w:numPr>
        <w:spacing w:beforeLines="0" w:afterLines="0"/>
        <w:rPr>
          <w:rFonts w:ascii="Times New Roman"/>
        </w:rPr>
      </w:pPr>
      <w:r>
        <w:rPr>
          <w:rFonts w:hint="eastAsia" w:ascii="Times New Roman"/>
        </w:rPr>
        <w:t>弯曲试验</w:t>
      </w:r>
    </w:p>
    <w:p w14:paraId="5B5929BF">
      <w:pPr>
        <w:pStyle w:val="22"/>
      </w:pPr>
      <w:bookmarkStart w:id="42" w:name="_Hlk183955363"/>
      <w:r>
        <w:rPr>
          <w:rFonts w:hint="eastAsia"/>
        </w:rPr>
        <w:t>外径不大于60.3mm的钢管，可用弯曲试验代替压扁试验。弯曲试验时不允许带填充物，弯曲半径为钢管外径的6倍，弯曲角度为90°。焊缝位于弯曲方向的外侧面。试验后，焊缝处不允许出现裂缝和裂口。</w:t>
      </w:r>
    </w:p>
    <w:bookmarkEnd w:id="42"/>
    <w:p w14:paraId="0AA70161">
      <w:pPr>
        <w:pStyle w:val="50"/>
        <w:numPr>
          <w:ilvl w:val="2"/>
          <w:numId w:val="3"/>
        </w:numPr>
        <w:spacing w:beforeLines="0" w:afterLines="0"/>
        <w:rPr>
          <w:rFonts w:ascii="Times New Roman"/>
        </w:rPr>
      </w:pPr>
      <w:r>
        <w:rPr>
          <w:rFonts w:hint="eastAsia" w:ascii="Times New Roman"/>
        </w:rPr>
        <w:t>扩口</w:t>
      </w:r>
      <w:r>
        <w:rPr>
          <w:rFonts w:ascii="Times New Roman"/>
        </w:rPr>
        <w:t>试验</w:t>
      </w:r>
    </w:p>
    <w:p w14:paraId="7E249AF5">
      <w:pPr>
        <w:pStyle w:val="22"/>
        <w:rPr>
          <w:rFonts w:ascii="Times New Roman"/>
        </w:rPr>
      </w:pPr>
      <w:bookmarkStart w:id="43" w:name="_Hlk183955388"/>
      <w:r>
        <w:rPr>
          <w:rFonts w:ascii="Times New Roman"/>
        </w:rPr>
        <w:t>根据需方要求，经供需双方协商，并在合同中注明，钢管可进行扩口试验。扩口试验的顶心锥度为30°、45°或60°中的一种，试样外径的扩口率应为6%，试验后试样不允许出现裂缝或裂口。</w:t>
      </w:r>
    </w:p>
    <w:bookmarkEnd w:id="43"/>
    <w:p w14:paraId="364AC322">
      <w:pPr>
        <w:pStyle w:val="47"/>
        <w:numPr>
          <w:ilvl w:val="1"/>
          <w:numId w:val="3"/>
        </w:numPr>
        <w:spacing w:before="156" w:after="156"/>
        <w:rPr>
          <w:rFonts w:ascii="Times New Roman"/>
        </w:rPr>
      </w:pPr>
      <w:r>
        <w:rPr>
          <w:rFonts w:ascii="Times New Roman"/>
        </w:rPr>
        <w:t>液压试验</w:t>
      </w:r>
    </w:p>
    <w:p w14:paraId="6AD1D4EC">
      <w:pPr>
        <w:pStyle w:val="50"/>
        <w:numPr>
          <w:ilvl w:val="3"/>
          <w:numId w:val="3"/>
        </w:numPr>
        <w:spacing w:beforeLines="0" w:afterLines="0"/>
      </w:pPr>
      <w:bookmarkStart w:id="44" w:name="_Hlk183955404"/>
      <w:r>
        <w:rPr>
          <w:rFonts w:hint="eastAsia" w:ascii="Times New Roman" w:eastAsia="宋体"/>
        </w:rPr>
        <w:t>根据需方要求，经供需双方协商，并在合同中注明，钢管也可进行液压试验。</w:t>
      </w:r>
    </w:p>
    <w:bookmarkEnd w:id="44"/>
    <w:p w14:paraId="0FE7208C">
      <w:pPr>
        <w:pStyle w:val="50"/>
        <w:numPr>
          <w:ilvl w:val="3"/>
          <w:numId w:val="3"/>
        </w:numPr>
        <w:spacing w:beforeLines="0" w:afterLines="0"/>
        <w:rPr>
          <w:rFonts w:ascii="Times New Roman" w:eastAsia="宋体"/>
        </w:rPr>
      </w:pPr>
      <w:r>
        <w:rPr>
          <w:rFonts w:hint="eastAsia" w:ascii="Times New Roman" w:eastAsia="宋体"/>
        </w:rPr>
        <w:t>液压试验压力按式(1)计算，修约到最邻近的0.1MPa，但最大试验压力为5.0MPa。试验压力保持时间应不小于5s。在试验过程中，钢管不允许出现渗漏现象。</w:t>
      </w:r>
    </w:p>
    <w:p w14:paraId="2A3BC6EF">
      <w:pPr>
        <w:widowControl/>
        <w:tabs>
          <w:tab w:val="right" w:leader="dot" w:pos="9267"/>
        </w:tabs>
        <w:kinsoku w:val="0"/>
        <w:autoSpaceDE w:val="0"/>
        <w:autoSpaceDN w:val="0"/>
        <w:snapToGrid w:val="0"/>
        <w:spacing w:before="26" w:line="218" w:lineRule="auto"/>
        <w:ind w:left="4160"/>
        <w:jc w:val="left"/>
        <w:rPr>
          <w:rFonts w:eastAsia="Times New Roman"/>
          <w:i/>
          <w:iCs/>
          <w:kern w:val="0"/>
          <w:position w:val="-3"/>
          <w:szCs w:val="21"/>
        </w:rPr>
      </w:pPr>
      <w:r>
        <w:rPr>
          <w:rFonts w:eastAsia="Times New Roman"/>
          <w:i/>
          <w:iCs/>
          <w:kern w:val="0"/>
          <w:position w:val="-3"/>
          <w:szCs w:val="21"/>
        </w:rPr>
        <w:t>P=2S</w:t>
      </w:r>
      <w:r>
        <w:rPr>
          <w:rFonts w:hint="eastAsia" w:asciiTheme="minorEastAsia" w:hAnsiTheme="minorEastAsia" w:eastAsiaTheme="minorEastAsia"/>
          <w:i/>
          <w:iCs/>
          <w:kern w:val="0"/>
          <w:position w:val="-3"/>
          <w:szCs w:val="21"/>
        </w:rPr>
        <w:t>t</w:t>
      </w:r>
      <w:r>
        <w:rPr>
          <w:rFonts w:eastAsia="Times New Roman"/>
          <w:i/>
          <w:iCs/>
          <w:kern w:val="0"/>
          <w:position w:val="-3"/>
          <w:szCs w:val="21"/>
        </w:rPr>
        <w:t>/D</w:t>
      </w:r>
      <w:r>
        <w:rPr>
          <w:rFonts w:eastAsia="Times New Roman"/>
          <w:i/>
          <w:iCs/>
          <w:spacing w:val="1"/>
          <w:kern w:val="0"/>
          <w:position w:val="-3"/>
          <w:szCs w:val="21"/>
        </w:rPr>
        <w:t xml:space="preserve">                                 </w:t>
      </w:r>
      <w:r>
        <w:rPr>
          <w:rFonts w:eastAsia="Times New Roman"/>
          <w:kern w:val="0"/>
          <w:szCs w:val="21"/>
        </w:rPr>
        <w:tab/>
      </w:r>
      <w:r>
        <w:rPr>
          <w:spacing w:val="-10"/>
          <w:kern w:val="0"/>
          <w:sz w:val="24"/>
        </w:rPr>
        <w:t>(</w:t>
      </w:r>
      <w:r>
        <w:fldChar w:fldCharType="begin"/>
      </w:r>
      <w:r>
        <w:instrText xml:space="preserve"> HYPERLINK \l "bookmark8" </w:instrText>
      </w:r>
      <w:r>
        <w:fldChar w:fldCharType="separate"/>
      </w:r>
      <w:r>
        <w:rPr>
          <w:spacing w:val="-10"/>
          <w:kern w:val="0"/>
          <w:sz w:val="24"/>
        </w:rPr>
        <w:t>1)</w:t>
      </w:r>
      <w:r>
        <w:rPr>
          <w:spacing w:val="-10"/>
          <w:kern w:val="0"/>
          <w:sz w:val="24"/>
        </w:rPr>
        <w:fldChar w:fldCharType="end"/>
      </w:r>
    </w:p>
    <w:p w14:paraId="524B7AC4">
      <w:pPr>
        <w:pStyle w:val="22"/>
        <w:tabs>
          <w:tab w:val="clear" w:pos="4201"/>
          <w:tab w:val="clear" w:pos="9298"/>
        </w:tabs>
        <w:rPr>
          <w:rFonts w:ascii="Times New Roman"/>
        </w:rPr>
      </w:pPr>
      <w:r>
        <w:rPr>
          <w:rFonts w:ascii="Times New Roman"/>
        </w:rPr>
        <w:t>式中：</w:t>
      </w:r>
    </w:p>
    <w:p w14:paraId="34B19708">
      <w:pPr>
        <w:pStyle w:val="22"/>
        <w:tabs>
          <w:tab w:val="clear" w:pos="4201"/>
          <w:tab w:val="clear" w:pos="9298"/>
        </w:tabs>
        <w:rPr>
          <w:rFonts w:ascii="Times New Roman"/>
        </w:rPr>
      </w:pPr>
      <w:r>
        <w:rPr>
          <w:rFonts w:ascii="Times New Roman"/>
        </w:rPr>
        <w:t xml:space="preserve">P—— </w:t>
      </w:r>
      <w:r>
        <w:rPr>
          <w:rFonts w:hint="eastAsia" w:ascii="Times New Roman"/>
        </w:rPr>
        <w:t>钢管</w:t>
      </w:r>
      <w:r>
        <w:rPr>
          <w:rFonts w:ascii="Times New Roman"/>
        </w:rPr>
        <w:t>试验压力，单位为兆帕</w:t>
      </w:r>
      <w:r>
        <w:rPr>
          <w:rFonts w:hint="eastAsia" w:ascii="Times New Roman"/>
        </w:rPr>
        <w:t>（</w:t>
      </w:r>
      <w:r>
        <w:rPr>
          <w:rFonts w:ascii="Times New Roman"/>
        </w:rPr>
        <w:t>MPa</w:t>
      </w:r>
      <w:r>
        <w:rPr>
          <w:rFonts w:hint="eastAsia" w:ascii="Times New Roman"/>
        </w:rPr>
        <w:t>）；</w:t>
      </w:r>
    </w:p>
    <w:p w14:paraId="29190605">
      <w:pPr>
        <w:pStyle w:val="22"/>
        <w:tabs>
          <w:tab w:val="clear" w:pos="4201"/>
          <w:tab w:val="clear" w:pos="9298"/>
        </w:tabs>
        <w:rPr>
          <w:rFonts w:ascii="Times New Roman"/>
        </w:rPr>
      </w:pPr>
      <w:r>
        <w:rPr>
          <w:rFonts w:ascii="Times New Roman"/>
        </w:rPr>
        <w:t>S—— 钢管的公称壁厚，单位为毫米</w:t>
      </w:r>
      <w:r>
        <w:rPr>
          <w:rFonts w:hint="eastAsia" w:ascii="Times New Roman"/>
        </w:rPr>
        <w:t>（</w:t>
      </w:r>
      <w:r>
        <w:rPr>
          <w:rFonts w:ascii="Times New Roman"/>
        </w:rPr>
        <w:t>mm</w:t>
      </w:r>
      <w:r>
        <w:rPr>
          <w:rFonts w:hint="eastAsia" w:ascii="Times New Roman"/>
        </w:rPr>
        <w:t>）；</w:t>
      </w:r>
    </w:p>
    <w:p w14:paraId="4008AB42">
      <w:pPr>
        <w:pStyle w:val="22"/>
        <w:tabs>
          <w:tab w:val="clear" w:pos="4201"/>
          <w:tab w:val="clear" w:pos="9298"/>
        </w:tabs>
        <w:rPr>
          <w:rFonts w:ascii="Times New Roman"/>
        </w:rPr>
      </w:pPr>
      <w:r>
        <w:rPr>
          <w:rFonts w:ascii="Times New Roman"/>
        </w:rPr>
        <w:t>D—— 钢管的外径，单位为毫米</w:t>
      </w:r>
      <w:r>
        <w:rPr>
          <w:rFonts w:hint="eastAsia" w:ascii="Times New Roman"/>
        </w:rPr>
        <w:t>（</w:t>
      </w:r>
      <w:r>
        <w:rPr>
          <w:rFonts w:ascii="Times New Roman"/>
        </w:rPr>
        <w:t>mm</w:t>
      </w:r>
      <w:r>
        <w:rPr>
          <w:rFonts w:hint="eastAsia" w:ascii="Times New Roman"/>
        </w:rPr>
        <w:t>）；</w:t>
      </w:r>
    </w:p>
    <w:p w14:paraId="5DF37065">
      <w:pPr>
        <w:pStyle w:val="22"/>
        <w:tabs>
          <w:tab w:val="clear" w:pos="4201"/>
          <w:tab w:val="clear" w:pos="9298"/>
        </w:tabs>
        <w:rPr>
          <w:rFonts w:ascii="Times New Roman"/>
        </w:rPr>
      </w:pPr>
      <w:r>
        <w:rPr>
          <w:rFonts w:hint="eastAsia" w:ascii="Times New Roman"/>
        </w:rPr>
        <w:t>t</w:t>
      </w:r>
      <w:r>
        <w:rPr>
          <w:rFonts w:ascii="Times New Roman"/>
        </w:rPr>
        <w:t>——</w:t>
      </w:r>
      <w:r>
        <w:rPr>
          <w:rFonts w:hint="eastAsia" w:ascii="Times New Roman"/>
        </w:rPr>
        <w:t>钢管的壁厚</w:t>
      </w:r>
      <w:r>
        <w:rPr>
          <w:rFonts w:ascii="Times New Roman"/>
        </w:rPr>
        <w:t>，单位为毫米</w:t>
      </w:r>
      <w:r>
        <w:rPr>
          <w:rFonts w:hint="eastAsia" w:ascii="Times New Roman"/>
        </w:rPr>
        <w:t>（</w:t>
      </w:r>
      <w:r>
        <w:rPr>
          <w:rFonts w:ascii="Times New Roman"/>
        </w:rPr>
        <w:t>mm</w:t>
      </w:r>
      <w:r>
        <w:rPr>
          <w:rFonts w:hint="eastAsia" w:ascii="Times New Roman"/>
        </w:rPr>
        <w:t>）</w:t>
      </w:r>
      <w:r>
        <w:rPr>
          <w:rFonts w:ascii="Times New Roman"/>
        </w:rPr>
        <w:t>。</w:t>
      </w:r>
    </w:p>
    <w:p w14:paraId="1D878BFB">
      <w:pPr>
        <w:pStyle w:val="47"/>
        <w:numPr>
          <w:ilvl w:val="1"/>
          <w:numId w:val="3"/>
        </w:numPr>
        <w:spacing w:before="156" w:after="156"/>
        <w:rPr>
          <w:rFonts w:ascii="Times New Roman"/>
        </w:rPr>
      </w:pPr>
      <w:r>
        <w:rPr>
          <w:rFonts w:hint="eastAsia" w:ascii="Times New Roman"/>
        </w:rPr>
        <w:t>无损检测</w:t>
      </w:r>
    </w:p>
    <w:p w14:paraId="4F737BA6">
      <w:pPr>
        <w:pStyle w:val="50"/>
        <w:numPr>
          <w:ilvl w:val="2"/>
          <w:numId w:val="3"/>
        </w:numPr>
        <w:spacing w:beforeLines="0" w:afterLines="0"/>
        <w:rPr>
          <w:rFonts w:ascii="Times New Roman" w:eastAsia="宋体"/>
        </w:rPr>
      </w:pPr>
      <w:bookmarkStart w:id="45" w:name="_Hlk183955468"/>
      <w:bookmarkStart w:id="46" w:name="_Hlk191041215"/>
      <w:r>
        <w:rPr>
          <w:rFonts w:hint="eastAsia" w:ascii="Times New Roman" w:eastAsia="宋体"/>
        </w:rPr>
        <w:t>钢管应进行无损检测。检测方法可以使用射线检测、超声波或涡流检测中的任意一种。</w:t>
      </w:r>
    </w:p>
    <w:p w14:paraId="006387B5">
      <w:pPr>
        <w:pStyle w:val="50"/>
        <w:numPr>
          <w:ilvl w:val="2"/>
          <w:numId w:val="3"/>
        </w:numPr>
        <w:spacing w:beforeLines="0" w:afterLines="0"/>
        <w:rPr>
          <w:rFonts w:ascii="Times New Roman" w:eastAsia="宋体"/>
        </w:rPr>
      </w:pPr>
      <w:r>
        <w:rPr>
          <w:rFonts w:hint="eastAsia" w:ascii="Times New Roman" w:eastAsia="宋体"/>
        </w:rPr>
        <w:t>采用数字射线方法检测时，应满足</w:t>
      </w:r>
      <w:bookmarkStart w:id="47" w:name="OLE_LINK30"/>
      <w:r>
        <w:rPr>
          <w:rFonts w:hint="eastAsia" w:ascii="Times New Roman" w:eastAsia="宋体"/>
        </w:rPr>
        <w:t>SY/T 6423.5</w:t>
      </w:r>
      <w:bookmarkEnd w:id="47"/>
      <w:r>
        <w:rPr>
          <w:rFonts w:hint="eastAsia" w:ascii="Times New Roman" w:eastAsia="宋体"/>
        </w:rPr>
        <w:t>-2014中图像质量级别为B级的规定；数字射线检查存在盲区，则至少距管端300mm范围内进行手工射线或超声波检测。手工射线检测按GB/T 3323检验，满足 BIII级的合格要求，手工超声波检测时，焊管厚度若大于8mm，应按照GBT 11345 进行检验，满足GB/T 29712中验收等级3的要求;若焊管厚度小于或等于8mm，宜按</w:t>
      </w:r>
      <w:bookmarkStart w:id="48" w:name="OLE_LINK38"/>
      <w:r>
        <w:rPr>
          <w:rFonts w:hint="eastAsia" w:ascii="Times New Roman" w:eastAsia="宋体"/>
        </w:rPr>
        <w:t>T/CEC 137</w:t>
      </w:r>
      <w:bookmarkEnd w:id="48"/>
      <w:r>
        <w:rPr>
          <w:rFonts w:hint="eastAsia" w:ascii="Times New Roman" w:eastAsia="宋体"/>
        </w:rPr>
        <w:t>-2017附录C 进行检验和评定。</w:t>
      </w:r>
    </w:p>
    <w:bookmarkEnd w:id="45"/>
    <w:p w14:paraId="5583A705">
      <w:pPr>
        <w:pStyle w:val="50"/>
        <w:numPr>
          <w:ilvl w:val="2"/>
          <w:numId w:val="3"/>
        </w:numPr>
        <w:spacing w:beforeLines="0" w:afterLines="0"/>
        <w:rPr>
          <w:rFonts w:ascii="Times New Roman" w:eastAsia="宋体"/>
        </w:rPr>
      </w:pPr>
      <w:bookmarkStart w:id="49" w:name="_Hlk183955488"/>
      <w:r>
        <w:rPr>
          <w:rFonts w:hint="eastAsia" w:ascii="Times New Roman" w:eastAsia="宋体"/>
        </w:rPr>
        <w:t>当采用自动超声波检测时，验收等级应符合SY/T 6423.2-2013中U3的规定。自动超声检查存在盲区，则至少在距管端部300mm范围内进行100%手工超声波检测；当采用手工超声波检测时，检测要求应符合SY/T 6423.2-2013附录A的规定。</w:t>
      </w:r>
    </w:p>
    <w:p w14:paraId="3016E56D">
      <w:pPr>
        <w:pStyle w:val="50"/>
        <w:numPr>
          <w:ilvl w:val="2"/>
          <w:numId w:val="3"/>
        </w:numPr>
        <w:spacing w:beforeLines="0" w:afterLines="0"/>
        <w:rPr>
          <w:rFonts w:ascii="Times New Roman" w:eastAsia="宋体"/>
        </w:rPr>
      </w:pPr>
      <w:r>
        <w:rPr>
          <w:rFonts w:hint="eastAsia" w:ascii="Times New Roman" w:eastAsia="宋体"/>
        </w:rPr>
        <w:t>对厚度不大于6mm的钢管可采用涡流检测。涡流检测验收等级应符合GB/ T7735-2016中验收等级E4的规定。</w:t>
      </w:r>
    </w:p>
    <w:bookmarkEnd w:id="46"/>
    <w:bookmarkEnd w:id="49"/>
    <w:p w14:paraId="46381820">
      <w:pPr>
        <w:pStyle w:val="50"/>
        <w:numPr>
          <w:ilvl w:val="2"/>
          <w:numId w:val="3"/>
        </w:numPr>
        <w:spacing w:beforeLines="0" w:afterLines="0"/>
        <w:rPr>
          <w:rFonts w:ascii="Times New Roman" w:eastAsia="宋体"/>
        </w:rPr>
      </w:pPr>
      <w:r>
        <w:rPr>
          <w:rFonts w:hint="eastAsia" w:ascii="Times New Roman" w:eastAsia="宋体"/>
        </w:rPr>
        <w:t>供方可用超声波探伤或涡流探伤代替液压试验。供需双方有争议时，以液压试验为准。</w:t>
      </w:r>
    </w:p>
    <w:p w14:paraId="263C92B8">
      <w:pPr>
        <w:pStyle w:val="47"/>
        <w:numPr>
          <w:ilvl w:val="1"/>
          <w:numId w:val="3"/>
        </w:numPr>
        <w:spacing w:before="156" w:after="156"/>
        <w:rPr>
          <w:rFonts w:ascii="Times New Roman"/>
        </w:rPr>
      </w:pPr>
      <w:r>
        <w:rPr>
          <w:rFonts w:hint="eastAsia" w:ascii="Times New Roman"/>
        </w:rPr>
        <w:t>表面质量</w:t>
      </w:r>
    </w:p>
    <w:p w14:paraId="2746D130">
      <w:pPr>
        <w:pStyle w:val="50"/>
        <w:numPr>
          <w:ilvl w:val="2"/>
          <w:numId w:val="3"/>
        </w:numPr>
        <w:spacing w:beforeLines="0" w:afterLines="0"/>
        <w:rPr>
          <w:rFonts w:ascii="Times New Roman" w:eastAsia="宋体"/>
        </w:rPr>
      </w:pPr>
      <w:r>
        <w:rPr>
          <w:rFonts w:hint="eastAsia" w:ascii="Times New Roman" w:eastAsia="宋体"/>
        </w:rPr>
        <w:t>钢管内外表面不允许有裂缝、结疤、折叠、分层、搭焊、过烧缺陷存在。允许有不大于壁厚负偏差的划道、刮伤、焊缝错位、烧伤、氧化皮以及外毛刺清除痕迹存在。</w:t>
      </w:r>
    </w:p>
    <w:p w14:paraId="5EA0128B">
      <w:pPr>
        <w:pStyle w:val="50"/>
        <w:numPr>
          <w:ilvl w:val="2"/>
          <w:numId w:val="3"/>
        </w:numPr>
        <w:spacing w:beforeLines="0" w:afterLines="0"/>
        <w:rPr>
          <w:rFonts w:ascii="Times New Roman" w:eastAsia="宋体"/>
        </w:rPr>
      </w:pPr>
      <w:r>
        <w:rPr>
          <w:rFonts w:hint="eastAsia" w:ascii="Times New Roman" w:eastAsia="宋体"/>
        </w:rPr>
        <w:t>对外径大于219.1mm的钢管，可对母材和焊缝处的缺陷进行补焊。补焊前应将缺陷彻底清除，使其符合补焊要求。每根钢管缺陷补焊应不多于3处,每处补焊长度范围为50mm~150mm，补焊长度总和应不大于300mm。补焊焊缝应修磨，修磨后应与钢管表面原始轮廓圆滑过渡。在距管端200mm内不允许补焊。</w:t>
      </w:r>
    </w:p>
    <w:p w14:paraId="212A1E77">
      <w:pPr>
        <w:pStyle w:val="50"/>
        <w:numPr>
          <w:ilvl w:val="2"/>
          <w:numId w:val="3"/>
        </w:numPr>
        <w:spacing w:beforeLines="0" w:afterLines="0"/>
        <w:rPr>
          <w:rFonts w:ascii="Times New Roman" w:eastAsia="宋体"/>
        </w:rPr>
      </w:pPr>
      <w:r>
        <w:rPr>
          <w:rFonts w:hint="eastAsia" w:ascii="Times New Roman" w:eastAsia="宋体"/>
        </w:rPr>
        <w:t>如规定有液压试验,修补后的钢管应按6.4的规定进行液压试验。</w:t>
      </w:r>
    </w:p>
    <w:p w14:paraId="0E05AF40">
      <w:pPr>
        <w:pStyle w:val="50"/>
        <w:numPr>
          <w:ilvl w:val="2"/>
          <w:numId w:val="3"/>
        </w:numPr>
        <w:spacing w:beforeLines="0" w:afterLines="0"/>
        <w:rPr>
          <w:rFonts w:ascii="Times New Roman" w:eastAsia="宋体"/>
        </w:rPr>
      </w:pPr>
      <w:r>
        <w:rPr>
          <w:rFonts w:hint="eastAsia" w:ascii="Times New Roman" w:eastAsia="宋体"/>
        </w:rPr>
        <w:t>钢管不允许补焊。</w:t>
      </w:r>
    </w:p>
    <w:p w14:paraId="26D13B1C">
      <w:pPr>
        <w:pStyle w:val="47"/>
        <w:numPr>
          <w:ilvl w:val="1"/>
          <w:numId w:val="3"/>
        </w:numPr>
        <w:spacing w:before="156" w:after="156"/>
        <w:rPr>
          <w:rFonts w:ascii="Times New Roman"/>
        </w:rPr>
      </w:pPr>
      <w:r>
        <w:rPr>
          <w:rFonts w:hint="eastAsia" w:ascii="Times New Roman"/>
        </w:rPr>
        <w:t>镀锌</w:t>
      </w:r>
    </w:p>
    <w:p w14:paraId="1BA2ADA2">
      <w:pPr>
        <w:pStyle w:val="50"/>
        <w:numPr>
          <w:ilvl w:val="2"/>
          <w:numId w:val="3"/>
        </w:numPr>
        <w:spacing w:beforeLines="0" w:afterLines="0"/>
        <w:rPr>
          <w:rFonts w:ascii="Times New Roman" w:eastAsia="宋体"/>
        </w:rPr>
      </w:pPr>
      <w:r>
        <w:rPr>
          <w:rFonts w:hint="eastAsia" w:ascii="Times New Roman" w:eastAsia="宋体"/>
        </w:rPr>
        <w:t>根据需方要求，经供需双方协商，并在合同中注明,钢管应采用热浸镀锌法在钢管内外表面进行镀锌后交货。</w:t>
      </w:r>
    </w:p>
    <w:p w14:paraId="3EBCE150">
      <w:pPr>
        <w:pStyle w:val="50"/>
        <w:numPr>
          <w:ilvl w:val="2"/>
          <w:numId w:val="3"/>
        </w:numPr>
        <w:spacing w:beforeLines="0" w:afterLines="0"/>
        <w:rPr>
          <w:rFonts w:ascii="Times New Roman" w:eastAsia="宋体"/>
        </w:rPr>
      </w:pPr>
      <w:r>
        <w:rPr>
          <w:rFonts w:hint="eastAsia" w:ascii="Times New Roman" w:eastAsia="宋体"/>
        </w:rPr>
        <w:t>镀锌钢管的内外表面应有完整的镀锌层，不应有未镀上锌的黑斑和气泡存在，局部允许有粗糙面和锌瘤存在。</w:t>
      </w:r>
    </w:p>
    <w:p w14:paraId="138A07D9">
      <w:pPr>
        <w:pStyle w:val="50"/>
        <w:numPr>
          <w:ilvl w:val="2"/>
          <w:numId w:val="3"/>
        </w:numPr>
        <w:spacing w:beforeLines="0" w:afterLines="0"/>
        <w:rPr>
          <w:rFonts w:ascii="Times New Roman" w:eastAsia="宋体"/>
        </w:rPr>
      </w:pPr>
      <w:r>
        <w:rPr>
          <w:rFonts w:hint="eastAsia" w:ascii="Times New Roman" w:eastAsia="宋体"/>
        </w:rPr>
        <w:t>镀锌钢管应进行镀锌层均匀性试验。试样在硫酸铜溶液中连续浸渍5次后不允许变红。</w:t>
      </w:r>
    </w:p>
    <w:p w14:paraId="0A0B286A">
      <w:pPr>
        <w:pStyle w:val="50"/>
        <w:numPr>
          <w:ilvl w:val="2"/>
          <w:numId w:val="3"/>
        </w:numPr>
        <w:spacing w:beforeLines="0" w:afterLines="0"/>
        <w:rPr>
          <w:rFonts w:ascii="Times New Roman" w:eastAsia="宋体"/>
        </w:rPr>
      </w:pPr>
      <w:r>
        <w:rPr>
          <w:rFonts w:hint="eastAsia" w:ascii="Times New Roman" w:eastAsia="宋体"/>
        </w:rPr>
        <w:t>镀锌钢管应进行镀锌层重量检验。镀锌层的重量由需方按表3选择，如合同未规定钢管镀锌层重量，则按C级执行。</w:t>
      </w:r>
    </w:p>
    <w:p w14:paraId="4DCDC344">
      <w:pPr>
        <w:pStyle w:val="22"/>
        <w:numPr>
          <w:ilvl w:val="0"/>
          <w:numId w:val="6"/>
        </w:numPr>
        <w:tabs>
          <w:tab w:val="clear" w:pos="4201"/>
          <w:tab w:val="clear" w:pos="9298"/>
        </w:tabs>
        <w:spacing w:before="156" w:beforeLines="50" w:after="156" w:afterLines="50"/>
        <w:ind w:left="0" w:firstLine="0" w:firstLineChars="0"/>
        <w:jc w:val="center"/>
        <w:rPr>
          <w:rFonts w:ascii="Times New Roman" w:eastAsia="黑体"/>
        </w:rPr>
      </w:pPr>
      <w:bookmarkStart w:id="50" w:name="OLE_LINK11"/>
      <w:r>
        <w:rPr>
          <w:rFonts w:hint="eastAsia" w:ascii="Times New Roman" w:eastAsia="黑体"/>
        </w:rPr>
        <w:t>热镀锌层重量</w:t>
      </w:r>
    </w:p>
    <w:bookmarkEnd w:id="50"/>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2"/>
        <w:gridCol w:w="2126"/>
        <w:gridCol w:w="5096"/>
      </w:tblGrid>
      <w:tr w14:paraId="0027A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Align w:val="center"/>
          </w:tcPr>
          <w:p w14:paraId="39A15598">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bookmarkStart w:id="51" w:name="OLE_LINK6"/>
            <w:r>
              <w:rPr>
                <w:rFonts w:ascii="Times New Roman"/>
                <w:szCs w:val="18"/>
              </w:rPr>
              <w:t>镀锌层重量级别</w:t>
            </w:r>
          </w:p>
        </w:tc>
        <w:tc>
          <w:tcPr>
            <w:tcW w:w="2126" w:type="dxa"/>
            <w:vAlign w:val="center"/>
          </w:tcPr>
          <w:p w14:paraId="7D5D7B29">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ascii="Times New Roman"/>
                <w:szCs w:val="18"/>
              </w:rPr>
              <w:t>要求</w:t>
            </w:r>
          </w:p>
        </w:tc>
        <w:tc>
          <w:tcPr>
            <w:tcW w:w="5096" w:type="dxa"/>
            <w:vAlign w:val="center"/>
          </w:tcPr>
          <w:p w14:paraId="064AD706">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ascii="Times New Roman"/>
                <w:szCs w:val="18"/>
              </w:rPr>
              <w:t>内外表面单位面积镀锌层总重量/（g/m</w:t>
            </w:r>
            <w:r>
              <w:rPr>
                <w:rFonts w:ascii="Times New Roman"/>
                <w:szCs w:val="18"/>
                <w:vertAlign w:val="superscript"/>
              </w:rPr>
              <w:t>2</w:t>
            </w:r>
            <w:r>
              <w:rPr>
                <w:rFonts w:ascii="Times New Roman"/>
                <w:szCs w:val="18"/>
              </w:rPr>
              <w:t>） 不小于</w:t>
            </w:r>
          </w:p>
        </w:tc>
      </w:tr>
      <w:tr w14:paraId="3D5FB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Align w:val="center"/>
          </w:tcPr>
          <w:p w14:paraId="0D926AFC">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ascii="Times New Roman"/>
                <w:szCs w:val="18"/>
              </w:rPr>
              <w:t>A</w:t>
            </w:r>
          </w:p>
        </w:tc>
        <w:tc>
          <w:tcPr>
            <w:tcW w:w="2126" w:type="dxa"/>
            <w:vAlign w:val="center"/>
          </w:tcPr>
          <w:p w14:paraId="451EF3C7">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ascii="Times New Roman"/>
                <w:szCs w:val="18"/>
              </w:rPr>
              <w:t>内、外表面</w:t>
            </w:r>
          </w:p>
        </w:tc>
        <w:tc>
          <w:tcPr>
            <w:tcW w:w="5096" w:type="dxa"/>
            <w:vAlign w:val="center"/>
          </w:tcPr>
          <w:p w14:paraId="4F7B0445">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ascii="Times New Roman"/>
                <w:szCs w:val="18"/>
              </w:rPr>
              <w:t>500</w:t>
            </w:r>
          </w:p>
        </w:tc>
      </w:tr>
      <w:tr w14:paraId="52E08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Align w:val="center"/>
          </w:tcPr>
          <w:p w14:paraId="1CA76307">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ascii="Times New Roman"/>
                <w:szCs w:val="18"/>
              </w:rPr>
              <w:t>B</w:t>
            </w:r>
          </w:p>
        </w:tc>
        <w:tc>
          <w:tcPr>
            <w:tcW w:w="2126" w:type="dxa"/>
            <w:vAlign w:val="center"/>
          </w:tcPr>
          <w:p w14:paraId="5C8ED01E">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ascii="Times New Roman"/>
                <w:szCs w:val="18"/>
              </w:rPr>
              <w:t>内、外表面</w:t>
            </w:r>
          </w:p>
        </w:tc>
        <w:tc>
          <w:tcPr>
            <w:tcW w:w="5096" w:type="dxa"/>
            <w:vAlign w:val="center"/>
          </w:tcPr>
          <w:p w14:paraId="6DD30129">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ascii="Times New Roman"/>
                <w:szCs w:val="18"/>
              </w:rPr>
              <w:t>400</w:t>
            </w:r>
          </w:p>
        </w:tc>
      </w:tr>
      <w:tr w14:paraId="4C376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Align w:val="center"/>
          </w:tcPr>
          <w:p w14:paraId="09EEAAA1">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ascii="Times New Roman"/>
                <w:szCs w:val="18"/>
              </w:rPr>
              <w:t>C</w:t>
            </w:r>
          </w:p>
        </w:tc>
        <w:tc>
          <w:tcPr>
            <w:tcW w:w="2126" w:type="dxa"/>
            <w:vAlign w:val="center"/>
          </w:tcPr>
          <w:p w14:paraId="24149165">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ascii="Times New Roman"/>
                <w:szCs w:val="18"/>
              </w:rPr>
              <w:t>内、外表面</w:t>
            </w:r>
          </w:p>
        </w:tc>
        <w:tc>
          <w:tcPr>
            <w:tcW w:w="5096" w:type="dxa"/>
            <w:vAlign w:val="center"/>
          </w:tcPr>
          <w:p w14:paraId="441A9E4B">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ascii="Times New Roman"/>
                <w:szCs w:val="18"/>
              </w:rPr>
              <w:t>300</w:t>
            </w:r>
          </w:p>
        </w:tc>
      </w:tr>
      <w:bookmarkEnd w:id="51"/>
    </w:tbl>
    <w:p w14:paraId="2AAEDA9F">
      <w:pPr>
        <w:pStyle w:val="50"/>
        <w:numPr>
          <w:ilvl w:val="2"/>
          <w:numId w:val="3"/>
        </w:numPr>
        <w:spacing w:beforeLines="0" w:afterLines="0"/>
        <w:rPr>
          <w:rFonts w:ascii="Times New Roman" w:eastAsia="宋体"/>
        </w:rPr>
      </w:pPr>
      <w:r>
        <w:rPr>
          <w:rFonts w:hint="eastAsia" w:ascii="Times New Roman" w:eastAsia="宋体"/>
        </w:rPr>
        <w:t>镀锌钢管外表面应进行镀层厚度检验。镀锌层的厚度按不低于表4中局部厚度所有求的值，允许个别测量点上的测量值低于表4中的值。</w:t>
      </w:r>
    </w:p>
    <w:p w14:paraId="47F68A74">
      <w:pPr>
        <w:pStyle w:val="22"/>
        <w:numPr>
          <w:ilvl w:val="0"/>
          <w:numId w:val="6"/>
        </w:numPr>
        <w:tabs>
          <w:tab w:val="clear" w:pos="4201"/>
          <w:tab w:val="clear" w:pos="9298"/>
        </w:tabs>
        <w:spacing w:before="156" w:beforeLines="50" w:after="156" w:afterLines="50"/>
        <w:ind w:left="0" w:firstLine="0" w:firstLineChars="0"/>
        <w:jc w:val="center"/>
        <w:rPr>
          <w:rFonts w:ascii="Times New Roman" w:eastAsia="黑体"/>
        </w:rPr>
      </w:pPr>
      <w:r>
        <w:rPr>
          <w:rFonts w:hint="eastAsia" w:ascii="Times New Roman" w:eastAsia="黑体"/>
        </w:rPr>
        <w:t>热镀锌层重量</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2"/>
        <w:gridCol w:w="2976"/>
        <w:gridCol w:w="4246"/>
      </w:tblGrid>
      <w:tr w14:paraId="369FD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Align w:val="center"/>
          </w:tcPr>
          <w:p w14:paraId="4E0EC06C">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bookmarkStart w:id="85" w:name="_GoBack"/>
            <w:r>
              <w:rPr>
                <w:rFonts w:hint="eastAsia" w:ascii="Times New Roman"/>
                <w:szCs w:val="18"/>
              </w:rPr>
              <w:t>壁厚</w:t>
            </w:r>
          </w:p>
        </w:tc>
        <w:tc>
          <w:tcPr>
            <w:tcW w:w="2976" w:type="dxa"/>
            <w:vAlign w:val="center"/>
          </w:tcPr>
          <w:p w14:paraId="26F8D54A">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hint="eastAsia" w:ascii="Times New Roman"/>
                <w:szCs w:val="18"/>
              </w:rPr>
              <w:t>镀锌层局部厚度最小值</w:t>
            </w:r>
          </w:p>
        </w:tc>
        <w:tc>
          <w:tcPr>
            <w:tcW w:w="4246" w:type="dxa"/>
            <w:vAlign w:val="center"/>
          </w:tcPr>
          <w:p w14:paraId="331B3A7F">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hint="eastAsia" w:ascii="Times New Roman"/>
                <w:szCs w:val="18"/>
              </w:rPr>
              <w:t>镀层平均厚度最小值</w:t>
            </w:r>
          </w:p>
        </w:tc>
      </w:tr>
      <w:tr w14:paraId="16937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Align w:val="center"/>
          </w:tcPr>
          <w:p w14:paraId="2E601206">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hint="eastAsia" w:ascii="Times New Roman"/>
                <w:szCs w:val="18"/>
              </w:rPr>
              <w:t>t＞6</w:t>
            </w:r>
          </w:p>
        </w:tc>
        <w:tc>
          <w:tcPr>
            <w:tcW w:w="2976" w:type="dxa"/>
            <w:vAlign w:val="center"/>
          </w:tcPr>
          <w:p w14:paraId="36A03D5B">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hint="eastAsia" w:ascii="Times New Roman"/>
                <w:szCs w:val="18"/>
              </w:rPr>
              <w:t>70</w:t>
            </w:r>
          </w:p>
        </w:tc>
        <w:tc>
          <w:tcPr>
            <w:tcW w:w="4246" w:type="dxa"/>
            <w:vAlign w:val="center"/>
          </w:tcPr>
          <w:p w14:paraId="3C5EA958">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hint="eastAsia" w:ascii="Times New Roman"/>
                <w:szCs w:val="18"/>
              </w:rPr>
              <w:t>85</w:t>
            </w:r>
          </w:p>
        </w:tc>
      </w:tr>
      <w:tr w14:paraId="6D847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Align w:val="center"/>
          </w:tcPr>
          <w:p w14:paraId="31E0A36E">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hint="eastAsia" w:ascii="Times New Roman"/>
                <w:szCs w:val="18"/>
              </w:rPr>
              <w:t>3＜t＜6</w:t>
            </w:r>
          </w:p>
        </w:tc>
        <w:tc>
          <w:tcPr>
            <w:tcW w:w="2976" w:type="dxa"/>
            <w:vAlign w:val="center"/>
          </w:tcPr>
          <w:p w14:paraId="11EA926C">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hint="eastAsia" w:ascii="Times New Roman"/>
                <w:szCs w:val="18"/>
              </w:rPr>
              <w:t>55</w:t>
            </w:r>
          </w:p>
        </w:tc>
        <w:tc>
          <w:tcPr>
            <w:tcW w:w="4246" w:type="dxa"/>
            <w:vAlign w:val="center"/>
          </w:tcPr>
          <w:p w14:paraId="6EFFFC71">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hint="eastAsia" w:ascii="Times New Roman"/>
                <w:szCs w:val="18"/>
              </w:rPr>
              <w:t>70</w:t>
            </w:r>
          </w:p>
        </w:tc>
      </w:tr>
      <w:tr w14:paraId="7DFD0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Align w:val="center"/>
          </w:tcPr>
          <w:p w14:paraId="0E14A2D1">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hint="eastAsia" w:ascii="Times New Roman"/>
                <w:szCs w:val="18"/>
              </w:rPr>
              <w:t>t＜3</w:t>
            </w:r>
          </w:p>
        </w:tc>
        <w:tc>
          <w:tcPr>
            <w:tcW w:w="2976" w:type="dxa"/>
            <w:vAlign w:val="center"/>
          </w:tcPr>
          <w:p w14:paraId="48B6D5CF">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hint="eastAsia" w:ascii="Times New Roman"/>
                <w:szCs w:val="18"/>
              </w:rPr>
              <w:t>45</w:t>
            </w:r>
          </w:p>
        </w:tc>
        <w:tc>
          <w:tcPr>
            <w:tcW w:w="4246" w:type="dxa"/>
            <w:vAlign w:val="center"/>
          </w:tcPr>
          <w:p w14:paraId="293554A5">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ascii="Times New Roman"/>
                <w:szCs w:val="18"/>
              </w:rPr>
            </w:pPr>
            <w:r>
              <w:rPr>
                <w:rFonts w:hint="eastAsia" w:ascii="Times New Roman"/>
                <w:szCs w:val="18"/>
              </w:rPr>
              <w:t>55</w:t>
            </w:r>
          </w:p>
        </w:tc>
      </w:tr>
      <w:bookmarkEnd w:id="85"/>
    </w:tbl>
    <w:p w14:paraId="48E3B9B6">
      <w:pPr>
        <w:pStyle w:val="50"/>
        <w:numPr>
          <w:ilvl w:val="2"/>
          <w:numId w:val="3"/>
        </w:numPr>
        <w:spacing w:beforeLines="0" w:afterLines="0"/>
        <w:rPr>
          <w:rFonts w:ascii="Times New Roman" w:eastAsia="宋体"/>
        </w:rPr>
      </w:pPr>
      <w:r>
        <w:rPr>
          <w:rFonts w:hint="eastAsia" w:ascii="Times New Roman" w:eastAsia="宋体"/>
        </w:rPr>
        <w:t>外径不大于60.3 mm的钢管镀锌后应采用弯曲试验进行镀锌层的附着力检验。弯曲试验时不允许带填充物，弯曲半径为钢管外径的8倍，弯曲角度为90°，焊缝位于弯曲方向的外侧。试验后，试样不允许出现锌层剥落现象。根据需方要求，经供需双方协商，并在合同中注明，外径大于60.3mm的钢管镀锌后可用压扁试验代替弯曲试验，压扁试样长度不小于63.5mm。试验时焊缝与施力方向成90°。试验时，两平板间距离为钢管外径的3/4时，试样不允许出现锌层剥落现象。</w:t>
      </w:r>
    </w:p>
    <w:p w14:paraId="74BB2C4E">
      <w:pPr>
        <w:pStyle w:val="50"/>
        <w:numPr>
          <w:ilvl w:val="2"/>
          <w:numId w:val="3"/>
        </w:numPr>
        <w:spacing w:beforeLines="0" w:afterLines="0"/>
        <w:rPr>
          <w:rFonts w:ascii="Times New Roman" w:eastAsia="宋体"/>
        </w:rPr>
      </w:pPr>
      <w:r>
        <w:rPr>
          <w:rFonts w:hint="eastAsia" w:ascii="Times New Roman" w:eastAsia="宋体"/>
        </w:rPr>
        <w:t>钢管镀锌前应进行尺寸、外形、表面质量、力学性能和工艺性能检验。</w:t>
      </w:r>
    </w:p>
    <w:p w14:paraId="608BE043">
      <w:pPr>
        <w:pStyle w:val="50"/>
        <w:numPr>
          <w:ilvl w:val="2"/>
          <w:numId w:val="3"/>
        </w:numPr>
        <w:spacing w:beforeLines="0" w:afterLines="0"/>
        <w:rPr>
          <w:rFonts w:ascii="Times New Roman" w:eastAsia="宋体"/>
        </w:rPr>
      </w:pPr>
      <w:r>
        <w:rPr>
          <w:rFonts w:hint="eastAsia" w:ascii="Times New Roman" w:eastAsia="宋体"/>
        </w:rPr>
        <w:t>根据需方要求，经供需双方协商，并在合同中注明，可选择临时性涂层、特殊涂层，并对涂层材料、部位和技术要求进行确定。</w:t>
      </w:r>
    </w:p>
    <w:p w14:paraId="7F473D5D">
      <w:pPr>
        <w:pStyle w:val="47"/>
        <w:numPr>
          <w:ilvl w:val="1"/>
          <w:numId w:val="3"/>
        </w:numPr>
        <w:spacing w:before="156" w:after="156"/>
        <w:rPr>
          <w:rFonts w:ascii="Times New Roman"/>
        </w:rPr>
      </w:pPr>
      <w:r>
        <w:rPr>
          <w:rFonts w:hint="eastAsia" w:ascii="Times New Roman"/>
        </w:rPr>
        <w:t>尺寸外形重量</w:t>
      </w:r>
    </w:p>
    <w:p w14:paraId="65DA9B28">
      <w:pPr>
        <w:pStyle w:val="50"/>
        <w:numPr>
          <w:ilvl w:val="2"/>
          <w:numId w:val="3"/>
        </w:numPr>
        <w:spacing w:beforeLines="0" w:afterLines="0"/>
        <w:rPr>
          <w:rFonts w:ascii="Times New Roman"/>
        </w:rPr>
      </w:pPr>
      <w:bookmarkStart w:id="52" w:name="_Hlk191041839"/>
      <w:r>
        <w:rPr>
          <w:rFonts w:hint="eastAsia" w:ascii="Times New Roman"/>
        </w:rPr>
        <w:t>外径和壁厚</w:t>
      </w:r>
    </w:p>
    <w:bookmarkEnd w:id="52"/>
    <w:p w14:paraId="0E7F311D">
      <w:pPr>
        <w:pStyle w:val="50"/>
        <w:numPr>
          <w:ilvl w:val="3"/>
          <w:numId w:val="3"/>
        </w:numPr>
        <w:spacing w:beforeLines="0" w:afterLines="0"/>
        <w:rPr>
          <w:rFonts w:ascii="Times New Roman" w:eastAsia="宋体"/>
        </w:rPr>
      </w:pPr>
      <w:bookmarkStart w:id="53" w:name="_Hlk191042792"/>
      <w:r>
        <w:rPr>
          <w:rFonts w:hint="eastAsia" w:ascii="Times New Roman" w:eastAsia="宋体"/>
        </w:rPr>
        <w:t>钢管的公称外径（D）和公称壁厚（t）应符合GB/T 21835的规定。根据需方要求，经供需双方协商，可供应GB/T 21835规定以外尺寸的钢管。</w:t>
      </w:r>
    </w:p>
    <w:p w14:paraId="408BE85F">
      <w:pPr>
        <w:pStyle w:val="50"/>
        <w:numPr>
          <w:ilvl w:val="3"/>
          <w:numId w:val="3"/>
        </w:numPr>
        <w:spacing w:beforeLines="0" w:afterLines="0"/>
        <w:rPr>
          <w:rFonts w:ascii="Times New Roman" w:eastAsia="宋体"/>
        </w:rPr>
      </w:pPr>
      <w:bookmarkStart w:id="54" w:name="OLE_LINK7"/>
      <w:r>
        <w:rPr>
          <w:rFonts w:hint="eastAsia" w:ascii="Times New Roman" w:eastAsia="宋体"/>
        </w:rPr>
        <w:t>钢管外径的允许偏差应为±0.5%D，</w:t>
      </w:r>
      <w:bookmarkEnd w:id="54"/>
      <w:bookmarkStart w:id="55" w:name="_Hlk191041958"/>
      <w:r>
        <w:rPr>
          <w:rFonts w:hint="eastAsia" w:ascii="Times New Roman" w:eastAsia="宋体"/>
        </w:rPr>
        <w:t>且管端200mm范围内外径最大允许偏差不应超过±1.0mm</w:t>
      </w:r>
      <w:bookmarkEnd w:id="55"/>
      <w:r>
        <w:rPr>
          <w:rFonts w:hint="eastAsia" w:ascii="Times New Roman" w:eastAsia="宋体"/>
        </w:rPr>
        <w:t>。钢管壁厚的允许偏差为-0.3mm~＋1.0mm。</w:t>
      </w:r>
    </w:p>
    <w:bookmarkEnd w:id="53"/>
    <w:p w14:paraId="3EE22992">
      <w:pPr>
        <w:pStyle w:val="50"/>
        <w:numPr>
          <w:ilvl w:val="2"/>
          <w:numId w:val="3"/>
        </w:numPr>
        <w:spacing w:beforeLines="0" w:afterLines="0"/>
        <w:rPr>
          <w:rFonts w:ascii="Times New Roman"/>
        </w:rPr>
      </w:pPr>
      <w:r>
        <w:rPr>
          <w:rFonts w:hint="eastAsia" w:ascii="Times New Roman"/>
        </w:rPr>
        <w:t>长度</w:t>
      </w:r>
    </w:p>
    <w:p w14:paraId="5A994483">
      <w:pPr>
        <w:pStyle w:val="50"/>
        <w:numPr>
          <w:ilvl w:val="3"/>
          <w:numId w:val="3"/>
        </w:numPr>
        <w:spacing w:beforeLines="0" w:afterLines="0"/>
        <w:rPr>
          <w:rFonts w:ascii="Times New Roman"/>
        </w:rPr>
      </w:pPr>
      <w:r>
        <w:rPr>
          <w:rFonts w:hint="eastAsia" w:ascii="Times New Roman"/>
        </w:rPr>
        <w:t>通常长度</w:t>
      </w:r>
    </w:p>
    <w:p w14:paraId="383A7393">
      <w:pPr>
        <w:pStyle w:val="50"/>
        <w:numPr>
          <w:ilvl w:val="4"/>
          <w:numId w:val="3"/>
        </w:numPr>
        <w:spacing w:beforeLines="0" w:afterLines="0"/>
        <w:rPr>
          <w:rFonts w:ascii="Times New Roman" w:eastAsia="宋体"/>
        </w:rPr>
      </w:pPr>
      <w:r>
        <w:rPr>
          <w:rFonts w:hint="eastAsia" w:ascii="Times New Roman" w:eastAsia="宋体"/>
        </w:rPr>
        <w:t>钢管的通常长度和应符合如下规定：</w:t>
      </w:r>
    </w:p>
    <w:p w14:paraId="3F033D0C">
      <w:pPr>
        <w:pStyle w:val="102"/>
        <w:numPr>
          <w:ilvl w:val="0"/>
          <w:numId w:val="7"/>
        </w:numPr>
        <w:rPr>
          <w:rFonts w:ascii="Times New Roman"/>
        </w:rPr>
      </w:pPr>
      <w:r>
        <w:rPr>
          <w:rFonts w:hint="eastAsia" w:ascii="Times New Roman"/>
        </w:rPr>
        <w:t>D≤30mm，4000mm~6000mm；</w:t>
      </w:r>
    </w:p>
    <w:p w14:paraId="010B6514">
      <w:pPr>
        <w:pStyle w:val="102"/>
        <w:numPr>
          <w:ilvl w:val="0"/>
          <w:numId w:val="7"/>
        </w:numPr>
        <w:rPr>
          <w:rFonts w:ascii="Times New Roman"/>
        </w:rPr>
      </w:pPr>
      <w:r>
        <w:rPr>
          <w:rFonts w:hint="eastAsia" w:ascii="Times New Roman"/>
        </w:rPr>
        <w:t>D＞30mm~70mm，4000mm~8000mm；</w:t>
      </w:r>
    </w:p>
    <w:p w14:paraId="4312ACA5">
      <w:pPr>
        <w:pStyle w:val="102"/>
        <w:numPr>
          <w:ilvl w:val="0"/>
          <w:numId w:val="7"/>
        </w:numPr>
        <w:rPr>
          <w:rFonts w:ascii="Times New Roman"/>
        </w:rPr>
      </w:pPr>
      <w:r>
        <w:rPr>
          <w:rFonts w:hint="eastAsia" w:ascii="Times New Roman"/>
        </w:rPr>
        <w:t>D＞70mm，4000mm~12000mm。</w:t>
      </w:r>
    </w:p>
    <w:p w14:paraId="5360E050">
      <w:pPr>
        <w:pStyle w:val="50"/>
        <w:numPr>
          <w:ilvl w:val="4"/>
          <w:numId w:val="3"/>
        </w:numPr>
        <w:spacing w:beforeLines="0" w:afterLines="0"/>
        <w:rPr>
          <w:rFonts w:ascii="Times New Roman" w:eastAsia="宋体"/>
        </w:rPr>
      </w:pPr>
      <w:r>
        <w:rPr>
          <w:rFonts w:hint="eastAsia" w:ascii="Times New Roman" w:eastAsia="宋体"/>
        </w:rPr>
        <w:t>经供需双方协商，并在合同中注明，可交付通常长度以外长度的钢管。</w:t>
      </w:r>
    </w:p>
    <w:p w14:paraId="62CC7609">
      <w:pPr>
        <w:pStyle w:val="50"/>
        <w:numPr>
          <w:ilvl w:val="4"/>
          <w:numId w:val="3"/>
        </w:numPr>
        <w:spacing w:beforeLines="0" w:afterLines="0"/>
        <w:rPr>
          <w:rFonts w:ascii="Times New Roman" w:eastAsia="宋体"/>
        </w:rPr>
      </w:pPr>
      <w:r>
        <w:rPr>
          <w:rFonts w:hint="eastAsia" w:ascii="Times New Roman" w:eastAsia="宋体"/>
        </w:rPr>
        <w:t>按通常长度交货时，每批钢管可交付数量不超过该批钢管交货总数量5%的，长度不小于2000mm的短尺钢管。</w:t>
      </w:r>
    </w:p>
    <w:p w14:paraId="58D92E08">
      <w:pPr>
        <w:pStyle w:val="50"/>
        <w:numPr>
          <w:ilvl w:val="3"/>
          <w:numId w:val="3"/>
        </w:numPr>
        <w:spacing w:beforeLines="0" w:afterLines="0"/>
        <w:rPr>
          <w:rFonts w:ascii="Times New Roman"/>
        </w:rPr>
      </w:pPr>
      <w:r>
        <w:rPr>
          <w:rFonts w:hint="eastAsia" w:ascii="Times New Roman"/>
        </w:rPr>
        <w:t>定尺长度和倍尺长度</w:t>
      </w:r>
    </w:p>
    <w:p w14:paraId="5A440A4D">
      <w:pPr>
        <w:pStyle w:val="22"/>
        <w:rPr>
          <w:rFonts w:ascii="Times New Roman"/>
        </w:rPr>
      </w:pPr>
      <w:r>
        <w:rPr>
          <w:rFonts w:ascii="Times New Roman"/>
        </w:rPr>
        <w:t>根据需方要求，经供需双方协商，并在合同中注明，钢管可按定尺长度或倍尺长度交货。定尺长度和倍尺总长度应在通常长度范围内。每个倍尺长度应留5mm~10mm的切口余量。定尺长度、倍尺长度允许偏差应符合以下规定：</w:t>
      </w:r>
    </w:p>
    <w:p w14:paraId="0D8DDABE">
      <w:pPr>
        <w:pStyle w:val="102"/>
        <w:numPr>
          <w:ilvl w:val="0"/>
          <w:numId w:val="8"/>
        </w:numPr>
        <w:rPr>
          <w:rFonts w:ascii="Times New Roman"/>
        </w:rPr>
      </w:pPr>
      <w:r>
        <w:rPr>
          <w:rFonts w:hint="eastAsia" w:ascii="Times New Roman"/>
        </w:rPr>
        <w:t>D≤219.1mm，</w:t>
      </w:r>
      <w:r>
        <w:rPr>
          <w:rFonts w:hint="eastAsia" w:ascii="Times New Roman"/>
          <w:eastAsianLayout w:id="4" w:combine="1"/>
        </w:rPr>
        <w:t>+15 0</w:t>
      </w:r>
      <w:r>
        <w:rPr>
          <w:rFonts w:hint="eastAsia" w:ascii="Times New Roman"/>
        </w:rPr>
        <w:t>mm；</w:t>
      </w:r>
    </w:p>
    <w:p w14:paraId="23178FB5">
      <w:pPr>
        <w:pStyle w:val="102"/>
        <w:numPr>
          <w:ilvl w:val="0"/>
          <w:numId w:val="8"/>
        </w:numPr>
        <w:rPr>
          <w:rFonts w:ascii="Times New Roman"/>
        </w:rPr>
      </w:pPr>
      <w:r>
        <w:rPr>
          <w:rFonts w:hint="eastAsia" w:ascii="Times New Roman"/>
        </w:rPr>
        <w:t>D＞219.1mm，</w:t>
      </w:r>
      <w:r>
        <w:rPr>
          <w:rFonts w:hint="eastAsia" w:ascii="Times New Roman"/>
          <w:eastAsianLayout w:id="5" w:combine="1"/>
        </w:rPr>
        <w:t>+50 0</w:t>
      </w:r>
      <w:r>
        <w:rPr>
          <w:rFonts w:hint="eastAsia" w:ascii="Times New Roman"/>
        </w:rPr>
        <w:t>mm；</w:t>
      </w:r>
    </w:p>
    <w:p w14:paraId="35162951">
      <w:pPr>
        <w:pStyle w:val="50"/>
        <w:numPr>
          <w:ilvl w:val="2"/>
          <w:numId w:val="3"/>
        </w:numPr>
        <w:spacing w:beforeLines="0" w:afterLines="0"/>
        <w:rPr>
          <w:rFonts w:ascii="Times New Roman"/>
        </w:rPr>
      </w:pPr>
      <w:r>
        <w:rPr>
          <w:rFonts w:hint="eastAsia" w:ascii="Times New Roman"/>
        </w:rPr>
        <w:t>弯曲度</w:t>
      </w:r>
    </w:p>
    <w:p w14:paraId="02D43C3D">
      <w:pPr>
        <w:pStyle w:val="22"/>
        <w:rPr>
          <w:rFonts w:ascii="Times New Roman"/>
        </w:rPr>
      </w:pPr>
      <w:bookmarkStart w:id="56" w:name="_Hlk191043441"/>
      <w:r>
        <w:rPr>
          <w:rFonts w:hint="eastAsia" w:ascii="Times New Roman"/>
        </w:rPr>
        <w:t>钢管每米弯曲度不大于1.5mm。直缝焊管全长弯曲度不大于L/1500（L为钢管长度，mm），且不大于5mm。</w:t>
      </w:r>
    </w:p>
    <w:bookmarkEnd w:id="56"/>
    <w:p w14:paraId="6AFF3682">
      <w:pPr>
        <w:pStyle w:val="50"/>
        <w:numPr>
          <w:ilvl w:val="2"/>
          <w:numId w:val="3"/>
        </w:numPr>
        <w:spacing w:beforeLines="0" w:afterLines="0"/>
        <w:rPr>
          <w:rFonts w:ascii="Times New Roman"/>
        </w:rPr>
      </w:pPr>
      <w:r>
        <w:rPr>
          <w:rFonts w:hint="eastAsia" w:ascii="Times New Roman"/>
        </w:rPr>
        <w:t>不圆度</w:t>
      </w:r>
    </w:p>
    <w:p w14:paraId="2C4D2B60">
      <w:pPr>
        <w:pStyle w:val="22"/>
        <w:rPr>
          <w:rFonts w:ascii="Times New Roman"/>
        </w:rPr>
      </w:pPr>
      <w:bookmarkStart w:id="57" w:name="_Hlk191043569"/>
      <w:r>
        <w:rPr>
          <w:rFonts w:hint="eastAsia" w:ascii="Times New Roman"/>
        </w:rPr>
        <w:t>距管端200mm范围内钢管的不圆度（同一横截面实测最大外径和最小外径之差）不应大于0.6%D。其余部位不圆度不应大于 1.2%D。</w:t>
      </w:r>
    </w:p>
    <w:bookmarkEnd w:id="57"/>
    <w:p w14:paraId="43035F25">
      <w:pPr>
        <w:pStyle w:val="50"/>
        <w:numPr>
          <w:ilvl w:val="2"/>
          <w:numId w:val="3"/>
        </w:numPr>
        <w:spacing w:beforeLines="0" w:afterLines="0"/>
        <w:rPr>
          <w:rFonts w:ascii="Times New Roman"/>
        </w:rPr>
      </w:pPr>
      <w:bookmarkStart w:id="58" w:name="_Hlk191043713"/>
      <w:r>
        <w:rPr>
          <w:rFonts w:hint="eastAsia" w:ascii="Times New Roman"/>
        </w:rPr>
        <w:t>钢管端面</w:t>
      </w:r>
    </w:p>
    <w:bookmarkEnd w:id="58"/>
    <w:p w14:paraId="4A95AE9B">
      <w:pPr>
        <w:pStyle w:val="50"/>
        <w:numPr>
          <w:ilvl w:val="3"/>
          <w:numId w:val="3"/>
        </w:numPr>
        <w:spacing w:beforeLines="0" w:afterLines="0"/>
        <w:rPr>
          <w:rFonts w:ascii="Times New Roman" w:eastAsia="宋体"/>
        </w:rPr>
      </w:pPr>
      <w:bookmarkStart w:id="59" w:name="_Hlk191043728"/>
      <w:r>
        <w:rPr>
          <w:rFonts w:hint="eastAsia" w:ascii="Times New Roman" w:eastAsia="宋体"/>
        </w:rPr>
        <w:t>钢管应垂直轴线切割，并应清除切口毛刺。管端切斜（h）应符合表5的规定，见图2。外径不大于114.3mm</w:t>
      </w:r>
      <w:r>
        <w:rPr>
          <w:rFonts w:hint="eastAsia" w:ascii="Times New Roman" w:eastAsia="宋体"/>
          <w:color w:val="000000" w:themeColor="text1"/>
          <w14:textFill>
            <w14:solidFill>
              <w14:schemeClr w14:val="tx1"/>
            </w14:solidFill>
          </w14:textFill>
        </w:rPr>
        <w:t>的钢管应机械平头或洗切锯。</w:t>
      </w:r>
    </w:p>
    <w:bookmarkEnd w:id="59"/>
    <w:p w14:paraId="1E5D2077">
      <w:pPr>
        <w:pStyle w:val="22"/>
        <w:ind w:firstLine="0" w:firstLineChars="0"/>
        <w:jc w:val="center"/>
      </w:pPr>
      <w:bookmarkStart w:id="60" w:name="_Hlk191043808"/>
      <w:r>
        <w:drawing>
          <wp:inline distT="0" distB="0" distL="0" distR="0">
            <wp:extent cx="1795780" cy="1259840"/>
            <wp:effectExtent l="0" t="0" r="0" b="0"/>
            <wp:docPr id="20677588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58870" name="图片 1"/>
                    <pic:cNvPicPr>
                      <a:picLocks noChangeAspect="1"/>
                    </pic:cNvPicPr>
                  </pic:nvPicPr>
                  <pic:blipFill>
                    <a:blip r:embed="rId13"/>
                    <a:stretch>
                      <a:fillRect/>
                    </a:stretch>
                  </pic:blipFill>
                  <pic:spPr>
                    <a:xfrm>
                      <a:off x="0" y="0"/>
                      <a:ext cx="1803129" cy="1265147"/>
                    </a:xfrm>
                    <a:prstGeom prst="rect">
                      <a:avLst/>
                    </a:prstGeom>
                  </pic:spPr>
                </pic:pic>
              </a:graphicData>
            </a:graphic>
          </wp:inline>
        </w:drawing>
      </w:r>
    </w:p>
    <w:p w14:paraId="0F5A0395">
      <w:pPr>
        <w:pStyle w:val="22"/>
        <w:ind w:firstLine="0" w:firstLineChars="0"/>
        <w:jc w:val="center"/>
        <w:rPr>
          <w:rFonts w:hint="eastAsia" w:ascii="黑体" w:hAnsi="黑体" w:eastAsia="黑体"/>
        </w:rPr>
      </w:pPr>
      <w:r>
        <w:rPr>
          <w:rFonts w:hint="eastAsia" w:ascii="黑体" w:hAnsi="黑体" w:eastAsia="黑体"/>
        </w:rPr>
        <w:t>图2 钢管切口斜度</w:t>
      </w:r>
    </w:p>
    <w:p w14:paraId="0FA78E04">
      <w:pPr>
        <w:pStyle w:val="22"/>
        <w:tabs>
          <w:tab w:val="clear" w:pos="4201"/>
          <w:tab w:val="clear" w:pos="9298"/>
        </w:tabs>
        <w:spacing w:before="156" w:beforeLines="50" w:after="156" w:afterLines="50"/>
        <w:ind w:firstLine="0" w:firstLineChars="0"/>
        <w:jc w:val="center"/>
        <w:rPr>
          <w:rFonts w:ascii="Times New Roman" w:eastAsia="黑体"/>
        </w:rPr>
      </w:pPr>
      <w:r>
        <w:rPr>
          <w:rFonts w:hint="eastAsia" w:ascii="Times New Roman" w:eastAsia="黑体"/>
        </w:rPr>
        <w:t>表5 断面切斜</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5096"/>
      </w:tblGrid>
      <w:tr w14:paraId="7AEA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248" w:type="dxa"/>
            <w:vAlign w:val="center"/>
          </w:tcPr>
          <w:p w14:paraId="29FFD96A">
            <w:pPr>
              <w:pStyle w:val="22"/>
              <w:numPr>
                <w:ilvl w:val="0"/>
                <w:numId w:val="0"/>
              </w:numPr>
              <w:tabs>
                <w:tab w:val="left" w:pos="720"/>
              </w:tabs>
              <w:ind w:left="544"/>
              <w:jc w:val="center"/>
              <w:rPr>
                <w:rFonts w:ascii="Times New Roman"/>
                <w:szCs w:val="18"/>
              </w:rPr>
            </w:pPr>
            <w:r>
              <w:rPr>
                <w:rFonts w:hint="eastAsia" w:ascii="Times New Roman"/>
                <w:szCs w:val="18"/>
              </w:rPr>
              <w:t>外径/mm</w:t>
            </w:r>
          </w:p>
        </w:tc>
        <w:tc>
          <w:tcPr>
            <w:tcW w:w="5096" w:type="dxa"/>
            <w:vAlign w:val="center"/>
          </w:tcPr>
          <w:p w14:paraId="5744868E">
            <w:pPr>
              <w:pStyle w:val="22"/>
              <w:numPr>
                <w:ilvl w:val="0"/>
                <w:numId w:val="0"/>
              </w:numPr>
              <w:tabs>
                <w:tab w:val="left" w:pos="720"/>
              </w:tabs>
              <w:ind w:left="544"/>
              <w:jc w:val="center"/>
              <w:rPr>
                <w:rFonts w:ascii="Times New Roman"/>
                <w:szCs w:val="18"/>
              </w:rPr>
            </w:pPr>
            <w:r>
              <w:rPr>
                <w:rFonts w:hint="eastAsia" w:ascii="Times New Roman"/>
                <w:szCs w:val="18"/>
              </w:rPr>
              <w:t>管端切斜/mm</w:t>
            </w:r>
          </w:p>
        </w:tc>
      </w:tr>
      <w:tr w14:paraId="6AF3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Align w:val="center"/>
          </w:tcPr>
          <w:p w14:paraId="20C4D080">
            <w:pPr>
              <w:pStyle w:val="22"/>
              <w:numPr>
                <w:ilvl w:val="0"/>
                <w:numId w:val="0"/>
              </w:numPr>
              <w:tabs>
                <w:tab w:val="left" w:pos="720"/>
              </w:tabs>
              <w:ind w:left="544"/>
              <w:jc w:val="center"/>
              <w:rPr>
                <w:rFonts w:ascii="Times New Roman"/>
                <w:szCs w:val="18"/>
              </w:rPr>
            </w:pPr>
            <w:r>
              <w:rPr>
                <w:rFonts w:hint="eastAsia" w:ascii="Times New Roman"/>
                <w:szCs w:val="18"/>
              </w:rPr>
              <w:t>D≤219.1</w:t>
            </w:r>
          </w:p>
        </w:tc>
        <w:tc>
          <w:tcPr>
            <w:tcW w:w="5096" w:type="dxa"/>
            <w:vAlign w:val="center"/>
          </w:tcPr>
          <w:p w14:paraId="397F7D37">
            <w:pPr>
              <w:pStyle w:val="22"/>
              <w:numPr>
                <w:ilvl w:val="0"/>
                <w:numId w:val="0"/>
              </w:numPr>
              <w:tabs>
                <w:tab w:val="left" w:pos="720"/>
              </w:tabs>
              <w:ind w:left="544"/>
              <w:jc w:val="center"/>
              <w:rPr>
                <w:rFonts w:ascii="Times New Roman"/>
                <w:szCs w:val="18"/>
              </w:rPr>
            </w:pPr>
            <w:r>
              <w:rPr>
                <w:rFonts w:hint="eastAsia" w:ascii="Times New Roman"/>
                <w:szCs w:val="18"/>
              </w:rPr>
              <w:t>1.0</w:t>
            </w:r>
          </w:p>
        </w:tc>
      </w:tr>
      <w:tr w14:paraId="66BD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Align w:val="center"/>
          </w:tcPr>
          <w:p w14:paraId="1AD2A7C4">
            <w:pPr>
              <w:pStyle w:val="22"/>
              <w:numPr>
                <w:ilvl w:val="0"/>
                <w:numId w:val="0"/>
              </w:numPr>
              <w:tabs>
                <w:tab w:val="left" w:pos="720"/>
              </w:tabs>
              <w:ind w:left="544"/>
              <w:jc w:val="center"/>
              <w:rPr>
                <w:rFonts w:ascii="Times New Roman"/>
                <w:szCs w:val="18"/>
              </w:rPr>
            </w:pPr>
            <w:r>
              <w:rPr>
                <w:rFonts w:hint="eastAsia" w:ascii="Times New Roman"/>
                <w:szCs w:val="18"/>
              </w:rPr>
              <w:t>219.1＜D≤426</w:t>
            </w:r>
          </w:p>
        </w:tc>
        <w:tc>
          <w:tcPr>
            <w:tcW w:w="5096" w:type="dxa"/>
            <w:vAlign w:val="center"/>
          </w:tcPr>
          <w:p w14:paraId="1E7AC3FA">
            <w:pPr>
              <w:pStyle w:val="22"/>
              <w:numPr>
                <w:ilvl w:val="0"/>
                <w:numId w:val="0"/>
              </w:numPr>
              <w:tabs>
                <w:tab w:val="left" w:pos="720"/>
              </w:tabs>
              <w:ind w:left="544"/>
              <w:jc w:val="center"/>
              <w:rPr>
                <w:rFonts w:ascii="Times New Roman"/>
                <w:szCs w:val="18"/>
              </w:rPr>
            </w:pPr>
            <w:r>
              <w:rPr>
                <w:rFonts w:hint="eastAsia" w:ascii="Times New Roman"/>
                <w:szCs w:val="18"/>
              </w:rPr>
              <w:t>1.5</w:t>
            </w:r>
          </w:p>
        </w:tc>
      </w:tr>
      <w:tr w14:paraId="465C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Align w:val="center"/>
          </w:tcPr>
          <w:p w14:paraId="3D15482F">
            <w:pPr>
              <w:pStyle w:val="22"/>
              <w:numPr>
                <w:ilvl w:val="0"/>
                <w:numId w:val="0"/>
              </w:numPr>
              <w:tabs>
                <w:tab w:val="left" w:pos="720"/>
              </w:tabs>
              <w:ind w:left="544"/>
              <w:jc w:val="center"/>
              <w:rPr>
                <w:rFonts w:ascii="Times New Roman"/>
                <w:szCs w:val="18"/>
              </w:rPr>
            </w:pPr>
            <w:r>
              <w:rPr>
                <w:rFonts w:hint="eastAsia" w:ascii="Times New Roman"/>
                <w:szCs w:val="18"/>
              </w:rPr>
              <w:t>426＜D≤508</w:t>
            </w:r>
          </w:p>
        </w:tc>
        <w:tc>
          <w:tcPr>
            <w:tcW w:w="5096" w:type="dxa"/>
            <w:vAlign w:val="center"/>
          </w:tcPr>
          <w:p w14:paraId="747EFA7A">
            <w:pPr>
              <w:pStyle w:val="22"/>
              <w:numPr>
                <w:ilvl w:val="0"/>
                <w:numId w:val="0"/>
              </w:numPr>
              <w:tabs>
                <w:tab w:val="left" w:pos="720"/>
              </w:tabs>
              <w:ind w:left="544"/>
              <w:jc w:val="center"/>
              <w:rPr>
                <w:rFonts w:ascii="Times New Roman"/>
                <w:szCs w:val="18"/>
              </w:rPr>
            </w:pPr>
            <w:r>
              <w:rPr>
                <w:rFonts w:hint="eastAsia" w:ascii="Times New Roman"/>
                <w:szCs w:val="18"/>
              </w:rPr>
              <w:t>2.0</w:t>
            </w:r>
          </w:p>
        </w:tc>
      </w:tr>
      <w:tr w14:paraId="2E5A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Align w:val="center"/>
          </w:tcPr>
          <w:p w14:paraId="7DF10AF6">
            <w:pPr>
              <w:pStyle w:val="22"/>
              <w:numPr>
                <w:ilvl w:val="0"/>
                <w:numId w:val="0"/>
              </w:numPr>
              <w:tabs>
                <w:tab w:val="left" w:pos="720"/>
              </w:tabs>
              <w:ind w:left="544"/>
              <w:jc w:val="center"/>
              <w:rPr>
                <w:rFonts w:ascii="Times New Roman"/>
                <w:szCs w:val="18"/>
              </w:rPr>
            </w:pPr>
            <w:r>
              <w:rPr>
                <w:rFonts w:hint="eastAsia" w:ascii="Times New Roman"/>
                <w:szCs w:val="18"/>
              </w:rPr>
              <w:t>D＞508</w:t>
            </w:r>
          </w:p>
        </w:tc>
        <w:tc>
          <w:tcPr>
            <w:tcW w:w="5096" w:type="dxa"/>
            <w:vAlign w:val="center"/>
          </w:tcPr>
          <w:p w14:paraId="233E76A8">
            <w:pPr>
              <w:pStyle w:val="22"/>
              <w:numPr>
                <w:ilvl w:val="0"/>
                <w:numId w:val="0"/>
              </w:numPr>
              <w:tabs>
                <w:tab w:val="left" w:pos="720"/>
              </w:tabs>
              <w:ind w:left="544"/>
              <w:jc w:val="center"/>
              <w:rPr>
                <w:rFonts w:ascii="Times New Roman"/>
                <w:szCs w:val="18"/>
              </w:rPr>
            </w:pPr>
            <w:r>
              <w:rPr>
                <w:rFonts w:hint="eastAsia" w:ascii="Times New Roman"/>
                <w:szCs w:val="18"/>
              </w:rPr>
              <w:t>2.5</w:t>
            </w:r>
          </w:p>
        </w:tc>
      </w:tr>
      <w:bookmarkEnd w:id="60"/>
    </w:tbl>
    <w:p w14:paraId="39C31252">
      <w:pPr>
        <w:pStyle w:val="22"/>
        <w:ind w:firstLine="0" w:firstLineChars="0"/>
        <w:jc w:val="center"/>
        <w:rPr>
          <w:rFonts w:hint="eastAsia" w:ascii="黑体" w:hAnsi="黑体" w:eastAsia="黑体"/>
        </w:rPr>
      </w:pPr>
    </w:p>
    <w:p w14:paraId="11B982AF">
      <w:pPr>
        <w:pStyle w:val="50"/>
        <w:numPr>
          <w:ilvl w:val="3"/>
          <w:numId w:val="3"/>
        </w:numPr>
        <w:spacing w:beforeLines="0" w:afterLines="0"/>
        <w:rPr>
          <w:rFonts w:ascii="Times New Roman" w:eastAsia="宋体"/>
        </w:rPr>
      </w:pPr>
      <w:bookmarkStart w:id="61" w:name="_Hlk191044050"/>
      <w:r>
        <w:rPr>
          <w:rFonts w:hint="eastAsia" w:ascii="Times New Roman" w:eastAsia="宋体"/>
        </w:rPr>
        <w:t>直缝焊管一般采用评断供货，根据需方要求，经供需双方协商，并在合同中注明，壁厚大于4mm的钢管管端可加工坡口，坡口角为30°</w:t>
      </w:r>
      <w:r>
        <w:rPr>
          <w:rFonts w:hint="eastAsia" w:ascii="Times New Roman" w:eastAsia="宋体"/>
          <w:eastAsianLayout w:id="6" w:combine="1"/>
        </w:rPr>
        <w:t>+5° 0</w:t>
      </w:r>
      <w:r>
        <w:rPr>
          <w:rFonts w:hint="eastAsia" w:ascii="Times New Roman" w:eastAsia="宋体"/>
        </w:rPr>
        <w:t>，钝边宽度为1.6mm士0.8mm，坡口和钝边见图3</w:t>
      </w:r>
      <w:bookmarkEnd w:id="61"/>
      <w:r>
        <w:rPr>
          <w:rFonts w:hint="eastAsia" w:ascii="Times New Roman" w:eastAsia="宋体"/>
        </w:rPr>
        <w:t>。</w:t>
      </w:r>
    </w:p>
    <w:p w14:paraId="4A2C4B27">
      <w:pPr>
        <w:pStyle w:val="22"/>
        <w:ind w:firstLine="0" w:firstLineChars="0"/>
        <w:jc w:val="center"/>
      </w:pPr>
      <w:bookmarkStart w:id="62" w:name="_Hlk191044063"/>
      <w:r>
        <w:drawing>
          <wp:inline distT="0" distB="0" distL="0" distR="0">
            <wp:extent cx="1355090" cy="1278255"/>
            <wp:effectExtent l="0" t="0" r="0" b="0"/>
            <wp:docPr id="17590102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10249" name="图片 1"/>
                    <pic:cNvPicPr>
                      <a:picLocks noChangeAspect="1"/>
                    </pic:cNvPicPr>
                  </pic:nvPicPr>
                  <pic:blipFill>
                    <a:blip r:embed="rId14"/>
                    <a:stretch>
                      <a:fillRect/>
                    </a:stretch>
                  </pic:blipFill>
                  <pic:spPr>
                    <a:xfrm>
                      <a:off x="0" y="0"/>
                      <a:ext cx="1362755" cy="1285730"/>
                    </a:xfrm>
                    <a:prstGeom prst="rect">
                      <a:avLst/>
                    </a:prstGeom>
                  </pic:spPr>
                </pic:pic>
              </a:graphicData>
            </a:graphic>
          </wp:inline>
        </w:drawing>
      </w:r>
    </w:p>
    <w:p w14:paraId="05C1B6F3">
      <w:pPr>
        <w:pStyle w:val="22"/>
        <w:ind w:firstLine="0" w:firstLineChars="0"/>
        <w:jc w:val="center"/>
        <w:rPr>
          <w:rFonts w:hint="eastAsia" w:ascii="黑体" w:hAnsi="黑体" w:eastAsia="黑体"/>
        </w:rPr>
      </w:pPr>
      <w:r>
        <w:rPr>
          <w:rFonts w:hint="eastAsia" w:ascii="黑体" w:hAnsi="黑体" w:eastAsia="黑体"/>
        </w:rPr>
        <w:t>图3 钢管坡口和钝边</w:t>
      </w:r>
    </w:p>
    <w:bookmarkEnd w:id="62"/>
    <w:p w14:paraId="4B7E3F96">
      <w:pPr>
        <w:pStyle w:val="22"/>
        <w:ind w:firstLine="0" w:firstLineChars="0"/>
        <w:jc w:val="center"/>
      </w:pPr>
    </w:p>
    <w:p w14:paraId="1B185DCB">
      <w:pPr>
        <w:pStyle w:val="50"/>
        <w:numPr>
          <w:ilvl w:val="2"/>
          <w:numId w:val="3"/>
        </w:numPr>
        <w:spacing w:beforeLines="0" w:afterLines="0"/>
        <w:rPr>
          <w:rFonts w:ascii="Times New Roman"/>
        </w:rPr>
      </w:pPr>
      <w:r>
        <w:rPr>
          <w:rFonts w:hint="eastAsia" w:ascii="Times New Roman"/>
        </w:rPr>
        <w:t>钢管的焊缝高度</w:t>
      </w:r>
    </w:p>
    <w:p w14:paraId="11DAAA04">
      <w:pPr>
        <w:pStyle w:val="50"/>
        <w:numPr>
          <w:ilvl w:val="3"/>
          <w:numId w:val="3"/>
        </w:numPr>
        <w:spacing w:beforeLines="0" w:afterLines="0"/>
      </w:pPr>
      <w:bookmarkStart w:id="63" w:name="_Hlk191044103"/>
      <w:r>
        <w:rPr>
          <w:rFonts w:hint="eastAsia" w:ascii="Times New Roman" w:eastAsia="宋体"/>
        </w:rPr>
        <w:t>钢管外焊缝毛刺应清除平整。</w:t>
      </w:r>
    </w:p>
    <w:p w14:paraId="3A7935CD">
      <w:pPr>
        <w:pStyle w:val="50"/>
        <w:numPr>
          <w:ilvl w:val="3"/>
          <w:numId w:val="3"/>
        </w:numPr>
        <w:spacing w:beforeLines="0" w:afterLines="0"/>
        <w:rPr>
          <w:rFonts w:ascii="Times New Roman" w:eastAsia="宋体"/>
        </w:rPr>
      </w:pPr>
      <w:r>
        <w:rPr>
          <w:rFonts w:hint="eastAsia" w:ascii="Times New Roman" w:eastAsia="宋体"/>
        </w:rPr>
        <w:t>钢管清除内毛刺交货时，其内焊缝毛刺高度应符合表4的规定，且内毛刺清除后钢管剩余壁厚应不小于壁厚允许的最小值。如合同未规定钢管精度等级，则按普通精度执行。根据需方要求，经供需双方协商，并在合同中注明，可供应表6以外内毛刺高度的钢管。</w:t>
      </w:r>
    </w:p>
    <w:bookmarkEnd w:id="63"/>
    <w:p w14:paraId="0E20593A">
      <w:pPr>
        <w:pStyle w:val="22"/>
        <w:tabs>
          <w:tab w:val="clear" w:pos="4201"/>
          <w:tab w:val="clear" w:pos="9298"/>
        </w:tabs>
        <w:spacing w:before="156" w:beforeLines="50" w:after="156" w:afterLines="50"/>
        <w:ind w:firstLine="0" w:firstLineChars="0"/>
        <w:jc w:val="right"/>
        <w:rPr>
          <w:rFonts w:ascii="Times New Roman" w:eastAsia="黑体"/>
        </w:rPr>
      </w:pPr>
      <w:r>
        <w:rPr>
          <w:rFonts w:hint="eastAsia" w:ascii="Times New Roman" w:eastAsia="黑体"/>
        </w:rPr>
        <w:t xml:space="preserve">                    </w:t>
      </w:r>
      <w:bookmarkStart w:id="64" w:name="_Hlk191044215"/>
      <w:r>
        <w:rPr>
          <w:rFonts w:hint="eastAsia" w:ascii="Times New Roman" w:eastAsia="黑体"/>
        </w:rPr>
        <w:t xml:space="preserve">   表6 内毛刺高度                             </w:t>
      </w:r>
      <w:r>
        <w:rPr>
          <w:rFonts w:hint="eastAsia" w:asciiTheme="minorEastAsia" w:hAnsiTheme="minorEastAsia" w:eastAsiaTheme="minorEastAsia"/>
        </w:rPr>
        <w:t>单位为毫米</w:t>
      </w:r>
    </w:p>
    <w:tbl>
      <w:tblPr>
        <w:tblStyle w:val="32"/>
        <w:tblW w:w="93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17"/>
        <w:gridCol w:w="3117"/>
        <w:gridCol w:w="3117"/>
      </w:tblGrid>
      <w:tr w14:paraId="5C4E8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7" w:type="dxa"/>
            <w:vAlign w:val="center"/>
          </w:tcPr>
          <w:p w14:paraId="7589DEDE">
            <w:pPr>
              <w:pStyle w:val="22"/>
              <w:numPr>
                <w:ilvl w:val="0"/>
                <w:numId w:val="0"/>
              </w:numPr>
              <w:tabs>
                <w:tab w:val="left" w:pos="720"/>
              </w:tabs>
              <w:ind w:left="544"/>
              <w:jc w:val="center"/>
              <w:rPr>
                <w:rFonts w:ascii="Times New Roman"/>
                <w:szCs w:val="18"/>
              </w:rPr>
            </w:pPr>
            <w:r>
              <w:rPr>
                <w:rFonts w:ascii="Times New Roman"/>
                <w:szCs w:val="18"/>
              </w:rPr>
              <w:t>普通精度（PS.A）</w:t>
            </w:r>
          </w:p>
        </w:tc>
        <w:tc>
          <w:tcPr>
            <w:tcW w:w="3117" w:type="dxa"/>
            <w:vAlign w:val="center"/>
          </w:tcPr>
          <w:p w14:paraId="4537E318">
            <w:pPr>
              <w:pStyle w:val="22"/>
              <w:numPr>
                <w:ilvl w:val="0"/>
                <w:numId w:val="0"/>
              </w:numPr>
              <w:tabs>
                <w:tab w:val="left" w:pos="720"/>
              </w:tabs>
              <w:ind w:left="544"/>
              <w:jc w:val="center"/>
              <w:rPr>
                <w:rFonts w:ascii="Times New Roman"/>
                <w:szCs w:val="18"/>
              </w:rPr>
            </w:pPr>
            <w:r>
              <w:rPr>
                <w:rFonts w:ascii="Times New Roman"/>
                <w:szCs w:val="18"/>
              </w:rPr>
              <w:t>较高精度（PS.B）</w:t>
            </w:r>
          </w:p>
        </w:tc>
        <w:tc>
          <w:tcPr>
            <w:tcW w:w="3117" w:type="dxa"/>
            <w:vAlign w:val="center"/>
          </w:tcPr>
          <w:p w14:paraId="0C0FFC4B">
            <w:pPr>
              <w:pStyle w:val="22"/>
              <w:numPr>
                <w:ilvl w:val="0"/>
                <w:numId w:val="0"/>
              </w:numPr>
              <w:tabs>
                <w:tab w:val="left" w:pos="720"/>
              </w:tabs>
              <w:ind w:left="544"/>
              <w:jc w:val="center"/>
              <w:rPr>
                <w:rFonts w:ascii="Times New Roman"/>
                <w:szCs w:val="18"/>
              </w:rPr>
            </w:pPr>
            <w:r>
              <w:rPr>
                <w:rFonts w:ascii="Times New Roman"/>
                <w:szCs w:val="18"/>
              </w:rPr>
              <w:t>高精度（PS.C）</w:t>
            </w:r>
          </w:p>
        </w:tc>
      </w:tr>
      <w:tr w14:paraId="44B68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7" w:type="dxa"/>
            <w:vAlign w:val="center"/>
          </w:tcPr>
          <w:p w14:paraId="4418F361">
            <w:pPr>
              <w:pStyle w:val="22"/>
              <w:numPr>
                <w:ilvl w:val="0"/>
                <w:numId w:val="0"/>
              </w:numPr>
              <w:tabs>
                <w:tab w:val="left" w:pos="720"/>
              </w:tabs>
              <w:ind w:left="544"/>
              <w:jc w:val="center"/>
              <w:rPr>
                <w:rFonts w:ascii="Times New Roman"/>
                <w:szCs w:val="18"/>
              </w:rPr>
            </w:pPr>
            <w:r>
              <w:rPr>
                <w:rFonts w:hint="eastAsia" w:ascii="Times New Roman"/>
                <w:szCs w:val="18"/>
              </w:rPr>
              <w:t>＋0.50</w:t>
            </w:r>
          </w:p>
          <w:p w14:paraId="6E57D615">
            <w:pPr>
              <w:pStyle w:val="22"/>
              <w:numPr>
                <w:ilvl w:val="0"/>
                <w:numId w:val="0"/>
              </w:numPr>
              <w:tabs>
                <w:tab w:val="left" w:pos="720"/>
              </w:tabs>
              <w:ind w:left="544"/>
              <w:jc w:val="center"/>
              <w:rPr>
                <w:rFonts w:ascii="Times New Roman"/>
                <w:szCs w:val="18"/>
              </w:rPr>
            </w:pPr>
            <w:r>
              <w:rPr>
                <w:rFonts w:hint="eastAsia" w:ascii="Times New Roman"/>
                <w:szCs w:val="18"/>
              </w:rPr>
              <w:t>－0.20</w:t>
            </w:r>
          </w:p>
        </w:tc>
        <w:tc>
          <w:tcPr>
            <w:tcW w:w="3117" w:type="dxa"/>
            <w:vAlign w:val="center"/>
          </w:tcPr>
          <w:p w14:paraId="1983CE19">
            <w:pPr>
              <w:pStyle w:val="22"/>
              <w:numPr>
                <w:ilvl w:val="0"/>
                <w:numId w:val="0"/>
              </w:numPr>
              <w:tabs>
                <w:tab w:val="left" w:pos="720"/>
              </w:tabs>
              <w:ind w:left="544"/>
              <w:jc w:val="center"/>
              <w:rPr>
                <w:rFonts w:ascii="Times New Roman"/>
                <w:szCs w:val="18"/>
              </w:rPr>
            </w:pPr>
            <w:r>
              <w:rPr>
                <w:rFonts w:hint="eastAsia" w:ascii="Times New Roman"/>
                <w:szCs w:val="18"/>
              </w:rPr>
              <w:t>＋0.50</w:t>
            </w:r>
          </w:p>
          <w:p w14:paraId="3ABCD7B2">
            <w:pPr>
              <w:pStyle w:val="22"/>
              <w:numPr>
                <w:ilvl w:val="0"/>
                <w:numId w:val="0"/>
              </w:numPr>
              <w:tabs>
                <w:tab w:val="left" w:pos="720"/>
              </w:tabs>
              <w:ind w:left="544"/>
              <w:jc w:val="center"/>
              <w:rPr>
                <w:rFonts w:ascii="Times New Roman"/>
                <w:szCs w:val="18"/>
              </w:rPr>
            </w:pPr>
            <w:r>
              <w:rPr>
                <w:rFonts w:hint="eastAsia" w:ascii="Times New Roman"/>
                <w:szCs w:val="18"/>
              </w:rPr>
              <w:t>－0.05</w:t>
            </w:r>
          </w:p>
        </w:tc>
        <w:tc>
          <w:tcPr>
            <w:tcW w:w="3117" w:type="dxa"/>
            <w:vAlign w:val="center"/>
          </w:tcPr>
          <w:p w14:paraId="1812AD87">
            <w:pPr>
              <w:pStyle w:val="22"/>
              <w:numPr>
                <w:ilvl w:val="0"/>
                <w:numId w:val="0"/>
              </w:numPr>
              <w:tabs>
                <w:tab w:val="left" w:pos="720"/>
              </w:tabs>
              <w:ind w:left="544"/>
              <w:jc w:val="center"/>
              <w:rPr>
                <w:rFonts w:ascii="Times New Roman"/>
                <w:szCs w:val="18"/>
              </w:rPr>
            </w:pPr>
            <w:r>
              <w:rPr>
                <w:rFonts w:hint="eastAsia" w:ascii="Times New Roman"/>
                <w:szCs w:val="18"/>
              </w:rPr>
              <w:t>＋0.20</w:t>
            </w:r>
          </w:p>
          <w:p w14:paraId="79AB8913">
            <w:pPr>
              <w:pStyle w:val="22"/>
              <w:numPr>
                <w:ilvl w:val="0"/>
                <w:numId w:val="0"/>
              </w:numPr>
              <w:tabs>
                <w:tab w:val="left" w:pos="720"/>
              </w:tabs>
              <w:ind w:left="544"/>
              <w:jc w:val="center"/>
              <w:rPr>
                <w:rFonts w:ascii="Times New Roman"/>
                <w:szCs w:val="18"/>
              </w:rPr>
            </w:pPr>
            <w:r>
              <w:rPr>
                <w:rFonts w:hint="eastAsia" w:ascii="Times New Roman"/>
                <w:szCs w:val="18"/>
              </w:rPr>
              <w:t>－0.05</w:t>
            </w:r>
          </w:p>
        </w:tc>
      </w:tr>
      <w:bookmarkEnd w:id="26"/>
      <w:bookmarkEnd w:id="64"/>
    </w:tbl>
    <w:p w14:paraId="5A60392F">
      <w:pPr>
        <w:pStyle w:val="50"/>
        <w:numPr>
          <w:ilvl w:val="2"/>
          <w:numId w:val="3"/>
        </w:numPr>
        <w:spacing w:beforeLines="0" w:afterLines="0"/>
        <w:rPr>
          <w:rFonts w:ascii="Times New Roman"/>
        </w:rPr>
      </w:pPr>
      <w:bookmarkStart w:id="65" w:name="_Hlk75613770"/>
      <w:r>
        <w:rPr>
          <w:rFonts w:hint="eastAsia" w:ascii="Times New Roman"/>
        </w:rPr>
        <w:t>重量</w:t>
      </w:r>
    </w:p>
    <w:p w14:paraId="387E9F02">
      <w:pPr>
        <w:pStyle w:val="50"/>
        <w:numPr>
          <w:ilvl w:val="3"/>
          <w:numId w:val="3"/>
        </w:numPr>
        <w:spacing w:beforeLines="0" w:afterLines="0"/>
        <w:rPr>
          <w:rFonts w:ascii="Times New Roman" w:eastAsia="宋体"/>
        </w:rPr>
      </w:pPr>
      <w:bookmarkStart w:id="66" w:name="_Hlk105486957"/>
      <w:r>
        <w:rPr>
          <w:rFonts w:hint="eastAsia" w:ascii="Times New Roman" w:eastAsia="宋体"/>
        </w:rPr>
        <w:t>钢管按实际重量交货</w:t>
      </w:r>
      <w:r>
        <w:rPr>
          <w:rFonts w:hint="eastAsia" w:eastAsia="宋体"/>
        </w:rPr>
        <w:t>，也可按理论重量交货</w:t>
      </w:r>
      <w:r>
        <w:rPr>
          <w:rFonts w:ascii="Times New Roman" w:eastAsia="宋体"/>
        </w:rPr>
        <w:t>。</w:t>
      </w:r>
    </w:p>
    <w:p w14:paraId="77F968AC">
      <w:pPr>
        <w:pStyle w:val="50"/>
        <w:numPr>
          <w:ilvl w:val="3"/>
          <w:numId w:val="3"/>
        </w:numPr>
        <w:spacing w:beforeLines="0" w:afterLines="0"/>
        <w:rPr>
          <w:rFonts w:ascii="Times New Roman" w:eastAsia="宋体"/>
        </w:rPr>
      </w:pPr>
      <w:r>
        <w:rPr>
          <w:rFonts w:hint="eastAsia" w:ascii="Times New Roman" w:eastAsia="宋体"/>
        </w:rPr>
        <w:t>非镀锌钢管单位长度理论重量按GB/T 13793-2016中5.7.2计算。</w:t>
      </w:r>
    </w:p>
    <w:p w14:paraId="7F1E754E">
      <w:pPr>
        <w:pStyle w:val="50"/>
        <w:numPr>
          <w:ilvl w:val="3"/>
          <w:numId w:val="3"/>
        </w:numPr>
        <w:spacing w:beforeLines="0" w:afterLines="0"/>
        <w:rPr>
          <w:rFonts w:ascii="Times New Roman" w:eastAsia="宋体"/>
        </w:rPr>
      </w:pPr>
      <w:r>
        <w:rPr>
          <w:rFonts w:hint="eastAsia" w:ascii="Times New Roman" w:eastAsia="宋体"/>
        </w:rPr>
        <w:t>镀锌钢管单位长度理论重量按GB/T 13793-2016中5.7.3计算。</w:t>
      </w:r>
    </w:p>
    <w:bookmarkEnd w:id="65"/>
    <w:bookmarkEnd w:id="66"/>
    <w:p w14:paraId="47B56391">
      <w:pPr>
        <w:pStyle w:val="45"/>
        <w:numPr>
          <w:ilvl w:val="0"/>
          <w:numId w:val="3"/>
        </w:numPr>
        <w:spacing w:before="312" w:after="312"/>
        <w:rPr>
          <w:rFonts w:ascii="Times New Roman"/>
        </w:rPr>
      </w:pPr>
      <w:r>
        <w:rPr>
          <w:rFonts w:hint="eastAsia" w:ascii="Times New Roman"/>
        </w:rPr>
        <w:t>试验方法</w:t>
      </w:r>
    </w:p>
    <w:p w14:paraId="14B98F6A">
      <w:pPr>
        <w:pStyle w:val="50"/>
        <w:numPr>
          <w:ilvl w:val="1"/>
          <w:numId w:val="3"/>
        </w:numPr>
        <w:spacing w:beforeLines="0" w:afterLines="0"/>
        <w:rPr>
          <w:rFonts w:ascii="Times New Roman" w:eastAsia="宋体"/>
        </w:rPr>
      </w:pPr>
      <w:bookmarkStart w:id="67" w:name="_Hlk83713061"/>
      <w:r>
        <w:rPr>
          <w:rFonts w:hint="eastAsia" w:ascii="Times New Roman" w:eastAsia="宋体"/>
        </w:rPr>
        <w:t>钢的</w:t>
      </w:r>
      <w:r>
        <w:rPr>
          <w:rFonts w:ascii="Times New Roman" w:eastAsia="宋体"/>
        </w:rPr>
        <w:t>化学成分试验方法</w:t>
      </w:r>
      <w:r>
        <w:rPr>
          <w:rFonts w:hint="eastAsia" w:ascii="Times New Roman" w:eastAsia="宋体"/>
        </w:rPr>
        <w:t>应按</w:t>
      </w:r>
      <w:bookmarkStart w:id="68" w:name="_Hlk70234947"/>
      <w:r>
        <w:rPr>
          <w:rFonts w:ascii="Times New Roman" w:eastAsia="宋体"/>
        </w:rPr>
        <w:t>GB/T 4336、GB/T 2012</w:t>
      </w:r>
      <w:r>
        <w:rPr>
          <w:rFonts w:hint="eastAsia" w:ascii="Times New Roman" w:eastAsia="宋体"/>
        </w:rPr>
        <w:t>3、</w:t>
      </w:r>
      <w:r>
        <w:rPr>
          <w:rFonts w:ascii="Times New Roman" w:eastAsia="宋体"/>
        </w:rPr>
        <w:t>GB/T 20125</w:t>
      </w:r>
      <w:bookmarkEnd w:id="68"/>
      <w:r>
        <w:rPr>
          <w:rFonts w:hint="eastAsia" w:ascii="Times New Roman" w:eastAsia="宋体"/>
        </w:rPr>
        <w:t>或通用的化学分析法进行，仲裁时应按</w:t>
      </w:r>
      <w:bookmarkStart w:id="69" w:name="_Hlk75613879"/>
      <w:r>
        <w:rPr>
          <w:rFonts w:hint="eastAsia" w:ascii="Times New Roman" w:eastAsia="宋体"/>
        </w:rPr>
        <w:t>GB/T 223.3、GB/T 223.5、GB/T 223.9、GB/T 223.11、GB/T 223.12、GB/T 223.14、GB/T 223.16、GB/T 223.18、GB/T 223.19、GB/T 223.23、GB/T 223.32、GB/T 223.37、GB/T 223.40、GB/T 223.53、GB/T 223.54、GB/T 223.58、GB/T 223.59、GB/T 223.60、GB/T 223.61、GB/T 223.62、GB/T 223.63、GB/T 223.64、GB/T 223.67、GB/T 223.68、GB/T 223.69、GB/T 223.71、GB/T 223.72、GB/T 223.74、GB/T 20123的规定进行。</w:t>
      </w:r>
      <w:bookmarkEnd w:id="69"/>
    </w:p>
    <w:bookmarkEnd w:id="67"/>
    <w:p w14:paraId="6809F6CD">
      <w:pPr>
        <w:pStyle w:val="50"/>
        <w:numPr>
          <w:ilvl w:val="1"/>
          <w:numId w:val="3"/>
        </w:numPr>
        <w:spacing w:beforeLines="0" w:afterLines="0"/>
        <w:rPr>
          <w:rFonts w:ascii="Times New Roman" w:eastAsia="宋体"/>
        </w:rPr>
      </w:pPr>
      <w:bookmarkStart w:id="70" w:name="_Hlk83713090"/>
      <w:r>
        <w:rPr>
          <w:rFonts w:hint="eastAsia" w:ascii="Times New Roman" w:eastAsia="宋体"/>
        </w:rPr>
        <w:t>钢管的检验项目、取样方法和试验方法应符合表7的规定。</w:t>
      </w:r>
    </w:p>
    <w:bookmarkEnd w:id="70"/>
    <w:p w14:paraId="614E0C2F">
      <w:pPr>
        <w:pStyle w:val="22"/>
        <w:tabs>
          <w:tab w:val="clear" w:pos="4201"/>
          <w:tab w:val="clear" w:pos="9298"/>
        </w:tabs>
        <w:spacing w:before="156" w:beforeLines="50" w:after="156" w:afterLines="50"/>
        <w:ind w:firstLine="0" w:firstLineChars="0"/>
        <w:jc w:val="center"/>
        <w:rPr>
          <w:rFonts w:ascii="Times New Roman"/>
        </w:rPr>
      </w:pPr>
      <w:bookmarkStart w:id="71" w:name="_Hlk183955596"/>
      <w:r>
        <w:rPr>
          <w:rFonts w:hint="eastAsia" w:ascii="Times New Roman" w:eastAsia="黑体"/>
        </w:rPr>
        <w:t>表7 检验项目、取样数量、取样方法和试验方法</w:t>
      </w:r>
    </w:p>
    <w:tbl>
      <w:tblPr>
        <w:tblStyle w:val="31"/>
        <w:tblW w:w="92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97"/>
        <w:gridCol w:w="997"/>
        <w:gridCol w:w="1701"/>
        <w:gridCol w:w="2693"/>
        <w:gridCol w:w="2229"/>
      </w:tblGrid>
      <w:tr w14:paraId="7367B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tcBorders>
              <w:top w:val="single" w:color="auto" w:sz="8" w:space="0"/>
              <w:bottom w:val="single" w:color="auto" w:sz="8" w:space="0"/>
            </w:tcBorders>
            <w:vAlign w:val="center"/>
          </w:tcPr>
          <w:p w14:paraId="0A364EA1">
            <w:pPr>
              <w:jc w:val="center"/>
              <w:rPr>
                <w:sz w:val="18"/>
                <w:szCs w:val="18"/>
              </w:rPr>
            </w:pPr>
            <w:bookmarkStart w:id="72" w:name="_Hlk105487195"/>
            <w:r>
              <w:rPr>
                <w:sz w:val="18"/>
                <w:szCs w:val="18"/>
              </w:rPr>
              <w:t>序号</w:t>
            </w:r>
          </w:p>
        </w:tc>
        <w:tc>
          <w:tcPr>
            <w:tcW w:w="1994" w:type="dxa"/>
            <w:gridSpan w:val="2"/>
            <w:tcBorders>
              <w:top w:val="single" w:color="auto" w:sz="8" w:space="0"/>
              <w:bottom w:val="single" w:color="auto" w:sz="8" w:space="0"/>
            </w:tcBorders>
            <w:vAlign w:val="center"/>
          </w:tcPr>
          <w:p w14:paraId="60732B03">
            <w:pPr>
              <w:jc w:val="center"/>
              <w:rPr>
                <w:sz w:val="18"/>
                <w:szCs w:val="18"/>
              </w:rPr>
            </w:pPr>
            <w:r>
              <w:rPr>
                <w:sz w:val="18"/>
                <w:szCs w:val="18"/>
              </w:rPr>
              <w:t>检验项目</w:t>
            </w:r>
          </w:p>
        </w:tc>
        <w:tc>
          <w:tcPr>
            <w:tcW w:w="1701" w:type="dxa"/>
            <w:tcBorders>
              <w:top w:val="single" w:color="auto" w:sz="8" w:space="0"/>
              <w:bottom w:val="single" w:color="auto" w:sz="8" w:space="0"/>
            </w:tcBorders>
            <w:vAlign w:val="center"/>
          </w:tcPr>
          <w:p w14:paraId="3D45F898">
            <w:pPr>
              <w:jc w:val="center"/>
              <w:rPr>
                <w:sz w:val="18"/>
                <w:szCs w:val="18"/>
              </w:rPr>
            </w:pPr>
            <w:r>
              <w:rPr>
                <w:sz w:val="18"/>
                <w:szCs w:val="18"/>
              </w:rPr>
              <w:t>取样数量</w:t>
            </w:r>
          </w:p>
        </w:tc>
        <w:tc>
          <w:tcPr>
            <w:tcW w:w="2693" w:type="dxa"/>
            <w:tcBorders>
              <w:top w:val="single" w:color="auto" w:sz="8" w:space="0"/>
              <w:bottom w:val="single" w:color="auto" w:sz="8" w:space="0"/>
            </w:tcBorders>
            <w:vAlign w:val="center"/>
          </w:tcPr>
          <w:p w14:paraId="405EA547">
            <w:pPr>
              <w:jc w:val="center"/>
              <w:rPr>
                <w:sz w:val="18"/>
                <w:szCs w:val="18"/>
              </w:rPr>
            </w:pPr>
            <w:r>
              <w:rPr>
                <w:sz w:val="18"/>
                <w:szCs w:val="18"/>
              </w:rPr>
              <w:t>取样</w:t>
            </w:r>
            <w:r>
              <w:rPr>
                <w:rFonts w:hint="eastAsia"/>
                <w:sz w:val="18"/>
                <w:szCs w:val="18"/>
              </w:rPr>
              <w:t>方法</w:t>
            </w:r>
          </w:p>
        </w:tc>
        <w:tc>
          <w:tcPr>
            <w:tcW w:w="2229" w:type="dxa"/>
            <w:tcBorders>
              <w:top w:val="single" w:color="auto" w:sz="8" w:space="0"/>
              <w:bottom w:val="single" w:color="auto" w:sz="8" w:space="0"/>
            </w:tcBorders>
            <w:vAlign w:val="center"/>
          </w:tcPr>
          <w:p w14:paraId="09F76844">
            <w:pPr>
              <w:jc w:val="center"/>
              <w:rPr>
                <w:sz w:val="18"/>
                <w:szCs w:val="18"/>
              </w:rPr>
            </w:pPr>
            <w:r>
              <w:rPr>
                <w:sz w:val="18"/>
                <w:szCs w:val="18"/>
              </w:rPr>
              <w:t>试验方法</w:t>
            </w:r>
          </w:p>
        </w:tc>
      </w:tr>
      <w:tr w14:paraId="58A76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663" w:type="dxa"/>
            <w:vMerge w:val="restart"/>
            <w:tcBorders>
              <w:top w:val="single" w:color="auto" w:sz="8" w:space="0"/>
            </w:tcBorders>
            <w:vAlign w:val="center"/>
          </w:tcPr>
          <w:p w14:paraId="6D44DB5C">
            <w:pPr>
              <w:jc w:val="center"/>
              <w:rPr>
                <w:sz w:val="18"/>
                <w:szCs w:val="18"/>
              </w:rPr>
            </w:pPr>
            <w:r>
              <w:rPr>
                <w:sz w:val="18"/>
                <w:szCs w:val="18"/>
              </w:rPr>
              <w:t>1</w:t>
            </w:r>
          </w:p>
        </w:tc>
        <w:tc>
          <w:tcPr>
            <w:tcW w:w="997" w:type="dxa"/>
            <w:vMerge w:val="restart"/>
            <w:tcBorders>
              <w:top w:val="single" w:color="auto" w:sz="8" w:space="0"/>
            </w:tcBorders>
            <w:vAlign w:val="center"/>
          </w:tcPr>
          <w:p w14:paraId="05A05388">
            <w:pPr>
              <w:jc w:val="center"/>
              <w:rPr>
                <w:sz w:val="18"/>
                <w:szCs w:val="18"/>
              </w:rPr>
            </w:pPr>
            <w:r>
              <w:rPr>
                <w:sz w:val="18"/>
                <w:szCs w:val="18"/>
              </w:rPr>
              <w:t>化学成分</w:t>
            </w:r>
          </w:p>
        </w:tc>
        <w:tc>
          <w:tcPr>
            <w:tcW w:w="997" w:type="dxa"/>
            <w:tcBorders>
              <w:top w:val="single" w:color="auto" w:sz="8" w:space="0"/>
            </w:tcBorders>
            <w:vAlign w:val="center"/>
          </w:tcPr>
          <w:p w14:paraId="72B14CAA">
            <w:pPr>
              <w:jc w:val="center"/>
              <w:rPr>
                <w:sz w:val="18"/>
                <w:szCs w:val="18"/>
              </w:rPr>
            </w:pPr>
            <w:r>
              <w:rPr>
                <w:rFonts w:hint="eastAsia"/>
                <w:sz w:val="18"/>
                <w:szCs w:val="18"/>
              </w:rPr>
              <w:t>熔炼分析</w:t>
            </w:r>
          </w:p>
        </w:tc>
        <w:tc>
          <w:tcPr>
            <w:tcW w:w="1701" w:type="dxa"/>
            <w:tcBorders>
              <w:top w:val="single" w:color="auto" w:sz="8" w:space="0"/>
            </w:tcBorders>
            <w:vAlign w:val="center"/>
          </w:tcPr>
          <w:p w14:paraId="16D701CF">
            <w:pPr>
              <w:jc w:val="center"/>
              <w:rPr>
                <w:sz w:val="18"/>
                <w:szCs w:val="18"/>
              </w:rPr>
            </w:pPr>
            <w:r>
              <w:rPr>
                <w:rFonts w:hint="eastAsia"/>
                <w:sz w:val="18"/>
                <w:szCs w:val="18"/>
              </w:rPr>
              <w:t>1个/炉</w:t>
            </w:r>
          </w:p>
        </w:tc>
        <w:tc>
          <w:tcPr>
            <w:tcW w:w="2693" w:type="dxa"/>
            <w:vMerge w:val="restart"/>
            <w:tcBorders>
              <w:top w:val="single" w:color="auto" w:sz="8" w:space="0"/>
            </w:tcBorders>
            <w:vAlign w:val="center"/>
          </w:tcPr>
          <w:p w14:paraId="516D12FA">
            <w:pPr>
              <w:jc w:val="center"/>
              <w:rPr>
                <w:sz w:val="18"/>
                <w:szCs w:val="18"/>
              </w:rPr>
            </w:pPr>
            <w:r>
              <w:rPr>
                <w:sz w:val="18"/>
                <w:szCs w:val="18"/>
              </w:rPr>
              <w:t>GB/T 20066</w:t>
            </w:r>
          </w:p>
        </w:tc>
        <w:tc>
          <w:tcPr>
            <w:tcW w:w="2229" w:type="dxa"/>
            <w:vMerge w:val="restart"/>
            <w:tcBorders>
              <w:top w:val="single" w:color="auto" w:sz="8" w:space="0"/>
            </w:tcBorders>
            <w:shd w:val="clear" w:color="auto" w:fill="auto"/>
            <w:vAlign w:val="center"/>
          </w:tcPr>
          <w:p w14:paraId="607DE42C">
            <w:pPr>
              <w:jc w:val="center"/>
              <w:rPr>
                <w:sz w:val="18"/>
                <w:szCs w:val="18"/>
              </w:rPr>
            </w:pPr>
            <w:r>
              <w:rPr>
                <w:rFonts w:hint="eastAsia"/>
                <w:sz w:val="18"/>
                <w:szCs w:val="18"/>
              </w:rPr>
              <w:t>见7.1</w:t>
            </w:r>
          </w:p>
        </w:tc>
      </w:tr>
      <w:tr w14:paraId="5F86E1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663" w:type="dxa"/>
            <w:vMerge w:val="continue"/>
            <w:vAlign w:val="center"/>
          </w:tcPr>
          <w:p w14:paraId="291988AE">
            <w:pPr>
              <w:jc w:val="center"/>
              <w:rPr>
                <w:sz w:val="18"/>
                <w:szCs w:val="18"/>
              </w:rPr>
            </w:pPr>
          </w:p>
        </w:tc>
        <w:tc>
          <w:tcPr>
            <w:tcW w:w="997" w:type="dxa"/>
            <w:vMerge w:val="continue"/>
            <w:vAlign w:val="center"/>
          </w:tcPr>
          <w:p w14:paraId="539D52A7">
            <w:pPr>
              <w:jc w:val="center"/>
              <w:rPr>
                <w:sz w:val="18"/>
                <w:szCs w:val="18"/>
              </w:rPr>
            </w:pPr>
          </w:p>
        </w:tc>
        <w:tc>
          <w:tcPr>
            <w:tcW w:w="997" w:type="dxa"/>
            <w:tcBorders>
              <w:top w:val="single" w:color="auto" w:sz="8" w:space="0"/>
            </w:tcBorders>
            <w:vAlign w:val="center"/>
          </w:tcPr>
          <w:p w14:paraId="5578A988">
            <w:pPr>
              <w:jc w:val="center"/>
              <w:rPr>
                <w:sz w:val="18"/>
                <w:szCs w:val="18"/>
              </w:rPr>
            </w:pPr>
            <w:r>
              <w:rPr>
                <w:rFonts w:hint="eastAsia"/>
                <w:sz w:val="18"/>
                <w:szCs w:val="18"/>
              </w:rPr>
              <w:t>成品分析</w:t>
            </w:r>
          </w:p>
        </w:tc>
        <w:tc>
          <w:tcPr>
            <w:tcW w:w="1701" w:type="dxa"/>
            <w:vAlign w:val="center"/>
          </w:tcPr>
          <w:p w14:paraId="110CB095">
            <w:pPr>
              <w:jc w:val="center"/>
              <w:rPr>
                <w:sz w:val="18"/>
                <w:szCs w:val="18"/>
              </w:rPr>
            </w:pPr>
            <w:r>
              <w:rPr>
                <w:rFonts w:hint="eastAsia"/>
                <w:sz w:val="18"/>
                <w:szCs w:val="18"/>
              </w:rPr>
              <w:t>1个/批</w:t>
            </w:r>
          </w:p>
        </w:tc>
        <w:tc>
          <w:tcPr>
            <w:tcW w:w="2693" w:type="dxa"/>
            <w:vMerge w:val="continue"/>
            <w:vAlign w:val="center"/>
          </w:tcPr>
          <w:p w14:paraId="2EDF065E">
            <w:pPr>
              <w:jc w:val="center"/>
              <w:rPr>
                <w:sz w:val="18"/>
                <w:szCs w:val="18"/>
              </w:rPr>
            </w:pPr>
          </w:p>
        </w:tc>
        <w:tc>
          <w:tcPr>
            <w:tcW w:w="2229" w:type="dxa"/>
            <w:vMerge w:val="continue"/>
            <w:tcBorders>
              <w:bottom w:val="single" w:color="auto" w:sz="4" w:space="0"/>
            </w:tcBorders>
            <w:shd w:val="clear" w:color="auto" w:fill="auto"/>
            <w:vAlign w:val="center"/>
          </w:tcPr>
          <w:p w14:paraId="3D040D81">
            <w:pPr>
              <w:jc w:val="center"/>
              <w:rPr>
                <w:sz w:val="18"/>
                <w:szCs w:val="18"/>
              </w:rPr>
            </w:pPr>
          </w:p>
        </w:tc>
      </w:tr>
      <w:tr w14:paraId="10D584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tcBorders>
              <w:top w:val="single" w:color="auto" w:sz="8" w:space="0"/>
              <w:bottom w:val="single" w:color="auto" w:sz="4" w:space="0"/>
            </w:tcBorders>
            <w:vAlign w:val="center"/>
          </w:tcPr>
          <w:p w14:paraId="5473E192">
            <w:pPr>
              <w:jc w:val="center"/>
              <w:rPr>
                <w:sz w:val="18"/>
                <w:szCs w:val="18"/>
              </w:rPr>
            </w:pPr>
            <w:r>
              <w:rPr>
                <w:sz w:val="18"/>
                <w:szCs w:val="18"/>
              </w:rPr>
              <w:t>2</w:t>
            </w:r>
          </w:p>
        </w:tc>
        <w:tc>
          <w:tcPr>
            <w:tcW w:w="1994" w:type="dxa"/>
            <w:gridSpan w:val="2"/>
            <w:tcBorders>
              <w:top w:val="single" w:color="auto" w:sz="8" w:space="0"/>
              <w:bottom w:val="single" w:color="auto" w:sz="4" w:space="0"/>
            </w:tcBorders>
            <w:vAlign w:val="center"/>
          </w:tcPr>
          <w:p w14:paraId="7CA18CEE">
            <w:pPr>
              <w:jc w:val="center"/>
              <w:rPr>
                <w:sz w:val="18"/>
                <w:szCs w:val="18"/>
              </w:rPr>
            </w:pPr>
            <w:r>
              <w:rPr>
                <w:rFonts w:hint="eastAsia"/>
                <w:sz w:val="18"/>
                <w:szCs w:val="18"/>
              </w:rPr>
              <w:t>拉伸试验</w:t>
            </w:r>
          </w:p>
        </w:tc>
        <w:tc>
          <w:tcPr>
            <w:tcW w:w="1701" w:type="dxa"/>
            <w:tcBorders>
              <w:top w:val="single" w:color="auto" w:sz="8" w:space="0"/>
              <w:bottom w:val="single" w:color="auto" w:sz="4" w:space="0"/>
            </w:tcBorders>
            <w:vAlign w:val="center"/>
          </w:tcPr>
          <w:p w14:paraId="5CA88011">
            <w:pPr>
              <w:jc w:val="center"/>
              <w:rPr>
                <w:sz w:val="18"/>
                <w:szCs w:val="18"/>
              </w:rPr>
            </w:pPr>
            <w:r>
              <w:rPr>
                <w:rFonts w:hint="eastAsia"/>
                <w:sz w:val="18"/>
                <w:szCs w:val="18"/>
              </w:rPr>
              <w:t>1个/批</w:t>
            </w:r>
          </w:p>
        </w:tc>
        <w:tc>
          <w:tcPr>
            <w:tcW w:w="2693" w:type="dxa"/>
            <w:tcBorders>
              <w:top w:val="single" w:color="auto" w:sz="8" w:space="0"/>
              <w:bottom w:val="single" w:color="auto" w:sz="4" w:space="0"/>
            </w:tcBorders>
            <w:vAlign w:val="center"/>
          </w:tcPr>
          <w:p w14:paraId="474604E3">
            <w:pPr>
              <w:jc w:val="center"/>
              <w:rPr>
                <w:sz w:val="18"/>
                <w:szCs w:val="18"/>
              </w:rPr>
            </w:pPr>
            <w:r>
              <w:rPr>
                <w:sz w:val="18"/>
                <w:szCs w:val="18"/>
              </w:rPr>
              <w:t xml:space="preserve">GB/T </w:t>
            </w:r>
            <w:r>
              <w:rPr>
                <w:rFonts w:hint="eastAsia"/>
                <w:sz w:val="18"/>
                <w:szCs w:val="18"/>
              </w:rPr>
              <w:t xml:space="preserve">2975 </w:t>
            </w:r>
          </w:p>
        </w:tc>
        <w:tc>
          <w:tcPr>
            <w:tcW w:w="2229" w:type="dxa"/>
            <w:tcBorders>
              <w:top w:val="single" w:color="auto" w:sz="8" w:space="0"/>
              <w:bottom w:val="single" w:color="auto" w:sz="4" w:space="0"/>
            </w:tcBorders>
            <w:shd w:val="clear" w:color="auto" w:fill="auto"/>
            <w:vAlign w:val="center"/>
          </w:tcPr>
          <w:p w14:paraId="643643D7">
            <w:pPr>
              <w:jc w:val="center"/>
              <w:rPr>
                <w:sz w:val="18"/>
                <w:szCs w:val="18"/>
              </w:rPr>
            </w:pPr>
            <w:r>
              <w:rPr>
                <w:sz w:val="18"/>
                <w:szCs w:val="18"/>
              </w:rPr>
              <w:t>GB/T 22</w:t>
            </w:r>
            <w:r>
              <w:rPr>
                <w:rFonts w:hint="eastAsia"/>
                <w:sz w:val="18"/>
                <w:szCs w:val="18"/>
              </w:rPr>
              <w:t>8</w:t>
            </w:r>
            <w:r>
              <w:rPr>
                <w:sz w:val="18"/>
                <w:szCs w:val="18"/>
              </w:rPr>
              <w:t>.</w:t>
            </w:r>
            <w:r>
              <w:rPr>
                <w:rFonts w:hint="eastAsia"/>
                <w:sz w:val="18"/>
                <w:szCs w:val="18"/>
              </w:rPr>
              <w:t>1</w:t>
            </w:r>
          </w:p>
        </w:tc>
      </w:tr>
      <w:tr w14:paraId="63F9A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tcBorders>
              <w:top w:val="single" w:color="auto" w:sz="8" w:space="0"/>
              <w:bottom w:val="single" w:color="auto" w:sz="4" w:space="0"/>
            </w:tcBorders>
            <w:vAlign w:val="center"/>
          </w:tcPr>
          <w:p w14:paraId="6A5AED37">
            <w:pPr>
              <w:jc w:val="center"/>
              <w:rPr>
                <w:sz w:val="18"/>
                <w:szCs w:val="18"/>
              </w:rPr>
            </w:pPr>
            <w:r>
              <w:rPr>
                <w:sz w:val="18"/>
                <w:szCs w:val="18"/>
              </w:rPr>
              <w:t>3</w:t>
            </w:r>
          </w:p>
        </w:tc>
        <w:tc>
          <w:tcPr>
            <w:tcW w:w="1994" w:type="dxa"/>
            <w:gridSpan w:val="2"/>
            <w:tcBorders>
              <w:top w:val="single" w:color="auto" w:sz="8" w:space="0"/>
              <w:bottom w:val="single" w:color="auto" w:sz="4" w:space="0"/>
            </w:tcBorders>
            <w:vAlign w:val="center"/>
          </w:tcPr>
          <w:p w14:paraId="3D4B4FFD">
            <w:pPr>
              <w:jc w:val="center"/>
              <w:rPr>
                <w:sz w:val="18"/>
                <w:szCs w:val="18"/>
              </w:rPr>
            </w:pPr>
            <w:r>
              <w:rPr>
                <w:rFonts w:hint="eastAsia"/>
                <w:sz w:val="18"/>
                <w:szCs w:val="18"/>
              </w:rPr>
              <w:t>焊缝拉伸试验</w:t>
            </w:r>
          </w:p>
        </w:tc>
        <w:tc>
          <w:tcPr>
            <w:tcW w:w="1701" w:type="dxa"/>
            <w:tcBorders>
              <w:top w:val="single" w:color="auto" w:sz="8" w:space="0"/>
              <w:bottom w:val="single" w:color="auto" w:sz="4" w:space="0"/>
            </w:tcBorders>
            <w:vAlign w:val="center"/>
          </w:tcPr>
          <w:p w14:paraId="0D48842A">
            <w:pPr>
              <w:jc w:val="center"/>
              <w:rPr>
                <w:sz w:val="18"/>
                <w:szCs w:val="18"/>
              </w:rPr>
            </w:pPr>
            <w:r>
              <w:rPr>
                <w:rFonts w:hint="eastAsia"/>
                <w:sz w:val="18"/>
                <w:szCs w:val="18"/>
              </w:rPr>
              <w:t>1个/批</w:t>
            </w:r>
          </w:p>
        </w:tc>
        <w:tc>
          <w:tcPr>
            <w:tcW w:w="2693" w:type="dxa"/>
            <w:tcBorders>
              <w:top w:val="single" w:color="auto" w:sz="8" w:space="0"/>
              <w:bottom w:val="single" w:color="auto" w:sz="4" w:space="0"/>
            </w:tcBorders>
            <w:vAlign w:val="center"/>
          </w:tcPr>
          <w:p w14:paraId="3202FE46">
            <w:pPr>
              <w:jc w:val="center"/>
              <w:rPr>
                <w:sz w:val="18"/>
                <w:szCs w:val="18"/>
              </w:rPr>
            </w:pPr>
            <w:r>
              <w:rPr>
                <w:sz w:val="18"/>
                <w:szCs w:val="18"/>
              </w:rPr>
              <w:t xml:space="preserve">GB/T </w:t>
            </w:r>
            <w:r>
              <w:rPr>
                <w:rFonts w:hint="eastAsia"/>
                <w:sz w:val="18"/>
                <w:szCs w:val="18"/>
              </w:rPr>
              <w:t>2975</w:t>
            </w:r>
          </w:p>
        </w:tc>
        <w:tc>
          <w:tcPr>
            <w:tcW w:w="2229" w:type="dxa"/>
            <w:tcBorders>
              <w:top w:val="single" w:color="auto" w:sz="8" w:space="0"/>
              <w:bottom w:val="single" w:color="auto" w:sz="4" w:space="0"/>
            </w:tcBorders>
            <w:shd w:val="clear" w:color="auto" w:fill="auto"/>
            <w:vAlign w:val="center"/>
          </w:tcPr>
          <w:p w14:paraId="37E1940E">
            <w:pPr>
              <w:jc w:val="center"/>
              <w:rPr>
                <w:sz w:val="18"/>
                <w:szCs w:val="18"/>
              </w:rPr>
            </w:pPr>
            <w:r>
              <w:rPr>
                <w:sz w:val="18"/>
                <w:szCs w:val="18"/>
              </w:rPr>
              <w:t>GB/T 2</w:t>
            </w:r>
            <w:r>
              <w:rPr>
                <w:rFonts w:hint="eastAsia"/>
                <w:sz w:val="18"/>
                <w:szCs w:val="18"/>
              </w:rPr>
              <w:t>651</w:t>
            </w:r>
          </w:p>
        </w:tc>
      </w:tr>
      <w:tr w14:paraId="4CE8A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tcBorders>
              <w:top w:val="single" w:color="auto" w:sz="4" w:space="0"/>
              <w:left w:val="single" w:color="auto" w:sz="4" w:space="0"/>
              <w:bottom w:val="single" w:color="auto" w:sz="4" w:space="0"/>
            </w:tcBorders>
            <w:vAlign w:val="center"/>
          </w:tcPr>
          <w:p w14:paraId="7ABB187F">
            <w:pPr>
              <w:jc w:val="center"/>
              <w:rPr>
                <w:sz w:val="18"/>
                <w:szCs w:val="18"/>
              </w:rPr>
            </w:pPr>
            <w:r>
              <w:rPr>
                <w:sz w:val="18"/>
                <w:szCs w:val="18"/>
              </w:rPr>
              <w:t>4</w:t>
            </w:r>
          </w:p>
        </w:tc>
        <w:tc>
          <w:tcPr>
            <w:tcW w:w="1994" w:type="dxa"/>
            <w:gridSpan w:val="2"/>
            <w:tcBorders>
              <w:top w:val="single" w:color="auto" w:sz="4" w:space="0"/>
              <w:bottom w:val="single" w:color="auto" w:sz="4" w:space="0"/>
            </w:tcBorders>
            <w:vAlign w:val="center"/>
          </w:tcPr>
          <w:p w14:paraId="76A7AD01">
            <w:pPr>
              <w:jc w:val="center"/>
              <w:rPr>
                <w:sz w:val="18"/>
                <w:szCs w:val="18"/>
              </w:rPr>
            </w:pPr>
            <w:r>
              <w:rPr>
                <w:rFonts w:hint="eastAsia"/>
                <w:sz w:val="18"/>
                <w:szCs w:val="18"/>
              </w:rPr>
              <w:t>冲击试验</w:t>
            </w:r>
          </w:p>
        </w:tc>
        <w:tc>
          <w:tcPr>
            <w:tcW w:w="1701" w:type="dxa"/>
            <w:tcBorders>
              <w:top w:val="single" w:color="auto" w:sz="4" w:space="0"/>
              <w:bottom w:val="single" w:color="auto" w:sz="4" w:space="0"/>
            </w:tcBorders>
            <w:vAlign w:val="center"/>
          </w:tcPr>
          <w:p w14:paraId="19A4FCB9">
            <w:pPr>
              <w:jc w:val="center"/>
              <w:rPr>
                <w:sz w:val="18"/>
                <w:szCs w:val="18"/>
              </w:rPr>
            </w:pPr>
            <w:r>
              <w:rPr>
                <w:rFonts w:hint="eastAsia"/>
                <w:sz w:val="18"/>
                <w:szCs w:val="18"/>
              </w:rPr>
              <w:t>2组6个/批</w:t>
            </w:r>
          </w:p>
        </w:tc>
        <w:tc>
          <w:tcPr>
            <w:tcW w:w="2693" w:type="dxa"/>
            <w:tcBorders>
              <w:top w:val="single" w:color="auto" w:sz="4" w:space="0"/>
              <w:bottom w:val="single" w:color="auto" w:sz="4" w:space="0"/>
            </w:tcBorders>
            <w:vAlign w:val="center"/>
          </w:tcPr>
          <w:p w14:paraId="697FF456">
            <w:pPr>
              <w:jc w:val="center"/>
              <w:rPr>
                <w:sz w:val="18"/>
                <w:szCs w:val="18"/>
              </w:rPr>
            </w:pPr>
            <w:r>
              <w:rPr>
                <w:sz w:val="18"/>
                <w:szCs w:val="18"/>
              </w:rPr>
              <w:t xml:space="preserve">GB/T </w:t>
            </w:r>
            <w:r>
              <w:rPr>
                <w:rFonts w:hint="eastAsia"/>
                <w:sz w:val="18"/>
                <w:szCs w:val="18"/>
              </w:rPr>
              <w:t>2975</w:t>
            </w:r>
          </w:p>
        </w:tc>
        <w:tc>
          <w:tcPr>
            <w:tcW w:w="2229" w:type="dxa"/>
            <w:tcBorders>
              <w:top w:val="single" w:color="auto" w:sz="4" w:space="0"/>
              <w:bottom w:val="single" w:color="auto" w:sz="4" w:space="0"/>
              <w:right w:val="single" w:color="auto" w:sz="4" w:space="0"/>
            </w:tcBorders>
            <w:shd w:val="clear" w:color="auto" w:fill="auto"/>
            <w:vAlign w:val="center"/>
          </w:tcPr>
          <w:p w14:paraId="6CCD6ABF">
            <w:pPr>
              <w:jc w:val="center"/>
              <w:rPr>
                <w:sz w:val="18"/>
                <w:szCs w:val="18"/>
              </w:rPr>
            </w:pPr>
            <w:r>
              <w:rPr>
                <w:rFonts w:hint="eastAsia"/>
                <w:sz w:val="18"/>
                <w:szCs w:val="18"/>
              </w:rPr>
              <w:t>G</w:t>
            </w:r>
            <w:r>
              <w:rPr>
                <w:sz w:val="18"/>
                <w:szCs w:val="18"/>
              </w:rPr>
              <w:t>B/T</w:t>
            </w:r>
            <w:r>
              <w:rPr>
                <w:rFonts w:hint="eastAsia"/>
                <w:sz w:val="18"/>
                <w:szCs w:val="18"/>
              </w:rPr>
              <w:t xml:space="preserve"> </w:t>
            </w:r>
            <w:r>
              <w:rPr>
                <w:sz w:val="18"/>
                <w:szCs w:val="18"/>
              </w:rPr>
              <w:t>229</w:t>
            </w:r>
          </w:p>
          <w:p w14:paraId="1F85039F">
            <w:pPr>
              <w:jc w:val="center"/>
              <w:rPr>
                <w:sz w:val="18"/>
                <w:szCs w:val="18"/>
              </w:rPr>
            </w:pPr>
            <w:r>
              <w:rPr>
                <w:rFonts w:hint="eastAsia"/>
                <w:sz w:val="18"/>
                <w:szCs w:val="18"/>
              </w:rPr>
              <w:t>GB/T 2650</w:t>
            </w:r>
          </w:p>
        </w:tc>
      </w:tr>
      <w:tr w14:paraId="3407E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tcBorders>
              <w:top w:val="single" w:color="auto" w:sz="4" w:space="0"/>
            </w:tcBorders>
            <w:vAlign w:val="center"/>
          </w:tcPr>
          <w:p w14:paraId="13CED30A">
            <w:pPr>
              <w:jc w:val="center"/>
              <w:rPr>
                <w:sz w:val="18"/>
                <w:szCs w:val="18"/>
              </w:rPr>
            </w:pPr>
            <w:r>
              <w:rPr>
                <w:sz w:val="18"/>
                <w:szCs w:val="18"/>
              </w:rPr>
              <w:t>5</w:t>
            </w:r>
          </w:p>
        </w:tc>
        <w:tc>
          <w:tcPr>
            <w:tcW w:w="1994" w:type="dxa"/>
            <w:gridSpan w:val="2"/>
            <w:tcBorders>
              <w:top w:val="single" w:color="auto" w:sz="4" w:space="0"/>
            </w:tcBorders>
            <w:vAlign w:val="center"/>
          </w:tcPr>
          <w:p w14:paraId="0082F456">
            <w:pPr>
              <w:jc w:val="center"/>
              <w:rPr>
                <w:sz w:val="18"/>
                <w:szCs w:val="18"/>
              </w:rPr>
            </w:pPr>
            <w:r>
              <w:rPr>
                <w:rFonts w:hint="eastAsia"/>
                <w:sz w:val="18"/>
                <w:szCs w:val="18"/>
              </w:rPr>
              <w:t>压扁试验</w:t>
            </w:r>
          </w:p>
        </w:tc>
        <w:tc>
          <w:tcPr>
            <w:tcW w:w="1701" w:type="dxa"/>
            <w:tcBorders>
              <w:top w:val="single" w:color="auto" w:sz="4" w:space="0"/>
            </w:tcBorders>
            <w:vAlign w:val="center"/>
          </w:tcPr>
          <w:p w14:paraId="3AE44895">
            <w:pPr>
              <w:jc w:val="center"/>
              <w:rPr>
                <w:sz w:val="18"/>
                <w:szCs w:val="18"/>
              </w:rPr>
            </w:pPr>
            <w:r>
              <w:rPr>
                <w:rFonts w:hint="eastAsia"/>
                <w:sz w:val="18"/>
                <w:szCs w:val="18"/>
              </w:rPr>
              <w:t>2个/批</w:t>
            </w:r>
          </w:p>
        </w:tc>
        <w:tc>
          <w:tcPr>
            <w:tcW w:w="2693" w:type="dxa"/>
            <w:tcBorders>
              <w:top w:val="single" w:color="auto" w:sz="4" w:space="0"/>
            </w:tcBorders>
            <w:vAlign w:val="center"/>
          </w:tcPr>
          <w:p w14:paraId="62C13E97">
            <w:pPr>
              <w:jc w:val="center"/>
              <w:rPr>
                <w:sz w:val="18"/>
                <w:szCs w:val="18"/>
              </w:rPr>
            </w:pPr>
            <w:r>
              <w:rPr>
                <w:rFonts w:hint="eastAsia"/>
                <w:sz w:val="18"/>
                <w:szCs w:val="18"/>
              </w:rPr>
              <w:t>G</w:t>
            </w:r>
            <w:r>
              <w:rPr>
                <w:sz w:val="18"/>
                <w:szCs w:val="18"/>
              </w:rPr>
              <w:t xml:space="preserve">B/T </w:t>
            </w:r>
            <w:r>
              <w:rPr>
                <w:rFonts w:hint="eastAsia"/>
                <w:sz w:val="18"/>
                <w:szCs w:val="18"/>
              </w:rPr>
              <w:t>244</w:t>
            </w:r>
          </w:p>
        </w:tc>
        <w:tc>
          <w:tcPr>
            <w:tcW w:w="2229" w:type="dxa"/>
            <w:tcBorders>
              <w:top w:val="single" w:color="auto" w:sz="4" w:space="0"/>
              <w:bottom w:val="single" w:color="auto" w:sz="4" w:space="0"/>
            </w:tcBorders>
            <w:shd w:val="clear" w:color="auto" w:fill="auto"/>
            <w:vAlign w:val="center"/>
          </w:tcPr>
          <w:p w14:paraId="2A8B1095">
            <w:pPr>
              <w:jc w:val="center"/>
              <w:rPr>
                <w:sz w:val="18"/>
                <w:szCs w:val="18"/>
              </w:rPr>
            </w:pPr>
            <w:r>
              <w:rPr>
                <w:rFonts w:hint="eastAsia"/>
                <w:sz w:val="18"/>
                <w:szCs w:val="18"/>
              </w:rPr>
              <w:t>G</w:t>
            </w:r>
            <w:r>
              <w:rPr>
                <w:sz w:val="18"/>
                <w:szCs w:val="18"/>
              </w:rPr>
              <w:t xml:space="preserve">B/T </w:t>
            </w:r>
            <w:r>
              <w:rPr>
                <w:rFonts w:hint="eastAsia"/>
                <w:sz w:val="18"/>
                <w:szCs w:val="18"/>
              </w:rPr>
              <w:t>246</w:t>
            </w:r>
          </w:p>
        </w:tc>
      </w:tr>
      <w:tr w14:paraId="40895D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tcBorders>
              <w:top w:val="single" w:color="auto" w:sz="4" w:space="0"/>
            </w:tcBorders>
            <w:vAlign w:val="center"/>
          </w:tcPr>
          <w:p w14:paraId="2D993374">
            <w:pPr>
              <w:jc w:val="center"/>
              <w:rPr>
                <w:sz w:val="18"/>
                <w:szCs w:val="18"/>
              </w:rPr>
            </w:pPr>
            <w:r>
              <w:rPr>
                <w:sz w:val="18"/>
                <w:szCs w:val="18"/>
              </w:rPr>
              <w:t>6</w:t>
            </w:r>
          </w:p>
        </w:tc>
        <w:tc>
          <w:tcPr>
            <w:tcW w:w="1994" w:type="dxa"/>
            <w:gridSpan w:val="2"/>
            <w:tcBorders>
              <w:top w:val="single" w:color="auto" w:sz="4" w:space="0"/>
            </w:tcBorders>
            <w:shd w:val="clear" w:color="auto" w:fill="auto"/>
            <w:vAlign w:val="center"/>
          </w:tcPr>
          <w:p w14:paraId="6957BA10">
            <w:pPr>
              <w:jc w:val="center"/>
              <w:rPr>
                <w:sz w:val="18"/>
                <w:szCs w:val="18"/>
              </w:rPr>
            </w:pPr>
            <w:r>
              <w:rPr>
                <w:rFonts w:hint="eastAsia"/>
                <w:sz w:val="18"/>
                <w:szCs w:val="18"/>
              </w:rPr>
              <w:t>弯曲试验</w:t>
            </w:r>
          </w:p>
        </w:tc>
        <w:tc>
          <w:tcPr>
            <w:tcW w:w="1701" w:type="dxa"/>
            <w:tcBorders>
              <w:top w:val="single" w:color="auto" w:sz="4" w:space="0"/>
            </w:tcBorders>
            <w:shd w:val="clear" w:color="auto" w:fill="auto"/>
            <w:vAlign w:val="center"/>
          </w:tcPr>
          <w:p w14:paraId="6589D83E">
            <w:pPr>
              <w:jc w:val="center"/>
              <w:rPr>
                <w:sz w:val="18"/>
                <w:szCs w:val="18"/>
              </w:rPr>
            </w:pPr>
            <w:r>
              <w:rPr>
                <w:rFonts w:hint="eastAsia"/>
                <w:sz w:val="18"/>
                <w:szCs w:val="18"/>
              </w:rPr>
              <w:t>2个/批</w:t>
            </w:r>
          </w:p>
        </w:tc>
        <w:tc>
          <w:tcPr>
            <w:tcW w:w="2693" w:type="dxa"/>
            <w:tcBorders>
              <w:top w:val="single" w:color="auto" w:sz="4" w:space="0"/>
            </w:tcBorders>
            <w:shd w:val="clear" w:color="auto" w:fill="auto"/>
            <w:vAlign w:val="center"/>
          </w:tcPr>
          <w:p w14:paraId="7439B9F5">
            <w:pPr>
              <w:jc w:val="center"/>
              <w:rPr>
                <w:sz w:val="18"/>
                <w:szCs w:val="18"/>
              </w:rPr>
            </w:pPr>
            <w:r>
              <w:rPr>
                <w:rFonts w:hint="eastAsia"/>
                <w:sz w:val="18"/>
                <w:szCs w:val="18"/>
              </w:rPr>
              <w:t>G</w:t>
            </w:r>
            <w:r>
              <w:rPr>
                <w:sz w:val="18"/>
                <w:szCs w:val="18"/>
              </w:rPr>
              <w:t xml:space="preserve">B/T </w:t>
            </w:r>
            <w:r>
              <w:rPr>
                <w:rFonts w:hint="eastAsia"/>
                <w:sz w:val="18"/>
                <w:szCs w:val="18"/>
              </w:rPr>
              <w:t>244</w:t>
            </w:r>
          </w:p>
        </w:tc>
        <w:tc>
          <w:tcPr>
            <w:tcW w:w="2229" w:type="dxa"/>
            <w:tcBorders>
              <w:top w:val="single" w:color="auto" w:sz="4" w:space="0"/>
              <w:bottom w:val="single" w:color="auto" w:sz="4" w:space="0"/>
            </w:tcBorders>
            <w:shd w:val="clear" w:color="auto" w:fill="auto"/>
            <w:vAlign w:val="center"/>
          </w:tcPr>
          <w:p w14:paraId="659FDA5F">
            <w:pPr>
              <w:jc w:val="center"/>
              <w:rPr>
                <w:sz w:val="18"/>
                <w:szCs w:val="18"/>
              </w:rPr>
            </w:pPr>
            <w:r>
              <w:rPr>
                <w:rFonts w:hint="eastAsia"/>
                <w:sz w:val="18"/>
                <w:szCs w:val="18"/>
              </w:rPr>
              <w:t>G</w:t>
            </w:r>
            <w:r>
              <w:rPr>
                <w:sz w:val="18"/>
                <w:szCs w:val="18"/>
              </w:rPr>
              <w:t xml:space="preserve">B/T </w:t>
            </w:r>
            <w:r>
              <w:rPr>
                <w:rFonts w:hint="eastAsia"/>
                <w:sz w:val="18"/>
                <w:szCs w:val="18"/>
              </w:rPr>
              <w:t>244</w:t>
            </w:r>
          </w:p>
        </w:tc>
      </w:tr>
      <w:tr w14:paraId="574135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70DF9161">
            <w:pPr>
              <w:jc w:val="center"/>
              <w:rPr>
                <w:sz w:val="18"/>
                <w:szCs w:val="18"/>
              </w:rPr>
            </w:pPr>
            <w:r>
              <w:rPr>
                <w:sz w:val="18"/>
                <w:szCs w:val="18"/>
              </w:rPr>
              <w:t>7</w:t>
            </w:r>
          </w:p>
        </w:tc>
        <w:tc>
          <w:tcPr>
            <w:tcW w:w="1994" w:type="dxa"/>
            <w:gridSpan w:val="2"/>
            <w:vAlign w:val="center"/>
          </w:tcPr>
          <w:p w14:paraId="4BD91A44">
            <w:pPr>
              <w:jc w:val="center"/>
              <w:rPr>
                <w:sz w:val="18"/>
                <w:szCs w:val="18"/>
              </w:rPr>
            </w:pPr>
            <w:r>
              <w:rPr>
                <w:rFonts w:hint="eastAsia"/>
                <w:sz w:val="18"/>
                <w:szCs w:val="18"/>
              </w:rPr>
              <w:t>扩口试验</w:t>
            </w:r>
          </w:p>
        </w:tc>
        <w:tc>
          <w:tcPr>
            <w:tcW w:w="1701" w:type="dxa"/>
            <w:vAlign w:val="center"/>
          </w:tcPr>
          <w:p w14:paraId="62D18F6C">
            <w:pPr>
              <w:jc w:val="center"/>
              <w:rPr>
                <w:sz w:val="18"/>
                <w:szCs w:val="18"/>
              </w:rPr>
            </w:pPr>
            <w:r>
              <w:rPr>
                <w:rFonts w:hint="eastAsia"/>
                <w:sz w:val="18"/>
                <w:szCs w:val="18"/>
              </w:rPr>
              <w:t>2个/批</w:t>
            </w:r>
          </w:p>
        </w:tc>
        <w:tc>
          <w:tcPr>
            <w:tcW w:w="2693" w:type="dxa"/>
            <w:vAlign w:val="center"/>
          </w:tcPr>
          <w:p w14:paraId="1C781195">
            <w:pPr>
              <w:jc w:val="center"/>
              <w:rPr>
                <w:color w:val="00B050"/>
                <w:sz w:val="18"/>
                <w:szCs w:val="18"/>
              </w:rPr>
            </w:pPr>
            <w:r>
              <w:rPr>
                <w:rFonts w:hint="eastAsia"/>
                <w:sz w:val="18"/>
                <w:szCs w:val="18"/>
              </w:rPr>
              <w:t>G</w:t>
            </w:r>
            <w:r>
              <w:rPr>
                <w:sz w:val="18"/>
                <w:szCs w:val="18"/>
              </w:rPr>
              <w:t xml:space="preserve">B/T </w:t>
            </w:r>
            <w:r>
              <w:rPr>
                <w:rFonts w:hint="eastAsia"/>
                <w:sz w:val="18"/>
                <w:szCs w:val="18"/>
              </w:rPr>
              <w:t>242</w:t>
            </w:r>
          </w:p>
        </w:tc>
        <w:tc>
          <w:tcPr>
            <w:tcW w:w="2229" w:type="dxa"/>
            <w:tcBorders>
              <w:top w:val="single" w:color="auto" w:sz="4" w:space="0"/>
            </w:tcBorders>
            <w:vAlign w:val="center"/>
          </w:tcPr>
          <w:p w14:paraId="45473175">
            <w:pPr>
              <w:jc w:val="center"/>
              <w:rPr>
                <w:sz w:val="18"/>
                <w:szCs w:val="18"/>
              </w:rPr>
            </w:pPr>
            <w:r>
              <w:rPr>
                <w:rFonts w:hint="eastAsia"/>
                <w:sz w:val="18"/>
                <w:szCs w:val="18"/>
              </w:rPr>
              <w:t>G</w:t>
            </w:r>
            <w:r>
              <w:rPr>
                <w:sz w:val="18"/>
                <w:szCs w:val="18"/>
              </w:rPr>
              <w:t xml:space="preserve">B/T </w:t>
            </w:r>
            <w:r>
              <w:rPr>
                <w:rFonts w:hint="eastAsia"/>
                <w:sz w:val="18"/>
                <w:szCs w:val="18"/>
              </w:rPr>
              <w:t>242</w:t>
            </w:r>
          </w:p>
        </w:tc>
      </w:tr>
      <w:tr w14:paraId="58899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7BAAEA29">
            <w:pPr>
              <w:jc w:val="center"/>
              <w:rPr>
                <w:sz w:val="18"/>
                <w:szCs w:val="18"/>
              </w:rPr>
            </w:pPr>
            <w:r>
              <w:rPr>
                <w:rFonts w:hint="eastAsia"/>
                <w:sz w:val="18"/>
                <w:szCs w:val="18"/>
              </w:rPr>
              <w:t>8</w:t>
            </w:r>
          </w:p>
        </w:tc>
        <w:tc>
          <w:tcPr>
            <w:tcW w:w="1994" w:type="dxa"/>
            <w:gridSpan w:val="2"/>
            <w:vAlign w:val="center"/>
          </w:tcPr>
          <w:p w14:paraId="66E6321C">
            <w:pPr>
              <w:jc w:val="center"/>
              <w:rPr>
                <w:sz w:val="18"/>
                <w:szCs w:val="18"/>
              </w:rPr>
            </w:pPr>
            <w:r>
              <w:rPr>
                <w:rFonts w:hint="eastAsia"/>
                <w:sz w:val="18"/>
                <w:szCs w:val="18"/>
              </w:rPr>
              <w:t>液压实验</w:t>
            </w:r>
          </w:p>
        </w:tc>
        <w:tc>
          <w:tcPr>
            <w:tcW w:w="1701" w:type="dxa"/>
            <w:vAlign w:val="center"/>
          </w:tcPr>
          <w:p w14:paraId="281D48E5">
            <w:pPr>
              <w:jc w:val="center"/>
              <w:rPr>
                <w:sz w:val="18"/>
                <w:szCs w:val="18"/>
              </w:rPr>
            </w:pPr>
            <w:r>
              <w:rPr>
                <w:rFonts w:hint="eastAsia"/>
                <w:sz w:val="18"/>
                <w:szCs w:val="18"/>
              </w:rPr>
              <w:t>逐根</w:t>
            </w:r>
          </w:p>
        </w:tc>
        <w:tc>
          <w:tcPr>
            <w:tcW w:w="2693" w:type="dxa"/>
            <w:vAlign w:val="center"/>
          </w:tcPr>
          <w:p w14:paraId="0682422D">
            <w:pPr>
              <w:jc w:val="center"/>
              <w:rPr>
                <w:sz w:val="18"/>
                <w:szCs w:val="18"/>
              </w:rPr>
            </w:pPr>
            <w:r>
              <w:rPr>
                <w:rFonts w:hint="eastAsia"/>
                <w:sz w:val="18"/>
                <w:szCs w:val="18"/>
              </w:rPr>
              <w:t>—</w:t>
            </w:r>
          </w:p>
        </w:tc>
        <w:tc>
          <w:tcPr>
            <w:tcW w:w="2229" w:type="dxa"/>
            <w:tcBorders>
              <w:top w:val="single" w:color="auto" w:sz="4" w:space="0"/>
            </w:tcBorders>
            <w:vAlign w:val="center"/>
          </w:tcPr>
          <w:p w14:paraId="4E3168AD">
            <w:pPr>
              <w:jc w:val="center"/>
              <w:rPr>
                <w:sz w:val="18"/>
                <w:szCs w:val="18"/>
              </w:rPr>
            </w:pPr>
            <w:r>
              <w:rPr>
                <w:rFonts w:hint="eastAsia"/>
                <w:sz w:val="18"/>
                <w:szCs w:val="18"/>
              </w:rPr>
              <w:t>GB/T 241</w:t>
            </w:r>
          </w:p>
        </w:tc>
      </w:tr>
      <w:tr w14:paraId="73654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5929A3C2">
            <w:pPr>
              <w:jc w:val="center"/>
              <w:rPr>
                <w:sz w:val="18"/>
                <w:szCs w:val="18"/>
              </w:rPr>
            </w:pPr>
            <w:r>
              <w:rPr>
                <w:rFonts w:hint="eastAsia"/>
                <w:sz w:val="18"/>
                <w:szCs w:val="18"/>
              </w:rPr>
              <w:t>9</w:t>
            </w:r>
          </w:p>
        </w:tc>
        <w:tc>
          <w:tcPr>
            <w:tcW w:w="1994" w:type="dxa"/>
            <w:gridSpan w:val="2"/>
            <w:vAlign w:val="center"/>
          </w:tcPr>
          <w:p w14:paraId="2D7C238B">
            <w:pPr>
              <w:jc w:val="center"/>
              <w:rPr>
                <w:sz w:val="18"/>
                <w:szCs w:val="18"/>
              </w:rPr>
            </w:pPr>
            <w:r>
              <w:rPr>
                <w:rFonts w:hint="eastAsia"/>
                <w:sz w:val="18"/>
                <w:szCs w:val="18"/>
              </w:rPr>
              <w:t>数字射线</w:t>
            </w:r>
          </w:p>
        </w:tc>
        <w:tc>
          <w:tcPr>
            <w:tcW w:w="1701" w:type="dxa"/>
            <w:vAlign w:val="center"/>
          </w:tcPr>
          <w:p w14:paraId="0E6C4BB7">
            <w:pPr>
              <w:jc w:val="center"/>
              <w:rPr>
                <w:sz w:val="18"/>
                <w:szCs w:val="18"/>
              </w:rPr>
            </w:pPr>
            <w:r>
              <w:rPr>
                <w:rFonts w:hint="eastAsia"/>
                <w:sz w:val="18"/>
                <w:szCs w:val="18"/>
              </w:rPr>
              <w:t>逐根</w:t>
            </w:r>
          </w:p>
        </w:tc>
        <w:tc>
          <w:tcPr>
            <w:tcW w:w="2693" w:type="dxa"/>
            <w:vAlign w:val="center"/>
          </w:tcPr>
          <w:p w14:paraId="6BA15224">
            <w:pPr>
              <w:jc w:val="center"/>
              <w:rPr>
                <w:sz w:val="18"/>
                <w:szCs w:val="18"/>
              </w:rPr>
            </w:pPr>
            <w:r>
              <w:rPr>
                <w:rFonts w:hint="eastAsia"/>
                <w:sz w:val="18"/>
                <w:szCs w:val="18"/>
              </w:rPr>
              <w:t>—</w:t>
            </w:r>
          </w:p>
        </w:tc>
        <w:tc>
          <w:tcPr>
            <w:tcW w:w="2229" w:type="dxa"/>
            <w:tcBorders>
              <w:top w:val="single" w:color="auto" w:sz="4" w:space="0"/>
            </w:tcBorders>
            <w:vAlign w:val="center"/>
          </w:tcPr>
          <w:p w14:paraId="26D924CB">
            <w:pPr>
              <w:jc w:val="center"/>
              <w:rPr>
                <w:sz w:val="18"/>
                <w:szCs w:val="18"/>
              </w:rPr>
            </w:pPr>
            <w:r>
              <w:rPr>
                <w:sz w:val="18"/>
                <w:szCs w:val="18"/>
              </w:rPr>
              <w:t>SY/T 6423.5</w:t>
            </w:r>
            <w:r>
              <w:rPr>
                <w:rFonts w:hint="eastAsia"/>
                <w:sz w:val="18"/>
                <w:szCs w:val="18"/>
              </w:rPr>
              <w:t>-2014</w:t>
            </w:r>
          </w:p>
        </w:tc>
      </w:tr>
      <w:tr w14:paraId="6831C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311C9D23">
            <w:pPr>
              <w:jc w:val="center"/>
              <w:rPr>
                <w:sz w:val="18"/>
                <w:szCs w:val="18"/>
              </w:rPr>
            </w:pPr>
            <w:r>
              <w:rPr>
                <w:rFonts w:hint="eastAsia"/>
                <w:sz w:val="18"/>
                <w:szCs w:val="18"/>
              </w:rPr>
              <w:t>10</w:t>
            </w:r>
          </w:p>
        </w:tc>
        <w:tc>
          <w:tcPr>
            <w:tcW w:w="1994" w:type="dxa"/>
            <w:gridSpan w:val="2"/>
            <w:vAlign w:val="center"/>
          </w:tcPr>
          <w:p w14:paraId="31C50635">
            <w:pPr>
              <w:jc w:val="center"/>
              <w:rPr>
                <w:sz w:val="18"/>
                <w:szCs w:val="18"/>
              </w:rPr>
            </w:pPr>
            <w:r>
              <w:rPr>
                <w:rFonts w:hint="eastAsia"/>
                <w:sz w:val="18"/>
                <w:szCs w:val="18"/>
              </w:rPr>
              <w:t>超声波探伤</w:t>
            </w:r>
          </w:p>
        </w:tc>
        <w:tc>
          <w:tcPr>
            <w:tcW w:w="1701" w:type="dxa"/>
            <w:vAlign w:val="center"/>
          </w:tcPr>
          <w:p w14:paraId="6E8BE576">
            <w:pPr>
              <w:jc w:val="center"/>
              <w:rPr>
                <w:sz w:val="18"/>
                <w:szCs w:val="18"/>
              </w:rPr>
            </w:pPr>
            <w:r>
              <w:rPr>
                <w:rFonts w:hint="eastAsia"/>
                <w:sz w:val="18"/>
                <w:szCs w:val="18"/>
              </w:rPr>
              <w:t>逐根</w:t>
            </w:r>
          </w:p>
        </w:tc>
        <w:tc>
          <w:tcPr>
            <w:tcW w:w="2693" w:type="dxa"/>
            <w:vAlign w:val="center"/>
          </w:tcPr>
          <w:p w14:paraId="07EEC147">
            <w:pPr>
              <w:jc w:val="center"/>
              <w:rPr>
                <w:sz w:val="18"/>
                <w:szCs w:val="18"/>
              </w:rPr>
            </w:pPr>
            <w:r>
              <w:rPr>
                <w:rFonts w:hint="eastAsia"/>
                <w:sz w:val="18"/>
                <w:szCs w:val="18"/>
              </w:rPr>
              <w:t>—</w:t>
            </w:r>
          </w:p>
        </w:tc>
        <w:tc>
          <w:tcPr>
            <w:tcW w:w="2229" w:type="dxa"/>
            <w:tcBorders>
              <w:top w:val="single" w:color="auto" w:sz="4" w:space="0"/>
            </w:tcBorders>
            <w:vAlign w:val="center"/>
          </w:tcPr>
          <w:p w14:paraId="6D79795D">
            <w:pPr>
              <w:jc w:val="center"/>
              <w:rPr>
                <w:sz w:val="18"/>
                <w:szCs w:val="18"/>
              </w:rPr>
            </w:pPr>
            <w:r>
              <w:rPr>
                <w:rFonts w:hint="eastAsia"/>
                <w:sz w:val="18"/>
                <w:szCs w:val="18"/>
              </w:rPr>
              <w:t>SY/T 6423.2-2013</w:t>
            </w:r>
          </w:p>
        </w:tc>
      </w:tr>
      <w:tr w14:paraId="003E7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5836E8C3">
            <w:pPr>
              <w:jc w:val="center"/>
              <w:rPr>
                <w:sz w:val="18"/>
                <w:szCs w:val="18"/>
              </w:rPr>
            </w:pPr>
            <w:r>
              <w:rPr>
                <w:rFonts w:hint="eastAsia"/>
                <w:sz w:val="18"/>
                <w:szCs w:val="18"/>
              </w:rPr>
              <w:t>11</w:t>
            </w:r>
          </w:p>
        </w:tc>
        <w:tc>
          <w:tcPr>
            <w:tcW w:w="1994" w:type="dxa"/>
            <w:gridSpan w:val="2"/>
            <w:vAlign w:val="center"/>
          </w:tcPr>
          <w:p w14:paraId="4D8C767A">
            <w:pPr>
              <w:jc w:val="center"/>
              <w:rPr>
                <w:sz w:val="18"/>
                <w:szCs w:val="18"/>
              </w:rPr>
            </w:pPr>
            <w:r>
              <w:rPr>
                <w:rFonts w:hint="eastAsia"/>
                <w:sz w:val="18"/>
                <w:szCs w:val="18"/>
              </w:rPr>
              <w:t>涡流探伤</w:t>
            </w:r>
          </w:p>
        </w:tc>
        <w:tc>
          <w:tcPr>
            <w:tcW w:w="1701" w:type="dxa"/>
            <w:vAlign w:val="center"/>
          </w:tcPr>
          <w:p w14:paraId="20AA06E8">
            <w:pPr>
              <w:jc w:val="center"/>
              <w:rPr>
                <w:sz w:val="18"/>
                <w:szCs w:val="18"/>
              </w:rPr>
            </w:pPr>
            <w:r>
              <w:rPr>
                <w:rFonts w:hint="eastAsia"/>
                <w:sz w:val="18"/>
                <w:szCs w:val="18"/>
              </w:rPr>
              <w:t>逐根</w:t>
            </w:r>
          </w:p>
        </w:tc>
        <w:tc>
          <w:tcPr>
            <w:tcW w:w="2693" w:type="dxa"/>
            <w:vAlign w:val="center"/>
          </w:tcPr>
          <w:p w14:paraId="35D7AAEE">
            <w:pPr>
              <w:jc w:val="center"/>
              <w:rPr>
                <w:sz w:val="18"/>
                <w:szCs w:val="18"/>
              </w:rPr>
            </w:pPr>
            <w:r>
              <w:rPr>
                <w:rFonts w:hint="eastAsia"/>
                <w:sz w:val="18"/>
                <w:szCs w:val="18"/>
              </w:rPr>
              <w:t>—</w:t>
            </w:r>
          </w:p>
        </w:tc>
        <w:tc>
          <w:tcPr>
            <w:tcW w:w="2229" w:type="dxa"/>
            <w:tcBorders>
              <w:top w:val="single" w:color="auto" w:sz="4" w:space="0"/>
            </w:tcBorders>
            <w:vAlign w:val="center"/>
          </w:tcPr>
          <w:p w14:paraId="2DC52C3A">
            <w:pPr>
              <w:jc w:val="center"/>
              <w:rPr>
                <w:sz w:val="18"/>
                <w:szCs w:val="18"/>
              </w:rPr>
            </w:pPr>
            <w:r>
              <w:rPr>
                <w:rFonts w:hint="eastAsia"/>
                <w:sz w:val="18"/>
                <w:szCs w:val="18"/>
              </w:rPr>
              <w:t>GB/T 7735-2016</w:t>
            </w:r>
          </w:p>
        </w:tc>
      </w:tr>
      <w:tr w14:paraId="55844B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775AA661">
            <w:pPr>
              <w:jc w:val="center"/>
              <w:rPr>
                <w:sz w:val="18"/>
                <w:szCs w:val="18"/>
              </w:rPr>
            </w:pPr>
            <w:r>
              <w:rPr>
                <w:rFonts w:hint="eastAsia"/>
                <w:sz w:val="18"/>
                <w:szCs w:val="18"/>
              </w:rPr>
              <w:t>12</w:t>
            </w:r>
          </w:p>
        </w:tc>
        <w:tc>
          <w:tcPr>
            <w:tcW w:w="1994" w:type="dxa"/>
            <w:gridSpan w:val="2"/>
            <w:vAlign w:val="center"/>
          </w:tcPr>
          <w:p w14:paraId="6BADBC8A">
            <w:pPr>
              <w:jc w:val="center"/>
              <w:rPr>
                <w:sz w:val="18"/>
                <w:szCs w:val="18"/>
              </w:rPr>
            </w:pPr>
            <w:r>
              <w:rPr>
                <w:rFonts w:hint="eastAsia"/>
                <w:sz w:val="18"/>
                <w:szCs w:val="18"/>
              </w:rPr>
              <w:t>镀锌层均匀性试验</w:t>
            </w:r>
          </w:p>
        </w:tc>
        <w:tc>
          <w:tcPr>
            <w:tcW w:w="1701" w:type="dxa"/>
            <w:vAlign w:val="center"/>
          </w:tcPr>
          <w:p w14:paraId="0326F88A">
            <w:pPr>
              <w:jc w:val="center"/>
              <w:rPr>
                <w:sz w:val="18"/>
                <w:szCs w:val="18"/>
              </w:rPr>
            </w:pPr>
            <w:r>
              <w:rPr>
                <w:rFonts w:hint="eastAsia"/>
                <w:sz w:val="18"/>
                <w:szCs w:val="18"/>
              </w:rPr>
              <w:t>2个/批</w:t>
            </w:r>
          </w:p>
        </w:tc>
        <w:tc>
          <w:tcPr>
            <w:tcW w:w="2693" w:type="dxa"/>
            <w:vAlign w:val="center"/>
          </w:tcPr>
          <w:p w14:paraId="09198A19">
            <w:pPr>
              <w:jc w:val="center"/>
              <w:rPr>
                <w:sz w:val="18"/>
                <w:szCs w:val="18"/>
              </w:rPr>
            </w:pPr>
            <w:r>
              <w:rPr>
                <w:rFonts w:hint="eastAsia"/>
                <w:sz w:val="18"/>
                <w:szCs w:val="18"/>
              </w:rPr>
              <w:t>GB/T 13793-2016附录A</w:t>
            </w:r>
          </w:p>
        </w:tc>
        <w:tc>
          <w:tcPr>
            <w:tcW w:w="2229" w:type="dxa"/>
            <w:tcBorders>
              <w:top w:val="single" w:color="auto" w:sz="4" w:space="0"/>
            </w:tcBorders>
            <w:vAlign w:val="center"/>
          </w:tcPr>
          <w:p w14:paraId="33D38AE5">
            <w:pPr>
              <w:jc w:val="center"/>
              <w:rPr>
                <w:sz w:val="18"/>
                <w:szCs w:val="18"/>
              </w:rPr>
            </w:pPr>
            <w:r>
              <w:rPr>
                <w:rFonts w:hint="eastAsia"/>
                <w:sz w:val="18"/>
                <w:szCs w:val="18"/>
              </w:rPr>
              <w:t>GB/T 13793-2016附录A</w:t>
            </w:r>
          </w:p>
        </w:tc>
      </w:tr>
      <w:tr w14:paraId="30F98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4F498494">
            <w:pPr>
              <w:jc w:val="center"/>
              <w:rPr>
                <w:sz w:val="18"/>
                <w:szCs w:val="18"/>
              </w:rPr>
            </w:pPr>
            <w:r>
              <w:rPr>
                <w:rFonts w:hint="eastAsia"/>
                <w:sz w:val="18"/>
                <w:szCs w:val="18"/>
              </w:rPr>
              <w:t>13</w:t>
            </w:r>
          </w:p>
        </w:tc>
        <w:tc>
          <w:tcPr>
            <w:tcW w:w="1994" w:type="dxa"/>
            <w:gridSpan w:val="2"/>
            <w:vAlign w:val="center"/>
          </w:tcPr>
          <w:p w14:paraId="526FFB61">
            <w:pPr>
              <w:jc w:val="center"/>
              <w:rPr>
                <w:sz w:val="18"/>
                <w:szCs w:val="18"/>
              </w:rPr>
            </w:pPr>
            <w:r>
              <w:rPr>
                <w:rFonts w:hint="eastAsia"/>
                <w:sz w:val="18"/>
                <w:szCs w:val="18"/>
              </w:rPr>
              <w:t>镀锌层重量测定</w:t>
            </w:r>
          </w:p>
        </w:tc>
        <w:tc>
          <w:tcPr>
            <w:tcW w:w="1701" w:type="dxa"/>
            <w:vAlign w:val="center"/>
          </w:tcPr>
          <w:p w14:paraId="2D0B9B5F">
            <w:pPr>
              <w:jc w:val="center"/>
              <w:rPr>
                <w:sz w:val="18"/>
                <w:szCs w:val="18"/>
              </w:rPr>
            </w:pPr>
            <w:r>
              <w:rPr>
                <w:rFonts w:hint="eastAsia"/>
                <w:sz w:val="18"/>
                <w:szCs w:val="18"/>
              </w:rPr>
              <w:t>1个/批</w:t>
            </w:r>
          </w:p>
        </w:tc>
        <w:tc>
          <w:tcPr>
            <w:tcW w:w="2693" w:type="dxa"/>
            <w:vAlign w:val="center"/>
          </w:tcPr>
          <w:p w14:paraId="31544AE7">
            <w:pPr>
              <w:jc w:val="center"/>
              <w:rPr>
                <w:sz w:val="18"/>
                <w:szCs w:val="18"/>
              </w:rPr>
            </w:pPr>
            <w:r>
              <w:rPr>
                <w:rFonts w:hint="eastAsia"/>
                <w:sz w:val="18"/>
                <w:szCs w:val="18"/>
              </w:rPr>
              <w:t>GB/T 13793-2016附录B</w:t>
            </w:r>
          </w:p>
        </w:tc>
        <w:tc>
          <w:tcPr>
            <w:tcW w:w="2229" w:type="dxa"/>
            <w:tcBorders>
              <w:top w:val="single" w:color="auto" w:sz="4" w:space="0"/>
            </w:tcBorders>
            <w:vAlign w:val="center"/>
          </w:tcPr>
          <w:p w14:paraId="09CA4D06">
            <w:pPr>
              <w:jc w:val="center"/>
              <w:rPr>
                <w:sz w:val="18"/>
                <w:szCs w:val="18"/>
              </w:rPr>
            </w:pPr>
            <w:r>
              <w:rPr>
                <w:rFonts w:hint="eastAsia"/>
                <w:sz w:val="18"/>
                <w:szCs w:val="18"/>
              </w:rPr>
              <w:t>GB/T 13793-2016附录B</w:t>
            </w:r>
          </w:p>
        </w:tc>
      </w:tr>
      <w:tr w14:paraId="28B57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70F4EEC7">
            <w:pPr>
              <w:jc w:val="center"/>
              <w:rPr>
                <w:sz w:val="18"/>
                <w:szCs w:val="18"/>
              </w:rPr>
            </w:pPr>
            <w:r>
              <w:rPr>
                <w:rFonts w:hint="eastAsia"/>
                <w:sz w:val="18"/>
                <w:szCs w:val="18"/>
              </w:rPr>
              <w:t>14</w:t>
            </w:r>
          </w:p>
        </w:tc>
        <w:tc>
          <w:tcPr>
            <w:tcW w:w="1994" w:type="dxa"/>
            <w:gridSpan w:val="2"/>
            <w:vAlign w:val="center"/>
          </w:tcPr>
          <w:p w14:paraId="7F7949EA">
            <w:pPr>
              <w:jc w:val="center"/>
              <w:rPr>
                <w:sz w:val="18"/>
                <w:szCs w:val="18"/>
              </w:rPr>
            </w:pPr>
            <w:r>
              <w:rPr>
                <w:rFonts w:hint="eastAsia"/>
                <w:sz w:val="18"/>
                <w:szCs w:val="18"/>
              </w:rPr>
              <w:t>镀锌层附着力试验</w:t>
            </w:r>
          </w:p>
        </w:tc>
        <w:tc>
          <w:tcPr>
            <w:tcW w:w="1701" w:type="dxa"/>
            <w:vAlign w:val="center"/>
          </w:tcPr>
          <w:p w14:paraId="6B159F80">
            <w:pPr>
              <w:jc w:val="center"/>
              <w:rPr>
                <w:sz w:val="18"/>
                <w:szCs w:val="18"/>
              </w:rPr>
            </w:pPr>
            <w:r>
              <w:rPr>
                <w:rFonts w:hint="eastAsia"/>
                <w:sz w:val="18"/>
                <w:szCs w:val="18"/>
              </w:rPr>
              <w:t>1个/批</w:t>
            </w:r>
          </w:p>
        </w:tc>
        <w:tc>
          <w:tcPr>
            <w:tcW w:w="2693" w:type="dxa"/>
            <w:vAlign w:val="center"/>
          </w:tcPr>
          <w:p w14:paraId="3794D754">
            <w:pPr>
              <w:jc w:val="center"/>
              <w:rPr>
                <w:sz w:val="18"/>
                <w:szCs w:val="18"/>
              </w:rPr>
            </w:pPr>
            <w:r>
              <w:rPr>
                <w:rFonts w:hint="eastAsia"/>
                <w:sz w:val="18"/>
                <w:szCs w:val="18"/>
              </w:rPr>
              <w:t>G</w:t>
            </w:r>
            <w:r>
              <w:rPr>
                <w:sz w:val="18"/>
                <w:szCs w:val="18"/>
              </w:rPr>
              <w:t xml:space="preserve">B/T </w:t>
            </w:r>
            <w:r>
              <w:rPr>
                <w:rFonts w:hint="eastAsia"/>
                <w:sz w:val="18"/>
                <w:szCs w:val="18"/>
              </w:rPr>
              <w:t>244、G</w:t>
            </w:r>
            <w:r>
              <w:rPr>
                <w:sz w:val="18"/>
                <w:szCs w:val="18"/>
              </w:rPr>
              <w:t xml:space="preserve">B/T </w:t>
            </w:r>
            <w:r>
              <w:rPr>
                <w:rFonts w:hint="eastAsia"/>
                <w:sz w:val="18"/>
                <w:szCs w:val="18"/>
              </w:rPr>
              <w:t>246</w:t>
            </w:r>
          </w:p>
        </w:tc>
        <w:tc>
          <w:tcPr>
            <w:tcW w:w="2229" w:type="dxa"/>
            <w:tcBorders>
              <w:top w:val="single" w:color="auto" w:sz="4" w:space="0"/>
            </w:tcBorders>
            <w:vAlign w:val="center"/>
          </w:tcPr>
          <w:p w14:paraId="641585A9">
            <w:pPr>
              <w:jc w:val="center"/>
              <w:rPr>
                <w:sz w:val="18"/>
                <w:szCs w:val="18"/>
              </w:rPr>
            </w:pPr>
            <w:r>
              <w:rPr>
                <w:rFonts w:hint="eastAsia"/>
                <w:sz w:val="18"/>
                <w:szCs w:val="18"/>
              </w:rPr>
              <w:t>G</w:t>
            </w:r>
            <w:r>
              <w:rPr>
                <w:sz w:val="18"/>
                <w:szCs w:val="18"/>
              </w:rPr>
              <w:t xml:space="preserve">B/T </w:t>
            </w:r>
            <w:r>
              <w:rPr>
                <w:rFonts w:hint="eastAsia"/>
                <w:sz w:val="18"/>
                <w:szCs w:val="18"/>
              </w:rPr>
              <w:t>244、G</w:t>
            </w:r>
            <w:r>
              <w:rPr>
                <w:sz w:val="18"/>
                <w:szCs w:val="18"/>
              </w:rPr>
              <w:t xml:space="preserve">B/T </w:t>
            </w:r>
            <w:r>
              <w:rPr>
                <w:rFonts w:hint="eastAsia"/>
                <w:sz w:val="18"/>
                <w:szCs w:val="18"/>
              </w:rPr>
              <w:t>246</w:t>
            </w:r>
          </w:p>
        </w:tc>
      </w:tr>
      <w:tr w14:paraId="5BC290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37F16602">
            <w:pPr>
              <w:jc w:val="center"/>
              <w:rPr>
                <w:sz w:val="18"/>
                <w:szCs w:val="18"/>
              </w:rPr>
            </w:pPr>
            <w:r>
              <w:rPr>
                <w:rFonts w:hint="eastAsia"/>
                <w:sz w:val="18"/>
                <w:szCs w:val="18"/>
              </w:rPr>
              <w:t>15</w:t>
            </w:r>
          </w:p>
        </w:tc>
        <w:tc>
          <w:tcPr>
            <w:tcW w:w="1994" w:type="dxa"/>
            <w:gridSpan w:val="2"/>
            <w:vAlign w:val="center"/>
          </w:tcPr>
          <w:p w14:paraId="42E33E02">
            <w:pPr>
              <w:jc w:val="center"/>
              <w:rPr>
                <w:sz w:val="18"/>
                <w:szCs w:val="18"/>
              </w:rPr>
            </w:pPr>
            <w:r>
              <w:rPr>
                <w:rFonts w:hint="eastAsia"/>
                <w:sz w:val="18"/>
                <w:szCs w:val="18"/>
              </w:rPr>
              <w:t>镀层厚度</w:t>
            </w:r>
          </w:p>
        </w:tc>
        <w:tc>
          <w:tcPr>
            <w:tcW w:w="1701" w:type="dxa"/>
            <w:vAlign w:val="center"/>
          </w:tcPr>
          <w:p w14:paraId="22CEA00E">
            <w:pPr>
              <w:jc w:val="center"/>
              <w:rPr>
                <w:sz w:val="18"/>
                <w:szCs w:val="18"/>
              </w:rPr>
            </w:pPr>
            <w:r>
              <w:rPr>
                <w:rFonts w:hint="eastAsia"/>
                <w:sz w:val="18"/>
                <w:szCs w:val="18"/>
              </w:rPr>
              <w:t>1个/批</w:t>
            </w:r>
          </w:p>
        </w:tc>
        <w:tc>
          <w:tcPr>
            <w:tcW w:w="2693" w:type="dxa"/>
            <w:vAlign w:val="center"/>
          </w:tcPr>
          <w:p w14:paraId="6BDEFDF1">
            <w:pPr>
              <w:jc w:val="center"/>
              <w:rPr>
                <w:sz w:val="18"/>
                <w:szCs w:val="18"/>
              </w:rPr>
            </w:pPr>
            <w:r>
              <w:rPr>
                <w:rFonts w:hint="eastAsia"/>
                <w:sz w:val="18"/>
                <w:szCs w:val="18"/>
              </w:rPr>
              <w:t>GB∕T 13912</w:t>
            </w:r>
          </w:p>
        </w:tc>
        <w:tc>
          <w:tcPr>
            <w:tcW w:w="2229" w:type="dxa"/>
            <w:tcBorders>
              <w:top w:val="single" w:color="auto" w:sz="4" w:space="0"/>
            </w:tcBorders>
            <w:vAlign w:val="center"/>
          </w:tcPr>
          <w:p w14:paraId="64C103FB">
            <w:pPr>
              <w:jc w:val="center"/>
              <w:rPr>
                <w:sz w:val="18"/>
                <w:szCs w:val="18"/>
              </w:rPr>
            </w:pPr>
            <w:r>
              <w:rPr>
                <w:rFonts w:hint="eastAsia"/>
                <w:sz w:val="18"/>
                <w:szCs w:val="18"/>
              </w:rPr>
              <w:t>GB∕T 13912</w:t>
            </w:r>
          </w:p>
        </w:tc>
      </w:tr>
      <w:tr w14:paraId="2D8E5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559EB6A2">
            <w:pPr>
              <w:jc w:val="center"/>
              <w:rPr>
                <w:sz w:val="18"/>
                <w:szCs w:val="18"/>
              </w:rPr>
            </w:pPr>
            <w:r>
              <w:rPr>
                <w:rFonts w:hint="eastAsia"/>
                <w:sz w:val="18"/>
                <w:szCs w:val="18"/>
              </w:rPr>
              <w:t>16</w:t>
            </w:r>
          </w:p>
        </w:tc>
        <w:tc>
          <w:tcPr>
            <w:tcW w:w="1994" w:type="dxa"/>
            <w:gridSpan w:val="2"/>
            <w:vAlign w:val="center"/>
          </w:tcPr>
          <w:p w14:paraId="44D13CF8">
            <w:pPr>
              <w:jc w:val="center"/>
              <w:rPr>
                <w:sz w:val="18"/>
                <w:szCs w:val="18"/>
              </w:rPr>
            </w:pPr>
            <w:r>
              <w:rPr>
                <w:rFonts w:hint="eastAsia"/>
                <w:sz w:val="18"/>
                <w:szCs w:val="18"/>
              </w:rPr>
              <w:t>表面质量</w:t>
            </w:r>
          </w:p>
        </w:tc>
        <w:tc>
          <w:tcPr>
            <w:tcW w:w="1701" w:type="dxa"/>
            <w:vAlign w:val="center"/>
          </w:tcPr>
          <w:p w14:paraId="2A1CC0F3">
            <w:pPr>
              <w:jc w:val="center"/>
              <w:rPr>
                <w:sz w:val="18"/>
                <w:szCs w:val="18"/>
              </w:rPr>
            </w:pPr>
            <w:r>
              <w:rPr>
                <w:rFonts w:hint="eastAsia"/>
                <w:color w:val="000000"/>
                <w:sz w:val="18"/>
                <w:szCs w:val="18"/>
              </w:rPr>
              <w:t>逐张</w:t>
            </w:r>
          </w:p>
        </w:tc>
        <w:tc>
          <w:tcPr>
            <w:tcW w:w="2693" w:type="dxa"/>
            <w:vAlign w:val="center"/>
          </w:tcPr>
          <w:p w14:paraId="2C22EF5D">
            <w:pPr>
              <w:jc w:val="center"/>
              <w:rPr>
                <w:sz w:val="18"/>
                <w:szCs w:val="18"/>
              </w:rPr>
            </w:pPr>
            <w:r>
              <w:rPr>
                <w:rFonts w:hint="eastAsia"/>
                <w:sz w:val="18"/>
                <w:szCs w:val="18"/>
              </w:rPr>
              <w:t>—</w:t>
            </w:r>
          </w:p>
        </w:tc>
        <w:tc>
          <w:tcPr>
            <w:tcW w:w="2229" w:type="dxa"/>
            <w:vAlign w:val="center"/>
          </w:tcPr>
          <w:p w14:paraId="53458865">
            <w:pPr>
              <w:jc w:val="center"/>
              <w:rPr>
                <w:sz w:val="18"/>
                <w:szCs w:val="18"/>
              </w:rPr>
            </w:pPr>
            <w:r>
              <w:rPr>
                <w:rFonts w:hint="eastAsia"/>
                <w:sz w:val="18"/>
                <w:szCs w:val="18"/>
              </w:rPr>
              <w:t>目视</w:t>
            </w:r>
          </w:p>
        </w:tc>
      </w:tr>
      <w:tr w14:paraId="5DB96F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493AF805">
            <w:pPr>
              <w:jc w:val="center"/>
              <w:rPr>
                <w:sz w:val="18"/>
                <w:szCs w:val="18"/>
              </w:rPr>
            </w:pPr>
            <w:r>
              <w:rPr>
                <w:rFonts w:hint="eastAsia"/>
                <w:sz w:val="18"/>
                <w:szCs w:val="18"/>
              </w:rPr>
              <w:t>17</w:t>
            </w:r>
          </w:p>
        </w:tc>
        <w:tc>
          <w:tcPr>
            <w:tcW w:w="1994" w:type="dxa"/>
            <w:gridSpan w:val="2"/>
            <w:vAlign w:val="center"/>
          </w:tcPr>
          <w:p w14:paraId="7649B3FA">
            <w:pPr>
              <w:jc w:val="center"/>
              <w:rPr>
                <w:sz w:val="18"/>
                <w:szCs w:val="18"/>
              </w:rPr>
            </w:pPr>
            <w:r>
              <w:rPr>
                <w:rFonts w:hint="eastAsia"/>
                <w:color w:val="000000"/>
                <w:sz w:val="18"/>
                <w:szCs w:val="18"/>
              </w:rPr>
              <w:t>尺寸、外形</w:t>
            </w:r>
          </w:p>
        </w:tc>
        <w:tc>
          <w:tcPr>
            <w:tcW w:w="1701" w:type="dxa"/>
            <w:vAlign w:val="center"/>
          </w:tcPr>
          <w:p w14:paraId="048A67B3">
            <w:pPr>
              <w:jc w:val="center"/>
              <w:rPr>
                <w:sz w:val="18"/>
                <w:szCs w:val="18"/>
              </w:rPr>
            </w:pPr>
            <w:r>
              <w:rPr>
                <w:rFonts w:hint="eastAsia"/>
                <w:color w:val="000000"/>
                <w:sz w:val="18"/>
                <w:szCs w:val="18"/>
              </w:rPr>
              <w:t>逐张</w:t>
            </w:r>
          </w:p>
        </w:tc>
        <w:tc>
          <w:tcPr>
            <w:tcW w:w="2693" w:type="dxa"/>
            <w:vAlign w:val="center"/>
          </w:tcPr>
          <w:p w14:paraId="4CB8E477">
            <w:pPr>
              <w:jc w:val="center"/>
              <w:rPr>
                <w:sz w:val="18"/>
                <w:szCs w:val="18"/>
              </w:rPr>
            </w:pPr>
            <w:r>
              <w:rPr>
                <w:rFonts w:hint="eastAsia"/>
                <w:sz w:val="18"/>
                <w:szCs w:val="18"/>
              </w:rPr>
              <w:t>—</w:t>
            </w:r>
          </w:p>
        </w:tc>
        <w:tc>
          <w:tcPr>
            <w:tcW w:w="2229" w:type="dxa"/>
            <w:vAlign w:val="center"/>
          </w:tcPr>
          <w:p w14:paraId="6C218A09">
            <w:pPr>
              <w:jc w:val="center"/>
              <w:rPr>
                <w:sz w:val="18"/>
                <w:szCs w:val="18"/>
              </w:rPr>
            </w:pPr>
            <w:r>
              <w:rPr>
                <w:rFonts w:hint="eastAsia"/>
                <w:color w:val="000000"/>
                <w:sz w:val="18"/>
                <w:szCs w:val="18"/>
              </w:rPr>
              <w:t>合适的量具</w:t>
            </w:r>
          </w:p>
        </w:tc>
      </w:tr>
      <w:bookmarkEnd w:id="71"/>
      <w:bookmarkEnd w:id="72"/>
    </w:tbl>
    <w:p w14:paraId="50E6D362">
      <w:pPr>
        <w:pStyle w:val="47"/>
        <w:numPr>
          <w:ilvl w:val="1"/>
          <w:numId w:val="3"/>
        </w:numPr>
        <w:spacing w:before="156" w:after="156"/>
        <w:rPr>
          <w:rFonts w:ascii="Times New Roman"/>
        </w:rPr>
      </w:pPr>
      <w:bookmarkStart w:id="73" w:name="_Hlk191044486"/>
      <w:r>
        <w:rPr>
          <w:rFonts w:hint="eastAsia" w:ascii="Times New Roman"/>
        </w:rPr>
        <w:t>取样方法</w:t>
      </w:r>
    </w:p>
    <w:p w14:paraId="25535E9D">
      <w:pPr>
        <w:pStyle w:val="50"/>
        <w:numPr>
          <w:ilvl w:val="2"/>
          <w:numId w:val="3"/>
        </w:numPr>
        <w:spacing w:beforeLines="0" w:afterLines="0"/>
        <w:rPr>
          <w:rFonts w:ascii="Times New Roman" w:eastAsia="宋体"/>
        </w:rPr>
      </w:pPr>
      <w:r>
        <w:rPr>
          <w:rFonts w:hint="eastAsia" w:ascii="Times New Roman" w:eastAsia="宋体"/>
        </w:rPr>
        <w:t>管体、焊接接头的拉伸、弯曲、冲击试验用试样的取样位置见图4。</w:t>
      </w:r>
    </w:p>
    <w:p w14:paraId="27AD8192">
      <w:pPr>
        <w:pStyle w:val="50"/>
        <w:numPr>
          <w:ilvl w:val="2"/>
          <w:numId w:val="3"/>
        </w:numPr>
        <w:spacing w:beforeLines="0" w:afterLines="0"/>
        <w:rPr>
          <w:rFonts w:ascii="Times New Roman" w:eastAsia="宋体"/>
        </w:rPr>
      </w:pPr>
      <w:r>
        <w:rPr>
          <w:rFonts w:hint="eastAsia" w:ascii="Times New Roman" w:eastAsia="宋体"/>
        </w:rPr>
        <w:t>管体的拉伸、弯曲试样应在钢管上平行于焊缝截取。拉伸、弯曲试样可使用全壁厚弧形截面试样，也可加工成圆柱状标准拉伸试样。</w:t>
      </w:r>
    </w:p>
    <w:p w14:paraId="10ACD2D2">
      <w:pPr>
        <w:pStyle w:val="50"/>
        <w:numPr>
          <w:ilvl w:val="2"/>
          <w:numId w:val="3"/>
        </w:numPr>
        <w:spacing w:beforeLines="0" w:afterLines="0"/>
        <w:rPr>
          <w:rFonts w:ascii="Times New Roman" w:eastAsia="宋体"/>
        </w:rPr>
      </w:pPr>
      <w:r>
        <w:rPr>
          <w:rFonts w:hint="eastAsia" w:ascii="Times New Roman" w:eastAsia="宋体"/>
        </w:rPr>
        <w:t>焊接接头拉伸、弯曲试样的截取位置与焊缝垂直，焊缝位于试样中心，冷压平后做拉伸、弯曲试验。两面的焊缝余高应去除。</w:t>
      </w:r>
    </w:p>
    <w:p w14:paraId="428ED688">
      <w:pPr>
        <w:pStyle w:val="50"/>
        <w:numPr>
          <w:ilvl w:val="2"/>
          <w:numId w:val="3"/>
        </w:numPr>
        <w:spacing w:beforeLines="0" w:afterLines="0"/>
        <w:rPr>
          <w:rFonts w:ascii="Times New Roman" w:eastAsia="宋体"/>
        </w:rPr>
      </w:pPr>
      <w:r>
        <w:rPr>
          <w:rFonts w:hint="eastAsia" w:ascii="Times New Roman" w:eastAsia="宋体"/>
        </w:rPr>
        <w:t>管体的冲击试样应在钢管上平行于焊缝方向截取，焊接接头冲击试样的截取位置与焊缝垂直。</w:t>
      </w:r>
    </w:p>
    <w:p w14:paraId="4E29FD9E">
      <w:pPr>
        <w:pStyle w:val="50"/>
        <w:numPr>
          <w:ilvl w:val="2"/>
          <w:numId w:val="3"/>
        </w:numPr>
        <w:spacing w:beforeLines="0" w:afterLines="0"/>
        <w:rPr>
          <w:rFonts w:ascii="Times New Roman" w:eastAsia="宋体"/>
        </w:rPr>
      </w:pPr>
      <w:r>
        <w:rPr>
          <w:rFonts w:hint="eastAsia" w:ascii="Times New Roman" w:eastAsia="宋体"/>
        </w:rPr>
        <w:t>压扁试验的试样，应从焊管端部切取长度为50mm~100mm的钢管作为试样，试样两端面切斜应符合表7要求。</w:t>
      </w:r>
    </w:p>
    <w:bookmarkEnd w:id="73"/>
    <w:p w14:paraId="02D91EEC">
      <w:pPr>
        <w:pStyle w:val="45"/>
        <w:numPr>
          <w:ilvl w:val="0"/>
          <w:numId w:val="3"/>
        </w:numPr>
        <w:spacing w:before="312" w:after="312"/>
        <w:rPr>
          <w:rFonts w:ascii="Times New Roman"/>
        </w:rPr>
      </w:pPr>
      <w:r>
        <w:rPr>
          <w:rFonts w:ascii="Times New Roman"/>
        </w:rPr>
        <w:t>检验规则</w:t>
      </w:r>
    </w:p>
    <w:p w14:paraId="5E8405D2">
      <w:pPr>
        <w:pStyle w:val="47"/>
        <w:numPr>
          <w:ilvl w:val="1"/>
          <w:numId w:val="3"/>
        </w:numPr>
        <w:spacing w:before="156" w:after="156"/>
        <w:rPr>
          <w:rFonts w:ascii="Times New Roman"/>
        </w:rPr>
      </w:pPr>
      <w:bookmarkStart w:id="74" w:name="_Hlk191044970"/>
      <w:r>
        <w:rPr>
          <w:rFonts w:hint="eastAsia" w:ascii="Times New Roman"/>
        </w:rPr>
        <w:t>检查和验收</w:t>
      </w:r>
    </w:p>
    <w:bookmarkEnd w:id="74"/>
    <w:p w14:paraId="09E02B14">
      <w:pPr>
        <w:pStyle w:val="22"/>
      </w:pPr>
      <w:r>
        <w:rPr>
          <w:rFonts w:hint="eastAsia"/>
        </w:rPr>
        <w:t>钢管的检查和验收由供方质量检验部门进行。</w:t>
      </w:r>
    </w:p>
    <w:p w14:paraId="77E143F4">
      <w:pPr>
        <w:pStyle w:val="47"/>
        <w:numPr>
          <w:ilvl w:val="1"/>
          <w:numId w:val="3"/>
        </w:numPr>
        <w:spacing w:before="156" w:after="156"/>
        <w:rPr>
          <w:rFonts w:ascii="Times New Roman"/>
        </w:rPr>
      </w:pPr>
      <w:bookmarkStart w:id="75" w:name="_Hlk191044977"/>
      <w:r>
        <w:rPr>
          <w:rFonts w:hint="eastAsia" w:ascii="Times New Roman"/>
        </w:rPr>
        <w:t>组批规则</w:t>
      </w:r>
    </w:p>
    <w:bookmarkEnd w:id="75"/>
    <w:p w14:paraId="17F8CF7E">
      <w:pPr>
        <w:pStyle w:val="22"/>
        <w:rPr>
          <w:color w:val="000000" w:themeColor="text1"/>
          <w14:textFill>
            <w14:solidFill>
              <w14:schemeClr w14:val="tx1"/>
            </w14:solidFill>
          </w14:textFill>
        </w:rPr>
      </w:pPr>
      <w:bookmarkStart w:id="76" w:name="_Hlk75613940"/>
      <w:bookmarkStart w:id="77" w:name="_Hlk183955635"/>
      <w:bookmarkStart w:id="78" w:name="_Hlk105487460"/>
      <w:r>
        <w:rPr>
          <w:rFonts w:hint="eastAsia"/>
          <w:color w:val="000000" w:themeColor="text1"/>
          <w14:textFill>
            <w14:solidFill>
              <w14:schemeClr w14:val="tx1"/>
            </w14:solidFill>
          </w14:textFill>
        </w:rPr>
        <w:t>钢管应成批验收，每批钢管应由同一炉号、同一牌号、同一规格、同一精度等级、同一焊接工艺、同一交货状态、同一热处理制度和同一镀锌层重量级别得钢管组成，</w:t>
      </w:r>
      <w:bookmarkEnd w:id="76"/>
      <w:r>
        <w:rPr>
          <w:rFonts w:hint="eastAsia"/>
          <w:color w:val="000000" w:themeColor="text1"/>
          <w14:textFill>
            <w14:solidFill>
              <w14:schemeClr w14:val="tx1"/>
            </w14:solidFill>
          </w14:textFill>
        </w:rPr>
        <w:t>每批钢管的数量应不超过如下规定：</w:t>
      </w:r>
    </w:p>
    <w:p w14:paraId="6999EB2A">
      <w:pPr>
        <w:pStyle w:val="102"/>
        <w:numPr>
          <w:ilvl w:val="0"/>
          <w:numId w:val="9"/>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外径≤219.1mm，每个班次生产的钢管；</w:t>
      </w:r>
    </w:p>
    <w:p w14:paraId="50DF8BBD">
      <w:pPr>
        <w:pStyle w:val="102"/>
        <w:numPr>
          <w:ilvl w:val="0"/>
          <w:numId w:val="9"/>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外径＞219.1mm但≤406.4 mm，200根；</w:t>
      </w:r>
    </w:p>
    <w:p w14:paraId="246AE489">
      <w:pPr>
        <w:pStyle w:val="102"/>
        <w:numPr>
          <w:ilvl w:val="0"/>
          <w:numId w:val="9"/>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外径＞406.4 mm，100根</w:t>
      </w:r>
      <w:r>
        <w:rPr>
          <w:rFonts w:hint="eastAsia"/>
          <w:color w:val="000000" w:themeColor="text1"/>
          <w14:textFill>
            <w14:solidFill>
              <w14:schemeClr w14:val="tx1"/>
            </w14:solidFill>
          </w14:textFill>
        </w:rPr>
        <w:t>。</w:t>
      </w:r>
    </w:p>
    <w:bookmarkEnd w:id="77"/>
    <w:p w14:paraId="1DC7C419">
      <w:pPr>
        <w:pStyle w:val="47"/>
        <w:numPr>
          <w:ilvl w:val="1"/>
          <w:numId w:val="3"/>
        </w:numPr>
        <w:spacing w:before="156" w:after="156"/>
        <w:rPr>
          <w:rFonts w:ascii="Times New Roman"/>
        </w:rPr>
      </w:pPr>
      <w:r>
        <w:rPr>
          <w:rFonts w:hint="eastAsia" w:ascii="Times New Roman"/>
        </w:rPr>
        <w:t>取样数量</w:t>
      </w:r>
    </w:p>
    <w:p w14:paraId="1E8860B9">
      <w:pPr>
        <w:pStyle w:val="22"/>
        <w:rPr>
          <w:rFonts w:ascii="Times New Roman"/>
        </w:rPr>
      </w:pPr>
      <w:bookmarkStart w:id="79" w:name="_Hlk183955646"/>
      <w:r>
        <w:rPr>
          <w:rFonts w:ascii="Times New Roman"/>
        </w:rPr>
        <w:t>钢管的取样数量应符合表7的规定</w:t>
      </w:r>
    </w:p>
    <w:bookmarkEnd w:id="78"/>
    <w:bookmarkEnd w:id="79"/>
    <w:p w14:paraId="3F3CE552">
      <w:pPr>
        <w:pStyle w:val="47"/>
        <w:numPr>
          <w:ilvl w:val="1"/>
          <w:numId w:val="3"/>
        </w:numPr>
        <w:spacing w:before="156" w:after="156"/>
        <w:rPr>
          <w:rFonts w:ascii="Times New Roman"/>
        </w:rPr>
      </w:pPr>
      <w:bookmarkStart w:id="80" w:name="_Hlk191045002"/>
      <w:r>
        <w:rPr>
          <w:rFonts w:ascii="Times New Roman"/>
        </w:rPr>
        <w:t>复验与判定</w:t>
      </w:r>
    </w:p>
    <w:bookmarkEnd w:id="80"/>
    <w:p w14:paraId="67397DF4">
      <w:pPr>
        <w:pStyle w:val="50"/>
        <w:numPr>
          <w:ilvl w:val="2"/>
          <w:numId w:val="3"/>
        </w:numPr>
        <w:spacing w:beforeLines="0" w:afterLines="0"/>
        <w:rPr>
          <w:rFonts w:ascii="Times New Roman" w:eastAsia="宋体"/>
        </w:rPr>
      </w:pPr>
      <w:bookmarkStart w:id="81" w:name="_Hlk75614009"/>
      <w:bookmarkStart w:id="82" w:name="_Hlk105487470"/>
      <w:r>
        <w:rPr>
          <w:rFonts w:hint="eastAsia" w:ascii="Times New Roman" w:eastAsia="宋体"/>
        </w:rPr>
        <w:t>钢管尺寸、表面质量、无损检测不合格时，该根钢管不合格。</w:t>
      </w:r>
    </w:p>
    <w:p w14:paraId="46BB383C">
      <w:pPr>
        <w:pStyle w:val="50"/>
        <w:numPr>
          <w:ilvl w:val="2"/>
          <w:numId w:val="3"/>
        </w:numPr>
        <w:spacing w:beforeLines="0" w:afterLines="0"/>
        <w:rPr>
          <w:rFonts w:ascii="Times New Roman" w:eastAsia="宋体"/>
        </w:rPr>
      </w:pPr>
      <w:r>
        <w:rPr>
          <w:rFonts w:hint="eastAsia" w:ascii="Times New Roman" w:eastAsia="宋体"/>
        </w:rPr>
        <w:t>钢管的化学成分复验确认不合格时，该炉号钢板或钢带制成的钢管均为不合格。</w:t>
      </w:r>
    </w:p>
    <w:p w14:paraId="0D04636A">
      <w:pPr>
        <w:pStyle w:val="50"/>
        <w:numPr>
          <w:ilvl w:val="2"/>
          <w:numId w:val="3"/>
        </w:numPr>
        <w:spacing w:beforeLines="0" w:afterLines="0"/>
        <w:rPr>
          <w:rFonts w:ascii="Times New Roman" w:eastAsia="宋体"/>
        </w:rPr>
      </w:pPr>
      <w:r>
        <w:rPr>
          <w:rFonts w:hint="eastAsia" w:ascii="Times New Roman" w:eastAsia="宋体"/>
        </w:rPr>
        <w:t>钢管的拉伸试验，或弯曲试验、压扁试验不符合规定时，应将该支钢管判废并进行复验。复验时，应从该批钢管任取2支，分别取1组试样进行相应项目的检验，若两组试样均符合规定，则该批钢管合格;若两组试样试验结果有一个不符合规定，则该批钢管不合格。</w:t>
      </w:r>
    </w:p>
    <w:p w14:paraId="4A825685">
      <w:pPr>
        <w:pStyle w:val="50"/>
        <w:numPr>
          <w:ilvl w:val="2"/>
          <w:numId w:val="3"/>
        </w:numPr>
        <w:spacing w:beforeLines="0" w:afterLines="0"/>
        <w:rPr>
          <w:rFonts w:ascii="Times New Roman" w:eastAsia="宋体"/>
        </w:rPr>
      </w:pPr>
      <w:r>
        <w:rPr>
          <w:rFonts w:hint="eastAsia" w:ascii="Times New Roman" w:eastAsia="宋体"/>
        </w:rPr>
        <w:t>钢管的夏比V型缺口冲击试验结果不符合规定时，在同一取样产品上再取一组试样进行复验，前后两组试样的平均值不得低于规定值，允许其中两个试样低于规定值，但低于规定值的 70%的试样只允许一个。若复验结果仍不合格，则该批钢管为不合格品。</w:t>
      </w:r>
    </w:p>
    <w:bookmarkEnd w:id="81"/>
    <w:bookmarkEnd w:id="82"/>
    <w:p w14:paraId="1B38B387">
      <w:pPr>
        <w:pStyle w:val="47"/>
        <w:numPr>
          <w:ilvl w:val="1"/>
          <w:numId w:val="3"/>
        </w:numPr>
        <w:spacing w:before="156" w:after="156"/>
        <w:rPr>
          <w:rFonts w:ascii="Times New Roman"/>
        </w:rPr>
      </w:pPr>
      <w:r>
        <w:rPr>
          <w:rFonts w:hint="eastAsia" w:ascii="Times New Roman"/>
        </w:rPr>
        <w:t>数值修约</w:t>
      </w:r>
    </w:p>
    <w:p w14:paraId="694BF61E">
      <w:pPr>
        <w:pStyle w:val="22"/>
        <w:rPr>
          <w:rFonts w:ascii="Times New Roman"/>
        </w:rPr>
      </w:pPr>
      <w:r>
        <w:rPr>
          <w:rFonts w:ascii="Times New Roman"/>
        </w:rPr>
        <w:t>数值判定采用修约值比较法进行修约，修约规则应符合GB/T 8170的规定。</w:t>
      </w:r>
    </w:p>
    <w:p w14:paraId="222DBFF5">
      <w:pPr>
        <w:pStyle w:val="45"/>
        <w:numPr>
          <w:ilvl w:val="0"/>
          <w:numId w:val="3"/>
        </w:numPr>
        <w:spacing w:before="312" w:after="312"/>
        <w:rPr>
          <w:rFonts w:ascii="Times New Roman"/>
        </w:rPr>
      </w:pPr>
      <w:r>
        <w:rPr>
          <w:rFonts w:hint="eastAsia" w:ascii="Times New Roman"/>
        </w:rPr>
        <w:t>包装、标志及质量说明书</w:t>
      </w:r>
    </w:p>
    <w:p w14:paraId="12580F29">
      <w:pPr>
        <w:pStyle w:val="47"/>
        <w:numPr>
          <w:ilvl w:val="1"/>
          <w:numId w:val="3"/>
        </w:numPr>
        <w:spacing w:before="156" w:after="156"/>
        <w:rPr>
          <w:rFonts w:ascii="Times New Roman"/>
        </w:rPr>
      </w:pPr>
      <w:r>
        <w:rPr>
          <w:rFonts w:hint="eastAsia" w:ascii="Times New Roman"/>
        </w:rPr>
        <w:t>标志</w:t>
      </w:r>
    </w:p>
    <w:p w14:paraId="087460A8">
      <w:pPr>
        <w:pStyle w:val="50"/>
        <w:numPr>
          <w:ilvl w:val="2"/>
          <w:numId w:val="3"/>
        </w:numPr>
        <w:spacing w:beforeLines="0" w:afterLines="0"/>
        <w:rPr>
          <w:rFonts w:ascii="Times New Roman" w:eastAsia="宋体"/>
        </w:rPr>
      </w:pPr>
      <w:bookmarkStart w:id="83" w:name="_Hlk183955696"/>
      <w:r>
        <w:rPr>
          <w:rFonts w:hint="eastAsia" w:ascii="Times New Roman" w:eastAsia="宋体"/>
        </w:rPr>
        <w:t>钢管的标志应至少包括以下内容：制造厂名称或商标、产品标准编号、钢的牌号、产品规格、分类及代号及可追踪性识别号码。</w:t>
      </w:r>
    </w:p>
    <w:p w14:paraId="0B025E94">
      <w:pPr>
        <w:pStyle w:val="50"/>
        <w:numPr>
          <w:ilvl w:val="2"/>
          <w:numId w:val="3"/>
        </w:numPr>
        <w:spacing w:beforeLines="0" w:afterLines="0"/>
        <w:rPr>
          <w:rFonts w:ascii="Times New Roman" w:eastAsia="宋体"/>
        </w:rPr>
      </w:pPr>
      <w:r>
        <w:rPr>
          <w:rFonts w:hint="eastAsia" w:ascii="Times New Roman" w:eastAsia="宋体"/>
        </w:rPr>
        <w:t>标志的其余要求应符合GB/T 2102的要求</w:t>
      </w:r>
    </w:p>
    <w:bookmarkEnd w:id="83"/>
    <w:p w14:paraId="48A61CD5">
      <w:pPr>
        <w:pStyle w:val="47"/>
        <w:numPr>
          <w:ilvl w:val="1"/>
          <w:numId w:val="3"/>
        </w:numPr>
        <w:spacing w:before="156" w:after="156"/>
        <w:rPr>
          <w:rFonts w:ascii="Times New Roman"/>
        </w:rPr>
      </w:pPr>
      <w:r>
        <w:rPr>
          <w:rFonts w:hint="eastAsia" w:ascii="Times New Roman"/>
        </w:rPr>
        <w:t>钢管包装及质量证明书</w:t>
      </w:r>
    </w:p>
    <w:p w14:paraId="5029D26D">
      <w:pPr>
        <w:pStyle w:val="22"/>
      </w:pPr>
      <w:bookmarkStart w:id="84" w:name="_Hlk183955720"/>
      <w:r>
        <w:rPr>
          <w:rFonts w:hint="eastAsia"/>
        </w:rPr>
        <w:t>钢管的包装及质量证明书应符合</w:t>
      </w:r>
      <w:r>
        <w:rPr>
          <w:rFonts w:ascii="Times New Roman"/>
        </w:rPr>
        <w:t>GB/T 2</w:t>
      </w:r>
      <w:r>
        <w:rPr>
          <w:rFonts w:hint="eastAsia" w:ascii="Times New Roman"/>
        </w:rPr>
        <w:t>102</w:t>
      </w:r>
      <w:r>
        <w:rPr>
          <w:rFonts w:hint="eastAsia"/>
        </w:rPr>
        <w:t>的规定。</w:t>
      </w:r>
    </w:p>
    <w:bookmarkEnd w:id="84"/>
    <w:p w14:paraId="09940477">
      <w:pPr>
        <w:pStyle w:val="22"/>
      </w:pPr>
    </w:p>
    <w:p w14:paraId="3C8DC37A">
      <w:pPr>
        <w:widowControl/>
        <w:jc w:val="left"/>
        <w:rPr>
          <w:rFonts w:ascii="宋体"/>
          <w:kern w:val="0"/>
          <w:szCs w:val="20"/>
        </w:rPr>
      </w:pPr>
      <w:r>
        <w:drawing>
          <wp:anchor distT="0" distB="0" distL="114300" distR="114300" simplePos="0" relativeHeight="251660288" behindDoc="0" locked="0" layoutInCell="1" allowOverlap="1">
            <wp:simplePos x="0" y="0"/>
            <wp:positionH relativeFrom="column">
              <wp:posOffset>2059940</wp:posOffset>
            </wp:positionH>
            <wp:positionV relativeFrom="paragraph">
              <wp:posOffset>283845</wp:posOffset>
            </wp:positionV>
            <wp:extent cx="2085975" cy="190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85975" cy="19050"/>
                    </a:xfrm>
                    <a:prstGeom prst="rect">
                      <a:avLst/>
                    </a:prstGeom>
                    <a:noFill/>
                  </pic:spPr>
                </pic:pic>
              </a:graphicData>
            </a:graphic>
          </wp:anchor>
        </w:drawing>
      </w: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D582F">
    <w:pPr>
      <w:pStyle w:val="92"/>
    </w:pPr>
    <w:r>
      <w:fldChar w:fldCharType="begin"/>
    </w:r>
    <w:r>
      <w:instrText xml:space="preserve"> PAGE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14:paraId="1CADE5C6">
        <w:pPr>
          <w:pStyle w:val="16"/>
          <w:jc w:val="left"/>
        </w:pPr>
        <w:r>
          <w:fldChar w:fldCharType="begin"/>
        </w:r>
        <w:r>
          <w:instrText xml:space="preserve">PAGE   \* MERGEFORMAT</w:instrText>
        </w:r>
        <w:r>
          <w:fldChar w:fldCharType="separate"/>
        </w:r>
        <w:r>
          <w:rPr>
            <w:lang w:val="zh-CN"/>
          </w:rPr>
          <w:t>2</w:t>
        </w:r>
        <w:r>
          <w:fldChar w:fldCharType="end"/>
        </w:r>
      </w:p>
    </w:sdtContent>
  </w:sdt>
  <w:p w14:paraId="5654AC0E">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A9B6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8AE79">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9BD08">
    <w:pPr>
      <w:pStyle w:val="17"/>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-XXXX</w:t>
    </w:r>
  </w:p>
  <w:p w14:paraId="50B5AE40">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BB68">
    <w:pPr>
      <w:pStyle w:val="17"/>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14:paraId="02696285">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7AC4">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F5A9E"/>
    <w:multiLevelType w:val="multilevel"/>
    <w:tmpl w:val="068F5A9E"/>
    <w:lvl w:ilvl="0" w:tentative="0">
      <w:start w:val="1"/>
      <w:numFmt w:val="decimal"/>
      <w:lvlText w:val="表%1"/>
      <w:lvlJc w:val="left"/>
      <w:pPr>
        <w:ind w:left="860" w:hanging="440"/>
      </w:pPr>
      <w:rPr>
        <w:rFonts w:hint="eastAsia"/>
        <w:lang w:val="en-U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14943371"/>
    <w:multiLevelType w:val="multilevel"/>
    <w:tmpl w:val="14943371"/>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2">
    <w:nsid w:val="16B13603"/>
    <w:multiLevelType w:val="multilevel"/>
    <w:tmpl w:val="16B13603"/>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3">
    <w:nsid w:val="1A044556"/>
    <w:multiLevelType w:val="multilevel"/>
    <w:tmpl w:val="1A044556"/>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color w:val="000000" w:themeColor="text1"/>
        <w:sz w:val="21"/>
        <w14:textFill>
          <w14:solidFill>
            <w14:schemeClr w14:val="tx1"/>
          </w14:solidFill>
        </w14:textFill>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85453CA"/>
    <w:multiLevelType w:val="multilevel"/>
    <w:tmpl w:val="285453CA"/>
    <w:lvl w:ilvl="0" w:tentative="0">
      <w:start w:val="1"/>
      <w:numFmt w:val="lowerLetter"/>
      <w:lvlText w:val="%1）"/>
      <w:lvlJc w:val="left"/>
      <w:pPr>
        <w:ind w:left="74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2203F73"/>
    <w:multiLevelType w:val="multilevel"/>
    <w:tmpl w:val="32203F73"/>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7">
    <w:nsid w:val="646260FA"/>
    <w:multiLevelType w:val="multilevel"/>
    <w:tmpl w:val="646260FA"/>
    <w:lvl w:ilvl="0" w:tentative="0">
      <w:start w:val="1"/>
      <w:numFmt w:val="decimal"/>
      <w:pStyle w:val="77"/>
      <w:suff w:val="nothing"/>
      <w:lvlText w:val="表%1　"/>
      <w:lvlJc w:val="left"/>
      <w:pPr>
        <w:ind w:left="2693"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70374DF6"/>
    <w:multiLevelType w:val="multilevel"/>
    <w:tmpl w:val="70374DF6"/>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num w:numId="1">
    <w:abstractNumId w:val="5"/>
  </w:num>
  <w:num w:numId="2">
    <w:abstractNumId w:val="7"/>
  </w:num>
  <w:num w:numId="3">
    <w:abstractNumId w:val="4"/>
  </w:num>
  <w:num w:numId="4">
    <w:abstractNumId w:val="1"/>
  </w:num>
  <w:num w:numId="5">
    <w:abstractNumId w:val="8"/>
  </w:num>
  <w:num w:numId="6">
    <w:abstractNumId w:val="0"/>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wMmViNzY1OGE4M2JhODBiNzE0MGFiYWQ4ZTMyNmMifQ=="/>
  </w:docVars>
  <w:rsids>
    <w:rsidRoot w:val="00035925"/>
    <w:rsid w:val="00000244"/>
    <w:rsid w:val="00000FCF"/>
    <w:rsid w:val="0000185F"/>
    <w:rsid w:val="0000586F"/>
    <w:rsid w:val="00005D79"/>
    <w:rsid w:val="00007340"/>
    <w:rsid w:val="00011BC7"/>
    <w:rsid w:val="00013D86"/>
    <w:rsid w:val="00013E02"/>
    <w:rsid w:val="00015914"/>
    <w:rsid w:val="0001797F"/>
    <w:rsid w:val="00017E7B"/>
    <w:rsid w:val="00020414"/>
    <w:rsid w:val="0002143C"/>
    <w:rsid w:val="000216D0"/>
    <w:rsid w:val="00022016"/>
    <w:rsid w:val="000221D3"/>
    <w:rsid w:val="000234E1"/>
    <w:rsid w:val="000251C5"/>
    <w:rsid w:val="00025A65"/>
    <w:rsid w:val="000267B2"/>
    <w:rsid w:val="00026C31"/>
    <w:rsid w:val="00027280"/>
    <w:rsid w:val="000306E3"/>
    <w:rsid w:val="00031CE6"/>
    <w:rsid w:val="000320A7"/>
    <w:rsid w:val="00035925"/>
    <w:rsid w:val="000366F4"/>
    <w:rsid w:val="00037DAC"/>
    <w:rsid w:val="00041127"/>
    <w:rsid w:val="000411BE"/>
    <w:rsid w:val="00042DAD"/>
    <w:rsid w:val="000452CE"/>
    <w:rsid w:val="00045369"/>
    <w:rsid w:val="00045C9B"/>
    <w:rsid w:val="000466F7"/>
    <w:rsid w:val="00050A06"/>
    <w:rsid w:val="0005140E"/>
    <w:rsid w:val="000547F2"/>
    <w:rsid w:val="00056BA2"/>
    <w:rsid w:val="0006062B"/>
    <w:rsid w:val="0006070D"/>
    <w:rsid w:val="00062FF1"/>
    <w:rsid w:val="00063789"/>
    <w:rsid w:val="000639E9"/>
    <w:rsid w:val="00063E76"/>
    <w:rsid w:val="00066CB4"/>
    <w:rsid w:val="00067948"/>
    <w:rsid w:val="00067CDF"/>
    <w:rsid w:val="00067F2B"/>
    <w:rsid w:val="000732C9"/>
    <w:rsid w:val="000732D9"/>
    <w:rsid w:val="0007345F"/>
    <w:rsid w:val="00074FBE"/>
    <w:rsid w:val="00076EFC"/>
    <w:rsid w:val="000772BB"/>
    <w:rsid w:val="00077E45"/>
    <w:rsid w:val="000818DD"/>
    <w:rsid w:val="00083A09"/>
    <w:rsid w:val="0009005E"/>
    <w:rsid w:val="00090E08"/>
    <w:rsid w:val="00091622"/>
    <w:rsid w:val="0009283B"/>
    <w:rsid w:val="00092857"/>
    <w:rsid w:val="00096F59"/>
    <w:rsid w:val="000A1F44"/>
    <w:rsid w:val="000A20A9"/>
    <w:rsid w:val="000A48B1"/>
    <w:rsid w:val="000A4E20"/>
    <w:rsid w:val="000A5495"/>
    <w:rsid w:val="000A75DD"/>
    <w:rsid w:val="000B0E9E"/>
    <w:rsid w:val="000B3143"/>
    <w:rsid w:val="000B65B3"/>
    <w:rsid w:val="000C03EB"/>
    <w:rsid w:val="000C2544"/>
    <w:rsid w:val="000C30C7"/>
    <w:rsid w:val="000C45E8"/>
    <w:rsid w:val="000C6B05"/>
    <w:rsid w:val="000C6DD6"/>
    <w:rsid w:val="000C73D4"/>
    <w:rsid w:val="000D03F1"/>
    <w:rsid w:val="000D114F"/>
    <w:rsid w:val="000D1625"/>
    <w:rsid w:val="000D200D"/>
    <w:rsid w:val="000D3D4C"/>
    <w:rsid w:val="000D4406"/>
    <w:rsid w:val="000D4505"/>
    <w:rsid w:val="000D4968"/>
    <w:rsid w:val="000D4F51"/>
    <w:rsid w:val="000D6004"/>
    <w:rsid w:val="000D718B"/>
    <w:rsid w:val="000D7C71"/>
    <w:rsid w:val="000E0C16"/>
    <w:rsid w:val="000E0C46"/>
    <w:rsid w:val="000E3577"/>
    <w:rsid w:val="000E3EC7"/>
    <w:rsid w:val="000E7909"/>
    <w:rsid w:val="000F030C"/>
    <w:rsid w:val="000F04B4"/>
    <w:rsid w:val="000F129C"/>
    <w:rsid w:val="000F1923"/>
    <w:rsid w:val="000F64C2"/>
    <w:rsid w:val="00101311"/>
    <w:rsid w:val="00102D72"/>
    <w:rsid w:val="00102EBF"/>
    <w:rsid w:val="00102F97"/>
    <w:rsid w:val="001056DE"/>
    <w:rsid w:val="00106C77"/>
    <w:rsid w:val="00111863"/>
    <w:rsid w:val="001124C0"/>
    <w:rsid w:val="00113D86"/>
    <w:rsid w:val="001143B2"/>
    <w:rsid w:val="0011629C"/>
    <w:rsid w:val="00116C98"/>
    <w:rsid w:val="001223DD"/>
    <w:rsid w:val="001241FE"/>
    <w:rsid w:val="001278EF"/>
    <w:rsid w:val="0012795A"/>
    <w:rsid w:val="0013175F"/>
    <w:rsid w:val="00133C45"/>
    <w:rsid w:val="00134999"/>
    <w:rsid w:val="00136AE3"/>
    <w:rsid w:val="001511FE"/>
    <w:rsid w:val="001512B4"/>
    <w:rsid w:val="00152179"/>
    <w:rsid w:val="00153183"/>
    <w:rsid w:val="0015429D"/>
    <w:rsid w:val="00154746"/>
    <w:rsid w:val="00154964"/>
    <w:rsid w:val="00154A8E"/>
    <w:rsid w:val="00154C54"/>
    <w:rsid w:val="00155BA9"/>
    <w:rsid w:val="00156B92"/>
    <w:rsid w:val="00156D41"/>
    <w:rsid w:val="00160652"/>
    <w:rsid w:val="00161972"/>
    <w:rsid w:val="001620A5"/>
    <w:rsid w:val="0016310D"/>
    <w:rsid w:val="00164E53"/>
    <w:rsid w:val="00165397"/>
    <w:rsid w:val="001665AC"/>
    <w:rsid w:val="0016699D"/>
    <w:rsid w:val="001701E9"/>
    <w:rsid w:val="00170D62"/>
    <w:rsid w:val="001712FA"/>
    <w:rsid w:val="0017259F"/>
    <w:rsid w:val="001726C8"/>
    <w:rsid w:val="00172BDE"/>
    <w:rsid w:val="00175159"/>
    <w:rsid w:val="00176208"/>
    <w:rsid w:val="00176FED"/>
    <w:rsid w:val="0017711B"/>
    <w:rsid w:val="001801C6"/>
    <w:rsid w:val="0018211B"/>
    <w:rsid w:val="001840D3"/>
    <w:rsid w:val="00187A9A"/>
    <w:rsid w:val="001900F8"/>
    <w:rsid w:val="0019112B"/>
    <w:rsid w:val="00191258"/>
    <w:rsid w:val="00192680"/>
    <w:rsid w:val="00193037"/>
    <w:rsid w:val="001934EB"/>
    <w:rsid w:val="00193A2C"/>
    <w:rsid w:val="00194E2E"/>
    <w:rsid w:val="00194FE5"/>
    <w:rsid w:val="00197D88"/>
    <w:rsid w:val="001A01D4"/>
    <w:rsid w:val="001A0C3B"/>
    <w:rsid w:val="001A288E"/>
    <w:rsid w:val="001A32EE"/>
    <w:rsid w:val="001A4764"/>
    <w:rsid w:val="001A7888"/>
    <w:rsid w:val="001B168D"/>
    <w:rsid w:val="001B1B80"/>
    <w:rsid w:val="001B254C"/>
    <w:rsid w:val="001B5E5F"/>
    <w:rsid w:val="001B6DC2"/>
    <w:rsid w:val="001C149C"/>
    <w:rsid w:val="001C21AC"/>
    <w:rsid w:val="001C47BA"/>
    <w:rsid w:val="001C59EA"/>
    <w:rsid w:val="001D02BD"/>
    <w:rsid w:val="001D181B"/>
    <w:rsid w:val="001D1E76"/>
    <w:rsid w:val="001D406C"/>
    <w:rsid w:val="001D41EE"/>
    <w:rsid w:val="001D4EC2"/>
    <w:rsid w:val="001D669E"/>
    <w:rsid w:val="001E0380"/>
    <w:rsid w:val="001E13B1"/>
    <w:rsid w:val="001E3F1A"/>
    <w:rsid w:val="001E5394"/>
    <w:rsid w:val="001E55B7"/>
    <w:rsid w:val="001E69DB"/>
    <w:rsid w:val="001E6E54"/>
    <w:rsid w:val="001E7009"/>
    <w:rsid w:val="001F3A19"/>
    <w:rsid w:val="002002E4"/>
    <w:rsid w:val="00204938"/>
    <w:rsid w:val="00206837"/>
    <w:rsid w:val="00211CC9"/>
    <w:rsid w:val="0021209D"/>
    <w:rsid w:val="0022046A"/>
    <w:rsid w:val="002217F6"/>
    <w:rsid w:val="0022447A"/>
    <w:rsid w:val="00225AD0"/>
    <w:rsid w:val="0022778C"/>
    <w:rsid w:val="00231064"/>
    <w:rsid w:val="00231142"/>
    <w:rsid w:val="00231970"/>
    <w:rsid w:val="00231E61"/>
    <w:rsid w:val="002341DF"/>
    <w:rsid w:val="00234467"/>
    <w:rsid w:val="0023489A"/>
    <w:rsid w:val="00235DA3"/>
    <w:rsid w:val="00237D8D"/>
    <w:rsid w:val="00240622"/>
    <w:rsid w:val="00240FE6"/>
    <w:rsid w:val="00241BEC"/>
    <w:rsid w:val="00241DA2"/>
    <w:rsid w:val="0024235E"/>
    <w:rsid w:val="00245B95"/>
    <w:rsid w:val="00246409"/>
    <w:rsid w:val="00247FEE"/>
    <w:rsid w:val="00250E7D"/>
    <w:rsid w:val="00252AA7"/>
    <w:rsid w:val="002556B8"/>
    <w:rsid w:val="002565D5"/>
    <w:rsid w:val="00256E0B"/>
    <w:rsid w:val="00257415"/>
    <w:rsid w:val="00257C39"/>
    <w:rsid w:val="002622C0"/>
    <w:rsid w:val="00262ACE"/>
    <w:rsid w:val="00262C98"/>
    <w:rsid w:val="00262D2E"/>
    <w:rsid w:val="0026357A"/>
    <w:rsid w:val="0026442E"/>
    <w:rsid w:val="00264819"/>
    <w:rsid w:val="00264F9B"/>
    <w:rsid w:val="00272007"/>
    <w:rsid w:val="00272E37"/>
    <w:rsid w:val="00273BCC"/>
    <w:rsid w:val="002759BB"/>
    <w:rsid w:val="00276B08"/>
    <w:rsid w:val="002778AE"/>
    <w:rsid w:val="0028022A"/>
    <w:rsid w:val="00280E20"/>
    <w:rsid w:val="00281715"/>
    <w:rsid w:val="00281919"/>
    <w:rsid w:val="00281CBF"/>
    <w:rsid w:val="002824CB"/>
    <w:rsid w:val="0028269A"/>
    <w:rsid w:val="00282BC0"/>
    <w:rsid w:val="00283590"/>
    <w:rsid w:val="00284C66"/>
    <w:rsid w:val="00286973"/>
    <w:rsid w:val="002904AF"/>
    <w:rsid w:val="00290B2C"/>
    <w:rsid w:val="002937A0"/>
    <w:rsid w:val="00294E70"/>
    <w:rsid w:val="00296FB8"/>
    <w:rsid w:val="00297A8C"/>
    <w:rsid w:val="002A06B3"/>
    <w:rsid w:val="002A0BD4"/>
    <w:rsid w:val="002A14F4"/>
    <w:rsid w:val="002A1924"/>
    <w:rsid w:val="002A33AD"/>
    <w:rsid w:val="002A7420"/>
    <w:rsid w:val="002B0F12"/>
    <w:rsid w:val="002B1308"/>
    <w:rsid w:val="002B15D5"/>
    <w:rsid w:val="002B405E"/>
    <w:rsid w:val="002B4449"/>
    <w:rsid w:val="002B4554"/>
    <w:rsid w:val="002B4D5F"/>
    <w:rsid w:val="002B4FE3"/>
    <w:rsid w:val="002B787C"/>
    <w:rsid w:val="002C1D92"/>
    <w:rsid w:val="002C2696"/>
    <w:rsid w:val="002C3DE5"/>
    <w:rsid w:val="002C72D8"/>
    <w:rsid w:val="002D11FA"/>
    <w:rsid w:val="002D51FC"/>
    <w:rsid w:val="002D545A"/>
    <w:rsid w:val="002D6312"/>
    <w:rsid w:val="002D7E01"/>
    <w:rsid w:val="002E0DDF"/>
    <w:rsid w:val="002E0E67"/>
    <w:rsid w:val="002E2906"/>
    <w:rsid w:val="002E2C23"/>
    <w:rsid w:val="002E2FC2"/>
    <w:rsid w:val="002E5635"/>
    <w:rsid w:val="002E60AA"/>
    <w:rsid w:val="002E63F4"/>
    <w:rsid w:val="002E64C3"/>
    <w:rsid w:val="002E6A2C"/>
    <w:rsid w:val="002E7EFA"/>
    <w:rsid w:val="002F1D8C"/>
    <w:rsid w:val="002F21DA"/>
    <w:rsid w:val="002F31F1"/>
    <w:rsid w:val="002F3F0D"/>
    <w:rsid w:val="002F42E2"/>
    <w:rsid w:val="002F4512"/>
    <w:rsid w:val="002F57F3"/>
    <w:rsid w:val="00301F39"/>
    <w:rsid w:val="00303FD9"/>
    <w:rsid w:val="00304273"/>
    <w:rsid w:val="00305812"/>
    <w:rsid w:val="00305CAD"/>
    <w:rsid w:val="003073E0"/>
    <w:rsid w:val="00307521"/>
    <w:rsid w:val="003077D8"/>
    <w:rsid w:val="00310478"/>
    <w:rsid w:val="0031584E"/>
    <w:rsid w:val="00315872"/>
    <w:rsid w:val="00317A37"/>
    <w:rsid w:val="0032071A"/>
    <w:rsid w:val="003210B3"/>
    <w:rsid w:val="00321A46"/>
    <w:rsid w:val="00324122"/>
    <w:rsid w:val="00324D18"/>
    <w:rsid w:val="0032567B"/>
    <w:rsid w:val="00325926"/>
    <w:rsid w:val="00326E6A"/>
    <w:rsid w:val="00327A8A"/>
    <w:rsid w:val="00331D0A"/>
    <w:rsid w:val="00333EE9"/>
    <w:rsid w:val="003363AC"/>
    <w:rsid w:val="00336610"/>
    <w:rsid w:val="00337278"/>
    <w:rsid w:val="0034185D"/>
    <w:rsid w:val="00343F73"/>
    <w:rsid w:val="00345060"/>
    <w:rsid w:val="00350BC9"/>
    <w:rsid w:val="00352855"/>
    <w:rsid w:val="00352DA2"/>
    <w:rsid w:val="0035323B"/>
    <w:rsid w:val="00354E41"/>
    <w:rsid w:val="00356876"/>
    <w:rsid w:val="00356E18"/>
    <w:rsid w:val="003609D2"/>
    <w:rsid w:val="00363F22"/>
    <w:rsid w:val="003650D5"/>
    <w:rsid w:val="003659A4"/>
    <w:rsid w:val="00367284"/>
    <w:rsid w:val="003710C9"/>
    <w:rsid w:val="003732A9"/>
    <w:rsid w:val="0037473D"/>
    <w:rsid w:val="00374772"/>
    <w:rsid w:val="00375564"/>
    <w:rsid w:val="003755C8"/>
    <w:rsid w:val="00375F48"/>
    <w:rsid w:val="00376199"/>
    <w:rsid w:val="0037662F"/>
    <w:rsid w:val="0037675B"/>
    <w:rsid w:val="003768C0"/>
    <w:rsid w:val="0038211D"/>
    <w:rsid w:val="00383191"/>
    <w:rsid w:val="003839CA"/>
    <w:rsid w:val="003852DB"/>
    <w:rsid w:val="003853D3"/>
    <w:rsid w:val="00386DED"/>
    <w:rsid w:val="003912E7"/>
    <w:rsid w:val="0039140F"/>
    <w:rsid w:val="00391994"/>
    <w:rsid w:val="00393947"/>
    <w:rsid w:val="00393B6F"/>
    <w:rsid w:val="00397C34"/>
    <w:rsid w:val="003A1401"/>
    <w:rsid w:val="003A1F65"/>
    <w:rsid w:val="003A2275"/>
    <w:rsid w:val="003A3F2D"/>
    <w:rsid w:val="003A48CA"/>
    <w:rsid w:val="003A5141"/>
    <w:rsid w:val="003A5ABE"/>
    <w:rsid w:val="003A5E1E"/>
    <w:rsid w:val="003A6A4F"/>
    <w:rsid w:val="003A7088"/>
    <w:rsid w:val="003B00DF"/>
    <w:rsid w:val="003B1275"/>
    <w:rsid w:val="003B1778"/>
    <w:rsid w:val="003B217D"/>
    <w:rsid w:val="003B3A40"/>
    <w:rsid w:val="003C11CB"/>
    <w:rsid w:val="003C5654"/>
    <w:rsid w:val="003C6893"/>
    <w:rsid w:val="003C7178"/>
    <w:rsid w:val="003C75F3"/>
    <w:rsid w:val="003C78A3"/>
    <w:rsid w:val="003D721E"/>
    <w:rsid w:val="003E0D6C"/>
    <w:rsid w:val="003E1867"/>
    <w:rsid w:val="003E3728"/>
    <w:rsid w:val="003E5000"/>
    <w:rsid w:val="003E5729"/>
    <w:rsid w:val="003E5A57"/>
    <w:rsid w:val="003E5F04"/>
    <w:rsid w:val="003F1593"/>
    <w:rsid w:val="003F4EE0"/>
    <w:rsid w:val="003F6F09"/>
    <w:rsid w:val="003F72DA"/>
    <w:rsid w:val="00400AFF"/>
    <w:rsid w:val="00400C28"/>
    <w:rsid w:val="00402153"/>
    <w:rsid w:val="00402FC1"/>
    <w:rsid w:val="00406062"/>
    <w:rsid w:val="004134DD"/>
    <w:rsid w:val="004145B9"/>
    <w:rsid w:val="0041570D"/>
    <w:rsid w:val="00416000"/>
    <w:rsid w:val="00416320"/>
    <w:rsid w:val="004166CD"/>
    <w:rsid w:val="0041793A"/>
    <w:rsid w:val="004203EB"/>
    <w:rsid w:val="00423779"/>
    <w:rsid w:val="00423DBC"/>
    <w:rsid w:val="00425082"/>
    <w:rsid w:val="00427C5E"/>
    <w:rsid w:val="00431DEB"/>
    <w:rsid w:val="0043287C"/>
    <w:rsid w:val="00433284"/>
    <w:rsid w:val="00433BC1"/>
    <w:rsid w:val="00434B7D"/>
    <w:rsid w:val="00437BF3"/>
    <w:rsid w:val="004406DB"/>
    <w:rsid w:val="00444BB7"/>
    <w:rsid w:val="004450F8"/>
    <w:rsid w:val="00446B29"/>
    <w:rsid w:val="004509E6"/>
    <w:rsid w:val="00451D06"/>
    <w:rsid w:val="00453079"/>
    <w:rsid w:val="00453F9A"/>
    <w:rsid w:val="0045659F"/>
    <w:rsid w:val="0046547B"/>
    <w:rsid w:val="00471440"/>
    <w:rsid w:val="0047182B"/>
    <w:rsid w:val="00471E91"/>
    <w:rsid w:val="00472AF6"/>
    <w:rsid w:val="00472C61"/>
    <w:rsid w:val="00472C6E"/>
    <w:rsid w:val="0047322B"/>
    <w:rsid w:val="00474675"/>
    <w:rsid w:val="0047470C"/>
    <w:rsid w:val="00474C37"/>
    <w:rsid w:val="00475534"/>
    <w:rsid w:val="0047745F"/>
    <w:rsid w:val="0048305A"/>
    <w:rsid w:val="00485828"/>
    <w:rsid w:val="00487219"/>
    <w:rsid w:val="0048721A"/>
    <w:rsid w:val="00487D55"/>
    <w:rsid w:val="00490762"/>
    <w:rsid w:val="00490842"/>
    <w:rsid w:val="00491532"/>
    <w:rsid w:val="004921D5"/>
    <w:rsid w:val="00496C81"/>
    <w:rsid w:val="004A029F"/>
    <w:rsid w:val="004A0900"/>
    <w:rsid w:val="004A2EB0"/>
    <w:rsid w:val="004A35F9"/>
    <w:rsid w:val="004A555A"/>
    <w:rsid w:val="004B1107"/>
    <w:rsid w:val="004B1EA1"/>
    <w:rsid w:val="004B24C1"/>
    <w:rsid w:val="004B2868"/>
    <w:rsid w:val="004B3527"/>
    <w:rsid w:val="004B4141"/>
    <w:rsid w:val="004B5CAF"/>
    <w:rsid w:val="004B7A61"/>
    <w:rsid w:val="004C0DE4"/>
    <w:rsid w:val="004C292F"/>
    <w:rsid w:val="004C52B4"/>
    <w:rsid w:val="004C6D21"/>
    <w:rsid w:val="004C7B30"/>
    <w:rsid w:val="004D197C"/>
    <w:rsid w:val="004D2C52"/>
    <w:rsid w:val="004D41FD"/>
    <w:rsid w:val="004D47DA"/>
    <w:rsid w:val="004D4EE4"/>
    <w:rsid w:val="004D56CC"/>
    <w:rsid w:val="004E0CBF"/>
    <w:rsid w:val="004E27F1"/>
    <w:rsid w:val="004E3339"/>
    <w:rsid w:val="004E3A24"/>
    <w:rsid w:val="004E4034"/>
    <w:rsid w:val="004E504F"/>
    <w:rsid w:val="004E590D"/>
    <w:rsid w:val="004E66E7"/>
    <w:rsid w:val="004E7695"/>
    <w:rsid w:val="004F10FB"/>
    <w:rsid w:val="004F11CA"/>
    <w:rsid w:val="004F7C39"/>
    <w:rsid w:val="00500A34"/>
    <w:rsid w:val="00501FCF"/>
    <w:rsid w:val="00506459"/>
    <w:rsid w:val="00506B12"/>
    <w:rsid w:val="00510280"/>
    <w:rsid w:val="005107C9"/>
    <w:rsid w:val="00513480"/>
    <w:rsid w:val="00513D73"/>
    <w:rsid w:val="00513E63"/>
    <w:rsid w:val="00514023"/>
    <w:rsid w:val="00514A43"/>
    <w:rsid w:val="005171C8"/>
    <w:rsid w:val="005174E5"/>
    <w:rsid w:val="00520CD7"/>
    <w:rsid w:val="00522393"/>
    <w:rsid w:val="00522620"/>
    <w:rsid w:val="00522EF2"/>
    <w:rsid w:val="00522F9A"/>
    <w:rsid w:val="00524B69"/>
    <w:rsid w:val="00525656"/>
    <w:rsid w:val="00530D66"/>
    <w:rsid w:val="00534C02"/>
    <w:rsid w:val="00534D29"/>
    <w:rsid w:val="00534E3D"/>
    <w:rsid w:val="00534EC9"/>
    <w:rsid w:val="005353A1"/>
    <w:rsid w:val="00536182"/>
    <w:rsid w:val="00540089"/>
    <w:rsid w:val="005410B8"/>
    <w:rsid w:val="005413C3"/>
    <w:rsid w:val="0054149D"/>
    <w:rsid w:val="0054264B"/>
    <w:rsid w:val="00542735"/>
    <w:rsid w:val="00543649"/>
    <w:rsid w:val="00543786"/>
    <w:rsid w:val="005468E2"/>
    <w:rsid w:val="00547A43"/>
    <w:rsid w:val="00550AC2"/>
    <w:rsid w:val="005533D7"/>
    <w:rsid w:val="00553DAE"/>
    <w:rsid w:val="005604AE"/>
    <w:rsid w:val="00560E0C"/>
    <w:rsid w:val="005611ED"/>
    <w:rsid w:val="005616FF"/>
    <w:rsid w:val="00562062"/>
    <w:rsid w:val="005650DB"/>
    <w:rsid w:val="005703DE"/>
    <w:rsid w:val="00571D59"/>
    <w:rsid w:val="00575169"/>
    <w:rsid w:val="0057763D"/>
    <w:rsid w:val="00577A34"/>
    <w:rsid w:val="00580681"/>
    <w:rsid w:val="00580B6B"/>
    <w:rsid w:val="005820AE"/>
    <w:rsid w:val="005828EB"/>
    <w:rsid w:val="0058464E"/>
    <w:rsid w:val="00587B91"/>
    <w:rsid w:val="00587FD0"/>
    <w:rsid w:val="00591F84"/>
    <w:rsid w:val="00592C13"/>
    <w:rsid w:val="00595EC5"/>
    <w:rsid w:val="00596509"/>
    <w:rsid w:val="00597BDC"/>
    <w:rsid w:val="005A01CB"/>
    <w:rsid w:val="005A1FCF"/>
    <w:rsid w:val="005A200B"/>
    <w:rsid w:val="005A2B74"/>
    <w:rsid w:val="005A32C6"/>
    <w:rsid w:val="005A3D47"/>
    <w:rsid w:val="005A58FF"/>
    <w:rsid w:val="005A5BD3"/>
    <w:rsid w:val="005A5EAF"/>
    <w:rsid w:val="005A64C0"/>
    <w:rsid w:val="005A7996"/>
    <w:rsid w:val="005A7EBB"/>
    <w:rsid w:val="005B0FD5"/>
    <w:rsid w:val="005B1AD6"/>
    <w:rsid w:val="005B3747"/>
    <w:rsid w:val="005B3C11"/>
    <w:rsid w:val="005B3CB5"/>
    <w:rsid w:val="005B73B1"/>
    <w:rsid w:val="005C0A1C"/>
    <w:rsid w:val="005C1190"/>
    <w:rsid w:val="005C1C28"/>
    <w:rsid w:val="005C371F"/>
    <w:rsid w:val="005C3767"/>
    <w:rsid w:val="005C40BF"/>
    <w:rsid w:val="005C6807"/>
    <w:rsid w:val="005C6DB5"/>
    <w:rsid w:val="005C7E1D"/>
    <w:rsid w:val="005D0342"/>
    <w:rsid w:val="005D0DBB"/>
    <w:rsid w:val="005D1091"/>
    <w:rsid w:val="005D21CB"/>
    <w:rsid w:val="005D347A"/>
    <w:rsid w:val="005D49B1"/>
    <w:rsid w:val="005D4E43"/>
    <w:rsid w:val="005E0135"/>
    <w:rsid w:val="005E064A"/>
    <w:rsid w:val="005E12A2"/>
    <w:rsid w:val="005E19E7"/>
    <w:rsid w:val="005E256B"/>
    <w:rsid w:val="005E288B"/>
    <w:rsid w:val="005E34C1"/>
    <w:rsid w:val="005E6661"/>
    <w:rsid w:val="005E71F4"/>
    <w:rsid w:val="005E7A66"/>
    <w:rsid w:val="005F07F4"/>
    <w:rsid w:val="005F1913"/>
    <w:rsid w:val="005F2504"/>
    <w:rsid w:val="005F593E"/>
    <w:rsid w:val="005F5972"/>
    <w:rsid w:val="005F765E"/>
    <w:rsid w:val="005F7EFC"/>
    <w:rsid w:val="006002BB"/>
    <w:rsid w:val="00602027"/>
    <w:rsid w:val="00603CAD"/>
    <w:rsid w:val="00606273"/>
    <w:rsid w:val="006104A1"/>
    <w:rsid w:val="00611208"/>
    <w:rsid w:val="006123BE"/>
    <w:rsid w:val="0061716C"/>
    <w:rsid w:val="006171EA"/>
    <w:rsid w:val="0062002B"/>
    <w:rsid w:val="006243A1"/>
    <w:rsid w:val="00625A78"/>
    <w:rsid w:val="0062654B"/>
    <w:rsid w:val="006268F1"/>
    <w:rsid w:val="00626B86"/>
    <w:rsid w:val="006273E4"/>
    <w:rsid w:val="006274A6"/>
    <w:rsid w:val="0063111E"/>
    <w:rsid w:val="00632E56"/>
    <w:rsid w:val="00633E3C"/>
    <w:rsid w:val="00635CBA"/>
    <w:rsid w:val="00636D4C"/>
    <w:rsid w:val="00636F0B"/>
    <w:rsid w:val="0063765E"/>
    <w:rsid w:val="00641C62"/>
    <w:rsid w:val="006423A6"/>
    <w:rsid w:val="0064338B"/>
    <w:rsid w:val="0064343E"/>
    <w:rsid w:val="00643A1B"/>
    <w:rsid w:val="00646542"/>
    <w:rsid w:val="00646A44"/>
    <w:rsid w:val="00646A5E"/>
    <w:rsid w:val="006504F4"/>
    <w:rsid w:val="00650D6B"/>
    <w:rsid w:val="00650E26"/>
    <w:rsid w:val="00651D37"/>
    <w:rsid w:val="00652A8E"/>
    <w:rsid w:val="00653CBB"/>
    <w:rsid w:val="00654BC9"/>
    <w:rsid w:val="006552FD"/>
    <w:rsid w:val="006554A5"/>
    <w:rsid w:val="0065625F"/>
    <w:rsid w:val="00662954"/>
    <w:rsid w:val="00663AF3"/>
    <w:rsid w:val="00664CF1"/>
    <w:rsid w:val="0066659A"/>
    <w:rsid w:val="00666B6C"/>
    <w:rsid w:val="00671B70"/>
    <w:rsid w:val="00673D02"/>
    <w:rsid w:val="0067538E"/>
    <w:rsid w:val="00676D9C"/>
    <w:rsid w:val="00682682"/>
    <w:rsid w:val="00682702"/>
    <w:rsid w:val="00682BBC"/>
    <w:rsid w:val="0068335D"/>
    <w:rsid w:val="006862EB"/>
    <w:rsid w:val="006872F0"/>
    <w:rsid w:val="00687BFE"/>
    <w:rsid w:val="006915B7"/>
    <w:rsid w:val="006916B9"/>
    <w:rsid w:val="00692368"/>
    <w:rsid w:val="00692726"/>
    <w:rsid w:val="00692DB1"/>
    <w:rsid w:val="00692EAF"/>
    <w:rsid w:val="006A0A8F"/>
    <w:rsid w:val="006A29B6"/>
    <w:rsid w:val="006A2EBC"/>
    <w:rsid w:val="006A5EA0"/>
    <w:rsid w:val="006A61D0"/>
    <w:rsid w:val="006A6D2A"/>
    <w:rsid w:val="006A783B"/>
    <w:rsid w:val="006A7AEB"/>
    <w:rsid w:val="006A7B33"/>
    <w:rsid w:val="006B0009"/>
    <w:rsid w:val="006B3B7D"/>
    <w:rsid w:val="006B47BB"/>
    <w:rsid w:val="006B4E13"/>
    <w:rsid w:val="006B6FD2"/>
    <w:rsid w:val="006B75DD"/>
    <w:rsid w:val="006B77CE"/>
    <w:rsid w:val="006C1D26"/>
    <w:rsid w:val="006C3EC4"/>
    <w:rsid w:val="006C46DF"/>
    <w:rsid w:val="006C4DE1"/>
    <w:rsid w:val="006C5EC8"/>
    <w:rsid w:val="006C67E0"/>
    <w:rsid w:val="006C7ABA"/>
    <w:rsid w:val="006C7CA3"/>
    <w:rsid w:val="006D05DF"/>
    <w:rsid w:val="006D0D60"/>
    <w:rsid w:val="006D1122"/>
    <w:rsid w:val="006D2A79"/>
    <w:rsid w:val="006D35E8"/>
    <w:rsid w:val="006D3C00"/>
    <w:rsid w:val="006D6823"/>
    <w:rsid w:val="006D6EF7"/>
    <w:rsid w:val="006D715A"/>
    <w:rsid w:val="006E18EC"/>
    <w:rsid w:val="006E1AAB"/>
    <w:rsid w:val="006E1F0F"/>
    <w:rsid w:val="006E3675"/>
    <w:rsid w:val="006E403B"/>
    <w:rsid w:val="006E41D1"/>
    <w:rsid w:val="006E4463"/>
    <w:rsid w:val="006E4A7F"/>
    <w:rsid w:val="006E5E69"/>
    <w:rsid w:val="006F2AB3"/>
    <w:rsid w:val="006F3EB8"/>
    <w:rsid w:val="006F41B4"/>
    <w:rsid w:val="006F48BC"/>
    <w:rsid w:val="006F7E5B"/>
    <w:rsid w:val="006F7E6E"/>
    <w:rsid w:val="00702335"/>
    <w:rsid w:val="00702A16"/>
    <w:rsid w:val="007046D1"/>
    <w:rsid w:val="00704DF6"/>
    <w:rsid w:val="0070651C"/>
    <w:rsid w:val="00707D93"/>
    <w:rsid w:val="00710179"/>
    <w:rsid w:val="007108EB"/>
    <w:rsid w:val="0071145F"/>
    <w:rsid w:val="00711B5A"/>
    <w:rsid w:val="007126B5"/>
    <w:rsid w:val="00712E84"/>
    <w:rsid w:val="007132A3"/>
    <w:rsid w:val="00713ED9"/>
    <w:rsid w:val="0071407C"/>
    <w:rsid w:val="007140B6"/>
    <w:rsid w:val="00714727"/>
    <w:rsid w:val="00716421"/>
    <w:rsid w:val="00717651"/>
    <w:rsid w:val="007176BF"/>
    <w:rsid w:val="007176F3"/>
    <w:rsid w:val="00717A8F"/>
    <w:rsid w:val="00722D17"/>
    <w:rsid w:val="00724EFB"/>
    <w:rsid w:val="007323E9"/>
    <w:rsid w:val="00732949"/>
    <w:rsid w:val="00734FA8"/>
    <w:rsid w:val="00740D88"/>
    <w:rsid w:val="007419C3"/>
    <w:rsid w:val="007423B2"/>
    <w:rsid w:val="0074244E"/>
    <w:rsid w:val="007427E9"/>
    <w:rsid w:val="00743B4A"/>
    <w:rsid w:val="00744823"/>
    <w:rsid w:val="007452AC"/>
    <w:rsid w:val="007467A7"/>
    <w:rsid w:val="007469DD"/>
    <w:rsid w:val="00747275"/>
    <w:rsid w:val="0074741B"/>
    <w:rsid w:val="0074759E"/>
    <w:rsid w:val="007478EA"/>
    <w:rsid w:val="007529A3"/>
    <w:rsid w:val="00753E0E"/>
    <w:rsid w:val="0075415C"/>
    <w:rsid w:val="00754F4E"/>
    <w:rsid w:val="00756602"/>
    <w:rsid w:val="007566DB"/>
    <w:rsid w:val="00756C08"/>
    <w:rsid w:val="00763424"/>
    <w:rsid w:val="00763502"/>
    <w:rsid w:val="00765463"/>
    <w:rsid w:val="00765465"/>
    <w:rsid w:val="00766469"/>
    <w:rsid w:val="00766AEF"/>
    <w:rsid w:val="00767D83"/>
    <w:rsid w:val="00771B48"/>
    <w:rsid w:val="0077294B"/>
    <w:rsid w:val="00774E9B"/>
    <w:rsid w:val="00775AD2"/>
    <w:rsid w:val="00781C4D"/>
    <w:rsid w:val="007848C5"/>
    <w:rsid w:val="00784DB9"/>
    <w:rsid w:val="007913AB"/>
    <w:rsid w:val="007914F7"/>
    <w:rsid w:val="007918E2"/>
    <w:rsid w:val="00792365"/>
    <w:rsid w:val="007932D9"/>
    <w:rsid w:val="007947DF"/>
    <w:rsid w:val="00796038"/>
    <w:rsid w:val="00797015"/>
    <w:rsid w:val="00797317"/>
    <w:rsid w:val="00797A81"/>
    <w:rsid w:val="007A7723"/>
    <w:rsid w:val="007B0C68"/>
    <w:rsid w:val="007B1625"/>
    <w:rsid w:val="007B1791"/>
    <w:rsid w:val="007B226C"/>
    <w:rsid w:val="007B260D"/>
    <w:rsid w:val="007B2AA6"/>
    <w:rsid w:val="007B330B"/>
    <w:rsid w:val="007B4036"/>
    <w:rsid w:val="007B56B7"/>
    <w:rsid w:val="007B706E"/>
    <w:rsid w:val="007B71EB"/>
    <w:rsid w:val="007B7F4D"/>
    <w:rsid w:val="007C0A15"/>
    <w:rsid w:val="007C2D77"/>
    <w:rsid w:val="007C31CC"/>
    <w:rsid w:val="007C44C3"/>
    <w:rsid w:val="007C487E"/>
    <w:rsid w:val="007C6205"/>
    <w:rsid w:val="007C686A"/>
    <w:rsid w:val="007C728E"/>
    <w:rsid w:val="007C7A49"/>
    <w:rsid w:val="007D12D6"/>
    <w:rsid w:val="007D2C53"/>
    <w:rsid w:val="007D3D60"/>
    <w:rsid w:val="007D4404"/>
    <w:rsid w:val="007E13AB"/>
    <w:rsid w:val="007E1980"/>
    <w:rsid w:val="007E28F8"/>
    <w:rsid w:val="007E2C81"/>
    <w:rsid w:val="007E4B76"/>
    <w:rsid w:val="007E4C8A"/>
    <w:rsid w:val="007E54F2"/>
    <w:rsid w:val="007E5EA8"/>
    <w:rsid w:val="007E6C5F"/>
    <w:rsid w:val="007F0949"/>
    <w:rsid w:val="007F0CF1"/>
    <w:rsid w:val="007F12A5"/>
    <w:rsid w:val="007F2753"/>
    <w:rsid w:val="007F28F6"/>
    <w:rsid w:val="007F2D6D"/>
    <w:rsid w:val="007F3B0B"/>
    <w:rsid w:val="007F4CF1"/>
    <w:rsid w:val="007F758D"/>
    <w:rsid w:val="007F7D52"/>
    <w:rsid w:val="00802398"/>
    <w:rsid w:val="008026EF"/>
    <w:rsid w:val="0080654C"/>
    <w:rsid w:val="008071C6"/>
    <w:rsid w:val="008109D6"/>
    <w:rsid w:val="00810EB5"/>
    <w:rsid w:val="00811750"/>
    <w:rsid w:val="00811BF6"/>
    <w:rsid w:val="00812510"/>
    <w:rsid w:val="00813530"/>
    <w:rsid w:val="00815237"/>
    <w:rsid w:val="00817A00"/>
    <w:rsid w:val="00821C5F"/>
    <w:rsid w:val="00827240"/>
    <w:rsid w:val="00827245"/>
    <w:rsid w:val="008274B3"/>
    <w:rsid w:val="008324A7"/>
    <w:rsid w:val="00834B6C"/>
    <w:rsid w:val="00834D05"/>
    <w:rsid w:val="00835DB3"/>
    <w:rsid w:val="0083614B"/>
    <w:rsid w:val="0083617B"/>
    <w:rsid w:val="008371BD"/>
    <w:rsid w:val="00837FDA"/>
    <w:rsid w:val="008400C7"/>
    <w:rsid w:val="008420FD"/>
    <w:rsid w:val="008504A8"/>
    <w:rsid w:val="00851EB0"/>
    <w:rsid w:val="0085282E"/>
    <w:rsid w:val="008533B6"/>
    <w:rsid w:val="00855919"/>
    <w:rsid w:val="00856713"/>
    <w:rsid w:val="00857A3C"/>
    <w:rsid w:val="00857B93"/>
    <w:rsid w:val="00862151"/>
    <w:rsid w:val="00863061"/>
    <w:rsid w:val="00864FB4"/>
    <w:rsid w:val="00867158"/>
    <w:rsid w:val="0087198C"/>
    <w:rsid w:val="00872896"/>
    <w:rsid w:val="00872C1F"/>
    <w:rsid w:val="00873B42"/>
    <w:rsid w:val="008743BC"/>
    <w:rsid w:val="00874A40"/>
    <w:rsid w:val="008767F6"/>
    <w:rsid w:val="008770F5"/>
    <w:rsid w:val="00877177"/>
    <w:rsid w:val="0087773E"/>
    <w:rsid w:val="00880B73"/>
    <w:rsid w:val="00881770"/>
    <w:rsid w:val="00881800"/>
    <w:rsid w:val="0088194D"/>
    <w:rsid w:val="00881E27"/>
    <w:rsid w:val="00882D2B"/>
    <w:rsid w:val="00885289"/>
    <w:rsid w:val="008856D8"/>
    <w:rsid w:val="0088588F"/>
    <w:rsid w:val="00890844"/>
    <w:rsid w:val="00890CF8"/>
    <w:rsid w:val="00892E82"/>
    <w:rsid w:val="00894183"/>
    <w:rsid w:val="00894FC6"/>
    <w:rsid w:val="0089791C"/>
    <w:rsid w:val="00897BE6"/>
    <w:rsid w:val="008A14C0"/>
    <w:rsid w:val="008A1614"/>
    <w:rsid w:val="008A5521"/>
    <w:rsid w:val="008A6818"/>
    <w:rsid w:val="008A6926"/>
    <w:rsid w:val="008A7078"/>
    <w:rsid w:val="008B2B1E"/>
    <w:rsid w:val="008B47D9"/>
    <w:rsid w:val="008C0D91"/>
    <w:rsid w:val="008C1B58"/>
    <w:rsid w:val="008C38FE"/>
    <w:rsid w:val="008C39AE"/>
    <w:rsid w:val="008C51D1"/>
    <w:rsid w:val="008C590D"/>
    <w:rsid w:val="008C786F"/>
    <w:rsid w:val="008D009D"/>
    <w:rsid w:val="008D250B"/>
    <w:rsid w:val="008D4EA9"/>
    <w:rsid w:val="008E031B"/>
    <w:rsid w:val="008E2388"/>
    <w:rsid w:val="008E4014"/>
    <w:rsid w:val="008E60E2"/>
    <w:rsid w:val="008E7029"/>
    <w:rsid w:val="008E7EF6"/>
    <w:rsid w:val="008F1F98"/>
    <w:rsid w:val="008F276B"/>
    <w:rsid w:val="008F4237"/>
    <w:rsid w:val="008F4F16"/>
    <w:rsid w:val="008F5765"/>
    <w:rsid w:val="008F6758"/>
    <w:rsid w:val="008F79FB"/>
    <w:rsid w:val="00900900"/>
    <w:rsid w:val="00902A08"/>
    <w:rsid w:val="0090326F"/>
    <w:rsid w:val="0090396E"/>
    <w:rsid w:val="009040DD"/>
    <w:rsid w:val="00905B47"/>
    <w:rsid w:val="00905F12"/>
    <w:rsid w:val="00905FB6"/>
    <w:rsid w:val="00906F0A"/>
    <w:rsid w:val="0090711E"/>
    <w:rsid w:val="00907293"/>
    <w:rsid w:val="009119F7"/>
    <w:rsid w:val="0091331C"/>
    <w:rsid w:val="0091457E"/>
    <w:rsid w:val="00916588"/>
    <w:rsid w:val="00916945"/>
    <w:rsid w:val="009202DF"/>
    <w:rsid w:val="009236CF"/>
    <w:rsid w:val="00923879"/>
    <w:rsid w:val="009240E8"/>
    <w:rsid w:val="00924BA0"/>
    <w:rsid w:val="00927116"/>
    <w:rsid w:val="009279DE"/>
    <w:rsid w:val="00930116"/>
    <w:rsid w:val="00932509"/>
    <w:rsid w:val="009330E3"/>
    <w:rsid w:val="00933A36"/>
    <w:rsid w:val="00933DC7"/>
    <w:rsid w:val="009345E6"/>
    <w:rsid w:val="00935676"/>
    <w:rsid w:val="009363F2"/>
    <w:rsid w:val="0093742D"/>
    <w:rsid w:val="009375C7"/>
    <w:rsid w:val="00940FAC"/>
    <w:rsid w:val="00941421"/>
    <w:rsid w:val="0094212C"/>
    <w:rsid w:val="009421BE"/>
    <w:rsid w:val="00942BFB"/>
    <w:rsid w:val="00944733"/>
    <w:rsid w:val="00946042"/>
    <w:rsid w:val="00946656"/>
    <w:rsid w:val="009504BC"/>
    <w:rsid w:val="009504D9"/>
    <w:rsid w:val="009507F6"/>
    <w:rsid w:val="00951D89"/>
    <w:rsid w:val="009520CA"/>
    <w:rsid w:val="00952861"/>
    <w:rsid w:val="00953278"/>
    <w:rsid w:val="00954689"/>
    <w:rsid w:val="009562D4"/>
    <w:rsid w:val="00960248"/>
    <w:rsid w:val="009602EB"/>
    <w:rsid w:val="009617C9"/>
    <w:rsid w:val="00961C93"/>
    <w:rsid w:val="00963087"/>
    <w:rsid w:val="00963FA2"/>
    <w:rsid w:val="00965324"/>
    <w:rsid w:val="0097091E"/>
    <w:rsid w:val="00971A6C"/>
    <w:rsid w:val="0097312C"/>
    <w:rsid w:val="00973B79"/>
    <w:rsid w:val="009760D3"/>
    <w:rsid w:val="00977132"/>
    <w:rsid w:val="00980089"/>
    <w:rsid w:val="00981A4B"/>
    <w:rsid w:val="0098238C"/>
    <w:rsid w:val="00982501"/>
    <w:rsid w:val="0098485C"/>
    <w:rsid w:val="00985D50"/>
    <w:rsid w:val="00986B0A"/>
    <w:rsid w:val="00987386"/>
    <w:rsid w:val="009877D3"/>
    <w:rsid w:val="009933C7"/>
    <w:rsid w:val="009943FA"/>
    <w:rsid w:val="00994AD9"/>
    <w:rsid w:val="00994E8F"/>
    <w:rsid w:val="009951DC"/>
    <w:rsid w:val="009951FA"/>
    <w:rsid w:val="009959BB"/>
    <w:rsid w:val="00996669"/>
    <w:rsid w:val="00996762"/>
    <w:rsid w:val="0099712C"/>
    <w:rsid w:val="00997158"/>
    <w:rsid w:val="009A01D6"/>
    <w:rsid w:val="009A3753"/>
    <w:rsid w:val="009A3A7C"/>
    <w:rsid w:val="009B08A7"/>
    <w:rsid w:val="009B1486"/>
    <w:rsid w:val="009B2ADB"/>
    <w:rsid w:val="009B603A"/>
    <w:rsid w:val="009C0875"/>
    <w:rsid w:val="009C0F68"/>
    <w:rsid w:val="009C2120"/>
    <w:rsid w:val="009C2D0E"/>
    <w:rsid w:val="009C333C"/>
    <w:rsid w:val="009C391A"/>
    <w:rsid w:val="009C3DAC"/>
    <w:rsid w:val="009C42E0"/>
    <w:rsid w:val="009C4EEC"/>
    <w:rsid w:val="009C55DE"/>
    <w:rsid w:val="009C783C"/>
    <w:rsid w:val="009C7DCB"/>
    <w:rsid w:val="009D28B6"/>
    <w:rsid w:val="009D2B49"/>
    <w:rsid w:val="009D32CA"/>
    <w:rsid w:val="009D4617"/>
    <w:rsid w:val="009D5362"/>
    <w:rsid w:val="009E09B4"/>
    <w:rsid w:val="009E1415"/>
    <w:rsid w:val="009E4174"/>
    <w:rsid w:val="009E4B46"/>
    <w:rsid w:val="009E4E89"/>
    <w:rsid w:val="009E5754"/>
    <w:rsid w:val="009E6116"/>
    <w:rsid w:val="009E6A1B"/>
    <w:rsid w:val="009F11B8"/>
    <w:rsid w:val="009F1B15"/>
    <w:rsid w:val="009F2170"/>
    <w:rsid w:val="009F2AFF"/>
    <w:rsid w:val="009F4C79"/>
    <w:rsid w:val="009F51BD"/>
    <w:rsid w:val="009F73D8"/>
    <w:rsid w:val="009F798A"/>
    <w:rsid w:val="009F7BA0"/>
    <w:rsid w:val="009F7FAF"/>
    <w:rsid w:val="00A00B9D"/>
    <w:rsid w:val="00A0112A"/>
    <w:rsid w:val="00A019C4"/>
    <w:rsid w:val="00A01F87"/>
    <w:rsid w:val="00A02E40"/>
    <w:rsid w:val="00A02E43"/>
    <w:rsid w:val="00A065F9"/>
    <w:rsid w:val="00A06A4B"/>
    <w:rsid w:val="00A06BEC"/>
    <w:rsid w:val="00A07F34"/>
    <w:rsid w:val="00A14D23"/>
    <w:rsid w:val="00A15157"/>
    <w:rsid w:val="00A22154"/>
    <w:rsid w:val="00A24393"/>
    <w:rsid w:val="00A246AE"/>
    <w:rsid w:val="00A24BD0"/>
    <w:rsid w:val="00A25C38"/>
    <w:rsid w:val="00A26308"/>
    <w:rsid w:val="00A26A96"/>
    <w:rsid w:val="00A27B20"/>
    <w:rsid w:val="00A34775"/>
    <w:rsid w:val="00A34D69"/>
    <w:rsid w:val="00A35B1E"/>
    <w:rsid w:val="00A36BBE"/>
    <w:rsid w:val="00A3722C"/>
    <w:rsid w:val="00A4052F"/>
    <w:rsid w:val="00A41191"/>
    <w:rsid w:val="00A4223D"/>
    <w:rsid w:val="00A4307A"/>
    <w:rsid w:val="00A43097"/>
    <w:rsid w:val="00A44B0E"/>
    <w:rsid w:val="00A47BD6"/>
    <w:rsid w:val="00A47EBB"/>
    <w:rsid w:val="00A50675"/>
    <w:rsid w:val="00A5112B"/>
    <w:rsid w:val="00A51CDD"/>
    <w:rsid w:val="00A520B0"/>
    <w:rsid w:val="00A54339"/>
    <w:rsid w:val="00A544B4"/>
    <w:rsid w:val="00A551BE"/>
    <w:rsid w:val="00A57361"/>
    <w:rsid w:val="00A577E8"/>
    <w:rsid w:val="00A60D43"/>
    <w:rsid w:val="00A6107E"/>
    <w:rsid w:val="00A6394B"/>
    <w:rsid w:val="00A6730D"/>
    <w:rsid w:val="00A6746D"/>
    <w:rsid w:val="00A711A2"/>
    <w:rsid w:val="00A7159F"/>
    <w:rsid w:val="00A71625"/>
    <w:rsid w:val="00A71B9B"/>
    <w:rsid w:val="00A72DE8"/>
    <w:rsid w:val="00A751C7"/>
    <w:rsid w:val="00A80B4C"/>
    <w:rsid w:val="00A828DE"/>
    <w:rsid w:val="00A83BA8"/>
    <w:rsid w:val="00A8517D"/>
    <w:rsid w:val="00A87844"/>
    <w:rsid w:val="00A92ADF"/>
    <w:rsid w:val="00A94C41"/>
    <w:rsid w:val="00A95432"/>
    <w:rsid w:val="00A95DB3"/>
    <w:rsid w:val="00A95F49"/>
    <w:rsid w:val="00A961C2"/>
    <w:rsid w:val="00A97D1F"/>
    <w:rsid w:val="00AA038C"/>
    <w:rsid w:val="00AA0A1E"/>
    <w:rsid w:val="00AA1737"/>
    <w:rsid w:val="00AA56D5"/>
    <w:rsid w:val="00AA5C7E"/>
    <w:rsid w:val="00AA7A09"/>
    <w:rsid w:val="00AA7AD2"/>
    <w:rsid w:val="00AB01B4"/>
    <w:rsid w:val="00AB1B83"/>
    <w:rsid w:val="00AB21A4"/>
    <w:rsid w:val="00AB2D50"/>
    <w:rsid w:val="00AB2D90"/>
    <w:rsid w:val="00AB3B50"/>
    <w:rsid w:val="00AB3C6A"/>
    <w:rsid w:val="00AB4986"/>
    <w:rsid w:val="00AB7A87"/>
    <w:rsid w:val="00AC05B1"/>
    <w:rsid w:val="00AC0E4D"/>
    <w:rsid w:val="00AC138B"/>
    <w:rsid w:val="00AC44C2"/>
    <w:rsid w:val="00AC46B9"/>
    <w:rsid w:val="00AC6F5A"/>
    <w:rsid w:val="00AD2DFC"/>
    <w:rsid w:val="00AD3084"/>
    <w:rsid w:val="00AD356C"/>
    <w:rsid w:val="00AD66CF"/>
    <w:rsid w:val="00AE2914"/>
    <w:rsid w:val="00AE42A9"/>
    <w:rsid w:val="00AE6D15"/>
    <w:rsid w:val="00AE7BBA"/>
    <w:rsid w:val="00AF0817"/>
    <w:rsid w:val="00AF17FB"/>
    <w:rsid w:val="00AF1990"/>
    <w:rsid w:val="00AF2250"/>
    <w:rsid w:val="00AF40A2"/>
    <w:rsid w:val="00AF4D12"/>
    <w:rsid w:val="00B016DF"/>
    <w:rsid w:val="00B018E4"/>
    <w:rsid w:val="00B01D5B"/>
    <w:rsid w:val="00B01FF6"/>
    <w:rsid w:val="00B02F7B"/>
    <w:rsid w:val="00B0407A"/>
    <w:rsid w:val="00B04182"/>
    <w:rsid w:val="00B049B3"/>
    <w:rsid w:val="00B0503B"/>
    <w:rsid w:val="00B07AE3"/>
    <w:rsid w:val="00B10F4F"/>
    <w:rsid w:val="00B11430"/>
    <w:rsid w:val="00B12D55"/>
    <w:rsid w:val="00B21465"/>
    <w:rsid w:val="00B2321C"/>
    <w:rsid w:val="00B24A3F"/>
    <w:rsid w:val="00B25A36"/>
    <w:rsid w:val="00B302B1"/>
    <w:rsid w:val="00B32556"/>
    <w:rsid w:val="00B3352A"/>
    <w:rsid w:val="00B34238"/>
    <w:rsid w:val="00B34A96"/>
    <w:rsid w:val="00B353EB"/>
    <w:rsid w:val="00B37BD4"/>
    <w:rsid w:val="00B4376E"/>
    <w:rsid w:val="00B439C4"/>
    <w:rsid w:val="00B4535E"/>
    <w:rsid w:val="00B479C3"/>
    <w:rsid w:val="00B50D6E"/>
    <w:rsid w:val="00B52A8C"/>
    <w:rsid w:val="00B53C7E"/>
    <w:rsid w:val="00B54EA0"/>
    <w:rsid w:val="00B55D07"/>
    <w:rsid w:val="00B56220"/>
    <w:rsid w:val="00B56B85"/>
    <w:rsid w:val="00B60A4D"/>
    <w:rsid w:val="00B61939"/>
    <w:rsid w:val="00B61EAB"/>
    <w:rsid w:val="00B6239F"/>
    <w:rsid w:val="00B6363B"/>
    <w:rsid w:val="00B636A8"/>
    <w:rsid w:val="00B651BB"/>
    <w:rsid w:val="00B66179"/>
    <w:rsid w:val="00B665C6"/>
    <w:rsid w:val="00B66FA5"/>
    <w:rsid w:val="00B679EE"/>
    <w:rsid w:val="00B73B65"/>
    <w:rsid w:val="00B74AFC"/>
    <w:rsid w:val="00B74EB5"/>
    <w:rsid w:val="00B77825"/>
    <w:rsid w:val="00B805AF"/>
    <w:rsid w:val="00B80673"/>
    <w:rsid w:val="00B80AB5"/>
    <w:rsid w:val="00B82647"/>
    <w:rsid w:val="00B82B76"/>
    <w:rsid w:val="00B869EC"/>
    <w:rsid w:val="00B86D7D"/>
    <w:rsid w:val="00B87749"/>
    <w:rsid w:val="00B87BE7"/>
    <w:rsid w:val="00B9076F"/>
    <w:rsid w:val="00B91B6A"/>
    <w:rsid w:val="00B9397A"/>
    <w:rsid w:val="00B94D40"/>
    <w:rsid w:val="00B95E90"/>
    <w:rsid w:val="00B9633D"/>
    <w:rsid w:val="00B97B2E"/>
    <w:rsid w:val="00B97F3D"/>
    <w:rsid w:val="00BA2EBE"/>
    <w:rsid w:val="00BA426E"/>
    <w:rsid w:val="00BA5F3B"/>
    <w:rsid w:val="00BA67DB"/>
    <w:rsid w:val="00BA6821"/>
    <w:rsid w:val="00BA6E1A"/>
    <w:rsid w:val="00BA78BF"/>
    <w:rsid w:val="00BA7AB7"/>
    <w:rsid w:val="00BB0F28"/>
    <w:rsid w:val="00BB0F47"/>
    <w:rsid w:val="00BB1FE9"/>
    <w:rsid w:val="00BB21C4"/>
    <w:rsid w:val="00BB41EA"/>
    <w:rsid w:val="00BB44DF"/>
    <w:rsid w:val="00BB458A"/>
    <w:rsid w:val="00BB4840"/>
    <w:rsid w:val="00BB5F8A"/>
    <w:rsid w:val="00BC18E2"/>
    <w:rsid w:val="00BD00D3"/>
    <w:rsid w:val="00BD1659"/>
    <w:rsid w:val="00BD3AA9"/>
    <w:rsid w:val="00BD4A18"/>
    <w:rsid w:val="00BD5823"/>
    <w:rsid w:val="00BD6DB2"/>
    <w:rsid w:val="00BE0105"/>
    <w:rsid w:val="00BE042B"/>
    <w:rsid w:val="00BE11CF"/>
    <w:rsid w:val="00BE21AB"/>
    <w:rsid w:val="00BE2E40"/>
    <w:rsid w:val="00BE4C24"/>
    <w:rsid w:val="00BE4E0E"/>
    <w:rsid w:val="00BE55CB"/>
    <w:rsid w:val="00BF356A"/>
    <w:rsid w:val="00BF617A"/>
    <w:rsid w:val="00BF675D"/>
    <w:rsid w:val="00BF736A"/>
    <w:rsid w:val="00BF7BA5"/>
    <w:rsid w:val="00C00335"/>
    <w:rsid w:val="00C00541"/>
    <w:rsid w:val="00C0216D"/>
    <w:rsid w:val="00C033B7"/>
    <w:rsid w:val="00C0379D"/>
    <w:rsid w:val="00C038C8"/>
    <w:rsid w:val="00C03931"/>
    <w:rsid w:val="00C05FE3"/>
    <w:rsid w:val="00C065BC"/>
    <w:rsid w:val="00C06B5A"/>
    <w:rsid w:val="00C11852"/>
    <w:rsid w:val="00C13D45"/>
    <w:rsid w:val="00C13FE6"/>
    <w:rsid w:val="00C14A56"/>
    <w:rsid w:val="00C174F4"/>
    <w:rsid w:val="00C20D37"/>
    <w:rsid w:val="00C2136D"/>
    <w:rsid w:val="00C214EE"/>
    <w:rsid w:val="00C2314B"/>
    <w:rsid w:val="00C233BE"/>
    <w:rsid w:val="00C23EAB"/>
    <w:rsid w:val="00C245FE"/>
    <w:rsid w:val="00C24971"/>
    <w:rsid w:val="00C25FF8"/>
    <w:rsid w:val="00C26BE5"/>
    <w:rsid w:val="00C26E4D"/>
    <w:rsid w:val="00C27393"/>
    <w:rsid w:val="00C27909"/>
    <w:rsid w:val="00C27B03"/>
    <w:rsid w:val="00C3025F"/>
    <w:rsid w:val="00C304DE"/>
    <w:rsid w:val="00C314E1"/>
    <w:rsid w:val="00C31511"/>
    <w:rsid w:val="00C31A79"/>
    <w:rsid w:val="00C32DD9"/>
    <w:rsid w:val="00C33EB7"/>
    <w:rsid w:val="00C34397"/>
    <w:rsid w:val="00C348F0"/>
    <w:rsid w:val="00C35E0E"/>
    <w:rsid w:val="00C364AA"/>
    <w:rsid w:val="00C4095D"/>
    <w:rsid w:val="00C458E9"/>
    <w:rsid w:val="00C461EB"/>
    <w:rsid w:val="00C47CB7"/>
    <w:rsid w:val="00C506DF"/>
    <w:rsid w:val="00C523DE"/>
    <w:rsid w:val="00C543C0"/>
    <w:rsid w:val="00C54EA9"/>
    <w:rsid w:val="00C55F2B"/>
    <w:rsid w:val="00C5655B"/>
    <w:rsid w:val="00C56DF0"/>
    <w:rsid w:val="00C6000F"/>
    <w:rsid w:val="00C601D2"/>
    <w:rsid w:val="00C60B6C"/>
    <w:rsid w:val="00C613DE"/>
    <w:rsid w:val="00C61CA0"/>
    <w:rsid w:val="00C61E58"/>
    <w:rsid w:val="00C61F81"/>
    <w:rsid w:val="00C6236C"/>
    <w:rsid w:val="00C636F9"/>
    <w:rsid w:val="00C64E94"/>
    <w:rsid w:val="00C657AB"/>
    <w:rsid w:val="00C65BCC"/>
    <w:rsid w:val="00C66970"/>
    <w:rsid w:val="00C7054D"/>
    <w:rsid w:val="00C70A59"/>
    <w:rsid w:val="00C71CD0"/>
    <w:rsid w:val="00C734CB"/>
    <w:rsid w:val="00C739BA"/>
    <w:rsid w:val="00C73BC7"/>
    <w:rsid w:val="00C74BF3"/>
    <w:rsid w:val="00C77008"/>
    <w:rsid w:val="00C77334"/>
    <w:rsid w:val="00C7788A"/>
    <w:rsid w:val="00C778A9"/>
    <w:rsid w:val="00C77B57"/>
    <w:rsid w:val="00C77C7A"/>
    <w:rsid w:val="00C77F9E"/>
    <w:rsid w:val="00C82A33"/>
    <w:rsid w:val="00C845CC"/>
    <w:rsid w:val="00C8585D"/>
    <w:rsid w:val="00C8691C"/>
    <w:rsid w:val="00C86A9E"/>
    <w:rsid w:val="00C870E6"/>
    <w:rsid w:val="00C90606"/>
    <w:rsid w:val="00C91006"/>
    <w:rsid w:val="00C91C99"/>
    <w:rsid w:val="00C93F70"/>
    <w:rsid w:val="00C93FCB"/>
    <w:rsid w:val="00C95B40"/>
    <w:rsid w:val="00C966B8"/>
    <w:rsid w:val="00CA168A"/>
    <w:rsid w:val="00CA357E"/>
    <w:rsid w:val="00CA44F9"/>
    <w:rsid w:val="00CA4A69"/>
    <w:rsid w:val="00CA594C"/>
    <w:rsid w:val="00CB2D67"/>
    <w:rsid w:val="00CB40FD"/>
    <w:rsid w:val="00CB449D"/>
    <w:rsid w:val="00CB635A"/>
    <w:rsid w:val="00CC3E0C"/>
    <w:rsid w:val="00CC4518"/>
    <w:rsid w:val="00CC58D3"/>
    <w:rsid w:val="00CC784D"/>
    <w:rsid w:val="00CD2F47"/>
    <w:rsid w:val="00CD3B5B"/>
    <w:rsid w:val="00CD67B4"/>
    <w:rsid w:val="00CD7FE4"/>
    <w:rsid w:val="00CD7FFD"/>
    <w:rsid w:val="00CE2006"/>
    <w:rsid w:val="00CE2328"/>
    <w:rsid w:val="00CE2601"/>
    <w:rsid w:val="00CE4143"/>
    <w:rsid w:val="00CE4732"/>
    <w:rsid w:val="00CE51F7"/>
    <w:rsid w:val="00CE70DC"/>
    <w:rsid w:val="00CF15CF"/>
    <w:rsid w:val="00CF3124"/>
    <w:rsid w:val="00CF3BB2"/>
    <w:rsid w:val="00CF40EE"/>
    <w:rsid w:val="00CF5AD9"/>
    <w:rsid w:val="00CF7C45"/>
    <w:rsid w:val="00D0337B"/>
    <w:rsid w:val="00D04F64"/>
    <w:rsid w:val="00D05B87"/>
    <w:rsid w:val="00D079B2"/>
    <w:rsid w:val="00D114E9"/>
    <w:rsid w:val="00D11A67"/>
    <w:rsid w:val="00D11FDA"/>
    <w:rsid w:val="00D1284B"/>
    <w:rsid w:val="00D12894"/>
    <w:rsid w:val="00D150F4"/>
    <w:rsid w:val="00D221F1"/>
    <w:rsid w:val="00D2393C"/>
    <w:rsid w:val="00D242F8"/>
    <w:rsid w:val="00D31206"/>
    <w:rsid w:val="00D32F43"/>
    <w:rsid w:val="00D33A8B"/>
    <w:rsid w:val="00D34E6B"/>
    <w:rsid w:val="00D368F4"/>
    <w:rsid w:val="00D3693A"/>
    <w:rsid w:val="00D37A4C"/>
    <w:rsid w:val="00D37FD8"/>
    <w:rsid w:val="00D414A3"/>
    <w:rsid w:val="00D41BB5"/>
    <w:rsid w:val="00D41CD3"/>
    <w:rsid w:val="00D429C6"/>
    <w:rsid w:val="00D45F29"/>
    <w:rsid w:val="00D47748"/>
    <w:rsid w:val="00D50F32"/>
    <w:rsid w:val="00D51C69"/>
    <w:rsid w:val="00D533F1"/>
    <w:rsid w:val="00D54CC3"/>
    <w:rsid w:val="00D55D91"/>
    <w:rsid w:val="00D563D2"/>
    <w:rsid w:val="00D563DB"/>
    <w:rsid w:val="00D567B0"/>
    <w:rsid w:val="00D6041A"/>
    <w:rsid w:val="00D633EB"/>
    <w:rsid w:val="00D6622D"/>
    <w:rsid w:val="00D67AFF"/>
    <w:rsid w:val="00D71941"/>
    <w:rsid w:val="00D71C2B"/>
    <w:rsid w:val="00D72991"/>
    <w:rsid w:val="00D72B18"/>
    <w:rsid w:val="00D72BA6"/>
    <w:rsid w:val="00D72D8F"/>
    <w:rsid w:val="00D72E0A"/>
    <w:rsid w:val="00D77237"/>
    <w:rsid w:val="00D82FF7"/>
    <w:rsid w:val="00D83842"/>
    <w:rsid w:val="00D83ED7"/>
    <w:rsid w:val="00D842DC"/>
    <w:rsid w:val="00D847FE"/>
    <w:rsid w:val="00D84B7E"/>
    <w:rsid w:val="00D85F8E"/>
    <w:rsid w:val="00D86EC2"/>
    <w:rsid w:val="00D916E0"/>
    <w:rsid w:val="00D9561C"/>
    <w:rsid w:val="00D964EA"/>
    <w:rsid w:val="00D966D0"/>
    <w:rsid w:val="00DA0C59"/>
    <w:rsid w:val="00DA3991"/>
    <w:rsid w:val="00DA43C3"/>
    <w:rsid w:val="00DA4800"/>
    <w:rsid w:val="00DA7D46"/>
    <w:rsid w:val="00DB01BF"/>
    <w:rsid w:val="00DB12DE"/>
    <w:rsid w:val="00DB19D2"/>
    <w:rsid w:val="00DB5F1D"/>
    <w:rsid w:val="00DB7363"/>
    <w:rsid w:val="00DB7566"/>
    <w:rsid w:val="00DB7E6C"/>
    <w:rsid w:val="00DC1267"/>
    <w:rsid w:val="00DC3B61"/>
    <w:rsid w:val="00DC4677"/>
    <w:rsid w:val="00DC4959"/>
    <w:rsid w:val="00DC593D"/>
    <w:rsid w:val="00DC5AAD"/>
    <w:rsid w:val="00DC6D7E"/>
    <w:rsid w:val="00DC6DB4"/>
    <w:rsid w:val="00DD09D2"/>
    <w:rsid w:val="00DD44D9"/>
    <w:rsid w:val="00DD5A29"/>
    <w:rsid w:val="00DD5D9D"/>
    <w:rsid w:val="00DD7B37"/>
    <w:rsid w:val="00DE01BD"/>
    <w:rsid w:val="00DE0460"/>
    <w:rsid w:val="00DE1E8C"/>
    <w:rsid w:val="00DE35CB"/>
    <w:rsid w:val="00DE5248"/>
    <w:rsid w:val="00DE54C0"/>
    <w:rsid w:val="00DF1276"/>
    <w:rsid w:val="00DF20DB"/>
    <w:rsid w:val="00DF21E9"/>
    <w:rsid w:val="00DF3746"/>
    <w:rsid w:val="00DF3835"/>
    <w:rsid w:val="00DF45C6"/>
    <w:rsid w:val="00DF4689"/>
    <w:rsid w:val="00DF5466"/>
    <w:rsid w:val="00E00F14"/>
    <w:rsid w:val="00E014DB"/>
    <w:rsid w:val="00E01E2C"/>
    <w:rsid w:val="00E02444"/>
    <w:rsid w:val="00E05EBB"/>
    <w:rsid w:val="00E06386"/>
    <w:rsid w:val="00E06724"/>
    <w:rsid w:val="00E06A22"/>
    <w:rsid w:val="00E07807"/>
    <w:rsid w:val="00E1006D"/>
    <w:rsid w:val="00E12ED5"/>
    <w:rsid w:val="00E20F3F"/>
    <w:rsid w:val="00E242FE"/>
    <w:rsid w:val="00E24EB4"/>
    <w:rsid w:val="00E320ED"/>
    <w:rsid w:val="00E32DF6"/>
    <w:rsid w:val="00E33AFB"/>
    <w:rsid w:val="00E34218"/>
    <w:rsid w:val="00E36B6A"/>
    <w:rsid w:val="00E376D7"/>
    <w:rsid w:val="00E379D0"/>
    <w:rsid w:val="00E42989"/>
    <w:rsid w:val="00E4382E"/>
    <w:rsid w:val="00E46282"/>
    <w:rsid w:val="00E47E10"/>
    <w:rsid w:val="00E47FB5"/>
    <w:rsid w:val="00E5117F"/>
    <w:rsid w:val="00E51468"/>
    <w:rsid w:val="00E5216E"/>
    <w:rsid w:val="00E53802"/>
    <w:rsid w:val="00E56643"/>
    <w:rsid w:val="00E56F4A"/>
    <w:rsid w:val="00E57BBB"/>
    <w:rsid w:val="00E57E92"/>
    <w:rsid w:val="00E60699"/>
    <w:rsid w:val="00E608D9"/>
    <w:rsid w:val="00E60B84"/>
    <w:rsid w:val="00E61FF3"/>
    <w:rsid w:val="00E70631"/>
    <w:rsid w:val="00E72A9E"/>
    <w:rsid w:val="00E73B90"/>
    <w:rsid w:val="00E753B7"/>
    <w:rsid w:val="00E7602C"/>
    <w:rsid w:val="00E76C52"/>
    <w:rsid w:val="00E82344"/>
    <w:rsid w:val="00E82F0B"/>
    <w:rsid w:val="00E833D5"/>
    <w:rsid w:val="00E83CF0"/>
    <w:rsid w:val="00E83E54"/>
    <w:rsid w:val="00E84C82"/>
    <w:rsid w:val="00E84D64"/>
    <w:rsid w:val="00E8617F"/>
    <w:rsid w:val="00E87408"/>
    <w:rsid w:val="00E914C4"/>
    <w:rsid w:val="00E934F5"/>
    <w:rsid w:val="00E93A89"/>
    <w:rsid w:val="00E93B26"/>
    <w:rsid w:val="00E96961"/>
    <w:rsid w:val="00EA00E9"/>
    <w:rsid w:val="00EA72EC"/>
    <w:rsid w:val="00EB04E1"/>
    <w:rsid w:val="00EB11CB"/>
    <w:rsid w:val="00EB275A"/>
    <w:rsid w:val="00EB3738"/>
    <w:rsid w:val="00EB3E99"/>
    <w:rsid w:val="00EB450F"/>
    <w:rsid w:val="00EB574F"/>
    <w:rsid w:val="00EB5B85"/>
    <w:rsid w:val="00EB6435"/>
    <w:rsid w:val="00EB786A"/>
    <w:rsid w:val="00EC1578"/>
    <w:rsid w:val="00EC1618"/>
    <w:rsid w:val="00EC1C72"/>
    <w:rsid w:val="00EC2945"/>
    <w:rsid w:val="00EC36B1"/>
    <w:rsid w:val="00EC3CC9"/>
    <w:rsid w:val="00EC4AD9"/>
    <w:rsid w:val="00EC680A"/>
    <w:rsid w:val="00EC6E99"/>
    <w:rsid w:val="00ED0130"/>
    <w:rsid w:val="00ED0183"/>
    <w:rsid w:val="00ED1196"/>
    <w:rsid w:val="00ED6ADE"/>
    <w:rsid w:val="00ED7AEE"/>
    <w:rsid w:val="00EE1BF1"/>
    <w:rsid w:val="00EE205B"/>
    <w:rsid w:val="00EE2BED"/>
    <w:rsid w:val="00EE3414"/>
    <w:rsid w:val="00EE374B"/>
    <w:rsid w:val="00EE4591"/>
    <w:rsid w:val="00EE4805"/>
    <w:rsid w:val="00EE4AFA"/>
    <w:rsid w:val="00EE59FB"/>
    <w:rsid w:val="00EE76F6"/>
    <w:rsid w:val="00EF10F8"/>
    <w:rsid w:val="00EF58BA"/>
    <w:rsid w:val="00EF7629"/>
    <w:rsid w:val="00F01332"/>
    <w:rsid w:val="00F11BB5"/>
    <w:rsid w:val="00F11D39"/>
    <w:rsid w:val="00F1417B"/>
    <w:rsid w:val="00F1667A"/>
    <w:rsid w:val="00F1787C"/>
    <w:rsid w:val="00F17E72"/>
    <w:rsid w:val="00F23BF1"/>
    <w:rsid w:val="00F23FAF"/>
    <w:rsid w:val="00F254BB"/>
    <w:rsid w:val="00F27CEA"/>
    <w:rsid w:val="00F3390A"/>
    <w:rsid w:val="00F34B99"/>
    <w:rsid w:val="00F34E2C"/>
    <w:rsid w:val="00F365D2"/>
    <w:rsid w:val="00F37391"/>
    <w:rsid w:val="00F37A7F"/>
    <w:rsid w:val="00F37C73"/>
    <w:rsid w:val="00F420F2"/>
    <w:rsid w:val="00F44F85"/>
    <w:rsid w:val="00F506E9"/>
    <w:rsid w:val="00F50FFC"/>
    <w:rsid w:val="00F510E6"/>
    <w:rsid w:val="00F520DE"/>
    <w:rsid w:val="00F52A16"/>
    <w:rsid w:val="00F52DAB"/>
    <w:rsid w:val="00F52FE4"/>
    <w:rsid w:val="00F54196"/>
    <w:rsid w:val="00F543F0"/>
    <w:rsid w:val="00F55827"/>
    <w:rsid w:val="00F6373D"/>
    <w:rsid w:val="00F72296"/>
    <w:rsid w:val="00F72314"/>
    <w:rsid w:val="00F737AD"/>
    <w:rsid w:val="00F7500C"/>
    <w:rsid w:val="00F75807"/>
    <w:rsid w:val="00F7604C"/>
    <w:rsid w:val="00F801FB"/>
    <w:rsid w:val="00F802C5"/>
    <w:rsid w:val="00F81158"/>
    <w:rsid w:val="00F81D29"/>
    <w:rsid w:val="00F81D61"/>
    <w:rsid w:val="00F81DC8"/>
    <w:rsid w:val="00F90061"/>
    <w:rsid w:val="00F907D9"/>
    <w:rsid w:val="00F91C4D"/>
    <w:rsid w:val="00F928AB"/>
    <w:rsid w:val="00F92FD9"/>
    <w:rsid w:val="00F93F99"/>
    <w:rsid w:val="00F94BCF"/>
    <w:rsid w:val="00F96A00"/>
    <w:rsid w:val="00F96BC5"/>
    <w:rsid w:val="00F976AD"/>
    <w:rsid w:val="00FA1947"/>
    <w:rsid w:val="00FA20E9"/>
    <w:rsid w:val="00FA2541"/>
    <w:rsid w:val="00FA42EF"/>
    <w:rsid w:val="00FA6470"/>
    <w:rsid w:val="00FA6684"/>
    <w:rsid w:val="00FA705E"/>
    <w:rsid w:val="00FA731E"/>
    <w:rsid w:val="00FA7F54"/>
    <w:rsid w:val="00FB0B66"/>
    <w:rsid w:val="00FB0E33"/>
    <w:rsid w:val="00FB1366"/>
    <w:rsid w:val="00FB2B38"/>
    <w:rsid w:val="00FB2F2C"/>
    <w:rsid w:val="00FB3791"/>
    <w:rsid w:val="00FB4F4E"/>
    <w:rsid w:val="00FB653E"/>
    <w:rsid w:val="00FC6358"/>
    <w:rsid w:val="00FC6C90"/>
    <w:rsid w:val="00FC6D10"/>
    <w:rsid w:val="00FD04BB"/>
    <w:rsid w:val="00FD320D"/>
    <w:rsid w:val="00FD4E64"/>
    <w:rsid w:val="00FD570D"/>
    <w:rsid w:val="00FE05C6"/>
    <w:rsid w:val="00FE06DA"/>
    <w:rsid w:val="00FE1498"/>
    <w:rsid w:val="00FE23DE"/>
    <w:rsid w:val="00FE714A"/>
    <w:rsid w:val="00FF5141"/>
    <w:rsid w:val="00FF7053"/>
    <w:rsid w:val="01AF70E0"/>
    <w:rsid w:val="02356592"/>
    <w:rsid w:val="02FC5B1E"/>
    <w:rsid w:val="03522419"/>
    <w:rsid w:val="042931CA"/>
    <w:rsid w:val="058D14E6"/>
    <w:rsid w:val="05A056BD"/>
    <w:rsid w:val="069C768C"/>
    <w:rsid w:val="09105898"/>
    <w:rsid w:val="0A842761"/>
    <w:rsid w:val="0AF838A6"/>
    <w:rsid w:val="0C186FF5"/>
    <w:rsid w:val="0C4F3999"/>
    <w:rsid w:val="0C68411F"/>
    <w:rsid w:val="0DD7773F"/>
    <w:rsid w:val="0DD87131"/>
    <w:rsid w:val="0E1C2837"/>
    <w:rsid w:val="0E8D76BF"/>
    <w:rsid w:val="0FF86415"/>
    <w:rsid w:val="10E751CB"/>
    <w:rsid w:val="117D4B05"/>
    <w:rsid w:val="11E60D46"/>
    <w:rsid w:val="128A1009"/>
    <w:rsid w:val="130C4280"/>
    <w:rsid w:val="13141499"/>
    <w:rsid w:val="13A363A6"/>
    <w:rsid w:val="13C407C9"/>
    <w:rsid w:val="15421004"/>
    <w:rsid w:val="16152745"/>
    <w:rsid w:val="18B249E6"/>
    <w:rsid w:val="19033D71"/>
    <w:rsid w:val="198070DD"/>
    <w:rsid w:val="19FD3DE3"/>
    <w:rsid w:val="1D692E97"/>
    <w:rsid w:val="1DD112DC"/>
    <w:rsid w:val="1E162B63"/>
    <w:rsid w:val="1ECA6EAF"/>
    <w:rsid w:val="1F3E57F5"/>
    <w:rsid w:val="20F87D04"/>
    <w:rsid w:val="215C14F1"/>
    <w:rsid w:val="219D7421"/>
    <w:rsid w:val="22042048"/>
    <w:rsid w:val="22372892"/>
    <w:rsid w:val="22821F7B"/>
    <w:rsid w:val="2346744C"/>
    <w:rsid w:val="24642242"/>
    <w:rsid w:val="27E86D24"/>
    <w:rsid w:val="29D60DFE"/>
    <w:rsid w:val="2AAF0501"/>
    <w:rsid w:val="2CB27900"/>
    <w:rsid w:val="2CD930DF"/>
    <w:rsid w:val="2E1C1A4E"/>
    <w:rsid w:val="311C17EC"/>
    <w:rsid w:val="330B36E3"/>
    <w:rsid w:val="330F0C32"/>
    <w:rsid w:val="339A7723"/>
    <w:rsid w:val="369C38BD"/>
    <w:rsid w:val="37623CD1"/>
    <w:rsid w:val="379B6F21"/>
    <w:rsid w:val="38B76468"/>
    <w:rsid w:val="39074B30"/>
    <w:rsid w:val="393D2C48"/>
    <w:rsid w:val="3B6049CB"/>
    <w:rsid w:val="3C2854E9"/>
    <w:rsid w:val="3C511BBD"/>
    <w:rsid w:val="3EB63280"/>
    <w:rsid w:val="3F4E16F7"/>
    <w:rsid w:val="40B27A77"/>
    <w:rsid w:val="42402E61"/>
    <w:rsid w:val="42CE0DB5"/>
    <w:rsid w:val="431C38CE"/>
    <w:rsid w:val="44461E5D"/>
    <w:rsid w:val="44DF0547"/>
    <w:rsid w:val="456F20B0"/>
    <w:rsid w:val="46501BB1"/>
    <w:rsid w:val="46C760FC"/>
    <w:rsid w:val="47354B5E"/>
    <w:rsid w:val="48067A7A"/>
    <w:rsid w:val="484A2C8B"/>
    <w:rsid w:val="496438D9"/>
    <w:rsid w:val="49657DD7"/>
    <w:rsid w:val="4A203CA4"/>
    <w:rsid w:val="4B832F1B"/>
    <w:rsid w:val="4D8B1D7C"/>
    <w:rsid w:val="4DC024C2"/>
    <w:rsid w:val="4F195165"/>
    <w:rsid w:val="4F7725B8"/>
    <w:rsid w:val="50491E16"/>
    <w:rsid w:val="51C508AC"/>
    <w:rsid w:val="524F15CA"/>
    <w:rsid w:val="52D97B35"/>
    <w:rsid w:val="52ED216D"/>
    <w:rsid w:val="54923CCC"/>
    <w:rsid w:val="58D3391B"/>
    <w:rsid w:val="591168D4"/>
    <w:rsid w:val="5A317807"/>
    <w:rsid w:val="5A3E5A7E"/>
    <w:rsid w:val="5AE12A2F"/>
    <w:rsid w:val="5B8B2B9C"/>
    <w:rsid w:val="5CBF559E"/>
    <w:rsid w:val="5CFA0384"/>
    <w:rsid w:val="5DAF4C1C"/>
    <w:rsid w:val="5EC40C4A"/>
    <w:rsid w:val="5EEE5CC7"/>
    <w:rsid w:val="5F351AFE"/>
    <w:rsid w:val="5F7B5377"/>
    <w:rsid w:val="600A2FD4"/>
    <w:rsid w:val="610E43FE"/>
    <w:rsid w:val="61581B1D"/>
    <w:rsid w:val="61E57FA0"/>
    <w:rsid w:val="628706E7"/>
    <w:rsid w:val="62967763"/>
    <w:rsid w:val="62C515BD"/>
    <w:rsid w:val="62CD309A"/>
    <w:rsid w:val="63DA7CC6"/>
    <w:rsid w:val="641F3CDE"/>
    <w:rsid w:val="645121B3"/>
    <w:rsid w:val="645B6A79"/>
    <w:rsid w:val="6568477B"/>
    <w:rsid w:val="66EF66F6"/>
    <w:rsid w:val="67151D0D"/>
    <w:rsid w:val="674B0307"/>
    <w:rsid w:val="674C7A2E"/>
    <w:rsid w:val="68D52A0C"/>
    <w:rsid w:val="68EC262D"/>
    <w:rsid w:val="699337D1"/>
    <w:rsid w:val="6A2676D1"/>
    <w:rsid w:val="6C875787"/>
    <w:rsid w:val="6DAD4F9F"/>
    <w:rsid w:val="6E22122F"/>
    <w:rsid w:val="6E906FA7"/>
    <w:rsid w:val="6F2A019B"/>
    <w:rsid w:val="700674E0"/>
    <w:rsid w:val="7082657D"/>
    <w:rsid w:val="713E0126"/>
    <w:rsid w:val="71795A6F"/>
    <w:rsid w:val="74FB02EF"/>
    <w:rsid w:val="7520118A"/>
    <w:rsid w:val="753A6C3F"/>
    <w:rsid w:val="764861AD"/>
    <w:rsid w:val="7B2933C2"/>
    <w:rsid w:val="7BA96514"/>
    <w:rsid w:val="7BDA1655"/>
    <w:rsid w:val="7C8F6697"/>
    <w:rsid w:val="7D0E5A5A"/>
    <w:rsid w:val="7DA7106F"/>
    <w:rsid w:val="7EB64553"/>
    <w:rsid w:val="7F12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6"/>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2"/>
    <w:qFormat/>
    <w:uiPriority w:val="0"/>
    <w:rPr>
      <w:sz w:val="18"/>
      <w:szCs w:val="18"/>
    </w:r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41"/>
    <w:qFormat/>
    <w:uiPriority w:val="0"/>
    <w:pPr>
      <w:snapToGrid w:val="0"/>
      <w:jc w:val="left"/>
    </w:pPr>
    <w:rPr>
      <w:sz w:val="18"/>
      <w:szCs w:val="18"/>
    </w:rPr>
  </w:style>
  <w:style w:type="paragraph" w:styleId="18">
    <w:name w:val="toc 1"/>
    <w:basedOn w:val="1"/>
    <w:next w:val="1"/>
    <w:semiHidden/>
    <w:qFormat/>
    <w:uiPriority w:val="0"/>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tabs>
        <w:tab w:val="left" w:pos="0"/>
      </w:tabs>
      <w:snapToGrid w:val="0"/>
      <w:ind w:left="720" w:hanging="357"/>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147"/>
    <w:semiHidden/>
    <w:unhideWhenUsed/>
    <w:qFormat/>
    <w:uiPriority w:val="0"/>
    <w:rPr>
      <w:b/>
      <w:bCs/>
    </w:rPr>
  </w:style>
  <w:style w:type="table" w:styleId="32">
    <w:name w:val="Table Grid"/>
    <w:basedOn w:val="31"/>
    <w:qFormat/>
    <w:uiPriority w:val="59"/>
    <w:pPr>
      <w:numPr>
        <w:numId w:val="1"/>
      </w:numPr>
      <w:tabs>
        <w:tab w:val="left" w:pos="720"/>
      </w:tabs>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Hyperlink"/>
    <w:qFormat/>
    <w:uiPriority w:val="0"/>
    <w:rPr>
      <w:color w:val="0000FF"/>
      <w:spacing w:val="0"/>
      <w:w w:val="100"/>
      <w:szCs w:val="21"/>
      <w:u w:val="single"/>
      <w:lang w:val="en-US" w:eastAsia="zh-CN"/>
    </w:rPr>
  </w:style>
  <w:style w:type="character" w:styleId="37">
    <w:name w:val="annotation reference"/>
    <w:basedOn w:val="33"/>
    <w:semiHidden/>
    <w:unhideWhenUsed/>
    <w:qFormat/>
    <w:uiPriority w:val="0"/>
    <w:rPr>
      <w:sz w:val="21"/>
      <w:szCs w:val="21"/>
    </w:rPr>
  </w:style>
  <w:style w:type="character" w:styleId="38">
    <w:name w:val="footnote reference"/>
    <w:semiHidden/>
    <w:qFormat/>
    <w:uiPriority w:val="0"/>
    <w:rPr>
      <w:vertAlign w:val="superscript"/>
    </w:rPr>
  </w:style>
  <w:style w:type="character" w:customStyle="1" w:styleId="39">
    <w:name w:val="段 Char"/>
    <w:link w:val="22"/>
    <w:qFormat/>
    <w:uiPriority w:val="0"/>
    <w:rPr>
      <w:rFonts w:ascii="宋体"/>
      <w:sz w:val="21"/>
      <w:lang w:val="en-US" w:eastAsia="zh-CN" w:bidi="ar-SA"/>
    </w:rPr>
  </w:style>
  <w:style w:type="character" w:customStyle="1" w:styleId="40">
    <w:name w:val="访问过的超链接1"/>
    <w:qFormat/>
    <w:uiPriority w:val="0"/>
    <w:rPr>
      <w:color w:val="800080"/>
      <w:u w:val="single"/>
    </w:rPr>
  </w:style>
  <w:style w:type="character" w:customStyle="1" w:styleId="41">
    <w:name w:val="页眉 字符"/>
    <w:link w:val="17"/>
    <w:qFormat/>
    <w:locked/>
    <w:uiPriority w:val="0"/>
    <w:rPr>
      <w:kern w:val="2"/>
      <w:sz w:val="18"/>
      <w:szCs w:val="18"/>
    </w:rPr>
  </w:style>
  <w:style w:type="character" w:customStyle="1" w:styleId="42">
    <w:name w:val="批注框文本 字符"/>
    <w:link w:val="15"/>
    <w:qFormat/>
    <w:uiPriority w:val="0"/>
    <w:rPr>
      <w:kern w:val="2"/>
      <w:sz w:val="18"/>
      <w:szCs w:val="18"/>
    </w:rPr>
  </w:style>
  <w:style w:type="character" w:customStyle="1" w:styleId="43">
    <w:name w:val="发布"/>
    <w:qFormat/>
    <w:uiPriority w:val="0"/>
    <w:rPr>
      <w:rFonts w:ascii="黑体" w:eastAsia="黑体"/>
      <w:spacing w:val="85"/>
      <w:w w:val="100"/>
      <w:position w:val="3"/>
      <w:sz w:val="28"/>
      <w:szCs w:val="28"/>
    </w:rPr>
  </w:style>
  <w:style w:type="character" w:customStyle="1" w:styleId="44">
    <w:name w:val="章标题 Char"/>
    <w:link w:val="45"/>
    <w:qFormat/>
    <w:locked/>
    <w:uiPriority w:val="0"/>
    <w:rPr>
      <w:rFonts w:ascii="黑体" w:eastAsia="黑体"/>
      <w:sz w:val="21"/>
    </w:rPr>
  </w:style>
  <w:style w:type="paragraph" w:customStyle="1" w:styleId="45">
    <w:name w:val="章标题"/>
    <w:next w:val="22"/>
    <w:link w:val="44"/>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qFormat/>
    <w:locked/>
    <w:uiPriority w:val="0"/>
    <w:rPr>
      <w:rFonts w:ascii="黑体" w:eastAsia="黑体"/>
      <w:sz w:val="21"/>
      <w:szCs w:val="21"/>
    </w:rPr>
  </w:style>
  <w:style w:type="paragraph" w:customStyle="1" w:styleId="47">
    <w:name w:val="一级条标题"/>
    <w:next w:val="22"/>
    <w:link w:val="46"/>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qFormat/>
    <w:locked/>
    <w:uiPriority w:val="0"/>
    <w:rPr>
      <w:rFonts w:ascii="宋体"/>
      <w:sz w:val="21"/>
      <w:szCs w:val="21"/>
    </w:rPr>
  </w:style>
  <w:style w:type="paragraph" w:customStyle="1" w:styleId="49">
    <w:name w:val="二级无"/>
    <w:basedOn w:val="50"/>
    <w:link w:val="48"/>
    <w:qFormat/>
    <w:uiPriority w:val="0"/>
    <w:pPr>
      <w:spacing w:beforeLines="0" w:afterLines="0"/>
    </w:pPr>
    <w:rPr>
      <w:rFonts w:ascii="宋体" w:eastAsia="宋体"/>
    </w:rPr>
  </w:style>
  <w:style w:type="paragraph" w:customStyle="1" w:styleId="50">
    <w:name w:val="二级条标题"/>
    <w:basedOn w:val="47"/>
    <w:next w:val="22"/>
    <w:link w:val="145"/>
    <w:qFormat/>
    <w:uiPriority w:val="0"/>
    <w:pPr>
      <w:spacing w:before="50" w:after="50"/>
      <w:outlineLvl w:val="3"/>
    </w:pPr>
  </w:style>
  <w:style w:type="character" w:customStyle="1" w:styleId="51">
    <w:name w:val="附录公式 Char"/>
    <w:basedOn w:val="39"/>
    <w:link w:val="52"/>
    <w:qFormat/>
    <w:uiPriority w:val="0"/>
    <w:rPr>
      <w:rFonts w:ascii="宋体"/>
      <w:sz w:val="21"/>
      <w:lang w:val="en-US" w:eastAsia="zh-CN" w:bidi="ar-SA"/>
    </w:rPr>
  </w:style>
  <w:style w:type="paragraph" w:customStyle="1" w:styleId="52">
    <w:name w:val="附录公式"/>
    <w:basedOn w:val="22"/>
    <w:next w:val="22"/>
    <w:link w:val="51"/>
    <w:qFormat/>
    <w:uiPriority w:val="0"/>
  </w:style>
  <w:style w:type="character" w:customStyle="1" w:styleId="53">
    <w:name w:val="页脚 字符"/>
    <w:link w:val="16"/>
    <w:qFormat/>
    <w:locked/>
    <w:uiPriority w:val="99"/>
    <w:rPr>
      <w:kern w:val="2"/>
      <w:sz w:val="18"/>
      <w:szCs w:val="18"/>
    </w:rPr>
  </w:style>
  <w:style w:type="character" w:customStyle="1" w:styleId="54">
    <w:name w:val="首示例 Char"/>
    <w:link w:val="55"/>
    <w:qFormat/>
    <w:uiPriority w:val="0"/>
    <w:rPr>
      <w:rFonts w:ascii="宋体" w:hAnsi="宋体"/>
      <w:kern w:val="2"/>
      <w:sz w:val="18"/>
      <w:szCs w:val="18"/>
    </w:rPr>
  </w:style>
  <w:style w:type="paragraph" w:customStyle="1" w:styleId="55">
    <w:name w:val="首示例"/>
    <w:next w:val="22"/>
    <w:link w:val="54"/>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qFormat/>
    <w:uiPriority w:val="0"/>
    <w:pPr>
      <w:ind w:firstLine="360"/>
    </w:pPr>
    <w:rPr>
      <w:sz w:val="18"/>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qFormat/>
    <w:uiPriority w:val="0"/>
    <w:pPr>
      <w:spacing w:line="14" w:lineRule="exact"/>
      <w:ind w:left="811" w:hanging="448"/>
      <w:jc w:val="center"/>
      <w:outlineLvl w:val="0"/>
    </w:pPr>
    <w:rPr>
      <w:color w:val="FFFFFF"/>
    </w:rPr>
  </w:style>
  <w:style w:type="paragraph" w:customStyle="1" w:styleId="65">
    <w:name w:val="附录二级条标题"/>
    <w:basedOn w:val="1"/>
    <w:next w:val="22"/>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qFormat/>
    <w:uiPriority w:val="99"/>
    <w:pPr>
      <w:framePr w:wrap="around"/>
      <w:spacing w:before="440"/>
    </w:pPr>
    <w:rPr>
      <w:rFonts w:ascii="宋体" w:eastAsia="宋体"/>
    </w:rPr>
  </w:style>
  <w:style w:type="paragraph" w:customStyle="1" w:styleId="67">
    <w:name w:val="封面标准英文名称"/>
    <w:basedOn w:val="68"/>
    <w:qFormat/>
    <w:uiPriority w:val="0"/>
    <w:pPr>
      <w:framePr w:wrap="around"/>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qFormat/>
    <w:uiPriority w:val="0"/>
    <w:pPr>
      <w:tabs>
        <w:tab w:val="clear" w:pos="360"/>
      </w:tabs>
      <w:spacing w:beforeLines="0" w:afterLines="0"/>
    </w:pPr>
    <w:rPr>
      <w:rFonts w:ascii="宋体" w:eastAsia="宋体"/>
      <w:szCs w:val="21"/>
    </w:rPr>
  </w:style>
  <w:style w:type="paragraph" w:customStyle="1" w:styleId="70">
    <w:name w:val="一级无"/>
    <w:basedOn w:val="47"/>
    <w:qFormat/>
    <w:uiPriority w:val="0"/>
    <w:pPr>
      <w:spacing w:beforeLines="0" w:afterLines="0"/>
    </w:pPr>
    <w:rPr>
      <w:rFonts w:ascii="宋体" w:eastAsia="宋体"/>
    </w:rPr>
  </w:style>
  <w:style w:type="paragraph" w:customStyle="1" w:styleId="71">
    <w:name w:val="实施日期"/>
    <w:basedOn w:val="57"/>
    <w:qFormat/>
    <w:uiPriority w:val="0"/>
    <w:pPr>
      <w:framePr w:wrap="around" w:vAnchor="page" w:hAnchor="text"/>
      <w:jc w:val="right"/>
    </w:pPr>
  </w:style>
  <w:style w:type="paragraph" w:customStyle="1" w:styleId="72">
    <w:name w:val="四级无"/>
    <w:basedOn w:val="73"/>
    <w:qFormat/>
    <w:uiPriority w:val="0"/>
    <w:pPr>
      <w:spacing w:beforeLines="0" w:afterLines="0"/>
    </w:pPr>
    <w:rPr>
      <w:rFonts w:ascii="宋体" w:eastAsia="宋体"/>
    </w:rPr>
  </w:style>
  <w:style w:type="paragraph" w:customStyle="1" w:styleId="73">
    <w:name w:val="四级条标题"/>
    <w:basedOn w:val="74"/>
    <w:next w:val="22"/>
    <w:qFormat/>
    <w:uiPriority w:val="0"/>
    <w:pPr>
      <w:outlineLvl w:val="5"/>
    </w:pPr>
  </w:style>
  <w:style w:type="paragraph" w:customStyle="1" w:styleId="74">
    <w:name w:val="三级条标题"/>
    <w:basedOn w:val="50"/>
    <w:next w:val="22"/>
    <w:qFormat/>
    <w:uiPriority w:val="0"/>
    <w:pPr>
      <w:outlineLvl w:val="4"/>
    </w:pPr>
  </w:style>
  <w:style w:type="paragraph" w:customStyle="1" w:styleId="7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qFormat/>
    <w:uiPriority w:val="0"/>
    <w:pPr>
      <w:ind w:left="840" w:hanging="420" w:firstLineChars="0"/>
    </w:pPr>
    <w:rPr>
      <w:sz w:val="18"/>
      <w:szCs w:val="18"/>
    </w:rPr>
  </w:style>
  <w:style w:type="paragraph" w:customStyle="1" w:styleId="80">
    <w:name w:val="列项◆（三级）"/>
    <w:basedOn w:val="1"/>
    <w:qFormat/>
    <w:uiPriority w:val="0"/>
    <w:pPr>
      <w:tabs>
        <w:tab w:val="left" w:pos="1678"/>
      </w:tabs>
      <w:ind w:left="1678" w:hanging="414"/>
    </w:pPr>
    <w:rPr>
      <w:rFonts w:ascii="宋体"/>
      <w:szCs w:val="21"/>
    </w:rPr>
  </w:style>
  <w:style w:type="paragraph" w:customStyle="1" w:styleId="8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qFormat/>
    <w:uiPriority w:val="0"/>
    <w:pPr>
      <w:outlineLvl w:val="4"/>
    </w:pPr>
  </w:style>
  <w:style w:type="paragraph" w:customStyle="1" w:styleId="8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qFormat/>
    <w:uiPriority w:val="0"/>
    <w:pPr>
      <w:tabs>
        <w:tab w:val="left" w:pos="360"/>
      </w:tabs>
      <w:outlineLvl w:val="6"/>
    </w:pPr>
  </w:style>
  <w:style w:type="paragraph" w:customStyle="1" w:styleId="86">
    <w:name w:val="附录四级条标题"/>
    <w:basedOn w:val="82"/>
    <w:next w:val="22"/>
    <w:qFormat/>
    <w:uiPriority w:val="0"/>
    <w:pPr>
      <w:outlineLvl w:val="5"/>
    </w:pPr>
  </w:style>
  <w:style w:type="paragraph" w:customStyle="1" w:styleId="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qFormat/>
    <w:uiPriority w:val="0"/>
    <w:pPr>
      <w:tabs>
        <w:tab w:val="left" w:pos="360"/>
      </w:tabs>
      <w:autoSpaceDN w:val="0"/>
      <w:spacing w:beforeLines="50" w:afterLines="50"/>
      <w:outlineLvl w:val="2"/>
    </w:pPr>
  </w:style>
  <w:style w:type="paragraph" w:customStyle="1" w:styleId="90">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9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qFormat/>
    <w:uiPriority w:val="0"/>
    <w:pPr>
      <w:ind w:left="0" w:firstLine="0"/>
      <w:jc w:val="both"/>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qFormat/>
    <w:uiPriority w:val="0"/>
    <w:pPr>
      <w:framePr w:wrap="around" w:y="4469"/>
    </w:pPr>
  </w:style>
  <w:style w:type="paragraph" w:customStyle="1" w:styleId="10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qFormat/>
    <w:uiPriority w:val="0"/>
    <w:pPr>
      <w:tabs>
        <w:tab w:val="clear" w:pos="360"/>
      </w:tabs>
      <w:spacing w:beforeLines="0" w:afterLines="0"/>
    </w:pPr>
    <w:rPr>
      <w:rFonts w:ascii="宋体" w:eastAsia="宋体"/>
      <w:szCs w:val="21"/>
    </w:rPr>
  </w:style>
  <w:style w:type="paragraph" w:customStyle="1" w:styleId="109">
    <w:name w:val="其他发布日期"/>
    <w:basedOn w:val="57"/>
    <w:qFormat/>
    <w:uiPriority w:val="99"/>
    <w:pPr>
      <w:framePr w:wrap="around" w:vAnchor="page" w:hAnchor="text" w:x="1419"/>
    </w:pPr>
  </w:style>
  <w:style w:type="paragraph" w:customStyle="1" w:styleId="11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qFormat/>
    <w:uiPriority w:val="0"/>
    <w:pPr>
      <w:ind w:left="544" w:hanging="181"/>
    </w:pPr>
    <w:rPr>
      <w:rFonts w:ascii="宋体"/>
      <w:sz w:val="18"/>
      <w:szCs w:val="18"/>
    </w:rPr>
  </w:style>
  <w:style w:type="paragraph" w:customStyle="1" w:styleId="114">
    <w:name w:val="五级条标题"/>
    <w:basedOn w:val="73"/>
    <w:next w:val="22"/>
    <w:qFormat/>
    <w:uiPriority w:val="0"/>
    <w:pPr>
      <w:outlineLvl w:val="6"/>
    </w:pPr>
  </w:style>
  <w:style w:type="paragraph" w:customStyle="1" w:styleId="115">
    <w:name w:val="封面标准文稿类别"/>
    <w:basedOn w:val="66"/>
    <w:qFormat/>
    <w:uiPriority w:val="0"/>
    <w:pPr>
      <w:framePr w:wrap="around"/>
      <w:spacing w:after="160" w:line="240" w:lineRule="auto"/>
    </w:pPr>
    <w:rPr>
      <w:sz w:val="24"/>
    </w:r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qFormat/>
    <w:uiPriority w:val="0"/>
    <w:pPr>
      <w:spacing w:beforeLines="0" w:afterLines="0"/>
      <w:ind w:firstLine="363"/>
      <w:outlineLvl w:val="9"/>
    </w:pPr>
    <w:rPr>
      <w:rFonts w:ascii="宋体" w:eastAsia="宋体"/>
      <w:sz w:val="18"/>
      <w:szCs w:val="18"/>
    </w:rPr>
  </w:style>
  <w:style w:type="paragraph" w:customStyle="1" w:styleId="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qFormat/>
    <w:uiPriority w:val="0"/>
    <w:pPr>
      <w:jc w:val="left"/>
    </w:pPr>
  </w:style>
  <w:style w:type="paragraph" w:customStyle="1" w:styleId="122">
    <w:name w:val="封面标准文稿编辑信息"/>
    <w:basedOn w:val="115"/>
    <w:qFormat/>
    <w:uiPriority w:val="0"/>
    <w:pPr>
      <w:framePr w:wrap="around"/>
      <w:spacing w:before="180" w:line="180" w:lineRule="exact"/>
    </w:pPr>
    <w:rPr>
      <w:sz w:val="21"/>
    </w:rPr>
  </w:style>
  <w:style w:type="paragraph" w:customStyle="1" w:styleId="123">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4">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qFormat/>
    <w:uiPriority w:val="0"/>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qFormat/>
    <w:uiPriority w:val="0"/>
    <w:pPr>
      <w:ind w:firstLine="0" w:firstLineChars="0"/>
      <w:jc w:val="center"/>
    </w:pPr>
    <w:rPr>
      <w:rFonts w:ascii="黑体" w:eastAsia="黑体"/>
    </w:r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qFormat/>
    <w:uiPriority w:val="0"/>
    <w:pPr>
      <w:framePr w:wrap="around" w:y="4469"/>
      <w:spacing w:beforeLines="630"/>
    </w:pPr>
  </w:style>
  <w:style w:type="paragraph" w:customStyle="1" w:styleId="132">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qFormat/>
    <w:uiPriority w:val="0"/>
    <w:pPr>
      <w:framePr w:wrap="around" w:y="4469"/>
    </w:pPr>
  </w:style>
  <w:style w:type="paragraph" w:customStyle="1" w:styleId="134">
    <w:name w:val="其他发布部门"/>
    <w:basedOn w:val="132"/>
    <w:qFormat/>
    <w:uiPriority w:val="0"/>
    <w:pPr>
      <w:framePr w:wrap="around" w:y="15310"/>
      <w:spacing w:line="0" w:lineRule="atLeast"/>
    </w:pPr>
    <w:rPr>
      <w:rFonts w:ascii="黑体" w:eastAsia="黑体"/>
      <w:b w:val="0"/>
    </w:rPr>
  </w:style>
  <w:style w:type="paragraph" w:customStyle="1" w:styleId="135">
    <w:name w:val="附录四级无"/>
    <w:basedOn w:val="86"/>
    <w:qFormat/>
    <w:uiPriority w:val="0"/>
    <w:pPr>
      <w:tabs>
        <w:tab w:val="clear" w:pos="360"/>
      </w:tabs>
      <w:spacing w:beforeLines="0" w:afterLines="0"/>
    </w:pPr>
    <w:rPr>
      <w:rFonts w:ascii="宋体" w:eastAsia="宋体"/>
      <w:szCs w:val="21"/>
    </w:rPr>
  </w:style>
  <w:style w:type="paragraph" w:customStyle="1" w:styleId="136">
    <w:name w:val="三级无"/>
    <w:basedOn w:val="74"/>
    <w:qFormat/>
    <w:uiPriority w:val="0"/>
    <w:pPr>
      <w:spacing w:beforeLines="0" w:afterLines="0"/>
    </w:pPr>
    <w:rPr>
      <w:rFonts w:ascii="宋体" w:eastAsia="宋体"/>
    </w:rPr>
  </w:style>
  <w:style w:type="paragraph" w:customStyle="1" w:styleId="137">
    <w:name w:val="五级无"/>
    <w:basedOn w:val="114"/>
    <w:qFormat/>
    <w:uiPriority w:val="0"/>
    <w:pPr>
      <w:spacing w:beforeLines="0" w:afterLines="0"/>
    </w:pPr>
    <w:rPr>
      <w:rFonts w:ascii="宋体" w:eastAsia="宋体"/>
    </w:rPr>
  </w:style>
  <w:style w:type="paragraph" w:customStyle="1" w:styleId="138">
    <w:name w:val="正文公式编号制表符"/>
    <w:basedOn w:val="22"/>
    <w:next w:val="22"/>
    <w:qFormat/>
    <w:uiPriority w:val="0"/>
    <w:pPr>
      <w:ind w:firstLine="0" w:firstLineChars="0"/>
    </w:p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实施日期"/>
    <w:basedOn w:val="71"/>
    <w:qFormat/>
    <w:uiPriority w:val="99"/>
    <w:pPr>
      <w:framePr w:wrap="around"/>
    </w:pPr>
  </w:style>
  <w:style w:type="paragraph" w:customStyle="1" w:styleId="141">
    <w:name w:val="封面标准英文名称2"/>
    <w:basedOn w:val="67"/>
    <w:qFormat/>
    <w:uiPriority w:val="0"/>
    <w:pPr>
      <w:framePr w:wrap="around" w:y="4469"/>
    </w:pPr>
  </w:style>
  <w:style w:type="paragraph" w:customStyle="1" w:styleId="142">
    <w:name w:val="封面标准文稿类别2"/>
    <w:basedOn w:val="115"/>
    <w:qFormat/>
    <w:uiPriority w:val="0"/>
    <w:pPr>
      <w:framePr w:wrap="around" w:y="4469"/>
    </w:pPr>
  </w:style>
  <w:style w:type="paragraph" w:styleId="143">
    <w:name w:val="List Paragraph"/>
    <w:basedOn w:val="1"/>
    <w:qFormat/>
    <w:uiPriority w:val="34"/>
    <w:pPr>
      <w:ind w:firstLine="420" w:firstLineChars="200"/>
    </w:pPr>
    <w:rPr>
      <w:rFonts w:ascii="Calibri" w:hAnsi="Calibri"/>
      <w:szCs w:val="22"/>
    </w:rPr>
  </w:style>
  <w:style w:type="paragraph" w:customStyle="1" w:styleId="144">
    <w:name w:val="Char Char Char Char"/>
    <w:basedOn w:val="1"/>
    <w:qFormat/>
    <w:uiPriority w:val="0"/>
    <w:pPr>
      <w:adjustRightInd w:val="0"/>
      <w:spacing w:line="360" w:lineRule="auto"/>
    </w:pPr>
    <w:rPr>
      <w:kern w:val="0"/>
      <w:sz w:val="24"/>
      <w:szCs w:val="20"/>
    </w:rPr>
  </w:style>
  <w:style w:type="character" w:customStyle="1" w:styleId="145">
    <w:name w:val="二级条标题 Char"/>
    <w:link w:val="50"/>
    <w:qFormat/>
    <w:locked/>
    <w:uiPriority w:val="0"/>
    <w:rPr>
      <w:rFonts w:ascii="黑体" w:eastAsia="黑体"/>
      <w:sz w:val="21"/>
      <w:szCs w:val="21"/>
    </w:rPr>
  </w:style>
  <w:style w:type="character" w:customStyle="1" w:styleId="146">
    <w:name w:val="批注文字 字符"/>
    <w:basedOn w:val="33"/>
    <w:link w:val="7"/>
    <w:qFormat/>
    <w:uiPriority w:val="0"/>
    <w:rPr>
      <w:kern w:val="2"/>
      <w:sz w:val="21"/>
      <w:szCs w:val="24"/>
    </w:rPr>
  </w:style>
  <w:style w:type="character" w:customStyle="1" w:styleId="147">
    <w:name w:val="批注主题 字符"/>
    <w:basedOn w:val="146"/>
    <w:link w:val="30"/>
    <w:semiHidden/>
    <w:qFormat/>
    <w:uiPriority w:val="0"/>
    <w:rPr>
      <w:b/>
      <w:bCs/>
      <w:kern w:val="2"/>
      <w:sz w:val="21"/>
      <w:szCs w:val="24"/>
    </w:rPr>
  </w:style>
  <w:style w:type="character" w:styleId="148">
    <w:name w:val="Placeholder Text"/>
    <w:basedOn w:val="33"/>
    <w:unhideWhenUsed/>
    <w:qFormat/>
    <w:uiPriority w:val="99"/>
    <w:rPr>
      <w:color w:val="808080"/>
    </w:rPr>
  </w:style>
  <w:style w:type="character" w:customStyle="1" w:styleId="149">
    <w:name w:val="font21"/>
    <w:basedOn w:val="33"/>
    <w:qFormat/>
    <w:uiPriority w:val="0"/>
    <w:rPr>
      <w:rFonts w:hint="default" w:ascii="Times New Roman" w:hAnsi="Times New Roman" w:cs="Times New Roman"/>
      <w:color w:val="000000"/>
      <w:sz w:val="20"/>
      <w:szCs w:val="20"/>
      <w:u w:val="none"/>
    </w:rPr>
  </w:style>
  <w:style w:type="character" w:customStyle="1" w:styleId="150">
    <w:name w:val="font01"/>
    <w:basedOn w:val="33"/>
    <w:qFormat/>
    <w:uiPriority w:val="0"/>
    <w:rPr>
      <w:rFonts w:hint="default" w:ascii="Times New Roman" w:hAnsi="Times New Roman" w:cs="Times New Roman"/>
      <w:color w:val="000000"/>
      <w:sz w:val="18"/>
      <w:szCs w:val="18"/>
      <w:u w:val="none"/>
    </w:rPr>
  </w:style>
  <w:style w:type="character" w:customStyle="1" w:styleId="151">
    <w:name w:val="font31"/>
    <w:basedOn w:val="33"/>
    <w:qFormat/>
    <w:uiPriority w:val="0"/>
    <w:rPr>
      <w:rFonts w:hint="eastAsia" w:ascii="宋体" w:hAnsi="宋体" w:eastAsia="宋体" w:cs="宋体"/>
      <w:color w:val="000000"/>
      <w:sz w:val="18"/>
      <w:szCs w:val="18"/>
      <w:u w:val="none"/>
    </w:rPr>
  </w:style>
  <w:style w:type="paragraph" w:customStyle="1" w:styleId="15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3">
    <w:name w:val="Revision"/>
    <w:hidden/>
    <w:unhideWhenUsed/>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0C4351-84A2-4607-B42E-8A850BEBEE7B}">
  <ds:schemaRefs/>
</ds:datastoreItem>
</file>

<file path=docProps/app.xml><?xml version="1.0" encoding="utf-8"?>
<Properties xmlns="http://schemas.openxmlformats.org/officeDocument/2006/extended-properties" xmlns:vt="http://schemas.openxmlformats.org/officeDocument/2006/docPropsVTypes">
  <Template>Normal</Template>
  <Pages>14</Pages>
  <Words>4984</Words>
  <Characters>6385</Characters>
  <Lines>69</Lines>
  <Paragraphs>19</Paragraphs>
  <TotalTime>76</TotalTime>
  <ScaleCrop>false</ScaleCrop>
  <LinksUpToDate>false</LinksUpToDate>
  <CharactersWithSpaces>6752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2024-06-28T08:54:00Z</dcterms:created>
  <cp:lastPrinted>2022-05-30T08:57:00Z</cp:lastPrinted>
  <dcterms:modified xsi:type="dcterms:W3CDTF">2025-03-17T00:44:17Z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9F1AF26E8D6B4E5A99BBE927C20F923A</vt:lpwstr>
  </property>
  <property fmtid="{D5CDD505-2E9C-101B-9397-08002B2CF9AE}" pid="4" name="KSOTemplateDocerSaveRecord">
    <vt:lpwstr>eyJoZGlkIjoiYThkN2NjNTA0ZDhlYjRiOGI0MDBhNGIzMWU1YTkwMzIiLCJ1c2VySWQiOiIzMzcyOTAwNTkifQ==</vt:lpwstr>
  </property>
</Properties>
</file>