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AF0033">
      <w:pPr>
        <w:pStyle w:val="157"/>
        <w:framePr w:wrap="around"/>
      </w:pPr>
      <w:r>
        <w:rPr>
          <w:rFonts w:ascii="Times New Roman"/>
        </w:rPr>
        <w:t>ICS</w:t>
      </w:r>
      <w:r>
        <w:rPr>
          <w:rFonts w:hAnsi="黑体"/>
        </w:rPr>
        <w:t> </w:t>
      </w:r>
      <w:bookmarkStart w:id="0" w:name="ICS"/>
      <w:r>
        <w:fldChar w:fldCharType="begin">
          <w:ffData>
            <w:name w:val="ICS"/>
            <w:enabled/>
            <w:calcOnExit w:val="0"/>
            <w:helpText w:type="text" w:val="请输入正确的ICS号："/>
            <w:textInput>
              <w:default w:val="点击此处添加ICS号"/>
            </w:textInput>
          </w:ffData>
        </w:fldChar>
      </w:r>
      <w:r>
        <w:instrText xml:space="preserve"> FORMTEXT </w:instrText>
      </w:r>
      <w:r>
        <w:fldChar w:fldCharType="separate"/>
      </w:r>
      <w:r>
        <w:rPr>
          <w:rFonts w:hint="eastAsia"/>
        </w:rPr>
        <w:t>83.130</w:t>
      </w:r>
      <w:r>
        <w:fldChar w:fldCharType="end"/>
      </w:r>
      <w:bookmarkEnd w:id="0"/>
    </w:p>
    <w:p w14:paraId="51A92BBB">
      <w:pPr>
        <w:pStyle w:val="157"/>
        <w:framePr w:wrap="around"/>
      </w:pPr>
      <w:bookmarkStart w:id="1" w:name="WXFLH"/>
      <w:r>
        <w:fldChar w:fldCharType="begin">
          <w:ffData>
            <w:name w:val="WXFLH"/>
            <w:enabled/>
            <w:calcOnExit w:val="0"/>
            <w:helpText w:type="text" w:val="请输入中国标准文献分类号："/>
            <w:textInput>
              <w:default w:val="点击此处添加中国标准文献分类号"/>
            </w:textInput>
          </w:ffData>
        </w:fldChar>
      </w:r>
      <w:r>
        <w:instrText xml:space="preserve"> FORMTEXT </w:instrText>
      </w:r>
      <w:r>
        <w:fldChar w:fldCharType="separate"/>
      </w:r>
      <w:r>
        <w:rPr>
          <w:rFonts w:hint="eastAsia"/>
        </w:rPr>
        <w:t>CCS Y28</w:t>
      </w:r>
      <w:r>
        <w:fldChar w:fldCharType="end"/>
      </w:r>
      <w:bookmarkEnd w:id="1"/>
    </w:p>
    <w:tbl>
      <w:tblPr>
        <w:tblStyle w:val="5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4"/>
      </w:tblGrid>
      <w:tr w14:paraId="7A6741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shd w:val="clear" w:color="auto" w:fill="auto"/>
          </w:tcPr>
          <w:p w14:paraId="0F18A520">
            <w:pPr>
              <w:pStyle w:val="157"/>
              <w:framePr w:wrap="around"/>
            </w:pPr>
            <w:r>
              <mc:AlternateContent>
                <mc:Choice Requires="wps">
                  <w:drawing>
                    <wp:anchor distT="0" distB="0" distL="114300" distR="114300" simplePos="0" relativeHeight="251664384" behindDoc="1" locked="0" layoutInCell="1" allowOverlap="1">
                      <wp:simplePos x="0" y="0"/>
                      <wp:positionH relativeFrom="column">
                        <wp:posOffset>-66675</wp:posOffset>
                      </wp:positionH>
                      <wp:positionV relativeFrom="paragraph">
                        <wp:posOffset>0</wp:posOffset>
                      </wp:positionV>
                      <wp:extent cx="866775" cy="198120"/>
                      <wp:effectExtent l="0" t="0" r="9525" b="0"/>
                      <wp:wrapNone/>
                      <wp:docPr id="6"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BAH" o:spid="_x0000_s1026" o:spt="1" style="position:absolute;left:0pt;margin-left:-5.25pt;margin-top:0pt;height:15.6pt;width:68.25pt;z-index:-251652096;v-text-anchor:middle;mso-width-relative:page;mso-height-relative:page;" fillcolor="#FFFFFF" filled="t" stroked="f" coordsize="21600,21600" o:gfxdata="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E4YinrSAAAABwEAAA8A&#10;AAAAAAAAAQAgAAAAIgAAAGRycy9kb3ducmV2LnhtbFBLAQIUABQAAAAIAIdO4kB1Cz8HVgIAALwE&#10;AAAOAAAAAAAAAAEAIAAAACEBAABkcnMvZTJvRG9jLnhtbFBLBQYAAAAABgAGAFkBAADpBQAAAAA=&#10;">
                      <v:fill on="t" focussize="0,0"/>
                      <v:stroke on="f" weight="2pt"/>
                      <v:imagedata o:title=""/>
                      <o:lock v:ext="edit" aspectratio="f"/>
                    </v:rect>
                  </w:pict>
                </mc:Fallback>
              </mc:AlternateContent>
            </w:r>
            <w:r>
              <w:fldChar w:fldCharType="begin">
                <w:ffData>
                  <w:name w:val="BAH"/>
                  <w:enabled/>
                  <w:calcOnExit w:val="0"/>
                  <w:textInput/>
                </w:ffData>
              </w:fldChar>
            </w:r>
            <w:bookmarkStart w:id="2" w:name="BAH"/>
            <w:r>
              <w:instrText xml:space="preserve"> FORMTEXT </w:instrText>
            </w:r>
            <w:r>
              <w:fldChar w:fldCharType="separate"/>
            </w:r>
            <w:r>
              <w:t>     </w:t>
            </w:r>
            <w:r>
              <w:fldChar w:fldCharType="end"/>
            </w:r>
            <w:bookmarkEnd w:id="2"/>
          </w:p>
        </w:tc>
      </w:tr>
    </w:tbl>
    <w:p w14:paraId="1F9068D0">
      <w:pPr>
        <w:pStyle w:val="144"/>
        <w:framePr w:wrap="around"/>
      </w:pPr>
      <w:r>
        <w:t>T/</w:t>
      </w:r>
      <w:bookmarkStart w:id="3" w:name="c5"/>
      <w:r>
        <w:fldChar w:fldCharType="begin">
          <w:ffData>
            <w:name w:val="c5"/>
            <w:enabled/>
            <w:calcOnExit w:val="0"/>
            <w:entryMacro w:val="ShowHelp17"/>
            <w:textInput/>
          </w:ffData>
        </w:fldChar>
      </w:r>
      <w:r>
        <w:instrText xml:space="preserve"> FORMTEXT </w:instrText>
      </w:r>
      <w:r>
        <w:fldChar w:fldCharType="separate"/>
      </w:r>
      <w:r>
        <w:rPr>
          <w:rFonts w:hint="eastAsia"/>
        </w:rPr>
        <w:t>CNLIC</w:t>
      </w:r>
      <w:r>
        <w:fldChar w:fldCharType="end"/>
      </w:r>
      <w:bookmarkEnd w:id="3"/>
    </w:p>
    <w:p w14:paraId="33D7826C">
      <w:pPr>
        <w:pStyle w:val="145"/>
        <w:framePr w:wrap="around"/>
        <w:rPr>
          <w:rFonts w:ascii="Times New Roman" w:hAnsi="Times New Roman"/>
        </w:rPr>
      </w:pPr>
      <w:bookmarkStart w:id="4" w:name="c6"/>
      <w:r>
        <w:fldChar w:fldCharType="begin">
          <w:ffData>
            <w:name w:val="c6"/>
            <w:enabled/>
            <w:calcOnExit w:val="0"/>
            <w:entryMacro w:val="showhelp13"/>
            <w:textInput/>
          </w:ffData>
        </w:fldChar>
      </w:r>
      <w:r>
        <w:instrText xml:space="preserve"> FORMTEXT </w:instrText>
      </w:r>
      <w:r>
        <w:fldChar w:fldCharType="separate"/>
      </w:r>
      <w:r>
        <w:t>     </w:t>
      </w:r>
      <w:r>
        <w:fldChar w:fldCharType="end"/>
      </w:r>
      <w:bookmarkEnd w:id="4"/>
      <w:r>
        <w:t>团体标</w:t>
      </w:r>
      <w:r>
        <w:rPr>
          <w:rFonts w:ascii="Times New Roman" w:hAnsi="Times New Roman"/>
        </w:rPr>
        <w:t>准</w:t>
      </w:r>
    </w:p>
    <w:p w14:paraId="755C78E4">
      <w:pPr>
        <w:pStyle w:val="81"/>
        <w:framePr w:wrap="around"/>
        <w:rPr>
          <w:rFonts w:hAnsi="黑体"/>
        </w:rPr>
      </w:pPr>
      <w:r>
        <w:rPr>
          <w:rFonts w:ascii="Times New Roman"/>
        </w:rPr>
        <w:t>T/</w:t>
      </w:r>
      <w:bookmarkStart w:id="5" w:name="StdNo0"/>
      <w:r>
        <w:rPr>
          <w:rFonts w:ascii="Times New Roman"/>
        </w:rPr>
        <w:fldChar w:fldCharType="begin">
          <w:ffData>
            <w:name w:val="StdNo0"/>
            <w:enabled/>
            <w:calcOnExit w:val="0"/>
            <w:textInput>
              <w:default w:val="×××"/>
            </w:textInput>
          </w:ffData>
        </w:fldChar>
      </w:r>
      <w:r>
        <w:rPr>
          <w:rFonts w:ascii="Times New Roman"/>
        </w:rPr>
        <w:instrText xml:space="preserve"> FORMTEXT </w:instrText>
      </w:r>
      <w:r>
        <w:rPr>
          <w:rFonts w:ascii="Times New Roman"/>
        </w:rPr>
        <w:fldChar w:fldCharType="separate"/>
      </w:r>
      <w:r>
        <w:rPr>
          <w:rFonts w:ascii="Times New Roman"/>
        </w:rPr>
        <w:t>CNLIC</w:t>
      </w:r>
      <w:r>
        <w:rPr>
          <w:rFonts w:ascii="Times New Roman"/>
        </w:rPr>
        <w:fldChar w:fldCharType="end"/>
      </w:r>
      <w:bookmarkEnd w:id="5"/>
      <w:r>
        <w:rPr>
          <w:rFonts w:hAnsi="黑体"/>
        </w:rPr>
        <w:t xml:space="preserve"> </w:t>
      </w:r>
      <w:bookmarkStart w:id="6" w:name="StdNo1"/>
      <w:r>
        <w:rPr>
          <w:rFonts w:hAnsi="黑体"/>
        </w:rPr>
        <w:fldChar w:fldCharType="begin">
          <w:ffData>
            <w:name w:val="StdNo1"/>
            <w:enabled/>
            <w:calcOnExit w:val="0"/>
            <w:textInput>
              <w:default w:val="××××"/>
            </w:textInput>
          </w:ffData>
        </w:fldChar>
      </w:r>
      <w:r>
        <w:rPr>
          <w:rFonts w:hAnsi="黑体"/>
        </w:rPr>
        <w:instrText xml:space="preserve"> FORMTEXT </w:instrText>
      </w:r>
      <w:r>
        <w:rPr>
          <w:rFonts w:hAnsi="黑体"/>
        </w:rPr>
        <w:fldChar w:fldCharType="separate"/>
      </w:r>
      <w:r>
        <w:rPr>
          <w:rFonts w:hAnsi="黑体"/>
        </w:rPr>
        <w:t>××××</w:t>
      </w:r>
      <w:r>
        <w:rPr>
          <w:rFonts w:hAnsi="黑体"/>
        </w:rPr>
        <w:fldChar w:fldCharType="end"/>
      </w:r>
      <w:bookmarkEnd w:id="6"/>
      <w:r>
        <w:rPr>
          <w:rFonts w:hAnsi="黑体"/>
        </w:rPr>
        <w:t>—</w:t>
      </w:r>
      <w:bookmarkStart w:id="7" w:name="StdNo2"/>
      <w:r>
        <w:rPr>
          <w:rFonts w:hAnsi="黑体"/>
        </w:rPr>
        <w:fldChar w:fldCharType="begin">
          <w:ffData>
            <w:name w:val="StdNo2"/>
            <w:enabled/>
            <w:calcOnExit w:val="0"/>
            <w:textInput>
              <w:default w:val="××××"/>
              <w:maxLength w:val="4"/>
            </w:textInput>
          </w:ffData>
        </w:fldChar>
      </w:r>
      <w:r>
        <w:rPr>
          <w:rFonts w:hAnsi="黑体"/>
        </w:rPr>
        <w:instrText xml:space="preserve"> FORMTEXT </w:instrText>
      </w:r>
      <w:r>
        <w:rPr>
          <w:rFonts w:hAnsi="黑体"/>
        </w:rPr>
        <w:fldChar w:fldCharType="separate"/>
      </w:r>
      <w:r>
        <w:rPr>
          <w:rFonts w:hint="eastAsia" w:hAnsi="黑体"/>
        </w:rPr>
        <w:t>20XX</w:t>
      </w:r>
      <w:r>
        <w:rPr>
          <w:rFonts w:hAnsi="黑体"/>
        </w:rPr>
        <w:fldChar w:fldCharType="end"/>
      </w:r>
      <w:bookmarkEnd w:id="7"/>
    </w:p>
    <w:tbl>
      <w:tblPr>
        <w:tblStyle w:val="5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14:paraId="2F7BEB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tcPr>
          <w:p w14:paraId="78DF7116">
            <w:pPr>
              <w:pStyle w:val="110"/>
              <w:framePr w:wrap="around"/>
            </w:pPr>
            <w:bookmarkStart w:id="8" w:name="DT"/>
            <w:r>
              <mc:AlternateContent>
                <mc:Choice Requires="wps">
                  <w:drawing>
                    <wp:anchor distT="0" distB="0" distL="114300" distR="114300" simplePos="0" relativeHeight="251661312"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3"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DT" o:spid="_x0000_s1026" o:spt="1" style="position:absolute;left:0pt;margin-left:372.8pt;margin-top:2.7pt;height:18pt;width:90pt;z-index:-251655168;v-text-anchor:middle;mso-width-relative:page;mso-height-relative:page;" fillcolor="#FFFFFF" filled="t" stroked="f" coordsize="21600,21600" o:gfxdata="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veO/z9MAAAAIAQAADwAAAAAA&#10;AAABACAAAAAiAAAAZHJzL2Rvd25yZXYueG1sUEsBAhQAFAAAAAgAh07iQDpLbVVRAgAAvAQAAA4A&#10;AAAAAAAAAQAgAAAAIgEAAGRycy9lMm9Eb2MueG1sUEsFBgAAAAAGAAYAWQEAAOUFAAAAAA==&#10;">
                      <v:fill on="t" focussize="0,0"/>
                      <v:stroke on="f" weight="2pt"/>
                      <v:imagedata o:title=""/>
                      <o:lock v:ext="edit" aspectratio="f"/>
                    </v:rect>
                  </w:pict>
                </mc:Fallback>
              </mc:AlternateContent>
            </w:r>
            <w:r>
              <w:fldChar w:fldCharType="begin">
                <w:ffData>
                  <w:name w:val="DT"/>
                  <w:enabled/>
                  <w:calcOnExit w:val="0"/>
                  <w:entryMacro w:val="ShowHelp4"/>
                  <w:textInput/>
                </w:ffData>
              </w:fldChar>
            </w:r>
            <w:r>
              <w:instrText xml:space="preserve"> FORMTEXT </w:instrText>
            </w:r>
            <w:r>
              <w:fldChar w:fldCharType="separate"/>
            </w:r>
            <w:r>
              <w:t>     </w:t>
            </w:r>
            <w:r>
              <w:fldChar w:fldCharType="end"/>
            </w:r>
            <w:bookmarkEnd w:id="8"/>
          </w:p>
        </w:tc>
      </w:tr>
    </w:tbl>
    <w:p w14:paraId="40137C3B">
      <w:pPr>
        <w:pStyle w:val="81"/>
        <w:framePr w:wrap="around"/>
        <w:rPr>
          <w:rFonts w:hAnsi="黑体"/>
        </w:rPr>
      </w:pPr>
    </w:p>
    <w:p w14:paraId="11DE5185">
      <w:pPr>
        <w:pStyle w:val="81"/>
        <w:framePr w:wrap="around"/>
        <w:rPr>
          <w:rFonts w:hAnsi="黑体"/>
        </w:rPr>
      </w:pPr>
    </w:p>
    <w:p w14:paraId="5588530A">
      <w:pPr>
        <w:pStyle w:val="112"/>
        <w:framePr w:wrap="around"/>
      </w:pPr>
      <w:bookmarkStart w:id="9" w:name="StdName"/>
      <w:r>
        <w:fldChar w:fldCharType="begin">
          <w:ffData>
            <w:name w:val="StdName"/>
            <w:enabled/>
            <w:calcOnExit w:val="0"/>
            <w:textInput>
              <w:default w:val="点击此处添加标准名称"/>
            </w:textInput>
          </w:ffData>
        </w:fldChar>
      </w:r>
      <w:r>
        <w:instrText xml:space="preserve"> FORMTEXT </w:instrText>
      </w:r>
      <w:r>
        <w:fldChar w:fldCharType="separate"/>
      </w:r>
      <w:r>
        <w:rPr>
          <w:rFonts w:hint="eastAsia"/>
        </w:rPr>
        <w:t xml:space="preserve">绿色设计产品评价技术规范 </w:t>
      </w:r>
    </w:p>
    <w:p w14:paraId="04AB930A">
      <w:pPr>
        <w:pStyle w:val="112"/>
        <w:framePr w:wrap="around"/>
      </w:pPr>
      <w:r>
        <w:rPr>
          <w:rFonts w:hint="eastAsia"/>
        </w:rPr>
        <w:t>汽车顶棚用软质聚氨酯泡沫塑料</w:t>
      </w:r>
      <w:r>
        <w:fldChar w:fldCharType="end"/>
      </w:r>
      <w:bookmarkEnd w:id="9"/>
    </w:p>
    <w:p w14:paraId="68D36761">
      <w:pPr>
        <w:pStyle w:val="113"/>
        <w:framePr w:wrap="around"/>
      </w:pPr>
      <w:bookmarkStart w:id="10" w:name="StdEnglishName"/>
      <w:r>
        <w:fldChar w:fldCharType="begin">
          <w:ffData>
            <w:name w:val="StdEnglishName"/>
            <w:enabled/>
            <w:calcOnExit w:val="0"/>
            <w:textInput>
              <w:default w:val="点击此处添加标准英文译名"/>
            </w:textInput>
          </w:ffData>
        </w:fldChar>
      </w:r>
      <w:r>
        <w:instrText xml:space="preserve"> FORMTEXT </w:instrText>
      </w:r>
      <w:r>
        <w:fldChar w:fldCharType="separate"/>
      </w:r>
      <w:r>
        <w:rPr>
          <w:rFonts w:hint="eastAsia"/>
        </w:rPr>
        <w:t xml:space="preserve">Technical specification for green-design product assessment – </w:t>
      </w:r>
    </w:p>
    <w:p w14:paraId="0408AF74">
      <w:pPr>
        <w:pStyle w:val="113"/>
        <w:framePr w:wrap="around"/>
      </w:pPr>
      <w:r>
        <w:t>Flexible polyurethane foam for automobile headliner</w:t>
      </w:r>
      <w:r>
        <w:fldChar w:fldCharType="end"/>
      </w:r>
      <w:bookmarkEnd w:id="10"/>
    </w:p>
    <w:p w14:paraId="2E5ED372">
      <w:pPr>
        <w:pStyle w:val="114"/>
        <w:framePr w:wrap="around"/>
      </w:pPr>
      <w:bookmarkStart w:id="11" w:name="YZBS"/>
      <w:r>
        <w:fldChar w:fldCharType="begin">
          <w:ffData>
            <w:name w:val="YZBS"/>
            <w:enabled/>
            <w:calcOnExit w:val="0"/>
            <w:textInput>
              <w:default w:val="点击此处添加与国际标准一致性程度的标识"/>
            </w:textInput>
          </w:ffData>
        </w:fldChar>
      </w:r>
      <w:r>
        <w:instrText xml:space="preserve"> FORMTEXT </w:instrText>
      </w:r>
      <w:r>
        <w:fldChar w:fldCharType="separate"/>
      </w:r>
      <w:r>
        <w:rPr>
          <w:rFonts w:hint="eastAsia"/>
        </w:rPr>
        <w:t>提交反馈意见时，请将您知道的专利连同支持性文件一并附上</w:t>
      </w:r>
      <w:r>
        <w:fldChar w:fldCharType="end"/>
      </w:r>
      <w:bookmarkEnd w:id="11"/>
    </w:p>
    <w:tbl>
      <w:tblPr>
        <w:tblStyle w:val="5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14:paraId="3A1523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14:paraId="1981DFA9">
            <w:pPr>
              <w:pStyle w:val="115"/>
              <w:framePr w:wrap="around"/>
            </w:pPr>
            <w:r>
              <mc:AlternateContent>
                <mc:Choice Requires="wps">
                  <w:drawing>
                    <wp:anchor distT="0" distB="0" distL="114300" distR="114300" simplePos="0" relativeHeight="251663360" behindDoc="1" locked="1" layoutInCell="1" allowOverlap="1">
                      <wp:simplePos x="0" y="0"/>
                      <wp:positionH relativeFrom="column">
                        <wp:posOffset>2200910</wp:posOffset>
                      </wp:positionH>
                      <wp:positionV relativeFrom="paragraph">
                        <wp:posOffset>573405</wp:posOffset>
                      </wp:positionV>
                      <wp:extent cx="1905000" cy="254000"/>
                      <wp:effectExtent l="0" t="0" r="0" b="0"/>
                      <wp:wrapNone/>
                      <wp:docPr id="5"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Q" o:spid="_x0000_s1026" o:spt="1" style="position:absolute;left:0pt;margin-left:173.3pt;margin-top:45.15pt;height:20pt;width:150pt;z-index:-251653120;v-text-anchor:middle;mso-width-relative:page;mso-height-relative:page;" fillcolor="#FFFFFF" filled="t" stroked="f" coordsize="21600,21600" o:gfxdata="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LA1Y9MAAAAKAQAADwAAAAAAAAAB&#10;ACAAAAAiAAAAZHJzL2Rvd25yZXYueG1sUEsBAhQAFAAAAAgAh07iQFsaRLVOAgAAvAQAAA4AAAAA&#10;AAAAAQAgAAAAIgEAAGRycy9lMm9Eb2MueG1sUEsFBgAAAAAGAAYAWQEAAOIFAAAAAA==&#10;">
                      <v:fill on="t" focussize="0,0"/>
                      <v:stroke on="f" weight="2pt"/>
                      <v:imagedata o:title=""/>
                      <o:lock v:ext="edit" aspectratio="f"/>
                      <w10:anchorlock/>
                    </v:rect>
                  </w:pict>
                </mc:Fallback>
              </mc:AlternateContent>
            </w:r>
            <w:r>
              <mc:AlternateContent>
                <mc:Choice Requires="wps">
                  <w:drawing>
                    <wp:anchor distT="0" distB="0" distL="114300" distR="114300" simplePos="0" relativeHeight="251662336"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4"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LB" o:spid="_x0000_s1026" o:spt="1" style="position:absolute;left:0pt;margin-left:193.3pt;margin-top:20.15pt;height:24pt;width:100pt;z-index:-251654144;v-text-anchor:middle;mso-width-relative:page;mso-height-relative:page;" fillcolor="#FFFFFF" filled="t" stroked="f" coordsize="21600,21600" o:gfxdata="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NJeUKrUAAAACQEAAA8AAAAA&#10;AAAAAQAgAAAAIgAAAGRycy9kb3ducmV2LnhtbFBLAQIUABQAAAAIAIdO4kDEZCLlUQIAALwEAAAO&#10;AAAAAAAAAAEAIAAAACMBAABkcnMvZTJvRG9jLnhtbFBLBQYAAAAABgAGAFkBAADmBQAAAAA=&#10;">
                      <v:fill on="t" focussize="0,0"/>
                      <v:stroke on="f" weight="2pt"/>
                      <v:imagedata o:title=""/>
                      <o:lock v:ext="edit" aspectratio="f"/>
                    </v:rect>
                  </w:pict>
                </mc:Fallback>
              </mc:AlternateContent>
            </w:r>
            <w:r>
              <w:fldChar w:fldCharType="begin">
                <w:ffData>
                  <w:name w:val="LB"/>
                  <w:enabled/>
                  <w:calcOnExit w:val="0"/>
                  <w:ddList>
                    <w:result w:val="1"/>
                    <w:listEntry w:val="文稿版次选择"/>
                    <w:listEntry w:val="（工作组讨论稿）"/>
                    <w:listEntry w:val="（征求意见稿）"/>
                    <w:listEntry w:val="（送审讨论稿）"/>
                    <w:listEntry w:val="（送审稿）"/>
                    <w:listEntry w:val="（报批稿）"/>
                  </w:ddList>
                </w:ffData>
              </w:fldChar>
            </w:r>
            <w:bookmarkStart w:id="12" w:name="LB"/>
            <w:r>
              <w:instrText xml:space="preserve"> FORMDROPDOWN </w:instrText>
            </w:r>
            <w:r>
              <w:fldChar w:fldCharType="separate"/>
            </w:r>
            <w:r>
              <w:fldChar w:fldCharType="end"/>
            </w:r>
            <w:bookmarkEnd w:id="12"/>
          </w:p>
        </w:tc>
      </w:tr>
      <w:tr w14:paraId="513D69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14:paraId="6CDA2A8C">
            <w:pPr>
              <w:pStyle w:val="116"/>
              <w:framePr w:wrap="around"/>
            </w:pPr>
            <w:bookmarkStart w:id="13" w:name="WCRQ"/>
            <w:r>
              <w:fldChar w:fldCharType="begin">
                <w:ffData>
                  <w:name w:val="WCRQ"/>
                  <w:enabled/>
                  <w:calcOnExit w:val="0"/>
                  <w:textInput/>
                </w:ffData>
              </w:fldChar>
            </w:r>
            <w:r>
              <w:instrText xml:space="preserve"> FORMTEXT </w:instrText>
            </w:r>
            <w:r>
              <w:fldChar w:fldCharType="separate"/>
            </w:r>
            <w:r>
              <w:rPr>
                <w:rFonts w:hint="eastAsia"/>
              </w:rPr>
              <w:t>（本稿完成日期：20</w:t>
            </w:r>
            <w:r>
              <w:t>XX</w:t>
            </w:r>
            <w:r>
              <w:rPr>
                <w:rFonts w:hint="eastAsia"/>
              </w:rPr>
              <w:t>-</w:t>
            </w:r>
            <w:r>
              <w:t>XX</w:t>
            </w:r>
            <w:r>
              <w:rPr>
                <w:rFonts w:hint="eastAsia"/>
              </w:rPr>
              <w:t>-</w:t>
            </w:r>
            <w:r>
              <w:t>XX</w:t>
            </w:r>
            <w:r>
              <w:rPr>
                <w:rFonts w:hint="eastAsia"/>
              </w:rPr>
              <w:t>）</w:t>
            </w:r>
            <w:r>
              <w:fldChar w:fldCharType="end"/>
            </w:r>
            <w:bookmarkEnd w:id="13"/>
          </w:p>
        </w:tc>
      </w:tr>
    </w:tbl>
    <w:p w14:paraId="22476C4D">
      <w:pPr>
        <w:pStyle w:val="164"/>
        <w:framePr w:wrap="around"/>
      </w:pPr>
      <w:bookmarkStart w:id="14" w:name="FY"/>
      <w:r>
        <w:rPr>
          <w:rFonts w:ascii="黑体"/>
        </w:rPr>
        <w:fldChar w:fldCharType="begin">
          <w:ffData>
            <w:name w:val="FY"/>
            <w:enabled/>
            <w:calcOnExit w:val="0"/>
            <w:entryMacro w:val="ShowHelp8"/>
            <w:textInput>
              <w:default w:val="××××"/>
              <w:maxLength w:val="4"/>
            </w:textInput>
          </w:ffData>
        </w:fldChar>
      </w:r>
      <w:r>
        <w:rPr>
          <w:rFonts w:ascii="黑体"/>
        </w:rPr>
        <w:instrText xml:space="preserve"> FORMTEXT </w:instrText>
      </w:r>
      <w:r>
        <w:rPr>
          <w:rFonts w:ascii="黑体"/>
        </w:rPr>
        <w:fldChar w:fldCharType="separate"/>
      </w:r>
      <w:r>
        <w:rPr>
          <w:rFonts w:ascii="黑体"/>
        </w:rPr>
        <w:t>    </w:t>
      </w:r>
      <w:r>
        <w:rPr>
          <w:rFonts w:ascii="黑体"/>
        </w:rPr>
        <w:fldChar w:fldCharType="end"/>
      </w:r>
      <w:bookmarkEnd w:id="14"/>
      <w:r>
        <w:t xml:space="preserve"> </w:t>
      </w:r>
      <w:r>
        <w:rPr>
          <w:rFonts w:ascii="黑体"/>
        </w:rPr>
        <w:t>-</w:t>
      </w:r>
      <w:r>
        <w:t xml:space="preserve"> </w:t>
      </w:r>
      <w:r>
        <w:rPr>
          <w:rFonts w:ascii="黑体"/>
        </w:rPr>
        <w:fldChar w:fldCharType="begin">
          <w:ffData>
            <w:name w:val="FM"/>
            <w:enabled/>
            <w:calcOnExit w:val="0"/>
            <w:entryMacro w:val="ShowHelp8"/>
            <w:textInput>
              <w:default w:val="××"/>
              <w:maxLength w:val="2"/>
            </w:textInput>
          </w:ffData>
        </w:fldChar>
      </w:r>
      <w:r>
        <w:rPr>
          <w:rFonts w:ascii="黑体"/>
        </w:rPr>
        <w:instrText xml:space="preserve"> FORMTEXT </w:instrText>
      </w:r>
      <w:r>
        <w:rPr>
          <w:rFonts w:ascii="黑体"/>
        </w:rPr>
        <w:fldChar w:fldCharType="separate"/>
      </w:r>
      <w:r>
        <w:rPr>
          <w:rFonts w:ascii="黑体"/>
        </w:rPr>
        <w:t>××</w:t>
      </w:r>
      <w:r>
        <w:rPr>
          <w:rFonts w:ascii="黑体"/>
        </w:rPr>
        <w:fldChar w:fldCharType="end"/>
      </w:r>
      <w:r>
        <w:t xml:space="preserve"> </w:t>
      </w:r>
      <w:r>
        <w:rPr>
          <w:rFonts w:ascii="黑体"/>
        </w:rPr>
        <w:t>-</w:t>
      </w:r>
      <w:r>
        <w:t xml:space="preserve"> </w:t>
      </w:r>
      <w:bookmarkStart w:id="15" w:name="FD"/>
      <w:r>
        <w:rPr>
          <w:rFonts w:ascii="黑体"/>
        </w:rPr>
        <w:fldChar w:fldCharType="begin">
          <w:ffData>
            <w:name w:val="FD"/>
            <w:enabled/>
            <w:calcOnExit w:val="0"/>
            <w:entryMacro w:val="ShowHelp8"/>
            <w:textInput>
              <w:default w:val="××"/>
              <w:maxLength w:val="2"/>
            </w:textInput>
          </w:ffData>
        </w:fldChar>
      </w:r>
      <w:r>
        <w:rPr>
          <w:rFonts w:ascii="黑体"/>
        </w:rPr>
        <w:instrText xml:space="preserve"> FORMTEXT </w:instrText>
      </w:r>
      <w:r>
        <w:rPr>
          <w:rFonts w:ascii="黑体"/>
        </w:rPr>
        <w:fldChar w:fldCharType="separate"/>
      </w:r>
      <w:r>
        <w:rPr>
          <w:rFonts w:ascii="黑体"/>
        </w:rPr>
        <w:t>××</w:t>
      </w:r>
      <w:r>
        <w:rPr>
          <w:rFonts w:ascii="黑体"/>
        </w:rPr>
        <w:fldChar w:fldCharType="end"/>
      </w:r>
      <w:bookmarkEnd w:id="15"/>
      <w:r>
        <w:rPr>
          <w:rFonts w:hint="eastAsia"/>
        </w:rPr>
        <w:t>发布</w:t>
      </w:r>
      <w:r>
        <mc:AlternateContent>
          <mc:Choice Requires="wps">
            <w:drawing>
              <wp:anchor distT="0" distB="0" distL="114300" distR="114300" simplePos="0" relativeHeight="251659264" behindDoc="0" locked="1" layoutInCell="1" allowOverlap="1">
                <wp:simplePos x="0" y="0"/>
                <wp:positionH relativeFrom="column">
                  <wp:posOffset>0</wp:posOffset>
                </wp:positionH>
                <wp:positionV relativeFrom="page">
                  <wp:posOffset>9251950</wp:posOffset>
                </wp:positionV>
                <wp:extent cx="6124575" cy="0"/>
                <wp:effectExtent l="0" t="0" r="10160" b="19050"/>
                <wp:wrapNone/>
                <wp:docPr id="1" name="直接连接符 1"/>
                <wp:cNvGraphicFramePr/>
                <a:graphic xmlns:a="http://schemas.openxmlformats.org/drawingml/2006/main">
                  <a:graphicData uri="http://schemas.microsoft.com/office/word/2010/wordprocessingShape">
                    <wps:wsp>
                      <wps:cNvCnPr/>
                      <wps:spPr>
                        <a:xfrm>
                          <a:off x="0" y="0"/>
                          <a:ext cx="612435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728.5pt;height:0pt;width:482.25pt;mso-position-vertical-relative:page;z-index:251659264;mso-width-relative:page;mso-height-relative:page;" filled="f" stroked="t" coordsize="21600,21600" o:gfxdata="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VKk6HYAAAACgEAAA8AAAAAAAAAAQAgAAAAIgAAAGRycy9kb3ducmV2LnhtbFBL&#10;AQIUABQAAAAIAIdO4kBIwNC19gEAANMDAAAOAAAAAAAAAAEAIAAAACcBAABkcnMvZTJvRG9jLnht&#10;bFBLBQYAAAAABgAGAFkBAACPBQAAAAA=&#10;">
                <v:fill on="f" focussize="0,0"/>
                <v:stroke color="#4A7EBB [3204]" joinstyle="round"/>
                <v:imagedata o:title=""/>
                <o:lock v:ext="edit" aspectratio="f"/>
                <w10:anchorlock/>
              </v:line>
            </w:pict>
          </mc:Fallback>
        </mc:AlternateContent>
      </w:r>
    </w:p>
    <w:p w14:paraId="77FDB609">
      <w:pPr>
        <w:pStyle w:val="165"/>
        <w:framePr w:wrap="around"/>
      </w:pPr>
      <w:bookmarkStart w:id="16" w:name="SY"/>
      <w:r>
        <w:rPr>
          <w:rFonts w:ascii="黑体"/>
        </w:rPr>
        <w:fldChar w:fldCharType="begin">
          <w:ffData>
            <w:name w:val="SY"/>
            <w:enabled/>
            <w:calcOnExit w:val="0"/>
            <w:entryMacro w:val="ShowHelp9"/>
            <w:textInput>
              <w:default w:val="××××"/>
              <w:maxLength w:val="4"/>
            </w:textInput>
          </w:ffData>
        </w:fldChar>
      </w:r>
      <w:r>
        <w:rPr>
          <w:rFonts w:ascii="黑体"/>
        </w:rPr>
        <w:instrText xml:space="preserve"> FORMTEXT </w:instrText>
      </w:r>
      <w:r>
        <w:rPr>
          <w:rFonts w:ascii="黑体"/>
        </w:rPr>
        <w:fldChar w:fldCharType="separate"/>
      </w:r>
      <w:r>
        <w:rPr>
          <w:rFonts w:ascii="黑体"/>
        </w:rPr>
        <w:t>××××</w:t>
      </w:r>
      <w:r>
        <w:rPr>
          <w:rFonts w:ascii="黑体"/>
        </w:rPr>
        <w:fldChar w:fldCharType="end"/>
      </w:r>
      <w:bookmarkEnd w:id="16"/>
      <w:r>
        <w:t xml:space="preserve"> </w:t>
      </w:r>
      <w:r>
        <w:rPr>
          <w:rFonts w:ascii="黑体"/>
        </w:rPr>
        <w:t>-</w:t>
      </w:r>
      <w:r>
        <w:t xml:space="preserve"> </w:t>
      </w:r>
      <w:bookmarkStart w:id="17" w:name="SM"/>
      <w:r>
        <w:rPr>
          <w:rFonts w:ascii="黑体"/>
        </w:rPr>
        <w:fldChar w:fldCharType="begin">
          <w:ffData>
            <w:name w:val="SM"/>
            <w:enabled/>
            <w:calcOnExit w:val="0"/>
            <w:entryMacro w:val="ShowHelp9"/>
            <w:textInput>
              <w:default w:val="××"/>
              <w:maxLength w:val="2"/>
            </w:textInput>
          </w:ffData>
        </w:fldChar>
      </w:r>
      <w:r>
        <w:rPr>
          <w:rFonts w:ascii="黑体"/>
        </w:rPr>
        <w:instrText xml:space="preserve"> FORMTEXT </w:instrText>
      </w:r>
      <w:r>
        <w:rPr>
          <w:rFonts w:ascii="黑体"/>
        </w:rPr>
        <w:fldChar w:fldCharType="separate"/>
      </w:r>
      <w:r>
        <w:rPr>
          <w:rFonts w:ascii="黑体"/>
        </w:rPr>
        <w:t>××</w:t>
      </w:r>
      <w:r>
        <w:rPr>
          <w:rFonts w:ascii="黑体"/>
        </w:rPr>
        <w:fldChar w:fldCharType="end"/>
      </w:r>
      <w:bookmarkEnd w:id="17"/>
      <w:r>
        <w:t xml:space="preserve"> </w:t>
      </w:r>
      <w:r>
        <w:rPr>
          <w:rFonts w:ascii="黑体"/>
        </w:rPr>
        <w:t>-</w:t>
      </w:r>
      <w:r>
        <w:t xml:space="preserve"> </w:t>
      </w:r>
      <w:bookmarkStart w:id="18" w:name="SD"/>
      <w:r>
        <w:rPr>
          <w:rFonts w:ascii="黑体"/>
        </w:rPr>
        <w:fldChar w:fldCharType="begin">
          <w:ffData>
            <w:name w:val="SD"/>
            <w:enabled/>
            <w:calcOnExit w:val="0"/>
            <w:entryMacro w:val="ShowHelp9"/>
            <w:textInput>
              <w:default w:val="××"/>
              <w:maxLength w:val="2"/>
            </w:textInput>
          </w:ffData>
        </w:fldChar>
      </w:r>
      <w:r>
        <w:rPr>
          <w:rFonts w:ascii="黑体"/>
        </w:rPr>
        <w:instrText xml:space="preserve"> FORMTEXT </w:instrText>
      </w:r>
      <w:r>
        <w:rPr>
          <w:rFonts w:ascii="黑体"/>
        </w:rPr>
        <w:fldChar w:fldCharType="separate"/>
      </w:r>
      <w:r>
        <w:rPr>
          <w:rFonts w:ascii="黑体"/>
        </w:rPr>
        <w:t>××</w:t>
      </w:r>
      <w:r>
        <w:rPr>
          <w:rFonts w:ascii="黑体"/>
        </w:rPr>
        <w:fldChar w:fldCharType="end"/>
      </w:r>
      <w:bookmarkEnd w:id="18"/>
      <w:r>
        <w:rPr>
          <w:rFonts w:hint="eastAsia"/>
        </w:rPr>
        <w:t>实施</w:t>
      </w:r>
    </w:p>
    <w:p w14:paraId="489EA911">
      <w:pPr>
        <w:pStyle w:val="146"/>
        <w:framePr w:wrap="around"/>
      </w:pPr>
      <w:bookmarkStart w:id="19" w:name="fm"/>
      <w:r>
        <w:fldChar w:fldCharType="begin">
          <w:ffData>
            <w:name w:val="fm"/>
            <w:enabled/>
            <w:calcOnExit w:val="0"/>
            <w:textInput/>
          </w:ffData>
        </w:fldChar>
      </w:r>
      <w:r>
        <w:instrText xml:space="preserve"> FORMTEXT </w:instrText>
      </w:r>
      <w:r>
        <w:fldChar w:fldCharType="separate"/>
      </w:r>
      <w:r>
        <w:t>中国轻工业联合会</w:t>
      </w:r>
      <w:r>
        <w:fldChar w:fldCharType="end"/>
      </w:r>
      <w:bookmarkEnd w:id="19"/>
      <w:r>
        <w:t xml:space="preserve"> </w:t>
      </w:r>
      <w:r>
        <w:rPr>
          <w:rStyle w:val="107"/>
        </w:rPr>
        <w:t xml:space="preserve"> </w:t>
      </w:r>
      <w:r>
        <w:rPr>
          <w:rStyle w:val="107"/>
          <w:rFonts w:hint="eastAsia"/>
        </w:rPr>
        <w:t>发布</w:t>
      </w:r>
    </w:p>
    <w:p w14:paraId="7583AC33">
      <w:pPr>
        <w:pStyle w:val="41"/>
        <w:sectPr>
          <w:pgSz w:w="11906" w:h="16838"/>
          <w:pgMar w:top="567" w:right="850" w:bottom="1134" w:left="1418" w:header="0" w:footer="0" w:gutter="0"/>
          <w:pgNumType w:start="1"/>
          <w:cols w:space="425" w:num="1"/>
          <w:docGrid w:type="lines" w:linePitch="312" w:charSpace="0"/>
        </w:sectPr>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2339340</wp:posOffset>
                </wp:positionV>
                <wp:extent cx="6120130" cy="0"/>
                <wp:effectExtent l="0" t="0" r="14605" b="19050"/>
                <wp:wrapNone/>
                <wp:docPr id="2" name="直接连接符 2"/>
                <wp:cNvGraphicFramePr/>
                <a:graphic xmlns:a="http://schemas.openxmlformats.org/drawingml/2006/main">
                  <a:graphicData uri="http://schemas.microsoft.com/office/word/2010/wordprocessingShape">
                    <wps:wsp>
                      <wps:cNvCnPr/>
                      <wps:spPr>
                        <a:xfrm>
                          <a:off x="0" y="0"/>
                          <a:ext cx="612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84.2pt;height:0pt;width:481.9pt;z-index:251660288;mso-width-relative:page;mso-height-relative:page;" filled="f" stroked="t" coordsize="21600,21600" o:gfxdata="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QZsw3XAAAACAEAAA8AAAAAAAAAAQAgAAAAIgAAAGRycy9kb3ducmV2LnhtbFBLAQIU&#10;ABQAAAAIAIdO4kDInGtZ9AEAANMDAAAOAAAAAAAAAAEAIAAAACYBAABkcnMvZTJvRG9jLnhtbFBL&#10;BQYAAAAABgAGAFkBAACMBQAAAAA=&#10;">
                <v:fill on="f" focussize="0,0"/>
                <v:stroke color="#4A7EBB [3204]" joinstyle="round"/>
                <v:imagedata o:title=""/>
                <o:lock v:ext="edit" aspectratio="f"/>
              </v:line>
            </w:pict>
          </mc:Fallback>
        </mc:AlternateContent>
      </w:r>
    </w:p>
    <w:p w14:paraId="423A5A1E">
      <w:pPr>
        <w:pStyle w:val="119"/>
      </w:pPr>
      <w:r>
        <w:rPr>
          <w:rFonts w:hint="eastAsia"/>
        </w:rPr>
        <w:t>前</w:t>
      </w:r>
      <w:bookmarkStart w:id="20" w:name="BKQY"/>
      <w:r>
        <w:rPr>
          <w:rFonts w:hAnsi="黑体"/>
        </w:rPr>
        <w:t>  </w:t>
      </w:r>
      <w:r>
        <w:rPr>
          <w:rFonts w:hint="eastAsia"/>
        </w:rPr>
        <w:t>言</w:t>
      </w:r>
      <w:bookmarkEnd w:id="20"/>
    </w:p>
    <w:p w14:paraId="02615F98">
      <w:pPr>
        <w:pStyle w:val="41"/>
      </w:pPr>
      <w:r>
        <w:rPr>
          <w:rFonts w:hint="eastAsia"/>
        </w:rPr>
        <w:t>本文件按照GB/T 1.1－2020</w:t>
      </w:r>
      <w:r>
        <w:rPr>
          <w:rFonts w:hint="eastAsia"/>
          <w:szCs w:val="21"/>
        </w:rPr>
        <w:t>《标准化工作导则 第1部分：标准化文件的结构和起草规则》</w:t>
      </w:r>
      <w:r>
        <w:rPr>
          <w:rFonts w:hint="eastAsia"/>
        </w:rPr>
        <w:t>的规定起草。</w:t>
      </w:r>
    </w:p>
    <w:p w14:paraId="199154A5">
      <w:pPr>
        <w:ind w:firstLine="420"/>
        <w:rPr>
          <w:color w:val="000000"/>
          <w:szCs w:val="21"/>
        </w:rPr>
      </w:pPr>
      <w:r>
        <w:rPr>
          <w:rFonts w:hint="eastAsia"/>
        </w:rPr>
        <w:t>本文件由中国轻</w:t>
      </w:r>
      <w:r>
        <w:rPr>
          <w:rFonts w:hint="eastAsia"/>
          <w:color w:val="000000"/>
          <w:szCs w:val="21"/>
        </w:rPr>
        <w:t>工业联合会提出并归口。</w:t>
      </w:r>
    </w:p>
    <w:p w14:paraId="2B0A1C13">
      <w:pPr>
        <w:ind w:firstLine="420"/>
        <w:rPr>
          <w:color w:val="000000"/>
          <w:szCs w:val="21"/>
        </w:rPr>
      </w:pPr>
      <w:r>
        <w:rPr>
          <w:color w:val="000000"/>
          <w:szCs w:val="21"/>
        </w:rPr>
        <w:t>本</w:t>
      </w:r>
      <w:r>
        <w:rPr>
          <w:rFonts w:hint="eastAsia"/>
          <w:color w:val="000000"/>
          <w:szCs w:val="21"/>
        </w:rPr>
        <w:t>文件主要</w:t>
      </w:r>
      <w:r>
        <w:rPr>
          <w:color w:val="000000"/>
          <w:szCs w:val="21"/>
        </w:rPr>
        <w:t>起草单位：</w:t>
      </w:r>
      <w:r>
        <w:rPr>
          <w:rFonts w:hint="eastAsia"/>
          <w:color w:val="000000"/>
          <w:szCs w:val="21"/>
        </w:rPr>
        <w:t>湖北世丰新材料有限公司、上海馨源新材料科技（集团）有限公司、浙江川洋新材料股份有限公司、上海锐秩新材料科技有限公司、重庆元台海绵制品有限公司、东莞市恒盈海绵制品有限公司、济宁市宁宇聚氨酯有限公司、恒光新材料（江苏）股份有限公司、杭州崇耀科技发展有限公司</w:t>
      </w:r>
      <w:r>
        <w:rPr>
          <w:rFonts w:hint="eastAsia"/>
          <w:color w:val="000000"/>
          <w:szCs w:val="21"/>
          <w:lang w:eastAsia="zh-CN"/>
        </w:rPr>
        <w:t>、</w:t>
      </w:r>
      <w:r>
        <w:rPr>
          <w:rFonts w:hint="eastAsia"/>
          <w:color w:val="000000"/>
          <w:szCs w:val="21"/>
          <w:highlight w:val="none"/>
          <w:lang w:val="en-US" w:eastAsia="zh-CN"/>
        </w:rPr>
        <w:t>江苏诚丰新材料股份有限公司、北京工商大学</w:t>
      </w:r>
      <w:r>
        <w:rPr>
          <w:rFonts w:hint="eastAsia"/>
          <w:color w:val="000000"/>
          <w:szCs w:val="21"/>
          <w:highlight w:val="none"/>
        </w:rPr>
        <w:t>。</w:t>
      </w:r>
    </w:p>
    <w:p w14:paraId="43206C53">
      <w:pPr>
        <w:ind w:firstLine="420"/>
        <w:rPr>
          <w:rFonts w:hint="eastAsia"/>
          <w:color w:val="000000"/>
          <w:szCs w:val="21"/>
        </w:rPr>
      </w:pPr>
      <w:r>
        <w:rPr>
          <w:color w:val="000000"/>
          <w:szCs w:val="21"/>
        </w:rPr>
        <w:t>本</w:t>
      </w:r>
      <w:r>
        <w:rPr>
          <w:rFonts w:hint="eastAsia"/>
          <w:color w:val="000000"/>
          <w:szCs w:val="21"/>
        </w:rPr>
        <w:t>文件</w:t>
      </w:r>
      <w:r>
        <w:rPr>
          <w:color w:val="000000"/>
          <w:szCs w:val="21"/>
        </w:rPr>
        <w:t>主要起草人：</w:t>
      </w:r>
      <w:r>
        <w:rPr>
          <w:rFonts w:hint="eastAsia"/>
          <w:color w:val="000000"/>
          <w:szCs w:val="21"/>
        </w:rPr>
        <w:t>曹凯、刘汉水、阮国桥、林永泉、孙吉、韩基利、</w:t>
      </w:r>
      <w:r>
        <w:rPr>
          <w:rFonts w:hint="eastAsia"/>
          <w:color w:val="000000"/>
          <w:szCs w:val="21"/>
          <w:lang w:val="en-US" w:eastAsia="zh-CN"/>
        </w:rPr>
        <w:t>王建荣、</w:t>
      </w:r>
      <w:r>
        <w:rPr>
          <w:rFonts w:hint="eastAsia"/>
          <w:color w:val="000000"/>
          <w:szCs w:val="21"/>
        </w:rPr>
        <w:t>刘冲、钟荣新、高晨钟、李光、韩玉胜、徐健、范巧</w:t>
      </w:r>
      <w:r>
        <w:rPr>
          <w:rFonts w:hint="eastAsia"/>
          <w:color w:val="000000"/>
          <w:szCs w:val="21"/>
          <w:lang w:eastAsia="zh-CN"/>
        </w:rPr>
        <w:t>、</w:t>
      </w:r>
      <w:r>
        <w:rPr>
          <w:rFonts w:hint="eastAsia"/>
          <w:color w:val="000000"/>
          <w:szCs w:val="21"/>
          <w:lang w:val="en-US" w:eastAsia="zh-CN"/>
        </w:rPr>
        <w:t>田华峰</w:t>
      </w:r>
      <w:r>
        <w:rPr>
          <w:rFonts w:hint="eastAsia"/>
          <w:color w:val="000000"/>
          <w:szCs w:val="21"/>
        </w:rPr>
        <w:t>。</w:t>
      </w:r>
    </w:p>
    <w:p w14:paraId="32B6375C">
      <w:pPr>
        <w:pStyle w:val="41"/>
      </w:pPr>
      <w:r>
        <w:rPr>
          <w:rFonts w:hint="eastAsia"/>
        </w:rPr>
        <w:t>本文件为首次发布。</w:t>
      </w:r>
    </w:p>
    <w:p w14:paraId="31BEED94">
      <w:pPr>
        <w:pStyle w:val="41"/>
        <w:sectPr>
          <w:headerReference r:id="rId3" w:type="default"/>
          <w:footerReference r:id="rId4" w:type="default"/>
          <w:pgSz w:w="11906" w:h="16838"/>
          <w:pgMar w:top="567" w:right="1134" w:bottom="1134" w:left="1418" w:header="1418" w:footer="1134" w:gutter="0"/>
          <w:pgNumType w:fmt="upperRoman" w:start="1"/>
          <w:cols w:space="425" w:num="1"/>
          <w:formProt w:val="0"/>
          <w:docGrid w:type="lines" w:linePitch="312" w:charSpace="0"/>
        </w:sectPr>
      </w:pPr>
    </w:p>
    <w:p w14:paraId="6CA8F960">
      <w:pPr>
        <w:pStyle w:val="84"/>
      </w:pPr>
      <w:sdt>
        <w:sdtPr>
          <w:alias w:val="标准名称"/>
          <w:tag w:val="标准名称"/>
          <w:id w:val="1795105741"/>
          <w:lock w:val="sdtLocked"/>
          <w:placeholder>
            <w:docPart w:val="111"/>
          </w:placeholder>
          <w:text w:multiLine="1"/>
        </w:sdtPr>
        <w:sdtContent>
          <w:bookmarkStart w:id="21" w:name="StandardName"/>
          <w:bookmarkEnd w:id="21"/>
          <w:r>
            <w:t>绿色设计产品评价技术规范 汽车顶棚用软质聚氨酯泡沫塑料</w:t>
          </w:r>
        </w:sdtContent>
      </w:sdt>
    </w:p>
    <w:p w14:paraId="1EDC673A">
      <w:pPr>
        <w:pStyle w:val="79"/>
        <w:spacing w:before="312" w:after="312"/>
      </w:pPr>
      <w:r>
        <w:rPr>
          <w:rFonts w:hint="eastAsia"/>
        </w:rPr>
        <w:t>范围</w:t>
      </w:r>
    </w:p>
    <w:p w14:paraId="0BA5519E">
      <w:pPr>
        <w:pStyle w:val="41"/>
        <w:rPr>
          <w:rFonts w:ascii="Times New Roman"/>
        </w:rPr>
      </w:pPr>
      <w:r>
        <w:rPr>
          <w:rFonts w:hint="eastAsia" w:ascii="Times New Roman"/>
        </w:rPr>
        <w:t>本文件规定了汽车顶棚用软质聚氨酯泡沫塑料（以下简称“软质聚氨酯泡沫塑料”）绿色设计产品的评价要求、产品分类、技术要求、生产加工过程的卫生要求、检验方法、检验规则、标志、包装、运输、贮运和保质期，描述了产品生</w:t>
      </w:r>
      <w:r>
        <w:rPr>
          <w:rFonts w:hint="eastAsia" w:ascii="Times New Roman"/>
          <w:highlight w:val="none"/>
        </w:rPr>
        <w:t>命周期评价方法及评价报告编制和评价方法。</w:t>
      </w:r>
    </w:p>
    <w:p w14:paraId="154EAE96">
      <w:pPr>
        <w:pStyle w:val="41"/>
        <w:rPr>
          <w:rFonts w:ascii="Times New Roman"/>
        </w:rPr>
      </w:pPr>
      <w:r>
        <w:rPr>
          <w:rFonts w:hint="eastAsia" w:ascii="Times New Roman"/>
        </w:rPr>
        <w:t>本标准适用于汽车顶棚用软质聚氨酯泡沫塑料的绿色设计产品评价。</w:t>
      </w:r>
    </w:p>
    <w:p w14:paraId="1B018F2F">
      <w:pPr>
        <w:pStyle w:val="79"/>
        <w:spacing w:before="312" w:after="312"/>
      </w:pPr>
      <w:r>
        <w:rPr>
          <w:rFonts w:hint="eastAsia"/>
        </w:rPr>
        <w:t>规范性引用文件</w:t>
      </w:r>
    </w:p>
    <w:p w14:paraId="735C5826">
      <w:pPr>
        <w:pStyle w:val="41"/>
      </w:pPr>
      <w:r>
        <w:rPr>
          <w:rFonts w:hint="eastAsia"/>
        </w:rPr>
        <w:t>下列文件中的内容通过文中的规范性引用而构成对本文件必不可少的条款。其中，注日期的引用文件，仅该日期对应的版本适用于本文件。不注日期的引用文件，其最新版本（包括所有的修改单）适用于本文件。</w:t>
      </w:r>
    </w:p>
    <w:p w14:paraId="705CCE72">
      <w:pPr>
        <w:pStyle w:val="41"/>
        <w:rPr>
          <w:rFonts w:ascii="Times New Roman"/>
        </w:rPr>
      </w:pPr>
      <w:r>
        <w:rPr>
          <w:rFonts w:hint="eastAsia" w:ascii="Times New Roman"/>
        </w:rPr>
        <w:t>GB/T 2589 综合能耗计算通则</w:t>
      </w:r>
    </w:p>
    <w:p w14:paraId="2B757CB1">
      <w:pPr>
        <w:pStyle w:val="41"/>
        <w:rPr>
          <w:rFonts w:ascii="Times New Roman"/>
        </w:rPr>
      </w:pPr>
      <w:r>
        <w:rPr>
          <w:rFonts w:ascii="Times New Roman"/>
        </w:rPr>
        <w:t>GB/T 2918  塑料试样状态调节和试验的标准环境</w:t>
      </w:r>
    </w:p>
    <w:p w14:paraId="5DF0695D">
      <w:pPr>
        <w:pStyle w:val="41"/>
        <w:rPr>
          <w:rFonts w:ascii="Times New Roman"/>
        </w:rPr>
      </w:pPr>
      <w:r>
        <w:rPr>
          <w:rFonts w:ascii="Times New Roman"/>
        </w:rPr>
        <w:t>GB/T 6344  软质泡沫聚合物拉伸强度和断裂伸长率的测定</w:t>
      </w:r>
    </w:p>
    <w:p w14:paraId="04C98F3C">
      <w:pPr>
        <w:pStyle w:val="41"/>
        <w:rPr>
          <w:rFonts w:ascii="Times New Roman"/>
        </w:rPr>
      </w:pPr>
      <w:r>
        <w:rPr>
          <w:rFonts w:ascii="Times New Roman"/>
        </w:rPr>
        <w:t>GB/T 6669  软质泡沫聚合材料压缩永久变形的测定</w:t>
      </w:r>
    </w:p>
    <w:p w14:paraId="0AF28676">
      <w:pPr>
        <w:pStyle w:val="41"/>
        <w:rPr>
          <w:rFonts w:ascii="Times New Roman"/>
        </w:rPr>
      </w:pPr>
      <w:r>
        <w:rPr>
          <w:rFonts w:ascii="Times New Roman"/>
        </w:rPr>
        <w:t>GB/T 9345.1 塑料 灰分的测定 第1部分：通用方法</w:t>
      </w:r>
    </w:p>
    <w:p w14:paraId="0FED82EC">
      <w:pPr>
        <w:pStyle w:val="41"/>
        <w:rPr>
          <w:rFonts w:ascii="Times New Roman"/>
        </w:rPr>
      </w:pPr>
      <w:r>
        <w:rPr>
          <w:rFonts w:hint="eastAsia" w:ascii="Times New Roman"/>
        </w:rPr>
        <w:t>GB/T 10802 通用软质聚氨酯泡沫塑料</w:t>
      </w:r>
    </w:p>
    <w:p w14:paraId="5421B1BF">
      <w:pPr>
        <w:pStyle w:val="41"/>
        <w:rPr>
          <w:rFonts w:ascii="Times New Roman"/>
        </w:rPr>
      </w:pPr>
      <w:r>
        <w:rPr>
          <w:rFonts w:ascii="Times New Roman"/>
        </w:rPr>
        <w:t>GB/T 10807  软质泡沫聚合材料 硬度的测定（压陷法）</w:t>
      </w:r>
    </w:p>
    <w:p w14:paraId="633D83DB">
      <w:pPr>
        <w:pStyle w:val="2"/>
        <w:keepNext w:val="0"/>
        <w:widowControl/>
        <w:wordWrap w:val="0"/>
        <w:ind w:firstLine="420" w:firstLineChars="200"/>
        <w:jc w:val="both"/>
        <w:rPr>
          <w:rFonts w:eastAsia="宋体"/>
          <w:b w:val="0"/>
          <w:bCs/>
          <w:color w:val="000000"/>
          <w:sz w:val="21"/>
          <w:szCs w:val="21"/>
          <w:lang w:val="en-US"/>
        </w:rPr>
      </w:pPr>
      <w:r>
        <w:rPr>
          <w:rFonts w:eastAsia="宋体"/>
          <w:b w:val="0"/>
          <w:bCs/>
          <w:color w:val="000000"/>
          <w:sz w:val="21"/>
          <w:szCs w:val="21"/>
          <w:lang w:val="en-US"/>
        </w:rPr>
        <w:t xml:space="preserve">GB/T 16483 </w:t>
      </w:r>
      <w:r>
        <w:rPr>
          <w:rFonts w:hint="eastAsia" w:eastAsia="宋体"/>
          <w:b w:val="0"/>
          <w:bCs/>
          <w:color w:val="000000"/>
          <w:sz w:val="21"/>
          <w:szCs w:val="21"/>
          <w:lang w:val="en-US"/>
        </w:rPr>
        <w:t xml:space="preserve"> </w:t>
      </w:r>
      <w:r>
        <w:rPr>
          <w:rFonts w:eastAsia="宋体"/>
          <w:b w:val="0"/>
          <w:bCs/>
          <w:color w:val="000000"/>
          <w:sz w:val="21"/>
          <w:szCs w:val="21"/>
          <w:lang w:val="en-US"/>
        </w:rPr>
        <w:t xml:space="preserve">化学品安全技术说明书 </w:t>
      </w:r>
      <w:r>
        <w:rPr>
          <w:rFonts w:hint="eastAsia" w:eastAsia="宋体"/>
          <w:b w:val="0"/>
          <w:bCs/>
          <w:color w:val="000000"/>
          <w:sz w:val="21"/>
          <w:szCs w:val="21"/>
          <w:lang w:val="en-US"/>
        </w:rPr>
        <w:t xml:space="preserve"> </w:t>
      </w:r>
      <w:r>
        <w:rPr>
          <w:rFonts w:eastAsia="宋体"/>
          <w:b w:val="0"/>
          <w:bCs/>
          <w:color w:val="000000"/>
          <w:sz w:val="21"/>
          <w:szCs w:val="21"/>
          <w:lang w:val="en-US"/>
        </w:rPr>
        <w:t>内容和项目顺序</w:t>
      </w:r>
    </w:p>
    <w:p w14:paraId="455615E7">
      <w:pPr>
        <w:pStyle w:val="2"/>
        <w:keepNext w:val="0"/>
        <w:widowControl/>
        <w:wordWrap w:val="0"/>
        <w:ind w:firstLine="420" w:firstLineChars="200"/>
        <w:jc w:val="both"/>
        <w:rPr>
          <w:rFonts w:eastAsia="宋体"/>
          <w:b w:val="0"/>
          <w:bCs/>
          <w:color w:val="000000"/>
          <w:sz w:val="21"/>
          <w:szCs w:val="21"/>
          <w:lang w:val="en-US"/>
        </w:rPr>
      </w:pPr>
      <w:r>
        <w:rPr>
          <w:rFonts w:eastAsia="宋体"/>
          <w:b w:val="0"/>
          <w:bCs/>
          <w:color w:val="000000"/>
          <w:sz w:val="21"/>
          <w:szCs w:val="21"/>
          <w:lang w:val="en-US"/>
        </w:rPr>
        <w:t>GB 17167</w:t>
      </w:r>
      <w:r>
        <w:rPr>
          <w:rFonts w:hint="eastAsia" w:eastAsia="宋体"/>
          <w:b w:val="0"/>
          <w:bCs/>
          <w:color w:val="000000"/>
          <w:sz w:val="21"/>
          <w:szCs w:val="21"/>
          <w:lang w:val="en-US"/>
        </w:rPr>
        <w:t xml:space="preserve">  </w:t>
      </w:r>
      <w:r>
        <w:rPr>
          <w:rFonts w:eastAsia="宋体"/>
          <w:b w:val="0"/>
          <w:bCs/>
          <w:color w:val="000000"/>
          <w:sz w:val="21"/>
          <w:szCs w:val="21"/>
          <w:lang w:val="en-US"/>
        </w:rPr>
        <w:t>用能单位能源计量器具配备和管理通则</w:t>
      </w:r>
    </w:p>
    <w:p w14:paraId="29218A09">
      <w:pPr>
        <w:pStyle w:val="41"/>
        <w:rPr>
          <w:rFonts w:ascii="Times New Roman"/>
        </w:rPr>
      </w:pPr>
      <w:r>
        <w:rPr>
          <w:rFonts w:ascii="Times New Roman"/>
        </w:rPr>
        <w:t>GB 18597 危险废物贮存污染控制标准</w:t>
      </w:r>
    </w:p>
    <w:p w14:paraId="10F300C7">
      <w:pPr>
        <w:pStyle w:val="41"/>
        <w:rPr>
          <w:rFonts w:ascii="Times New Roman"/>
        </w:rPr>
      </w:pPr>
      <w:r>
        <w:rPr>
          <w:rFonts w:ascii="Times New Roman"/>
        </w:rPr>
        <w:t>GB 18599 一般工业固体废物贮存和填埋污染控制标准</w:t>
      </w:r>
    </w:p>
    <w:p w14:paraId="0DE6E309">
      <w:pPr>
        <w:pStyle w:val="41"/>
        <w:rPr>
          <w:rFonts w:ascii="Times New Roman"/>
        </w:rPr>
      </w:pPr>
      <w:r>
        <w:rPr>
          <w:rFonts w:ascii="Times New Roman"/>
        </w:rPr>
        <w:t>GB/T 18941 高聚物多孔弹性材料 定负荷冲击疲劳的测定</w:t>
      </w:r>
    </w:p>
    <w:p w14:paraId="03656F19">
      <w:pPr>
        <w:pStyle w:val="41"/>
        <w:rPr>
          <w:rFonts w:ascii="Times New Roman"/>
        </w:rPr>
      </w:pPr>
      <w:r>
        <w:rPr>
          <w:rFonts w:ascii="Times New Roman"/>
        </w:rPr>
        <w:t>GB/T 19001 质量管理体系 要求</w:t>
      </w:r>
    </w:p>
    <w:p w14:paraId="2D6A0DB5">
      <w:pPr>
        <w:pStyle w:val="41"/>
        <w:rPr>
          <w:rFonts w:ascii="Times New Roman"/>
        </w:rPr>
      </w:pPr>
      <w:r>
        <w:rPr>
          <w:rFonts w:ascii="Times New Roman"/>
        </w:rPr>
        <w:t xml:space="preserve">GB/T 22807 </w:t>
      </w:r>
      <w:r>
        <w:rPr>
          <w:rFonts w:hint="eastAsia" w:ascii="Times New Roman"/>
        </w:rPr>
        <w:t>皮革和毛皮 化学试验 六价铬含量的测定：分光光度法</w:t>
      </w:r>
    </w:p>
    <w:p w14:paraId="2CA819EC">
      <w:pPr>
        <w:pStyle w:val="41"/>
        <w:rPr>
          <w:rFonts w:ascii="Times New Roman"/>
        </w:rPr>
      </w:pPr>
      <w:r>
        <w:rPr>
          <w:rFonts w:hint="eastAsia" w:ascii="Times New Roman"/>
        </w:rPr>
        <w:t>GB/T 22930.1</w:t>
      </w:r>
      <w:r>
        <w:rPr>
          <w:rFonts w:ascii="Times New Roman"/>
        </w:rPr>
        <w:t xml:space="preserve"> </w:t>
      </w:r>
      <w:r>
        <w:rPr>
          <w:rFonts w:hint="eastAsia" w:ascii="Times New Roman"/>
        </w:rPr>
        <w:t>皮革和毛皮 金属含量的化学测定 第1部分：可萃取金属</w:t>
      </w:r>
    </w:p>
    <w:p w14:paraId="6FB05588">
      <w:pPr>
        <w:pStyle w:val="2"/>
        <w:keepNext w:val="0"/>
        <w:widowControl/>
        <w:wordWrap w:val="0"/>
        <w:ind w:firstLine="420" w:firstLineChars="200"/>
        <w:jc w:val="both"/>
        <w:rPr>
          <w:rFonts w:eastAsia="宋体"/>
          <w:b w:val="0"/>
          <w:bCs/>
          <w:color w:val="000000"/>
          <w:sz w:val="21"/>
          <w:szCs w:val="21"/>
          <w:lang w:val="en-US"/>
        </w:rPr>
      </w:pPr>
      <w:r>
        <w:rPr>
          <w:rFonts w:eastAsia="宋体"/>
          <w:b w:val="0"/>
          <w:bCs/>
          <w:color w:val="000000"/>
          <w:sz w:val="21"/>
          <w:szCs w:val="21"/>
          <w:lang w:val="en-US"/>
        </w:rPr>
        <w:t xml:space="preserve">GB/T 23331 </w:t>
      </w:r>
      <w:r>
        <w:rPr>
          <w:rFonts w:hint="eastAsia" w:eastAsia="宋体"/>
          <w:b w:val="0"/>
          <w:bCs/>
          <w:color w:val="000000"/>
          <w:sz w:val="21"/>
          <w:szCs w:val="21"/>
          <w:lang w:val="en-US"/>
        </w:rPr>
        <w:t xml:space="preserve"> </w:t>
      </w:r>
      <w:r>
        <w:rPr>
          <w:rFonts w:eastAsia="宋体"/>
          <w:b w:val="0"/>
          <w:bCs/>
          <w:color w:val="000000"/>
          <w:sz w:val="21"/>
          <w:szCs w:val="21"/>
          <w:lang w:val="en-US"/>
        </w:rPr>
        <w:t xml:space="preserve">能源管理体系 </w:t>
      </w:r>
      <w:r>
        <w:rPr>
          <w:rFonts w:hint="eastAsia" w:eastAsia="宋体"/>
          <w:b w:val="0"/>
          <w:bCs/>
          <w:color w:val="000000"/>
          <w:sz w:val="21"/>
          <w:szCs w:val="21"/>
          <w:lang w:val="en-US"/>
        </w:rPr>
        <w:t xml:space="preserve"> </w:t>
      </w:r>
      <w:r>
        <w:rPr>
          <w:rFonts w:eastAsia="宋体"/>
          <w:b w:val="0"/>
          <w:bCs/>
          <w:color w:val="000000"/>
          <w:sz w:val="21"/>
          <w:szCs w:val="21"/>
          <w:lang w:val="en-US"/>
        </w:rPr>
        <w:t>要求及使用指南</w:t>
      </w:r>
    </w:p>
    <w:p w14:paraId="366EFFF7">
      <w:pPr>
        <w:pStyle w:val="41"/>
        <w:rPr>
          <w:rFonts w:ascii="Times New Roman"/>
        </w:rPr>
      </w:pPr>
      <w:r>
        <w:rPr>
          <w:rFonts w:ascii="Times New Roman"/>
        </w:rPr>
        <w:t>GB/T 24001 环境管理体系 要求及使用指南</w:t>
      </w:r>
    </w:p>
    <w:p w14:paraId="681051B1">
      <w:pPr>
        <w:pStyle w:val="41"/>
        <w:rPr>
          <w:rFonts w:ascii="Times New Roman"/>
        </w:rPr>
      </w:pPr>
      <w:r>
        <w:rPr>
          <w:rFonts w:ascii="Times New Roman"/>
        </w:rPr>
        <w:t>GB/T 24040</w:t>
      </w:r>
      <w:r>
        <w:rPr>
          <w:rFonts w:hint="eastAsia" w:ascii="Times New Roman"/>
        </w:rPr>
        <w:t xml:space="preserve">-2008  </w:t>
      </w:r>
      <w:r>
        <w:rPr>
          <w:rFonts w:ascii="Times New Roman"/>
        </w:rPr>
        <w:t>环境管理  生命周期评价  原则与框架</w:t>
      </w:r>
    </w:p>
    <w:p w14:paraId="336A88D5">
      <w:pPr>
        <w:pStyle w:val="41"/>
        <w:rPr>
          <w:rFonts w:ascii="Times New Roman"/>
        </w:rPr>
      </w:pPr>
      <w:r>
        <w:rPr>
          <w:rFonts w:ascii="Times New Roman"/>
        </w:rPr>
        <w:t>GB/T 24044  环境管理  生命周期评价  要求与指南</w:t>
      </w:r>
    </w:p>
    <w:p w14:paraId="0F40EFA9">
      <w:pPr>
        <w:pStyle w:val="41"/>
        <w:rPr>
          <w:rFonts w:ascii="Times New Roman"/>
        </w:rPr>
      </w:pPr>
      <w:r>
        <w:rPr>
          <w:rFonts w:ascii="Times New Roman"/>
        </w:rPr>
        <w:t>GB/T 32161</w:t>
      </w:r>
      <w:r>
        <w:rPr>
          <w:rFonts w:hint="eastAsia" w:ascii="Times New Roman"/>
        </w:rPr>
        <w:t xml:space="preserve">-2015  </w:t>
      </w:r>
      <w:r>
        <w:rPr>
          <w:rFonts w:ascii="Times New Roman"/>
        </w:rPr>
        <w:t>生态设计产品评价通则</w:t>
      </w:r>
    </w:p>
    <w:p w14:paraId="617B03EE">
      <w:pPr>
        <w:pStyle w:val="41"/>
        <w:rPr>
          <w:rFonts w:ascii="Times New Roman"/>
        </w:rPr>
      </w:pPr>
      <w:r>
        <w:rPr>
          <w:rFonts w:hint="eastAsia" w:ascii="Times New Roman"/>
        </w:rPr>
        <w:t>GB/T 32162</w:t>
      </w:r>
      <w:r>
        <w:rPr>
          <w:rFonts w:ascii="Times New Roman"/>
        </w:rPr>
        <w:t xml:space="preserve"> </w:t>
      </w:r>
      <w:r>
        <w:rPr>
          <w:rFonts w:hint="eastAsia" w:ascii="Times New Roman"/>
        </w:rPr>
        <w:t>生态设计产品标识</w:t>
      </w:r>
    </w:p>
    <w:p w14:paraId="26DC0BE4">
      <w:pPr>
        <w:pStyle w:val="41"/>
        <w:rPr>
          <w:rFonts w:ascii="Times New Roman"/>
        </w:rPr>
      </w:pPr>
      <w:r>
        <w:rPr>
          <w:rFonts w:ascii="Times New Roman"/>
        </w:rPr>
        <w:t>GB/T 33000</w:t>
      </w:r>
      <w:r>
        <w:rPr>
          <w:rFonts w:hint="eastAsia" w:ascii="Times New Roman"/>
        </w:rPr>
        <w:t xml:space="preserve">  </w:t>
      </w:r>
      <w:r>
        <w:rPr>
          <w:rFonts w:ascii="Times New Roman"/>
        </w:rPr>
        <w:t>企业安全生产标准化基本规范</w:t>
      </w:r>
    </w:p>
    <w:p w14:paraId="42AE6C04">
      <w:pPr>
        <w:pStyle w:val="41"/>
        <w:rPr>
          <w:rFonts w:ascii="Times New Roman"/>
        </w:rPr>
      </w:pPr>
      <w:r>
        <w:rPr>
          <w:rFonts w:ascii="Times New Roman"/>
        </w:rPr>
        <w:t>GB/T 45001  职业健康安全管理体系</w:t>
      </w:r>
      <w:r>
        <w:rPr>
          <w:rFonts w:hint="eastAsia" w:ascii="Times New Roman"/>
        </w:rPr>
        <w:t xml:space="preserve"> </w:t>
      </w:r>
      <w:r>
        <w:rPr>
          <w:rFonts w:ascii="Times New Roman"/>
        </w:rPr>
        <w:t>要求及使用指南</w:t>
      </w:r>
    </w:p>
    <w:p w14:paraId="4D03FCD5">
      <w:pPr>
        <w:pStyle w:val="41"/>
        <w:rPr>
          <w:rFonts w:ascii="Times New Roman"/>
        </w:rPr>
      </w:pPr>
      <w:r>
        <w:rPr>
          <w:rFonts w:ascii="Times New Roman"/>
        </w:rPr>
        <w:t>QC/T 850 乘用车座椅用聚氨酯泡沫</w:t>
      </w:r>
    </w:p>
    <w:p w14:paraId="742BCE69">
      <w:pPr>
        <w:pStyle w:val="41"/>
        <w:ind w:left="420" w:firstLine="0" w:firstLineChars="0"/>
        <w:rPr>
          <w:rFonts w:ascii="Times New Roman"/>
        </w:rPr>
      </w:pPr>
      <w:r>
        <w:rPr>
          <w:rFonts w:ascii="Times New Roman"/>
        </w:rPr>
        <w:t xml:space="preserve">GB 16297-1996 </w:t>
      </w:r>
      <w:r>
        <w:rPr>
          <w:rFonts w:hint="eastAsia" w:ascii="Times New Roman"/>
        </w:rPr>
        <w:t>大气污染物综合排放标准</w:t>
      </w:r>
    </w:p>
    <w:p w14:paraId="0393FECC">
      <w:pPr>
        <w:pStyle w:val="41"/>
        <w:ind w:left="420" w:firstLine="0" w:firstLineChars="0"/>
        <w:rPr>
          <w:rFonts w:ascii="Times New Roman"/>
        </w:rPr>
      </w:pPr>
      <w:r>
        <w:rPr>
          <w:rFonts w:ascii="Times New Roman"/>
        </w:rPr>
        <w:t xml:space="preserve">GB 8410-2006 </w:t>
      </w:r>
      <w:r>
        <w:rPr>
          <w:rFonts w:hint="eastAsia" w:ascii="Times New Roman"/>
        </w:rPr>
        <w:t>汽车内饰材料的燃烧特性</w:t>
      </w:r>
    </w:p>
    <w:p w14:paraId="01D97778">
      <w:pPr>
        <w:pStyle w:val="41"/>
        <w:ind w:left="420" w:firstLine="0" w:firstLineChars="0"/>
        <w:rPr>
          <w:rFonts w:ascii="Times New Roman"/>
        </w:rPr>
      </w:pPr>
      <w:r>
        <w:rPr>
          <w:rFonts w:hint="eastAsia" w:ascii="Times New Roman"/>
          <w:lang w:val="en-US" w:eastAsia="zh-CN"/>
        </w:rPr>
        <w:t>GB/T6344</w:t>
      </w:r>
      <w:r>
        <w:rPr>
          <w:rFonts w:ascii="Times New Roman"/>
        </w:rPr>
        <w:t xml:space="preserve"> </w:t>
      </w:r>
      <w:r>
        <w:rPr>
          <w:rFonts w:hint="eastAsia" w:ascii="Times New Roman"/>
        </w:rPr>
        <w:t>软质泡沫聚合材料拉伸强度和断裂伸长率的测定</w:t>
      </w:r>
    </w:p>
    <w:p w14:paraId="530548C4">
      <w:pPr>
        <w:pStyle w:val="41"/>
        <w:ind w:left="420" w:firstLine="0" w:firstLineChars="0"/>
        <w:rPr>
          <w:rFonts w:ascii="Times New Roman"/>
        </w:rPr>
      </w:pPr>
      <w:r>
        <w:rPr>
          <w:rFonts w:hint="eastAsia" w:ascii="Times New Roman"/>
          <w:lang w:val="en-US" w:eastAsia="zh-CN"/>
        </w:rPr>
        <w:t>GB/T18942.1</w:t>
      </w:r>
      <w:r>
        <w:rPr>
          <w:rFonts w:ascii="Times New Roman"/>
        </w:rPr>
        <w:t xml:space="preserve"> </w:t>
      </w:r>
      <w:r>
        <w:rPr>
          <w:rFonts w:hint="eastAsia" w:ascii="Times New Roman"/>
        </w:rPr>
        <w:t>高聚物多孔弹性材料压缩应力应变特性的测定</w:t>
      </w:r>
      <w:r>
        <w:rPr>
          <w:rFonts w:ascii="Times New Roman"/>
        </w:rPr>
        <w:cr/>
      </w:r>
      <w:r>
        <w:rPr>
          <w:rFonts w:hint="eastAsia" w:ascii="Times New Roman"/>
          <w:lang w:val="en-US" w:eastAsia="zh-CN"/>
        </w:rPr>
        <w:t>GB/T6669</w:t>
      </w:r>
      <w:r>
        <w:rPr>
          <w:rFonts w:ascii="Times New Roman"/>
        </w:rPr>
        <w:t xml:space="preserve"> </w:t>
      </w:r>
      <w:r>
        <w:rPr>
          <w:rFonts w:hint="eastAsia" w:ascii="Times New Roman"/>
        </w:rPr>
        <w:t>软质泡沫聚合材料压缩永久变形的测定</w:t>
      </w:r>
      <w:r>
        <w:rPr>
          <w:rFonts w:ascii="Times New Roman"/>
        </w:rPr>
        <w:cr/>
      </w:r>
      <w:r>
        <w:rPr>
          <w:rFonts w:hint="eastAsia" w:ascii="Times New Roman"/>
          <w:lang w:val="en-US" w:eastAsia="zh-CN"/>
        </w:rPr>
        <w:t>GB/T6343</w:t>
      </w:r>
      <w:r>
        <w:rPr>
          <w:rFonts w:ascii="Times New Roman"/>
        </w:rPr>
        <w:t xml:space="preserve"> </w:t>
      </w:r>
      <w:r>
        <w:rPr>
          <w:rFonts w:hint="default" w:ascii="Times New Roman"/>
        </w:rPr>
        <w:fldChar w:fldCharType="begin"/>
      </w:r>
      <w:r>
        <w:rPr>
          <w:rFonts w:hint="default" w:ascii="Times New Roman"/>
        </w:rPr>
        <w:instrText xml:space="preserve"> HYPERLINK "http://www.baidu.com/link?url=2WnCOiRul5ffpQSQBXhv4Kgd3BjV3MmEzrd9WeDQ8Zt6IySNJ12PwuHScvS93PHjadKwDL2lq6ipjssH1DFaUa" \t "https://www.baidu.com/_blank" </w:instrText>
      </w:r>
      <w:r>
        <w:rPr>
          <w:rFonts w:hint="default" w:ascii="Times New Roman"/>
        </w:rPr>
        <w:fldChar w:fldCharType="separate"/>
      </w:r>
      <w:r>
        <w:rPr>
          <w:rFonts w:hint="default" w:ascii="Times New Roman"/>
        </w:rPr>
        <w:t>泡沫塑料表观密度的测定</w:t>
      </w:r>
      <w:r>
        <w:rPr>
          <w:rFonts w:hint="default" w:ascii="Times New Roman"/>
        </w:rPr>
        <w:fldChar w:fldCharType="end"/>
      </w:r>
    </w:p>
    <w:p w14:paraId="278C5E12">
      <w:pPr>
        <w:pStyle w:val="41"/>
        <w:ind w:left="420" w:firstLine="0" w:firstLineChars="0"/>
        <w:rPr>
          <w:rFonts w:hint="eastAsia" w:ascii="Times New Roman"/>
        </w:rPr>
      </w:pPr>
      <w:r>
        <w:rPr>
          <w:rFonts w:hint="eastAsia" w:ascii="Times New Roman"/>
          <w:lang w:val="en-US" w:eastAsia="zh-CN"/>
        </w:rPr>
        <w:t>GB/T3820</w:t>
      </w:r>
      <w:r>
        <w:rPr>
          <w:rFonts w:ascii="Times New Roman"/>
        </w:rPr>
        <w:t xml:space="preserve"> </w:t>
      </w:r>
      <w:r>
        <w:rPr>
          <w:rFonts w:hint="eastAsia" w:ascii="Times New Roman"/>
        </w:rPr>
        <w:t>纺织品</w:t>
      </w:r>
      <w:r>
        <w:rPr>
          <w:rFonts w:hint="eastAsia" w:ascii="Times New Roman"/>
          <w:lang w:val="en-US" w:eastAsia="zh-CN"/>
        </w:rPr>
        <w:t>和纺织制品</w:t>
      </w:r>
      <w:r>
        <w:rPr>
          <w:rFonts w:hint="eastAsia" w:ascii="Times New Roman"/>
        </w:rPr>
        <w:t>厚度</w:t>
      </w:r>
      <w:r>
        <w:rPr>
          <w:rFonts w:hint="eastAsia" w:ascii="Times New Roman"/>
          <w:lang w:val="en-US" w:eastAsia="zh-CN"/>
        </w:rPr>
        <w:t>的</w:t>
      </w:r>
      <w:r>
        <w:rPr>
          <w:rFonts w:hint="eastAsia" w:ascii="Times New Roman"/>
        </w:rPr>
        <w:t>测定</w:t>
      </w:r>
    </w:p>
    <w:p w14:paraId="16A2738A">
      <w:pPr>
        <w:pStyle w:val="41"/>
        <w:ind w:left="420" w:firstLine="0" w:firstLineChars="0"/>
        <w:rPr>
          <w:rFonts w:ascii="Times New Roman"/>
        </w:rPr>
      </w:pPr>
      <w:r>
        <w:rPr>
          <w:rFonts w:hint="eastAsia" w:ascii="Times New Roman"/>
          <w:lang w:val="en-US" w:eastAsia="zh-CN"/>
        </w:rPr>
        <w:t>GB/T9640软质和硬质泡沫聚合材料加速老化试验方法</w:t>
      </w:r>
      <w:r>
        <w:rPr>
          <w:rFonts w:ascii="Times New Roman"/>
        </w:rPr>
        <w:cr/>
      </w:r>
      <w:r>
        <w:rPr>
          <w:rFonts w:ascii="Times New Roman"/>
        </w:rPr>
        <w:t xml:space="preserve">PV 3900-2019 </w:t>
      </w:r>
      <w:r>
        <w:rPr>
          <w:rFonts w:hint="eastAsia" w:ascii="Times New Roman"/>
        </w:rPr>
        <w:t>大众气味试验标准</w:t>
      </w:r>
    </w:p>
    <w:p w14:paraId="6D70B49E">
      <w:pPr>
        <w:pStyle w:val="41"/>
        <w:ind w:left="420" w:firstLine="0" w:firstLineChars="0"/>
        <w:rPr>
          <w:rFonts w:ascii="Times New Roman"/>
        </w:rPr>
      </w:pPr>
      <w:r>
        <w:rPr>
          <w:rFonts w:ascii="Times New Roman"/>
        </w:rPr>
        <w:t xml:space="preserve">PV 3015 -2019 </w:t>
      </w:r>
      <w:r>
        <w:rPr>
          <w:rFonts w:hint="eastAsia" w:ascii="Times New Roman"/>
        </w:rPr>
        <w:t>大众雾化试验标准</w:t>
      </w:r>
      <w:r>
        <w:rPr>
          <w:rFonts w:ascii="Times New Roman"/>
        </w:rPr>
        <w:cr/>
      </w:r>
      <w:r>
        <w:rPr>
          <w:rFonts w:ascii="Times New Roman"/>
        </w:rPr>
        <w:t xml:space="preserve">QC/T 1131-2020 </w:t>
      </w:r>
      <w:r>
        <w:rPr>
          <w:rFonts w:hint="eastAsia" w:ascii="Times New Roman"/>
        </w:rPr>
        <w:t>汽车材料中多环芳烃的检测方法</w:t>
      </w:r>
      <w:r>
        <w:rPr>
          <w:rFonts w:ascii="Times New Roman"/>
        </w:rPr>
        <w:cr/>
      </w:r>
      <w:r>
        <w:rPr>
          <w:rFonts w:ascii="Times New Roman"/>
        </w:rPr>
        <w:t xml:space="preserve">QC/T 943-2013 </w:t>
      </w:r>
      <w:r>
        <w:rPr>
          <w:rFonts w:hint="eastAsia" w:ascii="Times New Roman"/>
        </w:rPr>
        <w:t>汽车材料中铅、镉的检测方法</w:t>
      </w:r>
      <w:r>
        <w:rPr>
          <w:rFonts w:ascii="Times New Roman"/>
        </w:rPr>
        <w:cr/>
      </w:r>
      <w:r>
        <w:rPr>
          <w:rFonts w:ascii="Times New Roman"/>
        </w:rPr>
        <w:t xml:space="preserve">QC/T 942-2013 </w:t>
      </w:r>
      <w:r>
        <w:rPr>
          <w:rFonts w:hint="eastAsia" w:ascii="Times New Roman"/>
        </w:rPr>
        <w:t>汽车材料中六价铬的检测方法</w:t>
      </w:r>
      <w:r>
        <w:rPr>
          <w:rFonts w:ascii="Times New Roman"/>
        </w:rPr>
        <w:cr/>
      </w:r>
      <w:r>
        <w:rPr>
          <w:rFonts w:ascii="Times New Roman"/>
        </w:rPr>
        <w:t xml:space="preserve">QC/T 941-2013 </w:t>
      </w:r>
      <w:r>
        <w:rPr>
          <w:rFonts w:hint="eastAsia" w:ascii="Times New Roman"/>
        </w:rPr>
        <w:t>汽车材料中汞的检测方法</w:t>
      </w:r>
      <w:r>
        <w:rPr>
          <w:rFonts w:ascii="Times New Roman"/>
        </w:rPr>
        <w:cr/>
      </w:r>
      <w:r>
        <w:rPr>
          <w:rFonts w:ascii="Times New Roman"/>
        </w:rPr>
        <w:t xml:space="preserve">QC/T 944-2013 </w:t>
      </w:r>
      <w:r>
        <w:rPr>
          <w:rFonts w:hint="eastAsia" w:ascii="Times New Roman"/>
        </w:rPr>
        <w:t>汽车材料中多溴联苯(PBBs)和多溴二苯醚(PBDEs)的检测方法</w:t>
      </w:r>
      <w:r>
        <w:rPr>
          <w:rFonts w:ascii="Times New Roman"/>
        </w:rPr>
        <w:cr/>
      </w:r>
      <w:r>
        <w:rPr>
          <w:rFonts w:ascii="Times New Roman"/>
        </w:rPr>
        <w:t xml:space="preserve">VW 50180:2019 </w:t>
      </w:r>
      <w:r>
        <w:rPr>
          <w:rFonts w:hint="eastAsia" w:ascii="Times New Roman"/>
        </w:rPr>
        <w:t>大众汽车内饰空气质量标准</w:t>
      </w:r>
    </w:p>
    <w:p w14:paraId="5E90A4DA">
      <w:pPr>
        <w:pStyle w:val="79"/>
        <w:spacing w:before="312" w:after="312"/>
      </w:pPr>
      <w:r>
        <w:rPr>
          <w:rFonts w:hint="eastAsia"/>
        </w:rPr>
        <w:t>术语和定义</w:t>
      </w:r>
    </w:p>
    <w:p w14:paraId="3C9050EA">
      <w:pPr>
        <w:pStyle w:val="41"/>
        <w:rPr>
          <w:rFonts w:ascii="Times New Roman"/>
        </w:rPr>
      </w:pPr>
      <w:bookmarkStart w:id="22" w:name="_Hlk52207328"/>
      <w:r>
        <w:rPr>
          <w:rFonts w:hint="eastAsia" w:ascii="Times New Roman"/>
          <w:szCs w:val="21"/>
        </w:rPr>
        <w:t>GB/T 32161、GB/T 24040、GB/T 24044界定的以及下列术语和定义适用于本文件</w:t>
      </w:r>
      <w:r>
        <w:rPr>
          <w:rFonts w:ascii="Times New Roman"/>
        </w:rPr>
        <w:t>文件。</w:t>
      </w:r>
    </w:p>
    <w:p w14:paraId="1CE9E065">
      <w:pPr>
        <w:pStyle w:val="76"/>
        <w:numPr>
          <w:ilvl w:val="0"/>
          <w:numId w:val="0"/>
        </w:numPr>
        <w:spacing w:before="156" w:after="156"/>
        <w:ind w:firstLine="210" w:firstLineChars="100"/>
        <w:rPr>
          <w:bCs/>
          <w:color w:val="000000"/>
        </w:rPr>
      </w:pPr>
      <w:r>
        <w:rPr>
          <w:bCs/>
          <w:color w:val="000000"/>
        </w:rPr>
        <w:t>3.1</w:t>
      </w:r>
    </w:p>
    <w:p w14:paraId="26E3C75E">
      <w:pPr>
        <w:pStyle w:val="41"/>
        <w:ind w:firstLine="422"/>
        <w:rPr>
          <w:rFonts w:ascii="Times New Roman" w:eastAsia="黑体"/>
          <w:b/>
          <w:bCs/>
        </w:rPr>
      </w:pPr>
      <w:r>
        <w:rPr>
          <w:rFonts w:ascii="Times New Roman" w:eastAsia="黑体"/>
          <w:b/>
          <w:bCs/>
        </w:rPr>
        <w:t>绿色设计</w:t>
      </w:r>
      <w:r>
        <w:rPr>
          <w:rFonts w:hint="eastAsia" w:ascii="Times New Roman" w:eastAsia="黑体"/>
          <w:b/>
          <w:bCs/>
        </w:rPr>
        <w:t xml:space="preserve"> </w:t>
      </w:r>
      <w:r>
        <w:rPr>
          <w:rFonts w:ascii="Times New Roman" w:eastAsia="黑体"/>
          <w:b/>
          <w:szCs w:val="21"/>
        </w:rPr>
        <w:t>green-design</w:t>
      </w:r>
    </w:p>
    <w:p w14:paraId="7815A7FA">
      <w:pPr>
        <w:pStyle w:val="41"/>
        <w:ind w:firstLine="422"/>
        <w:rPr>
          <w:rFonts w:ascii="Times New Roman" w:eastAsia="黑体"/>
          <w:b/>
          <w:bCs/>
        </w:rPr>
      </w:pPr>
      <w:r>
        <w:rPr>
          <w:rFonts w:ascii="Times New Roman" w:eastAsia="黑体"/>
          <w:b/>
          <w:bCs/>
        </w:rPr>
        <w:t>生态设计</w:t>
      </w:r>
      <w:r>
        <w:rPr>
          <w:rFonts w:hint="eastAsia" w:ascii="Times New Roman" w:eastAsia="黑体"/>
          <w:b/>
          <w:bCs/>
        </w:rPr>
        <w:t xml:space="preserve"> </w:t>
      </w:r>
      <w:r>
        <w:rPr>
          <w:rFonts w:ascii="Times New Roman" w:eastAsia="黑体"/>
          <w:b/>
          <w:szCs w:val="21"/>
        </w:rPr>
        <w:t>eco-design</w:t>
      </w:r>
    </w:p>
    <w:p w14:paraId="5C4BA2A2">
      <w:pPr>
        <w:pStyle w:val="41"/>
        <w:rPr>
          <w:rFonts w:ascii="Times New Roman"/>
        </w:rPr>
      </w:pPr>
      <w:r>
        <w:rPr>
          <w:rFonts w:hint="eastAsia" w:ascii="Times New Roman"/>
        </w:rPr>
        <w:t>按照生命周期（3.3）的理念，在产品设计开发阶段系统考虑原材料选用、生产、销售、使用、回收、处理等各个环节对资源环境造成的影响，力求产品在生命周期（3.3）中最大限度降低资源消耗、尽可能少用或不用含有有害物质的原材料，减少污染物产生和排放，从而实现环境保护的活动。</w:t>
      </w:r>
    </w:p>
    <w:p w14:paraId="77D4DC9E">
      <w:pPr>
        <w:ind w:firstLine="435"/>
        <w:rPr>
          <w:szCs w:val="21"/>
        </w:rPr>
      </w:pPr>
      <w:r>
        <w:rPr>
          <w:rFonts w:hint="eastAsia" w:ascii="宋体" w:hAnsi="宋体" w:cs="宋体"/>
          <w:szCs w:val="21"/>
        </w:rPr>
        <w:t>[</w:t>
      </w:r>
      <w:r>
        <w:rPr>
          <w:szCs w:val="21"/>
        </w:rPr>
        <w:t>来源：GB/T 32161</w:t>
      </w:r>
      <w:r>
        <w:t>－</w:t>
      </w:r>
      <w:r>
        <w:rPr>
          <w:szCs w:val="21"/>
        </w:rPr>
        <w:t>2015，3.2，有修改</w:t>
      </w:r>
      <w:r>
        <w:rPr>
          <w:rFonts w:hint="eastAsia" w:ascii="宋体" w:hAnsi="宋体" w:cs="宋体"/>
          <w:szCs w:val="21"/>
        </w:rPr>
        <w:t>]</w:t>
      </w:r>
    </w:p>
    <w:p w14:paraId="1CD3474D">
      <w:pPr>
        <w:pStyle w:val="76"/>
        <w:numPr>
          <w:ilvl w:val="0"/>
          <w:numId w:val="0"/>
        </w:numPr>
        <w:spacing w:before="156" w:after="156"/>
        <w:ind w:firstLine="210" w:firstLineChars="100"/>
        <w:rPr>
          <w:bCs/>
          <w:color w:val="000000"/>
        </w:rPr>
      </w:pPr>
      <w:r>
        <w:rPr>
          <w:bCs/>
          <w:color w:val="000000"/>
        </w:rPr>
        <w:t>3.2</w:t>
      </w:r>
    </w:p>
    <w:p w14:paraId="32C0880E">
      <w:pPr>
        <w:pStyle w:val="41"/>
        <w:ind w:firstLine="422"/>
        <w:rPr>
          <w:rFonts w:ascii="Times New Roman" w:eastAsia="黑体"/>
          <w:b/>
          <w:bCs/>
        </w:rPr>
      </w:pPr>
      <w:r>
        <w:rPr>
          <w:rFonts w:ascii="Times New Roman" w:eastAsia="黑体"/>
          <w:b/>
          <w:bCs/>
        </w:rPr>
        <w:t xml:space="preserve">绿色设计产品 </w:t>
      </w:r>
      <w:r>
        <w:rPr>
          <w:rFonts w:ascii="Times New Roman" w:eastAsia="黑体"/>
          <w:b/>
          <w:szCs w:val="21"/>
        </w:rPr>
        <w:t>green-design product</w:t>
      </w:r>
    </w:p>
    <w:p w14:paraId="49DD8FD1">
      <w:pPr>
        <w:pStyle w:val="41"/>
        <w:ind w:firstLine="422"/>
        <w:rPr>
          <w:rFonts w:ascii="Times New Roman"/>
          <w:b/>
          <w:bCs/>
        </w:rPr>
      </w:pPr>
      <w:r>
        <w:rPr>
          <w:rFonts w:ascii="Times New Roman" w:eastAsia="黑体"/>
          <w:b/>
          <w:bCs/>
        </w:rPr>
        <w:t>生态设计产品</w:t>
      </w:r>
      <w:r>
        <w:rPr>
          <w:rFonts w:hint="eastAsia" w:ascii="Times New Roman"/>
          <w:b/>
          <w:bCs/>
        </w:rPr>
        <w:t xml:space="preserve"> </w:t>
      </w:r>
      <w:r>
        <w:rPr>
          <w:rFonts w:ascii="Times New Roman" w:eastAsia="黑体"/>
          <w:b/>
          <w:szCs w:val="21"/>
        </w:rPr>
        <w:t>eco-design product</w:t>
      </w:r>
    </w:p>
    <w:p w14:paraId="4E7BDA51">
      <w:pPr>
        <w:ind w:firstLine="420" w:firstLineChars="200"/>
        <w:rPr>
          <w:szCs w:val="21"/>
        </w:rPr>
      </w:pPr>
      <w:r>
        <w:rPr>
          <w:szCs w:val="21"/>
        </w:rPr>
        <w:t>符合绿色设计</w:t>
      </w:r>
      <w:r>
        <w:rPr>
          <w:rFonts w:hint="eastAsia"/>
          <w:szCs w:val="21"/>
        </w:rPr>
        <w:t>（3.1）</w:t>
      </w:r>
      <w:r>
        <w:rPr>
          <w:szCs w:val="21"/>
        </w:rPr>
        <w:t>理念和评价要求的产品。</w:t>
      </w:r>
    </w:p>
    <w:p w14:paraId="784E61FF">
      <w:pPr>
        <w:ind w:firstLine="435"/>
        <w:rPr>
          <w:rFonts w:ascii="宋体" w:hAnsi="宋体" w:cs="宋体"/>
          <w:szCs w:val="21"/>
        </w:rPr>
      </w:pPr>
      <w:r>
        <w:rPr>
          <w:rFonts w:hint="eastAsia" w:ascii="宋体" w:hAnsi="宋体" w:cs="宋体"/>
          <w:szCs w:val="21"/>
        </w:rPr>
        <w:t>[</w:t>
      </w:r>
      <w:r>
        <w:rPr>
          <w:szCs w:val="21"/>
        </w:rPr>
        <w:t>来源：GB/T 32161</w:t>
      </w:r>
      <w:r>
        <w:t>－</w:t>
      </w:r>
      <w:r>
        <w:rPr>
          <w:szCs w:val="21"/>
        </w:rPr>
        <w:t>2015，3.3，有修改</w:t>
      </w:r>
      <w:r>
        <w:rPr>
          <w:rFonts w:hint="eastAsia" w:ascii="宋体" w:hAnsi="宋体" w:cs="宋体"/>
          <w:szCs w:val="21"/>
        </w:rPr>
        <w:t>]</w:t>
      </w:r>
    </w:p>
    <w:p w14:paraId="7BEA73EB">
      <w:pPr>
        <w:pStyle w:val="76"/>
        <w:numPr>
          <w:ilvl w:val="0"/>
          <w:numId w:val="0"/>
        </w:numPr>
        <w:spacing w:before="156" w:after="156"/>
        <w:ind w:firstLine="210" w:firstLineChars="100"/>
        <w:rPr>
          <w:rFonts w:ascii="Times New Roman"/>
        </w:rPr>
      </w:pPr>
      <w:r>
        <w:rPr>
          <w:bCs/>
          <w:color w:val="000000"/>
        </w:rPr>
        <w:t>3.</w:t>
      </w:r>
      <w:r>
        <w:rPr>
          <w:rFonts w:hint="eastAsia"/>
          <w:bCs/>
          <w:color w:val="000000"/>
        </w:rPr>
        <w:t>3</w:t>
      </w:r>
    </w:p>
    <w:p w14:paraId="53B4CF2F">
      <w:pPr>
        <w:pStyle w:val="76"/>
        <w:numPr>
          <w:ilvl w:val="0"/>
          <w:numId w:val="0"/>
        </w:numPr>
        <w:spacing w:before="156" w:after="156"/>
        <w:ind w:firstLine="420" w:firstLineChars="200"/>
        <w:rPr>
          <w:rFonts w:ascii="Times New Roman"/>
          <w:b/>
          <w:kern w:val="2"/>
        </w:rPr>
      </w:pPr>
      <w:r>
        <w:rPr>
          <w:rFonts w:ascii="Times New Roman"/>
        </w:rPr>
        <w:t>生命周期</w:t>
      </w:r>
      <w:r>
        <w:rPr>
          <w:rFonts w:ascii="Times New Roman"/>
          <w:b/>
          <w:kern w:val="2"/>
        </w:rPr>
        <w:t xml:space="preserve">  life cycle</w:t>
      </w:r>
    </w:p>
    <w:p w14:paraId="72EEEDFD">
      <w:pPr>
        <w:pStyle w:val="41"/>
        <w:rPr>
          <w:rFonts w:ascii="Times New Roman"/>
        </w:rPr>
      </w:pPr>
      <w:bookmarkStart w:id="23" w:name="_Hlk52207289"/>
      <w:r>
        <w:rPr>
          <w:rFonts w:ascii="Times New Roman"/>
        </w:rPr>
        <w:t>产品系统中前后衔接的一系列阶段，从自然界或从自然资源中获取原材料，直至最终处置。</w:t>
      </w:r>
    </w:p>
    <w:p w14:paraId="0D193E64">
      <w:pPr>
        <w:ind w:firstLine="435"/>
        <w:rPr>
          <w:rFonts w:ascii="宋体" w:hAnsi="宋体" w:cs="宋体"/>
          <w:szCs w:val="21"/>
        </w:rPr>
      </w:pPr>
      <w:r>
        <w:rPr>
          <w:rFonts w:hint="eastAsia" w:ascii="宋体" w:hAnsi="宋体" w:cs="宋体"/>
          <w:szCs w:val="21"/>
        </w:rPr>
        <w:t>[</w:t>
      </w:r>
      <w:r>
        <w:rPr>
          <w:szCs w:val="21"/>
        </w:rPr>
        <w:t>来源：GB/T 24040</w:t>
      </w:r>
      <w:r>
        <w:t>－</w:t>
      </w:r>
      <w:r>
        <w:rPr>
          <w:szCs w:val="21"/>
        </w:rPr>
        <w:t>2008，3.1</w:t>
      </w:r>
      <w:r>
        <w:rPr>
          <w:rFonts w:hint="eastAsia" w:ascii="宋体" w:hAnsi="宋体" w:cs="宋体"/>
          <w:szCs w:val="21"/>
        </w:rPr>
        <w:t>]</w:t>
      </w:r>
    </w:p>
    <w:p w14:paraId="2C8D8238">
      <w:pPr>
        <w:pStyle w:val="76"/>
        <w:numPr>
          <w:ilvl w:val="0"/>
          <w:numId w:val="0"/>
        </w:numPr>
        <w:spacing w:before="156" w:after="156"/>
        <w:ind w:firstLine="210" w:firstLineChars="100"/>
        <w:rPr>
          <w:rFonts w:ascii="Times New Roman"/>
        </w:rPr>
      </w:pPr>
      <w:r>
        <w:rPr>
          <w:bCs/>
          <w:color w:val="000000"/>
        </w:rPr>
        <w:t>3.</w:t>
      </w:r>
      <w:r>
        <w:rPr>
          <w:rFonts w:hint="eastAsia"/>
          <w:bCs/>
          <w:color w:val="000000"/>
        </w:rPr>
        <w:t>4</w:t>
      </w:r>
    </w:p>
    <w:p w14:paraId="2C8087CB">
      <w:pPr>
        <w:pStyle w:val="41"/>
        <w:rPr>
          <w:rFonts w:ascii="Times New Roman" w:eastAsia="黑体"/>
          <w:b/>
          <w:kern w:val="2"/>
          <w:szCs w:val="21"/>
        </w:rPr>
      </w:pPr>
      <w:bookmarkStart w:id="24" w:name="_Hlk52207319"/>
      <w:r>
        <w:rPr>
          <w:rFonts w:ascii="Times New Roman" w:eastAsia="黑体"/>
          <w:color w:val="000000"/>
          <w:szCs w:val="21"/>
        </w:rPr>
        <w:t>生命周期评价</w:t>
      </w:r>
      <w:r>
        <w:rPr>
          <w:rFonts w:hint="eastAsia" w:ascii="Times New Roman" w:eastAsia="黑体"/>
          <w:b/>
          <w:kern w:val="2"/>
          <w:szCs w:val="21"/>
        </w:rPr>
        <w:t xml:space="preserve">  </w:t>
      </w:r>
      <w:r>
        <w:rPr>
          <w:rFonts w:ascii="Times New Roman" w:eastAsia="黑体"/>
          <w:b/>
          <w:kern w:val="2"/>
          <w:szCs w:val="21"/>
        </w:rPr>
        <w:t>life cycle assessment</w:t>
      </w:r>
      <w:r>
        <w:rPr>
          <w:rFonts w:hint="eastAsia" w:ascii="Times New Roman" w:eastAsia="黑体"/>
          <w:b/>
          <w:kern w:val="2"/>
          <w:szCs w:val="21"/>
        </w:rPr>
        <w:t xml:space="preserve"> </w:t>
      </w:r>
      <w:r>
        <w:rPr>
          <w:rFonts w:ascii="Times New Roman" w:eastAsia="黑体"/>
          <w:b/>
          <w:kern w:val="2"/>
          <w:szCs w:val="21"/>
        </w:rPr>
        <w:t>(LCA)</w:t>
      </w:r>
    </w:p>
    <w:bookmarkEnd w:id="24"/>
    <w:p w14:paraId="5D68E685">
      <w:pPr>
        <w:pStyle w:val="41"/>
        <w:rPr>
          <w:rFonts w:ascii="Times New Roman"/>
        </w:rPr>
      </w:pPr>
      <w:r>
        <w:rPr>
          <w:rFonts w:hint="eastAsia" w:ascii="Times New Roman"/>
        </w:rPr>
        <w:t>对一个产品系统的生命周期（3.3）中输入、输出及其潜在环境影响的汇编和评价。</w:t>
      </w:r>
    </w:p>
    <w:p w14:paraId="4798F0F9">
      <w:pPr>
        <w:pStyle w:val="41"/>
        <w:rPr>
          <w:rFonts w:ascii="Times New Roman"/>
          <w:szCs w:val="21"/>
        </w:rPr>
      </w:pPr>
      <w:r>
        <w:rPr>
          <w:rFonts w:hint="eastAsia" w:hAnsi="宋体" w:cs="宋体"/>
          <w:szCs w:val="21"/>
        </w:rPr>
        <w:t>[</w:t>
      </w:r>
      <w:r>
        <w:rPr>
          <w:rFonts w:ascii="Times New Roman"/>
          <w:szCs w:val="21"/>
        </w:rPr>
        <w:t>来源：GB/T 24040</w:t>
      </w:r>
      <w:r>
        <w:rPr>
          <w:rFonts w:ascii="Times New Roman"/>
        </w:rPr>
        <w:t>－</w:t>
      </w:r>
      <w:r>
        <w:rPr>
          <w:rFonts w:ascii="Times New Roman"/>
          <w:szCs w:val="21"/>
        </w:rPr>
        <w:t>2008，3.2</w:t>
      </w:r>
      <w:r>
        <w:rPr>
          <w:rFonts w:hint="eastAsia" w:hAnsi="宋体" w:cs="宋体"/>
          <w:szCs w:val="21"/>
        </w:rPr>
        <w:t>]</w:t>
      </w:r>
    </w:p>
    <w:bookmarkEnd w:id="23"/>
    <w:p w14:paraId="2FB242C8">
      <w:pPr>
        <w:pStyle w:val="76"/>
        <w:numPr>
          <w:ilvl w:val="0"/>
          <w:numId w:val="0"/>
        </w:numPr>
        <w:spacing w:before="156" w:after="156"/>
        <w:ind w:firstLine="210" w:firstLineChars="100"/>
        <w:rPr>
          <w:bCs/>
          <w:color w:val="000000"/>
        </w:rPr>
      </w:pPr>
      <w:r>
        <w:rPr>
          <w:bCs/>
          <w:color w:val="000000"/>
        </w:rPr>
        <w:t>3.</w:t>
      </w:r>
      <w:r>
        <w:rPr>
          <w:rFonts w:hint="eastAsia"/>
          <w:bCs/>
          <w:color w:val="000000"/>
        </w:rPr>
        <w:t>5</w:t>
      </w:r>
    </w:p>
    <w:p w14:paraId="01E69077">
      <w:pPr>
        <w:pStyle w:val="41"/>
        <w:ind w:firstLine="422"/>
        <w:rPr>
          <w:rFonts w:ascii="Times New Roman"/>
          <w:b/>
          <w:bCs/>
        </w:rPr>
      </w:pPr>
      <w:r>
        <w:rPr>
          <w:rFonts w:ascii="黑体" w:hAnsi="黑体" w:eastAsia="黑体"/>
          <w:b/>
          <w:bCs/>
        </w:rPr>
        <w:t>软质聚氨酯泡沫塑料</w:t>
      </w:r>
      <w:r>
        <w:rPr>
          <w:rFonts w:ascii="Times New Roman"/>
          <w:b/>
          <w:bCs/>
        </w:rPr>
        <w:t xml:space="preserve"> </w:t>
      </w:r>
      <w:r>
        <w:rPr>
          <w:rFonts w:hint="eastAsia" w:ascii="Times New Roman"/>
          <w:b/>
          <w:bCs/>
        </w:rPr>
        <w:t>f</w:t>
      </w:r>
      <w:r>
        <w:rPr>
          <w:rFonts w:ascii="Times New Roman"/>
          <w:b/>
          <w:bCs/>
        </w:rPr>
        <w:t xml:space="preserve">lexible </w:t>
      </w:r>
      <w:r>
        <w:rPr>
          <w:rFonts w:hint="eastAsia" w:ascii="Times New Roman"/>
          <w:b/>
          <w:bCs/>
        </w:rPr>
        <w:t>p</w:t>
      </w:r>
      <w:r>
        <w:rPr>
          <w:rFonts w:ascii="Times New Roman"/>
          <w:b/>
          <w:bCs/>
        </w:rPr>
        <w:t xml:space="preserve">olyurethane </w:t>
      </w:r>
      <w:r>
        <w:rPr>
          <w:rFonts w:hint="eastAsia" w:ascii="Times New Roman"/>
          <w:b/>
          <w:bCs/>
        </w:rPr>
        <w:t>f</w:t>
      </w:r>
      <w:r>
        <w:rPr>
          <w:rFonts w:ascii="Times New Roman"/>
          <w:b/>
          <w:bCs/>
        </w:rPr>
        <w:t xml:space="preserve">oam </w:t>
      </w:r>
      <w:r>
        <w:rPr>
          <w:rFonts w:hint="eastAsia" w:ascii="Times New Roman"/>
          <w:b/>
          <w:bCs/>
        </w:rPr>
        <w:t>p</w:t>
      </w:r>
      <w:r>
        <w:rPr>
          <w:rFonts w:ascii="Times New Roman"/>
          <w:b/>
          <w:bCs/>
        </w:rPr>
        <w:t>lastic</w:t>
      </w:r>
    </w:p>
    <w:p w14:paraId="61C002F6">
      <w:pPr>
        <w:pStyle w:val="41"/>
        <w:rPr>
          <w:rFonts w:ascii="Times New Roman"/>
        </w:rPr>
      </w:pPr>
      <w:r>
        <w:rPr>
          <w:rFonts w:ascii="Times New Roman"/>
        </w:rPr>
        <w:t>以多元醇和异氰酸酯为主要原料，采用自由发泡或模塑发泡工艺制成的，具有一定弹性、柔软性的</w:t>
      </w:r>
      <w:r>
        <w:rPr>
          <w:rFonts w:hint="eastAsia" w:ascii="Times New Roman"/>
        </w:rPr>
        <w:t>发泡材料</w:t>
      </w:r>
      <w:r>
        <w:rPr>
          <w:rFonts w:ascii="Times New Roman"/>
        </w:rPr>
        <w:t>。</w:t>
      </w:r>
    </w:p>
    <w:p w14:paraId="435FBF75">
      <w:pPr>
        <w:pStyle w:val="79"/>
        <w:spacing w:before="312" w:after="312"/>
      </w:pPr>
      <w:r>
        <w:rPr>
          <w:rFonts w:hint="eastAsia"/>
        </w:rPr>
        <w:t>产品评价要求</w:t>
      </w:r>
      <w:bookmarkEnd w:id="22"/>
    </w:p>
    <w:p w14:paraId="4AD6503D">
      <w:pPr>
        <w:pStyle w:val="76"/>
        <w:numPr>
          <w:ilvl w:val="0"/>
          <w:numId w:val="0"/>
        </w:numPr>
        <w:spacing w:before="156" w:after="156"/>
        <w:rPr>
          <w:bCs/>
          <w:color w:val="000000"/>
        </w:rPr>
      </w:pPr>
      <w:bookmarkStart w:id="25" w:name="_Toc14866935"/>
      <w:bookmarkStart w:id="26" w:name="_Toc9416541"/>
      <w:r>
        <w:rPr>
          <w:rFonts w:hint="eastAsia"/>
          <w:bCs/>
          <w:color w:val="000000"/>
        </w:rPr>
        <w:t>4</w:t>
      </w:r>
      <w:r>
        <w:rPr>
          <w:bCs/>
          <w:color w:val="000000"/>
        </w:rPr>
        <w:t>.1  基本要求</w:t>
      </w:r>
    </w:p>
    <w:p w14:paraId="27784869">
      <w:pPr>
        <w:pStyle w:val="97"/>
        <w:ind w:left="720" w:hanging="720"/>
        <w:rPr>
          <w:rFonts w:ascii="Times New Roman"/>
        </w:rPr>
      </w:pPr>
      <w:r>
        <w:rPr>
          <w:rFonts w:ascii="Times New Roman"/>
        </w:rPr>
        <w:t>企业应完成清洁生产审核</w:t>
      </w:r>
      <w:r>
        <w:rPr>
          <w:rFonts w:hint="eastAsia" w:ascii="Times New Roman"/>
        </w:rPr>
        <w:t>，</w:t>
      </w:r>
      <w:r>
        <w:rPr>
          <w:rFonts w:ascii="Times New Roman"/>
        </w:rPr>
        <w:t>通过主管部门评估。</w:t>
      </w:r>
    </w:p>
    <w:p w14:paraId="3942335F">
      <w:pPr>
        <w:pStyle w:val="97"/>
        <w:ind w:left="720" w:hanging="720"/>
        <w:rPr>
          <w:rFonts w:ascii="Times New Roman"/>
        </w:rPr>
      </w:pPr>
      <w:r>
        <w:rPr>
          <w:rFonts w:hint="eastAsia" w:ascii="Times New Roman"/>
        </w:rPr>
        <w:t>企业应通过IATF</w:t>
      </w:r>
      <w:r>
        <w:rPr>
          <w:rFonts w:ascii="Times New Roman"/>
        </w:rPr>
        <w:t>16949</w:t>
      </w:r>
      <w:r>
        <w:rPr>
          <w:rFonts w:hint="eastAsia" w:ascii="Times New Roman"/>
        </w:rPr>
        <w:t>质量体系认证。</w:t>
      </w:r>
    </w:p>
    <w:p w14:paraId="056B34F0">
      <w:pPr>
        <w:pStyle w:val="97"/>
        <w:ind w:left="720" w:hanging="720"/>
        <w:rPr>
          <w:rFonts w:ascii="Times New Roman"/>
        </w:rPr>
      </w:pPr>
      <w:r>
        <w:rPr>
          <w:rFonts w:ascii="Times New Roman"/>
        </w:rPr>
        <w:t>企业宜采用国家鼓励的、符合国家产业和技术政策发展方向的先进技术和工艺</w:t>
      </w:r>
      <w:r>
        <w:rPr>
          <w:rFonts w:hint="eastAsia" w:ascii="Times New Roman"/>
        </w:rPr>
        <w:t>，</w:t>
      </w:r>
      <w:r>
        <w:rPr>
          <w:rFonts w:ascii="Times New Roman"/>
        </w:rPr>
        <w:t>不应采用国家</w:t>
      </w:r>
    </w:p>
    <w:p w14:paraId="1BFE8624">
      <w:pPr>
        <w:pStyle w:val="97"/>
        <w:numPr>
          <w:ilvl w:val="0"/>
          <w:numId w:val="0"/>
        </w:numPr>
        <w:rPr>
          <w:rFonts w:ascii="Times New Roman"/>
        </w:rPr>
      </w:pPr>
      <w:r>
        <w:rPr>
          <w:rFonts w:ascii="Times New Roman"/>
        </w:rPr>
        <w:t>或有关部门明确淘汰或禁止的技术、生产工艺、装备及相关物质。</w:t>
      </w:r>
    </w:p>
    <w:p w14:paraId="192EA480">
      <w:pPr>
        <w:pStyle w:val="97"/>
        <w:ind w:left="720" w:hanging="720"/>
        <w:rPr>
          <w:rFonts w:ascii="Times New Roman"/>
        </w:rPr>
      </w:pPr>
      <w:r>
        <w:rPr>
          <w:rFonts w:hint="eastAsia"/>
        </w:rPr>
        <w:t>企业近三年应无</w:t>
      </w:r>
      <w:r>
        <w:rPr>
          <w:rFonts w:ascii="Times New Roman"/>
        </w:rPr>
        <w:t>较大及以上</w:t>
      </w:r>
      <w:r>
        <w:rPr>
          <w:rFonts w:hint="eastAsia" w:ascii="Times New Roman"/>
        </w:rPr>
        <w:t>级别</w:t>
      </w:r>
      <w:r>
        <w:rPr>
          <w:rFonts w:ascii="Times New Roman"/>
        </w:rPr>
        <w:t>安全、环境和质量事故</w:t>
      </w:r>
      <w:r>
        <w:rPr>
          <w:rFonts w:hint="eastAsia" w:ascii="Times New Roman"/>
        </w:rPr>
        <w:t>。</w:t>
      </w:r>
    </w:p>
    <w:p w14:paraId="3FABDA37">
      <w:pPr>
        <w:pStyle w:val="97"/>
        <w:ind w:left="720" w:hanging="720"/>
        <w:rPr>
          <w:rFonts w:ascii="Times New Roman"/>
        </w:rPr>
      </w:pPr>
      <w:r>
        <w:rPr>
          <w:rFonts w:ascii="Times New Roman"/>
        </w:rPr>
        <w:t>污染物排放应达到国家或地方排放标准，并满足环境影响评价、环保</w:t>
      </w:r>
      <w:r>
        <w:rPr>
          <w:rFonts w:hint="eastAsia" w:ascii="Times New Roman"/>
        </w:rPr>
        <w:t>“</w:t>
      </w:r>
      <w:r>
        <w:rPr>
          <w:rFonts w:ascii="Times New Roman"/>
        </w:rPr>
        <w:t>三同时</w:t>
      </w:r>
      <w:r>
        <w:rPr>
          <w:rFonts w:hint="eastAsia" w:ascii="Times New Roman"/>
        </w:rPr>
        <w:t>”</w:t>
      </w:r>
      <w:r>
        <w:rPr>
          <w:rFonts w:ascii="Times New Roman"/>
        </w:rPr>
        <w:t>制度、总量控</w:t>
      </w:r>
    </w:p>
    <w:p w14:paraId="268FE962">
      <w:pPr>
        <w:pStyle w:val="97"/>
        <w:numPr>
          <w:ilvl w:val="0"/>
          <w:numId w:val="0"/>
        </w:numPr>
        <w:rPr>
          <w:rFonts w:ascii="Times New Roman"/>
        </w:rPr>
      </w:pPr>
      <w:r>
        <w:rPr>
          <w:rFonts w:ascii="Times New Roman"/>
        </w:rPr>
        <w:t>制和排污许可证管理要求。</w:t>
      </w:r>
    </w:p>
    <w:p w14:paraId="487D2D42">
      <w:pPr>
        <w:pStyle w:val="97"/>
        <w:ind w:left="720" w:hanging="720"/>
        <w:rPr>
          <w:rFonts w:ascii="Times New Roman"/>
        </w:rPr>
      </w:pPr>
      <w:r>
        <w:rPr>
          <w:rFonts w:ascii="Times New Roman"/>
        </w:rPr>
        <w:t>一般固体废弃物的贮存、处置场的建设、运行和污染监管应符合GB 18599的相关规定。危险废物的贮存与污染控制及监管应按照GB 18597的相关规定执行，并应交给持有危险废物经营许可证的单位处理。</w:t>
      </w:r>
    </w:p>
    <w:p w14:paraId="2EDE6B9E">
      <w:pPr>
        <w:pStyle w:val="80"/>
        <w:spacing w:before="156" w:after="156"/>
        <w:rPr>
          <w:rFonts w:ascii="Times New Roman" w:eastAsia="宋体"/>
        </w:rPr>
      </w:pPr>
      <w:r>
        <w:rPr>
          <w:rFonts w:ascii="Times New Roman" w:eastAsia="宋体"/>
        </w:rPr>
        <w:t>企业</w:t>
      </w:r>
      <w:r>
        <w:rPr>
          <w:rFonts w:hint="eastAsia" w:ascii="Times New Roman" w:eastAsia="宋体"/>
        </w:rPr>
        <w:t>依据</w:t>
      </w:r>
      <w:r>
        <w:rPr>
          <w:rFonts w:ascii="Times New Roman" w:eastAsia="宋体"/>
        </w:rPr>
        <w:t>GB/T 24001、GB/T 23331、GB/T 19001和GB/T 45001分别建立并有效运行环境管理体系、能源管理体系、质量管理体系和职业健康安全管理体系认证。</w:t>
      </w:r>
    </w:p>
    <w:p w14:paraId="70F90DBD">
      <w:pPr>
        <w:pStyle w:val="97"/>
        <w:ind w:left="720" w:hanging="720"/>
        <w:rPr>
          <w:rFonts w:ascii="Times New Roman"/>
        </w:rPr>
      </w:pPr>
      <w:r>
        <w:rPr>
          <w:rFonts w:ascii="Times New Roman"/>
        </w:rPr>
        <w:t>企业安全生产标准化水平应符合GB/T 33000的要求。</w:t>
      </w:r>
    </w:p>
    <w:p w14:paraId="623B1CDF">
      <w:pPr>
        <w:pStyle w:val="97"/>
        <w:ind w:left="720" w:hanging="720"/>
        <w:rPr>
          <w:rFonts w:ascii="Times New Roman"/>
        </w:rPr>
      </w:pPr>
      <w:r>
        <w:rPr>
          <w:rFonts w:ascii="Times New Roman"/>
        </w:rPr>
        <w:t>产品生产企业应按照《危险化学品安全管理条例》建立并执行危险化学品安全管理制度，应提</w:t>
      </w:r>
    </w:p>
    <w:p w14:paraId="6F305757">
      <w:pPr>
        <w:pStyle w:val="97"/>
        <w:numPr>
          <w:ilvl w:val="0"/>
          <w:numId w:val="0"/>
        </w:numPr>
        <w:rPr>
          <w:rFonts w:ascii="Times New Roman"/>
        </w:rPr>
      </w:pPr>
      <w:r>
        <w:rPr>
          <w:rFonts w:ascii="Times New Roman"/>
        </w:rPr>
        <w:t>供符合GB/T 16483要求的产品安全技术说明书。</w:t>
      </w:r>
    </w:p>
    <w:p w14:paraId="1293EDF1">
      <w:pPr>
        <w:pStyle w:val="97"/>
        <w:ind w:left="720" w:hanging="720"/>
        <w:rPr>
          <w:rFonts w:ascii="Times New Roman"/>
        </w:rPr>
      </w:pPr>
      <w:r>
        <w:rPr>
          <w:rFonts w:ascii="Times New Roman"/>
        </w:rPr>
        <w:t>生产企业应按照GB/T 17167配备能源计量器具，并根据国家和地方相关规定配备污染物检测设备。</w:t>
      </w:r>
    </w:p>
    <w:p w14:paraId="4134E068">
      <w:pPr>
        <w:pStyle w:val="97"/>
        <w:ind w:left="720" w:hanging="720"/>
        <w:rPr>
          <w:rFonts w:ascii="Times New Roman"/>
        </w:rPr>
      </w:pPr>
      <w:r>
        <w:rPr>
          <w:rFonts w:ascii="Times New Roman"/>
        </w:rPr>
        <w:t>企业宜开展绿色供应链管理，建立绩效评价机制、程序，确定评价指标和评价方法，对产品主要原材料供应方、生产协作方、相关服务方等提出质量、环境、能源和安全等方面的管理要求。</w:t>
      </w:r>
    </w:p>
    <w:p w14:paraId="3DC58F24">
      <w:pPr>
        <w:pStyle w:val="97"/>
        <w:ind w:left="720" w:hanging="720"/>
        <w:rPr>
          <w:rFonts w:ascii="Times New Roman"/>
        </w:rPr>
      </w:pPr>
      <w:r>
        <w:rPr>
          <w:rFonts w:hint="eastAsia" w:ascii="Times New Roman"/>
        </w:rPr>
        <w:t xml:space="preserve"> </w:t>
      </w:r>
      <w:r>
        <w:rPr>
          <w:rFonts w:ascii="Times New Roman"/>
        </w:rPr>
        <w:t>企业应按照《企业事业单位环境信息公开办法》公开环境信息。</w:t>
      </w:r>
    </w:p>
    <w:p w14:paraId="6815145D">
      <w:pPr>
        <w:pStyle w:val="97"/>
        <w:ind w:left="720" w:hanging="720"/>
        <w:rPr>
          <w:rFonts w:ascii="Times New Roman"/>
        </w:rPr>
      </w:pPr>
      <w:r>
        <w:rPr>
          <w:rFonts w:hint="eastAsia" w:ascii="Times New Roman"/>
        </w:rPr>
        <w:t xml:space="preserve"> </w:t>
      </w:r>
      <w:r>
        <w:rPr>
          <w:rFonts w:ascii="Times New Roman"/>
        </w:rPr>
        <w:t>产品品质应符合</w:t>
      </w:r>
      <w:r>
        <w:rPr>
          <w:rFonts w:hint="eastAsia" w:ascii="Times New Roman"/>
        </w:rPr>
        <w:t>GB/T 10802</w:t>
      </w:r>
      <w:r>
        <w:rPr>
          <w:rFonts w:ascii="Times New Roman"/>
        </w:rPr>
        <w:t>等相关产品标准要求的规定。</w:t>
      </w:r>
    </w:p>
    <w:p w14:paraId="2C599092">
      <w:pPr>
        <w:pStyle w:val="76"/>
        <w:numPr>
          <w:ilvl w:val="0"/>
          <w:numId w:val="0"/>
        </w:numPr>
        <w:spacing w:before="156" w:after="156"/>
        <w:rPr>
          <w:b/>
          <w:color w:val="000000"/>
        </w:rPr>
      </w:pPr>
    </w:p>
    <w:p w14:paraId="67C0E795">
      <w:pPr>
        <w:pStyle w:val="76"/>
        <w:numPr>
          <w:ilvl w:val="0"/>
          <w:numId w:val="0"/>
        </w:numPr>
        <w:spacing w:before="156" w:after="156"/>
        <w:rPr>
          <w:b/>
          <w:color w:val="000000"/>
        </w:rPr>
      </w:pPr>
      <w:r>
        <w:rPr>
          <w:rFonts w:hint="eastAsia"/>
          <w:b/>
          <w:color w:val="000000"/>
        </w:rPr>
        <w:t>4</w:t>
      </w:r>
      <w:r>
        <w:rPr>
          <w:b/>
          <w:color w:val="000000"/>
        </w:rPr>
        <w:t>.2  评价指标要求</w:t>
      </w:r>
    </w:p>
    <w:p w14:paraId="5E44CC10">
      <w:pPr>
        <w:pStyle w:val="41"/>
        <w:ind w:firstLine="0" w:firstLineChars="0"/>
        <w:rPr>
          <w:rFonts w:ascii="Times New Roman"/>
        </w:rPr>
      </w:pPr>
      <w:r>
        <w:rPr>
          <w:rFonts w:hint="eastAsia" w:ascii="Times New Roman" w:eastAsia="黑体"/>
          <w:kern w:val="2"/>
          <w:szCs w:val="24"/>
        </w:rPr>
        <w:t>4</w:t>
      </w:r>
      <w:r>
        <w:rPr>
          <w:rFonts w:ascii="Times New Roman" w:eastAsia="黑体"/>
          <w:kern w:val="2"/>
          <w:szCs w:val="24"/>
        </w:rPr>
        <w:t>.2.1 评价指标分类</w:t>
      </w:r>
    </w:p>
    <w:p w14:paraId="3EFC83FE">
      <w:pPr>
        <w:pStyle w:val="41"/>
        <w:rPr>
          <w:rFonts w:ascii="Times New Roman"/>
          <w:color w:val="000000"/>
        </w:rPr>
      </w:pPr>
      <w:r>
        <w:rPr>
          <w:rFonts w:ascii="Times New Roman"/>
        </w:rPr>
        <w:t>评价</w:t>
      </w:r>
      <w:r>
        <w:rPr>
          <w:rFonts w:ascii="Times New Roman"/>
          <w:color w:val="000000"/>
        </w:rPr>
        <w:t>软质聚氨酯泡沫塑料为绿色设计产品的特性指标体系由一级指标和二级指标组成。一级指标包括</w:t>
      </w:r>
      <w:r>
        <w:rPr>
          <w:rFonts w:hint="eastAsia" w:ascii="Times New Roman"/>
          <w:color w:val="000000"/>
        </w:rPr>
        <w:t>能源属性、</w:t>
      </w:r>
      <w:r>
        <w:rPr>
          <w:rFonts w:ascii="Times New Roman"/>
          <w:color w:val="000000"/>
        </w:rPr>
        <w:t>资源属性、环境属性和品质属性</w:t>
      </w:r>
      <w:r>
        <w:rPr>
          <w:rFonts w:hint="eastAsia" w:ascii="Times New Roman"/>
          <w:color w:val="000000"/>
        </w:rPr>
        <w:t>四</w:t>
      </w:r>
      <w:r>
        <w:rPr>
          <w:rFonts w:ascii="Times New Roman"/>
          <w:color w:val="000000"/>
        </w:rPr>
        <w:t>类指标。二级指标是</w:t>
      </w:r>
      <w:r>
        <w:rPr>
          <w:rFonts w:hint="eastAsia" w:ascii="Times New Roman"/>
          <w:color w:val="000000"/>
        </w:rPr>
        <w:t>四</w:t>
      </w:r>
      <w:r>
        <w:rPr>
          <w:rFonts w:ascii="Times New Roman"/>
          <w:color w:val="000000"/>
        </w:rPr>
        <w:t>类一级指标中具体评价项目，包括指标名称、基准值和判定依据</w:t>
      </w:r>
      <w:r>
        <w:rPr>
          <w:rFonts w:hint="eastAsia"/>
          <w:szCs w:val="21"/>
        </w:rPr>
        <w:t>等信息</w:t>
      </w:r>
      <w:r>
        <w:rPr>
          <w:rFonts w:ascii="Times New Roman"/>
          <w:color w:val="000000"/>
        </w:rPr>
        <w:t>。</w:t>
      </w:r>
    </w:p>
    <w:p w14:paraId="0B4003B6">
      <w:pPr>
        <w:pStyle w:val="41"/>
        <w:ind w:firstLine="0" w:firstLineChars="0"/>
        <w:rPr>
          <w:rFonts w:ascii="Times New Roman" w:eastAsia="黑体"/>
          <w:color w:val="000000"/>
          <w:kern w:val="2"/>
          <w:szCs w:val="24"/>
        </w:rPr>
      </w:pPr>
      <w:r>
        <w:rPr>
          <w:rFonts w:hint="eastAsia" w:ascii="Times New Roman" w:eastAsia="黑体"/>
          <w:color w:val="000000"/>
          <w:kern w:val="2"/>
          <w:szCs w:val="24"/>
        </w:rPr>
        <w:t>4</w:t>
      </w:r>
      <w:r>
        <w:rPr>
          <w:rFonts w:ascii="Times New Roman" w:eastAsia="黑体"/>
          <w:color w:val="000000"/>
          <w:kern w:val="2"/>
          <w:szCs w:val="24"/>
        </w:rPr>
        <w:t>.2.2 能源属性指标</w:t>
      </w:r>
    </w:p>
    <w:p w14:paraId="674FC730">
      <w:pPr>
        <w:pStyle w:val="41"/>
        <w:rPr>
          <w:rFonts w:ascii="Times New Roman"/>
          <w:color w:val="000000"/>
          <w:szCs w:val="22"/>
        </w:rPr>
      </w:pPr>
      <w:r>
        <w:rPr>
          <w:rFonts w:ascii="Times New Roman"/>
          <w:color w:val="000000"/>
          <w:szCs w:val="22"/>
        </w:rPr>
        <w:t>软质聚氨酯泡沫塑料产品的单位能耗指标要求应符合表1的要求，且不低于同期水平。</w:t>
      </w:r>
    </w:p>
    <w:p w14:paraId="732855D5">
      <w:pPr>
        <w:jc w:val="center"/>
        <w:rPr>
          <w:rFonts w:eastAsia="黑体"/>
        </w:rPr>
      </w:pPr>
      <w:r>
        <w:rPr>
          <w:rFonts w:eastAsia="黑体"/>
        </w:rPr>
        <w:t xml:space="preserve">表1 </w:t>
      </w:r>
      <w:r>
        <w:rPr>
          <w:rFonts w:hint="eastAsia" w:eastAsia="黑体"/>
        </w:rPr>
        <w:t>能源属性指标要求</w:t>
      </w:r>
      <w:r>
        <w:rPr>
          <w:rFonts w:eastAsia="黑体"/>
        </w:rPr>
        <w:t>及判定依据</w:t>
      </w:r>
    </w:p>
    <w:tbl>
      <w:tblPr>
        <w:tblStyle w:val="5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3"/>
        <w:gridCol w:w="973"/>
        <w:gridCol w:w="1708"/>
        <w:gridCol w:w="764"/>
        <w:gridCol w:w="799"/>
        <w:gridCol w:w="3015"/>
        <w:gridCol w:w="1708"/>
      </w:tblGrid>
      <w:tr w14:paraId="3EBA5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5" w:type="pct"/>
            <w:vAlign w:val="center"/>
          </w:tcPr>
          <w:p w14:paraId="4C2CD1A8">
            <w:pPr>
              <w:jc w:val="center"/>
              <w:rPr>
                <w:rFonts w:eastAsia="黑体"/>
                <w:b/>
                <w:bCs/>
                <w:sz w:val="20"/>
                <w:szCs w:val="20"/>
              </w:rPr>
            </w:pPr>
            <w:r>
              <w:rPr>
                <w:rFonts w:eastAsia="黑体"/>
                <w:b/>
                <w:bCs/>
                <w:sz w:val="20"/>
                <w:szCs w:val="20"/>
              </w:rPr>
              <w:t>序号</w:t>
            </w:r>
          </w:p>
        </w:tc>
        <w:tc>
          <w:tcPr>
            <w:tcW w:w="508" w:type="pct"/>
            <w:vAlign w:val="center"/>
          </w:tcPr>
          <w:p w14:paraId="301384B6">
            <w:pPr>
              <w:jc w:val="center"/>
              <w:rPr>
                <w:rFonts w:eastAsia="黑体"/>
                <w:b/>
                <w:bCs/>
                <w:sz w:val="20"/>
                <w:szCs w:val="20"/>
              </w:rPr>
            </w:pPr>
            <w:r>
              <w:rPr>
                <w:rFonts w:eastAsia="黑体"/>
                <w:b/>
                <w:bCs/>
                <w:sz w:val="20"/>
                <w:szCs w:val="20"/>
              </w:rPr>
              <w:t>一级指标</w:t>
            </w:r>
          </w:p>
        </w:tc>
        <w:tc>
          <w:tcPr>
            <w:tcW w:w="892" w:type="pct"/>
            <w:vAlign w:val="center"/>
          </w:tcPr>
          <w:p w14:paraId="3150F722">
            <w:pPr>
              <w:jc w:val="center"/>
              <w:rPr>
                <w:rFonts w:eastAsia="黑体"/>
                <w:b/>
                <w:bCs/>
                <w:sz w:val="20"/>
                <w:szCs w:val="20"/>
              </w:rPr>
            </w:pPr>
            <w:r>
              <w:rPr>
                <w:rFonts w:eastAsia="黑体"/>
                <w:b/>
                <w:bCs/>
                <w:sz w:val="20"/>
                <w:szCs w:val="20"/>
              </w:rPr>
              <w:t>二级指标</w:t>
            </w:r>
          </w:p>
        </w:tc>
        <w:tc>
          <w:tcPr>
            <w:tcW w:w="399" w:type="pct"/>
            <w:vAlign w:val="center"/>
          </w:tcPr>
          <w:p w14:paraId="0EA6730F">
            <w:pPr>
              <w:jc w:val="center"/>
              <w:rPr>
                <w:rFonts w:eastAsia="黑体"/>
                <w:b/>
                <w:bCs/>
                <w:sz w:val="20"/>
                <w:szCs w:val="20"/>
              </w:rPr>
            </w:pPr>
            <w:r>
              <w:rPr>
                <w:rFonts w:eastAsia="黑体"/>
                <w:b/>
                <w:bCs/>
                <w:sz w:val="20"/>
                <w:szCs w:val="20"/>
              </w:rPr>
              <w:t>单位</w:t>
            </w:r>
          </w:p>
        </w:tc>
        <w:tc>
          <w:tcPr>
            <w:tcW w:w="417" w:type="pct"/>
            <w:vAlign w:val="center"/>
          </w:tcPr>
          <w:p w14:paraId="35BDD5B7">
            <w:pPr>
              <w:jc w:val="center"/>
              <w:rPr>
                <w:rFonts w:eastAsia="黑体"/>
                <w:b/>
                <w:bCs/>
                <w:sz w:val="20"/>
                <w:szCs w:val="20"/>
              </w:rPr>
            </w:pPr>
            <w:r>
              <w:rPr>
                <w:rFonts w:eastAsia="黑体"/>
                <w:b/>
                <w:bCs/>
                <w:sz w:val="20"/>
                <w:szCs w:val="20"/>
              </w:rPr>
              <w:t>基准值</w:t>
            </w:r>
          </w:p>
        </w:tc>
        <w:tc>
          <w:tcPr>
            <w:tcW w:w="1574" w:type="pct"/>
            <w:vAlign w:val="center"/>
          </w:tcPr>
          <w:p w14:paraId="517C1C71">
            <w:pPr>
              <w:jc w:val="center"/>
              <w:rPr>
                <w:rFonts w:eastAsia="黑体"/>
                <w:sz w:val="20"/>
                <w:szCs w:val="20"/>
              </w:rPr>
            </w:pPr>
            <w:r>
              <w:rPr>
                <w:rFonts w:hint="eastAsia" w:eastAsia="黑体"/>
                <w:sz w:val="20"/>
                <w:szCs w:val="20"/>
              </w:rPr>
              <w:t>判定依据/方法</w:t>
            </w:r>
          </w:p>
        </w:tc>
        <w:tc>
          <w:tcPr>
            <w:tcW w:w="892" w:type="pct"/>
            <w:vAlign w:val="center"/>
          </w:tcPr>
          <w:p w14:paraId="712CB3D8">
            <w:pPr>
              <w:widowControl/>
              <w:jc w:val="center"/>
              <w:rPr>
                <w:rFonts w:eastAsia="黑体"/>
                <w:sz w:val="20"/>
                <w:szCs w:val="20"/>
              </w:rPr>
            </w:pPr>
            <w:r>
              <w:rPr>
                <w:rFonts w:hint="eastAsia" w:eastAsia="黑体"/>
                <w:b/>
                <w:bCs/>
                <w:sz w:val="20"/>
                <w:szCs w:val="20"/>
              </w:rPr>
              <w:t>所属生命周期阶段</w:t>
            </w:r>
          </w:p>
        </w:tc>
      </w:tr>
      <w:tr w14:paraId="6CCD2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15" w:type="pct"/>
            <w:vAlign w:val="center"/>
          </w:tcPr>
          <w:p w14:paraId="7ADD15AE">
            <w:pPr>
              <w:jc w:val="center"/>
              <w:rPr>
                <w:rFonts w:eastAsia="黑体"/>
                <w:sz w:val="20"/>
                <w:szCs w:val="20"/>
              </w:rPr>
            </w:pPr>
            <w:r>
              <w:rPr>
                <w:rFonts w:eastAsia="黑体"/>
                <w:sz w:val="20"/>
                <w:szCs w:val="20"/>
              </w:rPr>
              <w:t>1</w:t>
            </w:r>
          </w:p>
        </w:tc>
        <w:tc>
          <w:tcPr>
            <w:tcW w:w="508" w:type="pct"/>
            <w:vAlign w:val="center"/>
          </w:tcPr>
          <w:p w14:paraId="5D25C499">
            <w:pPr>
              <w:jc w:val="center"/>
              <w:rPr>
                <w:rFonts w:eastAsia="黑体"/>
                <w:sz w:val="20"/>
                <w:szCs w:val="20"/>
              </w:rPr>
            </w:pPr>
            <w:r>
              <w:rPr>
                <w:rFonts w:hint="eastAsia" w:eastAsia="黑体"/>
                <w:sz w:val="20"/>
                <w:szCs w:val="20"/>
              </w:rPr>
              <w:t>能源</w:t>
            </w:r>
            <w:r>
              <w:rPr>
                <w:rFonts w:eastAsia="黑体"/>
                <w:sz w:val="20"/>
                <w:szCs w:val="20"/>
              </w:rPr>
              <w:t>属性</w:t>
            </w:r>
          </w:p>
        </w:tc>
        <w:tc>
          <w:tcPr>
            <w:tcW w:w="892" w:type="pct"/>
            <w:vAlign w:val="center"/>
          </w:tcPr>
          <w:p w14:paraId="4C13A1D4">
            <w:pPr>
              <w:jc w:val="center"/>
              <w:rPr>
                <w:rFonts w:eastAsia="黑体"/>
                <w:sz w:val="20"/>
                <w:szCs w:val="20"/>
              </w:rPr>
            </w:pPr>
            <w:r>
              <w:rPr>
                <w:rFonts w:hint="eastAsia" w:eastAsia="黑体"/>
                <w:sz w:val="20"/>
                <w:szCs w:val="20"/>
              </w:rPr>
              <w:t>单位产品综合能耗≤</w:t>
            </w:r>
          </w:p>
        </w:tc>
        <w:tc>
          <w:tcPr>
            <w:tcW w:w="399" w:type="pct"/>
            <w:vAlign w:val="center"/>
          </w:tcPr>
          <w:p w14:paraId="77C66770">
            <w:pPr>
              <w:jc w:val="center"/>
              <w:rPr>
                <w:rFonts w:eastAsia="黑体"/>
                <w:sz w:val="20"/>
                <w:szCs w:val="20"/>
              </w:rPr>
            </w:pPr>
            <w:r>
              <w:rPr>
                <w:rFonts w:eastAsia="黑体"/>
                <w:sz w:val="20"/>
                <w:szCs w:val="20"/>
              </w:rPr>
              <w:t>tce/t</w:t>
            </w:r>
          </w:p>
        </w:tc>
        <w:tc>
          <w:tcPr>
            <w:tcW w:w="417" w:type="pct"/>
            <w:vAlign w:val="center"/>
          </w:tcPr>
          <w:p w14:paraId="634DDE8D">
            <w:pPr>
              <w:jc w:val="center"/>
              <w:rPr>
                <w:rFonts w:hint="default" w:eastAsia="黑体"/>
                <w:sz w:val="20"/>
                <w:szCs w:val="20"/>
                <w:lang w:val="en-US" w:eastAsia="zh-CN"/>
              </w:rPr>
            </w:pPr>
            <w:bookmarkStart w:id="30" w:name="_GoBack"/>
            <w:r>
              <w:rPr>
                <w:rFonts w:hint="eastAsia" w:eastAsia="黑体"/>
                <w:sz w:val="20"/>
                <w:szCs w:val="20"/>
                <w:highlight w:val="none"/>
                <w:lang w:val="en-US" w:eastAsia="zh-CN"/>
              </w:rPr>
              <w:t>0.04</w:t>
            </w:r>
            <w:bookmarkEnd w:id="30"/>
          </w:p>
        </w:tc>
        <w:tc>
          <w:tcPr>
            <w:tcW w:w="1574" w:type="pct"/>
            <w:vAlign w:val="center"/>
          </w:tcPr>
          <w:p w14:paraId="403B1E78">
            <w:pPr>
              <w:jc w:val="center"/>
              <w:rPr>
                <w:rFonts w:eastAsia="黑体"/>
                <w:sz w:val="20"/>
                <w:szCs w:val="20"/>
              </w:rPr>
            </w:pPr>
            <w:r>
              <w:rPr>
                <w:rFonts w:hint="eastAsia" w:eastAsia="黑体"/>
                <w:sz w:val="20"/>
                <w:szCs w:val="20"/>
              </w:rPr>
              <w:t>按附录A.1计算，并提供证明材料</w:t>
            </w:r>
          </w:p>
        </w:tc>
        <w:tc>
          <w:tcPr>
            <w:tcW w:w="892" w:type="pct"/>
            <w:vAlign w:val="center"/>
          </w:tcPr>
          <w:p w14:paraId="3E45C232">
            <w:pPr>
              <w:widowControl/>
              <w:jc w:val="center"/>
              <w:rPr>
                <w:rFonts w:eastAsia="黑体"/>
                <w:sz w:val="20"/>
                <w:szCs w:val="20"/>
              </w:rPr>
            </w:pPr>
            <w:r>
              <w:rPr>
                <w:rFonts w:hint="eastAsia" w:eastAsia="黑体"/>
                <w:sz w:val="20"/>
                <w:szCs w:val="20"/>
              </w:rPr>
              <w:t>产品生产</w:t>
            </w:r>
          </w:p>
        </w:tc>
      </w:tr>
    </w:tbl>
    <w:p w14:paraId="15EB6BDD">
      <w:pPr>
        <w:pStyle w:val="41"/>
        <w:rPr>
          <w:rFonts w:ascii="Times New Roman"/>
          <w:color w:val="000000"/>
        </w:rPr>
      </w:pPr>
    </w:p>
    <w:p w14:paraId="09AD08F7">
      <w:pPr>
        <w:pStyle w:val="41"/>
        <w:ind w:firstLine="0" w:firstLineChars="0"/>
        <w:rPr>
          <w:rFonts w:ascii="Times New Roman" w:eastAsia="黑体"/>
          <w:kern w:val="2"/>
          <w:szCs w:val="24"/>
        </w:rPr>
      </w:pPr>
      <w:r>
        <w:rPr>
          <w:rFonts w:hint="eastAsia" w:ascii="Times New Roman" w:eastAsia="黑体"/>
          <w:kern w:val="2"/>
          <w:szCs w:val="24"/>
        </w:rPr>
        <w:t>4</w:t>
      </w:r>
      <w:r>
        <w:rPr>
          <w:rFonts w:ascii="Times New Roman" w:eastAsia="黑体"/>
          <w:kern w:val="2"/>
          <w:szCs w:val="24"/>
        </w:rPr>
        <w:t>.2.</w:t>
      </w:r>
      <w:r>
        <w:rPr>
          <w:rFonts w:hint="eastAsia" w:ascii="Times New Roman" w:eastAsia="黑体"/>
          <w:kern w:val="2"/>
          <w:szCs w:val="24"/>
        </w:rPr>
        <w:t>3</w:t>
      </w:r>
      <w:r>
        <w:rPr>
          <w:rFonts w:ascii="Times New Roman" w:eastAsia="黑体"/>
          <w:kern w:val="2"/>
          <w:szCs w:val="24"/>
        </w:rPr>
        <w:t xml:space="preserve"> 资源属性指标</w:t>
      </w:r>
    </w:p>
    <w:p w14:paraId="129C07C0">
      <w:pPr>
        <w:pStyle w:val="41"/>
        <w:rPr>
          <w:rFonts w:ascii="Times New Roman"/>
          <w:color w:val="000000"/>
        </w:rPr>
      </w:pPr>
      <w:r>
        <w:rPr>
          <w:rFonts w:ascii="Times New Roman"/>
          <w:color w:val="000000"/>
        </w:rPr>
        <w:t>软质聚氨酯泡沫塑料产品的资源属性指标要求应符合表</w:t>
      </w:r>
      <w:r>
        <w:rPr>
          <w:rFonts w:hint="eastAsia" w:ascii="Times New Roman"/>
          <w:color w:val="000000"/>
        </w:rPr>
        <w:t>2</w:t>
      </w:r>
      <w:r>
        <w:rPr>
          <w:rFonts w:ascii="Times New Roman"/>
          <w:color w:val="000000"/>
        </w:rPr>
        <w:t>的要求，且不低于同期水平。</w:t>
      </w:r>
    </w:p>
    <w:p w14:paraId="0B6EEFC9">
      <w:pPr>
        <w:jc w:val="center"/>
        <w:rPr>
          <w:rFonts w:eastAsia="黑体"/>
        </w:rPr>
      </w:pPr>
      <w:bookmarkStart w:id="27" w:name="_Hlk88989639"/>
      <w:r>
        <w:rPr>
          <w:rFonts w:eastAsia="黑体"/>
        </w:rPr>
        <w:t>表</w:t>
      </w:r>
      <w:r>
        <w:rPr>
          <w:rFonts w:hint="eastAsia" w:eastAsia="黑体"/>
        </w:rPr>
        <w:t>2</w:t>
      </w:r>
      <w:r>
        <w:rPr>
          <w:rFonts w:eastAsia="黑体"/>
        </w:rPr>
        <w:t xml:space="preserve"> 资源属性指标要求及判定依据</w:t>
      </w:r>
    </w:p>
    <w:tbl>
      <w:tblPr>
        <w:tblStyle w:val="5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3"/>
        <w:gridCol w:w="699"/>
        <w:gridCol w:w="882"/>
        <w:gridCol w:w="624"/>
        <w:gridCol w:w="1822"/>
        <w:gridCol w:w="3952"/>
        <w:gridCol w:w="1072"/>
      </w:tblGrid>
      <w:tr w14:paraId="654E2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68" w:type="pct"/>
            <w:vAlign w:val="center"/>
          </w:tcPr>
          <w:p w14:paraId="2269FAF7">
            <w:pPr>
              <w:jc w:val="center"/>
              <w:rPr>
                <w:rFonts w:eastAsia="黑体"/>
                <w:b/>
                <w:bCs/>
                <w:sz w:val="20"/>
                <w:szCs w:val="20"/>
              </w:rPr>
            </w:pPr>
            <w:r>
              <w:rPr>
                <w:rFonts w:eastAsia="黑体"/>
                <w:b/>
                <w:bCs/>
                <w:sz w:val="20"/>
                <w:szCs w:val="20"/>
              </w:rPr>
              <w:t>序号</w:t>
            </w:r>
          </w:p>
        </w:tc>
        <w:tc>
          <w:tcPr>
            <w:tcW w:w="365" w:type="pct"/>
            <w:vAlign w:val="center"/>
          </w:tcPr>
          <w:p w14:paraId="3CB94C1C">
            <w:pPr>
              <w:jc w:val="center"/>
              <w:rPr>
                <w:rFonts w:eastAsia="黑体"/>
                <w:b/>
                <w:bCs/>
                <w:sz w:val="20"/>
                <w:szCs w:val="20"/>
              </w:rPr>
            </w:pPr>
            <w:r>
              <w:rPr>
                <w:rFonts w:eastAsia="黑体"/>
                <w:b/>
                <w:bCs/>
                <w:sz w:val="20"/>
                <w:szCs w:val="20"/>
              </w:rPr>
              <w:t>一级指标</w:t>
            </w:r>
          </w:p>
        </w:tc>
        <w:tc>
          <w:tcPr>
            <w:tcW w:w="461" w:type="pct"/>
            <w:vAlign w:val="center"/>
          </w:tcPr>
          <w:p w14:paraId="529664EB">
            <w:pPr>
              <w:jc w:val="center"/>
              <w:rPr>
                <w:rFonts w:eastAsia="黑体"/>
                <w:b/>
                <w:bCs/>
                <w:sz w:val="20"/>
                <w:szCs w:val="20"/>
              </w:rPr>
            </w:pPr>
            <w:r>
              <w:rPr>
                <w:rFonts w:eastAsia="黑体"/>
                <w:b/>
                <w:bCs/>
                <w:sz w:val="20"/>
                <w:szCs w:val="20"/>
              </w:rPr>
              <w:t>二级指标</w:t>
            </w:r>
          </w:p>
        </w:tc>
        <w:tc>
          <w:tcPr>
            <w:tcW w:w="326" w:type="pct"/>
            <w:vAlign w:val="center"/>
          </w:tcPr>
          <w:p w14:paraId="4FF0226E">
            <w:pPr>
              <w:jc w:val="center"/>
              <w:rPr>
                <w:rFonts w:eastAsia="黑体"/>
                <w:b/>
                <w:bCs/>
                <w:sz w:val="20"/>
                <w:szCs w:val="20"/>
              </w:rPr>
            </w:pPr>
            <w:r>
              <w:rPr>
                <w:rFonts w:eastAsia="黑体"/>
                <w:b/>
                <w:bCs/>
                <w:sz w:val="20"/>
                <w:szCs w:val="20"/>
              </w:rPr>
              <w:t>单位</w:t>
            </w:r>
          </w:p>
        </w:tc>
        <w:tc>
          <w:tcPr>
            <w:tcW w:w="952" w:type="pct"/>
            <w:vAlign w:val="center"/>
          </w:tcPr>
          <w:p w14:paraId="1D8AD78F">
            <w:pPr>
              <w:jc w:val="center"/>
              <w:rPr>
                <w:rFonts w:eastAsia="黑体"/>
                <w:b/>
                <w:bCs/>
                <w:sz w:val="20"/>
                <w:szCs w:val="20"/>
              </w:rPr>
            </w:pPr>
            <w:r>
              <w:rPr>
                <w:rFonts w:eastAsia="黑体"/>
                <w:b/>
                <w:bCs/>
                <w:sz w:val="20"/>
                <w:szCs w:val="20"/>
              </w:rPr>
              <w:t>基准值</w:t>
            </w:r>
          </w:p>
        </w:tc>
        <w:tc>
          <w:tcPr>
            <w:tcW w:w="2065" w:type="pct"/>
            <w:vAlign w:val="center"/>
          </w:tcPr>
          <w:p w14:paraId="61F2CCA7">
            <w:pPr>
              <w:jc w:val="center"/>
              <w:rPr>
                <w:rFonts w:eastAsia="黑体"/>
                <w:b/>
                <w:bCs/>
                <w:sz w:val="20"/>
                <w:szCs w:val="20"/>
              </w:rPr>
            </w:pPr>
            <w:r>
              <w:rPr>
                <w:rFonts w:eastAsia="黑体"/>
                <w:b/>
                <w:bCs/>
                <w:sz w:val="20"/>
                <w:szCs w:val="20"/>
              </w:rPr>
              <w:t>判定依据/方法</w:t>
            </w:r>
          </w:p>
        </w:tc>
        <w:tc>
          <w:tcPr>
            <w:tcW w:w="560" w:type="pct"/>
            <w:vAlign w:val="center"/>
          </w:tcPr>
          <w:p w14:paraId="5F2DC756">
            <w:pPr>
              <w:widowControl/>
              <w:jc w:val="center"/>
              <w:rPr>
                <w:rFonts w:eastAsia="黑体"/>
                <w:b/>
                <w:bCs/>
                <w:sz w:val="20"/>
                <w:szCs w:val="20"/>
              </w:rPr>
            </w:pPr>
            <w:r>
              <w:rPr>
                <w:rFonts w:eastAsia="黑体"/>
                <w:b/>
                <w:bCs/>
                <w:sz w:val="20"/>
                <w:szCs w:val="20"/>
              </w:rPr>
              <w:t>所属生命周期阶段</w:t>
            </w:r>
          </w:p>
        </w:tc>
      </w:tr>
      <w:tr w14:paraId="65297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68" w:type="pct"/>
            <w:vAlign w:val="center"/>
          </w:tcPr>
          <w:p w14:paraId="1E9F5304">
            <w:pPr>
              <w:jc w:val="center"/>
              <w:rPr>
                <w:rFonts w:eastAsia="黑体"/>
                <w:sz w:val="20"/>
                <w:szCs w:val="20"/>
              </w:rPr>
            </w:pPr>
            <w:r>
              <w:rPr>
                <w:rFonts w:eastAsia="黑体"/>
                <w:sz w:val="20"/>
                <w:szCs w:val="20"/>
              </w:rPr>
              <w:t>1</w:t>
            </w:r>
          </w:p>
        </w:tc>
        <w:tc>
          <w:tcPr>
            <w:tcW w:w="365" w:type="pct"/>
            <w:vMerge w:val="restart"/>
            <w:vAlign w:val="center"/>
          </w:tcPr>
          <w:p w14:paraId="20DD6E37">
            <w:pPr>
              <w:jc w:val="center"/>
              <w:rPr>
                <w:rFonts w:eastAsia="黑体"/>
                <w:sz w:val="20"/>
                <w:szCs w:val="20"/>
              </w:rPr>
            </w:pPr>
            <w:r>
              <w:rPr>
                <w:rFonts w:eastAsia="黑体"/>
                <w:sz w:val="20"/>
                <w:szCs w:val="20"/>
              </w:rPr>
              <w:t>资源属性</w:t>
            </w:r>
          </w:p>
        </w:tc>
        <w:tc>
          <w:tcPr>
            <w:tcW w:w="461" w:type="pct"/>
            <w:vAlign w:val="center"/>
          </w:tcPr>
          <w:p w14:paraId="0E568C03">
            <w:pPr>
              <w:jc w:val="center"/>
              <w:rPr>
                <w:rFonts w:eastAsia="黑体"/>
                <w:sz w:val="20"/>
                <w:szCs w:val="20"/>
              </w:rPr>
            </w:pPr>
            <w:r>
              <w:rPr>
                <w:rFonts w:eastAsia="黑体"/>
                <w:sz w:val="20"/>
                <w:szCs w:val="20"/>
              </w:rPr>
              <w:t>溯源性标识</w:t>
            </w:r>
          </w:p>
        </w:tc>
        <w:tc>
          <w:tcPr>
            <w:tcW w:w="326" w:type="pct"/>
            <w:vAlign w:val="center"/>
          </w:tcPr>
          <w:p w14:paraId="303CB924">
            <w:pPr>
              <w:jc w:val="center"/>
              <w:rPr>
                <w:rFonts w:eastAsia="黑体"/>
                <w:sz w:val="20"/>
                <w:szCs w:val="20"/>
              </w:rPr>
            </w:pPr>
            <w:r>
              <w:rPr>
                <w:rFonts w:eastAsia="黑体"/>
                <w:sz w:val="20"/>
                <w:szCs w:val="20"/>
              </w:rPr>
              <w:t>——</w:t>
            </w:r>
          </w:p>
        </w:tc>
        <w:tc>
          <w:tcPr>
            <w:tcW w:w="952" w:type="pct"/>
          </w:tcPr>
          <w:p w14:paraId="699CBBDF">
            <w:pPr>
              <w:rPr>
                <w:rFonts w:eastAsia="黑体"/>
                <w:sz w:val="20"/>
                <w:szCs w:val="20"/>
              </w:rPr>
            </w:pPr>
            <w:r>
              <w:rPr>
                <w:rFonts w:eastAsia="黑体"/>
                <w:sz w:val="20"/>
                <w:szCs w:val="20"/>
              </w:rPr>
              <w:t>标注产品的分类标识及成分100%</w:t>
            </w:r>
          </w:p>
        </w:tc>
        <w:tc>
          <w:tcPr>
            <w:tcW w:w="2065" w:type="pct"/>
          </w:tcPr>
          <w:p w14:paraId="702B50CD">
            <w:pPr>
              <w:rPr>
                <w:rFonts w:eastAsia="黑体"/>
                <w:sz w:val="20"/>
                <w:szCs w:val="20"/>
              </w:rPr>
            </w:pPr>
            <w:r>
              <w:rPr>
                <w:rFonts w:eastAsia="黑体"/>
                <w:sz w:val="20"/>
                <w:szCs w:val="20"/>
              </w:rPr>
              <w:t>检测产品标签或说明书</w:t>
            </w:r>
          </w:p>
        </w:tc>
        <w:tc>
          <w:tcPr>
            <w:tcW w:w="560" w:type="pct"/>
            <w:vAlign w:val="center"/>
          </w:tcPr>
          <w:p w14:paraId="48F83ED6">
            <w:pPr>
              <w:jc w:val="left"/>
              <w:rPr>
                <w:rFonts w:eastAsia="黑体"/>
                <w:sz w:val="20"/>
                <w:szCs w:val="20"/>
              </w:rPr>
            </w:pPr>
            <w:r>
              <w:rPr>
                <w:rFonts w:eastAsia="黑体"/>
                <w:sz w:val="20"/>
                <w:szCs w:val="20"/>
              </w:rPr>
              <w:t>产品生产</w:t>
            </w:r>
          </w:p>
        </w:tc>
      </w:tr>
      <w:tr w14:paraId="3EC25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68" w:type="pct"/>
            <w:vAlign w:val="center"/>
          </w:tcPr>
          <w:p w14:paraId="47977AE0">
            <w:pPr>
              <w:jc w:val="center"/>
              <w:rPr>
                <w:rFonts w:eastAsia="黑体"/>
                <w:sz w:val="20"/>
                <w:szCs w:val="20"/>
              </w:rPr>
            </w:pPr>
            <w:r>
              <w:rPr>
                <w:rFonts w:eastAsia="黑体"/>
                <w:sz w:val="20"/>
                <w:szCs w:val="20"/>
              </w:rPr>
              <w:t>2</w:t>
            </w:r>
          </w:p>
        </w:tc>
        <w:tc>
          <w:tcPr>
            <w:tcW w:w="365" w:type="pct"/>
            <w:vMerge w:val="continue"/>
          </w:tcPr>
          <w:p w14:paraId="0C08BFC0">
            <w:pPr>
              <w:rPr>
                <w:rFonts w:eastAsia="黑体"/>
                <w:sz w:val="20"/>
                <w:szCs w:val="20"/>
              </w:rPr>
            </w:pPr>
          </w:p>
        </w:tc>
        <w:tc>
          <w:tcPr>
            <w:tcW w:w="461" w:type="pct"/>
            <w:vAlign w:val="center"/>
          </w:tcPr>
          <w:p w14:paraId="647E921F">
            <w:pPr>
              <w:jc w:val="center"/>
              <w:rPr>
                <w:rFonts w:eastAsia="黑体"/>
                <w:sz w:val="20"/>
                <w:szCs w:val="20"/>
              </w:rPr>
            </w:pPr>
            <w:r>
              <w:rPr>
                <w:rFonts w:eastAsia="黑体"/>
                <w:sz w:val="20"/>
                <w:szCs w:val="20"/>
              </w:rPr>
              <w:t>材料可循环性</w:t>
            </w:r>
          </w:p>
        </w:tc>
        <w:tc>
          <w:tcPr>
            <w:tcW w:w="326" w:type="pct"/>
            <w:vAlign w:val="center"/>
          </w:tcPr>
          <w:p w14:paraId="4457F486">
            <w:pPr>
              <w:jc w:val="center"/>
              <w:rPr>
                <w:rFonts w:eastAsia="黑体"/>
                <w:sz w:val="20"/>
                <w:szCs w:val="20"/>
              </w:rPr>
            </w:pPr>
            <w:r>
              <w:rPr>
                <w:rFonts w:eastAsia="黑体"/>
                <w:sz w:val="20"/>
                <w:szCs w:val="20"/>
              </w:rPr>
              <w:t>——</w:t>
            </w:r>
          </w:p>
        </w:tc>
        <w:tc>
          <w:tcPr>
            <w:tcW w:w="952" w:type="pct"/>
            <w:vAlign w:val="center"/>
          </w:tcPr>
          <w:p w14:paraId="104BA15F">
            <w:pPr>
              <w:jc w:val="left"/>
              <w:rPr>
                <w:rFonts w:eastAsia="黑体"/>
                <w:sz w:val="20"/>
                <w:szCs w:val="20"/>
              </w:rPr>
            </w:pPr>
            <w:r>
              <w:rPr>
                <w:rFonts w:hint="eastAsia" w:eastAsia="黑体"/>
                <w:sz w:val="20"/>
                <w:szCs w:val="20"/>
              </w:rPr>
              <w:t>边角余料</w:t>
            </w:r>
            <w:r>
              <w:rPr>
                <w:rFonts w:eastAsia="黑体"/>
                <w:sz w:val="20"/>
                <w:szCs w:val="20"/>
              </w:rPr>
              <w:t>综合利用率</w:t>
            </w:r>
            <w:r>
              <w:rPr>
                <w:rFonts w:hint="eastAsia" w:eastAsia="黑体"/>
                <w:sz w:val="20"/>
                <w:szCs w:val="20"/>
              </w:rPr>
              <w:t>≥</w:t>
            </w:r>
            <w:r>
              <w:rPr>
                <w:rFonts w:eastAsia="黑体"/>
                <w:sz w:val="20"/>
                <w:szCs w:val="20"/>
              </w:rPr>
              <w:t>9</w:t>
            </w:r>
            <w:r>
              <w:rPr>
                <w:rFonts w:hint="eastAsia" w:eastAsia="黑体"/>
                <w:sz w:val="20"/>
                <w:szCs w:val="20"/>
              </w:rPr>
              <w:t>0</w:t>
            </w:r>
            <w:r>
              <w:rPr>
                <w:rFonts w:eastAsia="黑体"/>
                <w:sz w:val="20"/>
                <w:szCs w:val="20"/>
              </w:rPr>
              <w:t>%</w:t>
            </w:r>
          </w:p>
        </w:tc>
        <w:tc>
          <w:tcPr>
            <w:tcW w:w="2065" w:type="pct"/>
          </w:tcPr>
          <w:p w14:paraId="2E61ED8F">
            <w:pPr>
              <w:rPr>
                <w:rFonts w:eastAsia="黑体"/>
                <w:sz w:val="20"/>
                <w:szCs w:val="20"/>
              </w:rPr>
            </w:pPr>
            <w:r>
              <w:rPr>
                <w:rFonts w:eastAsia="黑体"/>
                <w:sz w:val="20"/>
                <w:szCs w:val="20"/>
              </w:rPr>
              <w:t>企业自我声明，并提供边角废料的回收证明、回收技术说明文件及回收利用方法和渠道</w:t>
            </w:r>
          </w:p>
        </w:tc>
        <w:tc>
          <w:tcPr>
            <w:tcW w:w="560" w:type="pct"/>
            <w:vAlign w:val="center"/>
          </w:tcPr>
          <w:p w14:paraId="53A0FA63">
            <w:pPr>
              <w:jc w:val="left"/>
              <w:rPr>
                <w:rFonts w:eastAsia="黑体"/>
                <w:sz w:val="20"/>
                <w:szCs w:val="20"/>
              </w:rPr>
            </w:pPr>
            <w:r>
              <w:rPr>
                <w:rFonts w:hint="eastAsia" w:eastAsia="黑体"/>
                <w:sz w:val="20"/>
                <w:szCs w:val="20"/>
              </w:rPr>
              <w:t>产品生产</w:t>
            </w:r>
          </w:p>
        </w:tc>
      </w:tr>
      <w:bookmarkEnd w:id="27"/>
    </w:tbl>
    <w:p w14:paraId="3A878A7C">
      <w:pPr>
        <w:pStyle w:val="41"/>
        <w:ind w:firstLine="0" w:firstLineChars="0"/>
        <w:rPr>
          <w:rFonts w:ascii="Times New Roman" w:eastAsia="黑体"/>
          <w:kern w:val="2"/>
          <w:szCs w:val="24"/>
        </w:rPr>
      </w:pPr>
      <w:r>
        <w:rPr>
          <w:rFonts w:hint="eastAsia" w:ascii="Times New Roman" w:eastAsia="黑体"/>
          <w:kern w:val="2"/>
          <w:szCs w:val="24"/>
        </w:rPr>
        <w:t>4</w:t>
      </w:r>
      <w:r>
        <w:rPr>
          <w:rFonts w:ascii="Times New Roman" w:eastAsia="黑体"/>
          <w:kern w:val="2"/>
          <w:szCs w:val="24"/>
        </w:rPr>
        <w:t>.2.</w:t>
      </w:r>
      <w:r>
        <w:rPr>
          <w:rFonts w:hint="eastAsia" w:ascii="Times New Roman" w:eastAsia="黑体"/>
          <w:kern w:val="2"/>
          <w:szCs w:val="24"/>
        </w:rPr>
        <w:t>4</w:t>
      </w:r>
      <w:r>
        <w:rPr>
          <w:rFonts w:ascii="Times New Roman" w:eastAsia="黑体"/>
          <w:kern w:val="2"/>
          <w:szCs w:val="24"/>
        </w:rPr>
        <w:t xml:space="preserve"> 环境属性指标</w:t>
      </w:r>
    </w:p>
    <w:p w14:paraId="20E3379C">
      <w:pPr>
        <w:ind w:firstLine="440" w:firstLineChars="200"/>
        <w:rPr>
          <w:rStyle w:val="282"/>
        </w:rPr>
      </w:pPr>
      <w:r>
        <w:rPr>
          <w:rStyle w:val="282"/>
        </w:rPr>
        <w:t xml:space="preserve">软质聚氨酯泡沫塑料的环境属性指标应符合表 </w:t>
      </w:r>
      <w:r>
        <w:rPr>
          <w:rStyle w:val="283"/>
        </w:rPr>
        <w:t xml:space="preserve">3 </w:t>
      </w:r>
      <w:r>
        <w:rPr>
          <w:rStyle w:val="282"/>
        </w:rPr>
        <w:t>的要求。</w:t>
      </w:r>
    </w:p>
    <w:p w14:paraId="3DE8E789">
      <w:pPr>
        <w:jc w:val="center"/>
        <w:rPr>
          <w:rFonts w:eastAsia="黑体"/>
        </w:rPr>
      </w:pPr>
      <w:r>
        <w:rPr>
          <w:rFonts w:eastAsia="黑体"/>
        </w:rPr>
        <w:t>表</w:t>
      </w:r>
      <w:r>
        <w:rPr>
          <w:rFonts w:hint="eastAsia" w:eastAsia="黑体"/>
        </w:rPr>
        <w:t>3</w:t>
      </w:r>
      <w:r>
        <w:rPr>
          <w:rFonts w:eastAsia="黑体"/>
        </w:rPr>
        <w:t xml:space="preserve"> 环境属性指标要求及判定依据</w:t>
      </w:r>
    </w:p>
    <w:tbl>
      <w:tblPr>
        <w:tblStyle w:val="56"/>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3"/>
        <w:gridCol w:w="832"/>
        <w:gridCol w:w="1316"/>
        <w:gridCol w:w="832"/>
        <w:gridCol w:w="1081"/>
        <w:gridCol w:w="1069"/>
        <w:gridCol w:w="2877"/>
        <w:gridCol w:w="1129"/>
      </w:tblGrid>
      <w:tr w14:paraId="1BB60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21" w:type="pct"/>
            <w:vAlign w:val="center"/>
          </w:tcPr>
          <w:p w14:paraId="1922C09B">
            <w:pPr>
              <w:jc w:val="center"/>
              <w:rPr>
                <w:rFonts w:eastAsia="黑体"/>
                <w:b/>
                <w:bCs/>
                <w:sz w:val="20"/>
                <w:szCs w:val="20"/>
              </w:rPr>
            </w:pPr>
            <w:r>
              <w:rPr>
                <w:rFonts w:eastAsia="黑体"/>
                <w:b/>
                <w:bCs/>
                <w:sz w:val="20"/>
                <w:szCs w:val="20"/>
              </w:rPr>
              <w:t>序号</w:t>
            </w:r>
          </w:p>
        </w:tc>
        <w:tc>
          <w:tcPr>
            <w:tcW w:w="435" w:type="pct"/>
            <w:vAlign w:val="center"/>
          </w:tcPr>
          <w:p w14:paraId="1AB6CB83">
            <w:pPr>
              <w:jc w:val="center"/>
              <w:rPr>
                <w:rFonts w:eastAsia="黑体"/>
                <w:b/>
                <w:bCs/>
                <w:sz w:val="20"/>
                <w:szCs w:val="20"/>
              </w:rPr>
            </w:pPr>
            <w:r>
              <w:rPr>
                <w:rFonts w:eastAsia="黑体"/>
                <w:b/>
                <w:bCs/>
                <w:sz w:val="20"/>
                <w:szCs w:val="20"/>
              </w:rPr>
              <w:t>一级指标</w:t>
            </w:r>
          </w:p>
        </w:tc>
        <w:tc>
          <w:tcPr>
            <w:tcW w:w="688" w:type="pct"/>
            <w:vAlign w:val="center"/>
          </w:tcPr>
          <w:p w14:paraId="6C5A8605">
            <w:pPr>
              <w:jc w:val="center"/>
              <w:rPr>
                <w:rFonts w:eastAsia="黑体"/>
                <w:b/>
                <w:bCs/>
                <w:sz w:val="20"/>
                <w:szCs w:val="20"/>
              </w:rPr>
            </w:pPr>
            <w:r>
              <w:rPr>
                <w:rFonts w:eastAsia="黑体"/>
                <w:b/>
                <w:bCs/>
                <w:sz w:val="20"/>
                <w:szCs w:val="20"/>
              </w:rPr>
              <w:t>二级指标</w:t>
            </w:r>
          </w:p>
        </w:tc>
        <w:tc>
          <w:tcPr>
            <w:tcW w:w="435" w:type="pct"/>
            <w:vAlign w:val="center"/>
          </w:tcPr>
          <w:p w14:paraId="55EAF62C">
            <w:pPr>
              <w:jc w:val="center"/>
              <w:rPr>
                <w:rFonts w:eastAsia="黑体"/>
                <w:b/>
                <w:bCs/>
                <w:sz w:val="20"/>
                <w:szCs w:val="20"/>
              </w:rPr>
            </w:pPr>
            <w:r>
              <w:rPr>
                <w:rFonts w:eastAsia="黑体"/>
                <w:b/>
                <w:bCs/>
                <w:sz w:val="20"/>
                <w:szCs w:val="20"/>
              </w:rPr>
              <w:t>单位</w:t>
            </w:r>
          </w:p>
        </w:tc>
        <w:tc>
          <w:tcPr>
            <w:tcW w:w="1124" w:type="pct"/>
            <w:gridSpan w:val="2"/>
            <w:vAlign w:val="center"/>
          </w:tcPr>
          <w:p w14:paraId="0D132B94">
            <w:pPr>
              <w:jc w:val="center"/>
              <w:rPr>
                <w:rFonts w:eastAsia="黑体"/>
                <w:b/>
                <w:bCs/>
                <w:sz w:val="20"/>
                <w:szCs w:val="20"/>
              </w:rPr>
            </w:pPr>
            <w:r>
              <w:rPr>
                <w:rFonts w:eastAsia="黑体"/>
                <w:b/>
                <w:bCs/>
                <w:sz w:val="20"/>
                <w:szCs w:val="20"/>
              </w:rPr>
              <w:t>基准值</w:t>
            </w:r>
          </w:p>
        </w:tc>
        <w:tc>
          <w:tcPr>
            <w:tcW w:w="1504" w:type="pct"/>
            <w:vAlign w:val="center"/>
          </w:tcPr>
          <w:p w14:paraId="0CD966D9">
            <w:pPr>
              <w:jc w:val="center"/>
              <w:rPr>
                <w:rFonts w:eastAsia="黑体"/>
                <w:b/>
                <w:bCs/>
                <w:sz w:val="20"/>
                <w:szCs w:val="20"/>
              </w:rPr>
            </w:pPr>
            <w:r>
              <w:rPr>
                <w:rFonts w:eastAsia="黑体"/>
                <w:b/>
                <w:bCs/>
                <w:sz w:val="20"/>
                <w:szCs w:val="20"/>
              </w:rPr>
              <w:t>判定依据/方法</w:t>
            </w:r>
          </w:p>
        </w:tc>
        <w:tc>
          <w:tcPr>
            <w:tcW w:w="590" w:type="pct"/>
            <w:vAlign w:val="center"/>
          </w:tcPr>
          <w:p w14:paraId="3561B8A5">
            <w:pPr>
              <w:jc w:val="center"/>
              <w:rPr>
                <w:rFonts w:eastAsia="黑体"/>
                <w:b/>
                <w:bCs/>
                <w:sz w:val="20"/>
                <w:szCs w:val="20"/>
              </w:rPr>
            </w:pPr>
            <w:r>
              <w:rPr>
                <w:rFonts w:eastAsia="黑体"/>
                <w:b/>
                <w:bCs/>
                <w:sz w:val="20"/>
                <w:szCs w:val="20"/>
              </w:rPr>
              <w:t>所属生命周期阶段</w:t>
            </w:r>
          </w:p>
        </w:tc>
      </w:tr>
      <w:tr w14:paraId="479EE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21" w:type="pct"/>
            <w:vAlign w:val="center"/>
          </w:tcPr>
          <w:p w14:paraId="17BA95A5">
            <w:pPr>
              <w:jc w:val="center"/>
              <w:rPr>
                <w:rFonts w:hint="eastAsia" w:eastAsia="黑体"/>
                <w:sz w:val="20"/>
                <w:szCs w:val="20"/>
                <w:lang w:val="en-US" w:eastAsia="zh-CN"/>
              </w:rPr>
            </w:pPr>
            <w:r>
              <w:rPr>
                <w:rFonts w:hint="eastAsia" w:eastAsia="黑体"/>
                <w:sz w:val="20"/>
                <w:szCs w:val="20"/>
                <w:lang w:val="en-US" w:eastAsia="zh-CN"/>
              </w:rPr>
              <w:t>1</w:t>
            </w:r>
          </w:p>
        </w:tc>
        <w:tc>
          <w:tcPr>
            <w:tcW w:w="435" w:type="pct"/>
            <w:vMerge w:val="restart"/>
            <w:vAlign w:val="center"/>
          </w:tcPr>
          <w:p w14:paraId="6A5E50ED">
            <w:pPr>
              <w:rPr>
                <w:rFonts w:eastAsia="黑体"/>
                <w:sz w:val="20"/>
                <w:szCs w:val="20"/>
              </w:rPr>
            </w:pPr>
          </w:p>
        </w:tc>
        <w:tc>
          <w:tcPr>
            <w:tcW w:w="688" w:type="pct"/>
            <w:vAlign w:val="center"/>
          </w:tcPr>
          <w:p w14:paraId="1DCF4FB3">
            <w:pPr>
              <w:jc w:val="center"/>
              <w:rPr>
                <w:rFonts w:eastAsia="黑体"/>
                <w:sz w:val="20"/>
                <w:szCs w:val="20"/>
              </w:rPr>
            </w:pPr>
            <w:r>
              <w:rPr>
                <w:rFonts w:eastAsia="黑体"/>
                <w:sz w:val="20"/>
                <w:szCs w:val="20"/>
              </w:rPr>
              <w:t>受限制的发泡剂</w:t>
            </w:r>
          </w:p>
        </w:tc>
        <w:tc>
          <w:tcPr>
            <w:tcW w:w="435" w:type="pct"/>
            <w:vAlign w:val="center"/>
          </w:tcPr>
          <w:p w14:paraId="16ED5501">
            <w:pPr>
              <w:jc w:val="center"/>
              <w:rPr>
                <w:rFonts w:eastAsia="黑体"/>
                <w:sz w:val="20"/>
                <w:szCs w:val="20"/>
              </w:rPr>
            </w:pPr>
            <w:r>
              <w:rPr>
                <w:rFonts w:eastAsia="黑体"/>
                <w:sz w:val="20"/>
                <w:szCs w:val="20"/>
              </w:rPr>
              <w:t>mg/kg</w:t>
            </w:r>
          </w:p>
        </w:tc>
        <w:tc>
          <w:tcPr>
            <w:tcW w:w="1124" w:type="pct"/>
            <w:gridSpan w:val="2"/>
            <w:vAlign w:val="center"/>
          </w:tcPr>
          <w:p w14:paraId="066113A5">
            <w:pPr>
              <w:jc w:val="left"/>
              <w:rPr>
                <w:rFonts w:eastAsia="黑体"/>
                <w:sz w:val="20"/>
                <w:szCs w:val="20"/>
              </w:rPr>
            </w:pPr>
            <w:r>
              <w:rPr>
                <w:rFonts w:eastAsia="黑体"/>
                <w:sz w:val="20"/>
                <w:szCs w:val="20"/>
              </w:rPr>
              <w:t>二氯甲烷</w:t>
            </w:r>
          </w:p>
        </w:tc>
        <w:tc>
          <w:tcPr>
            <w:tcW w:w="1504" w:type="pct"/>
            <w:vAlign w:val="center"/>
          </w:tcPr>
          <w:p w14:paraId="20E3B3B2">
            <w:pPr>
              <w:rPr>
                <w:rFonts w:eastAsia="黑体"/>
                <w:sz w:val="20"/>
                <w:szCs w:val="20"/>
              </w:rPr>
            </w:pPr>
            <w:r>
              <w:rPr>
                <w:rFonts w:eastAsia="黑体"/>
                <w:sz w:val="20"/>
                <w:szCs w:val="20"/>
              </w:rPr>
              <w:t>1）企业自我声明</w:t>
            </w:r>
            <w:r>
              <w:rPr>
                <w:rFonts w:eastAsia="黑体"/>
                <w:sz w:val="20"/>
                <w:szCs w:val="20"/>
              </w:rPr>
              <w:br w:type="textWrapping"/>
            </w:r>
            <w:r>
              <w:rPr>
                <w:rFonts w:eastAsia="黑体"/>
                <w:sz w:val="20"/>
                <w:szCs w:val="20"/>
              </w:rPr>
              <w:t>2）现场检查，按工序流程查验报告文件、统计报表、原始记录及原材料使用清单等</w:t>
            </w:r>
          </w:p>
        </w:tc>
        <w:tc>
          <w:tcPr>
            <w:tcW w:w="590" w:type="pct"/>
            <w:vAlign w:val="center"/>
          </w:tcPr>
          <w:p w14:paraId="0D36811E">
            <w:pPr>
              <w:rPr>
                <w:rFonts w:eastAsia="黑体"/>
                <w:sz w:val="20"/>
                <w:szCs w:val="20"/>
              </w:rPr>
            </w:pPr>
            <w:r>
              <w:rPr>
                <w:rFonts w:hint="eastAsia" w:eastAsia="黑体"/>
                <w:sz w:val="20"/>
                <w:szCs w:val="20"/>
              </w:rPr>
              <w:t>产品</w:t>
            </w:r>
            <w:r>
              <w:rPr>
                <w:rFonts w:eastAsia="黑体"/>
                <w:sz w:val="20"/>
                <w:szCs w:val="20"/>
              </w:rPr>
              <w:t>生产</w:t>
            </w:r>
          </w:p>
        </w:tc>
      </w:tr>
      <w:tr w14:paraId="67290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21" w:type="pct"/>
            <w:vAlign w:val="center"/>
          </w:tcPr>
          <w:p w14:paraId="444A2B7C">
            <w:pPr>
              <w:jc w:val="center"/>
              <w:rPr>
                <w:rFonts w:eastAsia="黑体"/>
                <w:sz w:val="20"/>
                <w:szCs w:val="20"/>
              </w:rPr>
            </w:pPr>
            <w:r>
              <w:rPr>
                <w:rFonts w:hint="eastAsia" w:eastAsia="黑体"/>
                <w:sz w:val="20"/>
                <w:szCs w:val="20"/>
              </w:rPr>
              <w:t>2</w:t>
            </w:r>
          </w:p>
        </w:tc>
        <w:tc>
          <w:tcPr>
            <w:tcW w:w="435" w:type="pct"/>
            <w:vMerge w:val="continue"/>
            <w:vAlign w:val="center"/>
          </w:tcPr>
          <w:p w14:paraId="09C94DE4">
            <w:pPr>
              <w:rPr>
                <w:rFonts w:eastAsia="黑体"/>
                <w:b/>
                <w:bCs/>
                <w:sz w:val="20"/>
                <w:szCs w:val="20"/>
              </w:rPr>
            </w:pPr>
          </w:p>
        </w:tc>
        <w:tc>
          <w:tcPr>
            <w:tcW w:w="688" w:type="pct"/>
            <w:vAlign w:val="center"/>
          </w:tcPr>
          <w:p w14:paraId="56EB9258">
            <w:pPr>
              <w:jc w:val="center"/>
              <w:rPr>
                <w:rFonts w:eastAsia="黑体"/>
                <w:sz w:val="20"/>
                <w:szCs w:val="20"/>
              </w:rPr>
            </w:pPr>
            <w:r>
              <w:rPr>
                <w:rFonts w:hint="eastAsia" w:eastAsia="黑体"/>
                <w:sz w:val="20"/>
                <w:szCs w:val="20"/>
              </w:rPr>
              <w:t>固废综合利用率+固废处置率</w:t>
            </w:r>
          </w:p>
        </w:tc>
        <w:tc>
          <w:tcPr>
            <w:tcW w:w="435" w:type="pct"/>
            <w:vAlign w:val="center"/>
          </w:tcPr>
          <w:p w14:paraId="537FEF30">
            <w:pPr>
              <w:jc w:val="center"/>
              <w:rPr>
                <w:rFonts w:eastAsia="黑体"/>
                <w:sz w:val="20"/>
                <w:szCs w:val="20"/>
              </w:rPr>
            </w:pPr>
            <w:r>
              <w:rPr>
                <w:rFonts w:hint="eastAsia" w:eastAsia="黑体"/>
                <w:sz w:val="20"/>
                <w:szCs w:val="20"/>
              </w:rPr>
              <w:t>%</w:t>
            </w:r>
          </w:p>
        </w:tc>
        <w:tc>
          <w:tcPr>
            <w:tcW w:w="1124" w:type="pct"/>
            <w:gridSpan w:val="2"/>
            <w:vAlign w:val="center"/>
          </w:tcPr>
          <w:p w14:paraId="3C3FBDD6">
            <w:pPr>
              <w:jc w:val="center"/>
              <w:rPr>
                <w:rFonts w:eastAsia="黑体"/>
                <w:sz w:val="20"/>
                <w:szCs w:val="20"/>
              </w:rPr>
            </w:pPr>
            <w:r>
              <w:rPr>
                <w:rFonts w:hint="eastAsia" w:eastAsia="黑体"/>
                <w:sz w:val="20"/>
                <w:szCs w:val="20"/>
              </w:rPr>
              <w:t>1</w:t>
            </w:r>
            <w:r>
              <w:rPr>
                <w:rFonts w:eastAsia="黑体"/>
                <w:sz w:val="20"/>
                <w:szCs w:val="20"/>
              </w:rPr>
              <w:t>00</w:t>
            </w:r>
          </w:p>
        </w:tc>
        <w:tc>
          <w:tcPr>
            <w:tcW w:w="1504" w:type="pct"/>
            <w:vAlign w:val="center"/>
          </w:tcPr>
          <w:p w14:paraId="15632E81">
            <w:pPr>
              <w:rPr>
                <w:rFonts w:eastAsia="黑体"/>
                <w:sz w:val="20"/>
                <w:szCs w:val="20"/>
              </w:rPr>
            </w:pPr>
            <w:r>
              <w:rPr>
                <w:rFonts w:hint="eastAsia" w:eastAsia="黑体"/>
                <w:sz w:val="20"/>
                <w:szCs w:val="20"/>
              </w:rPr>
              <w:t>与资质单位签署的协议和合法处置记录</w:t>
            </w:r>
          </w:p>
        </w:tc>
        <w:tc>
          <w:tcPr>
            <w:tcW w:w="590" w:type="pct"/>
            <w:vAlign w:val="center"/>
          </w:tcPr>
          <w:p w14:paraId="621906E2">
            <w:pPr>
              <w:rPr>
                <w:rFonts w:eastAsia="黑体"/>
                <w:sz w:val="20"/>
                <w:szCs w:val="20"/>
              </w:rPr>
            </w:pPr>
            <w:r>
              <w:rPr>
                <w:rFonts w:hint="eastAsia" w:eastAsia="黑体"/>
                <w:sz w:val="20"/>
                <w:szCs w:val="20"/>
              </w:rPr>
              <w:t>产品回收</w:t>
            </w:r>
          </w:p>
        </w:tc>
      </w:tr>
      <w:tr w14:paraId="3AD2C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221" w:type="pct"/>
            <w:vAlign w:val="center"/>
          </w:tcPr>
          <w:p w14:paraId="41C864BF">
            <w:pPr>
              <w:jc w:val="center"/>
              <w:rPr>
                <w:rFonts w:eastAsia="黑体"/>
                <w:sz w:val="20"/>
                <w:szCs w:val="20"/>
              </w:rPr>
            </w:pPr>
            <w:r>
              <w:rPr>
                <w:rFonts w:hint="eastAsia" w:eastAsia="黑体"/>
                <w:sz w:val="20"/>
                <w:szCs w:val="20"/>
              </w:rPr>
              <w:t>3</w:t>
            </w:r>
          </w:p>
        </w:tc>
        <w:tc>
          <w:tcPr>
            <w:tcW w:w="435" w:type="pct"/>
            <w:vMerge w:val="continue"/>
            <w:vAlign w:val="center"/>
          </w:tcPr>
          <w:p w14:paraId="6BA957D9">
            <w:pPr>
              <w:rPr>
                <w:rFonts w:eastAsia="黑体"/>
                <w:b/>
                <w:bCs/>
                <w:sz w:val="20"/>
                <w:szCs w:val="20"/>
              </w:rPr>
            </w:pPr>
          </w:p>
        </w:tc>
        <w:tc>
          <w:tcPr>
            <w:tcW w:w="688" w:type="pct"/>
            <w:vAlign w:val="center"/>
          </w:tcPr>
          <w:p w14:paraId="16E4A795">
            <w:pPr>
              <w:jc w:val="center"/>
              <w:rPr>
                <w:rFonts w:eastAsia="黑体"/>
                <w:sz w:val="20"/>
                <w:szCs w:val="20"/>
              </w:rPr>
            </w:pPr>
            <w:r>
              <w:rPr>
                <w:rFonts w:hint="eastAsia" w:eastAsia="黑体"/>
                <w:sz w:val="20"/>
                <w:szCs w:val="20"/>
              </w:rPr>
              <w:t>废气</w:t>
            </w:r>
          </w:p>
        </w:tc>
        <w:tc>
          <w:tcPr>
            <w:tcW w:w="435" w:type="pct"/>
            <w:vAlign w:val="center"/>
          </w:tcPr>
          <w:p w14:paraId="650BF5E9">
            <w:pPr>
              <w:jc w:val="center"/>
              <w:rPr>
                <w:rFonts w:eastAsia="黑体"/>
                <w:sz w:val="20"/>
                <w:szCs w:val="20"/>
              </w:rPr>
            </w:pPr>
            <w:r>
              <w:rPr>
                <w:rFonts w:eastAsia="黑体"/>
                <w:sz w:val="20"/>
                <w:szCs w:val="20"/>
              </w:rPr>
              <w:t>mg/m</w:t>
            </w:r>
            <w:r>
              <w:rPr>
                <w:rFonts w:eastAsia="黑体"/>
                <w:sz w:val="20"/>
                <w:szCs w:val="20"/>
                <w:vertAlign w:val="superscript"/>
              </w:rPr>
              <w:t>3</w:t>
            </w:r>
          </w:p>
        </w:tc>
        <w:tc>
          <w:tcPr>
            <w:tcW w:w="565" w:type="pct"/>
            <w:vAlign w:val="center"/>
          </w:tcPr>
          <w:p w14:paraId="4F65895D">
            <w:pPr>
              <w:jc w:val="center"/>
              <w:rPr>
                <w:rFonts w:eastAsia="黑体"/>
                <w:sz w:val="20"/>
                <w:szCs w:val="20"/>
              </w:rPr>
            </w:pPr>
            <w:r>
              <w:rPr>
                <w:rFonts w:hint="eastAsia" w:eastAsia="黑体"/>
                <w:sz w:val="20"/>
                <w:szCs w:val="20"/>
              </w:rPr>
              <w:t>非甲烷总烃</w:t>
            </w:r>
          </w:p>
        </w:tc>
        <w:tc>
          <w:tcPr>
            <w:tcW w:w="559" w:type="pct"/>
            <w:vAlign w:val="center"/>
          </w:tcPr>
          <w:p w14:paraId="149FA1A4">
            <w:pPr>
              <w:jc w:val="center"/>
              <w:rPr>
                <w:rFonts w:hint="default" w:eastAsia="黑体"/>
                <w:sz w:val="20"/>
                <w:szCs w:val="20"/>
                <w:lang w:val="en-US" w:eastAsia="zh-CN"/>
              </w:rPr>
            </w:pPr>
            <w:r>
              <w:rPr>
                <w:rFonts w:hint="eastAsia" w:eastAsia="黑体"/>
                <w:sz w:val="20"/>
                <w:szCs w:val="20"/>
              </w:rPr>
              <w:t>≤</w:t>
            </w:r>
            <w:r>
              <w:rPr>
                <w:rFonts w:hint="eastAsia" w:eastAsia="黑体"/>
                <w:sz w:val="20"/>
                <w:szCs w:val="20"/>
                <w:lang w:val="en-US" w:eastAsia="zh-CN"/>
              </w:rPr>
              <w:t>15</w:t>
            </w:r>
          </w:p>
        </w:tc>
        <w:tc>
          <w:tcPr>
            <w:tcW w:w="1504" w:type="pct"/>
            <w:vAlign w:val="center"/>
          </w:tcPr>
          <w:p w14:paraId="0AA28579">
            <w:pPr>
              <w:rPr>
                <w:rFonts w:hint="eastAsia" w:eastAsia="黑体"/>
                <w:sz w:val="20"/>
                <w:szCs w:val="20"/>
              </w:rPr>
            </w:pPr>
            <w:r>
              <w:rPr>
                <w:rFonts w:eastAsia="黑体"/>
                <w:sz w:val="20"/>
                <w:szCs w:val="20"/>
              </w:rPr>
              <w:t>采用</w:t>
            </w:r>
            <w:r>
              <w:rPr>
                <w:rFonts w:hint="eastAsia" w:eastAsia="黑体"/>
                <w:sz w:val="20"/>
                <w:szCs w:val="20"/>
              </w:rPr>
              <w:t>GB 16297检测并提供检测报告</w:t>
            </w:r>
          </w:p>
        </w:tc>
        <w:tc>
          <w:tcPr>
            <w:tcW w:w="590" w:type="pct"/>
            <w:vAlign w:val="center"/>
          </w:tcPr>
          <w:p w14:paraId="317A2DA7">
            <w:pPr>
              <w:rPr>
                <w:rFonts w:eastAsia="黑体"/>
                <w:sz w:val="20"/>
                <w:szCs w:val="20"/>
              </w:rPr>
            </w:pPr>
            <w:r>
              <w:rPr>
                <w:rFonts w:hint="eastAsia" w:eastAsia="黑体"/>
                <w:sz w:val="20"/>
                <w:szCs w:val="20"/>
              </w:rPr>
              <w:t>产品</w:t>
            </w:r>
            <w:r>
              <w:rPr>
                <w:rFonts w:eastAsia="黑体"/>
                <w:sz w:val="20"/>
                <w:szCs w:val="20"/>
              </w:rPr>
              <w:t>生产</w:t>
            </w:r>
          </w:p>
        </w:tc>
      </w:tr>
    </w:tbl>
    <w:p w14:paraId="5117A819">
      <w:pPr>
        <w:pStyle w:val="41"/>
        <w:ind w:firstLine="0" w:firstLineChars="0"/>
        <w:rPr>
          <w:rFonts w:ascii="Times New Roman" w:eastAsia="黑体"/>
          <w:kern w:val="2"/>
          <w:szCs w:val="24"/>
        </w:rPr>
      </w:pPr>
      <w:r>
        <w:rPr>
          <w:rFonts w:hint="eastAsia" w:ascii="Times New Roman" w:eastAsia="黑体"/>
          <w:kern w:val="2"/>
          <w:szCs w:val="24"/>
        </w:rPr>
        <w:t>4</w:t>
      </w:r>
      <w:r>
        <w:rPr>
          <w:rFonts w:ascii="Times New Roman" w:eastAsia="黑体"/>
          <w:kern w:val="2"/>
          <w:szCs w:val="24"/>
        </w:rPr>
        <w:t>.2.</w:t>
      </w:r>
      <w:r>
        <w:rPr>
          <w:rFonts w:hint="eastAsia" w:ascii="Times New Roman" w:eastAsia="黑体"/>
          <w:kern w:val="2"/>
          <w:szCs w:val="24"/>
        </w:rPr>
        <w:t>5</w:t>
      </w:r>
      <w:r>
        <w:rPr>
          <w:rFonts w:ascii="Times New Roman" w:eastAsia="黑体"/>
          <w:kern w:val="2"/>
          <w:szCs w:val="24"/>
        </w:rPr>
        <w:t xml:space="preserve"> 品质属性指标</w:t>
      </w:r>
    </w:p>
    <w:p w14:paraId="54357CA4">
      <w:pPr>
        <w:pStyle w:val="41"/>
        <w:rPr>
          <w:rFonts w:ascii="Times New Roman"/>
        </w:rPr>
      </w:pPr>
      <w:r>
        <w:rPr>
          <w:rFonts w:ascii="Times New Roman"/>
        </w:rPr>
        <w:t>软质聚氨酯泡沫塑料产品的品质属性指标要求见表</w:t>
      </w:r>
      <w:r>
        <w:rPr>
          <w:rFonts w:hint="eastAsia" w:ascii="Times New Roman"/>
        </w:rPr>
        <w:t>4，送检产品按照附录A.2取样，按附录A.3进行状态调节</w:t>
      </w:r>
      <w:r>
        <w:rPr>
          <w:rFonts w:ascii="Times New Roman"/>
        </w:rPr>
        <w:t>。</w:t>
      </w:r>
    </w:p>
    <w:p w14:paraId="51E12C5C">
      <w:pPr>
        <w:jc w:val="center"/>
        <w:rPr>
          <w:rFonts w:eastAsia="黑体"/>
        </w:rPr>
      </w:pPr>
      <w:r>
        <w:rPr>
          <w:rFonts w:eastAsia="黑体"/>
        </w:rPr>
        <w:t>表</w:t>
      </w:r>
      <w:r>
        <w:rPr>
          <w:rFonts w:hint="eastAsia" w:eastAsia="黑体"/>
        </w:rPr>
        <w:t>4</w:t>
      </w:r>
      <w:r>
        <w:rPr>
          <w:rFonts w:eastAsia="黑体"/>
        </w:rPr>
        <w:t xml:space="preserve"> 品质属性指标要求及判定依据</w:t>
      </w:r>
    </w:p>
    <w:tbl>
      <w:tblPr>
        <w:tblStyle w:val="56"/>
        <w:tblW w:w="527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
        <w:gridCol w:w="856"/>
        <w:gridCol w:w="535"/>
        <w:gridCol w:w="535"/>
        <w:gridCol w:w="709"/>
        <w:gridCol w:w="1556"/>
        <w:gridCol w:w="561"/>
        <w:gridCol w:w="1143"/>
        <w:gridCol w:w="1724"/>
        <w:gridCol w:w="1916"/>
      </w:tblGrid>
      <w:tr w14:paraId="5BD33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76" w:type="pct"/>
            <w:vAlign w:val="center"/>
          </w:tcPr>
          <w:p w14:paraId="316C9F4A">
            <w:pPr>
              <w:jc w:val="center"/>
              <w:rPr>
                <w:rFonts w:eastAsia="黑体"/>
                <w:b/>
                <w:bCs/>
                <w:sz w:val="20"/>
                <w:szCs w:val="20"/>
              </w:rPr>
            </w:pPr>
            <w:r>
              <w:rPr>
                <w:rFonts w:eastAsia="黑体"/>
                <w:b/>
                <w:bCs/>
                <w:sz w:val="20"/>
                <w:szCs w:val="20"/>
              </w:rPr>
              <w:t>序号</w:t>
            </w:r>
          </w:p>
        </w:tc>
        <w:tc>
          <w:tcPr>
            <w:tcW w:w="424" w:type="pct"/>
            <w:vAlign w:val="center"/>
          </w:tcPr>
          <w:p w14:paraId="748EE2AC">
            <w:pPr>
              <w:jc w:val="center"/>
              <w:rPr>
                <w:rFonts w:eastAsia="黑体"/>
                <w:b/>
                <w:bCs/>
                <w:sz w:val="20"/>
                <w:szCs w:val="20"/>
              </w:rPr>
            </w:pPr>
            <w:r>
              <w:rPr>
                <w:rFonts w:eastAsia="黑体"/>
                <w:b/>
                <w:bCs/>
                <w:sz w:val="20"/>
                <w:szCs w:val="20"/>
              </w:rPr>
              <w:t>一级指标</w:t>
            </w:r>
          </w:p>
        </w:tc>
        <w:tc>
          <w:tcPr>
            <w:tcW w:w="530" w:type="pct"/>
            <w:gridSpan w:val="2"/>
            <w:vAlign w:val="center"/>
          </w:tcPr>
          <w:p w14:paraId="4849680C">
            <w:pPr>
              <w:jc w:val="center"/>
              <w:rPr>
                <w:rFonts w:eastAsia="黑体"/>
                <w:b/>
                <w:bCs/>
                <w:sz w:val="20"/>
                <w:szCs w:val="20"/>
              </w:rPr>
            </w:pPr>
            <w:r>
              <w:rPr>
                <w:rFonts w:eastAsia="黑体"/>
                <w:b/>
                <w:bCs/>
                <w:sz w:val="20"/>
                <w:szCs w:val="20"/>
              </w:rPr>
              <w:t>二级指标</w:t>
            </w:r>
          </w:p>
        </w:tc>
        <w:tc>
          <w:tcPr>
            <w:tcW w:w="351" w:type="pct"/>
            <w:vAlign w:val="center"/>
          </w:tcPr>
          <w:p w14:paraId="3486C0AA">
            <w:pPr>
              <w:jc w:val="center"/>
              <w:rPr>
                <w:rFonts w:eastAsia="黑体"/>
                <w:b/>
                <w:bCs/>
                <w:sz w:val="20"/>
                <w:szCs w:val="20"/>
              </w:rPr>
            </w:pPr>
            <w:r>
              <w:rPr>
                <w:rFonts w:eastAsia="黑体"/>
                <w:b/>
                <w:bCs/>
                <w:sz w:val="20"/>
                <w:szCs w:val="20"/>
              </w:rPr>
              <w:t>单位</w:t>
            </w:r>
          </w:p>
        </w:tc>
        <w:tc>
          <w:tcPr>
            <w:tcW w:w="1614" w:type="pct"/>
            <w:gridSpan w:val="3"/>
            <w:vAlign w:val="center"/>
          </w:tcPr>
          <w:p w14:paraId="4D78565C">
            <w:pPr>
              <w:jc w:val="center"/>
              <w:rPr>
                <w:rFonts w:eastAsia="黑体"/>
                <w:b/>
                <w:bCs/>
                <w:sz w:val="20"/>
                <w:szCs w:val="20"/>
              </w:rPr>
            </w:pPr>
            <w:r>
              <w:rPr>
                <w:rFonts w:eastAsia="黑体"/>
                <w:b/>
                <w:bCs/>
                <w:sz w:val="20"/>
                <w:szCs w:val="20"/>
              </w:rPr>
              <w:t>基准值</w:t>
            </w:r>
          </w:p>
        </w:tc>
        <w:tc>
          <w:tcPr>
            <w:tcW w:w="854" w:type="pct"/>
            <w:vAlign w:val="center"/>
          </w:tcPr>
          <w:p w14:paraId="16D2CD3C">
            <w:pPr>
              <w:jc w:val="center"/>
              <w:rPr>
                <w:rFonts w:eastAsia="黑体"/>
                <w:b/>
                <w:bCs/>
                <w:sz w:val="20"/>
                <w:szCs w:val="20"/>
              </w:rPr>
            </w:pPr>
            <w:r>
              <w:rPr>
                <w:rFonts w:eastAsia="黑体"/>
                <w:b/>
                <w:bCs/>
                <w:sz w:val="20"/>
                <w:szCs w:val="20"/>
              </w:rPr>
              <w:t>判定依据/方法</w:t>
            </w:r>
          </w:p>
        </w:tc>
        <w:tc>
          <w:tcPr>
            <w:tcW w:w="949" w:type="pct"/>
            <w:vAlign w:val="center"/>
          </w:tcPr>
          <w:p w14:paraId="064315C9">
            <w:pPr>
              <w:jc w:val="center"/>
              <w:rPr>
                <w:rFonts w:eastAsia="黑体"/>
                <w:b/>
                <w:bCs/>
                <w:sz w:val="20"/>
                <w:szCs w:val="20"/>
              </w:rPr>
            </w:pPr>
            <w:r>
              <w:rPr>
                <w:rFonts w:eastAsia="黑体"/>
                <w:b/>
                <w:bCs/>
                <w:sz w:val="20"/>
                <w:szCs w:val="20"/>
              </w:rPr>
              <w:t>所属生命周期阶段</w:t>
            </w:r>
          </w:p>
        </w:tc>
      </w:tr>
      <w:tr w14:paraId="6EFAF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76" w:type="pct"/>
            <w:vMerge w:val="restart"/>
            <w:vAlign w:val="center"/>
          </w:tcPr>
          <w:p w14:paraId="24D5E6D9">
            <w:pPr>
              <w:jc w:val="center"/>
              <w:rPr>
                <w:rFonts w:eastAsia="黑体"/>
                <w:sz w:val="20"/>
                <w:szCs w:val="20"/>
              </w:rPr>
            </w:pPr>
          </w:p>
        </w:tc>
        <w:tc>
          <w:tcPr>
            <w:tcW w:w="424" w:type="pct"/>
            <w:vMerge w:val="restart"/>
            <w:vAlign w:val="center"/>
          </w:tcPr>
          <w:p w14:paraId="7FB9E08B">
            <w:pPr>
              <w:rPr>
                <w:rFonts w:eastAsia="黑体"/>
                <w:sz w:val="20"/>
                <w:szCs w:val="20"/>
              </w:rPr>
            </w:pPr>
          </w:p>
        </w:tc>
        <w:tc>
          <w:tcPr>
            <w:tcW w:w="265" w:type="pct"/>
            <w:vMerge w:val="restart"/>
            <w:vAlign w:val="center"/>
          </w:tcPr>
          <w:p w14:paraId="3E5AA2D6">
            <w:pPr>
              <w:jc w:val="center"/>
              <w:rPr>
                <w:rFonts w:hint="eastAsia" w:eastAsia="黑体"/>
                <w:color w:val="FF0000"/>
                <w:sz w:val="20"/>
                <w:szCs w:val="20"/>
              </w:rPr>
            </w:pPr>
          </w:p>
          <w:p w14:paraId="7CF5C26A">
            <w:pPr>
              <w:jc w:val="center"/>
              <w:rPr>
                <w:rFonts w:hint="eastAsia" w:eastAsia="黑体"/>
                <w:color w:val="FF0000"/>
                <w:sz w:val="20"/>
                <w:szCs w:val="20"/>
              </w:rPr>
            </w:pPr>
          </w:p>
          <w:p w14:paraId="20CAA68B">
            <w:pPr>
              <w:jc w:val="center"/>
              <w:rPr>
                <w:rFonts w:hint="eastAsia" w:eastAsia="黑体"/>
                <w:color w:val="FF0000"/>
                <w:sz w:val="20"/>
                <w:szCs w:val="20"/>
              </w:rPr>
            </w:pPr>
          </w:p>
          <w:p w14:paraId="7E1DBD29">
            <w:pPr>
              <w:jc w:val="center"/>
              <w:rPr>
                <w:rFonts w:hint="eastAsia" w:eastAsia="黑体"/>
                <w:color w:val="FF0000"/>
                <w:sz w:val="20"/>
                <w:szCs w:val="20"/>
              </w:rPr>
            </w:pPr>
          </w:p>
          <w:p w14:paraId="0421BF3F">
            <w:pPr>
              <w:jc w:val="center"/>
              <w:rPr>
                <w:rFonts w:hint="eastAsia" w:eastAsia="黑体"/>
                <w:color w:val="FF0000"/>
                <w:sz w:val="20"/>
                <w:szCs w:val="20"/>
              </w:rPr>
            </w:pPr>
          </w:p>
          <w:p w14:paraId="2B8C6A29">
            <w:pPr>
              <w:jc w:val="center"/>
              <w:rPr>
                <w:rFonts w:hint="eastAsia" w:eastAsia="黑体"/>
                <w:color w:val="FF0000"/>
                <w:sz w:val="20"/>
                <w:szCs w:val="20"/>
              </w:rPr>
            </w:pPr>
          </w:p>
          <w:p w14:paraId="499568F8">
            <w:pPr>
              <w:jc w:val="center"/>
              <w:rPr>
                <w:rFonts w:hint="eastAsia" w:eastAsia="黑体"/>
                <w:color w:val="FF0000"/>
                <w:sz w:val="20"/>
                <w:szCs w:val="20"/>
              </w:rPr>
            </w:pPr>
          </w:p>
          <w:p w14:paraId="3356115D">
            <w:pPr>
              <w:jc w:val="both"/>
              <w:rPr>
                <w:rFonts w:hint="eastAsia" w:eastAsia="黑体"/>
                <w:color w:val="auto"/>
                <w:sz w:val="20"/>
                <w:szCs w:val="20"/>
              </w:rPr>
            </w:pPr>
            <w:r>
              <w:rPr>
                <w:rFonts w:hint="eastAsia" w:eastAsia="黑体"/>
                <w:color w:val="auto"/>
                <w:sz w:val="20"/>
                <w:szCs w:val="20"/>
              </w:rPr>
              <w:t>物理性</w:t>
            </w:r>
          </w:p>
          <w:p w14:paraId="1DBA6110">
            <w:pPr>
              <w:jc w:val="both"/>
              <w:rPr>
                <w:rFonts w:hint="eastAsia" w:eastAsia="黑体"/>
                <w:color w:val="auto"/>
                <w:sz w:val="20"/>
                <w:szCs w:val="20"/>
              </w:rPr>
            </w:pPr>
            <w:r>
              <w:rPr>
                <w:rFonts w:hint="eastAsia" w:eastAsia="黑体"/>
                <w:color w:val="auto"/>
                <w:sz w:val="20"/>
                <w:szCs w:val="20"/>
              </w:rPr>
              <w:t>能和耐</w:t>
            </w:r>
          </w:p>
          <w:p w14:paraId="5366B224">
            <w:pPr>
              <w:jc w:val="both"/>
              <w:rPr>
                <w:rFonts w:eastAsia="黑体"/>
                <w:color w:val="FF0000"/>
                <w:sz w:val="20"/>
                <w:szCs w:val="20"/>
              </w:rPr>
            </w:pPr>
            <w:r>
              <w:rPr>
                <w:rFonts w:hint="eastAsia" w:eastAsia="黑体"/>
                <w:color w:val="auto"/>
                <w:sz w:val="20"/>
                <w:szCs w:val="20"/>
              </w:rPr>
              <w:t>久性</w:t>
            </w:r>
          </w:p>
        </w:tc>
        <w:tc>
          <w:tcPr>
            <w:tcW w:w="265" w:type="pct"/>
            <w:vMerge w:val="restart"/>
            <w:vAlign w:val="center"/>
          </w:tcPr>
          <w:p w14:paraId="6D94B36A">
            <w:pPr>
              <w:jc w:val="center"/>
              <w:rPr>
                <w:rFonts w:hint="eastAsia" w:eastAsia="黑体"/>
                <w:color w:val="FF0000"/>
                <w:sz w:val="20"/>
                <w:szCs w:val="20"/>
              </w:rPr>
            </w:pPr>
          </w:p>
          <w:p w14:paraId="0DE5E5EC">
            <w:pPr>
              <w:jc w:val="center"/>
              <w:rPr>
                <w:rFonts w:hint="eastAsia" w:eastAsia="黑体"/>
                <w:color w:val="FF0000"/>
                <w:sz w:val="20"/>
                <w:szCs w:val="20"/>
              </w:rPr>
            </w:pPr>
          </w:p>
          <w:p w14:paraId="4EBC5FE1">
            <w:pPr>
              <w:jc w:val="center"/>
              <w:rPr>
                <w:rFonts w:hint="eastAsia" w:eastAsia="黑体"/>
                <w:color w:val="FF0000"/>
                <w:sz w:val="20"/>
                <w:szCs w:val="20"/>
              </w:rPr>
            </w:pPr>
          </w:p>
          <w:p w14:paraId="47947FBC">
            <w:pPr>
              <w:jc w:val="center"/>
              <w:rPr>
                <w:rFonts w:hint="eastAsia" w:eastAsia="黑体"/>
                <w:color w:val="FF0000"/>
                <w:sz w:val="20"/>
                <w:szCs w:val="20"/>
              </w:rPr>
            </w:pPr>
          </w:p>
          <w:p w14:paraId="6126B833">
            <w:pPr>
              <w:jc w:val="center"/>
              <w:rPr>
                <w:rFonts w:hint="eastAsia" w:eastAsia="黑体"/>
                <w:color w:val="FF0000"/>
                <w:sz w:val="20"/>
                <w:szCs w:val="20"/>
              </w:rPr>
            </w:pPr>
          </w:p>
          <w:p w14:paraId="626F0DBC">
            <w:pPr>
              <w:jc w:val="center"/>
              <w:rPr>
                <w:rFonts w:hint="eastAsia" w:eastAsia="黑体"/>
                <w:color w:val="FF0000"/>
                <w:sz w:val="20"/>
                <w:szCs w:val="20"/>
              </w:rPr>
            </w:pPr>
          </w:p>
          <w:p w14:paraId="1D987A03">
            <w:pPr>
              <w:jc w:val="center"/>
              <w:rPr>
                <w:rFonts w:hint="eastAsia" w:eastAsia="黑体"/>
                <w:color w:val="FF0000"/>
                <w:sz w:val="20"/>
                <w:szCs w:val="20"/>
              </w:rPr>
            </w:pPr>
          </w:p>
          <w:p w14:paraId="5D02AA37">
            <w:pPr>
              <w:jc w:val="center"/>
              <w:rPr>
                <w:rFonts w:eastAsia="黑体"/>
                <w:color w:val="FF0000"/>
                <w:sz w:val="20"/>
                <w:szCs w:val="20"/>
              </w:rPr>
            </w:pPr>
            <w:r>
              <w:rPr>
                <w:rFonts w:hint="eastAsia" w:eastAsia="黑体"/>
                <w:color w:val="auto"/>
                <w:sz w:val="20"/>
                <w:szCs w:val="20"/>
              </w:rPr>
              <w:t>聚酯型聚氨酯软泡</w:t>
            </w:r>
          </w:p>
        </w:tc>
        <w:tc>
          <w:tcPr>
            <w:tcW w:w="351" w:type="pct"/>
            <w:vAlign w:val="center"/>
          </w:tcPr>
          <w:p w14:paraId="79BA5EF1">
            <w:pPr>
              <w:jc w:val="center"/>
              <w:rPr>
                <w:rFonts w:eastAsia="黑体"/>
                <w:sz w:val="20"/>
                <w:szCs w:val="20"/>
              </w:rPr>
            </w:pPr>
            <w:r>
              <w:rPr>
                <w:rFonts w:eastAsia="黑体"/>
                <w:sz w:val="20"/>
                <w:szCs w:val="20"/>
              </w:rPr>
              <w:t>k</w:t>
            </w:r>
            <w:r>
              <w:rPr>
                <w:rFonts w:hint="eastAsia" w:eastAsia="黑体"/>
                <w:sz w:val="20"/>
                <w:szCs w:val="20"/>
              </w:rPr>
              <w:t>Pa</w:t>
            </w:r>
          </w:p>
        </w:tc>
        <w:tc>
          <w:tcPr>
            <w:tcW w:w="770" w:type="pct"/>
            <w:vAlign w:val="center"/>
          </w:tcPr>
          <w:p w14:paraId="5982DB16">
            <w:pPr>
              <w:jc w:val="center"/>
              <w:rPr>
                <w:rFonts w:eastAsia="黑体"/>
                <w:sz w:val="20"/>
                <w:szCs w:val="20"/>
              </w:rPr>
            </w:pPr>
            <w:r>
              <w:rPr>
                <w:rFonts w:hint="eastAsia" w:eastAsia="黑体"/>
                <w:sz w:val="20"/>
                <w:szCs w:val="20"/>
              </w:rPr>
              <w:t>拉伸强度</w:t>
            </w:r>
          </w:p>
        </w:tc>
        <w:tc>
          <w:tcPr>
            <w:tcW w:w="844" w:type="pct"/>
            <w:gridSpan w:val="2"/>
            <w:vAlign w:val="center"/>
          </w:tcPr>
          <w:p w14:paraId="61C02082">
            <w:pPr>
              <w:jc w:val="center"/>
              <w:rPr>
                <w:rFonts w:eastAsia="黑体"/>
                <w:sz w:val="20"/>
                <w:szCs w:val="20"/>
              </w:rPr>
            </w:pPr>
            <w:r>
              <w:rPr>
                <w:rFonts w:hint="eastAsia" w:eastAsia="黑体"/>
                <w:sz w:val="20"/>
                <w:szCs w:val="20"/>
              </w:rPr>
              <w:t>≥180</w:t>
            </w:r>
          </w:p>
        </w:tc>
        <w:tc>
          <w:tcPr>
            <w:tcW w:w="854" w:type="pct"/>
            <w:vAlign w:val="center"/>
          </w:tcPr>
          <w:p w14:paraId="71FA1DF2">
            <w:pPr>
              <w:rPr>
                <w:rFonts w:eastAsia="黑体"/>
                <w:sz w:val="20"/>
                <w:szCs w:val="20"/>
              </w:rPr>
            </w:pPr>
            <w:r>
              <w:rPr>
                <w:rFonts w:hint="eastAsia" w:eastAsia="黑体"/>
                <w:sz w:val="20"/>
                <w:szCs w:val="20"/>
              </w:rPr>
              <w:t>采用</w:t>
            </w:r>
            <w:r>
              <w:rPr>
                <w:rFonts w:hint="eastAsia" w:eastAsia="黑体"/>
                <w:sz w:val="20"/>
                <w:szCs w:val="20"/>
                <w:lang w:val="en-US" w:eastAsia="zh-CN"/>
              </w:rPr>
              <w:t>GB/T6344</w:t>
            </w:r>
            <w:r>
              <w:rPr>
                <w:rFonts w:hint="eastAsia" w:eastAsia="黑体"/>
                <w:sz w:val="20"/>
                <w:szCs w:val="20"/>
              </w:rPr>
              <w:t>检测并提供检测报告</w:t>
            </w:r>
          </w:p>
        </w:tc>
        <w:tc>
          <w:tcPr>
            <w:tcW w:w="949" w:type="pct"/>
            <w:vMerge w:val="restart"/>
            <w:vAlign w:val="center"/>
          </w:tcPr>
          <w:p w14:paraId="32EB3C74">
            <w:pPr>
              <w:rPr>
                <w:rFonts w:eastAsia="黑体"/>
                <w:sz w:val="20"/>
                <w:szCs w:val="20"/>
              </w:rPr>
            </w:pPr>
          </w:p>
        </w:tc>
      </w:tr>
      <w:tr w14:paraId="3F853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76" w:type="pct"/>
            <w:vMerge w:val="continue"/>
            <w:vAlign w:val="center"/>
          </w:tcPr>
          <w:p w14:paraId="7DCC6783">
            <w:pPr>
              <w:jc w:val="center"/>
              <w:rPr>
                <w:rFonts w:eastAsia="黑体"/>
                <w:sz w:val="20"/>
                <w:szCs w:val="20"/>
              </w:rPr>
            </w:pPr>
          </w:p>
        </w:tc>
        <w:tc>
          <w:tcPr>
            <w:tcW w:w="424" w:type="pct"/>
            <w:vMerge w:val="continue"/>
            <w:vAlign w:val="center"/>
          </w:tcPr>
          <w:p w14:paraId="51730EA5">
            <w:pPr>
              <w:rPr>
                <w:rFonts w:eastAsia="黑体"/>
                <w:sz w:val="20"/>
                <w:szCs w:val="20"/>
              </w:rPr>
            </w:pPr>
          </w:p>
        </w:tc>
        <w:tc>
          <w:tcPr>
            <w:tcW w:w="265" w:type="pct"/>
            <w:vMerge w:val="continue"/>
            <w:vAlign w:val="center"/>
          </w:tcPr>
          <w:p w14:paraId="15B422AC">
            <w:pPr>
              <w:rPr>
                <w:rFonts w:eastAsia="黑体"/>
                <w:sz w:val="20"/>
                <w:szCs w:val="20"/>
              </w:rPr>
            </w:pPr>
          </w:p>
        </w:tc>
        <w:tc>
          <w:tcPr>
            <w:tcW w:w="265" w:type="pct"/>
            <w:vMerge w:val="continue"/>
            <w:vAlign w:val="center"/>
          </w:tcPr>
          <w:p w14:paraId="2D095BBA">
            <w:pPr>
              <w:rPr>
                <w:rFonts w:eastAsia="黑体"/>
                <w:sz w:val="20"/>
                <w:szCs w:val="20"/>
              </w:rPr>
            </w:pPr>
          </w:p>
        </w:tc>
        <w:tc>
          <w:tcPr>
            <w:tcW w:w="351" w:type="pct"/>
            <w:vAlign w:val="center"/>
          </w:tcPr>
          <w:p w14:paraId="11BF79A2">
            <w:pPr>
              <w:jc w:val="center"/>
              <w:rPr>
                <w:rFonts w:eastAsia="黑体"/>
                <w:sz w:val="20"/>
                <w:szCs w:val="20"/>
              </w:rPr>
            </w:pPr>
            <w:r>
              <w:rPr>
                <w:rFonts w:hint="eastAsia" w:eastAsia="黑体"/>
                <w:sz w:val="20"/>
                <w:szCs w:val="20"/>
              </w:rPr>
              <w:t>%</w:t>
            </w:r>
          </w:p>
        </w:tc>
        <w:tc>
          <w:tcPr>
            <w:tcW w:w="770" w:type="pct"/>
            <w:vAlign w:val="center"/>
          </w:tcPr>
          <w:p w14:paraId="152CF7E6">
            <w:pPr>
              <w:jc w:val="center"/>
              <w:rPr>
                <w:rFonts w:eastAsia="黑体"/>
                <w:sz w:val="20"/>
                <w:szCs w:val="20"/>
              </w:rPr>
            </w:pPr>
            <w:r>
              <w:rPr>
                <w:rFonts w:hint="eastAsia" w:eastAsia="黑体"/>
                <w:sz w:val="20"/>
                <w:szCs w:val="20"/>
              </w:rPr>
              <w:t>断裂伸长率</w:t>
            </w:r>
          </w:p>
        </w:tc>
        <w:tc>
          <w:tcPr>
            <w:tcW w:w="844" w:type="pct"/>
            <w:gridSpan w:val="2"/>
            <w:vAlign w:val="center"/>
          </w:tcPr>
          <w:p w14:paraId="6D54C5D0">
            <w:pPr>
              <w:jc w:val="center"/>
              <w:rPr>
                <w:rFonts w:eastAsia="黑体"/>
                <w:sz w:val="20"/>
                <w:szCs w:val="20"/>
              </w:rPr>
            </w:pPr>
            <w:r>
              <w:rPr>
                <w:rFonts w:hint="eastAsia" w:eastAsia="黑体"/>
                <w:sz w:val="20"/>
                <w:szCs w:val="20"/>
              </w:rPr>
              <w:t>≥200</w:t>
            </w:r>
          </w:p>
        </w:tc>
        <w:tc>
          <w:tcPr>
            <w:tcW w:w="854" w:type="pct"/>
            <w:vAlign w:val="center"/>
          </w:tcPr>
          <w:p w14:paraId="2703E43A">
            <w:pPr>
              <w:rPr>
                <w:rFonts w:eastAsia="黑体"/>
                <w:sz w:val="20"/>
                <w:szCs w:val="20"/>
              </w:rPr>
            </w:pPr>
            <w:r>
              <w:rPr>
                <w:rFonts w:hint="eastAsia" w:eastAsia="黑体"/>
                <w:sz w:val="20"/>
                <w:szCs w:val="20"/>
              </w:rPr>
              <w:t>采用</w:t>
            </w:r>
            <w:r>
              <w:rPr>
                <w:rFonts w:hint="eastAsia" w:eastAsia="黑体"/>
                <w:sz w:val="20"/>
                <w:szCs w:val="20"/>
                <w:lang w:val="en-US" w:eastAsia="zh-CN"/>
              </w:rPr>
              <w:t>GB/T6344</w:t>
            </w:r>
            <w:r>
              <w:rPr>
                <w:rFonts w:hint="eastAsia" w:eastAsia="黑体"/>
                <w:sz w:val="20"/>
                <w:szCs w:val="20"/>
              </w:rPr>
              <w:t>检测并提供检测报告</w:t>
            </w:r>
          </w:p>
        </w:tc>
        <w:tc>
          <w:tcPr>
            <w:tcW w:w="949" w:type="pct"/>
            <w:vMerge w:val="continue"/>
            <w:vAlign w:val="center"/>
          </w:tcPr>
          <w:p w14:paraId="1F026041">
            <w:pPr>
              <w:rPr>
                <w:rFonts w:eastAsia="黑体"/>
                <w:sz w:val="20"/>
                <w:szCs w:val="20"/>
              </w:rPr>
            </w:pPr>
          </w:p>
        </w:tc>
      </w:tr>
      <w:tr w14:paraId="21BEC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76" w:type="pct"/>
            <w:vMerge w:val="continue"/>
            <w:vAlign w:val="center"/>
          </w:tcPr>
          <w:p w14:paraId="4B29D83D">
            <w:pPr>
              <w:jc w:val="center"/>
              <w:rPr>
                <w:rFonts w:eastAsia="黑体"/>
                <w:sz w:val="20"/>
                <w:szCs w:val="20"/>
              </w:rPr>
            </w:pPr>
          </w:p>
        </w:tc>
        <w:tc>
          <w:tcPr>
            <w:tcW w:w="424" w:type="pct"/>
            <w:vMerge w:val="continue"/>
            <w:vAlign w:val="center"/>
          </w:tcPr>
          <w:p w14:paraId="4147BDD3">
            <w:pPr>
              <w:rPr>
                <w:rFonts w:eastAsia="黑体"/>
                <w:sz w:val="20"/>
                <w:szCs w:val="20"/>
              </w:rPr>
            </w:pPr>
          </w:p>
        </w:tc>
        <w:tc>
          <w:tcPr>
            <w:tcW w:w="265" w:type="pct"/>
            <w:vMerge w:val="continue"/>
            <w:vAlign w:val="center"/>
          </w:tcPr>
          <w:p w14:paraId="262E1145">
            <w:pPr>
              <w:rPr>
                <w:rFonts w:eastAsia="黑体"/>
                <w:sz w:val="20"/>
                <w:szCs w:val="20"/>
              </w:rPr>
            </w:pPr>
          </w:p>
        </w:tc>
        <w:tc>
          <w:tcPr>
            <w:tcW w:w="265" w:type="pct"/>
            <w:vMerge w:val="continue"/>
            <w:vAlign w:val="center"/>
          </w:tcPr>
          <w:p w14:paraId="6CF04713">
            <w:pPr>
              <w:rPr>
                <w:rFonts w:eastAsia="黑体"/>
                <w:sz w:val="20"/>
                <w:szCs w:val="20"/>
              </w:rPr>
            </w:pPr>
          </w:p>
        </w:tc>
        <w:tc>
          <w:tcPr>
            <w:tcW w:w="351" w:type="pct"/>
            <w:vAlign w:val="center"/>
          </w:tcPr>
          <w:p w14:paraId="5091E720">
            <w:pPr>
              <w:jc w:val="center"/>
              <w:rPr>
                <w:rFonts w:eastAsia="黑体"/>
                <w:sz w:val="20"/>
                <w:szCs w:val="20"/>
              </w:rPr>
            </w:pPr>
            <w:r>
              <w:rPr>
                <w:rFonts w:eastAsia="黑体"/>
                <w:sz w:val="20"/>
                <w:szCs w:val="20"/>
              </w:rPr>
              <w:t>k</w:t>
            </w:r>
            <w:r>
              <w:rPr>
                <w:rFonts w:hint="eastAsia" w:eastAsia="黑体"/>
                <w:sz w:val="20"/>
                <w:szCs w:val="20"/>
              </w:rPr>
              <w:t>Pa</w:t>
            </w:r>
          </w:p>
        </w:tc>
        <w:tc>
          <w:tcPr>
            <w:tcW w:w="770" w:type="pct"/>
            <w:vAlign w:val="center"/>
          </w:tcPr>
          <w:p w14:paraId="6BDFDB57">
            <w:pPr>
              <w:jc w:val="center"/>
              <w:rPr>
                <w:rFonts w:eastAsia="黑体"/>
                <w:color w:val="auto"/>
                <w:sz w:val="20"/>
                <w:szCs w:val="20"/>
                <w:highlight w:val="none"/>
              </w:rPr>
            </w:pPr>
            <w:r>
              <w:rPr>
                <w:rFonts w:hint="eastAsia" w:eastAsia="黑体"/>
                <w:color w:val="auto"/>
                <w:sz w:val="20"/>
                <w:szCs w:val="20"/>
                <w:highlight w:val="none"/>
              </w:rPr>
              <w:t>压缩变形力（40%时）</w:t>
            </w:r>
          </w:p>
        </w:tc>
        <w:tc>
          <w:tcPr>
            <w:tcW w:w="844" w:type="pct"/>
            <w:gridSpan w:val="2"/>
            <w:vAlign w:val="center"/>
          </w:tcPr>
          <w:p w14:paraId="761BDCA8">
            <w:pPr>
              <w:jc w:val="center"/>
              <w:rPr>
                <w:rFonts w:eastAsia="黑体"/>
                <w:sz w:val="20"/>
                <w:szCs w:val="20"/>
              </w:rPr>
            </w:pPr>
            <w:r>
              <w:rPr>
                <w:rFonts w:hint="eastAsia" w:eastAsia="黑体"/>
                <w:sz w:val="20"/>
                <w:szCs w:val="20"/>
              </w:rPr>
              <w:t>3-6</w:t>
            </w:r>
          </w:p>
        </w:tc>
        <w:tc>
          <w:tcPr>
            <w:tcW w:w="854" w:type="pct"/>
            <w:vAlign w:val="center"/>
          </w:tcPr>
          <w:p w14:paraId="4E3E5EA9">
            <w:pPr>
              <w:jc w:val="both"/>
              <w:rPr>
                <w:rFonts w:eastAsia="黑体"/>
                <w:sz w:val="20"/>
                <w:szCs w:val="20"/>
              </w:rPr>
            </w:pPr>
            <w:r>
              <w:rPr>
                <w:rFonts w:hint="eastAsia" w:eastAsia="黑体"/>
                <w:sz w:val="20"/>
                <w:szCs w:val="20"/>
              </w:rPr>
              <w:t>采用</w:t>
            </w:r>
            <w:r>
              <w:rPr>
                <w:rFonts w:hint="eastAsia" w:eastAsia="黑体"/>
                <w:sz w:val="20"/>
                <w:szCs w:val="20"/>
                <w:lang w:val="en-US" w:eastAsia="zh-CN"/>
              </w:rPr>
              <w:t>GB/T18942.1</w:t>
            </w:r>
            <w:r>
              <w:rPr>
                <w:rFonts w:hint="eastAsia" w:eastAsia="黑体"/>
                <w:sz w:val="20"/>
                <w:szCs w:val="20"/>
              </w:rPr>
              <w:t>检测并提供检测报告</w:t>
            </w:r>
          </w:p>
        </w:tc>
        <w:tc>
          <w:tcPr>
            <w:tcW w:w="949" w:type="pct"/>
            <w:vMerge w:val="continue"/>
            <w:vAlign w:val="center"/>
          </w:tcPr>
          <w:p w14:paraId="4D9FE9ED">
            <w:pPr>
              <w:rPr>
                <w:rFonts w:eastAsia="黑体"/>
                <w:sz w:val="20"/>
                <w:szCs w:val="20"/>
              </w:rPr>
            </w:pPr>
          </w:p>
        </w:tc>
      </w:tr>
      <w:tr w14:paraId="2975D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76" w:type="pct"/>
            <w:vMerge w:val="continue"/>
            <w:vAlign w:val="center"/>
          </w:tcPr>
          <w:p w14:paraId="1C834E67">
            <w:pPr>
              <w:jc w:val="center"/>
              <w:rPr>
                <w:rFonts w:eastAsia="黑体"/>
                <w:sz w:val="20"/>
                <w:szCs w:val="20"/>
              </w:rPr>
            </w:pPr>
          </w:p>
        </w:tc>
        <w:tc>
          <w:tcPr>
            <w:tcW w:w="424" w:type="pct"/>
            <w:vMerge w:val="continue"/>
            <w:vAlign w:val="center"/>
          </w:tcPr>
          <w:p w14:paraId="7AB4300B">
            <w:pPr>
              <w:rPr>
                <w:rFonts w:eastAsia="黑体"/>
                <w:sz w:val="20"/>
                <w:szCs w:val="20"/>
              </w:rPr>
            </w:pPr>
          </w:p>
        </w:tc>
        <w:tc>
          <w:tcPr>
            <w:tcW w:w="265" w:type="pct"/>
            <w:vMerge w:val="continue"/>
            <w:vAlign w:val="center"/>
          </w:tcPr>
          <w:p w14:paraId="4DC7087D">
            <w:pPr>
              <w:rPr>
                <w:rFonts w:eastAsia="黑体"/>
                <w:sz w:val="20"/>
                <w:szCs w:val="20"/>
              </w:rPr>
            </w:pPr>
          </w:p>
        </w:tc>
        <w:tc>
          <w:tcPr>
            <w:tcW w:w="265" w:type="pct"/>
            <w:vMerge w:val="continue"/>
            <w:vAlign w:val="center"/>
          </w:tcPr>
          <w:p w14:paraId="099D989C">
            <w:pPr>
              <w:rPr>
                <w:rFonts w:eastAsia="黑体"/>
                <w:sz w:val="20"/>
                <w:szCs w:val="20"/>
              </w:rPr>
            </w:pPr>
          </w:p>
        </w:tc>
        <w:tc>
          <w:tcPr>
            <w:tcW w:w="351" w:type="pct"/>
            <w:vAlign w:val="center"/>
          </w:tcPr>
          <w:p w14:paraId="7E288936">
            <w:pPr>
              <w:jc w:val="center"/>
              <w:rPr>
                <w:rFonts w:eastAsia="黑体"/>
                <w:sz w:val="20"/>
                <w:szCs w:val="20"/>
              </w:rPr>
            </w:pPr>
            <w:r>
              <w:rPr>
                <w:rFonts w:hint="eastAsia" w:eastAsia="黑体"/>
                <w:sz w:val="20"/>
                <w:szCs w:val="20"/>
              </w:rPr>
              <w:t>%</w:t>
            </w:r>
          </w:p>
        </w:tc>
        <w:tc>
          <w:tcPr>
            <w:tcW w:w="770" w:type="pct"/>
            <w:vAlign w:val="center"/>
          </w:tcPr>
          <w:p w14:paraId="38C0EA62">
            <w:pPr>
              <w:jc w:val="center"/>
              <w:rPr>
                <w:rFonts w:eastAsia="黑体"/>
                <w:color w:val="auto"/>
                <w:sz w:val="20"/>
                <w:szCs w:val="20"/>
                <w:highlight w:val="none"/>
              </w:rPr>
            </w:pPr>
            <w:r>
              <w:rPr>
                <w:rFonts w:hint="eastAsia" w:eastAsia="黑体"/>
                <w:color w:val="auto"/>
                <w:sz w:val="20"/>
                <w:szCs w:val="20"/>
                <w:highlight w:val="none"/>
              </w:rPr>
              <w:t>压缩变形率（22</w:t>
            </w:r>
            <w:r>
              <w:rPr>
                <w:rFonts w:eastAsia="黑体"/>
                <w:color w:val="auto"/>
                <w:sz w:val="20"/>
                <w:szCs w:val="20"/>
                <w:highlight w:val="none"/>
              </w:rPr>
              <w:t>h</w:t>
            </w:r>
            <w:r>
              <w:rPr>
                <w:rFonts w:hint="eastAsia" w:eastAsia="黑体"/>
                <w:color w:val="auto"/>
                <w:sz w:val="20"/>
                <w:szCs w:val="20"/>
                <w:highlight w:val="none"/>
              </w:rPr>
              <w:t>，70℃）</w:t>
            </w:r>
          </w:p>
        </w:tc>
        <w:tc>
          <w:tcPr>
            <w:tcW w:w="844" w:type="pct"/>
            <w:gridSpan w:val="2"/>
            <w:vAlign w:val="center"/>
          </w:tcPr>
          <w:p w14:paraId="7D295220">
            <w:pPr>
              <w:jc w:val="center"/>
              <w:rPr>
                <w:rFonts w:eastAsia="黑体"/>
                <w:sz w:val="20"/>
                <w:szCs w:val="20"/>
              </w:rPr>
            </w:pPr>
            <w:r>
              <w:rPr>
                <w:rFonts w:hint="eastAsia" w:eastAsia="黑体"/>
                <w:sz w:val="20"/>
                <w:szCs w:val="20"/>
              </w:rPr>
              <w:t>≤10</w:t>
            </w:r>
          </w:p>
        </w:tc>
        <w:tc>
          <w:tcPr>
            <w:tcW w:w="854" w:type="pct"/>
            <w:vAlign w:val="center"/>
          </w:tcPr>
          <w:p w14:paraId="307D6066">
            <w:pPr>
              <w:jc w:val="center"/>
              <w:rPr>
                <w:rFonts w:eastAsia="黑体"/>
                <w:sz w:val="20"/>
                <w:szCs w:val="20"/>
              </w:rPr>
            </w:pPr>
            <w:r>
              <w:rPr>
                <w:rFonts w:hint="eastAsia" w:eastAsia="黑体"/>
                <w:sz w:val="20"/>
                <w:szCs w:val="20"/>
              </w:rPr>
              <w:t>采用</w:t>
            </w:r>
            <w:r>
              <w:rPr>
                <w:rFonts w:hint="eastAsia" w:eastAsia="黑体"/>
                <w:sz w:val="20"/>
                <w:szCs w:val="20"/>
                <w:lang w:val="en-US" w:eastAsia="zh-CN"/>
              </w:rPr>
              <w:t>GB/T6669</w:t>
            </w:r>
            <w:r>
              <w:rPr>
                <w:rFonts w:hint="eastAsia" w:eastAsia="黑体"/>
                <w:sz w:val="20"/>
                <w:szCs w:val="20"/>
              </w:rPr>
              <w:t>检测并提供检测报告</w:t>
            </w:r>
          </w:p>
        </w:tc>
        <w:tc>
          <w:tcPr>
            <w:tcW w:w="949" w:type="pct"/>
            <w:vMerge w:val="continue"/>
            <w:vAlign w:val="center"/>
          </w:tcPr>
          <w:p w14:paraId="22198290">
            <w:pPr>
              <w:rPr>
                <w:rFonts w:eastAsia="黑体"/>
                <w:sz w:val="20"/>
                <w:szCs w:val="20"/>
              </w:rPr>
            </w:pPr>
          </w:p>
        </w:tc>
      </w:tr>
      <w:tr w14:paraId="711B8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76" w:type="pct"/>
            <w:vMerge w:val="continue"/>
            <w:vAlign w:val="center"/>
          </w:tcPr>
          <w:p w14:paraId="73C1DEF3">
            <w:pPr>
              <w:jc w:val="center"/>
              <w:rPr>
                <w:rFonts w:eastAsia="黑体"/>
                <w:sz w:val="20"/>
                <w:szCs w:val="20"/>
              </w:rPr>
            </w:pPr>
          </w:p>
        </w:tc>
        <w:tc>
          <w:tcPr>
            <w:tcW w:w="424" w:type="pct"/>
            <w:vMerge w:val="continue"/>
            <w:vAlign w:val="center"/>
          </w:tcPr>
          <w:p w14:paraId="39CAAA37">
            <w:pPr>
              <w:rPr>
                <w:rFonts w:eastAsia="黑体"/>
                <w:sz w:val="20"/>
                <w:szCs w:val="20"/>
              </w:rPr>
            </w:pPr>
          </w:p>
        </w:tc>
        <w:tc>
          <w:tcPr>
            <w:tcW w:w="265" w:type="pct"/>
            <w:vMerge w:val="continue"/>
            <w:vAlign w:val="center"/>
          </w:tcPr>
          <w:p w14:paraId="40F860EB">
            <w:pPr>
              <w:rPr>
                <w:rFonts w:eastAsia="黑体"/>
                <w:sz w:val="20"/>
                <w:szCs w:val="20"/>
              </w:rPr>
            </w:pPr>
          </w:p>
        </w:tc>
        <w:tc>
          <w:tcPr>
            <w:tcW w:w="265" w:type="pct"/>
            <w:vMerge w:val="continue"/>
            <w:vAlign w:val="center"/>
          </w:tcPr>
          <w:p w14:paraId="61E1ECAE">
            <w:pPr>
              <w:rPr>
                <w:rFonts w:eastAsia="黑体"/>
                <w:sz w:val="20"/>
                <w:szCs w:val="20"/>
              </w:rPr>
            </w:pPr>
          </w:p>
        </w:tc>
        <w:tc>
          <w:tcPr>
            <w:tcW w:w="351" w:type="pct"/>
            <w:vAlign w:val="center"/>
          </w:tcPr>
          <w:p w14:paraId="6B506CD3">
            <w:pPr>
              <w:jc w:val="center"/>
              <w:rPr>
                <w:rFonts w:eastAsia="黑体"/>
                <w:sz w:val="20"/>
                <w:szCs w:val="20"/>
              </w:rPr>
            </w:pPr>
            <w:r>
              <w:rPr>
                <w:rFonts w:hint="eastAsia" w:eastAsia="黑体"/>
                <w:sz w:val="20"/>
                <w:szCs w:val="20"/>
              </w:rPr>
              <w:t>%</w:t>
            </w:r>
          </w:p>
        </w:tc>
        <w:tc>
          <w:tcPr>
            <w:tcW w:w="770" w:type="pct"/>
            <w:vAlign w:val="center"/>
          </w:tcPr>
          <w:p w14:paraId="1F6F5200">
            <w:pPr>
              <w:jc w:val="center"/>
              <w:rPr>
                <w:rFonts w:eastAsia="黑体"/>
                <w:sz w:val="20"/>
                <w:szCs w:val="20"/>
              </w:rPr>
            </w:pPr>
            <w:r>
              <w:rPr>
                <w:rFonts w:hint="eastAsia" w:eastAsia="黑体"/>
                <w:sz w:val="20"/>
                <w:szCs w:val="20"/>
              </w:rPr>
              <w:t>密度公差</w:t>
            </w:r>
            <w:r>
              <w:rPr>
                <w:rFonts w:hint="eastAsia" w:eastAsia="黑体"/>
                <w:sz w:val="20"/>
                <w:szCs w:val="20"/>
              </w:rPr>
              <w:tab/>
            </w:r>
          </w:p>
        </w:tc>
        <w:tc>
          <w:tcPr>
            <w:tcW w:w="844" w:type="pct"/>
            <w:gridSpan w:val="2"/>
            <w:vAlign w:val="center"/>
          </w:tcPr>
          <w:p w14:paraId="16B2D49D">
            <w:pPr>
              <w:jc w:val="center"/>
              <w:rPr>
                <w:rFonts w:hint="eastAsia" w:eastAsia="黑体"/>
                <w:sz w:val="20"/>
                <w:szCs w:val="20"/>
                <w:lang w:val="en-US" w:eastAsia="zh-CN"/>
              </w:rPr>
            </w:pPr>
            <w:r>
              <w:rPr>
                <w:rFonts w:hint="eastAsia" w:eastAsia="黑体"/>
                <w:sz w:val="20"/>
                <w:szCs w:val="20"/>
              </w:rPr>
              <w:t>±</w:t>
            </w:r>
            <w:r>
              <w:rPr>
                <w:rFonts w:hint="eastAsia" w:eastAsia="黑体"/>
                <w:sz w:val="20"/>
                <w:szCs w:val="20"/>
                <w:lang w:val="en-US" w:eastAsia="zh-CN"/>
              </w:rPr>
              <w:t>5</w:t>
            </w:r>
          </w:p>
        </w:tc>
        <w:tc>
          <w:tcPr>
            <w:tcW w:w="854" w:type="pct"/>
            <w:vAlign w:val="center"/>
          </w:tcPr>
          <w:p w14:paraId="2096AFC6">
            <w:pPr>
              <w:jc w:val="center"/>
              <w:rPr>
                <w:rFonts w:eastAsia="黑体"/>
                <w:sz w:val="20"/>
                <w:szCs w:val="20"/>
              </w:rPr>
            </w:pPr>
            <w:r>
              <w:rPr>
                <w:rFonts w:hint="eastAsia" w:eastAsia="黑体"/>
                <w:sz w:val="20"/>
                <w:szCs w:val="20"/>
              </w:rPr>
              <w:t>采用</w:t>
            </w:r>
            <w:r>
              <w:rPr>
                <w:rFonts w:hint="eastAsia" w:eastAsia="黑体"/>
                <w:sz w:val="20"/>
                <w:szCs w:val="20"/>
                <w:lang w:val="en-US" w:eastAsia="zh-CN"/>
              </w:rPr>
              <w:t>GB/T6343</w:t>
            </w:r>
            <w:r>
              <w:rPr>
                <w:rFonts w:hint="eastAsia" w:eastAsia="黑体"/>
                <w:sz w:val="20"/>
                <w:szCs w:val="20"/>
              </w:rPr>
              <w:t>检测并提供检测报告</w:t>
            </w:r>
          </w:p>
        </w:tc>
        <w:tc>
          <w:tcPr>
            <w:tcW w:w="949" w:type="pct"/>
            <w:vMerge w:val="continue"/>
            <w:vAlign w:val="center"/>
          </w:tcPr>
          <w:p w14:paraId="2E2BDA8B">
            <w:pPr>
              <w:rPr>
                <w:rFonts w:eastAsia="黑体"/>
                <w:sz w:val="20"/>
                <w:szCs w:val="20"/>
              </w:rPr>
            </w:pPr>
          </w:p>
        </w:tc>
      </w:tr>
      <w:tr w14:paraId="70D54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76" w:type="pct"/>
            <w:vMerge w:val="continue"/>
            <w:vAlign w:val="center"/>
          </w:tcPr>
          <w:p w14:paraId="29DDCBA0">
            <w:pPr>
              <w:jc w:val="center"/>
              <w:rPr>
                <w:rFonts w:eastAsia="黑体"/>
                <w:sz w:val="20"/>
                <w:szCs w:val="20"/>
              </w:rPr>
            </w:pPr>
          </w:p>
        </w:tc>
        <w:tc>
          <w:tcPr>
            <w:tcW w:w="424" w:type="pct"/>
            <w:vMerge w:val="continue"/>
            <w:vAlign w:val="center"/>
          </w:tcPr>
          <w:p w14:paraId="41F2A42F">
            <w:pPr>
              <w:rPr>
                <w:rFonts w:eastAsia="黑体"/>
                <w:sz w:val="20"/>
                <w:szCs w:val="20"/>
              </w:rPr>
            </w:pPr>
          </w:p>
        </w:tc>
        <w:tc>
          <w:tcPr>
            <w:tcW w:w="265" w:type="pct"/>
            <w:vMerge w:val="continue"/>
            <w:vAlign w:val="center"/>
          </w:tcPr>
          <w:p w14:paraId="3EE6D460">
            <w:pPr>
              <w:rPr>
                <w:rFonts w:eastAsia="黑体"/>
                <w:sz w:val="20"/>
                <w:szCs w:val="20"/>
              </w:rPr>
            </w:pPr>
          </w:p>
        </w:tc>
        <w:tc>
          <w:tcPr>
            <w:tcW w:w="265" w:type="pct"/>
            <w:vMerge w:val="continue"/>
            <w:vAlign w:val="center"/>
          </w:tcPr>
          <w:p w14:paraId="5239F3E5">
            <w:pPr>
              <w:rPr>
                <w:rFonts w:eastAsia="黑体"/>
                <w:sz w:val="20"/>
                <w:szCs w:val="20"/>
              </w:rPr>
            </w:pPr>
          </w:p>
        </w:tc>
        <w:tc>
          <w:tcPr>
            <w:tcW w:w="351" w:type="pct"/>
            <w:vAlign w:val="center"/>
          </w:tcPr>
          <w:p w14:paraId="46A2913A">
            <w:pPr>
              <w:jc w:val="center"/>
              <w:rPr>
                <w:rFonts w:eastAsia="黑体"/>
                <w:sz w:val="20"/>
                <w:szCs w:val="20"/>
              </w:rPr>
            </w:pPr>
            <w:r>
              <w:rPr>
                <w:rFonts w:hint="eastAsia" w:eastAsia="黑体"/>
                <w:sz w:val="20"/>
                <w:szCs w:val="20"/>
              </w:rPr>
              <w:t>mm</w:t>
            </w:r>
          </w:p>
        </w:tc>
        <w:tc>
          <w:tcPr>
            <w:tcW w:w="770" w:type="pct"/>
            <w:vAlign w:val="center"/>
          </w:tcPr>
          <w:p w14:paraId="3C5E6809">
            <w:pPr>
              <w:jc w:val="center"/>
              <w:rPr>
                <w:rFonts w:eastAsia="黑体"/>
                <w:sz w:val="20"/>
                <w:szCs w:val="20"/>
              </w:rPr>
            </w:pPr>
            <w:r>
              <w:rPr>
                <w:rFonts w:hint="eastAsia" w:eastAsia="黑体"/>
                <w:sz w:val="20"/>
                <w:szCs w:val="20"/>
              </w:rPr>
              <w:t>厚度公差</w:t>
            </w:r>
          </w:p>
        </w:tc>
        <w:tc>
          <w:tcPr>
            <w:tcW w:w="844" w:type="pct"/>
            <w:gridSpan w:val="2"/>
            <w:vAlign w:val="center"/>
          </w:tcPr>
          <w:p w14:paraId="6B498D31">
            <w:pPr>
              <w:jc w:val="center"/>
              <w:rPr>
                <w:rFonts w:eastAsia="黑体"/>
                <w:sz w:val="20"/>
                <w:szCs w:val="20"/>
              </w:rPr>
            </w:pPr>
            <w:r>
              <w:rPr>
                <w:rFonts w:hint="eastAsia" w:eastAsia="黑体"/>
                <w:sz w:val="20"/>
                <w:szCs w:val="20"/>
              </w:rPr>
              <w:t>±0.2</w:t>
            </w:r>
          </w:p>
        </w:tc>
        <w:tc>
          <w:tcPr>
            <w:tcW w:w="854" w:type="pct"/>
            <w:vAlign w:val="center"/>
          </w:tcPr>
          <w:p w14:paraId="02C0D696">
            <w:pPr>
              <w:jc w:val="center"/>
              <w:rPr>
                <w:rFonts w:eastAsia="黑体"/>
                <w:sz w:val="20"/>
                <w:szCs w:val="20"/>
              </w:rPr>
            </w:pPr>
            <w:r>
              <w:rPr>
                <w:rFonts w:hint="eastAsia" w:eastAsia="黑体"/>
                <w:sz w:val="20"/>
                <w:szCs w:val="20"/>
              </w:rPr>
              <w:t>采用</w:t>
            </w:r>
            <w:r>
              <w:rPr>
                <w:rFonts w:hint="eastAsia" w:eastAsia="黑体"/>
                <w:sz w:val="20"/>
                <w:szCs w:val="20"/>
                <w:lang w:val="en-US" w:eastAsia="zh-CN"/>
              </w:rPr>
              <w:t>GB/T3820</w:t>
            </w:r>
            <w:r>
              <w:rPr>
                <w:rFonts w:hint="eastAsia" w:eastAsia="黑体"/>
                <w:sz w:val="20"/>
                <w:szCs w:val="20"/>
              </w:rPr>
              <w:t>检测并提供检测报告</w:t>
            </w:r>
          </w:p>
        </w:tc>
        <w:tc>
          <w:tcPr>
            <w:tcW w:w="949" w:type="pct"/>
            <w:vMerge w:val="continue"/>
            <w:vAlign w:val="center"/>
          </w:tcPr>
          <w:p w14:paraId="4B225CD5">
            <w:pPr>
              <w:rPr>
                <w:rFonts w:eastAsia="黑体"/>
                <w:sz w:val="20"/>
                <w:szCs w:val="20"/>
              </w:rPr>
            </w:pPr>
          </w:p>
        </w:tc>
      </w:tr>
      <w:tr w14:paraId="70C10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trPr>
        <w:tc>
          <w:tcPr>
            <w:tcW w:w="276" w:type="pct"/>
            <w:vMerge w:val="continue"/>
            <w:vAlign w:val="center"/>
          </w:tcPr>
          <w:p w14:paraId="099BCEBF">
            <w:pPr>
              <w:jc w:val="center"/>
              <w:rPr>
                <w:rFonts w:eastAsia="黑体"/>
                <w:sz w:val="20"/>
                <w:szCs w:val="20"/>
              </w:rPr>
            </w:pPr>
          </w:p>
        </w:tc>
        <w:tc>
          <w:tcPr>
            <w:tcW w:w="424" w:type="pct"/>
            <w:vMerge w:val="continue"/>
            <w:vAlign w:val="center"/>
          </w:tcPr>
          <w:p w14:paraId="766C4653">
            <w:pPr>
              <w:rPr>
                <w:rFonts w:eastAsia="黑体"/>
                <w:sz w:val="20"/>
                <w:szCs w:val="20"/>
              </w:rPr>
            </w:pPr>
          </w:p>
        </w:tc>
        <w:tc>
          <w:tcPr>
            <w:tcW w:w="265" w:type="pct"/>
            <w:vMerge w:val="continue"/>
            <w:vAlign w:val="center"/>
          </w:tcPr>
          <w:p w14:paraId="1A3D1306">
            <w:pPr>
              <w:rPr>
                <w:rFonts w:eastAsia="黑体"/>
                <w:sz w:val="20"/>
                <w:szCs w:val="20"/>
              </w:rPr>
            </w:pPr>
          </w:p>
        </w:tc>
        <w:tc>
          <w:tcPr>
            <w:tcW w:w="265" w:type="pct"/>
            <w:vMerge w:val="continue"/>
            <w:vAlign w:val="center"/>
          </w:tcPr>
          <w:p w14:paraId="2AD18FE3">
            <w:pPr>
              <w:rPr>
                <w:rFonts w:eastAsia="黑体"/>
                <w:sz w:val="20"/>
                <w:szCs w:val="20"/>
              </w:rPr>
            </w:pPr>
          </w:p>
        </w:tc>
        <w:tc>
          <w:tcPr>
            <w:tcW w:w="351" w:type="pct"/>
            <w:vAlign w:val="center"/>
          </w:tcPr>
          <w:p w14:paraId="6C5603EE">
            <w:pPr>
              <w:jc w:val="center"/>
              <w:rPr>
                <w:rFonts w:eastAsia="黑体"/>
                <w:sz w:val="20"/>
                <w:szCs w:val="20"/>
              </w:rPr>
            </w:pPr>
            <w:r>
              <w:rPr>
                <w:rFonts w:hint="eastAsia" w:eastAsia="黑体"/>
                <w:sz w:val="20"/>
                <w:szCs w:val="20"/>
              </w:rPr>
              <w:t>/</w:t>
            </w:r>
          </w:p>
        </w:tc>
        <w:tc>
          <w:tcPr>
            <w:tcW w:w="770" w:type="pct"/>
            <w:vAlign w:val="center"/>
          </w:tcPr>
          <w:p w14:paraId="62732615">
            <w:pPr>
              <w:jc w:val="center"/>
              <w:rPr>
                <w:rFonts w:eastAsia="黑体"/>
                <w:sz w:val="20"/>
                <w:szCs w:val="20"/>
              </w:rPr>
            </w:pPr>
            <w:r>
              <w:rPr>
                <w:rFonts w:hint="eastAsia" w:eastAsia="黑体"/>
                <w:sz w:val="20"/>
                <w:szCs w:val="20"/>
              </w:rPr>
              <w:t>耐水解性能</w:t>
            </w:r>
          </w:p>
        </w:tc>
        <w:tc>
          <w:tcPr>
            <w:tcW w:w="844" w:type="pct"/>
            <w:gridSpan w:val="2"/>
            <w:vAlign w:val="center"/>
          </w:tcPr>
          <w:p w14:paraId="0F08BC08">
            <w:pPr>
              <w:rPr>
                <w:rFonts w:eastAsia="黑体"/>
                <w:sz w:val="20"/>
                <w:szCs w:val="20"/>
              </w:rPr>
            </w:pPr>
            <w:r>
              <w:rPr>
                <w:rFonts w:hint="eastAsia" w:eastAsia="黑体"/>
                <w:sz w:val="20"/>
                <w:szCs w:val="20"/>
              </w:rPr>
              <w:t>无明显泡沫分解，泡沫外形（厚度）无变化，无内聚力失效，未与装饰层和骨架分离，手指按压后5秒内完全恢复原状。</w:t>
            </w:r>
          </w:p>
        </w:tc>
        <w:tc>
          <w:tcPr>
            <w:tcW w:w="854" w:type="pct"/>
            <w:vAlign w:val="center"/>
          </w:tcPr>
          <w:p w14:paraId="358B6C7A">
            <w:pPr>
              <w:rPr>
                <w:rFonts w:eastAsia="黑体"/>
                <w:sz w:val="20"/>
                <w:szCs w:val="20"/>
              </w:rPr>
            </w:pPr>
            <w:r>
              <w:rPr>
                <w:rFonts w:eastAsia="黑体"/>
                <w:sz w:val="20"/>
                <w:szCs w:val="20"/>
              </w:rPr>
              <w:t>采用</w:t>
            </w:r>
            <w:r>
              <w:rPr>
                <w:rFonts w:hint="eastAsia" w:eastAsia="黑体"/>
                <w:sz w:val="20"/>
                <w:szCs w:val="20"/>
              </w:rPr>
              <w:t>PV 3959检测并提供检测报告</w:t>
            </w:r>
          </w:p>
        </w:tc>
        <w:tc>
          <w:tcPr>
            <w:tcW w:w="949" w:type="pct"/>
            <w:vMerge w:val="continue"/>
            <w:vAlign w:val="center"/>
          </w:tcPr>
          <w:p w14:paraId="2862D17D">
            <w:pPr>
              <w:rPr>
                <w:rFonts w:eastAsia="黑体"/>
                <w:sz w:val="20"/>
                <w:szCs w:val="20"/>
              </w:rPr>
            </w:pPr>
          </w:p>
        </w:tc>
      </w:tr>
      <w:tr w14:paraId="5095A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276" w:type="pct"/>
            <w:vMerge w:val="continue"/>
            <w:vAlign w:val="center"/>
          </w:tcPr>
          <w:p w14:paraId="3F5B3E0F">
            <w:pPr>
              <w:jc w:val="center"/>
              <w:rPr>
                <w:rFonts w:eastAsia="黑体"/>
                <w:sz w:val="20"/>
                <w:szCs w:val="20"/>
              </w:rPr>
            </w:pPr>
          </w:p>
        </w:tc>
        <w:tc>
          <w:tcPr>
            <w:tcW w:w="424" w:type="pct"/>
            <w:vMerge w:val="continue"/>
            <w:vAlign w:val="center"/>
          </w:tcPr>
          <w:p w14:paraId="302000F8">
            <w:pPr>
              <w:rPr>
                <w:rFonts w:eastAsia="黑体"/>
                <w:sz w:val="20"/>
                <w:szCs w:val="20"/>
              </w:rPr>
            </w:pPr>
          </w:p>
        </w:tc>
        <w:tc>
          <w:tcPr>
            <w:tcW w:w="265" w:type="pct"/>
            <w:vMerge w:val="continue"/>
            <w:vAlign w:val="center"/>
          </w:tcPr>
          <w:p w14:paraId="2D11956A">
            <w:pPr>
              <w:jc w:val="center"/>
              <w:rPr>
                <w:rFonts w:eastAsia="黑体"/>
                <w:color w:val="FF0000"/>
                <w:sz w:val="20"/>
                <w:szCs w:val="20"/>
              </w:rPr>
            </w:pPr>
          </w:p>
        </w:tc>
        <w:tc>
          <w:tcPr>
            <w:tcW w:w="265" w:type="pct"/>
            <w:vMerge w:val="restart"/>
            <w:vAlign w:val="center"/>
          </w:tcPr>
          <w:p w14:paraId="3BD83E88">
            <w:pPr>
              <w:jc w:val="center"/>
              <w:rPr>
                <w:rFonts w:eastAsia="黑体"/>
                <w:color w:val="FF0000"/>
                <w:sz w:val="20"/>
                <w:szCs w:val="20"/>
              </w:rPr>
            </w:pPr>
            <w:r>
              <w:rPr>
                <w:rFonts w:hint="eastAsia" w:eastAsia="黑体"/>
                <w:color w:val="auto"/>
                <w:sz w:val="20"/>
                <w:szCs w:val="20"/>
              </w:rPr>
              <w:t>聚醚型聚氨酯软泡</w:t>
            </w:r>
          </w:p>
        </w:tc>
        <w:tc>
          <w:tcPr>
            <w:tcW w:w="351" w:type="pct"/>
            <w:vAlign w:val="center"/>
          </w:tcPr>
          <w:p w14:paraId="724EAAFB">
            <w:pPr>
              <w:jc w:val="center"/>
              <w:rPr>
                <w:rFonts w:eastAsia="黑体"/>
                <w:color w:val="auto"/>
                <w:sz w:val="20"/>
                <w:szCs w:val="20"/>
              </w:rPr>
            </w:pPr>
            <w:r>
              <w:rPr>
                <w:rFonts w:eastAsia="黑体"/>
                <w:color w:val="auto"/>
                <w:sz w:val="20"/>
                <w:szCs w:val="20"/>
              </w:rPr>
              <w:t>k</w:t>
            </w:r>
            <w:r>
              <w:rPr>
                <w:rFonts w:hint="eastAsia" w:eastAsia="黑体"/>
                <w:color w:val="auto"/>
                <w:sz w:val="20"/>
                <w:szCs w:val="20"/>
              </w:rPr>
              <w:t>Pa</w:t>
            </w:r>
          </w:p>
        </w:tc>
        <w:tc>
          <w:tcPr>
            <w:tcW w:w="770" w:type="pct"/>
            <w:vAlign w:val="center"/>
          </w:tcPr>
          <w:p w14:paraId="0A6333B4">
            <w:pPr>
              <w:jc w:val="center"/>
              <w:rPr>
                <w:rFonts w:eastAsia="黑体"/>
                <w:color w:val="auto"/>
                <w:sz w:val="20"/>
                <w:szCs w:val="20"/>
              </w:rPr>
            </w:pPr>
            <w:r>
              <w:rPr>
                <w:rFonts w:hint="eastAsia" w:eastAsia="黑体"/>
                <w:color w:val="auto"/>
                <w:sz w:val="20"/>
                <w:szCs w:val="20"/>
              </w:rPr>
              <w:t>拉伸强度</w:t>
            </w:r>
          </w:p>
        </w:tc>
        <w:tc>
          <w:tcPr>
            <w:tcW w:w="844" w:type="pct"/>
            <w:gridSpan w:val="2"/>
            <w:vAlign w:val="center"/>
          </w:tcPr>
          <w:p w14:paraId="1D8F2C5B">
            <w:pPr>
              <w:jc w:val="center"/>
              <w:rPr>
                <w:rFonts w:eastAsia="黑体"/>
                <w:color w:val="auto"/>
                <w:sz w:val="20"/>
                <w:szCs w:val="20"/>
                <w:highlight w:val="none"/>
              </w:rPr>
            </w:pPr>
            <w:r>
              <w:rPr>
                <w:rFonts w:hint="eastAsia" w:eastAsia="黑体"/>
                <w:color w:val="auto"/>
                <w:sz w:val="20"/>
                <w:szCs w:val="20"/>
                <w:highlight w:val="none"/>
              </w:rPr>
              <w:t>≥1</w:t>
            </w:r>
            <w:r>
              <w:rPr>
                <w:rFonts w:eastAsia="黑体"/>
                <w:color w:val="auto"/>
                <w:sz w:val="20"/>
                <w:szCs w:val="20"/>
                <w:highlight w:val="none"/>
              </w:rPr>
              <w:t>00</w:t>
            </w:r>
          </w:p>
        </w:tc>
        <w:tc>
          <w:tcPr>
            <w:tcW w:w="854" w:type="pct"/>
            <w:vAlign w:val="center"/>
          </w:tcPr>
          <w:p w14:paraId="2861CD6C">
            <w:pPr>
              <w:jc w:val="center"/>
              <w:rPr>
                <w:rFonts w:eastAsia="黑体"/>
                <w:color w:val="auto"/>
                <w:sz w:val="20"/>
                <w:szCs w:val="20"/>
              </w:rPr>
            </w:pPr>
            <w:r>
              <w:rPr>
                <w:rFonts w:hint="eastAsia" w:eastAsia="黑体"/>
                <w:color w:val="auto"/>
                <w:sz w:val="20"/>
                <w:szCs w:val="20"/>
              </w:rPr>
              <w:t>采用</w:t>
            </w:r>
            <w:r>
              <w:rPr>
                <w:rFonts w:hint="eastAsia" w:eastAsia="黑体"/>
                <w:color w:val="auto"/>
                <w:sz w:val="20"/>
                <w:szCs w:val="20"/>
                <w:lang w:val="en-US" w:eastAsia="zh-CN"/>
              </w:rPr>
              <w:t>GB/T6344</w:t>
            </w:r>
            <w:r>
              <w:rPr>
                <w:rFonts w:hint="eastAsia" w:eastAsia="黑体"/>
                <w:color w:val="auto"/>
                <w:sz w:val="20"/>
                <w:szCs w:val="20"/>
              </w:rPr>
              <w:t>检测并提供检测报告</w:t>
            </w:r>
          </w:p>
        </w:tc>
        <w:tc>
          <w:tcPr>
            <w:tcW w:w="949" w:type="pct"/>
            <w:vMerge w:val="continue"/>
            <w:vAlign w:val="center"/>
          </w:tcPr>
          <w:p w14:paraId="1262426A">
            <w:pPr>
              <w:rPr>
                <w:rFonts w:eastAsia="黑体"/>
                <w:sz w:val="20"/>
                <w:szCs w:val="20"/>
              </w:rPr>
            </w:pPr>
          </w:p>
        </w:tc>
      </w:tr>
      <w:tr w14:paraId="2EEE7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276" w:type="pct"/>
            <w:vMerge w:val="continue"/>
            <w:vAlign w:val="center"/>
          </w:tcPr>
          <w:p w14:paraId="6B4F53EB">
            <w:pPr>
              <w:jc w:val="center"/>
              <w:rPr>
                <w:rFonts w:eastAsia="黑体"/>
                <w:sz w:val="20"/>
                <w:szCs w:val="20"/>
              </w:rPr>
            </w:pPr>
          </w:p>
        </w:tc>
        <w:tc>
          <w:tcPr>
            <w:tcW w:w="424" w:type="pct"/>
            <w:vMerge w:val="continue"/>
            <w:vAlign w:val="center"/>
          </w:tcPr>
          <w:p w14:paraId="4D6B251B">
            <w:pPr>
              <w:rPr>
                <w:rFonts w:eastAsia="黑体"/>
                <w:sz w:val="20"/>
                <w:szCs w:val="20"/>
              </w:rPr>
            </w:pPr>
          </w:p>
        </w:tc>
        <w:tc>
          <w:tcPr>
            <w:tcW w:w="265" w:type="pct"/>
            <w:vMerge w:val="continue"/>
            <w:vAlign w:val="center"/>
          </w:tcPr>
          <w:p w14:paraId="24F427DD">
            <w:pPr>
              <w:rPr>
                <w:rFonts w:eastAsia="黑体"/>
                <w:sz w:val="20"/>
                <w:szCs w:val="20"/>
              </w:rPr>
            </w:pPr>
          </w:p>
        </w:tc>
        <w:tc>
          <w:tcPr>
            <w:tcW w:w="265" w:type="pct"/>
            <w:vMerge w:val="continue"/>
            <w:vAlign w:val="center"/>
          </w:tcPr>
          <w:p w14:paraId="33ACA8F7">
            <w:pPr>
              <w:rPr>
                <w:rFonts w:eastAsia="黑体"/>
                <w:sz w:val="20"/>
                <w:szCs w:val="20"/>
              </w:rPr>
            </w:pPr>
          </w:p>
        </w:tc>
        <w:tc>
          <w:tcPr>
            <w:tcW w:w="351" w:type="pct"/>
            <w:vAlign w:val="center"/>
          </w:tcPr>
          <w:p w14:paraId="0FC75CD2">
            <w:pPr>
              <w:jc w:val="center"/>
              <w:rPr>
                <w:rFonts w:eastAsia="黑体"/>
                <w:color w:val="auto"/>
                <w:sz w:val="20"/>
                <w:szCs w:val="20"/>
              </w:rPr>
            </w:pPr>
            <w:r>
              <w:rPr>
                <w:rFonts w:hint="eastAsia" w:eastAsia="黑体"/>
                <w:color w:val="auto"/>
                <w:sz w:val="20"/>
                <w:szCs w:val="20"/>
              </w:rPr>
              <w:t>%</w:t>
            </w:r>
          </w:p>
        </w:tc>
        <w:tc>
          <w:tcPr>
            <w:tcW w:w="770" w:type="pct"/>
            <w:vAlign w:val="center"/>
          </w:tcPr>
          <w:p w14:paraId="522BE6AD">
            <w:pPr>
              <w:jc w:val="center"/>
              <w:rPr>
                <w:rFonts w:eastAsia="黑体"/>
                <w:color w:val="auto"/>
                <w:sz w:val="20"/>
                <w:szCs w:val="20"/>
              </w:rPr>
            </w:pPr>
            <w:r>
              <w:rPr>
                <w:rFonts w:hint="eastAsia" w:eastAsia="黑体"/>
                <w:color w:val="auto"/>
                <w:sz w:val="20"/>
                <w:szCs w:val="20"/>
              </w:rPr>
              <w:t>断裂伸长率</w:t>
            </w:r>
          </w:p>
        </w:tc>
        <w:tc>
          <w:tcPr>
            <w:tcW w:w="844" w:type="pct"/>
            <w:gridSpan w:val="2"/>
            <w:vAlign w:val="center"/>
          </w:tcPr>
          <w:p w14:paraId="57458E7A">
            <w:pPr>
              <w:jc w:val="center"/>
              <w:rPr>
                <w:rFonts w:eastAsia="黑体"/>
                <w:color w:val="auto"/>
                <w:sz w:val="20"/>
                <w:szCs w:val="20"/>
                <w:highlight w:val="none"/>
              </w:rPr>
            </w:pPr>
            <w:r>
              <w:rPr>
                <w:rFonts w:hint="eastAsia" w:eastAsia="黑体"/>
                <w:color w:val="auto"/>
                <w:sz w:val="20"/>
                <w:szCs w:val="20"/>
                <w:highlight w:val="none"/>
              </w:rPr>
              <w:t>≥1</w:t>
            </w:r>
            <w:r>
              <w:rPr>
                <w:rFonts w:hint="eastAsia" w:eastAsia="黑体"/>
                <w:color w:val="auto"/>
                <w:sz w:val="20"/>
                <w:szCs w:val="20"/>
                <w:highlight w:val="none"/>
                <w:lang w:val="en-US" w:eastAsia="zh-CN"/>
              </w:rPr>
              <w:t>6</w:t>
            </w:r>
            <w:r>
              <w:rPr>
                <w:rFonts w:eastAsia="黑体"/>
                <w:color w:val="auto"/>
                <w:sz w:val="20"/>
                <w:szCs w:val="20"/>
                <w:highlight w:val="none"/>
              </w:rPr>
              <w:t>0</w:t>
            </w:r>
          </w:p>
        </w:tc>
        <w:tc>
          <w:tcPr>
            <w:tcW w:w="854" w:type="pct"/>
            <w:vAlign w:val="center"/>
          </w:tcPr>
          <w:p w14:paraId="17EC2061">
            <w:pPr>
              <w:rPr>
                <w:rFonts w:eastAsia="黑体"/>
                <w:color w:val="auto"/>
                <w:sz w:val="20"/>
                <w:szCs w:val="20"/>
              </w:rPr>
            </w:pPr>
            <w:r>
              <w:rPr>
                <w:rFonts w:hint="eastAsia" w:eastAsia="黑体"/>
                <w:color w:val="auto"/>
                <w:sz w:val="20"/>
                <w:szCs w:val="20"/>
              </w:rPr>
              <w:t>采用</w:t>
            </w:r>
            <w:r>
              <w:rPr>
                <w:rFonts w:hint="eastAsia" w:eastAsia="黑体"/>
                <w:color w:val="auto"/>
                <w:sz w:val="20"/>
                <w:szCs w:val="20"/>
                <w:lang w:val="en-US" w:eastAsia="zh-CN"/>
              </w:rPr>
              <w:t>GB/T6344</w:t>
            </w:r>
            <w:r>
              <w:rPr>
                <w:rFonts w:hint="eastAsia" w:eastAsia="黑体"/>
                <w:color w:val="auto"/>
                <w:sz w:val="20"/>
                <w:szCs w:val="20"/>
              </w:rPr>
              <w:t>检测并提供检测报告</w:t>
            </w:r>
          </w:p>
        </w:tc>
        <w:tc>
          <w:tcPr>
            <w:tcW w:w="949" w:type="pct"/>
            <w:vMerge w:val="continue"/>
            <w:vAlign w:val="center"/>
          </w:tcPr>
          <w:p w14:paraId="3C64A3F7">
            <w:pPr>
              <w:rPr>
                <w:rFonts w:eastAsia="黑体"/>
                <w:sz w:val="20"/>
                <w:szCs w:val="20"/>
              </w:rPr>
            </w:pPr>
          </w:p>
        </w:tc>
      </w:tr>
      <w:tr w14:paraId="2A8B0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276" w:type="pct"/>
            <w:vMerge w:val="continue"/>
            <w:vAlign w:val="center"/>
          </w:tcPr>
          <w:p w14:paraId="1F0EF23F">
            <w:pPr>
              <w:jc w:val="center"/>
              <w:rPr>
                <w:rFonts w:eastAsia="黑体"/>
                <w:sz w:val="20"/>
                <w:szCs w:val="20"/>
              </w:rPr>
            </w:pPr>
          </w:p>
        </w:tc>
        <w:tc>
          <w:tcPr>
            <w:tcW w:w="424" w:type="pct"/>
            <w:vMerge w:val="continue"/>
            <w:vAlign w:val="center"/>
          </w:tcPr>
          <w:p w14:paraId="36F8D2FE">
            <w:pPr>
              <w:rPr>
                <w:rFonts w:eastAsia="黑体"/>
                <w:sz w:val="20"/>
                <w:szCs w:val="20"/>
              </w:rPr>
            </w:pPr>
          </w:p>
        </w:tc>
        <w:tc>
          <w:tcPr>
            <w:tcW w:w="265" w:type="pct"/>
            <w:vMerge w:val="continue"/>
            <w:vAlign w:val="center"/>
          </w:tcPr>
          <w:p w14:paraId="7CEBB6BA">
            <w:pPr>
              <w:rPr>
                <w:rFonts w:eastAsia="黑体"/>
                <w:sz w:val="20"/>
                <w:szCs w:val="20"/>
              </w:rPr>
            </w:pPr>
          </w:p>
        </w:tc>
        <w:tc>
          <w:tcPr>
            <w:tcW w:w="265" w:type="pct"/>
            <w:vMerge w:val="continue"/>
            <w:vAlign w:val="center"/>
          </w:tcPr>
          <w:p w14:paraId="5BB753B6">
            <w:pPr>
              <w:rPr>
                <w:rFonts w:eastAsia="黑体"/>
                <w:sz w:val="20"/>
                <w:szCs w:val="20"/>
              </w:rPr>
            </w:pPr>
          </w:p>
        </w:tc>
        <w:tc>
          <w:tcPr>
            <w:tcW w:w="351" w:type="pct"/>
            <w:vAlign w:val="center"/>
          </w:tcPr>
          <w:p w14:paraId="45CF1B5E">
            <w:pPr>
              <w:jc w:val="center"/>
              <w:rPr>
                <w:rFonts w:eastAsia="黑体"/>
                <w:color w:val="auto"/>
                <w:sz w:val="20"/>
                <w:szCs w:val="20"/>
              </w:rPr>
            </w:pPr>
            <w:r>
              <w:rPr>
                <w:rFonts w:eastAsia="黑体"/>
                <w:color w:val="auto"/>
                <w:sz w:val="20"/>
                <w:szCs w:val="20"/>
              </w:rPr>
              <w:t>k</w:t>
            </w:r>
            <w:r>
              <w:rPr>
                <w:rFonts w:hint="eastAsia" w:eastAsia="黑体"/>
                <w:color w:val="auto"/>
                <w:sz w:val="20"/>
                <w:szCs w:val="20"/>
              </w:rPr>
              <w:t>Pa</w:t>
            </w:r>
          </w:p>
        </w:tc>
        <w:tc>
          <w:tcPr>
            <w:tcW w:w="770" w:type="pct"/>
            <w:vAlign w:val="center"/>
          </w:tcPr>
          <w:p w14:paraId="622F2E5A">
            <w:pPr>
              <w:jc w:val="center"/>
              <w:rPr>
                <w:rFonts w:eastAsia="黑体"/>
                <w:color w:val="auto"/>
                <w:sz w:val="20"/>
                <w:szCs w:val="20"/>
              </w:rPr>
            </w:pPr>
            <w:r>
              <w:rPr>
                <w:rFonts w:hint="eastAsia" w:eastAsia="黑体"/>
                <w:color w:val="auto"/>
                <w:sz w:val="20"/>
                <w:szCs w:val="20"/>
              </w:rPr>
              <w:t>压缩变形力（40%时）</w:t>
            </w:r>
          </w:p>
        </w:tc>
        <w:tc>
          <w:tcPr>
            <w:tcW w:w="844" w:type="pct"/>
            <w:gridSpan w:val="2"/>
            <w:vAlign w:val="center"/>
          </w:tcPr>
          <w:p w14:paraId="38EA9429">
            <w:pPr>
              <w:jc w:val="center"/>
              <w:rPr>
                <w:rFonts w:eastAsia="黑体"/>
                <w:color w:val="auto"/>
                <w:sz w:val="20"/>
                <w:szCs w:val="20"/>
              </w:rPr>
            </w:pPr>
            <w:r>
              <w:rPr>
                <w:rFonts w:hint="eastAsia" w:eastAsia="黑体"/>
                <w:color w:val="auto"/>
                <w:sz w:val="20"/>
                <w:szCs w:val="20"/>
              </w:rPr>
              <w:t>3-6</w:t>
            </w:r>
          </w:p>
        </w:tc>
        <w:tc>
          <w:tcPr>
            <w:tcW w:w="854" w:type="pct"/>
            <w:vAlign w:val="center"/>
          </w:tcPr>
          <w:p w14:paraId="5F475B2E">
            <w:pPr>
              <w:rPr>
                <w:rFonts w:eastAsia="黑体"/>
                <w:color w:val="auto"/>
                <w:sz w:val="20"/>
                <w:szCs w:val="20"/>
              </w:rPr>
            </w:pPr>
            <w:r>
              <w:rPr>
                <w:rFonts w:hint="eastAsia" w:eastAsia="黑体"/>
                <w:color w:val="auto"/>
                <w:sz w:val="20"/>
                <w:szCs w:val="20"/>
              </w:rPr>
              <w:t>采用</w:t>
            </w:r>
            <w:r>
              <w:rPr>
                <w:rFonts w:hint="eastAsia" w:eastAsia="黑体"/>
                <w:color w:val="auto"/>
                <w:sz w:val="20"/>
                <w:szCs w:val="20"/>
                <w:lang w:val="en-US" w:eastAsia="zh-CN"/>
              </w:rPr>
              <w:t>GB/T18942.1</w:t>
            </w:r>
            <w:r>
              <w:rPr>
                <w:rFonts w:hint="eastAsia" w:eastAsia="黑体"/>
                <w:color w:val="auto"/>
                <w:sz w:val="20"/>
                <w:szCs w:val="20"/>
              </w:rPr>
              <w:t>检测并提供检测报告</w:t>
            </w:r>
          </w:p>
        </w:tc>
        <w:tc>
          <w:tcPr>
            <w:tcW w:w="949" w:type="pct"/>
            <w:vMerge w:val="continue"/>
            <w:vAlign w:val="center"/>
          </w:tcPr>
          <w:p w14:paraId="240AD1B1">
            <w:pPr>
              <w:rPr>
                <w:rFonts w:eastAsia="黑体"/>
                <w:sz w:val="20"/>
                <w:szCs w:val="20"/>
              </w:rPr>
            </w:pPr>
          </w:p>
        </w:tc>
      </w:tr>
      <w:tr w14:paraId="63ED2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276" w:type="pct"/>
            <w:vMerge w:val="continue"/>
            <w:vAlign w:val="center"/>
          </w:tcPr>
          <w:p w14:paraId="2C01EAF2">
            <w:pPr>
              <w:jc w:val="center"/>
              <w:rPr>
                <w:rFonts w:eastAsia="黑体"/>
                <w:sz w:val="20"/>
                <w:szCs w:val="20"/>
              </w:rPr>
            </w:pPr>
          </w:p>
        </w:tc>
        <w:tc>
          <w:tcPr>
            <w:tcW w:w="424" w:type="pct"/>
            <w:vMerge w:val="continue"/>
            <w:vAlign w:val="center"/>
          </w:tcPr>
          <w:p w14:paraId="5885C90E">
            <w:pPr>
              <w:rPr>
                <w:rFonts w:eastAsia="黑体"/>
                <w:sz w:val="20"/>
                <w:szCs w:val="20"/>
              </w:rPr>
            </w:pPr>
          </w:p>
        </w:tc>
        <w:tc>
          <w:tcPr>
            <w:tcW w:w="265" w:type="pct"/>
            <w:vMerge w:val="continue"/>
            <w:vAlign w:val="center"/>
          </w:tcPr>
          <w:p w14:paraId="3A08BC04">
            <w:pPr>
              <w:rPr>
                <w:rFonts w:eastAsia="黑体"/>
                <w:sz w:val="20"/>
                <w:szCs w:val="20"/>
              </w:rPr>
            </w:pPr>
          </w:p>
        </w:tc>
        <w:tc>
          <w:tcPr>
            <w:tcW w:w="265" w:type="pct"/>
            <w:vMerge w:val="continue"/>
            <w:vAlign w:val="center"/>
          </w:tcPr>
          <w:p w14:paraId="0B331E2E">
            <w:pPr>
              <w:rPr>
                <w:rFonts w:eastAsia="黑体"/>
                <w:sz w:val="20"/>
                <w:szCs w:val="20"/>
              </w:rPr>
            </w:pPr>
          </w:p>
        </w:tc>
        <w:tc>
          <w:tcPr>
            <w:tcW w:w="351" w:type="pct"/>
            <w:vAlign w:val="center"/>
          </w:tcPr>
          <w:p w14:paraId="68D57AF2">
            <w:pPr>
              <w:jc w:val="center"/>
              <w:rPr>
                <w:rFonts w:eastAsia="黑体"/>
                <w:color w:val="auto"/>
                <w:sz w:val="20"/>
                <w:szCs w:val="20"/>
              </w:rPr>
            </w:pPr>
            <w:r>
              <w:rPr>
                <w:rFonts w:hint="eastAsia" w:eastAsia="黑体"/>
                <w:color w:val="auto"/>
                <w:sz w:val="20"/>
                <w:szCs w:val="20"/>
              </w:rPr>
              <w:t>%</w:t>
            </w:r>
          </w:p>
        </w:tc>
        <w:tc>
          <w:tcPr>
            <w:tcW w:w="770" w:type="pct"/>
            <w:vAlign w:val="center"/>
          </w:tcPr>
          <w:p w14:paraId="2813AF50">
            <w:pPr>
              <w:jc w:val="center"/>
              <w:rPr>
                <w:rFonts w:eastAsia="黑体"/>
                <w:color w:val="auto"/>
                <w:sz w:val="20"/>
                <w:szCs w:val="20"/>
              </w:rPr>
            </w:pPr>
            <w:r>
              <w:rPr>
                <w:rFonts w:hint="eastAsia" w:eastAsia="黑体"/>
                <w:color w:val="auto"/>
                <w:sz w:val="20"/>
                <w:szCs w:val="20"/>
              </w:rPr>
              <w:t>压缩变形率（22</w:t>
            </w:r>
            <w:r>
              <w:rPr>
                <w:rFonts w:eastAsia="黑体"/>
                <w:color w:val="auto"/>
                <w:sz w:val="20"/>
                <w:szCs w:val="20"/>
              </w:rPr>
              <w:t>h</w:t>
            </w:r>
            <w:r>
              <w:rPr>
                <w:rFonts w:hint="eastAsia" w:eastAsia="黑体"/>
                <w:color w:val="auto"/>
                <w:sz w:val="20"/>
                <w:szCs w:val="20"/>
              </w:rPr>
              <w:t>，70℃）</w:t>
            </w:r>
          </w:p>
        </w:tc>
        <w:tc>
          <w:tcPr>
            <w:tcW w:w="844" w:type="pct"/>
            <w:gridSpan w:val="2"/>
            <w:vAlign w:val="center"/>
          </w:tcPr>
          <w:p w14:paraId="565D04CE">
            <w:pPr>
              <w:jc w:val="center"/>
              <w:rPr>
                <w:rFonts w:eastAsia="黑体"/>
                <w:color w:val="auto"/>
                <w:sz w:val="20"/>
                <w:szCs w:val="20"/>
              </w:rPr>
            </w:pPr>
            <w:r>
              <w:rPr>
                <w:rFonts w:hint="eastAsia" w:eastAsia="黑体"/>
                <w:color w:val="auto"/>
                <w:sz w:val="20"/>
                <w:szCs w:val="20"/>
              </w:rPr>
              <w:t>≤15</w:t>
            </w:r>
          </w:p>
        </w:tc>
        <w:tc>
          <w:tcPr>
            <w:tcW w:w="854" w:type="pct"/>
            <w:vAlign w:val="center"/>
          </w:tcPr>
          <w:p w14:paraId="5C1E47CF">
            <w:pPr>
              <w:jc w:val="center"/>
              <w:rPr>
                <w:rFonts w:eastAsia="黑体"/>
                <w:color w:val="auto"/>
                <w:sz w:val="20"/>
                <w:szCs w:val="20"/>
              </w:rPr>
            </w:pPr>
            <w:r>
              <w:rPr>
                <w:rFonts w:hint="eastAsia" w:eastAsia="黑体"/>
                <w:color w:val="auto"/>
                <w:sz w:val="20"/>
                <w:szCs w:val="20"/>
              </w:rPr>
              <w:t>采用</w:t>
            </w:r>
            <w:r>
              <w:rPr>
                <w:rFonts w:hint="eastAsia" w:eastAsia="黑体"/>
                <w:color w:val="auto"/>
                <w:sz w:val="20"/>
                <w:szCs w:val="20"/>
                <w:lang w:val="en-US" w:eastAsia="zh-CN"/>
              </w:rPr>
              <w:t>GB/T6669</w:t>
            </w:r>
            <w:r>
              <w:rPr>
                <w:rFonts w:hint="eastAsia" w:eastAsia="黑体"/>
                <w:color w:val="auto"/>
                <w:sz w:val="20"/>
                <w:szCs w:val="20"/>
              </w:rPr>
              <w:t>检测并提供检测报告</w:t>
            </w:r>
          </w:p>
        </w:tc>
        <w:tc>
          <w:tcPr>
            <w:tcW w:w="949" w:type="pct"/>
            <w:vMerge w:val="continue"/>
            <w:vAlign w:val="center"/>
          </w:tcPr>
          <w:p w14:paraId="49F7107A">
            <w:pPr>
              <w:rPr>
                <w:rFonts w:eastAsia="黑体"/>
                <w:sz w:val="20"/>
                <w:szCs w:val="20"/>
              </w:rPr>
            </w:pPr>
          </w:p>
        </w:tc>
      </w:tr>
      <w:tr w14:paraId="06E50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276" w:type="pct"/>
            <w:vMerge w:val="continue"/>
            <w:vAlign w:val="center"/>
          </w:tcPr>
          <w:p w14:paraId="19EE4FAF">
            <w:pPr>
              <w:jc w:val="center"/>
              <w:rPr>
                <w:rFonts w:eastAsia="黑体"/>
                <w:sz w:val="20"/>
                <w:szCs w:val="20"/>
              </w:rPr>
            </w:pPr>
          </w:p>
        </w:tc>
        <w:tc>
          <w:tcPr>
            <w:tcW w:w="424" w:type="pct"/>
            <w:vMerge w:val="continue"/>
            <w:vAlign w:val="center"/>
          </w:tcPr>
          <w:p w14:paraId="23D44B0C">
            <w:pPr>
              <w:rPr>
                <w:rFonts w:eastAsia="黑体"/>
                <w:sz w:val="20"/>
                <w:szCs w:val="20"/>
              </w:rPr>
            </w:pPr>
          </w:p>
        </w:tc>
        <w:tc>
          <w:tcPr>
            <w:tcW w:w="265" w:type="pct"/>
            <w:vMerge w:val="continue"/>
            <w:vAlign w:val="center"/>
          </w:tcPr>
          <w:p w14:paraId="42A5D278">
            <w:pPr>
              <w:rPr>
                <w:rFonts w:eastAsia="黑体"/>
                <w:sz w:val="20"/>
                <w:szCs w:val="20"/>
              </w:rPr>
            </w:pPr>
          </w:p>
        </w:tc>
        <w:tc>
          <w:tcPr>
            <w:tcW w:w="265" w:type="pct"/>
            <w:vMerge w:val="continue"/>
            <w:vAlign w:val="center"/>
          </w:tcPr>
          <w:p w14:paraId="11E77D09">
            <w:pPr>
              <w:rPr>
                <w:rFonts w:eastAsia="黑体"/>
                <w:sz w:val="20"/>
                <w:szCs w:val="20"/>
              </w:rPr>
            </w:pPr>
          </w:p>
        </w:tc>
        <w:tc>
          <w:tcPr>
            <w:tcW w:w="351" w:type="pct"/>
            <w:vAlign w:val="center"/>
          </w:tcPr>
          <w:p w14:paraId="759EC247">
            <w:pPr>
              <w:jc w:val="center"/>
              <w:rPr>
                <w:rFonts w:eastAsia="黑体"/>
                <w:color w:val="auto"/>
                <w:sz w:val="20"/>
                <w:szCs w:val="20"/>
              </w:rPr>
            </w:pPr>
            <w:r>
              <w:rPr>
                <w:rFonts w:hint="eastAsia" w:eastAsia="黑体"/>
                <w:color w:val="auto"/>
                <w:sz w:val="20"/>
                <w:szCs w:val="20"/>
              </w:rPr>
              <w:t>%</w:t>
            </w:r>
          </w:p>
        </w:tc>
        <w:tc>
          <w:tcPr>
            <w:tcW w:w="770" w:type="pct"/>
            <w:vAlign w:val="center"/>
          </w:tcPr>
          <w:p w14:paraId="40C128F8">
            <w:pPr>
              <w:jc w:val="center"/>
              <w:rPr>
                <w:rFonts w:eastAsia="黑体"/>
                <w:color w:val="auto"/>
                <w:sz w:val="20"/>
                <w:szCs w:val="20"/>
              </w:rPr>
            </w:pPr>
            <w:r>
              <w:rPr>
                <w:rFonts w:hint="eastAsia" w:eastAsia="黑体"/>
                <w:color w:val="auto"/>
                <w:sz w:val="20"/>
                <w:szCs w:val="20"/>
              </w:rPr>
              <w:t>密度公差</w:t>
            </w:r>
            <w:r>
              <w:rPr>
                <w:rFonts w:hint="eastAsia" w:eastAsia="黑体"/>
                <w:color w:val="auto"/>
                <w:sz w:val="20"/>
                <w:szCs w:val="20"/>
              </w:rPr>
              <w:tab/>
            </w:r>
          </w:p>
        </w:tc>
        <w:tc>
          <w:tcPr>
            <w:tcW w:w="844" w:type="pct"/>
            <w:gridSpan w:val="2"/>
            <w:vAlign w:val="center"/>
          </w:tcPr>
          <w:p w14:paraId="3EF074BC">
            <w:pPr>
              <w:jc w:val="center"/>
              <w:rPr>
                <w:rFonts w:hint="eastAsia" w:eastAsia="黑体"/>
                <w:color w:val="auto"/>
                <w:sz w:val="20"/>
                <w:szCs w:val="20"/>
                <w:lang w:val="en-US" w:eastAsia="zh-CN"/>
              </w:rPr>
            </w:pPr>
            <w:r>
              <w:rPr>
                <w:rFonts w:hint="eastAsia" w:eastAsia="黑体"/>
                <w:color w:val="auto"/>
                <w:sz w:val="20"/>
                <w:szCs w:val="20"/>
              </w:rPr>
              <w:t>±</w:t>
            </w:r>
            <w:r>
              <w:rPr>
                <w:rFonts w:hint="eastAsia" w:eastAsia="黑体"/>
                <w:color w:val="auto"/>
                <w:sz w:val="20"/>
                <w:szCs w:val="20"/>
                <w:lang w:val="en-US" w:eastAsia="zh-CN"/>
              </w:rPr>
              <w:t>5</w:t>
            </w:r>
          </w:p>
        </w:tc>
        <w:tc>
          <w:tcPr>
            <w:tcW w:w="854" w:type="pct"/>
            <w:vAlign w:val="center"/>
          </w:tcPr>
          <w:p w14:paraId="32A630D0">
            <w:pPr>
              <w:jc w:val="center"/>
              <w:rPr>
                <w:rFonts w:eastAsia="黑体"/>
                <w:color w:val="auto"/>
                <w:sz w:val="20"/>
                <w:szCs w:val="20"/>
              </w:rPr>
            </w:pPr>
            <w:r>
              <w:rPr>
                <w:rFonts w:hint="eastAsia" w:eastAsia="黑体"/>
                <w:sz w:val="20"/>
                <w:szCs w:val="20"/>
              </w:rPr>
              <w:t>采用</w:t>
            </w:r>
            <w:r>
              <w:rPr>
                <w:rFonts w:hint="eastAsia" w:eastAsia="黑体"/>
                <w:sz w:val="20"/>
                <w:szCs w:val="20"/>
                <w:lang w:val="en-US" w:eastAsia="zh-CN"/>
              </w:rPr>
              <w:t>GB/T6343</w:t>
            </w:r>
            <w:r>
              <w:rPr>
                <w:rFonts w:hint="eastAsia" w:eastAsia="黑体"/>
                <w:sz w:val="20"/>
                <w:szCs w:val="20"/>
              </w:rPr>
              <w:t>检测并提供检测报告</w:t>
            </w:r>
          </w:p>
        </w:tc>
        <w:tc>
          <w:tcPr>
            <w:tcW w:w="949" w:type="pct"/>
            <w:vMerge w:val="continue"/>
            <w:vAlign w:val="center"/>
          </w:tcPr>
          <w:p w14:paraId="37C7E80E">
            <w:pPr>
              <w:rPr>
                <w:rFonts w:eastAsia="黑体"/>
                <w:sz w:val="20"/>
                <w:szCs w:val="20"/>
              </w:rPr>
            </w:pPr>
          </w:p>
        </w:tc>
      </w:tr>
      <w:tr w14:paraId="4B5E9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276" w:type="pct"/>
            <w:vMerge w:val="continue"/>
            <w:vAlign w:val="center"/>
          </w:tcPr>
          <w:p w14:paraId="5E0F1F64">
            <w:pPr>
              <w:jc w:val="center"/>
              <w:rPr>
                <w:rFonts w:eastAsia="黑体"/>
                <w:sz w:val="20"/>
                <w:szCs w:val="20"/>
              </w:rPr>
            </w:pPr>
          </w:p>
        </w:tc>
        <w:tc>
          <w:tcPr>
            <w:tcW w:w="424" w:type="pct"/>
            <w:vMerge w:val="continue"/>
            <w:vAlign w:val="center"/>
          </w:tcPr>
          <w:p w14:paraId="44E39D2B">
            <w:pPr>
              <w:rPr>
                <w:rFonts w:eastAsia="黑体"/>
                <w:sz w:val="20"/>
                <w:szCs w:val="20"/>
              </w:rPr>
            </w:pPr>
          </w:p>
        </w:tc>
        <w:tc>
          <w:tcPr>
            <w:tcW w:w="265" w:type="pct"/>
            <w:vMerge w:val="continue"/>
            <w:vAlign w:val="center"/>
          </w:tcPr>
          <w:p w14:paraId="2F657786">
            <w:pPr>
              <w:rPr>
                <w:rFonts w:eastAsia="黑体"/>
                <w:sz w:val="20"/>
                <w:szCs w:val="20"/>
              </w:rPr>
            </w:pPr>
          </w:p>
        </w:tc>
        <w:tc>
          <w:tcPr>
            <w:tcW w:w="265" w:type="pct"/>
            <w:vMerge w:val="continue"/>
            <w:vAlign w:val="center"/>
          </w:tcPr>
          <w:p w14:paraId="60DB3464">
            <w:pPr>
              <w:rPr>
                <w:rFonts w:eastAsia="黑体"/>
                <w:sz w:val="20"/>
                <w:szCs w:val="20"/>
              </w:rPr>
            </w:pPr>
          </w:p>
        </w:tc>
        <w:tc>
          <w:tcPr>
            <w:tcW w:w="351" w:type="pct"/>
            <w:vAlign w:val="center"/>
          </w:tcPr>
          <w:p w14:paraId="01BFCCCE">
            <w:pPr>
              <w:jc w:val="center"/>
              <w:rPr>
                <w:rFonts w:eastAsia="黑体"/>
                <w:color w:val="auto"/>
                <w:sz w:val="20"/>
                <w:szCs w:val="20"/>
              </w:rPr>
            </w:pPr>
            <w:r>
              <w:rPr>
                <w:rFonts w:hint="eastAsia" w:eastAsia="黑体"/>
                <w:color w:val="auto"/>
                <w:sz w:val="20"/>
                <w:szCs w:val="20"/>
              </w:rPr>
              <w:t>mm</w:t>
            </w:r>
          </w:p>
        </w:tc>
        <w:tc>
          <w:tcPr>
            <w:tcW w:w="770" w:type="pct"/>
            <w:vAlign w:val="center"/>
          </w:tcPr>
          <w:p w14:paraId="02BD6BA4">
            <w:pPr>
              <w:jc w:val="center"/>
              <w:rPr>
                <w:rFonts w:eastAsia="黑体"/>
                <w:color w:val="auto"/>
                <w:sz w:val="20"/>
                <w:szCs w:val="20"/>
              </w:rPr>
            </w:pPr>
            <w:r>
              <w:rPr>
                <w:rFonts w:hint="eastAsia" w:eastAsia="黑体"/>
                <w:color w:val="auto"/>
                <w:sz w:val="20"/>
                <w:szCs w:val="20"/>
              </w:rPr>
              <w:t>厚度公差</w:t>
            </w:r>
          </w:p>
        </w:tc>
        <w:tc>
          <w:tcPr>
            <w:tcW w:w="844" w:type="pct"/>
            <w:gridSpan w:val="2"/>
            <w:vAlign w:val="center"/>
          </w:tcPr>
          <w:p w14:paraId="744D6781">
            <w:pPr>
              <w:jc w:val="center"/>
              <w:rPr>
                <w:rFonts w:eastAsia="黑体"/>
                <w:color w:val="auto"/>
                <w:sz w:val="20"/>
                <w:szCs w:val="20"/>
              </w:rPr>
            </w:pPr>
            <w:r>
              <w:rPr>
                <w:rFonts w:hint="eastAsia" w:eastAsia="黑体"/>
                <w:color w:val="auto"/>
                <w:sz w:val="20"/>
                <w:szCs w:val="20"/>
              </w:rPr>
              <w:t>±0.2</w:t>
            </w:r>
          </w:p>
        </w:tc>
        <w:tc>
          <w:tcPr>
            <w:tcW w:w="854" w:type="pct"/>
            <w:vAlign w:val="center"/>
          </w:tcPr>
          <w:p w14:paraId="2781FEAD">
            <w:pPr>
              <w:jc w:val="center"/>
              <w:rPr>
                <w:rFonts w:eastAsia="黑体"/>
                <w:color w:val="FF0000"/>
                <w:sz w:val="20"/>
                <w:szCs w:val="20"/>
              </w:rPr>
            </w:pPr>
            <w:r>
              <w:rPr>
                <w:rFonts w:hint="eastAsia" w:eastAsia="黑体"/>
                <w:sz w:val="20"/>
                <w:szCs w:val="20"/>
              </w:rPr>
              <w:t>采用</w:t>
            </w:r>
            <w:r>
              <w:rPr>
                <w:rFonts w:hint="eastAsia" w:eastAsia="黑体"/>
                <w:sz w:val="20"/>
                <w:szCs w:val="20"/>
                <w:lang w:val="en-US" w:eastAsia="zh-CN"/>
              </w:rPr>
              <w:t>GB/T3820</w:t>
            </w:r>
            <w:r>
              <w:rPr>
                <w:rFonts w:hint="eastAsia" w:eastAsia="黑体"/>
                <w:sz w:val="20"/>
                <w:szCs w:val="20"/>
              </w:rPr>
              <w:t>检测并提供检测报告</w:t>
            </w:r>
          </w:p>
        </w:tc>
        <w:tc>
          <w:tcPr>
            <w:tcW w:w="949" w:type="pct"/>
            <w:vMerge w:val="continue"/>
            <w:vAlign w:val="center"/>
          </w:tcPr>
          <w:p w14:paraId="36173EFF">
            <w:pPr>
              <w:rPr>
                <w:rFonts w:eastAsia="黑体"/>
                <w:sz w:val="20"/>
                <w:szCs w:val="20"/>
              </w:rPr>
            </w:pPr>
          </w:p>
        </w:tc>
      </w:tr>
      <w:tr w14:paraId="1E69A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276" w:type="pct"/>
            <w:vMerge w:val="continue"/>
            <w:vAlign w:val="center"/>
          </w:tcPr>
          <w:p w14:paraId="45908E0B">
            <w:pPr>
              <w:jc w:val="center"/>
              <w:rPr>
                <w:rFonts w:eastAsia="黑体"/>
                <w:sz w:val="20"/>
                <w:szCs w:val="20"/>
              </w:rPr>
            </w:pPr>
          </w:p>
        </w:tc>
        <w:tc>
          <w:tcPr>
            <w:tcW w:w="424" w:type="pct"/>
            <w:vMerge w:val="continue"/>
            <w:vAlign w:val="center"/>
          </w:tcPr>
          <w:p w14:paraId="53AD2E95">
            <w:pPr>
              <w:rPr>
                <w:rFonts w:eastAsia="黑体"/>
                <w:sz w:val="20"/>
                <w:szCs w:val="20"/>
              </w:rPr>
            </w:pPr>
          </w:p>
        </w:tc>
        <w:tc>
          <w:tcPr>
            <w:tcW w:w="265" w:type="pct"/>
            <w:vMerge w:val="continue"/>
            <w:vAlign w:val="center"/>
          </w:tcPr>
          <w:p w14:paraId="3357C793">
            <w:pPr>
              <w:rPr>
                <w:rFonts w:eastAsia="黑体"/>
                <w:sz w:val="20"/>
                <w:szCs w:val="20"/>
              </w:rPr>
            </w:pPr>
          </w:p>
        </w:tc>
        <w:tc>
          <w:tcPr>
            <w:tcW w:w="265" w:type="pct"/>
            <w:vMerge w:val="continue"/>
            <w:vAlign w:val="center"/>
          </w:tcPr>
          <w:p w14:paraId="7C44E91F">
            <w:pPr>
              <w:rPr>
                <w:rFonts w:eastAsia="黑体"/>
                <w:sz w:val="20"/>
                <w:szCs w:val="20"/>
              </w:rPr>
            </w:pPr>
          </w:p>
        </w:tc>
        <w:tc>
          <w:tcPr>
            <w:tcW w:w="351" w:type="pct"/>
            <w:vAlign w:val="center"/>
          </w:tcPr>
          <w:p w14:paraId="33EC31F9">
            <w:pPr>
              <w:jc w:val="center"/>
              <w:rPr>
                <w:rFonts w:eastAsia="黑体"/>
                <w:color w:val="auto"/>
                <w:sz w:val="20"/>
                <w:szCs w:val="20"/>
                <w:highlight w:val="none"/>
              </w:rPr>
            </w:pPr>
            <w:r>
              <w:rPr>
                <w:rFonts w:hint="eastAsia" w:eastAsia="黑体"/>
                <w:color w:val="auto"/>
                <w:sz w:val="20"/>
                <w:szCs w:val="20"/>
                <w:highlight w:val="none"/>
              </w:rPr>
              <w:t>%</w:t>
            </w:r>
          </w:p>
        </w:tc>
        <w:tc>
          <w:tcPr>
            <w:tcW w:w="770" w:type="pct"/>
            <w:vAlign w:val="center"/>
          </w:tcPr>
          <w:p w14:paraId="2850524A">
            <w:pPr>
              <w:jc w:val="center"/>
              <w:rPr>
                <w:rFonts w:hint="default" w:eastAsia="黑体"/>
                <w:color w:val="auto"/>
                <w:sz w:val="20"/>
                <w:szCs w:val="20"/>
                <w:highlight w:val="none"/>
                <w:lang w:val="en-US" w:eastAsia="zh-CN"/>
              </w:rPr>
            </w:pPr>
            <w:r>
              <w:rPr>
                <w:rFonts w:hint="eastAsia" w:eastAsia="黑体"/>
                <w:color w:val="auto"/>
                <w:sz w:val="20"/>
                <w:szCs w:val="20"/>
                <w:highlight w:val="none"/>
                <w:lang w:val="en-US" w:eastAsia="zh-CN"/>
              </w:rPr>
              <w:t>湿热老化物理性能变化率</w:t>
            </w:r>
          </w:p>
        </w:tc>
        <w:tc>
          <w:tcPr>
            <w:tcW w:w="844" w:type="pct"/>
            <w:gridSpan w:val="2"/>
            <w:vAlign w:val="center"/>
          </w:tcPr>
          <w:p w14:paraId="18A6CBE6">
            <w:pPr>
              <w:jc w:val="center"/>
              <w:rPr>
                <w:rFonts w:eastAsia="黑体"/>
                <w:color w:val="auto"/>
                <w:sz w:val="20"/>
                <w:szCs w:val="20"/>
                <w:highlight w:val="none"/>
              </w:rPr>
            </w:pPr>
            <w:r>
              <w:rPr>
                <w:rFonts w:hint="eastAsia" w:eastAsia="黑体"/>
                <w:color w:val="auto"/>
                <w:sz w:val="20"/>
                <w:szCs w:val="20"/>
                <w:highlight w:val="none"/>
              </w:rPr>
              <w:t>≤40</w:t>
            </w:r>
          </w:p>
        </w:tc>
        <w:tc>
          <w:tcPr>
            <w:tcW w:w="854" w:type="pct"/>
            <w:vMerge w:val="restart"/>
            <w:vAlign w:val="center"/>
          </w:tcPr>
          <w:p w14:paraId="45344976">
            <w:pPr>
              <w:rPr>
                <w:rFonts w:eastAsia="黑体"/>
                <w:color w:val="auto"/>
                <w:sz w:val="20"/>
                <w:szCs w:val="20"/>
                <w:highlight w:val="none"/>
              </w:rPr>
            </w:pPr>
            <w:r>
              <w:rPr>
                <w:rFonts w:hint="eastAsia" w:eastAsia="黑体"/>
                <w:color w:val="auto"/>
                <w:sz w:val="20"/>
                <w:szCs w:val="20"/>
                <w:highlight w:val="none"/>
              </w:rPr>
              <w:t>采用</w:t>
            </w:r>
            <w:r>
              <w:rPr>
                <w:rFonts w:hint="eastAsia" w:eastAsia="黑体"/>
                <w:color w:val="auto"/>
                <w:sz w:val="20"/>
                <w:szCs w:val="20"/>
                <w:highlight w:val="none"/>
                <w:lang w:val="en-US" w:eastAsia="zh-CN"/>
              </w:rPr>
              <w:t>GB/T9640</w:t>
            </w:r>
            <w:r>
              <w:rPr>
                <w:rFonts w:hint="eastAsia" w:eastAsia="黑体"/>
                <w:color w:val="auto"/>
                <w:sz w:val="20"/>
                <w:szCs w:val="20"/>
                <w:highlight w:val="none"/>
              </w:rPr>
              <w:t>检测并提供检测报告</w:t>
            </w:r>
          </w:p>
        </w:tc>
        <w:tc>
          <w:tcPr>
            <w:tcW w:w="949" w:type="pct"/>
            <w:vMerge w:val="continue"/>
            <w:vAlign w:val="center"/>
          </w:tcPr>
          <w:p w14:paraId="0E9A2F4A">
            <w:pPr>
              <w:rPr>
                <w:rFonts w:eastAsia="黑体"/>
                <w:sz w:val="20"/>
                <w:szCs w:val="20"/>
              </w:rPr>
            </w:pPr>
          </w:p>
        </w:tc>
      </w:tr>
      <w:tr w14:paraId="7A4FB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276" w:type="pct"/>
            <w:vMerge w:val="continue"/>
            <w:vAlign w:val="center"/>
          </w:tcPr>
          <w:p w14:paraId="45DF11DC">
            <w:pPr>
              <w:jc w:val="center"/>
              <w:rPr>
                <w:rFonts w:eastAsia="黑体"/>
                <w:sz w:val="20"/>
                <w:szCs w:val="20"/>
              </w:rPr>
            </w:pPr>
          </w:p>
        </w:tc>
        <w:tc>
          <w:tcPr>
            <w:tcW w:w="424" w:type="pct"/>
            <w:vMerge w:val="continue"/>
            <w:vAlign w:val="center"/>
          </w:tcPr>
          <w:p w14:paraId="20AC8A06">
            <w:pPr>
              <w:rPr>
                <w:rFonts w:eastAsia="黑体"/>
                <w:sz w:val="20"/>
                <w:szCs w:val="20"/>
              </w:rPr>
            </w:pPr>
          </w:p>
        </w:tc>
        <w:tc>
          <w:tcPr>
            <w:tcW w:w="265" w:type="pct"/>
            <w:vMerge w:val="continue"/>
            <w:vAlign w:val="center"/>
          </w:tcPr>
          <w:p w14:paraId="280C1890">
            <w:pPr>
              <w:rPr>
                <w:rFonts w:eastAsia="黑体"/>
                <w:sz w:val="20"/>
                <w:szCs w:val="20"/>
              </w:rPr>
            </w:pPr>
          </w:p>
        </w:tc>
        <w:tc>
          <w:tcPr>
            <w:tcW w:w="265" w:type="pct"/>
            <w:vMerge w:val="continue"/>
            <w:vAlign w:val="center"/>
          </w:tcPr>
          <w:p w14:paraId="0DEBFA71">
            <w:pPr>
              <w:rPr>
                <w:rFonts w:eastAsia="黑体"/>
                <w:sz w:val="20"/>
                <w:szCs w:val="20"/>
              </w:rPr>
            </w:pPr>
          </w:p>
        </w:tc>
        <w:tc>
          <w:tcPr>
            <w:tcW w:w="351" w:type="pct"/>
            <w:vAlign w:val="center"/>
          </w:tcPr>
          <w:p w14:paraId="1553024B">
            <w:pPr>
              <w:jc w:val="center"/>
              <w:rPr>
                <w:rFonts w:eastAsia="黑体"/>
                <w:color w:val="auto"/>
                <w:sz w:val="20"/>
                <w:szCs w:val="20"/>
                <w:highlight w:val="none"/>
              </w:rPr>
            </w:pPr>
            <w:r>
              <w:rPr>
                <w:rFonts w:hint="eastAsia" w:eastAsia="黑体"/>
                <w:color w:val="auto"/>
                <w:sz w:val="20"/>
                <w:szCs w:val="20"/>
                <w:highlight w:val="none"/>
              </w:rPr>
              <w:t>%</w:t>
            </w:r>
          </w:p>
        </w:tc>
        <w:tc>
          <w:tcPr>
            <w:tcW w:w="770" w:type="pct"/>
            <w:vAlign w:val="center"/>
          </w:tcPr>
          <w:p w14:paraId="1319D74E">
            <w:pPr>
              <w:jc w:val="center"/>
              <w:rPr>
                <w:rFonts w:hint="default" w:eastAsia="黑体"/>
                <w:color w:val="auto"/>
                <w:sz w:val="20"/>
                <w:szCs w:val="20"/>
                <w:highlight w:val="none"/>
                <w:lang w:val="en-US" w:eastAsia="zh-CN"/>
              </w:rPr>
            </w:pPr>
            <w:r>
              <w:rPr>
                <w:rFonts w:hint="eastAsia" w:eastAsia="黑体"/>
                <w:color w:val="auto"/>
                <w:sz w:val="20"/>
                <w:szCs w:val="20"/>
                <w:highlight w:val="none"/>
                <w:lang w:val="en-US" w:eastAsia="zh-CN"/>
              </w:rPr>
              <w:t>干</w:t>
            </w:r>
            <w:r>
              <w:rPr>
                <w:rFonts w:hint="eastAsia" w:eastAsia="黑体"/>
                <w:color w:val="auto"/>
                <w:sz w:val="20"/>
                <w:szCs w:val="20"/>
                <w:highlight w:val="none"/>
              </w:rPr>
              <w:t>热老化</w:t>
            </w:r>
            <w:r>
              <w:rPr>
                <w:rFonts w:hint="eastAsia" w:eastAsia="黑体"/>
                <w:color w:val="auto"/>
                <w:sz w:val="20"/>
                <w:szCs w:val="20"/>
                <w:highlight w:val="none"/>
                <w:lang w:val="en-US" w:eastAsia="zh-CN"/>
              </w:rPr>
              <w:t>物理性能变化率</w:t>
            </w:r>
          </w:p>
        </w:tc>
        <w:tc>
          <w:tcPr>
            <w:tcW w:w="844" w:type="pct"/>
            <w:gridSpan w:val="2"/>
            <w:vAlign w:val="center"/>
          </w:tcPr>
          <w:p w14:paraId="2D446DC3">
            <w:pPr>
              <w:jc w:val="center"/>
              <w:rPr>
                <w:rFonts w:eastAsia="黑体"/>
                <w:color w:val="auto"/>
                <w:sz w:val="20"/>
                <w:szCs w:val="20"/>
                <w:highlight w:val="none"/>
              </w:rPr>
            </w:pPr>
            <w:r>
              <w:rPr>
                <w:rFonts w:hint="eastAsia" w:eastAsia="黑体"/>
                <w:color w:val="auto"/>
                <w:sz w:val="20"/>
                <w:szCs w:val="20"/>
                <w:highlight w:val="none"/>
              </w:rPr>
              <w:t>≤30</w:t>
            </w:r>
          </w:p>
        </w:tc>
        <w:tc>
          <w:tcPr>
            <w:tcW w:w="854" w:type="pct"/>
            <w:vMerge w:val="continue"/>
            <w:vAlign w:val="center"/>
          </w:tcPr>
          <w:p w14:paraId="45C05969">
            <w:pPr>
              <w:rPr>
                <w:rFonts w:eastAsia="黑体"/>
                <w:color w:val="auto"/>
                <w:sz w:val="20"/>
                <w:szCs w:val="20"/>
                <w:highlight w:val="none"/>
              </w:rPr>
            </w:pPr>
          </w:p>
        </w:tc>
        <w:tc>
          <w:tcPr>
            <w:tcW w:w="949" w:type="pct"/>
            <w:vMerge w:val="continue"/>
            <w:vAlign w:val="center"/>
          </w:tcPr>
          <w:p w14:paraId="36D81351">
            <w:pPr>
              <w:rPr>
                <w:rFonts w:eastAsia="黑体"/>
                <w:sz w:val="20"/>
                <w:szCs w:val="20"/>
              </w:rPr>
            </w:pPr>
          </w:p>
        </w:tc>
      </w:tr>
      <w:tr w14:paraId="4E231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276" w:type="pct"/>
            <w:vAlign w:val="center"/>
          </w:tcPr>
          <w:p w14:paraId="587490BD">
            <w:pPr>
              <w:jc w:val="center"/>
              <w:rPr>
                <w:rFonts w:eastAsia="黑体"/>
                <w:sz w:val="20"/>
                <w:szCs w:val="20"/>
              </w:rPr>
            </w:pPr>
          </w:p>
        </w:tc>
        <w:tc>
          <w:tcPr>
            <w:tcW w:w="424" w:type="pct"/>
            <w:vMerge w:val="continue"/>
            <w:vAlign w:val="center"/>
          </w:tcPr>
          <w:p w14:paraId="01F178EC">
            <w:pPr>
              <w:rPr>
                <w:rFonts w:eastAsia="黑体"/>
                <w:sz w:val="20"/>
                <w:szCs w:val="20"/>
              </w:rPr>
            </w:pPr>
          </w:p>
        </w:tc>
        <w:tc>
          <w:tcPr>
            <w:tcW w:w="265" w:type="pct"/>
            <w:vMerge w:val="continue"/>
            <w:vAlign w:val="center"/>
          </w:tcPr>
          <w:p w14:paraId="260FC5A2">
            <w:pPr>
              <w:rPr>
                <w:rFonts w:eastAsia="黑体"/>
                <w:sz w:val="20"/>
                <w:szCs w:val="20"/>
              </w:rPr>
            </w:pPr>
          </w:p>
        </w:tc>
        <w:tc>
          <w:tcPr>
            <w:tcW w:w="265" w:type="pct"/>
            <w:vMerge w:val="continue"/>
            <w:vAlign w:val="center"/>
          </w:tcPr>
          <w:p w14:paraId="44AE479C">
            <w:pPr>
              <w:rPr>
                <w:rFonts w:eastAsia="黑体"/>
                <w:sz w:val="20"/>
                <w:szCs w:val="20"/>
              </w:rPr>
            </w:pPr>
          </w:p>
        </w:tc>
        <w:tc>
          <w:tcPr>
            <w:tcW w:w="351" w:type="pct"/>
            <w:vAlign w:val="center"/>
          </w:tcPr>
          <w:p w14:paraId="2E2D1624">
            <w:pPr>
              <w:jc w:val="center"/>
              <w:rPr>
                <w:rFonts w:eastAsia="黑体"/>
                <w:color w:val="auto"/>
                <w:sz w:val="20"/>
                <w:szCs w:val="20"/>
              </w:rPr>
            </w:pPr>
            <w:r>
              <w:rPr>
                <w:rFonts w:hint="eastAsia" w:eastAsia="黑体"/>
                <w:color w:val="auto"/>
                <w:sz w:val="20"/>
                <w:szCs w:val="20"/>
              </w:rPr>
              <w:t>/</w:t>
            </w:r>
          </w:p>
        </w:tc>
        <w:tc>
          <w:tcPr>
            <w:tcW w:w="770" w:type="pct"/>
            <w:vAlign w:val="center"/>
          </w:tcPr>
          <w:p w14:paraId="3C7C754C">
            <w:pPr>
              <w:jc w:val="center"/>
              <w:rPr>
                <w:rFonts w:eastAsia="黑体"/>
                <w:color w:val="auto"/>
                <w:sz w:val="20"/>
                <w:szCs w:val="20"/>
              </w:rPr>
            </w:pPr>
            <w:r>
              <w:rPr>
                <w:rFonts w:hint="eastAsia" w:eastAsia="黑体"/>
                <w:color w:val="auto"/>
                <w:sz w:val="20"/>
                <w:szCs w:val="20"/>
              </w:rPr>
              <w:t>耐水解性能</w:t>
            </w:r>
          </w:p>
        </w:tc>
        <w:tc>
          <w:tcPr>
            <w:tcW w:w="844" w:type="pct"/>
            <w:gridSpan w:val="2"/>
            <w:vAlign w:val="center"/>
          </w:tcPr>
          <w:p w14:paraId="6F301EB5">
            <w:pPr>
              <w:rPr>
                <w:rFonts w:eastAsia="黑体"/>
                <w:color w:val="auto"/>
                <w:sz w:val="20"/>
                <w:szCs w:val="20"/>
              </w:rPr>
            </w:pPr>
            <w:r>
              <w:rPr>
                <w:rFonts w:hint="eastAsia" w:eastAsia="黑体"/>
                <w:color w:val="auto"/>
                <w:sz w:val="20"/>
                <w:szCs w:val="20"/>
              </w:rPr>
              <w:t>无明显泡沫分解，泡沫外形（厚度）无变化，无内聚力失效，未与装饰层和骨架分离，手指按压后5秒内完全恢复原状。</w:t>
            </w:r>
          </w:p>
        </w:tc>
        <w:tc>
          <w:tcPr>
            <w:tcW w:w="854" w:type="pct"/>
            <w:vAlign w:val="center"/>
          </w:tcPr>
          <w:p w14:paraId="7FE12166">
            <w:pPr>
              <w:rPr>
                <w:rFonts w:eastAsia="黑体"/>
                <w:color w:val="auto"/>
                <w:sz w:val="20"/>
                <w:szCs w:val="20"/>
              </w:rPr>
            </w:pPr>
            <w:r>
              <w:rPr>
                <w:rFonts w:eastAsia="黑体"/>
                <w:color w:val="auto"/>
                <w:sz w:val="20"/>
                <w:szCs w:val="20"/>
              </w:rPr>
              <w:t>采用</w:t>
            </w:r>
            <w:r>
              <w:rPr>
                <w:rFonts w:hint="eastAsia" w:eastAsia="黑体"/>
                <w:color w:val="auto"/>
                <w:sz w:val="20"/>
                <w:szCs w:val="20"/>
              </w:rPr>
              <w:t>PV 3959-2013检测并提供检测报告</w:t>
            </w:r>
          </w:p>
        </w:tc>
        <w:tc>
          <w:tcPr>
            <w:tcW w:w="949" w:type="pct"/>
            <w:vMerge w:val="continue"/>
            <w:vAlign w:val="center"/>
          </w:tcPr>
          <w:p w14:paraId="0814FAFD">
            <w:pPr>
              <w:rPr>
                <w:rFonts w:eastAsia="黑体"/>
                <w:sz w:val="20"/>
                <w:szCs w:val="20"/>
              </w:rPr>
            </w:pPr>
          </w:p>
        </w:tc>
      </w:tr>
      <w:tr w14:paraId="3F1A3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76" w:type="pct"/>
            <w:vAlign w:val="center"/>
          </w:tcPr>
          <w:p w14:paraId="201E4585">
            <w:pPr>
              <w:jc w:val="center"/>
              <w:rPr>
                <w:rFonts w:eastAsia="黑体"/>
                <w:sz w:val="20"/>
                <w:szCs w:val="20"/>
              </w:rPr>
            </w:pPr>
            <w:r>
              <w:rPr>
                <w:rFonts w:hint="eastAsia" w:eastAsia="黑体"/>
                <w:sz w:val="20"/>
                <w:szCs w:val="20"/>
              </w:rPr>
              <w:t>4</w:t>
            </w:r>
          </w:p>
        </w:tc>
        <w:tc>
          <w:tcPr>
            <w:tcW w:w="424" w:type="pct"/>
            <w:vMerge w:val="continue"/>
            <w:vAlign w:val="center"/>
          </w:tcPr>
          <w:p w14:paraId="78DA80F8">
            <w:pPr>
              <w:rPr>
                <w:rFonts w:eastAsia="黑体"/>
                <w:sz w:val="20"/>
                <w:szCs w:val="20"/>
              </w:rPr>
            </w:pPr>
          </w:p>
        </w:tc>
        <w:tc>
          <w:tcPr>
            <w:tcW w:w="530" w:type="pct"/>
            <w:gridSpan w:val="2"/>
            <w:vAlign w:val="center"/>
          </w:tcPr>
          <w:p w14:paraId="673066C7">
            <w:pPr>
              <w:jc w:val="center"/>
              <w:rPr>
                <w:rFonts w:eastAsia="黑体"/>
                <w:sz w:val="20"/>
                <w:szCs w:val="20"/>
              </w:rPr>
            </w:pPr>
            <w:r>
              <w:rPr>
                <w:rFonts w:hint="eastAsia" w:eastAsia="黑体"/>
                <w:sz w:val="20"/>
                <w:szCs w:val="20"/>
              </w:rPr>
              <w:t>阻燃性能</w:t>
            </w:r>
          </w:p>
        </w:tc>
        <w:tc>
          <w:tcPr>
            <w:tcW w:w="351" w:type="pct"/>
            <w:vAlign w:val="center"/>
          </w:tcPr>
          <w:p w14:paraId="09BA1F75">
            <w:pPr>
              <w:jc w:val="center"/>
              <w:rPr>
                <w:rFonts w:eastAsia="黑体"/>
                <w:sz w:val="20"/>
                <w:szCs w:val="20"/>
              </w:rPr>
            </w:pPr>
            <w:r>
              <w:rPr>
                <w:rFonts w:hint="eastAsia" w:eastAsia="黑体"/>
                <w:sz w:val="20"/>
                <w:szCs w:val="20"/>
              </w:rPr>
              <w:t>mm/min</w:t>
            </w:r>
          </w:p>
        </w:tc>
        <w:tc>
          <w:tcPr>
            <w:tcW w:w="770" w:type="pct"/>
            <w:vAlign w:val="center"/>
          </w:tcPr>
          <w:p w14:paraId="352199DE">
            <w:pPr>
              <w:jc w:val="center"/>
              <w:rPr>
                <w:rFonts w:eastAsia="黑体"/>
                <w:sz w:val="20"/>
                <w:szCs w:val="20"/>
              </w:rPr>
            </w:pPr>
            <w:r>
              <w:rPr>
                <w:rFonts w:hint="eastAsia" w:eastAsia="黑体"/>
                <w:sz w:val="20"/>
                <w:szCs w:val="20"/>
              </w:rPr>
              <w:t>水平燃烧速度</w:t>
            </w:r>
          </w:p>
        </w:tc>
        <w:tc>
          <w:tcPr>
            <w:tcW w:w="844" w:type="pct"/>
            <w:gridSpan w:val="2"/>
            <w:vAlign w:val="center"/>
          </w:tcPr>
          <w:p w14:paraId="1F8408D5">
            <w:pPr>
              <w:jc w:val="center"/>
              <w:rPr>
                <w:rFonts w:eastAsia="黑体"/>
                <w:sz w:val="20"/>
                <w:szCs w:val="20"/>
              </w:rPr>
            </w:pPr>
            <w:r>
              <w:rPr>
                <w:rFonts w:hint="eastAsia" w:eastAsia="黑体"/>
                <w:sz w:val="20"/>
                <w:szCs w:val="20"/>
              </w:rPr>
              <w:t>≤100</w:t>
            </w:r>
          </w:p>
        </w:tc>
        <w:tc>
          <w:tcPr>
            <w:tcW w:w="854" w:type="pct"/>
            <w:vAlign w:val="center"/>
          </w:tcPr>
          <w:p w14:paraId="414CF6ED">
            <w:pPr>
              <w:rPr>
                <w:rFonts w:eastAsia="黑体"/>
                <w:sz w:val="20"/>
                <w:szCs w:val="20"/>
              </w:rPr>
            </w:pPr>
            <w:r>
              <w:rPr>
                <w:rFonts w:hint="eastAsia" w:eastAsia="黑体"/>
                <w:sz w:val="20"/>
                <w:szCs w:val="20"/>
              </w:rPr>
              <w:t>采用GB</w:t>
            </w:r>
            <w:r>
              <w:rPr>
                <w:rFonts w:eastAsia="黑体"/>
                <w:sz w:val="20"/>
                <w:szCs w:val="20"/>
              </w:rPr>
              <w:t xml:space="preserve"> </w:t>
            </w:r>
            <w:r>
              <w:rPr>
                <w:rFonts w:hint="eastAsia" w:eastAsia="黑体"/>
                <w:sz w:val="20"/>
                <w:szCs w:val="20"/>
              </w:rPr>
              <w:t>8410检测并提供检测报告</w:t>
            </w:r>
          </w:p>
        </w:tc>
        <w:tc>
          <w:tcPr>
            <w:tcW w:w="949" w:type="pct"/>
            <w:vAlign w:val="center"/>
          </w:tcPr>
          <w:p w14:paraId="4AED589F">
            <w:pPr>
              <w:jc w:val="center"/>
              <w:rPr>
                <w:rFonts w:eastAsia="黑体"/>
                <w:sz w:val="20"/>
                <w:szCs w:val="20"/>
              </w:rPr>
            </w:pPr>
            <w:r>
              <w:rPr>
                <w:rFonts w:hint="eastAsia" w:eastAsia="黑体"/>
                <w:sz w:val="20"/>
                <w:szCs w:val="20"/>
              </w:rPr>
              <w:t>产品销售、使用</w:t>
            </w:r>
          </w:p>
        </w:tc>
      </w:tr>
      <w:tr w14:paraId="14554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76" w:type="pct"/>
            <w:vAlign w:val="center"/>
          </w:tcPr>
          <w:p w14:paraId="494128E5">
            <w:pPr>
              <w:jc w:val="center"/>
              <w:rPr>
                <w:rFonts w:eastAsia="黑体"/>
                <w:sz w:val="20"/>
                <w:szCs w:val="20"/>
              </w:rPr>
            </w:pPr>
            <w:r>
              <w:rPr>
                <w:rFonts w:hint="eastAsia" w:eastAsia="黑体"/>
                <w:sz w:val="20"/>
                <w:szCs w:val="20"/>
              </w:rPr>
              <w:t>5</w:t>
            </w:r>
          </w:p>
        </w:tc>
        <w:tc>
          <w:tcPr>
            <w:tcW w:w="424" w:type="pct"/>
            <w:vMerge w:val="continue"/>
            <w:vAlign w:val="center"/>
          </w:tcPr>
          <w:p w14:paraId="0B41D9A6">
            <w:pPr>
              <w:rPr>
                <w:rFonts w:eastAsia="黑体"/>
                <w:sz w:val="20"/>
                <w:szCs w:val="20"/>
              </w:rPr>
            </w:pPr>
          </w:p>
        </w:tc>
        <w:tc>
          <w:tcPr>
            <w:tcW w:w="530" w:type="pct"/>
            <w:gridSpan w:val="2"/>
            <w:vAlign w:val="center"/>
          </w:tcPr>
          <w:p w14:paraId="45808ED2">
            <w:pPr>
              <w:jc w:val="center"/>
              <w:rPr>
                <w:rFonts w:eastAsia="黑体"/>
                <w:sz w:val="20"/>
                <w:szCs w:val="20"/>
              </w:rPr>
            </w:pPr>
            <w:r>
              <w:rPr>
                <w:rFonts w:hint="eastAsia" w:eastAsia="黑体"/>
                <w:sz w:val="20"/>
                <w:szCs w:val="20"/>
              </w:rPr>
              <w:t>雾化性能</w:t>
            </w:r>
          </w:p>
        </w:tc>
        <w:tc>
          <w:tcPr>
            <w:tcW w:w="351" w:type="pct"/>
            <w:vAlign w:val="center"/>
          </w:tcPr>
          <w:p w14:paraId="7B5C85AD">
            <w:pPr>
              <w:jc w:val="center"/>
              <w:rPr>
                <w:rFonts w:eastAsia="黑体"/>
                <w:sz w:val="20"/>
                <w:szCs w:val="20"/>
              </w:rPr>
            </w:pPr>
            <w:r>
              <w:rPr>
                <w:rFonts w:hint="eastAsia" w:eastAsia="黑体"/>
                <w:sz w:val="20"/>
                <w:szCs w:val="20"/>
              </w:rPr>
              <w:t>mg</w:t>
            </w:r>
          </w:p>
        </w:tc>
        <w:tc>
          <w:tcPr>
            <w:tcW w:w="770" w:type="pct"/>
            <w:vAlign w:val="center"/>
          </w:tcPr>
          <w:p w14:paraId="34AB539C">
            <w:pPr>
              <w:jc w:val="center"/>
              <w:rPr>
                <w:rFonts w:eastAsia="黑体"/>
                <w:sz w:val="20"/>
                <w:szCs w:val="20"/>
              </w:rPr>
            </w:pPr>
            <w:r>
              <w:rPr>
                <w:rFonts w:hint="eastAsia" w:eastAsia="黑体"/>
                <w:sz w:val="20"/>
                <w:szCs w:val="20"/>
              </w:rPr>
              <w:t>雾化值</w:t>
            </w:r>
          </w:p>
        </w:tc>
        <w:tc>
          <w:tcPr>
            <w:tcW w:w="844" w:type="pct"/>
            <w:gridSpan w:val="2"/>
            <w:vAlign w:val="center"/>
          </w:tcPr>
          <w:p w14:paraId="1571C082">
            <w:pPr>
              <w:jc w:val="center"/>
              <w:rPr>
                <w:rFonts w:eastAsia="黑体"/>
                <w:sz w:val="20"/>
                <w:szCs w:val="20"/>
              </w:rPr>
            </w:pPr>
            <w:r>
              <w:rPr>
                <w:rFonts w:hint="eastAsia" w:eastAsia="黑体"/>
                <w:sz w:val="20"/>
                <w:szCs w:val="20"/>
              </w:rPr>
              <w:t>≤2</w:t>
            </w:r>
          </w:p>
        </w:tc>
        <w:tc>
          <w:tcPr>
            <w:tcW w:w="854" w:type="pct"/>
            <w:vAlign w:val="center"/>
          </w:tcPr>
          <w:p w14:paraId="21A00097">
            <w:pPr>
              <w:rPr>
                <w:rFonts w:eastAsia="黑体"/>
                <w:sz w:val="20"/>
                <w:szCs w:val="20"/>
              </w:rPr>
            </w:pPr>
            <w:r>
              <w:rPr>
                <w:rFonts w:hint="eastAsia" w:eastAsia="黑体"/>
                <w:sz w:val="20"/>
                <w:szCs w:val="20"/>
              </w:rPr>
              <w:t>采用PV 3015-2019检测并提供检测报告</w:t>
            </w:r>
          </w:p>
        </w:tc>
        <w:tc>
          <w:tcPr>
            <w:tcW w:w="949" w:type="pct"/>
            <w:vAlign w:val="center"/>
          </w:tcPr>
          <w:p w14:paraId="17C4E2C5">
            <w:pPr>
              <w:jc w:val="center"/>
              <w:rPr>
                <w:rFonts w:eastAsia="黑体"/>
                <w:sz w:val="20"/>
                <w:szCs w:val="20"/>
              </w:rPr>
            </w:pPr>
            <w:r>
              <w:rPr>
                <w:rFonts w:hint="eastAsia" w:eastAsia="黑体"/>
                <w:sz w:val="20"/>
                <w:szCs w:val="20"/>
              </w:rPr>
              <w:t>产品销售、使用</w:t>
            </w:r>
          </w:p>
        </w:tc>
      </w:tr>
      <w:tr w14:paraId="355F1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276" w:type="pct"/>
            <w:vMerge w:val="restart"/>
            <w:vAlign w:val="center"/>
          </w:tcPr>
          <w:p w14:paraId="7CE85AB3">
            <w:pPr>
              <w:jc w:val="center"/>
              <w:rPr>
                <w:rFonts w:eastAsia="黑体"/>
                <w:sz w:val="20"/>
                <w:szCs w:val="20"/>
              </w:rPr>
            </w:pPr>
            <w:r>
              <w:rPr>
                <w:rFonts w:hint="eastAsia" w:eastAsia="黑体"/>
                <w:sz w:val="20"/>
                <w:szCs w:val="20"/>
              </w:rPr>
              <w:t>6</w:t>
            </w:r>
          </w:p>
        </w:tc>
        <w:tc>
          <w:tcPr>
            <w:tcW w:w="424" w:type="pct"/>
            <w:vMerge w:val="continue"/>
            <w:vAlign w:val="center"/>
          </w:tcPr>
          <w:p w14:paraId="708C330A">
            <w:pPr>
              <w:rPr>
                <w:rFonts w:eastAsia="黑体"/>
                <w:sz w:val="20"/>
                <w:szCs w:val="20"/>
              </w:rPr>
            </w:pPr>
          </w:p>
        </w:tc>
        <w:tc>
          <w:tcPr>
            <w:tcW w:w="530" w:type="pct"/>
            <w:gridSpan w:val="2"/>
            <w:vMerge w:val="restart"/>
            <w:vAlign w:val="center"/>
          </w:tcPr>
          <w:p w14:paraId="6E77B5C2">
            <w:pPr>
              <w:jc w:val="center"/>
              <w:rPr>
                <w:rFonts w:eastAsia="黑体"/>
                <w:sz w:val="20"/>
                <w:szCs w:val="20"/>
              </w:rPr>
            </w:pPr>
            <w:r>
              <w:rPr>
                <w:rFonts w:hint="eastAsia" w:eastAsia="黑体"/>
                <w:sz w:val="20"/>
                <w:szCs w:val="20"/>
              </w:rPr>
              <w:t>多环芳烃</w:t>
            </w:r>
          </w:p>
        </w:tc>
        <w:tc>
          <w:tcPr>
            <w:tcW w:w="351" w:type="pct"/>
            <w:vMerge w:val="restart"/>
            <w:vAlign w:val="center"/>
          </w:tcPr>
          <w:p w14:paraId="6B31772A">
            <w:pPr>
              <w:jc w:val="center"/>
              <w:rPr>
                <w:rFonts w:eastAsia="黑体"/>
                <w:sz w:val="20"/>
                <w:szCs w:val="20"/>
              </w:rPr>
            </w:pPr>
            <w:r>
              <w:rPr>
                <w:rFonts w:eastAsia="黑体"/>
                <w:sz w:val="20"/>
                <w:szCs w:val="20"/>
              </w:rPr>
              <w:t>m</w:t>
            </w:r>
            <w:r>
              <w:rPr>
                <w:rFonts w:hint="eastAsia" w:eastAsia="黑体"/>
                <w:sz w:val="20"/>
                <w:szCs w:val="20"/>
              </w:rPr>
              <w:t>g</w:t>
            </w:r>
            <w:r>
              <w:rPr>
                <w:rFonts w:eastAsia="黑体"/>
                <w:sz w:val="20"/>
                <w:szCs w:val="20"/>
              </w:rPr>
              <w:t>/</w:t>
            </w:r>
            <w:r>
              <w:rPr>
                <w:rFonts w:hint="eastAsia" w:eastAsia="黑体"/>
                <w:sz w:val="20"/>
                <w:szCs w:val="20"/>
              </w:rPr>
              <w:t>kg</w:t>
            </w:r>
          </w:p>
        </w:tc>
        <w:tc>
          <w:tcPr>
            <w:tcW w:w="770" w:type="pct"/>
            <w:vAlign w:val="center"/>
          </w:tcPr>
          <w:p w14:paraId="07D5189D">
            <w:pPr>
              <w:jc w:val="center"/>
              <w:rPr>
                <w:rFonts w:eastAsia="黑体"/>
                <w:sz w:val="20"/>
                <w:szCs w:val="20"/>
              </w:rPr>
            </w:pPr>
            <w:r>
              <w:rPr>
                <w:rFonts w:hint="eastAsia" w:eastAsia="黑体"/>
                <w:sz w:val="20"/>
                <w:szCs w:val="20"/>
              </w:rPr>
              <w:t>每个单项</w:t>
            </w:r>
          </w:p>
        </w:tc>
        <w:tc>
          <w:tcPr>
            <w:tcW w:w="844" w:type="pct"/>
            <w:gridSpan w:val="2"/>
            <w:vAlign w:val="center"/>
          </w:tcPr>
          <w:p w14:paraId="4A1A0843">
            <w:pPr>
              <w:jc w:val="center"/>
              <w:rPr>
                <w:rFonts w:eastAsia="黑体"/>
                <w:sz w:val="20"/>
                <w:szCs w:val="20"/>
              </w:rPr>
            </w:pPr>
            <w:r>
              <w:rPr>
                <w:rFonts w:hint="eastAsia" w:eastAsia="黑体"/>
                <w:sz w:val="20"/>
                <w:szCs w:val="20"/>
              </w:rPr>
              <w:t>≤0</w:t>
            </w:r>
            <w:r>
              <w:rPr>
                <w:rFonts w:eastAsia="黑体"/>
                <w:sz w:val="20"/>
                <w:szCs w:val="20"/>
              </w:rPr>
              <w:t>.5</w:t>
            </w:r>
          </w:p>
        </w:tc>
        <w:tc>
          <w:tcPr>
            <w:tcW w:w="854" w:type="pct"/>
            <w:vMerge w:val="restart"/>
            <w:vAlign w:val="center"/>
          </w:tcPr>
          <w:p w14:paraId="18F20227">
            <w:pPr>
              <w:rPr>
                <w:rFonts w:eastAsia="黑体"/>
                <w:sz w:val="20"/>
                <w:szCs w:val="20"/>
              </w:rPr>
            </w:pPr>
            <w:r>
              <w:rPr>
                <w:rFonts w:hint="eastAsia" w:eastAsia="黑体"/>
                <w:sz w:val="20"/>
                <w:szCs w:val="20"/>
              </w:rPr>
              <w:t>采用</w:t>
            </w:r>
            <w:r>
              <w:rPr>
                <w:rFonts w:eastAsia="黑体"/>
                <w:sz w:val="20"/>
                <w:szCs w:val="20"/>
              </w:rPr>
              <w:t>QC/T 1131-2020</w:t>
            </w:r>
            <w:r>
              <w:rPr>
                <w:rFonts w:hint="eastAsia" w:eastAsia="黑体"/>
                <w:sz w:val="20"/>
                <w:szCs w:val="20"/>
              </w:rPr>
              <w:t>检测并提供检测报告</w:t>
            </w:r>
          </w:p>
        </w:tc>
        <w:tc>
          <w:tcPr>
            <w:tcW w:w="949" w:type="pct"/>
            <w:vMerge w:val="restart"/>
            <w:vAlign w:val="center"/>
          </w:tcPr>
          <w:p w14:paraId="62420E9E">
            <w:pPr>
              <w:jc w:val="center"/>
              <w:rPr>
                <w:rFonts w:eastAsia="黑体"/>
                <w:sz w:val="20"/>
                <w:szCs w:val="20"/>
              </w:rPr>
            </w:pPr>
            <w:r>
              <w:rPr>
                <w:rFonts w:hint="eastAsia" w:eastAsia="黑体"/>
                <w:sz w:val="20"/>
                <w:szCs w:val="20"/>
              </w:rPr>
              <w:t>产品销售、使用</w:t>
            </w:r>
          </w:p>
        </w:tc>
      </w:tr>
      <w:tr w14:paraId="7F27E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276" w:type="pct"/>
            <w:vMerge w:val="continue"/>
            <w:vAlign w:val="center"/>
          </w:tcPr>
          <w:p w14:paraId="458E72E9">
            <w:pPr>
              <w:jc w:val="center"/>
              <w:rPr>
                <w:rFonts w:eastAsia="黑体"/>
                <w:sz w:val="20"/>
                <w:szCs w:val="20"/>
              </w:rPr>
            </w:pPr>
          </w:p>
        </w:tc>
        <w:tc>
          <w:tcPr>
            <w:tcW w:w="424" w:type="pct"/>
            <w:vMerge w:val="continue"/>
            <w:vAlign w:val="center"/>
          </w:tcPr>
          <w:p w14:paraId="0584175B">
            <w:pPr>
              <w:rPr>
                <w:rFonts w:eastAsia="黑体"/>
                <w:sz w:val="20"/>
                <w:szCs w:val="20"/>
              </w:rPr>
            </w:pPr>
          </w:p>
        </w:tc>
        <w:tc>
          <w:tcPr>
            <w:tcW w:w="530" w:type="pct"/>
            <w:gridSpan w:val="2"/>
            <w:vMerge w:val="continue"/>
            <w:vAlign w:val="center"/>
          </w:tcPr>
          <w:p w14:paraId="1E0FB668">
            <w:pPr>
              <w:jc w:val="center"/>
              <w:rPr>
                <w:rFonts w:eastAsia="黑体"/>
                <w:sz w:val="20"/>
                <w:szCs w:val="20"/>
              </w:rPr>
            </w:pPr>
          </w:p>
        </w:tc>
        <w:tc>
          <w:tcPr>
            <w:tcW w:w="351" w:type="pct"/>
            <w:vMerge w:val="continue"/>
            <w:vAlign w:val="center"/>
          </w:tcPr>
          <w:p w14:paraId="14F9767F">
            <w:pPr>
              <w:jc w:val="center"/>
              <w:rPr>
                <w:rFonts w:eastAsia="黑体"/>
                <w:sz w:val="20"/>
                <w:szCs w:val="20"/>
              </w:rPr>
            </w:pPr>
          </w:p>
        </w:tc>
        <w:tc>
          <w:tcPr>
            <w:tcW w:w="770" w:type="pct"/>
            <w:vAlign w:val="center"/>
          </w:tcPr>
          <w:p w14:paraId="615CB978">
            <w:pPr>
              <w:jc w:val="center"/>
              <w:rPr>
                <w:rFonts w:eastAsia="黑体"/>
                <w:sz w:val="20"/>
                <w:szCs w:val="20"/>
              </w:rPr>
            </w:pPr>
            <w:r>
              <w:rPr>
                <w:rFonts w:hint="eastAsia" w:eastAsia="黑体"/>
                <w:sz w:val="20"/>
                <w:szCs w:val="20"/>
              </w:rPr>
              <w:t>总量</w:t>
            </w:r>
          </w:p>
        </w:tc>
        <w:tc>
          <w:tcPr>
            <w:tcW w:w="844" w:type="pct"/>
            <w:gridSpan w:val="2"/>
            <w:vAlign w:val="center"/>
          </w:tcPr>
          <w:p w14:paraId="3C0B68E8">
            <w:pPr>
              <w:jc w:val="center"/>
              <w:rPr>
                <w:rFonts w:eastAsia="黑体"/>
                <w:sz w:val="20"/>
                <w:szCs w:val="20"/>
              </w:rPr>
            </w:pPr>
            <w:r>
              <w:rPr>
                <w:rFonts w:hint="eastAsia" w:eastAsia="黑体"/>
                <w:sz w:val="20"/>
                <w:szCs w:val="20"/>
              </w:rPr>
              <w:t>≤1</w:t>
            </w:r>
          </w:p>
        </w:tc>
        <w:tc>
          <w:tcPr>
            <w:tcW w:w="854" w:type="pct"/>
            <w:vMerge w:val="continue"/>
            <w:vAlign w:val="center"/>
          </w:tcPr>
          <w:p w14:paraId="73620C52">
            <w:pPr>
              <w:rPr>
                <w:rFonts w:eastAsia="黑体"/>
                <w:sz w:val="20"/>
                <w:szCs w:val="20"/>
              </w:rPr>
            </w:pPr>
          </w:p>
        </w:tc>
        <w:tc>
          <w:tcPr>
            <w:tcW w:w="949" w:type="pct"/>
            <w:vMerge w:val="continue"/>
            <w:vAlign w:val="center"/>
          </w:tcPr>
          <w:p w14:paraId="710BF67D">
            <w:pPr>
              <w:jc w:val="center"/>
              <w:rPr>
                <w:rFonts w:eastAsia="黑体"/>
                <w:sz w:val="20"/>
                <w:szCs w:val="20"/>
              </w:rPr>
            </w:pPr>
          </w:p>
        </w:tc>
      </w:tr>
      <w:tr w14:paraId="18912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276" w:type="pct"/>
            <w:vMerge w:val="restart"/>
            <w:vAlign w:val="center"/>
          </w:tcPr>
          <w:p w14:paraId="55A02FF5">
            <w:pPr>
              <w:jc w:val="center"/>
              <w:rPr>
                <w:rFonts w:eastAsia="黑体"/>
                <w:sz w:val="20"/>
                <w:szCs w:val="20"/>
              </w:rPr>
            </w:pPr>
            <w:r>
              <w:rPr>
                <w:rFonts w:hint="eastAsia" w:eastAsia="黑体"/>
                <w:sz w:val="20"/>
                <w:szCs w:val="20"/>
              </w:rPr>
              <w:t>7</w:t>
            </w:r>
          </w:p>
        </w:tc>
        <w:tc>
          <w:tcPr>
            <w:tcW w:w="424" w:type="pct"/>
            <w:vMerge w:val="continue"/>
            <w:vAlign w:val="center"/>
          </w:tcPr>
          <w:p w14:paraId="3661264A">
            <w:pPr>
              <w:rPr>
                <w:rFonts w:eastAsia="黑体"/>
                <w:sz w:val="20"/>
                <w:szCs w:val="20"/>
              </w:rPr>
            </w:pPr>
          </w:p>
        </w:tc>
        <w:tc>
          <w:tcPr>
            <w:tcW w:w="530" w:type="pct"/>
            <w:gridSpan w:val="2"/>
            <w:vMerge w:val="restart"/>
            <w:vAlign w:val="center"/>
          </w:tcPr>
          <w:p w14:paraId="7033EF9E">
            <w:pPr>
              <w:jc w:val="center"/>
              <w:rPr>
                <w:rFonts w:eastAsia="黑体"/>
                <w:sz w:val="20"/>
                <w:szCs w:val="20"/>
              </w:rPr>
            </w:pPr>
            <w:r>
              <w:rPr>
                <w:rFonts w:hint="eastAsia" w:eastAsia="黑体"/>
                <w:sz w:val="20"/>
                <w:szCs w:val="20"/>
              </w:rPr>
              <w:t>禁用物质</w:t>
            </w:r>
          </w:p>
        </w:tc>
        <w:tc>
          <w:tcPr>
            <w:tcW w:w="351" w:type="pct"/>
            <w:vMerge w:val="restart"/>
            <w:vAlign w:val="center"/>
          </w:tcPr>
          <w:p w14:paraId="5130C648">
            <w:pPr>
              <w:jc w:val="center"/>
              <w:rPr>
                <w:rFonts w:eastAsia="黑体"/>
                <w:sz w:val="20"/>
                <w:szCs w:val="20"/>
              </w:rPr>
            </w:pPr>
            <w:r>
              <w:rPr>
                <w:rFonts w:hint="eastAsia" w:eastAsia="黑体"/>
                <w:sz w:val="20"/>
                <w:szCs w:val="20"/>
              </w:rPr>
              <w:t>p</w:t>
            </w:r>
            <w:r>
              <w:rPr>
                <w:rFonts w:eastAsia="黑体"/>
                <w:sz w:val="20"/>
                <w:szCs w:val="20"/>
              </w:rPr>
              <w:t>pm</w:t>
            </w:r>
          </w:p>
        </w:tc>
        <w:tc>
          <w:tcPr>
            <w:tcW w:w="1048" w:type="pct"/>
            <w:gridSpan w:val="2"/>
            <w:vAlign w:val="center"/>
          </w:tcPr>
          <w:p w14:paraId="09665DB8">
            <w:pPr>
              <w:jc w:val="center"/>
              <w:rPr>
                <w:rFonts w:eastAsia="黑体"/>
                <w:sz w:val="20"/>
                <w:szCs w:val="20"/>
              </w:rPr>
            </w:pPr>
            <w:r>
              <w:rPr>
                <w:rFonts w:hint="eastAsia" w:eastAsia="黑体"/>
                <w:sz w:val="20"/>
                <w:szCs w:val="20"/>
              </w:rPr>
              <w:t>多溴联苯</w:t>
            </w:r>
            <w:r>
              <w:rPr>
                <w:rFonts w:eastAsia="黑体"/>
                <w:sz w:val="20"/>
                <w:szCs w:val="20"/>
              </w:rPr>
              <w:t>（PBB</w:t>
            </w:r>
            <w:r>
              <w:rPr>
                <w:rFonts w:hint="eastAsia" w:eastAsia="黑体"/>
                <w:sz w:val="20"/>
                <w:szCs w:val="20"/>
              </w:rPr>
              <w:t>s</w:t>
            </w:r>
            <w:r>
              <w:rPr>
                <w:rFonts w:eastAsia="黑体"/>
                <w:sz w:val="20"/>
                <w:szCs w:val="20"/>
              </w:rPr>
              <w:t>）</w:t>
            </w:r>
          </w:p>
        </w:tc>
        <w:tc>
          <w:tcPr>
            <w:tcW w:w="566" w:type="pct"/>
            <w:vMerge w:val="restart"/>
            <w:vAlign w:val="center"/>
          </w:tcPr>
          <w:p w14:paraId="3A506D8C">
            <w:pPr>
              <w:jc w:val="center"/>
              <w:rPr>
                <w:rFonts w:hint="default" w:eastAsia="黑体"/>
                <w:sz w:val="20"/>
                <w:szCs w:val="20"/>
                <w:lang w:val="en-US" w:eastAsia="zh-CN"/>
              </w:rPr>
            </w:pPr>
            <w:r>
              <w:rPr>
                <w:rFonts w:hint="eastAsia" w:eastAsia="黑体"/>
                <w:sz w:val="20"/>
                <w:szCs w:val="20"/>
                <w:lang w:val="en-US" w:eastAsia="zh-CN"/>
              </w:rPr>
              <w:t>ND</w:t>
            </w:r>
          </w:p>
        </w:tc>
        <w:tc>
          <w:tcPr>
            <w:tcW w:w="854" w:type="pct"/>
            <w:vMerge w:val="restart"/>
            <w:vAlign w:val="center"/>
          </w:tcPr>
          <w:p w14:paraId="68794B49">
            <w:pPr>
              <w:jc w:val="center"/>
              <w:rPr>
                <w:rFonts w:eastAsia="黑体"/>
                <w:sz w:val="20"/>
                <w:szCs w:val="20"/>
              </w:rPr>
            </w:pPr>
            <w:r>
              <w:rPr>
                <w:rFonts w:hint="eastAsia" w:eastAsia="黑体"/>
                <w:sz w:val="20"/>
                <w:szCs w:val="20"/>
              </w:rPr>
              <w:t>采用</w:t>
            </w:r>
            <w:r>
              <w:rPr>
                <w:rFonts w:eastAsia="黑体"/>
                <w:sz w:val="20"/>
                <w:szCs w:val="20"/>
              </w:rPr>
              <w:t>QC/T 944-2013</w:t>
            </w:r>
            <w:r>
              <w:rPr>
                <w:rFonts w:hint="eastAsia" w:eastAsia="黑体"/>
                <w:sz w:val="20"/>
                <w:szCs w:val="20"/>
              </w:rPr>
              <w:t>检测并提供检测报告</w:t>
            </w:r>
          </w:p>
        </w:tc>
        <w:tc>
          <w:tcPr>
            <w:tcW w:w="949" w:type="pct"/>
            <w:vMerge w:val="restart"/>
            <w:vAlign w:val="center"/>
          </w:tcPr>
          <w:p w14:paraId="22FC0150">
            <w:pPr>
              <w:jc w:val="center"/>
              <w:rPr>
                <w:rFonts w:eastAsia="黑体"/>
                <w:sz w:val="20"/>
                <w:szCs w:val="20"/>
              </w:rPr>
            </w:pPr>
            <w:r>
              <w:rPr>
                <w:rFonts w:hint="eastAsia" w:eastAsia="黑体"/>
                <w:sz w:val="20"/>
                <w:szCs w:val="20"/>
              </w:rPr>
              <w:t>产品销售、使用</w:t>
            </w:r>
          </w:p>
        </w:tc>
      </w:tr>
      <w:tr w14:paraId="67681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276" w:type="pct"/>
            <w:vMerge w:val="continue"/>
            <w:vAlign w:val="center"/>
          </w:tcPr>
          <w:p w14:paraId="4116DE63">
            <w:pPr>
              <w:jc w:val="center"/>
              <w:rPr>
                <w:rFonts w:eastAsia="黑体"/>
                <w:sz w:val="20"/>
                <w:szCs w:val="20"/>
              </w:rPr>
            </w:pPr>
          </w:p>
        </w:tc>
        <w:tc>
          <w:tcPr>
            <w:tcW w:w="424" w:type="pct"/>
            <w:vMerge w:val="continue"/>
            <w:vAlign w:val="center"/>
          </w:tcPr>
          <w:p w14:paraId="45706E63">
            <w:pPr>
              <w:rPr>
                <w:rFonts w:eastAsia="黑体"/>
                <w:sz w:val="20"/>
                <w:szCs w:val="20"/>
              </w:rPr>
            </w:pPr>
          </w:p>
        </w:tc>
        <w:tc>
          <w:tcPr>
            <w:tcW w:w="530" w:type="pct"/>
            <w:gridSpan w:val="2"/>
            <w:vMerge w:val="continue"/>
            <w:vAlign w:val="center"/>
          </w:tcPr>
          <w:p w14:paraId="33273285">
            <w:pPr>
              <w:jc w:val="center"/>
              <w:rPr>
                <w:rFonts w:eastAsia="黑体"/>
                <w:sz w:val="20"/>
                <w:szCs w:val="20"/>
              </w:rPr>
            </w:pPr>
          </w:p>
        </w:tc>
        <w:tc>
          <w:tcPr>
            <w:tcW w:w="351" w:type="pct"/>
            <w:vMerge w:val="continue"/>
            <w:vAlign w:val="center"/>
          </w:tcPr>
          <w:p w14:paraId="399128B5">
            <w:pPr>
              <w:jc w:val="center"/>
              <w:rPr>
                <w:rFonts w:eastAsia="黑体"/>
                <w:sz w:val="20"/>
                <w:szCs w:val="20"/>
              </w:rPr>
            </w:pPr>
          </w:p>
        </w:tc>
        <w:tc>
          <w:tcPr>
            <w:tcW w:w="1048" w:type="pct"/>
            <w:gridSpan w:val="2"/>
            <w:vAlign w:val="center"/>
          </w:tcPr>
          <w:p w14:paraId="29FD69E1">
            <w:pPr>
              <w:jc w:val="center"/>
              <w:rPr>
                <w:rFonts w:eastAsia="黑体"/>
                <w:sz w:val="20"/>
                <w:szCs w:val="20"/>
              </w:rPr>
            </w:pPr>
            <w:r>
              <w:rPr>
                <w:rFonts w:hint="eastAsia" w:eastAsia="黑体"/>
                <w:sz w:val="20"/>
                <w:szCs w:val="20"/>
              </w:rPr>
              <w:t>多溴联苯醚（P</w:t>
            </w:r>
            <w:r>
              <w:rPr>
                <w:rFonts w:eastAsia="黑体"/>
                <w:sz w:val="20"/>
                <w:szCs w:val="20"/>
              </w:rPr>
              <w:t>BDE</w:t>
            </w:r>
            <w:r>
              <w:rPr>
                <w:rFonts w:hint="eastAsia" w:eastAsia="黑体"/>
                <w:sz w:val="20"/>
                <w:szCs w:val="20"/>
              </w:rPr>
              <w:t>s）</w:t>
            </w:r>
          </w:p>
        </w:tc>
        <w:tc>
          <w:tcPr>
            <w:tcW w:w="566" w:type="pct"/>
            <w:vMerge w:val="continue"/>
            <w:vAlign w:val="center"/>
          </w:tcPr>
          <w:p w14:paraId="29920345">
            <w:pPr>
              <w:jc w:val="center"/>
              <w:rPr>
                <w:rFonts w:eastAsia="黑体"/>
                <w:sz w:val="20"/>
                <w:szCs w:val="20"/>
              </w:rPr>
            </w:pPr>
          </w:p>
        </w:tc>
        <w:tc>
          <w:tcPr>
            <w:tcW w:w="854" w:type="pct"/>
            <w:vMerge w:val="continue"/>
            <w:vAlign w:val="center"/>
          </w:tcPr>
          <w:p w14:paraId="09891F2D">
            <w:pPr>
              <w:jc w:val="center"/>
              <w:rPr>
                <w:rFonts w:eastAsia="黑体"/>
                <w:sz w:val="20"/>
                <w:szCs w:val="20"/>
              </w:rPr>
            </w:pPr>
          </w:p>
        </w:tc>
        <w:tc>
          <w:tcPr>
            <w:tcW w:w="949" w:type="pct"/>
            <w:vMerge w:val="continue"/>
            <w:vAlign w:val="center"/>
          </w:tcPr>
          <w:p w14:paraId="1969AFF6">
            <w:pPr>
              <w:jc w:val="center"/>
              <w:rPr>
                <w:rFonts w:eastAsia="黑体"/>
                <w:sz w:val="20"/>
                <w:szCs w:val="20"/>
              </w:rPr>
            </w:pPr>
          </w:p>
        </w:tc>
      </w:tr>
      <w:tr w14:paraId="4EA94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76" w:type="pct"/>
            <w:vMerge w:val="restart"/>
            <w:vAlign w:val="center"/>
          </w:tcPr>
          <w:p w14:paraId="64A0C213">
            <w:pPr>
              <w:jc w:val="center"/>
              <w:rPr>
                <w:rFonts w:eastAsia="黑体"/>
                <w:sz w:val="20"/>
                <w:szCs w:val="20"/>
              </w:rPr>
            </w:pPr>
            <w:r>
              <w:rPr>
                <w:rFonts w:hint="eastAsia" w:eastAsia="黑体"/>
                <w:sz w:val="20"/>
                <w:szCs w:val="20"/>
              </w:rPr>
              <w:t>8</w:t>
            </w:r>
          </w:p>
        </w:tc>
        <w:tc>
          <w:tcPr>
            <w:tcW w:w="424" w:type="pct"/>
            <w:vMerge w:val="continue"/>
            <w:vAlign w:val="center"/>
          </w:tcPr>
          <w:p w14:paraId="56CC6539">
            <w:pPr>
              <w:rPr>
                <w:rFonts w:eastAsia="黑体"/>
                <w:sz w:val="20"/>
                <w:szCs w:val="20"/>
              </w:rPr>
            </w:pPr>
          </w:p>
        </w:tc>
        <w:tc>
          <w:tcPr>
            <w:tcW w:w="530" w:type="pct"/>
            <w:gridSpan w:val="2"/>
            <w:vMerge w:val="restart"/>
            <w:vAlign w:val="center"/>
          </w:tcPr>
          <w:p w14:paraId="1B612F0C">
            <w:pPr>
              <w:jc w:val="center"/>
              <w:rPr>
                <w:rFonts w:eastAsia="黑体"/>
                <w:sz w:val="20"/>
                <w:szCs w:val="20"/>
              </w:rPr>
            </w:pPr>
            <w:r>
              <w:rPr>
                <w:rFonts w:eastAsia="黑体"/>
                <w:sz w:val="20"/>
                <w:szCs w:val="20"/>
              </w:rPr>
              <w:t>重金属</w:t>
            </w:r>
          </w:p>
        </w:tc>
        <w:tc>
          <w:tcPr>
            <w:tcW w:w="351" w:type="pct"/>
            <w:vMerge w:val="restart"/>
            <w:vAlign w:val="center"/>
          </w:tcPr>
          <w:p w14:paraId="34470CAE">
            <w:pPr>
              <w:jc w:val="center"/>
              <w:rPr>
                <w:rFonts w:eastAsia="黑体"/>
                <w:sz w:val="20"/>
                <w:szCs w:val="20"/>
              </w:rPr>
            </w:pPr>
            <w:r>
              <w:rPr>
                <w:rFonts w:eastAsia="黑体"/>
                <w:sz w:val="20"/>
                <w:szCs w:val="20"/>
              </w:rPr>
              <w:t>ppm</w:t>
            </w:r>
          </w:p>
        </w:tc>
        <w:tc>
          <w:tcPr>
            <w:tcW w:w="1048" w:type="pct"/>
            <w:gridSpan w:val="2"/>
            <w:vAlign w:val="center"/>
          </w:tcPr>
          <w:p w14:paraId="09A9617A">
            <w:pPr>
              <w:jc w:val="center"/>
              <w:rPr>
                <w:rFonts w:eastAsia="黑体"/>
                <w:sz w:val="20"/>
                <w:szCs w:val="20"/>
              </w:rPr>
            </w:pPr>
            <w:r>
              <w:rPr>
                <w:rFonts w:eastAsia="黑体"/>
                <w:sz w:val="20"/>
                <w:szCs w:val="20"/>
              </w:rPr>
              <w:t>锑（Sb）</w:t>
            </w:r>
          </w:p>
        </w:tc>
        <w:tc>
          <w:tcPr>
            <w:tcW w:w="566" w:type="pct"/>
            <w:vAlign w:val="center"/>
          </w:tcPr>
          <w:p w14:paraId="5A10DCD0">
            <w:pPr>
              <w:jc w:val="center"/>
              <w:rPr>
                <w:rFonts w:eastAsia="黑体"/>
                <w:sz w:val="20"/>
                <w:szCs w:val="20"/>
              </w:rPr>
            </w:pPr>
            <w:r>
              <w:rPr>
                <w:rFonts w:hint="eastAsia" w:eastAsia="黑体"/>
                <w:sz w:val="20"/>
                <w:szCs w:val="20"/>
              </w:rPr>
              <w:t>≤</w:t>
            </w:r>
            <w:r>
              <w:rPr>
                <w:rFonts w:eastAsia="黑体"/>
                <w:sz w:val="20"/>
                <w:szCs w:val="20"/>
              </w:rPr>
              <w:t>0.5</w:t>
            </w:r>
          </w:p>
        </w:tc>
        <w:tc>
          <w:tcPr>
            <w:tcW w:w="854" w:type="pct"/>
            <w:vMerge w:val="restart"/>
            <w:vAlign w:val="center"/>
          </w:tcPr>
          <w:p w14:paraId="6BCF79C6">
            <w:pPr>
              <w:jc w:val="center"/>
              <w:rPr>
                <w:rFonts w:eastAsia="黑体"/>
                <w:sz w:val="20"/>
                <w:szCs w:val="20"/>
              </w:rPr>
            </w:pPr>
            <w:r>
              <w:rPr>
                <w:rFonts w:hint="eastAsia" w:eastAsia="黑体"/>
                <w:sz w:val="20"/>
                <w:szCs w:val="20"/>
              </w:rPr>
              <w:t>采用</w:t>
            </w:r>
            <w:r>
              <w:rPr>
                <w:rFonts w:eastAsia="黑体"/>
                <w:sz w:val="20"/>
                <w:szCs w:val="20"/>
              </w:rPr>
              <w:t>GB/T 22930.1检测并提供检测报告</w:t>
            </w:r>
          </w:p>
        </w:tc>
        <w:tc>
          <w:tcPr>
            <w:tcW w:w="949" w:type="pct"/>
            <w:vMerge w:val="restart"/>
            <w:vAlign w:val="center"/>
          </w:tcPr>
          <w:p w14:paraId="44C05C3C">
            <w:pPr>
              <w:jc w:val="center"/>
              <w:rPr>
                <w:rFonts w:eastAsia="黑体"/>
                <w:sz w:val="20"/>
                <w:szCs w:val="20"/>
              </w:rPr>
            </w:pPr>
            <w:r>
              <w:rPr>
                <w:rFonts w:hint="eastAsia" w:eastAsia="黑体"/>
                <w:sz w:val="20"/>
                <w:szCs w:val="20"/>
              </w:rPr>
              <w:t>产品销售、使用</w:t>
            </w:r>
          </w:p>
        </w:tc>
      </w:tr>
      <w:tr w14:paraId="6AB99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76" w:type="pct"/>
            <w:vMerge w:val="continue"/>
            <w:vAlign w:val="center"/>
          </w:tcPr>
          <w:p w14:paraId="4B40697E">
            <w:pPr>
              <w:jc w:val="center"/>
              <w:rPr>
                <w:rFonts w:eastAsia="黑体"/>
                <w:sz w:val="20"/>
                <w:szCs w:val="20"/>
              </w:rPr>
            </w:pPr>
          </w:p>
        </w:tc>
        <w:tc>
          <w:tcPr>
            <w:tcW w:w="424" w:type="pct"/>
            <w:vMerge w:val="continue"/>
            <w:vAlign w:val="center"/>
          </w:tcPr>
          <w:p w14:paraId="7C633A6A">
            <w:pPr>
              <w:rPr>
                <w:rFonts w:eastAsia="黑体"/>
                <w:sz w:val="20"/>
                <w:szCs w:val="20"/>
              </w:rPr>
            </w:pPr>
          </w:p>
        </w:tc>
        <w:tc>
          <w:tcPr>
            <w:tcW w:w="530" w:type="pct"/>
            <w:gridSpan w:val="2"/>
            <w:vMerge w:val="continue"/>
            <w:vAlign w:val="center"/>
          </w:tcPr>
          <w:p w14:paraId="61D3A081">
            <w:pPr>
              <w:rPr>
                <w:rFonts w:eastAsia="黑体"/>
                <w:sz w:val="20"/>
                <w:szCs w:val="20"/>
              </w:rPr>
            </w:pPr>
          </w:p>
        </w:tc>
        <w:tc>
          <w:tcPr>
            <w:tcW w:w="351" w:type="pct"/>
            <w:vMerge w:val="continue"/>
            <w:vAlign w:val="center"/>
          </w:tcPr>
          <w:p w14:paraId="41F35785">
            <w:pPr>
              <w:jc w:val="center"/>
              <w:rPr>
                <w:rFonts w:eastAsia="黑体"/>
                <w:sz w:val="20"/>
                <w:szCs w:val="20"/>
              </w:rPr>
            </w:pPr>
          </w:p>
        </w:tc>
        <w:tc>
          <w:tcPr>
            <w:tcW w:w="1048" w:type="pct"/>
            <w:gridSpan w:val="2"/>
            <w:vAlign w:val="center"/>
          </w:tcPr>
          <w:p w14:paraId="7D4CB2F3">
            <w:pPr>
              <w:jc w:val="center"/>
              <w:rPr>
                <w:rFonts w:eastAsia="黑体"/>
                <w:sz w:val="20"/>
                <w:szCs w:val="20"/>
              </w:rPr>
            </w:pPr>
            <w:r>
              <w:rPr>
                <w:rFonts w:eastAsia="黑体"/>
                <w:sz w:val="20"/>
                <w:szCs w:val="20"/>
              </w:rPr>
              <w:t>砷（As）</w:t>
            </w:r>
          </w:p>
        </w:tc>
        <w:tc>
          <w:tcPr>
            <w:tcW w:w="566" w:type="pct"/>
            <w:vAlign w:val="center"/>
          </w:tcPr>
          <w:p w14:paraId="4BF9BBBD">
            <w:pPr>
              <w:jc w:val="center"/>
              <w:rPr>
                <w:rFonts w:eastAsia="黑体"/>
                <w:sz w:val="20"/>
                <w:szCs w:val="20"/>
              </w:rPr>
            </w:pPr>
            <w:r>
              <w:rPr>
                <w:rFonts w:hint="eastAsia" w:eastAsia="黑体"/>
                <w:sz w:val="20"/>
                <w:szCs w:val="20"/>
              </w:rPr>
              <w:t>≤</w:t>
            </w:r>
            <w:r>
              <w:rPr>
                <w:rFonts w:eastAsia="黑体"/>
                <w:sz w:val="20"/>
                <w:szCs w:val="20"/>
              </w:rPr>
              <w:t>0.2</w:t>
            </w:r>
          </w:p>
        </w:tc>
        <w:tc>
          <w:tcPr>
            <w:tcW w:w="854" w:type="pct"/>
            <w:vMerge w:val="continue"/>
            <w:vAlign w:val="center"/>
          </w:tcPr>
          <w:p w14:paraId="755EB1A3">
            <w:pPr>
              <w:rPr>
                <w:rFonts w:eastAsia="黑体"/>
                <w:sz w:val="20"/>
                <w:szCs w:val="20"/>
              </w:rPr>
            </w:pPr>
          </w:p>
        </w:tc>
        <w:tc>
          <w:tcPr>
            <w:tcW w:w="949" w:type="pct"/>
            <w:vMerge w:val="continue"/>
            <w:vAlign w:val="center"/>
          </w:tcPr>
          <w:p w14:paraId="5730200D">
            <w:pPr>
              <w:rPr>
                <w:rFonts w:eastAsia="黑体"/>
                <w:sz w:val="20"/>
                <w:szCs w:val="20"/>
              </w:rPr>
            </w:pPr>
          </w:p>
        </w:tc>
      </w:tr>
      <w:tr w14:paraId="58219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76" w:type="pct"/>
            <w:vMerge w:val="continue"/>
            <w:vAlign w:val="center"/>
          </w:tcPr>
          <w:p w14:paraId="22B00D3C">
            <w:pPr>
              <w:jc w:val="center"/>
              <w:rPr>
                <w:rFonts w:eastAsia="黑体"/>
                <w:sz w:val="20"/>
                <w:szCs w:val="20"/>
              </w:rPr>
            </w:pPr>
          </w:p>
        </w:tc>
        <w:tc>
          <w:tcPr>
            <w:tcW w:w="424" w:type="pct"/>
            <w:vMerge w:val="continue"/>
            <w:vAlign w:val="center"/>
          </w:tcPr>
          <w:p w14:paraId="40CE14A2">
            <w:pPr>
              <w:rPr>
                <w:rFonts w:eastAsia="黑体"/>
                <w:sz w:val="20"/>
                <w:szCs w:val="20"/>
              </w:rPr>
            </w:pPr>
          </w:p>
        </w:tc>
        <w:tc>
          <w:tcPr>
            <w:tcW w:w="530" w:type="pct"/>
            <w:gridSpan w:val="2"/>
            <w:vMerge w:val="continue"/>
            <w:vAlign w:val="center"/>
          </w:tcPr>
          <w:p w14:paraId="11200063">
            <w:pPr>
              <w:rPr>
                <w:rFonts w:eastAsia="黑体"/>
                <w:sz w:val="20"/>
                <w:szCs w:val="20"/>
              </w:rPr>
            </w:pPr>
          </w:p>
        </w:tc>
        <w:tc>
          <w:tcPr>
            <w:tcW w:w="351" w:type="pct"/>
            <w:vMerge w:val="continue"/>
            <w:vAlign w:val="center"/>
          </w:tcPr>
          <w:p w14:paraId="59A2CA21">
            <w:pPr>
              <w:jc w:val="center"/>
              <w:rPr>
                <w:rFonts w:eastAsia="黑体"/>
                <w:sz w:val="20"/>
                <w:szCs w:val="20"/>
              </w:rPr>
            </w:pPr>
          </w:p>
        </w:tc>
        <w:tc>
          <w:tcPr>
            <w:tcW w:w="1048" w:type="pct"/>
            <w:gridSpan w:val="2"/>
            <w:vAlign w:val="center"/>
          </w:tcPr>
          <w:p w14:paraId="1965BE67">
            <w:pPr>
              <w:jc w:val="center"/>
              <w:rPr>
                <w:rFonts w:eastAsia="黑体"/>
                <w:sz w:val="20"/>
                <w:szCs w:val="20"/>
              </w:rPr>
            </w:pPr>
            <w:r>
              <w:rPr>
                <w:rFonts w:eastAsia="黑体"/>
                <w:sz w:val="20"/>
                <w:szCs w:val="20"/>
              </w:rPr>
              <w:t>铜（Cu）</w:t>
            </w:r>
          </w:p>
        </w:tc>
        <w:tc>
          <w:tcPr>
            <w:tcW w:w="566" w:type="pct"/>
            <w:vAlign w:val="center"/>
          </w:tcPr>
          <w:p w14:paraId="6253D139">
            <w:pPr>
              <w:jc w:val="center"/>
              <w:rPr>
                <w:rFonts w:eastAsia="黑体"/>
                <w:sz w:val="20"/>
                <w:szCs w:val="20"/>
              </w:rPr>
            </w:pPr>
            <w:r>
              <w:rPr>
                <w:rFonts w:hint="eastAsia" w:eastAsia="黑体"/>
                <w:sz w:val="20"/>
                <w:szCs w:val="20"/>
              </w:rPr>
              <w:t>≤</w:t>
            </w:r>
            <w:r>
              <w:rPr>
                <w:rFonts w:eastAsia="黑体"/>
                <w:sz w:val="20"/>
                <w:szCs w:val="20"/>
              </w:rPr>
              <w:t>2</w:t>
            </w:r>
          </w:p>
        </w:tc>
        <w:tc>
          <w:tcPr>
            <w:tcW w:w="854" w:type="pct"/>
            <w:vMerge w:val="continue"/>
            <w:vAlign w:val="center"/>
          </w:tcPr>
          <w:p w14:paraId="6FCE666E">
            <w:pPr>
              <w:rPr>
                <w:rFonts w:eastAsia="黑体"/>
                <w:sz w:val="20"/>
                <w:szCs w:val="20"/>
              </w:rPr>
            </w:pPr>
          </w:p>
        </w:tc>
        <w:tc>
          <w:tcPr>
            <w:tcW w:w="949" w:type="pct"/>
            <w:vMerge w:val="continue"/>
            <w:vAlign w:val="center"/>
          </w:tcPr>
          <w:p w14:paraId="214F3F48">
            <w:pPr>
              <w:rPr>
                <w:rFonts w:eastAsia="黑体"/>
                <w:sz w:val="20"/>
                <w:szCs w:val="20"/>
              </w:rPr>
            </w:pPr>
          </w:p>
        </w:tc>
      </w:tr>
      <w:tr w14:paraId="232C5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76" w:type="pct"/>
            <w:vMerge w:val="continue"/>
            <w:vAlign w:val="center"/>
          </w:tcPr>
          <w:p w14:paraId="25ABE01F">
            <w:pPr>
              <w:jc w:val="center"/>
              <w:rPr>
                <w:rFonts w:eastAsia="黑体"/>
                <w:sz w:val="20"/>
                <w:szCs w:val="20"/>
              </w:rPr>
            </w:pPr>
          </w:p>
        </w:tc>
        <w:tc>
          <w:tcPr>
            <w:tcW w:w="424" w:type="pct"/>
            <w:vMerge w:val="continue"/>
            <w:vAlign w:val="center"/>
          </w:tcPr>
          <w:p w14:paraId="79ED9A4D">
            <w:pPr>
              <w:rPr>
                <w:rFonts w:eastAsia="黑体"/>
                <w:sz w:val="20"/>
                <w:szCs w:val="20"/>
              </w:rPr>
            </w:pPr>
          </w:p>
        </w:tc>
        <w:tc>
          <w:tcPr>
            <w:tcW w:w="530" w:type="pct"/>
            <w:gridSpan w:val="2"/>
            <w:vMerge w:val="continue"/>
            <w:vAlign w:val="center"/>
          </w:tcPr>
          <w:p w14:paraId="1B282BA9">
            <w:pPr>
              <w:rPr>
                <w:rFonts w:eastAsia="黑体"/>
                <w:sz w:val="20"/>
                <w:szCs w:val="20"/>
              </w:rPr>
            </w:pPr>
          </w:p>
        </w:tc>
        <w:tc>
          <w:tcPr>
            <w:tcW w:w="351" w:type="pct"/>
            <w:vMerge w:val="continue"/>
            <w:vAlign w:val="center"/>
          </w:tcPr>
          <w:p w14:paraId="3B95A956">
            <w:pPr>
              <w:jc w:val="center"/>
              <w:rPr>
                <w:rFonts w:eastAsia="黑体"/>
                <w:sz w:val="20"/>
                <w:szCs w:val="20"/>
              </w:rPr>
            </w:pPr>
          </w:p>
        </w:tc>
        <w:tc>
          <w:tcPr>
            <w:tcW w:w="1048" w:type="pct"/>
            <w:gridSpan w:val="2"/>
            <w:vAlign w:val="center"/>
          </w:tcPr>
          <w:p w14:paraId="52C39A38">
            <w:pPr>
              <w:jc w:val="center"/>
              <w:rPr>
                <w:rFonts w:eastAsia="黑体"/>
                <w:sz w:val="20"/>
                <w:szCs w:val="20"/>
              </w:rPr>
            </w:pPr>
            <w:r>
              <w:rPr>
                <w:rFonts w:eastAsia="黑体"/>
                <w:sz w:val="20"/>
                <w:szCs w:val="20"/>
              </w:rPr>
              <w:t>镍（Ni）</w:t>
            </w:r>
          </w:p>
        </w:tc>
        <w:tc>
          <w:tcPr>
            <w:tcW w:w="566" w:type="pct"/>
            <w:vAlign w:val="center"/>
          </w:tcPr>
          <w:p w14:paraId="44DF7E9E">
            <w:pPr>
              <w:jc w:val="center"/>
              <w:rPr>
                <w:rFonts w:eastAsia="黑体"/>
                <w:sz w:val="20"/>
                <w:szCs w:val="20"/>
              </w:rPr>
            </w:pPr>
            <w:r>
              <w:rPr>
                <w:rFonts w:hint="eastAsia" w:eastAsia="黑体"/>
                <w:sz w:val="20"/>
                <w:szCs w:val="20"/>
              </w:rPr>
              <w:t>≤</w:t>
            </w:r>
            <w:r>
              <w:rPr>
                <w:rFonts w:eastAsia="黑体"/>
                <w:sz w:val="20"/>
                <w:szCs w:val="20"/>
              </w:rPr>
              <w:t>1</w:t>
            </w:r>
          </w:p>
        </w:tc>
        <w:tc>
          <w:tcPr>
            <w:tcW w:w="854" w:type="pct"/>
            <w:vMerge w:val="continue"/>
            <w:vAlign w:val="center"/>
          </w:tcPr>
          <w:p w14:paraId="5623B7FE">
            <w:pPr>
              <w:rPr>
                <w:rFonts w:eastAsia="黑体"/>
                <w:sz w:val="20"/>
                <w:szCs w:val="20"/>
              </w:rPr>
            </w:pPr>
          </w:p>
        </w:tc>
        <w:tc>
          <w:tcPr>
            <w:tcW w:w="949" w:type="pct"/>
            <w:vMerge w:val="continue"/>
            <w:vAlign w:val="center"/>
          </w:tcPr>
          <w:p w14:paraId="77F6004F">
            <w:pPr>
              <w:rPr>
                <w:rFonts w:eastAsia="黑体"/>
                <w:sz w:val="20"/>
                <w:szCs w:val="20"/>
              </w:rPr>
            </w:pPr>
          </w:p>
        </w:tc>
      </w:tr>
      <w:tr w14:paraId="7C4AE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76" w:type="pct"/>
            <w:vMerge w:val="continue"/>
            <w:vAlign w:val="center"/>
          </w:tcPr>
          <w:p w14:paraId="36E23A10">
            <w:pPr>
              <w:jc w:val="center"/>
              <w:rPr>
                <w:rFonts w:eastAsia="黑体"/>
                <w:sz w:val="20"/>
                <w:szCs w:val="20"/>
              </w:rPr>
            </w:pPr>
          </w:p>
        </w:tc>
        <w:tc>
          <w:tcPr>
            <w:tcW w:w="424" w:type="pct"/>
            <w:vMerge w:val="continue"/>
            <w:vAlign w:val="center"/>
          </w:tcPr>
          <w:p w14:paraId="09FD4B3F">
            <w:pPr>
              <w:rPr>
                <w:rFonts w:eastAsia="黑体"/>
                <w:sz w:val="20"/>
                <w:szCs w:val="20"/>
              </w:rPr>
            </w:pPr>
          </w:p>
        </w:tc>
        <w:tc>
          <w:tcPr>
            <w:tcW w:w="530" w:type="pct"/>
            <w:gridSpan w:val="2"/>
            <w:vMerge w:val="continue"/>
            <w:vAlign w:val="center"/>
          </w:tcPr>
          <w:p w14:paraId="522477F8">
            <w:pPr>
              <w:rPr>
                <w:rFonts w:eastAsia="黑体"/>
                <w:sz w:val="20"/>
                <w:szCs w:val="20"/>
              </w:rPr>
            </w:pPr>
          </w:p>
        </w:tc>
        <w:tc>
          <w:tcPr>
            <w:tcW w:w="351" w:type="pct"/>
            <w:vMerge w:val="continue"/>
            <w:vAlign w:val="center"/>
          </w:tcPr>
          <w:p w14:paraId="2615311F">
            <w:pPr>
              <w:jc w:val="center"/>
              <w:rPr>
                <w:rFonts w:eastAsia="黑体"/>
                <w:sz w:val="20"/>
                <w:szCs w:val="20"/>
              </w:rPr>
            </w:pPr>
          </w:p>
        </w:tc>
        <w:tc>
          <w:tcPr>
            <w:tcW w:w="1048" w:type="pct"/>
            <w:gridSpan w:val="2"/>
            <w:vAlign w:val="center"/>
          </w:tcPr>
          <w:p w14:paraId="085FD9A5">
            <w:pPr>
              <w:jc w:val="center"/>
              <w:rPr>
                <w:rFonts w:eastAsia="黑体"/>
                <w:sz w:val="20"/>
                <w:szCs w:val="20"/>
              </w:rPr>
            </w:pPr>
            <w:r>
              <w:rPr>
                <w:rFonts w:eastAsia="黑体"/>
                <w:sz w:val="20"/>
                <w:szCs w:val="20"/>
              </w:rPr>
              <w:t>铬（Cr）</w:t>
            </w:r>
          </w:p>
        </w:tc>
        <w:tc>
          <w:tcPr>
            <w:tcW w:w="566" w:type="pct"/>
            <w:vAlign w:val="center"/>
          </w:tcPr>
          <w:p w14:paraId="26421008">
            <w:pPr>
              <w:jc w:val="center"/>
              <w:rPr>
                <w:rFonts w:eastAsia="黑体"/>
                <w:sz w:val="20"/>
                <w:szCs w:val="20"/>
              </w:rPr>
            </w:pPr>
            <w:r>
              <w:rPr>
                <w:rFonts w:hint="eastAsia" w:eastAsia="黑体"/>
                <w:sz w:val="20"/>
                <w:szCs w:val="20"/>
              </w:rPr>
              <w:t>≤1</w:t>
            </w:r>
          </w:p>
        </w:tc>
        <w:tc>
          <w:tcPr>
            <w:tcW w:w="854" w:type="pct"/>
            <w:vMerge w:val="continue"/>
            <w:vAlign w:val="center"/>
          </w:tcPr>
          <w:p w14:paraId="4D9C49F3">
            <w:pPr>
              <w:rPr>
                <w:rFonts w:eastAsia="黑体"/>
                <w:sz w:val="20"/>
                <w:szCs w:val="20"/>
              </w:rPr>
            </w:pPr>
          </w:p>
        </w:tc>
        <w:tc>
          <w:tcPr>
            <w:tcW w:w="949" w:type="pct"/>
            <w:vMerge w:val="continue"/>
            <w:vAlign w:val="center"/>
          </w:tcPr>
          <w:p w14:paraId="698FADD6">
            <w:pPr>
              <w:rPr>
                <w:rFonts w:eastAsia="黑体"/>
                <w:sz w:val="20"/>
                <w:szCs w:val="20"/>
              </w:rPr>
            </w:pPr>
          </w:p>
        </w:tc>
      </w:tr>
      <w:tr w14:paraId="0A688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76" w:type="pct"/>
            <w:vMerge w:val="continue"/>
            <w:vAlign w:val="center"/>
          </w:tcPr>
          <w:p w14:paraId="63A40696">
            <w:pPr>
              <w:jc w:val="center"/>
              <w:rPr>
                <w:rFonts w:eastAsia="黑体"/>
                <w:sz w:val="20"/>
                <w:szCs w:val="20"/>
              </w:rPr>
            </w:pPr>
          </w:p>
        </w:tc>
        <w:tc>
          <w:tcPr>
            <w:tcW w:w="424" w:type="pct"/>
            <w:vMerge w:val="continue"/>
            <w:vAlign w:val="center"/>
          </w:tcPr>
          <w:p w14:paraId="599FC990">
            <w:pPr>
              <w:rPr>
                <w:rFonts w:eastAsia="黑体"/>
                <w:sz w:val="20"/>
                <w:szCs w:val="20"/>
              </w:rPr>
            </w:pPr>
          </w:p>
        </w:tc>
        <w:tc>
          <w:tcPr>
            <w:tcW w:w="530" w:type="pct"/>
            <w:gridSpan w:val="2"/>
            <w:vMerge w:val="continue"/>
            <w:vAlign w:val="center"/>
          </w:tcPr>
          <w:p w14:paraId="1FADFB9F">
            <w:pPr>
              <w:rPr>
                <w:rFonts w:eastAsia="黑体"/>
                <w:sz w:val="20"/>
                <w:szCs w:val="20"/>
              </w:rPr>
            </w:pPr>
          </w:p>
        </w:tc>
        <w:tc>
          <w:tcPr>
            <w:tcW w:w="351" w:type="pct"/>
            <w:vMerge w:val="continue"/>
            <w:vAlign w:val="center"/>
          </w:tcPr>
          <w:p w14:paraId="1A2BF1FE">
            <w:pPr>
              <w:jc w:val="center"/>
              <w:rPr>
                <w:rFonts w:eastAsia="黑体"/>
                <w:sz w:val="20"/>
                <w:szCs w:val="20"/>
              </w:rPr>
            </w:pPr>
          </w:p>
        </w:tc>
        <w:tc>
          <w:tcPr>
            <w:tcW w:w="1048" w:type="pct"/>
            <w:gridSpan w:val="2"/>
            <w:vAlign w:val="center"/>
          </w:tcPr>
          <w:p w14:paraId="4F93BBD5">
            <w:pPr>
              <w:jc w:val="center"/>
              <w:rPr>
                <w:rFonts w:eastAsia="黑体"/>
                <w:sz w:val="20"/>
                <w:szCs w:val="20"/>
              </w:rPr>
            </w:pPr>
            <w:r>
              <w:rPr>
                <w:rFonts w:eastAsia="黑体"/>
                <w:sz w:val="20"/>
                <w:szCs w:val="20"/>
              </w:rPr>
              <w:t>硒（Se）</w:t>
            </w:r>
          </w:p>
        </w:tc>
        <w:tc>
          <w:tcPr>
            <w:tcW w:w="566" w:type="pct"/>
            <w:vAlign w:val="center"/>
          </w:tcPr>
          <w:p w14:paraId="2B3A337B">
            <w:pPr>
              <w:jc w:val="center"/>
              <w:rPr>
                <w:rFonts w:eastAsia="黑体"/>
                <w:sz w:val="20"/>
                <w:szCs w:val="20"/>
              </w:rPr>
            </w:pPr>
            <w:r>
              <w:rPr>
                <w:rFonts w:hint="eastAsia" w:eastAsia="黑体"/>
                <w:sz w:val="20"/>
                <w:szCs w:val="20"/>
              </w:rPr>
              <w:t>≤</w:t>
            </w:r>
            <w:r>
              <w:rPr>
                <w:rFonts w:eastAsia="黑体"/>
                <w:sz w:val="20"/>
                <w:szCs w:val="20"/>
              </w:rPr>
              <w:t>0.5</w:t>
            </w:r>
          </w:p>
        </w:tc>
        <w:tc>
          <w:tcPr>
            <w:tcW w:w="854" w:type="pct"/>
            <w:vMerge w:val="continue"/>
            <w:vAlign w:val="center"/>
          </w:tcPr>
          <w:p w14:paraId="56D1E940">
            <w:pPr>
              <w:rPr>
                <w:rFonts w:eastAsia="黑体"/>
                <w:sz w:val="20"/>
                <w:szCs w:val="20"/>
              </w:rPr>
            </w:pPr>
          </w:p>
        </w:tc>
        <w:tc>
          <w:tcPr>
            <w:tcW w:w="949" w:type="pct"/>
            <w:vMerge w:val="continue"/>
            <w:vAlign w:val="center"/>
          </w:tcPr>
          <w:p w14:paraId="64BDF18E">
            <w:pPr>
              <w:rPr>
                <w:rFonts w:eastAsia="黑体"/>
                <w:sz w:val="20"/>
                <w:szCs w:val="20"/>
              </w:rPr>
            </w:pPr>
          </w:p>
        </w:tc>
      </w:tr>
      <w:tr w14:paraId="101C7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76" w:type="pct"/>
            <w:vMerge w:val="continue"/>
            <w:vAlign w:val="center"/>
          </w:tcPr>
          <w:p w14:paraId="59549097">
            <w:pPr>
              <w:jc w:val="center"/>
              <w:rPr>
                <w:rFonts w:eastAsia="黑体"/>
                <w:sz w:val="20"/>
                <w:szCs w:val="20"/>
              </w:rPr>
            </w:pPr>
          </w:p>
        </w:tc>
        <w:tc>
          <w:tcPr>
            <w:tcW w:w="424" w:type="pct"/>
            <w:vMerge w:val="continue"/>
            <w:vAlign w:val="center"/>
          </w:tcPr>
          <w:p w14:paraId="0C5EE744">
            <w:pPr>
              <w:rPr>
                <w:rFonts w:eastAsia="黑体"/>
                <w:sz w:val="20"/>
                <w:szCs w:val="20"/>
              </w:rPr>
            </w:pPr>
          </w:p>
        </w:tc>
        <w:tc>
          <w:tcPr>
            <w:tcW w:w="530" w:type="pct"/>
            <w:gridSpan w:val="2"/>
            <w:vMerge w:val="continue"/>
            <w:vAlign w:val="center"/>
          </w:tcPr>
          <w:p w14:paraId="4C957576">
            <w:pPr>
              <w:rPr>
                <w:rFonts w:eastAsia="黑体"/>
                <w:sz w:val="20"/>
                <w:szCs w:val="20"/>
              </w:rPr>
            </w:pPr>
          </w:p>
        </w:tc>
        <w:tc>
          <w:tcPr>
            <w:tcW w:w="351" w:type="pct"/>
            <w:vMerge w:val="continue"/>
            <w:vAlign w:val="center"/>
          </w:tcPr>
          <w:p w14:paraId="61584AA3">
            <w:pPr>
              <w:jc w:val="center"/>
              <w:rPr>
                <w:rFonts w:eastAsia="黑体"/>
                <w:sz w:val="20"/>
                <w:szCs w:val="20"/>
              </w:rPr>
            </w:pPr>
          </w:p>
        </w:tc>
        <w:tc>
          <w:tcPr>
            <w:tcW w:w="1048" w:type="pct"/>
            <w:gridSpan w:val="2"/>
            <w:vAlign w:val="center"/>
          </w:tcPr>
          <w:p w14:paraId="20DF5692">
            <w:pPr>
              <w:jc w:val="center"/>
              <w:rPr>
                <w:rFonts w:eastAsia="黑体"/>
                <w:sz w:val="20"/>
                <w:szCs w:val="20"/>
              </w:rPr>
            </w:pPr>
            <w:r>
              <w:rPr>
                <w:rFonts w:eastAsia="黑体"/>
                <w:sz w:val="20"/>
                <w:szCs w:val="20"/>
              </w:rPr>
              <w:t>钴（Co）</w:t>
            </w:r>
          </w:p>
        </w:tc>
        <w:tc>
          <w:tcPr>
            <w:tcW w:w="566" w:type="pct"/>
            <w:vAlign w:val="center"/>
          </w:tcPr>
          <w:p w14:paraId="6E076FFB">
            <w:pPr>
              <w:jc w:val="center"/>
              <w:rPr>
                <w:rFonts w:eastAsia="黑体"/>
                <w:sz w:val="20"/>
                <w:szCs w:val="20"/>
              </w:rPr>
            </w:pPr>
            <w:r>
              <w:rPr>
                <w:rFonts w:hint="eastAsia" w:eastAsia="黑体"/>
                <w:sz w:val="20"/>
                <w:szCs w:val="20"/>
              </w:rPr>
              <w:t>≤</w:t>
            </w:r>
            <w:r>
              <w:rPr>
                <w:rFonts w:eastAsia="黑体"/>
                <w:sz w:val="20"/>
                <w:szCs w:val="20"/>
              </w:rPr>
              <w:t>0.5</w:t>
            </w:r>
          </w:p>
        </w:tc>
        <w:tc>
          <w:tcPr>
            <w:tcW w:w="854" w:type="pct"/>
            <w:vMerge w:val="continue"/>
            <w:vAlign w:val="center"/>
          </w:tcPr>
          <w:p w14:paraId="214532ED">
            <w:pPr>
              <w:rPr>
                <w:rFonts w:eastAsia="黑体"/>
                <w:sz w:val="20"/>
                <w:szCs w:val="20"/>
              </w:rPr>
            </w:pPr>
          </w:p>
        </w:tc>
        <w:tc>
          <w:tcPr>
            <w:tcW w:w="949" w:type="pct"/>
            <w:vMerge w:val="continue"/>
            <w:vAlign w:val="center"/>
          </w:tcPr>
          <w:p w14:paraId="18A975C8">
            <w:pPr>
              <w:rPr>
                <w:rFonts w:eastAsia="黑体"/>
                <w:sz w:val="20"/>
                <w:szCs w:val="20"/>
              </w:rPr>
            </w:pPr>
          </w:p>
        </w:tc>
      </w:tr>
      <w:tr w14:paraId="5E144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76" w:type="pct"/>
            <w:vMerge w:val="continue"/>
            <w:vAlign w:val="center"/>
          </w:tcPr>
          <w:p w14:paraId="0EAC5FD8">
            <w:pPr>
              <w:jc w:val="center"/>
              <w:rPr>
                <w:rFonts w:eastAsia="黑体"/>
                <w:sz w:val="20"/>
                <w:szCs w:val="20"/>
              </w:rPr>
            </w:pPr>
          </w:p>
        </w:tc>
        <w:tc>
          <w:tcPr>
            <w:tcW w:w="424" w:type="pct"/>
            <w:vMerge w:val="continue"/>
            <w:vAlign w:val="center"/>
          </w:tcPr>
          <w:p w14:paraId="091B0D8C">
            <w:pPr>
              <w:rPr>
                <w:rFonts w:eastAsia="黑体"/>
                <w:sz w:val="20"/>
                <w:szCs w:val="20"/>
              </w:rPr>
            </w:pPr>
          </w:p>
        </w:tc>
        <w:tc>
          <w:tcPr>
            <w:tcW w:w="530" w:type="pct"/>
            <w:gridSpan w:val="2"/>
            <w:vMerge w:val="continue"/>
            <w:vAlign w:val="center"/>
          </w:tcPr>
          <w:p w14:paraId="72A3BBED">
            <w:pPr>
              <w:rPr>
                <w:rFonts w:eastAsia="黑体"/>
                <w:sz w:val="20"/>
                <w:szCs w:val="20"/>
              </w:rPr>
            </w:pPr>
          </w:p>
        </w:tc>
        <w:tc>
          <w:tcPr>
            <w:tcW w:w="351" w:type="pct"/>
            <w:vMerge w:val="continue"/>
            <w:vAlign w:val="center"/>
          </w:tcPr>
          <w:p w14:paraId="306D41D3">
            <w:pPr>
              <w:jc w:val="center"/>
              <w:rPr>
                <w:rFonts w:eastAsia="黑体"/>
                <w:sz w:val="20"/>
                <w:szCs w:val="20"/>
              </w:rPr>
            </w:pPr>
          </w:p>
        </w:tc>
        <w:tc>
          <w:tcPr>
            <w:tcW w:w="1048" w:type="pct"/>
            <w:gridSpan w:val="2"/>
            <w:vAlign w:val="center"/>
          </w:tcPr>
          <w:p w14:paraId="22657C5A">
            <w:pPr>
              <w:jc w:val="center"/>
              <w:rPr>
                <w:rFonts w:eastAsia="黑体"/>
                <w:sz w:val="20"/>
                <w:szCs w:val="20"/>
              </w:rPr>
            </w:pPr>
            <w:r>
              <w:rPr>
                <w:rFonts w:eastAsia="黑体"/>
                <w:sz w:val="20"/>
                <w:szCs w:val="20"/>
              </w:rPr>
              <w:t>镉（Cd）</w:t>
            </w:r>
          </w:p>
        </w:tc>
        <w:tc>
          <w:tcPr>
            <w:tcW w:w="566" w:type="pct"/>
            <w:vAlign w:val="center"/>
          </w:tcPr>
          <w:p w14:paraId="73B0F279">
            <w:pPr>
              <w:jc w:val="center"/>
              <w:rPr>
                <w:rFonts w:eastAsia="黑体"/>
                <w:sz w:val="20"/>
                <w:szCs w:val="20"/>
              </w:rPr>
            </w:pPr>
            <w:r>
              <w:rPr>
                <w:rFonts w:hint="eastAsia" w:eastAsia="黑体"/>
                <w:sz w:val="20"/>
                <w:szCs w:val="20"/>
              </w:rPr>
              <w:t>≤</w:t>
            </w:r>
            <w:r>
              <w:rPr>
                <w:rFonts w:eastAsia="黑体"/>
                <w:sz w:val="20"/>
                <w:szCs w:val="20"/>
              </w:rPr>
              <w:t>0.1</w:t>
            </w:r>
          </w:p>
        </w:tc>
        <w:tc>
          <w:tcPr>
            <w:tcW w:w="854" w:type="pct"/>
            <w:vAlign w:val="center"/>
          </w:tcPr>
          <w:p w14:paraId="1C936029">
            <w:pPr>
              <w:rPr>
                <w:rFonts w:eastAsia="黑体"/>
                <w:sz w:val="20"/>
                <w:szCs w:val="20"/>
              </w:rPr>
            </w:pPr>
            <w:r>
              <w:rPr>
                <w:rFonts w:hint="eastAsia" w:eastAsia="黑体"/>
                <w:sz w:val="20"/>
                <w:szCs w:val="20"/>
              </w:rPr>
              <w:t>采用</w:t>
            </w:r>
            <w:r>
              <w:rPr>
                <w:rFonts w:eastAsia="黑体"/>
                <w:sz w:val="20"/>
                <w:szCs w:val="20"/>
              </w:rPr>
              <w:t>QC/T 943-2013</w:t>
            </w:r>
            <w:r>
              <w:rPr>
                <w:rFonts w:hint="eastAsia" w:eastAsia="黑体"/>
                <w:sz w:val="20"/>
                <w:szCs w:val="20"/>
              </w:rPr>
              <w:t>检测并提供检测报告</w:t>
            </w:r>
          </w:p>
        </w:tc>
        <w:tc>
          <w:tcPr>
            <w:tcW w:w="949" w:type="pct"/>
            <w:vAlign w:val="center"/>
          </w:tcPr>
          <w:p w14:paraId="03553B4C">
            <w:pPr>
              <w:rPr>
                <w:rFonts w:eastAsia="黑体"/>
                <w:sz w:val="20"/>
                <w:szCs w:val="20"/>
              </w:rPr>
            </w:pPr>
            <w:r>
              <w:rPr>
                <w:rFonts w:hint="eastAsia" w:eastAsia="黑体"/>
                <w:sz w:val="20"/>
                <w:szCs w:val="20"/>
              </w:rPr>
              <w:t>产品销售、使用</w:t>
            </w:r>
          </w:p>
        </w:tc>
      </w:tr>
      <w:tr w14:paraId="133C9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76" w:type="pct"/>
            <w:vMerge w:val="continue"/>
            <w:vAlign w:val="center"/>
          </w:tcPr>
          <w:p w14:paraId="6DA8DDE2">
            <w:pPr>
              <w:jc w:val="center"/>
              <w:rPr>
                <w:rFonts w:eastAsia="黑体"/>
                <w:sz w:val="20"/>
                <w:szCs w:val="20"/>
              </w:rPr>
            </w:pPr>
          </w:p>
        </w:tc>
        <w:tc>
          <w:tcPr>
            <w:tcW w:w="424" w:type="pct"/>
            <w:vMerge w:val="continue"/>
            <w:vAlign w:val="center"/>
          </w:tcPr>
          <w:p w14:paraId="2BD12A09">
            <w:pPr>
              <w:rPr>
                <w:rFonts w:eastAsia="黑体"/>
                <w:sz w:val="20"/>
                <w:szCs w:val="20"/>
              </w:rPr>
            </w:pPr>
          </w:p>
        </w:tc>
        <w:tc>
          <w:tcPr>
            <w:tcW w:w="530" w:type="pct"/>
            <w:gridSpan w:val="2"/>
            <w:vMerge w:val="continue"/>
            <w:vAlign w:val="center"/>
          </w:tcPr>
          <w:p w14:paraId="2183685B">
            <w:pPr>
              <w:rPr>
                <w:rFonts w:eastAsia="黑体"/>
                <w:sz w:val="20"/>
                <w:szCs w:val="20"/>
              </w:rPr>
            </w:pPr>
          </w:p>
        </w:tc>
        <w:tc>
          <w:tcPr>
            <w:tcW w:w="351" w:type="pct"/>
            <w:vMerge w:val="continue"/>
            <w:vAlign w:val="center"/>
          </w:tcPr>
          <w:p w14:paraId="0DF48B55">
            <w:pPr>
              <w:jc w:val="center"/>
              <w:rPr>
                <w:rFonts w:eastAsia="黑体"/>
                <w:sz w:val="20"/>
                <w:szCs w:val="20"/>
              </w:rPr>
            </w:pPr>
          </w:p>
        </w:tc>
        <w:tc>
          <w:tcPr>
            <w:tcW w:w="1048" w:type="pct"/>
            <w:gridSpan w:val="2"/>
            <w:vAlign w:val="center"/>
          </w:tcPr>
          <w:p w14:paraId="74451744">
            <w:pPr>
              <w:jc w:val="center"/>
              <w:rPr>
                <w:rFonts w:eastAsia="黑体"/>
                <w:sz w:val="20"/>
                <w:szCs w:val="20"/>
              </w:rPr>
            </w:pPr>
            <w:r>
              <w:rPr>
                <w:rFonts w:eastAsia="黑体"/>
                <w:sz w:val="20"/>
                <w:szCs w:val="20"/>
              </w:rPr>
              <w:t>汞（Hg）</w:t>
            </w:r>
          </w:p>
        </w:tc>
        <w:tc>
          <w:tcPr>
            <w:tcW w:w="566" w:type="pct"/>
            <w:vAlign w:val="center"/>
          </w:tcPr>
          <w:p w14:paraId="33E568AF">
            <w:pPr>
              <w:jc w:val="center"/>
              <w:rPr>
                <w:rFonts w:eastAsia="黑体"/>
                <w:sz w:val="20"/>
                <w:szCs w:val="20"/>
              </w:rPr>
            </w:pPr>
            <w:r>
              <w:rPr>
                <w:rFonts w:hint="eastAsia" w:eastAsia="黑体"/>
                <w:sz w:val="20"/>
                <w:szCs w:val="20"/>
              </w:rPr>
              <w:t>≤</w:t>
            </w:r>
            <w:r>
              <w:rPr>
                <w:rFonts w:eastAsia="黑体"/>
                <w:sz w:val="20"/>
                <w:szCs w:val="20"/>
              </w:rPr>
              <w:t>0.02</w:t>
            </w:r>
          </w:p>
        </w:tc>
        <w:tc>
          <w:tcPr>
            <w:tcW w:w="854" w:type="pct"/>
            <w:vAlign w:val="center"/>
          </w:tcPr>
          <w:p w14:paraId="06AA5A1D">
            <w:pPr>
              <w:rPr>
                <w:rFonts w:eastAsia="黑体"/>
                <w:sz w:val="20"/>
                <w:szCs w:val="20"/>
              </w:rPr>
            </w:pPr>
            <w:r>
              <w:rPr>
                <w:rFonts w:hint="eastAsia" w:eastAsia="黑体"/>
                <w:sz w:val="20"/>
                <w:szCs w:val="20"/>
              </w:rPr>
              <w:t>采用</w:t>
            </w:r>
            <w:r>
              <w:rPr>
                <w:rFonts w:eastAsia="黑体"/>
                <w:sz w:val="20"/>
                <w:szCs w:val="20"/>
              </w:rPr>
              <w:t>QC/T 941-2013</w:t>
            </w:r>
            <w:r>
              <w:rPr>
                <w:rFonts w:hint="eastAsia" w:eastAsia="黑体"/>
                <w:sz w:val="20"/>
                <w:szCs w:val="20"/>
              </w:rPr>
              <w:t>检测并提供检测报告</w:t>
            </w:r>
          </w:p>
        </w:tc>
        <w:tc>
          <w:tcPr>
            <w:tcW w:w="949" w:type="pct"/>
            <w:vAlign w:val="center"/>
          </w:tcPr>
          <w:p w14:paraId="08179DE3">
            <w:pPr>
              <w:rPr>
                <w:rFonts w:eastAsia="黑体"/>
                <w:sz w:val="20"/>
                <w:szCs w:val="20"/>
              </w:rPr>
            </w:pPr>
            <w:r>
              <w:rPr>
                <w:rFonts w:hint="eastAsia" w:eastAsia="黑体"/>
                <w:sz w:val="20"/>
                <w:szCs w:val="20"/>
              </w:rPr>
              <w:t>产品销售、使用</w:t>
            </w:r>
          </w:p>
        </w:tc>
      </w:tr>
      <w:tr w14:paraId="62F9A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76" w:type="pct"/>
            <w:vMerge w:val="continue"/>
            <w:vAlign w:val="center"/>
          </w:tcPr>
          <w:p w14:paraId="4DFBB405">
            <w:pPr>
              <w:jc w:val="center"/>
              <w:rPr>
                <w:rFonts w:eastAsia="黑体"/>
                <w:sz w:val="20"/>
                <w:szCs w:val="20"/>
              </w:rPr>
            </w:pPr>
          </w:p>
        </w:tc>
        <w:tc>
          <w:tcPr>
            <w:tcW w:w="424" w:type="pct"/>
            <w:vMerge w:val="continue"/>
            <w:vAlign w:val="center"/>
          </w:tcPr>
          <w:p w14:paraId="142B6A27">
            <w:pPr>
              <w:rPr>
                <w:rFonts w:eastAsia="黑体"/>
                <w:sz w:val="20"/>
                <w:szCs w:val="20"/>
              </w:rPr>
            </w:pPr>
          </w:p>
        </w:tc>
        <w:tc>
          <w:tcPr>
            <w:tcW w:w="530" w:type="pct"/>
            <w:gridSpan w:val="2"/>
            <w:vMerge w:val="continue"/>
            <w:vAlign w:val="center"/>
          </w:tcPr>
          <w:p w14:paraId="56DCB20F">
            <w:pPr>
              <w:rPr>
                <w:rFonts w:eastAsia="黑体"/>
                <w:sz w:val="20"/>
                <w:szCs w:val="20"/>
              </w:rPr>
            </w:pPr>
          </w:p>
        </w:tc>
        <w:tc>
          <w:tcPr>
            <w:tcW w:w="351" w:type="pct"/>
            <w:vMerge w:val="continue"/>
            <w:vAlign w:val="center"/>
          </w:tcPr>
          <w:p w14:paraId="748F065C">
            <w:pPr>
              <w:jc w:val="center"/>
              <w:rPr>
                <w:rFonts w:eastAsia="黑体"/>
                <w:sz w:val="20"/>
                <w:szCs w:val="20"/>
              </w:rPr>
            </w:pPr>
          </w:p>
        </w:tc>
        <w:tc>
          <w:tcPr>
            <w:tcW w:w="1048" w:type="pct"/>
            <w:gridSpan w:val="2"/>
            <w:vAlign w:val="center"/>
          </w:tcPr>
          <w:p w14:paraId="511E23FF">
            <w:pPr>
              <w:jc w:val="center"/>
              <w:rPr>
                <w:rFonts w:eastAsia="黑体"/>
                <w:sz w:val="20"/>
                <w:szCs w:val="20"/>
              </w:rPr>
            </w:pPr>
            <w:r>
              <w:rPr>
                <w:rFonts w:eastAsia="黑体"/>
                <w:sz w:val="20"/>
                <w:szCs w:val="20"/>
              </w:rPr>
              <w:t>六价铬（Cr</w:t>
            </w:r>
            <w:r>
              <w:rPr>
                <w:rFonts w:eastAsia="黑体"/>
                <w:sz w:val="20"/>
                <w:szCs w:val="20"/>
                <w:vertAlign w:val="superscript"/>
              </w:rPr>
              <w:t>6+</w:t>
            </w:r>
            <w:r>
              <w:rPr>
                <w:rFonts w:eastAsia="黑体"/>
                <w:sz w:val="20"/>
                <w:szCs w:val="20"/>
              </w:rPr>
              <w:t>）</w:t>
            </w:r>
          </w:p>
        </w:tc>
        <w:tc>
          <w:tcPr>
            <w:tcW w:w="566" w:type="pct"/>
            <w:vAlign w:val="center"/>
          </w:tcPr>
          <w:p w14:paraId="1D05A9EC">
            <w:pPr>
              <w:jc w:val="center"/>
              <w:rPr>
                <w:rFonts w:hint="default" w:eastAsia="黑体"/>
                <w:sz w:val="20"/>
                <w:szCs w:val="20"/>
                <w:lang w:val="en-US" w:eastAsia="zh-CN"/>
              </w:rPr>
            </w:pPr>
            <w:r>
              <w:rPr>
                <w:rFonts w:hint="eastAsia" w:eastAsia="黑体"/>
                <w:sz w:val="20"/>
                <w:szCs w:val="20"/>
                <w:lang w:val="en-US" w:eastAsia="zh-CN"/>
              </w:rPr>
              <w:t>ND</w:t>
            </w:r>
          </w:p>
        </w:tc>
        <w:tc>
          <w:tcPr>
            <w:tcW w:w="854" w:type="pct"/>
            <w:vAlign w:val="center"/>
          </w:tcPr>
          <w:p w14:paraId="5337A5BE">
            <w:pPr>
              <w:rPr>
                <w:rFonts w:eastAsia="黑体"/>
                <w:sz w:val="20"/>
                <w:szCs w:val="20"/>
              </w:rPr>
            </w:pPr>
            <w:r>
              <w:rPr>
                <w:rFonts w:hint="eastAsia" w:eastAsia="黑体"/>
                <w:sz w:val="20"/>
                <w:szCs w:val="20"/>
              </w:rPr>
              <w:t>采用</w:t>
            </w:r>
            <w:r>
              <w:rPr>
                <w:rFonts w:eastAsia="黑体"/>
                <w:sz w:val="20"/>
                <w:szCs w:val="20"/>
              </w:rPr>
              <w:t>QC/T 942-2013</w:t>
            </w:r>
            <w:r>
              <w:rPr>
                <w:rFonts w:hint="eastAsia" w:eastAsia="黑体"/>
                <w:sz w:val="20"/>
                <w:szCs w:val="20"/>
              </w:rPr>
              <w:t>检测并提供检测报告</w:t>
            </w:r>
          </w:p>
        </w:tc>
        <w:tc>
          <w:tcPr>
            <w:tcW w:w="949" w:type="pct"/>
            <w:vAlign w:val="center"/>
          </w:tcPr>
          <w:p w14:paraId="1F831812">
            <w:pPr>
              <w:rPr>
                <w:rFonts w:eastAsia="黑体"/>
                <w:sz w:val="20"/>
                <w:szCs w:val="20"/>
              </w:rPr>
            </w:pPr>
            <w:r>
              <w:rPr>
                <w:rFonts w:hint="eastAsia" w:eastAsia="黑体"/>
                <w:sz w:val="20"/>
                <w:szCs w:val="20"/>
              </w:rPr>
              <w:t>产品销售、使用</w:t>
            </w:r>
          </w:p>
        </w:tc>
      </w:tr>
      <w:tr w14:paraId="25730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76" w:type="pct"/>
            <w:vMerge w:val="continue"/>
            <w:vAlign w:val="center"/>
          </w:tcPr>
          <w:p w14:paraId="15A707CB">
            <w:pPr>
              <w:jc w:val="center"/>
              <w:rPr>
                <w:rFonts w:eastAsia="黑体"/>
                <w:sz w:val="20"/>
                <w:szCs w:val="20"/>
              </w:rPr>
            </w:pPr>
          </w:p>
        </w:tc>
        <w:tc>
          <w:tcPr>
            <w:tcW w:w="424" w:type="pct"/>
            <w:vMerge w:val="continue"/>
            <w:vAlign w:val="center"/>
          </w:tcPr>
          <w:p w14:paraId="3C1DD11E">
            <w:pPr>
              <w:rPr>
                <w:rFonts w:eastAsia="黑体"/>
                <w:sz w:val="20"/>
                <w:szCs w:val="20"/>
              </w:rPr>
            </w:pPr>
          </w:p>
        </w:tc>
        <w:tc>
          <w:tcPr>
            <w:tcW w:w="530" w:type="pct"/>
            <w:gridSpan w:val="2"/>
            <w:vMerge w:val="continue"/>
            <w:vAlign w:val="center"/>
          </w:tcPr>
          <w:p w14:paraId="11C058B4">
            <w:pPr>
              <w:rPr>
                <w:rFonts w:eastAsia="黑体"/>
                <w:sz w:val="20"/>
                <w:szCs w:val="20"/>
              </w:rPr>
            </w:pPr>
          </w:p>
        </w:tc>
        <w:tc>
          <w:tcPr>
            <w:tcW w:w="351" w:type="pct"/>
            <w:vMerge w:val="continue"/>
            <w:vAlign w:val="center"/>
          </w:tcPr>
          <w:p w14:paraId="0F5BF464">
            <w:pPr>
              <w:jc w:val="center"/>
              <w:rPr>
                <w:rFonts w:eastAsia="黑体"/>
                <w:sz w:val="20"/>
                <w:szCs w:val="20"/>
              </w:rPr>
            </w:pPr>
          </w:p>
        </w:tc>
        <w:tc>
          <w:tcPr>
            <w:tcW w:w="1048" w:type="pct"/>
            <w:gridSpan w:val="2"/>
            <w:vAlign w:val="center"/>
          </w:tcPr>
          <w:p w14:paraId="2C56AA34">
            <w:pPr>
              <w:jc w:val="center"/>
              <w:rPr>
                <w:rFonts w:eastAsia="黑体"/>
                <w:sz w:val="20"/>
                <w:szCs w:val="20"/>
              </w:rPr>
            </w:pPr>
            <w:r>
              <w:rPr>
                <w:rFonts w:eastAsia="黑体"/>
                <w:sz w:val="20"/>
                <w:szCs w:val="20"/>
              </w:rPr>
              <w:t>铅（Pb）</w:t>
            </w:r>
          </w:p>
        </w:tc>
        <w:tc>
          <w:tcPr>
            <w:tcW w:w="566" w:type="pct"/>
            <w:vAlign w:val="center"/>
          </w:tcPr>
          <w:p w14:paraId="42FF93FF">
            <w:pPr>
              <w:jc w:val="center"/>
              <w:rPr>
                <w:rFonts w:eastAsia="黑体"/>
                <w:sz w:val="20"/>
                <w:szCs w:val="20"/>
              </w:rPr>
            </w:pPr>
            <w:r>
              <w:rPr>
                <w:rFonts w:hint="eastAsia" w:eastAsia="黑体"/>
                <w:sz w:val="20"/>
                <w:szCs w:val="20"/>
              </w:rPr>
              <w:t>≤</w:t>
            </w:r>
            <w:r>
              <w:rPr>
                <w:rFonts w:eastAsia="黑体"/>
                <w:sz w:val="20"/>
                <w:szCs w:val="20"/>
              </w:rPr>
              <w:t>0.2</w:t>
            </w:r>
          </w:p>
        </w:tc>
        <w:tc>
          <w:tcPr>
            <w:tcW w:w="854" w:type="pct"/>
            <w:vAlign w:val="center"/>
          </w:tcPr>
          <w:p w14:paraId="7DF0A04C">
            <w:pPr>
              <w:rPr>
                <w:rFonts w:eastAsia="黑体"/>
                <w:sz w:val="20"/>
                <w:szCs w:val="20"/>
              </w:rPr>
            </w:pPr>
            <w:r>
              <w:rPr>
                <w:rFonts w:hint="eastAsia" w:eastAsia="黑体"/>
                <w:sz w:val="20"/>
                <w:szCs w:val="20"/>
              </w:rPr>
              <w:t>采用</w:t>
            </w:r>
            <w:r>
              <w:rPr>
                <w:rFonts w:eastAsia="黑体"/>
                <w:sz w:val="20"/>
                <w:szCs w:val="20"/>
              </w:rPr>
              <w:t>QC/T 943-2013</w:t>
            </w:r>
            <w:r>
              <w:rPr>
                <w:rFonts w:hint="eastAsia" w:eastAsia="黑体"/>
                <w:sz w:val="20"/>
                <w:szCs w:val="20"/>
              </w:rPr>
              <w:t>检测并提供检测报告</w:t>
            </w:r>
          </w:p>
        </w:tc>
        <w:tc>
          <w:tcPr>
            <w:tcW w:w="949" w:type="pct"/>
            <w:vAlign w:val="center"/>
          </w:tcPr>
          <w:p w14:paraId="0D1FC7EA">
            <w:pPr>
              <w:rPr>
                <w:rFonts w:eastAsia="黑体"/>
                <w:sz w:val="20"/>
                <w:szCs w:val="20"/>
              </w:rPr>
            </w:pPr>
            <w:r>
              <w:rPr>
                <w:rFonts w:hint="eastAsia" w:eastAsia="黑体"/>
                <w:sz w:val="20"/>
                <w:szCs w:val="20"/>
              </w:rPr>
              <w:t>产品销售、使用</w:t>
            </w:r>
          </w:p>
        </w:tc>
      </w:tr>
      <w:tr w14:paraId="0C7F2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76" w:type="pct"/>
            <w:vMerge w:val="restart"/>
            <w:vAlign w:val="center"/>
          </w:tcPr>
          <w:p w14:paraId="0E2BA608">
            <w:pPr>
              <w:jc w:val="center"/>
              <w:rPr>
                <w:rFonts w:eastAsia="黑体"/>
                <w:sz w:val="20"/>
                <w:szCs w:val="20"/>
              </w:rPr>
            </w:pPr>
            <w:r>
              <w:rPr>
                <w:rFonts w:hint="eastAsia" w:eastAsia="黑体"/>
                <w:sz w:val="20"/>
                <w:szCs w:val="20"/>
              </w:rPr>
              <w:t>9</w:t>
            </w:r>
          </w:p>
        </w:tc>
        <w:tc>
          <w:tcPr>
            <w:tcW w:w="424" w:type="pct"/>
            <w:vMerge w:val="continue"/>
            <w:vAlign w:val="center"/>
          </w:tcPr>
          <w:p w14:paraId="4ACE74BA">
            <w:pPr>
              <w:rPr>
                <w:rFonts w:eastAsia="黑体"/>
                <w:sz w:val="20"/>
                <w:szCs w:val="20"/>
              </w:rPr>
            </w:pPr>
          </w:p>
        </w:tc>
        <w:tc>
          <w:tcPr>
            <w:tcW w:w="530" w:type="pct"/>
            <w:gridSpan w:val="2"/>
            <w:vMerge w:val="restart"/>
            <w:vAlign w:val="center"/>
          </w:tcPr>
          <w:p w14:paraId="0EA07346">
            <w:pPr>
              <w:rPr>
                <w:rFonts w:eastAsia="黑体"/>
                <w:sz w:val="20"/>
                <w:szCs w:val="20"/>
              </w:rPr>
            </w:pPr>
            <w:r>
              <w:rPr>
                <w:rFonts w:eastAsia="黑体"/>
                <w:sz w:val="20"/>
                <w:szCs w:val="20"/>
              </w:rPr>
              <w:t>挥发性有机化合物</w:t>
            </w:r>
          </w:p>
        </w:tc>
        <w:tc>
          <w:tcPr>
            <w:tcW w:w="351" w:type="pct"/>
            <w:vMerge w:val="restart"/>
            <w:vAlign w:val="center"/>
          </w:tcPr>
          <w:p w14:paraId="4207D142">
            <w:pPr>
              <w:jc w:val="center"/>
              <w:rPr>
                <w:rFonts w:eastAsia="黑体"/>
                <w:bCs/>
                <w:sz w:val="20"/>
                <w:szCs w:val="20"/>
              </w:rPr>
            </w:pPr>
            <w:r>
              <w:rPr>
                <w:rFonts w:eastAsia="黑体"/>
                <w:bCs/>
                <w:sz w:val="20"/>
                <w:szCs w:val="20"/>
              </w:rPr>
              <w:t>mg/m</w:t>
            </w:r>
            <w:r>
              <w:rPr>
                <w:rFonts w:eastAsia="黑体"/>
                <w:bCs/>
                <w:sz w:val="20"/>
                <w:szCs w:val="20"/>
                <w:vertAlign w:val="superscript"/>
              </w:rPr>
              <w:t>3</w:t>
            </w:r>
          </w:p>
        </w:tc>
        <w:tc>
          <w:tcPr>
            <w:tcW w:w="1048" w:type="pct"/>
            <w:gridSpan w:val="2"/>
            <w:vAlign w:val="center"/>
          </w:tcPr>
          <w:p w14:paraId="39E493DF">
            <w:pPr>
              <w:jc w:val="center"/>
              <w:rPr>
                <w:rFonts w:eastAsia="黑体"/>
                <w:sz w:val="20"/>
                <w:szCs w:val="20"/>
              </w:rPr>
            </w:pPr>
            <w:r>
              <w:rPr>
                <w:rFonts w:eastAsia="黑体"/>
                <w:sz w:val="20"/>
                <w:szCs w:val="20"/>
              </w:rPr>
              <w:t>苯</w:t>
            </w:r>
          </w:p>
        </w:tc>
        <w:tc>
          <w:tcPr>
            <w:tcW w:w="566" w:type="pct"/>
            <w:vAlign w:val="center"/>
          </w:tcPr>
          <w:p w14:paraId="570DED9F">
            <w:pPr>
              <w:jc w:val="center"/>
              <w:rPr>
                <w:rFonts w:eastAsia="黑体"/>
                <w:sz w:val="20"/>
                <w:szCs w:val="20"/>
              </w:rPr>
            </w:pPr>
            <w:r>
              <w:rPr>
                <w:rFonts w:hint="eastAsia" w:eastAsia="黑体"/>
                <w:sz w:val="20"/>
                <w:szCs w:val="20"/>
              </w:rPr>
              <w:t>≤0</w:t>
            </w:r>
            <w:r>
              <w:rPr>
                <w:rFonts w:eastAsia="黑体"/>
                <w:sz w:val="20"/>
                <w:szCs w:val="20"/>
              </w:rPr>
              <w:t>.01</w:t>
            </w:r>
          </w:p>
        </w:tc>
        <w:tc>
          <w:tcPr>
            <w:tcW w:w="854" w:type="pct"/>
            <w:vMerge w:val="restart"/>
            <w:vAlign w:val="center"/>
          </w:tcPr>
          <w:p w14:paraId="6986C044">
            <w:pPr>
              <w:rPr>
                <w:rFonts w:eastAsia="黑体"/>
                <w:sz w:val="20"/>
                <w:szCs w:val="20"/>
              </w:rPr>
            </w:pPr>
            <w:r>
              <w:rPr>
                <w:rFonts w:hint="eastAsia" w:eastAsia="黑体"/>
                <w:sz w:val="20"/>
                <w:szCs w:val="20"/>
              </w:rPr>
              <w:t>采用VW 50180:2019检测并提供检测报告</w:t>
            </w:r>
          </w:p>
        </w:tc>
        <w:tc>
          <w:tcPr>
            <w:tcW w:w="949" w:type="pct"/>
            <w:vMerge w:val="restart"/>
            <w:vAlign w:val="center"/>
          </w:tcPr>
          <w:p w14:paraId="2C9637C1">
            <w:pPr>
              <w:widowControl/>
              <w:jc w:val="center"/>
              <w:rPr>
                <w:rFonts w:eastAsia="黑体"/>
                <w:sz w:val="20"/>
                <w:szCs w:val="20"/>
              </w:rPr>
            </w:pPr>
            <w:r>
              <w:rPr>
                <w:rFonts w:hint="eastAsia" w:eastAsia="黑体"/>
                <w:sz w:val="20"/>
                <w:szCs w:val="20"/>
              </w:rPr>
              <w:t>产品</w:t>
            </w:r>
            <w:r>
              <w:rPr>
                <w:rFonts w:hint="eastAsia" w:eastAsia="黑体"/>
                <w:sz w:val="20"/>
                <w:szCs w:val="20"/>
                <w:lang w:bidi="ar"/>
              </w:rPr>
              <w:t>销售、使用</w:t>
            </w:r>
          </w:p>
        </w:tc>
      </w:tr>
      <w:tr w14:paraId="47A64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76" w:type="pct"/>
            <w:vMerge w:val="continue"/>
            <w:vAlign w:val="center"/>
          </w:tcPr>
          <w:p w14:paraId="714FD5E6">
            <w:pPr>
              <w:jc w:val="center"/>
              <w:rPr>
                <w:rFonts w:eastAsia="黑体"/>
                <w:sz w:val="20"/>
                <w:szCs w:val="20"/>
              </w:rPr>
            </w:pPr>
          </w:p>
        </w:tc>
        <w:tc>
          <w:tcPr>
            <w:tcW w:w="424" w:type="pct"/>
            <w:vMerge w:val="continue"/>
            <w:vAlign w:val="center"/>
          </w:tcPr>
          <w:p w14:paraId="2E1C57CA">
            <w:pPr>
              <w:rPr>
                <w:rFonts w:eastAsia="黑体"/>
                <w:sz w:val="20"/>
                <w:szCs w:val="20"/>
              </w:rPr>
            </w:pPr>
          </w:p>
        </w:tc>
        <w:tc>
          <w:tcPr>
            <w:tcW w:w="530" w:type="pct"/>
            <w:gridSpan w:val="2"/>
            <w:vMerge w:val="continue"/>
            <w:vAlign w:val="center"/>
          </w:tcPr>
          <w:p w14:paraId="5FDA58C6">
            <w:pPr>
              <w:rPr>
                <w:rFonts w:eastAsia="黑体"/>
                <w:sz w:val="20"/>
                <w:szCs w:val="20"/>
              </w:rPr>
            </w:pPr>
          </w:p>
        </w:tc>
        <w:tc>
          <w:tcPr>
            <w:tcW w:w="351" w:type="pct"/>
            <w:vMerge w:val="continue"/>
            <w:vAlign w:val="center"/>
          </w:tcPr>
          <w:p w14:paraId="709A7558">
            <w:pPr>
              <w:jc w:val="center"/>
              <w:rPr>
                <w:rFonts w:eastAsia="黑体"/>
                <w:sz w:val="20"/>
                <w:szCs w:val="20"/>
              </w:rPr>
            </w:pPr>
          </w:p>
        </w:tc>
        <w:tc>
          <w:tcPr>
            <w:tcW w:w="1048" w:type="pct"/>
            <w:gridSpan w:val="2"/>
            <w:vAlign w:val="center"/>
          </w:tcPr>
          <w:p w14:paraId="2A34C02E">
            <w:pPr>
              <w:jc w:val="center"/>
              <w:rPr>
                <w:rFonts w:eastAsia="黑体"/>
                <w:sz w:val="20"/>
                <w:szCs w:val="20"/>
              </w:rPr>
            </w:pPr>
            <w:r>
              <w:rPr>
                <w:rFonts w:eastAsia="黑体"/>
                <w:sz w:val="20"/>
                <w:szCs w:val="20"/>
              </w:rPr>
              <w:t>甲苯</w:t>
            </w:r>
          </w:p>
        </w:tc>
        <w:tc>
          <w:tcPr>
            <w:tcW w:w="566" w:type="pct"/>
            <w:vAlign w:val="center"/>
          </w:tcPr>
          <w:p w14:paraId="5694C021">
            <w:pPr>
              <w:jc w:val="center"/>
              <w:rPr>
                <w:rFonts w:eastAsia="黑体"/>
                <w:sz w:val="20"/>
                <w:szCs w:val="20"/>
              </w:rPr>
            </w:pPr>
            <w:r>
              <w:rPr>
                <w:rFonts w:hint="eastAsia" w:eastAsia="黑体"/>
                <w:sz w:val="20"/>
                <w:szCs w:val="20"/>
              </w:rPr>
              <w:t>≤0</w:t>
            </w:r>
            <w:r>
              <w:rPr>
                <w:rFonts w:eastAsia="黑体"/>
                <w:sz w:val="20"/>
                <w:szCs w:val="20"/>
              </w:rPr>
              <w:t>.2</w:t>
            </w:r>
          </w:p>
        </w:tc>
        <w:tc>
          <w:tcPr>
            <w:tcW w:w="854" w:type="pct"/>
            <w:vMerge w:val="continue"/>
            <w:vAlign w:val="center"/>
          </w:tcPr>
          <w:p w14:paraId="5DD88F8A">
            <w:pPr>
              <w:rPr>
                <w:rFonts w:eastAsia="黑体"/>
                <w:sz w:val="20"/>
                <w:szCs w:val="20"/>
              </w:rPr>
            </w:pPr>
          </w:p>
        </w:tc>
        <w:tc>
          <w:tcPr>
            <w:tcW w:w="949" w:type="pct"/>
            <w:vMerge w:val="continue"/>
            <w:vAlign w:val="center"/>
          </w:tcPr>
          <w:p w14:paraId="5805295E">
            <w:pPr>
              <w:rPr>
                <w:rFonts w:eastAsia="黑体"/>
                <w:sz w:val="20"/>
                <w:szCs w:val="20"/>
              </w:rPr>
            </w:pPr>
          </w:p>
        </w:tc>
      </w:tr>
      <w:tr w14:paraId="1B331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76" w:type="pct"/>
            <w:vMerge w:val="continue"/>
            <w:vAlign w:val="center"/>
          </w:tcPr>
          <w:p w14:paraId="13733280">
            <w:pPr>
              <w:jc w:val="center"/>
              <w:rPr>
                <w:rFonts w:eastAsia="黑体"/>
                <w:sz w:val="20"/>
                <w:szCs w:val="20"/>
              </w:rPr>
            </w:pPr>
          </w:p>
        </w:tc>
        <w:tc>
          <w:tcPr>
            <w:tcW w:w="424" w:type="pct"/>
            <w:vMerge w:val="continue"/>
            <w:vAlign w:val="center"/>
          </w:tcPr>
          <w:p w14:paraId="17AE47C2">
            <w:pPr>
              <w:rPr>
                <w:rFonts w:eastAsia="黑体"/>
                <w:sz w:val="20"/>
                <w:szCs w:val="20"/>
              </w:rPr>
            </w:pPr>
          </w:p>
        </w:tc>
        <w:tc>
          <w:tcPr>
            <w:tcW w:w="530" w:type="pct"/>
            <w:gridSpan w:val="2"/>
            <w:vMerge w:val="continue"/>
            <w:vAlign w:val="center"/>
          </w:tcPr>
          <w:p w14:paraId="662A9E49">
            <w:pPr>
              <w:rPr>
                <w:rFonts w:eastAsia="黑体"/>
                <w:sz w:val="20"/>
                <w:szCs w:val="20"/>
              </w:rPr>
            </w:pPr>
          </w:p>
        </w:tc>
        <w:tc>
          <w:tcPr>
            <w:tcW w:w="351" w:type="pct"/>
            <w:vMerge w:val="continue"/>
            <w:vAlign w:val="center"/>
          </w:tcPr>
          <w:p w14:paraId="59EBA914">
            <w:pPr>
              <w:jc w:val="center"/>
              <w:rPr>
                <w:rFonts w:eastAsia="黑体"/>
                <w:sz w:val="20"/>
                <w:szCs w:val="20"/>
              </w:rPr>
            </w:pPr>
          </w:p>
        </w:tc>
        <w:tc>
          <w:tcPr>
            <w:tcW w:w="1048" w:type="pct"/>
            <w:gridSpan w:val="2"/>
            <w:vAlign w:val="center"/>
          </w:tcPr>
          <w:p w14:paraId="66A09254">
            <w:pPr>
              <w:jc w:val="center"/>
              <w:rPr>
                <w:rFonts w:eastAsia="黑体"/>
                <w:sz w:val="20"/>
                <w:szCs w:val="20"/>
              </w:rPr>
            </w:pPr>
            <w:r>
              <w:rPr>
                <w:rFonts w:eastAsia="黑体"/>
                <w:sz w:val="20"/>
                <w:szCs w:val="20"/>
              </w:rPr>
              <w:t>乙烯</w:t>
            </w:r>
          </w:p>
        </w:tc>
        <w:tc>
          <w:tcPr>
            <w:tcW w:w="566" w:type="pct"/>
            <w:vAlign w:val="center"/>
          </w:tcPr>
          <w:p w14:paraId="3A9D5722">
            <w:pPr>
              <w:jc w:val="center"/>
              <w:rPr>
                <w:rFonts w:eastAsia="黑体"/>
                <w:sz w:val="20"/>
                <w:szCs w:val="20"/>
              </w:rPr>
            </w:pPr>
            <w:r>
              <w:rPr>
                <w:rFonts w:hint="eastAsia" w:eastAsia="黑体"/>
                <w:sz w:val="20"/>
                <w:szCs w:val="20"/>
              </w:rPr>
              <w:t>≤0</w:t>
            </w:r>
            <w:r>
              <w:rPr>
                <w:rFonts w:eastAsia="黑体"/>
                <w:sz w:val="20"/>
                <w:szCs w:val="20"/>
              </w:rPr>
              <w:t>.3</w:t>
            </w:r>
          </w:p>
        </w:tc>
        <w:tc>
          <w:tcPr>
            <w:tcW w:w="854" w:type="pct"/>
            <w:vMerge w:val="continue"/>
            <w:vAlign w:val="center"/>
          </w:tcPr>
          <w:p w14:paraId="47BFE7B4">
            <w:pPr>
              <w:rPr>
                <w:rFonts w:eastAsia="黑体"/>
                <w:sz w:val="20"/>
                <w:szCs w:val="20"/>
              </w:rPr>
            </w:pPr>
          </w:p>
        </w:tc>
        <w:tc>
          <w:tcPr>
            <w:tcW w:w="949" w:type="pct"/>
            <w:vMerge w:val="continue"/>
            <w:vAlign w:val="center"/>
          </w:tcPr>
          <w:p w14:paraId="0B23892E">
            <w:pPr>
              <w:rPr>
                <w:rFonts w:eastAsia="黑体"/>
                <w:sz w:val="20"/>
                <w:szCs w:val="20"/>
              </w:rPr>
            </w:pPr>
          </w:p>
        </w:tc>
      </w:tr>
      <w:tr w14:paraId="62F6A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76" w:type="pct"/>
            <w:vMerge w:val="continue"/>
            <w:vAlign w:val="center"/>
          </w:tcPr>
          <w:p w14:paraId="298723BE">
            <w:pPr>
              <w:jc w:val="center"/>
              <w:rPr>
                <w:rFonts w:eastAsia="黑体"/>
                <w:sz w:val="20"/>
                <w:szCs w:val="20"/>
              </w:rPr>
            </w:pPr>
          </w:p>
        </w:tc>
        <w:tc>
          <w:tcPr>
            <w:tcW w:w="424" w:type="pct"/>
            <w:vMerge w:val="continue"/>
            <w:vAlign w:val="center"/>
          </w:tcPr>
          <w:p w14:paraId="10DE6873">
            <w:pPr>
              <w:rPr>
                <w:rFonts w:eastAsia="黑体"/>
                <w:sz w:val="20"/>
                <w:szCs w:val="20"/>
              </w:rPr>
            </w:pPr>
          </w:p>
        </w:tc>
        <w:tc>
          <w:tcPr>
            <w:tcW w:w="530" w:type="pct"/>
            <w:gridSpan w:val="2"/>
            <w:vMerge w:val="continue"/>
            <w:vAlign w:val="center"/>
          </w:tcPr>
          <w:p w14:paraId="63107A93">
            <w:pPr>
              <w:rPr>
                <w:rFonts w:eastAsia="黑体"/>
                <w:sz w:val="20"/>
                <w:szCs w:val="20"/>
              </w:rPr>
            </w:pPr>
          </w:p>
        </w:tc>
        <w:tc>
          <w:tcPr>
            <w:tcW w:w="351" w:type="pct"/>
            <w:vMerge w:val="continue"/>
            <w:vAlign w:val="center"/>
          </w:tcPr>
          <w:p w14:paraId="590A3381">
            <w:pPr>
              <w:jc w:val="center"/>
              <w:rPr>
                <w:rFonts w:eastAsia="黑体"/>
                <w:sz w:val="20"/>
                <w:szCs w:val="20"/>
              </w:rPr>
            </w:pPr>
          </w:p>
        </w:tc>
        <w:tc>
          <w:tcPr>
            <w:tcW w:w="1048" w:type="pct"/>
            <w:gridSpan w:val="2"/>
            <w:vAlign w:val="center"/>
          </w:tcPr>
          <w:p w14:paraId="42C03EBC">
            <w:pPr>
              <w:jc w:val="center"/>
              <w:rPr>
                <w:rFonts w:eastAsia="黑体"/>
                <w:sz w:val="20"/>
                <w:szCs w:val="20"/>
              </w:rPr>
            </w:pPr>
            <w:r>
              <w:rPr>
                <w:rFonts w:hint="eastAsia" w:eastAsia="黑体"/>
                <w:sz w:val="20"/>
                <w:szCs w:val="20"/>
              </w:rPr>
              <w:t>二甲苯</w:t>
            </w:r>
          </w:p>
        </w:tc>
        <w:tc>
          <w:tcPr>
            <w:tcW w:w="566" w:type="pct"/>
            <w:vAlign w:val="center"/>
          </w:tcPr>
          <w:p w14:paraId="3BEB4FB3">
            <w:pPr>
              <w:jc w:val="center"/>
              <w:rPr>
                <w:rFonts w:eastAsia="黑体"/>
                <w:sz w:val="20"/>
                <w:szCs w:val="20"/>
              </w:rPr>
            </w:pPr>
            <w:r>
              <w:rPr>
                <w:rFonts w:hint="eastAsia" w:eastAsia="黑体"/>
                <w:sz w:val="20"/>
                <w:szCs w:val="20"/>
              </w:rPr>
              <w:t>≤0</w:t>
            </w:r>
            <w:r>
              <w:rPr>
                <w:rFonts w:eastAsia="黑体"/>
                <w:sz w:val="20"/>
                <w:szCs w:val="20"/>
              </w:rPr>
              <w:t>.3</w:t>
            </w:r>
          </w:p>
        </w:tc>
        <w:tc>
          <w:tcPr>
            <w:tcW w:w="854" w:type="pct"/>
            <w:vMerge w:val="continue"/>
            <w:vAlign w:val="center"/>
          </w:tcPr>
          <w:p w14:paraId="53A3D144">
            <w:pPr>
              <w:rPr>
                <w:rFonts w:eastAsia="黑体"/>
                <w:sz w:val="20"/>
                <w:szCs w:val="20"/>
              </w:rPr>
            </w:pPr>
          </w:p>
        </w:tc>
        <w:tc>
          <w:tcPr>
            <w:tcW w:w="949" w:type="pct"/>
            <w:vMerge w:val="continue"/>
            <w:vAlign w:val="center"/>
          </w:tcPr>
          <w:p w14:paraId="513B1888">
            <w:pPr>
              <w:rPr>
                <w:rFonts w:eastAsia="黑体"/>
                <w:sz w:val="20"/>
                <w:szCs w:val="20"/>
              </w:rPr>
            </w:pPr>
          </w:p>
        </w:tc>
      </w:tr>
      <w:tr w14:paraId="6EAA4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76" w:type="pct"/>
            <w:vMerge w:val="continue"/>
            <w:vAlign w:val="center"/>
          </w:tcPr>
          <w:p w14:paraId="61C0FC62">
            <w:pPr>
              <w:jc w:val="center"/>
              <w:rPr>
                <w:rFonts w:eastAsia="黑体"/>
                <w:sz w:val="20"/>
                <w:szCs w:val="20"/>
              </w:rPr>
            </w:pPr>
          </w:p>
        </w:tc>
        <w:tc>
          <w:tcPr>
            <w:tcW w:w="424" w:type="pct"/>
            <w:vMerge w:val="continue"/>
            <w:vAlign w:val="center"/>
          </w:tcPr>
          <w:p w14:paraId="0A64F51B">
            <w:pPr>
              <w:rPr>
                <w:rFonts w:eastAsia="黑体"/>
                <w:sz w:val="20"/>
                <w:szCs w:val="20"/>
              </w:rPr>
            </w:pPr>
          </w:p>
        </w:tc>
        <w:tc>
          <w:tcPr>
            <w:tcW w:w="530" w:type="pct"/>
            <w:gridSpan w:val="2"/>
            <w:vMerge w:val="continue"/>
            <w:vAlign w:val="center"/>
          </w:tcPr>
          <w:p w14:paraId="0F0F7FB4">
            <w:pPr>
              <w:rPr>
                <w:rFonts w:eastAsia="黑体"/>
                <w:sz w:val="20"/>
                <w:szCs w:val="20"/>
              </w:rPr>
            </w:pPr>
          </w:p>
        </w:tc>
        <w:tc>
          <w:tcPr>
            <w:tcW w:w="351" w:type="pct"/>
            <w:vMerge w:val="continue"/>
            <w:vAlign w:val="center"/>
          </w:tcPr>
          <w:p w14:paraId="4B370886">
            <w:pPr>
              <w:jc w:val="center"/>
              <w:rPr>
                <w:rFonts w:eastAsia="黑体"/>
                <w:sz w:val="20"/>
                <w:szCs w:val="20"/>
              </w:rPr>
            </w:pPr>
          </w:p>
        </w:tc>
        <w:tc>
          <w:tcPr>
            <w:tcW w:w="1048" w:type="pct"/>
            <w:gridSpan w:val="2"/>
            <w:vAlign w:val="center"/>
          </w:tcPr>
          <w:p w14:paraId="1CF2D757">
            <w:pPr>
              <w:jc w:val="center"/>
              <w:rPr>
                <w:rFonts w:eastAsia="黑体"/>
                <w:sz w:val="20"/>
                <w:szCs w:val="20"/>
              </w:rPr>
            </w:pPr>
            <w:r>
              <w:rPr>
                <w:rFonts w:hint="eastAsia" w:eastAsia="黑体"/>
                <w:sz w:val="20"/>
                <w:szCs w:val="20"/>
              </w:rPr>
              <w:t>苯乙烯</w:t>
            </w:r>
          </w:p>
        </w:tc>
        <w:tc>
          <w:tcPr>
            <w:tcW w:w="566" w:type="pct"/>
            <w:vAlign w:val="center"/>
          </w:tcPr>
          <w:p w14:paraId="3B654369">
            <w:pPr>
              <w:jc w:val="center"/>
              <w:rPr>
                <w:rFonts w:eastAsia="黑体"/>
                <w:sz w:val="20"/>
                <w:szCs w:val="20"/>
              </w:rPr>
            </w:pPr>
            <w:r>
              <w:rPr>
                <w:rFonts w:hint="eastAsia" w:eastAsia="黑体"/>
                <w:sz w:val="20"/>
                <w:szCs w:val="20"/>
              </w:rPr>
              <w:t>≤0</w:t>
            </w:r>
            <w:r>
              <w:rPr>
                <w:rFonts w:eastAsia="黑体"/>
                <w:sz w:val="20"/>
                <w:szCs w:val="20"/>
              </w:rPr>
              <w:t>.05</w:t>
            </w:r>
          </w:p>
        </w:tc>
        <w:tc>
          <w:tcPr>
            <w:tcW w:w="854" w:type="pct"/>
            <w:vMerge w:val="continue"/>
            <w:vAlign w:val="center"/>
          </w:tcPr>
          <w:p w14:paraId="01AA3BB7">
            <w:pPr>
              <w:rPr>
                <w:rFonts w:eastAsia="黑体"/>
                <w:sz w:val="20"/>
                <w:szCs w:val="20"/>
              </w:rPr>
            </w:pPr>
          </w:p>
        </w:tc>
        <w:tc>
          <w:tcPr>
            <w:tcW w:w="949" w:type="pct"/>
            <w:vMerge w:val="continue"/>
            <w:vAlign w:val="center"/>
          </w:tcPr>
          <w:p w14:paraId="1B024974">
            <w:pPr>
              <w:rPr>
                <w:rFonts w:eastAsia="黑体"/>
                <w:sz w:val="20"/>
                <w:szCs w:val="20"/>
              </w:rPr>
            </w:pPr>
          </w:p>
        </w:tc>
      </w:tr>
      <w:tr w14:paraId="5A9DF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76" w:type="pct"/>
            <w:vMerge w:val="continue"/>
            <w:vAlign w:val="center"/>
          </w:tcPr>
          <w:p w14:paraId="2B720DCA">
            <w:pPr>
              <w:jc w:val="center"/>
              <w:rPr>
                <w:rFonts w:eastAsia="黑体"/>
                <w:sz w:val="20"/>
                <w:szCs w:val="20"/>
              </w:rPr>
            </w:pPr>
          </w:p>
        </w:tc>
        <w:tc>
          <w:tcPr>
            <w:tcW w:w="424" w:type="pct"/>
            <w:vMerge w:val="continue"/>
            <w:vAlign w:val="center"/>
          </w:tcPr>
          <w:p w14:paraId="5FF928E3">
            <w:pPr>
              <w:rPr>
                <w:rFonts w:eastAsia="黑体"/>
                <w:sz w:val="20"/>
                <w:szCs w:val="20"/>
              </w:rPr>
            </w:pPr>
          </w:p>
        </w:tc>
        <w:tc>
          <w:tcPr>
            <w:tcW w:w="530" w:type="pct"/>
            <w:gridSpan w:val="2"/>
            <w:vMerge w:val="continue"/>
            <w:vAlign w:val="center"/>
          </w:tcPr>
          <w:p w14:paraId="26FA0596">
            <w:pPr>
              <w:rPr>
                <w:rFonts w:eastAsia="黑体"/>
                <w:sz w:val="20"/>
                <w:szCs w:val="20"/>
              </w:rPr>
            </w:pPr>
          </w:p>
        </w:tc>
        <w:tc>
          <w:tcPr>
            <w:tcW w:w="351" w:type="pct"/>
            <w:vMerge w:val="continue"/>
            <w:vAlign w:val="center"/>
          </w:tcPr>
          <w:p w14:paraId="406E76C9">
            <w:pPr>
              <w:jc w:val="center"/>
              <w:rPr>
                <w:rFonts w:eastAsia="黑体"/>
                <w:sz w:val="20"/>
                <w:szCs w:val="20"/>
              </w:rPr>
            </w:pPr>
          </w:p>
        </w:tc>
        <w:tc>
          <w:tcPr>
            <w:tcW w:w="1048" w:type="pct"/>
            <w:gridSpan w:val="2"/>
            <w:vAlign w:val="center"/>
          </w:tcPr>
          <w:p w14:paraId="607BBAAE">
            <w:pPr>
              <w:jc w:val="center"/>
              <w:rPr>
                <w:rFonts w:eastAsia="黑体"/>
                <w:sz w:val="20"/>
                <w:szCs w:val="20"/>
              </w:rPr>
            </w:pPr>
            <w:r>
              <w:rPr>
                <w:rFonts w:eastAsia="黑体"/>
                <w:sz w:val="20"/>
                <w:szCs w:val="20"/>
              </w:rPr>
              <w:t>TVOC</w:t>
            </w:r>
            <w:r>
              <w:rPr>
                <w:rFonts w:hint="eastAsia" w:eastAsia="黑体"/>
                <w:sz w:val="20"/>
                <w:szCs w:val="20"/>
              </w:rPr>
              <w:t>（</w:t>
            </w:r>
            <w:r>
              <w:rPr>
                <w:rFonts w:eastAsia="黑体"/>
                <w:sz w:val="20"/>
                <w:szCs w:val="20"/>
              </w:rPr>
              <w:t>C6-C16</w:t>
            </w:r>
            <w:r>
              <w:rPr>
                <w:rFonts w:hint="eastAsia" w:eastAsia="黑体"/>
                <w:sz w:val="20"/>
                <w:szCs w:val="20"/>
              </w:rPr>
              <w:t>）</w:t>
            </w:r>
          </w:p>
        </w:tc>
        <w:tc>
          <w:tcPr>
            <w:tcW w:w="566" w:type="pct"/>
            <w:vAlign w:val="center"/>
          </w:tcPr>
          <w:p w14:paraId="65B73656">
            <w:pPr>
              <w:jc w:val="center"/>
              <w:rPr>
                <w:rFonts w:eastAsia="黑体"/>
                <w:sz w:val="20"/>
                <w:szCs w:val="20"/>
              </w:rPr>
            </w:pPr>
            <w:r>
              <w:rPr>
                <w:rFonts w:hint="eastAsia" w:eastAsia="黑体"/>
                <w:sz w:val="20"/>
                <w:szCs w:val="20"/>
              </w:rPr>
              <w:t>≤7</w:t>
            </w:r>
            <w:r>
              <w:rPr>
                <w:rFonts w:eastAsia="黑体"/>
                <w:sz w:val="20"/>
                <w:szCs w:val="20"/>
              </w:rPr>
              <w:t>.5</w:t>
            </w:r>
          </w:p>
        </w:tc>
        <w:tc>
          <w:tcPr>
            <w:tcW w:w="854" w:type="pct"/>
            <w:vMerge w:val="continue"/>
            <w:vAlign w:val="center"/>
          </w:tcPr>
          <w:p w14:paraId="13A74F5C">
            <w:pPr>
              <w:rPr>
                <w:rFonts w:eastAsia="黑体"/>
                <w:sz w:val="20"/>
                <w:szCs w:val="20"/>
              </w:rPr>
            </w:pPr>
          </w:p>
        </w:tc>
        <w:tc>
          <w:tcPr>
            <w:tcW w:w="949" w:type="pct"/>
            <w:vMerge w:val="continue"/>
            <w:vAlign w:val="center"/>
          </w:tcPr>
          <w:p w14:paraId="0CE9107B">
            <w:pPr>
              <w:rPr>
                <w:rFonts w:eastAsia="黑体"/>
                <w:sz w:val="20"/>
                <w:szCs w:val="20"/>
              </w:rPr>
            </w:pPr>
          </w:p>
        </w:tc>
      </w:tr>
      <w:tr w14:paraId="36D65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76" w:type="pct"/>
            <w:vMerge w:val="continue"/>
            <w:vAlign w:val="center"/>
          </w:tcPr>
          <w:p w14:paraId="47DDB5B6">
            <w:pPr>
              <w:jc w:val="center"/>
              <w:rPr>
                <w:rFonts w:eastAsia="黑体"/>
                <w:sz w:val="20"/>
                <w:szCs w:val="20"/>
              </w:rPr>
            </w:pPr>
          </w:p>
        </w:tc>
        <w:tc>
          <w:tcPr>
            <w:tcW w:w="424" w:type="pct"/>
            <w:vMerge w:val="continue"/>
            <w:vAlign w:val="center"/>
          </w:tcPr>
          <w:p w14:paraId="35E64576">
            <w:pPr>
              <w:rPr>
                <w:rFonts w:eastAsia="黑体"/>
                <w:sz w:val="20"/>
                <w:szCs w:val="20"/>
              </w:rPr>
            </w:pPr>
          </w:p>
        </w:tc>
        <w:tc>
          <w:tcPr>
            <w:tcW w:w="530" w:type="pct"/>
            <w:gridSpan w:val="2"/>
            <w:vMerge w:val="continue"/>
            <w:vAlign w:val="center"/>
          </w:tcPr>
          <w:p w14:paraId="4C097F71">
            <w:pPr>
              <w:rPr>
                <w:rFonts w:eastAsia="黑体"/>
                <w:sz w:val="20"/>
                <w:szCs w:val="20"/>
              </w:rPr>
            </w:pPr>
          </w:p>
        </w:tc>
        <w:tc>
          <w:tcPr>
            <w:tcW w:w="351" w:type="pct"/>
            <w:vMerge w:val="continue"/>
            <w:vAlign w:val="center"/>
          </w:tcPr>
          <w:p w14:paraId="3AB12939">
            <w:pPr>
              <w:jc w:val="center"/>
              <w:rPr>
                <w:rFonts w:eastAsia="黑体"/>
                <w:sz w:val="20"/>
                <w:szCs w:val="20"/>
              </w:rPr>
            </w:pPr>
          </w:p>
        </w:tc>
        <w:tc>
          <w:tcPr>
            <w:tcW w:w="1048" w:type="pct"/>
            <w:gridSpan w:val="2"/>
            <w:vAlign w:val="center"/>
          </w:tcPr>
          <w:p w14:paraId="4641E8B0">
            <w:pPr>
              <w:jc w:val="center"/>
              <w:rPr>
                <w:rFonts w:eastAsia="黑体"/>
                <w:sz w:val="20"/>
                <w:szCs w:val="20"/>
              </w:rPr>
            </w:pPr>
            <w:r>
              <w:rPr>
                <w:rFonts w:hint="eastAsia" w:eastAsia="黑体"/>
                <w:sz w:val="20"/>
                <w:szCs w:val="20"/>
              </w:rPr>
              <w:t>甲醛</w:t>
            </w:r>
          </w:p>
        </w:tc>
        <w:tc>
          <w:tcPr>
            <w:tcW w:w="566" w:type="pct"/>
            <w:vAlign w:val="center"/>
          </w:tcPr>
          <w:p w14:paraId="69B68711">
            <w:pPr>
              <w:jc w:val="center"/>
              <w:rPr>
                <w:rFonts w:eastAsia="黑体"/>
                <w:sz w:val="20"/>
                <w:szCs w:val="20"/>
              </w:rPr>
            </w:pPr>
            <w:r>
              <w:rPr>
                <w:rFonts w:hint="eastAsia" w:eastAsia="黑体"/>
                <w:sz w:val="20"/>
                <w:szCs w:val="20"/>
              </w:rPr>
              <w:t>≤0</w:t>
            </w:r>
            <w:r>
              <w:rPr>
                <w:rFonts w:eastAsia="黑体"/>
                <w:sz w:val="20"/>
                <w:szCs w:val="20"/>
              </w:rPr>
              <w:t>.15</w:t>
            </w:r>
          </w:p>
        </w:tc>
        <w:tc>
          <w:tcPr>
            <w:tcW w:w="854" w:type="pct"/>
            <w:vMerge w:val="continue"/>
            <w:vAlign w:val="center"/>
          </w:tcPr>
          <w:p w14:paraId="4FB08434">
            <w:pPr>
              <w:rPr>
                <w:rFonts w:eastAsia="黑体"/>
                <w:sz w:val="20"/>
                <w:szCs w:val="20"/>
              </w:rPr>
            </w:pPr>
          </w:p>
        </w:tc>
        <w:tc>
          <w:tcPr>
            <w:tcW w:w="949" w:type="pct"/>
            <w:vMerge w:val="continue"/>
            <w:vAlign w:val="center"/>
          </w:tcPr>
          <w:p w14:paraId="48994ACE">
            <w:pPr>
              <w:rPr>
                <w:rFonts w:eastAsia="黑体"/>
                <w:sz w:val="20"/>
                <w:szCs w:val="20"/>
              </w:rPr>
            </w:pPr>
          </w:p>
        </w:tc>
      </w:tr>
      <w:tr w14:paraId="66C88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76" w:type="pct"/>
            <w:vMerge w:val="continue"/>
            <w:vAlign w:val="center"/>
          </w:tcPr>
          <w:p w14:paraId="563862E0">
            <w:pPr>
              <w:jc w:val="center"/>
              <w:rPr>
                <w:rFonts w:eastAsia="黑体"/>
                <w:sz w:val="20"/>
                <w:szCs w:val="20"/>
              </w:rPr>
            </w:pPr>
          </w:p>
        </w:tc>
        <w:tc>
          <w:tcPr>
            <w:tcW w:w="424" w:type="pct"/>
            <w:vMerge w:val="continue"/>
            <w:vAlign w:val="center"/>
          </w:tcPr>
          <w:p w14:paraId="1A815A91">
            <w:pPr>
              <w:rPr>
                <w:rFonts w:eastAsia="黑体"/>
                <w:sz w:val="20"/>
                <w:szCs w:val="20"/>
              </w:rPr>
            </w:pPr>
          </w:p>
        </w:tc>
        <w:tc>
          <w:tcPr>
            <w:tcW w:w="530" w:type="pct"/>
            <w:gridSpan w:val="2"/>
            <w:vMerge w:val="continue"/>
            <w:vAlign w:val="center"/>
          </w:tcPr>
          <w:p w14:paraId="7AB5904D">
            <w:pPr>
              <w:rPr>
                <w:rFonts w:eastAsia="黑体"/>
                <w:sz w:val="20"/>
                <w:szCs w:val="20"/>
              </w:rPr>
            </w:pPr>
          </w:p>
        </w:tc>
        <w:tc>
          <w:tcPr>
            <w:tcW w:w="351" w:type="pct"/>
            <w:vMerge w:val="continue"/>
            <w:vAlign w:val="center"/>
          </w:tcPr>
          <w:p w14:paraId="58D2FABF">
            <w:pPr>
              <w:jc w:val="center"/>
              <w:rPr>
                <w:rFonts w:eastAsia="黑体"/>
                <w:sz w:val="20"/>
                <w:szCs w:val="20"/>
              </w:rPr>
            </w:pPr>
          </w:p>
        </w:tc>
        <w:tc>
          <w:tcPr>
            <w:tcW w:w="1048" w:type="pct"/>
            <w:gridSpan w:val="2"/>
            <w:vAlign w:val="center"/>
          </w:tcPr>
          <w:p w14:paraId="37ABF220">
            <w:pPr>
              <w:jc w:val="center"/>
              <w:rPr>
                <w:rFonts w:eastAsia="黑体"/>
                <w:sz w:val="20"/>
                <w:szCs w:val="20"/>
              </w:rPr>
            </w:pPr>
            <w:r>
              <w:rPr>
                <w:rFonts w:hint="eastAsia" w:eastAsia="黑体"/>
                <w:sz w:val="20"/>
                <w:szCs w:val="20"/>
              </w:rPr>
              <w:t>乙醛</w:t>
            </w:r>
          </w:p>
        </w:tc>
        <w:tc>
          <w:tcPr>
            <w:tcW w:w="566" w:type="pct"/>
            <w:vAlign w:val="center"/>
          </w:tcPr>
          <w:p w14:paraId="593E4475">
            <w:pPr>
              <w:jc w:val="center"/>
              <w:rPr>
                <w:rFonts w:eastAsia="黑体"/>
                <w:sz w:val="20"/>
                <w:szCs w:val="20"/>
              </w:rPr>
            </w:pPr>
            <w:r>
              <w:rPr>
                <w:rFonts w:hint="eastAsia" w:eastAsia="黑体"/>
                <w:sz w:val="20"/>
                <w:szCs w:val="20"/>
              </w:rPr>
              <w:t>≤0</w:t>
            </w:r>
            <w:r>
              <w:rPr>
                <w:rFonts w:eastAsia="黑体"/>
                <w:sz w:val="20"/>
                <w:szCs w:val="20"/>
              </w:rPr>
              <w:t>.1</w:t>
            </w:r>
          </w:p>
        </w:tc>
        <w:tc>
          <w:tcPr>
            <w:tcW w:w="854" w:type="pct"/>
            <w:vMerge w:val="continue"/>
            <w:vAlign w:val="center"/>
          </w:tcPr>
          <w:p w14:paraId="79D4EE5B">
            <w:pPr>
              <w:rPr>
                <w:rFonts w:eastAsia="黑体"/>
                <w:sz w:val="20"/>
                <w:szCs w:val="20"/>
              </w:rPr>
            </w:pPr>
          </w:p>
        </w:tc>
        <w:tc>
          <w:tcPr>
            <w:tcW w:w="949" w:type="pct"/>
            <w:vMerge w:val="continue"/>
            <w:vAlign w:val="center"/>
          </w:tcPr>
          <w:p w14:paraId="1E048981">
            <w:pPr>
              <w:rPr>
                <w:rFonts w:eastAsia="黑体"/>
                <w:sz w:val="20"/>
                <w:szCs w:val="20"/>
              </w:rPr>
            </w:pPr>
          </w:p>
        </w:tc>
      </w:tr>
      <w:tr w14:paraId="29DCC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76" w:type="pct"/>
            <w:vMerge w:val="continue"/>
            <w:vAlign w:val="center"/>
          </w:tcPr>
          <w:p w14:paraId="24FD5CB5">
            <w:pPr>
              <w:jc w:val="center"/>
              <w:rPr>
                <w:rFonts w:eastAsia="黑体"/>
                <w:sz w:val="20"/>
                <w:szCs w:val="20"/>
              </w:rPr>
            </w:pPr>
          </w:p>
        </w:tc>
        <w:tc>
          <w:tcPr>
            <w:tcW w:w="424" w:type="pct"/>
            <w:vMerge w:val="continue"/>
            <w:vAlign w:val="center"/>
          </w:tcPr>
          <w:p w14:paraId="6E779E58">
            <w:pPr>
              <w:rPr>
                <w:rFonts w:eastAsia="黑体"/>
                <w:sz w:val="20"/>
                <w:szCs w:val="20"/>
              </w:rPr>
            </w:pPr>
          </w:p>
        </w:tc>
        <w:tc>
          <w:tcPr>
            <w:tcW w:w="530" w:type="pct"/>
            <w:gridSpan w:val="2"/>
            <w:vMerge w:val="continue"/>
            <w:vAlign w:val="center"/>
          </w:tcPr>
          <w:p w14:paraId="23ABB70D">
            <w:pPr>
              <w:rPr>
                <w:rFonts w:eastAsia="黑体"/>
                <w:sz w:val="20"/>
                <w:szCs w:val="20"/>
              </w:rPr>
            </w:pPr>
          </w:p>
        </w:tc>
        <w:tc>
          <w:tcPr>
            <w:tcW w:w="351" w:type="pct"/>
            <w:vMerge w:val="continue"/>
            <w:vAlign w:val="center"/>
          </w:tcPr>
          <w:p w14:paraId="523E0AC7">
            <w:pPr>
              <w:jc w:val="center"/>
              <w:rPr>
                <w:rFonts w:eastAsia="黑体"/>
                <w:sz w:val="20"/>
                <w:szCs w:val="20"/>
              </w:rPr>
            </w:pPr>
          </w:p>
        </w:tc>
        <w:tc>
          <w:tcPr>
            <w:tcW w:w="1048" w:type="pct"/>
            <w:gridSpan w:val="2"/>
            <w:vAlign w:val="center"/>
          </w:tcPr>
          <w:p w14:paraId="4C460677">
            <w:pPr>
              <w:jc w:val="center"/>
              <w:rPr>
                <w:rFonts w:eastAsia="黑体"/>
                <w:sz w:val="20"/>
                <w:szCs w:val="20"/>
              </w:rPr>
            </w:pPr>
            <w:r>
              <w:rPr>
                <w:rFonts w:hint="eastAsia" w:eastAsia="黑体"/>
                <w:sz w:val="20"/>
                <w:szCs w:val="20"/>
              </w:rPr>
              <w:t>丙烯醛</w:t>
            </w:r>
          </w:p>
        </w:tc>
        <w:tc>
          <w:tcPr>
            <w:tcW w:w="566" w:type="pct"/>
            <w:vAlign w:val="center"/>
          </w:tcPr>
          <w:p w14:paraId="105F6C71">
            <w:pPr>
              <w:jc w:val="center"/>
              <w:rPr>
                <w:rFonts w:eastAsia="黑体"/>
                <w:sz w:val="20"/>
                <w:szCs w:val="20"/>
              </w:rPr>
            </w:pPr>
            <w:r>
              <w:rPr>
                <w:rFonts w:hint="eastAsia" w:eastAsia="黑体"/>
                <w:sz w:val="20"/>
                <w:szCs w:val="20"/>
              </w:rPr>
              <w:t>≤0</w:t>
            </w:r>
            <w:r>
              <w:rPr>
                <w:rFonts w:eastAsia="黑体"/>
                <w:sz w:val="20"/>
                <w:szCs w:val="20"/>
              </w:rPr>
              <w:t>.03</w:t>
            </w:r>
          </w:p>
        </w:tc>
        <w:tc>
          <w:tcPr>
            <w:tcW w:w="854" w:type="pct"/>
            <w:vMerge w:val="continue"/>
            <w:vAlign w:val="center"/>
          </w:tcPr>
          <w:p w14:paraId="19C92AC9">
            <w:pPr>
              <w:rPr>
                <w:rFonts w:eastAsia="黑体"/>
                <w:sz w:val="20"/>
                <w:szCs w:val="20"/>
              </w:rPr>
            </w:pPr>
          </w:p>
        </w:tc>
        <w:tc>
          <w:tcPr>
            <w:tcW w:w="949" w:type="pct"/>
            <w:vMerge w:val="continue"/>
            <w:vAlign w:val="center"/>
          </w:tcPr>
          <w:p w14:paraId="1DB0A972">
            <w:pPr>
              <w:rPr>
                <w:rFonts w:eastAsia="黑体"/>
                <w:sz w:val="20"/>
                <w:szCs w:val="20"/>
              </w:rPr>
            </w:pPr>
          </w:p>
        </w:tc>
      </w:tr>
      <w:tr w14:paraId="420B3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76" w:type="pct"/>
            <w:vMerge w:val="continue"/>
            <w:vAlign w:val="center"/>
          </w:tcPr>
          <w:p w14:paraId="1B0E0C8E">
            <w:pPr>
              <w:jc w:val="center"/>
              <w:rPr>
                <w:rFonts w:eastAsia="黑体"/>
                <w:sz w:val="20"/>
                <w:szCs w:val="20"/>
              </w:rPr>
            </w:pPr>
          </w:p>
        </w:tc>
        <w:tc>
          <w:tcPr>
            <w:tcW w:w="424" w:type="pct"/>
            <w:vMerge w:val="continue"/>
            <w:vAlign w:val="center"/>
          </w:tcPr>
          <w:p w14:paraId="1AE69263">
            <w:pPr>
              <w:rPr>
                <w:rFonts w:eastAsia="黑体"/>
                <w:sz w:val="20"/>
                <w:szCs w:val="20"/>
              </w:rPr>
            </w:pPr>
          </w:p>
        </w:tc>
        <w:tc>
          <w:tcPr>
            <w:tcW w:w="530" w:type="pct"/>
            <w:gridSpan w:val="2"/>
            <w:vMerge w:val="continue"/>
            <w:vAlign w:val="center"/>
          </w:tcPr>
          <w:p w14:paraId="06E8D655">
            <w:pPr>
              <w:rPr>
                <w:rFonts w:eastAsia="黑体"/>
                <w:sz w:val="20"/>
                <w:szCs w:val="20"/>
              </w:rPr>
            </w:pPr>
          </w:p>
        </w:tc>
        <w:tc>
          <w:tcPr>
            <w:tcW w:w="351" w:type="pct"/>
            <w:vMerge w:val="continue"/>
            <w:vAlign w:val="center"/>
          </w:tcPr>
          <w:p w14:paraId="5BBBC122">
            <w:pPr>
              <w:jc w:val="center"/>
              <w:rPr>
                <w:rFonts w:eastAsia="黑体"/>
                <w:sz w:val="20"/>
                <w:szCs w:val="20"/>
              </w:rPr>
            </w:pPr>
          </w:p>
        </w:tc>
        <w:tc>
          <w:tcPr>
            <w:tcW w:w="1048" w:type="pct"/>
            <w:gridSpan w:val="2"/>
            <w:vAlign w:val="center"/>
          </w:tcPr>
          <w:p w14:paraId="44AF08B7">
            <w:pPr>
              <w:jc w:val="center"/>
              <w:rPr>
                <w:rFonts w:eastAsia="黑体"/>
                <w:sz w:val="20"/>
                <w:szCs w:val="20"/>
                <w:highlight w:val="none"/>
              </w:rPr>
            </w:pPr>
            <w:r>
              <w:rPr>
                <w:rFonts w:hint="eastAsia" w:eastAsia="黑体"/>
                <w:sz w:val="20"/>
                <w:szCs w:val="20"/>
                <w:highlight w:val="none"/>
              </w:rPr>
              <w:t>胺类的累积值</w:t>
            </w:r>
          </w:p>
        </w:tc>
        <w:tc>
          <w:tcPr>
            <w:tcW w:w="566" w:type="pct"/>
            <w:vAlign w:val="center"/>
          </w:tcPr>
          <w:p w14:paraId="18663122">
            <w:pPr>
              <w:jc w:val="center"/>
              <w:rPr>
                <w:rFonts w:eastAsia="黑体"/>
                <w:sz w:val="20"/>
                <w:szCs w:val="20"/>
                <w:highlight w:val="none"/>
              </w:rPr>
            </w:pPr>
            <w:r>
              <w:rPr>
                <w:rFonts w:hint="eastAsia" w:eastAsia="黑体"/>
                <w:sz w:val="20"/>
                <w:szCs w:val="20"/>
                <w:highlight w:val="none"/>
              </w:rPr>
              <w:t>≤0</w:t>
            </w:r>
            <w:r>
              <w:rPr>
                <w:rFonts w:eastAsia="黑体"/>
                <w:sz w:val="20"/>
                <w:szCs w:val="20"/>
                <w:highlight w:val="none"/>
              </w:rPr>
              <w:t>.2</w:t>
            </w:r>
          </w:p>
        </w:tc>
        <w:tc>
          <w:tcPr>
            <w:tcW w:w="854" w:type="pct"/>
            <w:vMerge w:val="continue"/>
            <w:vAlign w:val="center"/>
          </w:tcPr>
          <w:p w14:paraId="1DCA6F3A">
            <w:pPr>
              <w:rPr>
                <w:rFonts w:eastAsia="黑体"/>
                <w:sz w:val="20"/>
                <w:szCs w:val="20"/>
              </w:rPr>
            </w:pPr>
          </w:p>
        </w:tc>
        <w:tc>
          <w:tcPr>
            <w:tcW w:w="949" w:type="pct"/>
            <w:vMerge w:val="continue"/>
            <w:vAlign w:val="center"/>
          </w:tcPr>
          <w:p w14:paraId="462A7D5A">
            <w:pPr>
              <w:rPr>
                <w:rFonts w:eastAsia="黑体"/>
                <w:sz w:val="20"/>
                <w:szCs w:val="20"/>
              </w:rPr>
            </w:pPr>
          </w:p>
        </w:tc>
      </w:tr>
      <w:tr w14:paraId="3A89D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76" w:type="pct"/>
            <w:vMerge w:val="continue"/>
            <w:vAlign w:val="center"/>
          </w:tcPr>
          <w:p w14:paraId="4EED3E56">
            <w:pPr>
              <w:jc w:val="center"/>
              <w:rPr>
                <w:rFonts w:eastAsia="黑体"/>
                <w:sz w:val="20"/>
                <w:szCs w:val="20"/>
              </w:rPr>
            </w:pPr>
          </w:p>
        </w:tc>
        <w:tc>
          <w:tcPr>
            <w:tcW w:w="424" w:type="pct"/>
            <w:vMerge w:val="continue"/>
            <w:vAlign w:val="center"/>
          </w:tcPr>
          <w:p w14:paraId="451BCA57">
            <w:pPr>
              <w:rPr>
                <w:rFonts w:eastAsia="黑体"/>
                <w:sz w:val="20"/>
                <w:szCs w:val="20"/>
              </w:rPr>
            </w:pPr>
          </w:p>
        </w:tc>
        <w:tc>
          <w:tcPr>
            <w:tcW w:w="530" w:type="pct"/>
            <w:gridSpan w:val="2"/>
            <w:vMerge w:val="continue"/>
            <w:vAlign w:val="center"/>
          </w:tcPr>
          <w:p w14:paraId="1D587ADB">
            <w:pPr>
              <w:rPr>
                <w:rFonts w:eastAsia="黑体"/>
                <w:sz w:val="20"/>
                <w:szCs w:val="20"/>
              </w:rPr>
            </w:pPr>
          </w:p>
        </w:tc>
        <w:tc>
          <w:tcPr>
            <w:tcW w:w="351" w:type="pct"/>
            <w:vMerge w:val="continue"/>
            <w:vAlign w:val="center"/>
          </w:tcPr>
          <w:p w14:paraId="6129179D">
            <w:pPr>
              <w:jc w:val="center"/>
              <w:rPr>
                <w:rFonts w:eastAsia="黑体"/>
                <w:sz w:val="20"/>
                <w:szCs w:val="20"/>
              </w:rPr>
            </w:pPr>
          </w:p>
        </w:tc>
        <w:tc>
          <w:tcPr>
            <w:tcW w:w="1048" w:type="pct"/>
            <w:gridSpan w:val="2"/>
            <w:vAlign w:val="center"/>
          </w:tcPr>
          <w:p w14:paraId="2CBA2D13">
            <w:pPr>
              <w:jc w:val="center"/>
              <w:rPr>
                <w:rFonts w:eastAsia="黑体"/>
                <w:sz w:val="20"/>
                <w:szCs w:val="20"/>
                <w:highlight w:val="none"/>
              </w:rPr>
            </w:pPr>
            <w:r>
              <w:rPr>
                <w:rFonts w:hint="eastAsia" w:eastAsia="黑体"/>
                <w:sz w:val="20"/>
                <w:szCs w:val="20"/>
                <w:highlight w:val="none"/>
              </w:rPr>
              <w:t>醛类总和（C</w:t>
            </w:r>
            <w:r>
              <w:rPr>
                <w:rFonts w:eastAsia="黑体"/>
                <w:sz w:val="20"/>
                <w:szCs w:val="20"/>
                <w:highlight w:val="none"/>
              </w:rPr>
              <w:t>3-C6</w:t>
            </w:r>
            <w:r>
              <w:rPr>
                <w:rFonts w:hint="eastAsia" w:eastAsia="黑体"/>
                <w:sz w:val="20"/>
                <w:szCs w:val="20"/>
                <w:highlight w:val="none"/>
              </w:rPr>
              <w:t>）</w:t>
            </w:r>
          </w:p>
        </w:tc>
        <w:tc>
          <w:tcPr>
            <w:tcW w:w="566" w:type="pct"/>
            <w:vAlign w:val="center"/>
          </w:tcPr>
          <w:p w14:paraId="43BDDFE1">
            <w:pPr>
              <w:jc w:val="center"/>
              <w:rPr>
                <w:rFonts w:eastAsia="黑体"/>
                <w:sz w:val="20"/>
                <w:szCs w:val="20"/>
                <w:highlight w:val="none"/>
              </w:rPr>
            </w:pPr>
            <w:r>
              <w:rPr>
                <w:rFonts w:hint="eastAsia" w:eastAsia="黑体"/>
                <w:sz w:val="20"/>
                <w:szCs w:val="20"/>
                <w:highlight w:val="none"/>
              </w:rPr>
              <w:t>≤1</w:t>
            </w:r>
            <w:r>
              <w:rPr>
                <w:rFonts w:eastAsia="黑体"/>
                <w:sz w:val="20"/>
                <w:szCs w:val="20"/>
                <w:highlight w:val="none"/>
              </w:rPr>
              <w:t>.5</w:t>
            </w:r>
          </w:p>
        </w:tc>
        <w:tc>
          <w:tcPr>
            <w:tcW w:w="854" w:type="pct"/>
            <w:vMerge w:val="continue"/>
            <w:vAlign w:val="center"/>
          </w:tcPr>
          <w:p w14:paraId="2869DE1F">
            <w:pPr>
              <w:rPr>
                <w:rFonts w:eastAsia="黑体"/>
                <w:sz w:val="20"/>
                <w:szCs w:val="20"/>
              </w:rPr>
            </w:pPr>
          </w:p>
        </w:tc>
        <w:tc>
          <w:tcPr>
            <w:tcW w:w="949" w:type="pct"/>
            <w:vMerge w:val="continue"/>
            <w:vAlign w:val="center"/>
          </w:tcPr>
          <w:p w14:paraId="59312447">
            <w:pPr>
              <w:rPr>
                <w:rFonts w:eastAsia="黑体"/>
                <w:sz w:val="20"/>
                <w:szCs w:val="20"/>
              </w:rPr>
            </w:pPr>
          </w:p>
        </w:tc>
      </w:tr>
      <w:tr w14:paraId="399F0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76" w:type="pct"/>
            <w:vMerge w:val="continue"/>
            <w:vAlign w:val="center"/>
          </w:tcPr>
          <w:p w14:paraId="6F359EA7">
            <w:pPr>
              <w:jc w:val="center"/>
              <w:rPr>
                <w:rFonts w:eastAsia="黑体"/>
                <w:sz w:val="20"/>
                <w:szCs w:val="20"/>
              </w:rPr>
            </w:pPr>
          </w:p>
        </w:tc>
        <w:tc>
          <w:tcPr>
            <w:tcW w:w="424" w:type="pct"/>
            <w:vMerge w:val="continue"/>
            <w:vAlign w:val="center"/>
          </w:tcPr>
          <w:p w14:paraId="7A61E5A2">
            <w:pPr>
              <w:rPr>
                <w:rFonts w:eastAsia="黑体"/>
                <w:sz w:val="20"/>
                <w:szCs w:val="20"/>
              </w:rPr>
            </w:pPr>
          </w:p>
        </w:tc>
        <w:tc>
          <w:tcPr>
            <w:tcW w:w="530" w:type="pct"/>
            <w:gridSpan w:val="2"/>
            <w:vMerge w:val="continue"/>
            <w:vAlign w:val="center"/>
          </w:tcPr>
          <w:p w14:paraId="3FF622D1">
            <w:pPr>
              <w:rPr>
                <w:rFonts w:eastAsia="黑体"/>
                <w:sz w:val="20"/>
                <w:szCs w:val="20"/>
              </w:rPr>
            </w:pPr>
          </w:p>
        </w:tc>
        <w:tc>
          <w:tcPr>
            <w:tcW w:w="351" w:type="pct"/>
            <w:vMerge w:val="continue"/>
            <w:vAlign w:val="center"/>
          </w:tcPr>
          <w:p w14:paraId="2F6C15CA">
            <w:pPr>
              <w:jc w:val="center"/>
              <w:rPr>
                <w:rFonts w:eastAsia="黑体"/>
                <w:sz w:val="20"/>
                <w:szCs w:val="20"/>
              </w:rPr>
            </w:pPr>
          </w:p>
        </w:tc>
        <w:tc>
          <w:tcPr>
            <w:tcW w:w="1048" w:type="pct"/>
            <w:gridSpan w:val="2"/>
            <w:vAlign w:val="center"/>
          </w:tcPr>
          <w:p w14:paraId="49D4C127">
            <w:pPr>
              <w:jc w:val="center"/>
              <w:rPr>
                <w:rFonts w:eastAsia="黑体"/>
                <w:sz w:val="20"/>
                <w:szCs w:val="20"/>
                <w:highlight w:val="none"/>
              </w:rPr>
            </w:pPr>
            <w:r>
              <w:rPr>
                <w:rFonts w:hint="eastAsia" w:eastAsia="黑体"/>
                <w:sz w:val="20"/>
                <w:szCs w:val="20"/>
                <w:highlight w:val="none"/>
              </w:rPr>
              <w:t>乙烯基环己烷</w:t>
            </w:r>
          </w:p>
        </w:tc>
        <w:tc>
          <w:tcPr>
            <w:tcW w:w="566" w:type="pct"/>
          </w:tcPr>
          <w:p w14:paraId="64BA76B2">
            <w:pPr>
              <w:jc w:val="center"/>
              <w:rPr>
                <w:rFonts w:hint="default" w:eastAsia="黑体"/>
                <w:sz w:val="20"/>
                <w:szCs w:val="20"/>
                <w:highlight w:val="none"/>
                <w:lang w:val="en-US" w:eastAsia="zh-CN"/>
              </w:rPr>
            </w:pPr>
            <w:r>
              <w:rPr>
                <w:rFonts w:hint="eastAsia" w:eastAsia="黑体"/>
                <w:sz w:val="20"/>
                <w:szCs w:val="20"/>
                <w:highlight w:val="none"/>
                <w:lang w:val="en-US" w:eastAsia="zh-CN"/>
              </w:rPr>
              <w:t>ND</w:t>
            </w:r>
          </w:p>
        </w:tc>
        <w:tc>
          <w:tcPr>
            <w:tcW w:w="854" w:type="pct"/>
            <w:vMerge w:val="restart"/>
            <w:vAlign w:val="center"/>
          </w:tcPr>
          <w:p w14:paraId="4D4D58A9">
            <w:pPr>
              <w:jc w:val="center"/>
              <w:rPr>
                <w:rFonts w:eastAsia="黑体"/>
                <w:sz w:val="20"/>
                <w:szCs w:val="20"/>
              </w:rPr>
            </w:pPr>
            <w:r>
              <w:rPr>
                <w:rFonts w:eastAsia="黑体"/>
                <w:sz w:val="20"/>
                <w:szCs w:val="20"/>
              </w:rPr>
              <w:t xml:space="preserve">按GB/T </w:t>
            </w:r>
            <w:r>
              <w:t>31107</w:t>
            </w:r>
            <w:r>
              <w:rPr>
                <w:rFonts w:eastAsia="黑体"/>
                <w:sz w:val="20"/>
                <w:szCs w:val="20"/>
              </w:rPr>
              <w:t>检测并提供检测报告</w:t>
            </w:r>
          </w:p>
        </w:tc>
        <w:tc>
          <w:tcPr>
            <w:tcW w:w="949" w:type="pct"/>
            <w:vMerge w:val="continue"/>
            <w:vAlign w:val="center"/>
          </w:tcPr>
          <w:p w14:paraId="204CC8F0">
            <w:pPr>
              <w:rPr>
                <w:rFonts w:eastAsia="黑体"/>
                <w:sz w:val="20"/>
                <w:szCs w:val="20"/>
              </w:rPr>
            </w:pPr>
          </w:p>
        </w:tc>
      </w:tr>
      <w:tr w14:paraId="51758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76" w:type="pct"/>
            <w:vMerge w:val="continue"/>
            <w:vAlign w:val="center"/>
          </w:tcPr>
          <w:p w14:paraId="185A118D">
            <w:pPr>
              <w:jc w:val="center"/>
              <w:rPr>
                <w:rFonts w:eastAsia="黑体"/>
                <w:sz w:val="20"/>
                <w:szCs w:val="20"/>
              </w:rPr>
            </w:pPr>
          </w:p>
        </w:tc>
        <w:tc>
          <w:tcPr>
            <w:tcW w:w="424" w:type="pct"/>
            <w:vMerge w:val="continue"/>
            <w:vAlign w:val="center"/>
          </w:tcPr>
          <w:p w14:paraId="377E6B1B">
            <w:pPr>
              <w:rPr>
                <w:rFonts w:eastAsia="黑体"/>
                <w:sz w:val="20"/>
                <w:szCs w:val="20"/>
              </w:rPr>
            </w:pPr>
          </w:p>
        </w:tc>
        <w:tc>
          <w:tcPr>
            <w:tcW w:w="530" w:type="pct"/>
            <w:gridSpan w:val="2"/>
            <w:vMerge w:val="continue"/>
            <w:vAlign w:val="center"/>
          </w:tcPr>
          <w:p w14:paraId="53C40E7E">
            <w:pPr>
              <w:rPr>
                <w:rFonts w:eastAsia="黑体"/>
                <w:sz w:val="20"/>
                <w:szCs w:val="20"/>
              </w:rPr>
            </w:pPr>
          </w:p>
        </w:tc>
        <w:tc>
          <w:tcPr>
            <w:tcW w:w="351" w:type="pct"/>
            <w:vMerge w:val="continue"/>
            <w:vAlign w:val="center"/>
          </w:tcPr>
          <w:p w14:paraId="1D739DBF">
            <w:pPr>
              <w:jc w:val="center"/>
              <w:rPr>
                <w:rFonts w:eastAsia="黑体"/>
                <w:sz w:val="20"/>
                <w:szCs w:val="20"/>
              </w:rPr>
            </w:pPr>
          </w:p>
        </w:tc>
        <w:tc>
          <w:tcPr>
            <w:tcW w:w="1048" w:type="pct"/>
            <w:gridSpan w:val="2"/>
            <w:vAlign w:val="center"/>
          </w:tcPr>
          <w:p w14:paraId="2F77DEDD">
            <w:pPr>
              <w:jc w:val="center"/>
              <w:rPr>
                <w:rFonts w:eastAsia="黑体"/>
                <w:sz w:val="20"/>
                <w:szCs w:val="20"/>
                <w:highlight w:val="none"/>
              </w:rPr>
            </w:pPr>
            <w:r>
              <w:rPr>
                <w:rFonts w:hint="eastAsia" w:eastAsia="黑体"/>
                <w:sz w:val="20"/>
                <w:szCs w:val="20"/>
                <w:highlight w:val="none"/>
              </w:rPr>
              <w:t>4</w:t>
            </w:r>
            <w:r>
              <w:rPr>
                <w:rFonts w:eastAsia="黑体"/>
                <w:sz w:val="20"/>
                <w:szCs w:val="20"/>
                <w:highlight w:val="none"/>
              </w:rPr>
              <w:t>-</w:t>
            </w:r>
            <w:r>
              <w:rPr>
                <w:rFonts w:hint="eastAsia" w:eastAsia="黑体"/>
                <w:sz w:val="20"/>
                <w:szCs w:val="20"/>
                <w:highlight w:val="none"/>
              </w:rPr>
              <w:t>苯基环己烷</w:t>
            </w:r>
          </w:p>
        </w:tc>
        <w:tc>
          <w:tcPr>
            <w:tcW w:w="566" w:type="pct"/>
            <w:vAlign w:val="center"/>
          </w:tcPr>
          <w:p w14:paraId="48625EFC">
            <w:pPr>
              <w:jc w:val="center"/>
              <w:rPr>
                <w:rFonts w:hint="default" w:eastAsia="黑体"/>
                <w:sz w:val="20"/>
                <w:szCs w:val="20"/>
                <w:highlight w:val="none"/>
                <w:lang w:val="en-US" w:eastAsia="zh-CN"/>
              </w:rPr>
            </w:pPr>
            <w:r>
              <w:rPr>
                <w:rFonts w:hint="eastAsia" w:eastAsia="黑体"/>
                <w:sz w:val="20"/>
                <w:szCs w:val="20"/>
                <w:highlight w:val="none"/>
                <w:lang w:val="en-US" w:eastAsia="zh-CN"/>
              </w:rPr>
              <w:t>ND</w:t>
            </w:r>
          </w:p>
        </w:tc>
        <w:tc>
          <w:tcPr>
            <w:tcW w:w="854" w:type="pct"/>
            <w:vMerge w:val="continue"/>
            <w:vAlign w:val="center"/>
          </w:tcPr>
          <w:p w14:paraId="1C264027">
            <w:pPr>
              <w:rPr>
                <w:rFonts w:eastAsia="黑体"/>
                <w:sz w:val="20"/>
                <w:szCs w:val="20"/>
              </w:rPr>
            </w:pPr>
          </w:p>
        </w:tc>
        <w:tc>
          <w:tcPr>
            <w:tcW w:w="949" w:type="pct"/>
            <w:vMerge w:val="continue"/>
            <w:vAlign w:val="center"/>
          </w:tcPr>
          <w:p w14:paraId="6204E93B">
            <w:pPr>
              <w:rPr>
                <w:rFonts w:eastAsia="黑体"/>
                <w:sz w:val="20"/>
                <w:szCs w:val="20"/>
              </w:rPr>
            </w:pPr>
          </w:p>
        </w:tc>
      </w:tr>
      <w:tr w14:paraId="2D856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76" w:type="pct"/>
            <w:vMerge w:val="continue"/>
            <w:vAlign w:val="center"/>
          </w:tcPr>
          <w:p w14:paraId="2E107F24">
            <w:pPr>
              <w:jc w:val="center"/>
              <w:rPr>
                <w:rFonts w:eastAsia="黑体"/>
                <w:sz w:val="20"/>
                <w:szCs w:val="20"/>
              </w:rPr>
            </w:pPr>
          </w:p>
        </w:tc>
        <w:tc>
          <w:tcPr>
            <w:tcW w:w="424" w:type="pct"/>
            <w:vMerge w:val="continue"/>
            <w:vAlign w:val="center"/>
          </w:tcPr>
          <w:p w14:paraId="28F46E97">
            <w:pPr>
              <w:rPr>
                <w:rFonts w:eastAsia="黑体"/>
                <w:sz w:val="20"/>
                <w:szCs w:val="20"/>
              </w:rPr>
            </w:pPr>
          </w:p>
        </w:tc>
        <w:tc>
          <w:tcPr>
            <w:tcW w:w="530" w:type="pct"/>
            <w:gridSpan w:val="2"/>
            <w:vMerge w:val="continue"/>
            <w:vAlign w:val="center"/>
          </w:tcPr>
          <w:p w14:paraId="0F1BE6D2">
            <w:pPr>
              <w:rPr>
                <w:rFonts w:eastAsia="黑体"/>
                <w:sz w:val="20"/>
                <w:szCs w:val="20"/>
              </w:rPr>
            </w:pPr>
          </w:p>
        </w:tc>
        <w:tc>
          <w:tcPr>
            <w:tcW w:w="351" w:type="pct"/>
            <w:vMerge w:val="continue"/>
            <w:vAlign w:val="center"/>
          </w:tcPr>
          <w:p w14:paraId="38A8D321">
            <w:pPr>
              <w:jc w:val="center"/>
              <w:rPr>
                <w:rFonts w:eastAsia="黑体"/>
                <w:sz w:val="20"/>
                <w:szCs w:val="20"/>
              </w:rPr>
            </w:pPr>
          </w:p>
        </w:tc>
        <w:tc>
          <w:tcPr>
            <w:tcW w:w="1048" w:type="pct"/>
            <w:gridSpan w:val="2"/>
            <w:vAlign w:val="center"/>
          </w:tcPr>
          <w:p w14:paraId="104C70DA">
            <w:pPr>
              <w:jc w:val="center"/>
              <w:rPr>
                <w:rFonts w:eastAsia="黑体"/>
                <w:sz w:val="20"/>
                <w:szCs w:val="20"/>
                <w:highlight w:val="none"/>
              </w:rPr>
            </w:pPr>
            <w:r>
              <w:rPr>
                <w:rFonts w:hint="eastAsia" w:eastAsia="黑体"/>
                <w:sz w:val="20"/>
                <w:szCs w:val="20"/>
                <w:highlight w:val="none"/>
              </w:rPr>
              <w:t>丁二烯</w:t>
            </w:r>
          </w:p>
        </w:tc>
        <w:tc>
          <w:tcPr>
            <w:tcW w:w="566" w:type="pct"/>
          </w:tcPr>
          <w:p w14:paraId="66122A21">
            <w:pPr>
              <w:jc w:val="center"/>
              <w:rPr>
                <w:rFonts w:hint="default" w:eastAsia="黑体"/>
                <w:sz w:val="20"/>
                <w:szCs w:val="20"/>
                <w:highlight w:val="none"/>
                <w:lang w:val="en-US" w:eastAsia="zh-CN"/>
              </w:rPr>
            </w:pPr>
            <w:r>
              <w:rPr>
                <w:rFonts w:hint="eastAsia" w:eastAsia="黑体"/>
                <w:sz w:val="20"/>
                <w:szCs w:val="20"/>
                <w:highlight w:val="none"/>
                <w:lang w:val="en-US" w:eastAsia="zh-CN"/>
              </w:rPr>
              <w:t>ND</w:t>
            </w:r>
          </w:p>
        </w:tc>
        <w:tc>
          <w:tcPr>
            <w:tcW w:w="854" w:type="pct"/>
            <w:vMerge w:val="continue"/>
            <w:vAlign w:val="center"/>
          </w:tcPr>
          <w:p w14:paraId="63628325">
            <w:pPr>
              <w:rPr>
                <w:rFonts w:eastAsia="黑体"/>
                <w:sz w:val="20"/>
                <w:szCs w:val="20"/>
              </w:rPr>
            </w:pPr>
          </w:p>
        </w:tc>
        <w:tc>
          <w:tcPr>
            <w:tcW w:w="949" w:type="pct"/>
            <w:vMerge w:val="continue"/>
            <w:vAlign w:val="center"/>
          </w:tcPr>
          <w:p w14:paraId="132EF71A">
            <w:pPr>
              <w:rPr>
                <w:rFonts w:eastAsia="黑体"/>
                <w:sz w:val="20"/>
                <w:szCs w:val="20"/>
              </w:rPr>
            </w:pPr>
          </w:p>
        </w:tc>
      </w:tr>
      <w:tr w14:paraId="05AEF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76" w:type="pct"/>
            <w:vMerge w:val="continue"/>
            <w:vAlign w:val="center"/>
          </w:tcPr>
          <w:p w14:paraId="40A99509">
            <w:pPr>
              <w:jc w:val="center"/>
              <w:rPr>
                <w:rFonts w:eastAsia="黑体"/>
                <w:sz w:val="20"/>
                <w:szCs w:val="20"/>
              </w:rPr>
            </w:pPr>
          </w:p>
        </w:tc>
        <w:tc>
          <w:tcPr>
            <w:tcW w:w="424" w:type="pct"/>
            <w:vMerge w:val="continue"/>
            <w:vAlign w:val="center"/>
          </w:tcPr>
          <w:p w14:paraId="5E2A543D">
            <w:pPr>
              <w:rPr>
                <w:rFonts w:eastAsia="黑体"/>
                <w:sz w:val="20"/>
                <w:szCs w:val="20"/>
              </w:rPr>
            </w:pPr>
          </w:p>
        </w:tc>
        <w:tc>
          <w:tcPr>
            <w:tcW w:w="530" w:type="pct"/>
            <w:gridSpan w:val="2"/>
            <w:vMerge w:val="continue"/>
            <w:vAlign w:val="center"/>
          </w:tcPr>
          <w:p w14:paraId="3C13B0CF">
            <w:pPr>
              <w:rPr>
                <w:rFonts w:eastAsia="黑体"/>
                <w:sz w:val="20"/>
                <w:szCs w:val="20"/>
              </w:rPr>
            </w:pPr>
          </w:p>
        </w:tc>
        <w:tc>
          <w:tcPr>
            <w:tcW w:w="351" w:type="pct"/>
            <w:vMerge w:val="continue"/>
            <w:vAlign w:val="center"/>
          </w:tcPr>
          <w:p w14:paraId="5BD782BA">
            <w:pPr>
              <w:jc w:val="center"/>
              <w:rPr>
                <w:rFonts w:eastAsia="黑体"/>
                <w:sz w:val="20"/>
                <w:szCs w:val="20"/>
              </w:rPr>
            </w:pPr>
          </w:p>
        </w:tc>
        <w:tc>
          <w:tcPr>
            <w:tcW w:w="1048" w:type="pct"/>
            <w:gridSpan w:val="2"/>
            <w:vAlign w:val="center"/>
          </w:tcPr>
          <w:p w14:paraId="6A85FFBE">
            <w:pPr>
              <w:jc w:val="center"/>
              <w:rPr>
                <w:rFonts w:eastAsia="黑体"/>
                <w:sz w:val="20"/>
                <w:szCs w:val="20"/>
                <w:highlight w:val="none"/>
              </w:rPr>
            </w:pPr>
            <w:r>
              <w:rPr>
                <w:rFonts w:hint="eastAsia" w:eastAsia="黑体"/>
                <w:sz w:val="20"/>
                <w:szCs w:val="20"/>
                <w:highlight w:val="none"/>
              </w:rPr>
              <w:t>氯乙烯</w:t>
            </w:r>
          </w:p>
        </w:tc>
        <w:tc>
          <w:tcPr>
            <w:tcW w:w="566" w:type="pct"/>
          </w:tcPr>
          <w:p w14:paraId="5BE32B6B">
            <w:pPr>
              <w:jc w:val="center"/>
              <w:rPr>
                <w:rFonts w:hint="default" w:eastAsia="黑体"/>
                <w:sz w:val="20"/>
                <w:szCs w:val="20"/>
                <w:highlight w:val="none"/>
                <w:lang w:val="en-US" w:eastAsia="zh-CN"/>
              </w:rPr>
            </w:pPr>
            <w:r>
              <w:rPr>
                <w:rFonts w:hint="eastAsia" w:eastAsia="黑体"/>
                <w:sz w:val="20"/>
                <w:szCs w:val="20"/>
                <w:highlight w:val="none"/>
                <w:lang w:val="en-US" w:eastAsia="zh-CN"/>
              </w:rPr>
              <w:t>ND</w:t>
            </w:r>
          </w:p>
        </w:tc>
        <w:tc>
          <w:tcPr>
            <w:tcW w:w="854" w:type="pct"/>
            <w:vMerge w:val="continue"/>
            <w:vAlign w:val="center"/>
          </w:tcPr>
          <w:p w14:paraId="6BC1D4DC">
            <w:pPr>
              <w:rPr>
                <w:rFonts w:eastAsia="黑体"/>
                <w:sz w:val="20"/>
                <w:szCs w:val="20"/>
              </w:rPr>
            </w:pPr>
          </w:p>
        </w:tc>
        <w:tc>
          <w:tcPr>
            <w:tcW w:w="949" w:type="pct"/>
            <w:vMerge w:val="continue"/>
            <w:vAlign w:val="center"/>
          </w:tcPr>
          <w:p w14:paraId="1D9CFA25">
            <w:pPr>
              <w:rPr>
                <w:rFonts w:eastAsia="黑体"/>
                <w:sz w:val="20"/>
                <w:szCs w:val="20"/>
              </w:rPr>
            </w:pPr>
          </w:p>
        </w:tc>
      </w:tr>
      <w:tr w14:paraId="672D2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76" w:type="pct"/>
            <w:vMerge w:val="continue"/>
            <w:vAlign w:val="center"/>
          </w:tcPr>
          <w:p w14:paraId="3F882B0E">
            <w:pPr>
              <w:jc w:val="center"/>
              <w:rPr>
                <w:rFonts w:eastAsia="黑体"/>
                <w:sz w:val="20"/>
                <w:szCs w:val="20"/>
              </w:rPr>
            </w:pPr>
          </w:p>
        </w:tc>
        <w:tc>
          <w:tcPr>
            <w:tcW w:w="424" w:type="pct"/>
            <w:vMerge w:val="continue"/>
            <w:vAlign w:val="center"/>
          </w:tcPr>
          <w:p w14:paraId="12E172B4">
            <w:pPr>
              <w:rPr>
                <w:rFonts w:eastAsia="黑体"/>
                <w:sz w:val="20"/>
                <w:szCs w:val="20"/>
              </w:rPr>
            </w:pPr>
          </w:p>
        </w:tc>
        <w:tc>
          <w:tcPr>
            <w:tcW w:w="530" w:type="pct"/>
            <w:gridSpan w:val="2"/>
            <w:vMerge w:val="continue"/>
            <w:vAlign w:val="center"/>
          </w:tcPr>
          <w:p w14:paraId="1CB5846E">
            <w:pPr>
              <w:rPr>
                <w:rFonts w:eastAsia="黑体"/>
                <w:sz w:val="20"/>
                <w:szCs w:val="20"/>
              </w:rPr>
            </w:pPr>
          </w:p>
        </w:tc>
        <w:tc>
          <w:tcPr>
            <w:tcW w:w="351" w:type="pct"/>
            <w:vMerge w:val="continue"/>
            <w:vAlign w:val="center"/>
          </w:tcPr>
          <w:p w14:paraId="4CB4B3B9">
            <w:pPr>
              <w:jc w:val="center"/>
              <w:rPr>
                <w:rFonts w:eastAsia="黑体"/>
                <w:sz w:val="20"/>
                <w:szCs w:val="20"/>
              </w:rPr>
            </w:pPr>
          </w:p>
        </w:tc>
        <w:tc>
          <w:tcPr>
            <w:tcW w:w="1048" w:type="pct"/>
            <w:gridSpan w:val="2"/>
            <w:vAlign w:val="center"/>
          </w:tcPr>
          <w:p w14:paraId="6AEB0C66">
            <w:pPr>
              <w:jc w:val="center"/>
              <w:rPr>
                <w:rFonts w:eastAsia="黑体"/>
                <w:sz w:val="20"/>
                <w:szCs w:val="20"/>
              </w:rPr>
            </w:pPr>
            <w:r>
              <w:rPr>
                <w:rFonts w:hint="eastAsia" w:eastAsia="黑体"/>
                <w:sz w:val="20"/>
                <w:szCs w:val="20"/>
              </w:rPr>
              <w:t>芳香烃</w:t>
            </w:r>
          </w:p>
        </w:tc>
        <w:tc>
          <w:tcPr>
            <w:tcW w:w="566" w:type="pct"/>
            <w:vAlign w:val="center"/>
          </w:tcPr>
          <w:p w14:paraId="02A1F845">
            <w:pPr>
              <w:jc w:val="center"/>
              <w:rPr>
                <w:rFonts w:eastAsia="黑体"/>
                <w:sz w:val="20"/>
                <w:szCs w:val="20"/>
              </w:rPr>
            </w:pPr>
            <w:r>
              <w:rPr>
                <w:rFonts w:hint="eastAsia" w:eastAsia="黑体"/>
                <w:sz w:val="20"/>
                <w:szCs w:val="20"/>
              </w:rPr>
              <w:t>≤0</w:t>
            </w:r>
            <w:r>
              <w:rPr>
                <w:rFonts w:eastAsia="黑体"/>
                <w:sz w:val="20"/>
                <w:szCs w:val="20"/>
              </w:rPr>
              <w:t>.5</w:t>
            </w:r>
          </w:p>
        </w:tc>
        <w:tc>
          <w:tcPr>
            <w:tcW w:w="854" w:type="pct"/>
            <w:vMerge w:val="continue"/>
            <w:vAlign w:val="center"/>
          </w:tcPr>
          <w:p w14:paraId="6FB2D719">
            <w:pPr>
              <w:rPr>
                <w:rFonts w:eastAsia="黑体"/>
                <w:sz w:val="20"/>
                <w:szCs w:val="20"/>
              </w:rPr>
            </w:pPr>
          </w:p>
        </w:tc>
        <w:tc>
          <w:tcPr>
            <w:tcW w:w="949" w:type="pct"/>
            <w:vMerge w:val="continue"/>
            <w:vAlign w:val="center"/>
          </w:tcPr>
          <w:p w14:paraId="0641E568">
            <w:pPr>
              <w:rPr>
                <w:rFonts w:eastAsia="黑体"/>
                <w:sz w:val="20"/>
                <w:szCs w:val="20"/>
              </w:rPr>
            </w:pPr>
          </w:p>
        </w:tc>
      </w:tr>
      <w:tr w14:paraId="57191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76" w:type="pct"/>
            <w:vMerge w:val="continue"/>
            <w:vAlign w:val="center"/>
          </w:tcPr>
          <w:p w14:paraId="7D09D2EA">
            <w:pPr>
              <w:jc w:val="center"/>
              <w:rPr>
                <w:rFonts w:eastAsia="黑体"/>
                <w:sz w:val="20"/>
                <w:szCs w:val="20"/>
              </w:rPr>
            </w:pPr>
          </w:p>
        </w:tc>
        <w:tc>
          <w:tcPr>
            <w:tcW w:w="424" w:type="pct"/>
            <w:vMerge w:val="continue"/>
            <w:vAlign w:val="center"/>
          </w:tcPr>
          <w:p w14:paraId="04C1F1A3">
            <w:pPr>
              <w:rPr>
                <w:rFonts w:eastAsia="黑体"/>
                <w:sz w:val="20"/>
                <w:szCs w:val="20"/>
              </w:rPr>
            </w:pPr>
          </w:p>
        </w:tc>
        <w:tc>
          <w:tcPr>
            <w:tcW w:w="530" w:type="pct"/>
            <w:gridSpan w:val="2"/>
            <w:vMerge w:val="continue"/>
            <w:vAlign w:val="center"/>
          </w:tcPr>
          <w:p w14:paraId="595BA1CD">
            <w:pPr>
              <w:rPr>
                <w:rFonts w:eastAsia="黑体"/>
                <w:sz w:val="20"/>
                <w:szCs w:val="20"/>
              </w:rPr>
            </w:pPr>
          </w:p>
        </w:tc>
        <w:tc>
          <w:tcPr>
            <w:tcW w:w="351" w:type="pct"/>
            <w:vMerge w:val="continue"/>
            <w:vAlign w:val="center"/>
          </w:tcPr>
          <w:p w14:paraId="3A06B7D0">
            <w:pPr>
              <w:jc w:val="center"/>
              <w:rPr>
                <w:rFonts w:eastAsia="黑体"/>
                <w:sz w:val="20"/>
                <w:szCs w:val="20"/>
              </w:rPr>
            </w:pPr>
          </w:p>
        </w:tc>
        <w:tc>
          <w:tcPr>
            <w:tcW w:w="1048" w:type="pct"/>
            <w:gridSpan w:val="2"/>
            <w:vAlign w:val="center"/>
          </w:tcPr>
          <w:p w14:paraId="7A9134B8">
            <w:pPr>
              <w:jc w:val="center"/>
              <w:rPr>
                <w:rFonts w:eastAsia="黑体"/>
                <w:sz w:val="20"/>
                <w:szCs w:val="20"/>
              </w:rPr>
            </w:pPr>
            <w:r>
              <w:rPr>
                <w:rFonts w:hint="eastAsia" w:eastAsia="黑体"/>
                <w:sz w:val="20"/>
                <w:szCs w:val="20"/>
              </w:rPr>
              <w:t>苯酚</w:t>
            </w:r>
          </w:p>
        </w:tc>
        <w:tc>
          <w:tcPr>
            <w:tcW w:w="566" w:type="pct"/>
            <w:vAlign w:val="center"/>
          </w:tcPr>
          <w:p w14:paraId="666F3FEE">
            <w:pPr>
              <w:jc w:val="center"/>
              <w:rPr>
                <w:rFonts w:eastAsia="黑体"/>
                <w:sz w:val="20"/>
                <w:szCs w:val="20"/>
              </w:rPr>
            </w:pPr>
            <w:r>
              <w:rPr>
                <w:rFonts w:hint="eastAsia" w:eastAsia="黑体"/>
                <w:sz w:val="20"/>
                <w:szCs w:val="20"/>
              </w:rPr>
              <w:t>≤0</w:t>
            </w:r>
            <w:r>
              <w:rPr>
                <w:rFonts w:eastAsia="黑体"/>
                <w:sz w:val="20"/>
                <w:szCs w:val="20"/>
              </w:rPr>
              <w:t>.1</w:t>
            </w:r>
          </w:p>
        </w:tc>
        <w:tc>
          <w:tcPr>
            <w:tcW w:w="854" w:type="pct"/>
            <w:vMerge w:val="continue"/>
            <w:vAlign w:val="center"/>
          </w:tcPr>
          <w:p w14:paraId="32B4933A">
            <w:pPr>
              <w:rPr>
                <w:rFonts w:eastAsia="黑体"/>
                <w:sz w:val="20"/>
                <w:szCs w:val="20"/>
              </w:rPr>
            </w:pPr>
          </w:p>
        </w:tc>
        <w:tc>
          <w:tcPr>
            <w:tcW w:w="949" w:type="pct"/>
            <w:vMerge w:val="continue"/>
            <w:vAlign w:val="center"/>
          </w:tcPr>
          <w:p w14:paraId="1A1D04DF">
            <w:pPr>
              <w:rPr>
                <w:rFonts w:eastAsia="黑体"/>
                <w:sz w:val="20"/>
                <w:szCs w:val="20"/>
              </w:rPr>
            </w:pPr>
          </w:p>
        </w:tc>
      </w:tr>
      <w:tr w14:paraId="7C9D0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76" w:type="pct"/>
            <w:vMerge w:val="continue"/>
            <w:vAlign w:val="center"/>
          </w:tcPr>
          <w:p w14:paraId="74385342">
            <w:pPr>
              <w:jc w:val="center"/>
              <w:rPr>
                <w:rFonts w:eastAsia="黑体"/>
                <w:sz w:val="20"/>
                <w:szCs w:val="20"/>
              </w:rPr>
            </w:pPr>
          </w:p>
        </w:tc>
        <w:tc>
          <w:tcPr>
            <w:tcW w:w="424" w:type="pct"/>
            <w:vMerge w:val="continue"/>
            <w:vAlign w:val="center"/>
          </w:tcPr>
          <w:p w14:paraId="1C9B963A">
            <w:pPr>
              <w:rPr>
                <w:rFonts w:eastAsia="黑体"/>
                <w:sz w:val="20"/>
                <w:szCs w:val="20"/>
              </w:rPr>
            </w:pPr>
          </w:p>
        </w:tc>
        <w:tc>
          <w:tcPr>
            <w:tcW w:w="530" w:type="pct"/>
            <w:gridSpan w:val="2"/>
            <w:vMerge w:val="continue"/>
            <w:vAlign w:val="center"/>
          </w:tcPr>
          <w:p w14:paraId="14227FF2">
            <w:pPr>
              <w:rPr>
                <w:rFonts w:eastAsia="黑体"/>
                <w:sz w:val="20"/>
                <w:szCs w:val="20"/>
              </w:rPr>
            </w:pPr>
          </w:p>
        </w:tc>
        <w:tc>
          <w:tcPr>
            <w:tcW w:w="351" w:type="pct"/>
            <w:vMerge w:val="continue"/>
            <w:vAlign w:val="center"/>
          </w:tcPr>
          <w:p w14:paraId="2D6436A7">
            <w:pPr>
              <w:jc w:val="center"/>
              <w:rPr>
                <w:rFonts w:eastAsia="黑体"/>
                <w:sz w:val="20"/>
                <w:szCs w:val="20"/>
              </w:rPr>
            </w:pPr>
          </w:p>
        </w:tc>
        <w:tc>
          <w:tcPr>
            <w:tcW w:w="1048" w:type="pct"/>
            <w:gridSpan w:val="2"/>
            <w:vAlign w:val="center"/>
          </w:tcPr>
          <w:p w14:paraId="2B6990F9">
            <w:pPr>
              <w:jc w:val="center"/>
              <w:rPr>
                <w:rFonts w:eastAsia="黑体"/>
                <w:sz w:val="20"/>
                <w:szCs w:val="20"/>
              </w:rPr>
            </w:pPr>
            <w:r>
              <w:rPr>
                <w:rFonts w:eastAsia="黑体"/>
                <w:sz w:val="20"/>
                <w:szCs w:val="20"/>
              </w:rPr>
              <w:t>总挥发性有机化合物</w:t>
            </w:r>
          </w:p>
        </w:tc>
        <w:tc>
          <w:tcPr>
            <w:tcW w:w="566" w:type="pct"/>
            <w:vAlign w:val="center"/>
          </w:tcPr>
          <w:p w14:paraId="3D4D2179">
            <w:pPr>
              <w:jc w:val="center"/>
              <w:rPr>
                <w:rFonts w:eastAsia="黑体"/>
                <w:sz w:val="20"/>
                <w:szCs w:val="20"/>
              </w:rPr>
            </w:pPr>
            <w:r>
              <w:rPr>
                <w:rFonts w:hint="eastAsia" w:eastAsia="黑体"/>
                <w:sz w:val="20"/>
                <w:szCs w:val="20"/>
              </w:rPr>
              <w:t>≤0</w:t>
            </w:r>
            <w:r>
              <w:rPr>
                <w:rFonts w:eastAsia="黑体"/>
                <w:sz w:val="20"/>
                <w:szCs w:val="20"/>
              </w:rPr>
              <w:t>.5</w:t>
            </w:r>
          </w:p>
        </w:tc>
        <w:tc>
          <w:tcPr>
            <w:tcW w:w="854" w:type="pct"/>
            <w:vMerge w:val="continue"/>
            <w:vAlign w:val="center"/>
          </w:tcPr>
          <w:p w14:paraId="7D9CFC4B">
            <w:pPr>
              <w:rPr>
                <w:rFonts w:eastAsia="黑体"/>
                <w:sz w:val="20"/>
                <w:szCs w:val="20"/>
              </w:rPr>
            </w:pPr>
          </w:p>
        </w:tc>
        <w:tc>
          <w:tcPr>
            <w:tcW w:w="949" w:type="pct"/>
            <w:vMerge w:val="continue"/>
            <w:vAlign w:val="center"/>
          </w:tcPr>
          <w:p w14:paraId="13584C35">
            <w:pPr>
              <w:rPr>
                <w:rFonts w:eastAsia="黑体"/>
                <w:sz w:val="20"/>
                <w:szCs w:val="20"/>
              </w:rPr>
            </w:pPr>
          </w:p>
        </w:tc>
      </w:tr>
    </w:tbl>
    <w:p w14:paraId="203A32A5">
      <w:pPr>
        <w:rPr>
          <w:b/>
          <w:color w:val="000000"/>
        </w:rPr>
      </w:pPr>
    </w:p>
    <w:p w14:paraId="2C552FB8">
      <w:pPr>
        <w:pStyle w:val="79"/>
        <w:spacing w:before="312" w:after="312"/>
        <w:rPr>
          <w:bCs/>
        </w:rPr>
      </w:pPr>
      <w:r>
        <w:rPr>
          <w:rFonts w:hint="eastAsia"/>
        </w:rPr>
        <w:t>产品生命周期评价方法及评价报告编制方法</w:t>
      </w:r>
      <w:bookmarkEnd w:id="25"/>
      <w:bookmarkEnd w:id="26"/>
    </w:p>
    <w:p w14:paraId="56B99D66">
      <w:pPr>
        <w:pStyle w:val="76"/>
        <w:numPr>
          <w:ilvl w:val="0"/>
          <w:numId w:val="22"/>
        </w:numPr>
        <w:spacing w:before="156" w:after="156"/>
      </w:pPr>
      <w:bookmarkStart w:id="28" w:name="_Hlk109740933"/>
      <w:r>
        <w:rPr>
          <w:rFonts w:hint="eastAsia"/>
        </w:rPr>
        <w:t>5.1产品生命周期评价方法</w:t>
      </w:r>
    </w:p>
    <w:p w14:paraId="5D8F359A">
      <w:pPr>
        <w:ind w:firstLine="420" w:firstLineChars="200"/>
        <w:rPr>
          <w:szCs w:val="21"/>
        </w:rPr>
      </w:pPr>
      <w:r>
        <w:rPr>
          <w:szCs w:val="21"/>
        </w:rPr>
        <w:t>依据GB/T 24040、GB/T 24044、GB/T 32161给出的生命周期评价方法框架、总体要求及其附录编制产品生命周期评价报告，见本文件附录B。</w:t>
      </w:r>
    </w:p>
    <w:p w14:paraId="5D1D5F2F">
      <w:pPr>
        <w:pStyle w:val="76"/>
        <w:numPr>
          <w:ilvl w:val="0"/>
          <w:numId w:val="0"/>
        </w:numPr>
        <w:spacing w:before="156" w:after="156"/>
        <w:rPr>
          <w:bCs/>
          <w:color w:val="000000"/>
        </w:rPr>
      </w:pPr>
      <w:r>
        <w:rPr>
          <w:rFonts w:hint="eastAsia"/>
          <w:bCs/>
          <w:color w:val="000000"/>
        </w:rPr>
        <w:t>5</w:t>
      </w:r>
      <w:r>
        <w:rPr>
          <w:bCs/>
          <w:color w:val="000000"/>
        </w:rPr>
        <w:t>.</w:t>
      </w:r>
      <w:r>
        <w:rPr>
          <w:rFonts w:hint="eastAsia"/>
          <w:bCs/>
          <w:color w:val="000000"/>
        </w:rPr>
        <w:t>2</w:t>
      </w:r>
      <w:r>
        <w:rPr>
          <w:bCs/>
          <w:color w:val="000000"/>
        </w:rPr>
        <w:t xml:space="preserve"> 评价报告编制方法</w:t>
      </w:r>
    </w:p>
    <w:p w14:paraId="4C679248">
      <w:pPr>
        <w:pStyle w:val="41"/>
        <w:ind w:firstLine="0" w:firstLineChars="0"/>
        <w:rPr>
          <w:rFonts w:ascii="Times New Roman" w:eastAsia="黑体"/>
          <w:kern w:val="2"/>
          <w:szCs w:val="24"/>
        </w:rPr>
      </w:pPr>
      <w:r>
        <w:rPr>
          <w:rFonts w:hint="eastAsia" w:ascii="Times New Roman" w:eastAsia="黑体"/>
          <w:kern w:val="2"/>
          <w:szCs w:val="24"/>
        </w:rPr>
        <w:t>5</w:t>
      </w:r>
      <w:r>
        <w:rPr>
          <w:rFonts w:ascii="Times New Roman" w:eastAsia="黑体"/>
          <w:kern w:val="2"/>
          <w:szCs w:val="24"/>
        </w:rPr>
        <w:t>.</w:t>
      </w:r>
      <w:r>
        <w:rPr>
          <w:rFonts w:hint="eastAsia" w:ascii="Times New Roman" w:eastAsia="黑体"/>
          <w:kern w:val="2"/>
          <w:szCs w:val="24"/>
        </w:rPr>
        <w:t>2</w:t>
      </w:r>
      <w:r>
        <w:rPr>
          <w:rFonts w:ascii="Times New Roman" w:eastAsia="黑体"/>
          <w:kern w:val="2"/>
          <w:szCs w:val="24"/>
        </w:rPr>
        <w:t>.1 基本信息</w:t>
      </w:r>
    </w:p>
    <w:p w14:paraId="41A045C5">
      <w:pPr>
        <w:pStyle w:val="41"/>
        <w:rPr>
          <w:rFonts w:ascii="Times New Roman"/>
        </w:rPr>
      </w:pPr>
      <w:r>
        <w:rPr>
          <w:rFonts w:ascii="Times New Roman"/>
        </w:rPr>
        <w:t>报告应提供报告信息、申请者信息、评估对象信息、采用的标准信息、包装材料等基本信息。其中：</w:t>
      </w:r>
    </w:p>
    <w:p w14:paraId="5F7B1DDC">
      <w:pPr>
        <w:pStyle w:val="41"/>
        <w:rPr>
          <w:rFonts w:ascii="Times New Roman"/>
        </w:rPr>
      </w:pPr>
      <w:r>
        <w:rPr>
          <w:rFonts w:ascii="Times New Roman"/>
        </w:rPr>
        <w:t>——报告信息：包括报告编号、编制人员、审核人员、发布日期等；</w:t>
      </w:r>
    </w:p>
    <w:p w14:paraId="6D1F006E">
      <w:pPr>
        <w:pStyle w:val="41"/>
        <w:rPr>
          <w:rFonts w:ascii="Times New Roman"/>
        </w:rPr>
      </w:pPr>
      <w:r>
        <w:rPr>
          <w:rFonts w:ascii="Times New Roman"/>
        </w:rPr>
        <w:t>——申请者信息：包括公司全称、组织机构代码、地址、联系人、联系方式等；</w:t>
      </w:r>
    </w:p>
    <w:p w14:paraId="79497EE7">
      <w:pPr>
        <w:pStyle w:val="41"/>
        <w:rPr>
          <w:rFonts w:ascii="Times New Roman"/>
        </w:rPr>
      </w:pPr>
      <w:r>
        <w:rPr>
          <w:rFonts w:ascii="Times New Roman"/>
        </w:rPr>
        <w:t>——评估对象信息：包括产品型号/类型、主要技术参数、制造商及厂址等；</w:t>
      </w:r>
    </w:p>
    <w:p w14:paraId="4830A2F6">
      <w:pPr>
        <w:pStyle w:val="41"/>
        <w:rPr>
          <w:rFonts w:ascii="Times New Roman"/>
        </w:rPr>
      </w:pPr>
      <w:r>
        <w:rPr>
          <w:rFonts w:ascii="Times New Roman"/>
        </w:rPr>
        <w:t>——采用的标准信息：包括标准名称、标准编号等。</w:t>
      </w:r>
    </w:p>
    <w:p w14:paraId="7466495D">
      <w:pPr>
        <w:pStyle w:val="41"/>
        <w:ind w:firstLine="0" w:firstLineChars="0"/>
        <w:rPr>
          <w:rFonts w:ascii="Times New Roman" w:eastAsia="黑体"/>
          <w:kern w:val="2"/>
          <w:szCs w:val="24"/>
        </w:rPr>
      </w:pPr>
      <w:r>
        <w:rPr>
          <w:rFonts w:hint="eastAsia" w:ascii="Times New Roman" w:eastAsia="黑体"/>
          <w:kern w:val="2"/>
          <w:szCs w:val="24"/>
        </w:rPr>
        <w:t>5</w:t>
      </w:r>
      <w:r>
        <w:rPr>
          <w:rFonts w:ascii="Times New Roman" w:eastAsia="黑体"/>
          <w:kern w:val="2"/>
          <w:szCs w:val="24"/>
        </w:rPr>
        <w:t>.</w:t>
      </w:r>
      <w:r>
        <w:rPr>
          <w:rFonts w:hint="eastAsia" w:ascii="Times New Roman" w:eastAsia="黑体"/>
          <w:kern w:val="2"/>
          <w:szCs w:val="24"/>
        </w:rPr>
        <w:t>2</w:t>
      </w:r>
      <w:r>
        <w:rPr>
          <w:rFonts w:ascii="Times New Roman" w:eastAsia="黑体"/>
          <w:kern w:val="2"/>
          <w:szCs w:val="24"/>
        </w:rPr>
        <w:t>.2 符合性评价</w:t>
      </w:r>
    </w:p>
    <w:p w14:paraId="0C31B34A">
      <w:pPr>
        <w:pStyle w:val="41"/>
        <w:rPr>
          <w:rFonts w:ascii="Times New Roman"/>
        </w:rPr>
      </w:pPr>
      <w:r>
        <w:rPr>
          <w:rFonts w:ascii="Times New Roman"/>
        </w:rPr>
        <w:t>报告中应提供对基本要求和评价指标要求的符合性情况，并提供所有评价指标报告期比基期改进情况的说明。其中报告期为当前评价的年份，一般是指产品参与评价年份的上一年</w:t>
      </w:r>
      <w:r>
        <w:rPr>
          <w:rFonts w:hint="eastAsia" w:ascii="Times New Roman"/>
        </w:rPr>
        <w:t>；</w:t>
      </w:r>
      <w:r>
        <w:rPr>
          <w:rFonts w:ascii="Times New Roman"/>
        </w:rPr>
        <w:t>基期为一个对照年份，一般比报告期提前1年。</w:t>
      </w:r>
    </w:p>
    <w:p w14:paraId="29E91811">
      <w:pPr>
        <w:pStyle w:val="41"/>
        <w:rPr>
          <w:rFonts w:ascii="Times New Roman"/>
        </w:rPr>
      </w:pPr>
    </w:p>
    <w:p w14:paraId="5E8669A9">
      <w:pPr>
        <w:pStyle w:val="97"/>
        <w:numPr>
          <w:ilvl w:val="2"/>
          <w:numId w:val="0"/>
        </w:numPr>
        <w:spacing w:before="156" w:beforeLines="50" w:after="156" w:afterLines="50"/>
        <w:rPr>
          <w:rFonts w:ascii="黑体" w:hAnsi="黑体" w:eastAsia="黑体" w:cs="黑体"/>
        </w:rPr>
      </w:pPr>
      <w:r>
        <w:rPr>
          <w:rFonts w:hint="eastAsia" w:ascii="黑体" w:hAnsi="黑体" w:eastAsia="黑体" w:cs="黑体"/>
        </w:rPr>
        <w:t>5.2.3生命周期评价</w:t>
      </w:r>
    </w:p>
    <w:p w14:paraId="2DB22B88">
      <w:pPr>
        <w:pStyle w:val="147"/>
        <w:numPr>
          <w:ilvl w:val="3"/>
          <w:numId w:val="0"/>
        </w:numPr>
        <w:spacing w:before="156" w:beforeLines="50" w:after="156" w:afterLines="50"/>
        <w:rPr>
          <w:rFonts w:ascii="黑体" w:hAnsi="黑体" w:eastAsia="黑体" w:cs="黑体"/>
        </w:rPr>
      </w:pPr>
      <w:r>
        <w:rPr>
          <w:rFonts w:hint="eastAsia" w:ascii="黑体" w:hAnsi="黑体" w:eastAsia="黑体" w:cs="黑体"/>
        </w:rPr>
        <w:t>5.2.3.1评价对象及工具</w:t>
      </w:r>
    </w:p>
    <w:p w14:paraId="145DEDFA">
      <w:pPr>
        <w:ind w:firstLine="420" w:firstLineChars="200"/>
        <w:rPr>
          <w:rFonts w:ascii="宋体" w:hAnsi="宋体"/>
          <w:szCs w:val="21"/>
        </w:rPr>
      </w:pPr>
      <w:r>
        <w:rPr>
          <w:rFonts w:hint="eastAsia" w:ascii="宋体" w:hAnsi="宋体"/>
          <w:szCs w:val="21"/>
        </w:rPr>
        <w:t>报告中应详细描述评估的对象、功能单位和产品主要功能，提供</w:t>
      </w:r>
      <w:r>
        <w:t>软质聚氨酯泡沫塑料</w:t>
      </w:r>
      <w:r>
        <w:rPr>
          <w:rFonts w:hint="eastAsia" w:ascii="宋体" w:hAnsi="宋体"/>
          <w:szCs w:val="21"/>
        </w:rPr>
        <w:t>的材料组成及主要技术参数表，绘制并说明</w:t>
      </w:r>
      <w:r>
        <w:t>软质聚氨酯泡沫塑料</w:t>
      </w:r>
      <w:r>
        <w:rPr>
          <w:rFonts w:hint="eastAsia" w:ascii="宋体" w:hAnsi="宋体"/>
          <w:szCs w:val="21"/>
        </w:rPr>
        <w:t>的系统边界，披露所使用的软件工具。</w:t>
      </w:r>
    </w:p>
    <w:p w14:paraId="7BA0FC4F">
      <w:pPr>
        <w:ind w:firstLine="420" w:firstLineChars="200"/>
        <w:rPr>
          <w:rFonts w:ascii="宋体" w:hAnsi="宋体"/>
          <w:szCs w:val="21"/>
        </w:rPr>
      </w:pPr>
      <w:r>
        <w:rPr>
          <w:rFonts w:hint="eastAsia" w:ascii="宋体" w:hAnsi="宋体"/>
          <w:szCs w:val="21"/>
        </w:rPr>
        <w:t>本文件可以“每万吨</w:t>
      </w:r>
      <w:r>
        <w:t>软质聚氨酯泡沫塑料</w:t>
      </w:r>
      <w:r>
        <w:rPr>
          <w:rFonts w:hint="eastAsia" w:ascii="宋体" w:hAnsi="宋体"/>
          <w:szCs w:val="21"/>
        </w:rPr>
        <w:t>”为功能单位来表示。</w:t>
      </w:r>
    </w:p>
    <w:p w14:paraId="739C5F19">
      <w:pPr>
        <w:pStyle w:val="147"/>
        <w:numPr>
          <w:ilvl w:val="3"/>
          <w:numId w:val="0"/>
        </w:numPr>
        <w:spacing w:before="156" w:beforeLines="50" w:after="156" w:afterLines="50"/>
        <w:rPr>
          <w:rFonts w:ascii="黑体" w:hAnsi="黑体" w:eastAsia="黑体" w:cs="黑体"/>
        </w:rPr>
      </w:pPr>
      <w:r>
        <w:rPr>
          <w:rFonts w:hint="eastAsia" w:ascii="黑体" w:hAnsi="黑体" w:eastAsia="黑体" w:cs="黑体"/>
        </w:rPr>
        <w:t>5.2.3.2 生命周期清单分析</w:t>
      </w:r>
    </w:p>
    <w:p w14:paraId="101593E0">
      <w:pPr>
        <w:ind w:firstLine="420" w:firstLineChars="200"/>
        <w:rPr>
          <w:rFonts w:ascii="宋体" w:hAnsi="宋体"/>
          <w:szCs w:val="21"/>
        </w:rPr>
      </w:pPr>
      <w:r>
        <w:rPr>
          <w:rFonts w:hint="eastAsia" w:ascii="宋体" w:hAnsi="宋体"/>
          <w:szCs w:val="21"/>
        </w:rPr>
        <w:t>报告中应提供考虑的生命周期阶段，说明每个阶段所考虑的清单因子及收集到的现场数据或背景数据，涉及到数据分配情况的应说明分配方法。</w:t>
      </w:r>
    </w:p>
    <w:p w14:paraId="78F726E0">
      <w:pPr>
        <w:pStyle w:val="147"/>
        <w:numPr>
          <w:ilvl w:val="3"/>
          <w:numId w:val="0"/>
        </w:numPr>
        <w:spacing w:before="156" w:beforeLines="50" w:after="156" w:afterLines="50"/>
        <w:rPr>
          <w:rFonts w:ascii="黑体" w:hAnsi="黑体" w:eastAsia="黑体" w:cs="黑体"/>
        </w:rPr>
      </w:pPr>
      <w:r>
        <w:rPr>
          <w:rFonts w:hint="eastAsia" w:ascii="黑体" w:hAnsi="黑体" w:eastAsia="黑体" w:cs="黑体"/>
        </w:rPr>
        <w:t>5.2.3.3 生命周期影响评价</w:t>
      </w:r>
    </w:p>
    <w:p w14:paraId="4B845FE8">
      <w:pPr>
        <w:ind w:firstLine="420" w:firstLineChars="200"/>
        <w:rPr>
          <w:rFonts w:ascii="宋体" w:hAnsi="宋体"/>
          <w:szCs w:val="21"/>
        </w:rPr>
      </w:pPr>
      <w:r>
        <w:rPr>
          <w:rFonts w:hint="eastAsia" w:ascii="宋体" w:hAnsi="宋体"/>
          <w:szCs w:val="21"/>
        </w:rPr>
        <w:t>报告中应提供</w:t>
      </w:r>
      <w:r>
        <w:rPr>
          <w:rFonts w:ascii="宋体" w:hAnsi="宋体"/>
          <w:szCs w:val="21"/>
        </w:rPr>
        <w:t>软质聚氨酯泡沫塑料</w:t>
      </w:r>
      <w:r>
        <w:rPr>
          <w:rFonts w:hint="eastAsia" w:ascii="宋体" w:hAnsi="宋体"/>
          <w:szCs w:val="21"/>
        </w:rPr>
        <w:t>生命周期各阶段的不同影响类型的特征化值，并对不同影响类型在生命周期阶段的分布情况进行比较分析。</w:t>
      </w:r>
    </w:p>
    <w:p w14:paraId="68A4858D">
      <w:pPr>
        <w:pStyle w:val="147"/>
        <w:numPr>
          <w:ilvl w:val="3"/>
          <w:numId w:val="0"/>
        </w:numPr>
        <w:spacing w:before="156" w:beforeLines="50" w:after="156" w:afterLines="50"/>
        <w:rPr>
          <w:rFonts w:ascii="黑体" w:hAnsi="黑体" w:eastAsia="黑体" w:cs="黑体"/>
        </w:rPr>
      </w:pPr>
      <w:r>
        <w:rPr>
          <w:rFonts w:hint="eastAsia" w:ascii="黑体" w:hAnsi="黑体" w:eastAsia="黑体" w:cs="黑体"/>
        </w:rPr>
        <w:t>5.2.3.4 绿色设计改进方案</w:t>
      </w:r>
    </w:p>
    <w:p w14:paraId="41BA6F76">
      <w:pPr>
        <w:ind w:firstLine="420" w:firstLineChars="200"/>
        <w:rPr>
          <w:rFonts w:ascii="宋体" w:hAnsi="宋体"/>
          <w:szCs w:val="21"/>
        </w:rPr>
      </w:pPr>
      <w:r>
        <w:rPr>
          <w:rFonts w:hint="eastAsia" w:ascii="宋体" w:hAnsi="宋体"/>
          <w:szCs w:val="21"/>
        </w:rPr>
        <w:t>在生命周期影响评价结果的基础上,提出</w:t>
      </w:r>
      <w:r>
        <w:rPr>
          <w:rFonts w:ascii="宋体" w:hAnsi="宋体"/>
          <w:szCs w:val="21"/>
        </w:rPr>
        <w:t>软质聚氨酯泡沫塑料</w:t>
      </w:r>
      <w:r>
        <w:rPr>
          <w:rFonts w:hint="eastAsia" w:ascii="宋体" w:hAnsi="宋体"/>
          <w:szCs w:val="21"/>
        </w:rPr>
        <w:t>绿色设计改进的具体建议。</w:t>
      </w:r>
    </w:p>
    <w:p w14:paraId="57CE1DF6">
      <w:pPr>
        <w:pStyle w:val="36"/>
      </w:pPr>
    </w:p>
    <w:p w14:paraId="37190C7C">
      <w:pPr>
        <w:pStyle w:val="41"/>
        <w:ind w:firstLine="0" w:firstLineChars="0"/>
        <w:rPr>
          <w:rFonts w:ascii="Times New Roman" w:eastAsia="黑体"/>
          <w:kern w:val="2"/>
          <w:szCs w:val="24"/>
        </w:rPr>
      </w:pPr>
      <w:r>
        <w:rPr>
          <w:rFonts w:hint="eastAsia" w:ascii="Times New Roman" w:eastAsia="黑体"/>
          <w:kern w:val="2"/>
          <w:szCs w:val="24"/>
        </w:rPr>
        <w:t xml:space="preserve">5.2.4 </w:t>
      </w:r>
      <w:r>
        <w:rPr>
          <w:rFonts w:ascii="Times New Roman" w:eastAsia="黑体"/>
          <w:kern w:val="2"/>
          <w:szCs w:val="24"/>
        </w:rPr>
        <w:t>评价报告主要结论</w:t>
      </w:r>
    </w:p>
    <w:p w14:paraId="56EDF0B4">
      <w:pPr>
        <w:ind w:firstLine="420" w:firstLineChars="200"/>
        <w:rPr>
          <w:rFonts w:ascii="宋体" w:hAnsi="宋体"/>
          <w:szCs w:val="21"/>
        </w:rPr>
      </w:pPr>
      <w:r>
        <w:t xml:space="preserve">    </w:t>
      </w:r>
      <w:r>
        <w:rPr>
          <w:rFonts w:ascii="宋体" w:hAnsi="宋体"/>
          <w:szCs w:val="21"/>
        </w:rPr>
        <w:t>应说明该软质聚氨酯泡沫塑料对评价指标的符合性结论、提出的改进方案，并根据评价结论初步判断该产品是否为绿色设计产品。</w:t>
      </w:r>
    </w:p>
    <w:p w14:paraId="2B451453">
      <w:pPr>
        <w:pStyle w:val="41"/>
        <w:ind w:firstLine="0" w:firstLineChars="0"/>
        <w:rPr>
          <w:rFonts w:ascii="Times New Roman" w:eastAsia="黑体"/>
          <w:kern w:val="2"/>
          <w:szCs w:val="24"/>
        </w:rPr>
      </w:pPr>
      <w:r>
        <w:rPr>
          <w:rFonts w:hint="eastAsia" w:ascii="Times New Roman" w:eastAsia="黑体"/>
          <w:kern w:val="2"/>
          <w:szCs w:val="24"/>
        </w:rPr>
        <w:t>5</w:t>
      </w:r>
      <w:r>
        <w:rPr>
          <w:rFonts w:ascii="Times New Roman" w:eastAsia="黑体"/>
          <w:kern w:val="2"/>
          <w:szCs w:val="24"/>
        </w:rPr>
        <w:t>.</w:t>
      </w:r>
      <w:r>
        <w:rPr>
          <w:rFonts w:hint="eastAsia" w:ascii="Times New Roman" w:eastAsia="黑体"/>
          <w:kern w:val="2"/>
          <w:szCs w:val="24"/>
        </w:rPr>
        <w:t>2</w:t>
      </w:r>
      <w:r>
        <w:rPr>
          <w:rFonts w:ascii="Times New Roman" w:eastAsia="黑体"/>
          <w:kern w:val="2"/>
          <w:szCs w:val="24"/>
        </w:rPr>
        <w:t>.</w:t>
      </w:r>
      <w:r>
        <w:rPr>
          <w:rFonts w:hint="eastAsia" w:ascii="Times New Roman" w:eastAsia="黑体"/>
          <w:kern w:val="2"/>
          <w:szCs w:val="24"/>
        </w:rPr>
        <w:t>5</w:t>
      </w:r>
      <w:r>
        <w:rPr>
          <w:rFonts w:ascii="Times New Roman" w:eastAsia="黑体"/>
          <w:kern w:val="2"/>
          <w:szCs w:val="24"/>
        </w:rPr>
        <w:t xml:space="preserve"> 附件</w:t>
      </w:r>
    </w:p>
    <w:p w14:paraId="593A5EB8">
      <w:pPr>
        <w:ind w:firstLine="420" w:firstLineChars="200"/>
        <w:rPr>
          <w:szCs w:val="21"/>
        </w:rPr>
      </w:pPr>
      <w:r>
        <w:rPr>
          <w:rFonts w:ascii="宋体" w:hAnsi="宋体"/>
          <w:szCs w:val="21"/>
        </w:rPr>
        <w:t xml:space="preserve">    </w:t>
      </w:r>
      <w:r>
        <w:rPr>
          <w:szCs w:val="21"/>
        </w:rPr>
        <w:t>报告中应在附件中提供：</w:t>
      </w:r>
    </w:p>
    <w:p w14:paraId="13ABA3AF">
      <w:pPr>
        <w:ind w:firstLine="420" w:firstLineChars="200"/>
        <w:rPr>
          <w:szCs w:val="21"/>
        </w:rPr>
      </w:pPr>
      <w:r>
        <w:rPr>
          <w:szCs w:val="21"/>
        </w:rPr>
        <w:t xml:space="preserve">    a)产品生产材料清单；</w:t>
      </w:r>
    </w:p>
    <w:p w14:paraId="7EA9A4F0">
      <w:pPr>
        <w:ind w:firstLine="420" w:firstLineChars="200"/>
        <w:rPr>
          <w:szCs w:val="21"/>
        </w:rPr>
      </w:pPr>
      <w:r>
        <w:rPr>
          <w:szCs w:val="21"/>
        </w:rPr>
        <w:t xml:space="preserve">    b)产品质量检测报告；</w:t>
      </w:r>
    </w:p>
    <w:p w14:paraId="47E51842">
      <w:pPr>
        <w:ind w:firstLine="420" w:firstLineChars="200"/>
        <w:rPr>
          <w:szCs w:val="21"/>
        </w:rPr>
      </w:pPr>
      <w:r>
        <w:rPr>
          <w:szCs w:val="21"/>
        </w:rPr>
        <w:t xml:space="preserve">    </w:t>
      </w:r>
      <w:r>
        <w:rPr>
          <w:rFonts w:hint="eastAsia"/>
          <w:szCs w:val="21"/>
        </w:rPr>
        <w:t>c</w:t>
      </w:r>
      <w:r>
        <w:rPr>
          <w:szCs w:val="21"/>
        </w:rPr>
        <w:t>)产品工艺表</w:t>
      </w:r>
      <w:r>
        <w:rPr>
          <w:rFonts w:hint="eastAsia"/>
          <w:szCs w:val="21"/>
        </w:rPr>
        <w:t>（</w:t>
      </w:r>
      <w:r>
        <w:rPr>
          <w:szCs w:val="21"/>
        </w:rPr>
        <w:t>产品生产工艺过程示意图等</w:t>
      </w:r>
      <w:r>
        <w:rPr>
          <w:rFonts w:hint="eastAsia"/>
          <w:szCs w:val="21"/>
        </w:rPr>
        <w:t>）</w:t>
      </w:r>
      <w:r>
        <w:rPr>
          <w:szCs w:val="21"/>
        </w:rPr>
        <w:t>；</w:t>
      </w:r>
    </w:p>
    <w:p w14:paraId="4FB7C83E">
      <w:pPr>
        <w:ind w:firstLine="420" w:firstLineChars="200"/>
        <w:rPr>
          <w:szCs w:val="21"/>
        </w:rPr>
      </w:pPr>
      <w:r>
        <w:rPr>
          <w:szCs w:val="21"/>
        </w:rPr>
        <w:t xml:space="preserve">    d)各单元过程的数据收集表；</w:t>
      </w:r>
    </w:p>
    <w:p w14:paraId="344C4CF8">
      <w:pPr>
        <w:ind w:firstLine="420" w:firstLineChars="200"/>
        <w:rPr>
          <w:szCs w:val="21"/>
        </w:rPr>
      </w:pPr>
      <w:r>
        <w:rPr>
          <w:szCs w:val="21"/>
        </w:rPr>
        <w:t xml:space="preserve">    e)其他。</w:t>
      </w:r>
    </w:p>
    <w:p w14:paraId="27C476DA">
      <w:pPr>
        <w:pStyle w:val="76"/>
        <w:numPr>
          <w:ilvl w:val="0"/>
          <w:numId w:val="22"/>
        </w:numPr>
        <w:spacing w:before="156" w:after="156"/>
      </w:pPr>
      <w:r>
        <w:rPr>
          <w:rFonts w:hint="eastAsia"/>
        </w:rPr>
        <w:t>6</w:t>
      </w:r>
      <w:r>
        <w:t>评价方法</w:t>
      </w:r>
    </w:p>
    <w:p w14:paraId="663127F6">
      <w:pPr>
        <w:ind w:firstLine="420" w:firstLineChars="200"/>
        <w:rPr>
          <w:szCs w:val="21"/>
        </w:rPr>
      </w:pPr>
      <w:r>
        <w:rPr>
          <w:szCs w:val="21"/>
        </w:rPr>
        <w:t>同时满足以下要求的软质聚氨酯泡沫塑料产品，可判定为绿色设计产品：</w:t>
      </w:r>
    </w:p>
    <w:p w14:paraId="73D13E46">
      <w:pPr>
        <w:ind w:firstLine="420" w:firstLineChars="200"/>
        <w:rPr>
          <w:szCs w:val="21"/>
        </w:rPr>
      </w:pPr>
      <w:r>
        <w:rPr>
          <w:szCs w:val="21"/>
        </w:rPr>
        <w:t>——</w:t>
      </w:r>
      <w:r>
        <w:rPr>
          <w:rFonts w:hint="eastAsia"/>
          <w:szCs w:val="21"/>
        </w:rPr>
        <w:t>满足4.1基本要求和4.2评价指标要求，并提供相关符合性证明文件；</w:t>
      </w:r>
    </w:p>
    <w:p w14:paraId="05159ADE">
      <w:pPr>
        <w:ind w:firstLine="420" w:firstLineChars="200"/>
        <w:rPr>
          <w:szCs w:val="21"/>
        </w:rPr>
      </w:pPr>
      <w:r>
        <w:rPr>
          <w:rFonts w:hint="eastAsia"/>
          <w:szCs w:val="21"/>
        </w:rPr>
        <w:t>——</w:t>
      </w:r>
      <w:r>
        <w:rPr>
          <w:szCs w:val="21"/>
        </w:rPr>
        <w:t>开展产品生命周期评价，并按第5章的要求提供产品生命周期评价报告。</w:t>
      </w:r>
    </w:p>
    <w:p w14:paraId="0DD562F7">
      <w:pPr>
        <w:ind w:firstLine="420" w:firstLineChars="200"/>
        <w:rPr>
          <w:szCs w:val="21"/>
        </w:rPr>
      </w:pPr>
      <w:r>
        <w:rPr>
          <w:szCs w:val="21"/>
        </w:rPr>
        <w:t>判定为绿色设计产品的可按照GB/T 32162的要求粘贴标识，可以各种形式进行相关信息自我声明，声明内容应包括但不限于本标准</w:t>
      </w:r>
      <w:r>
        <w:rPr>
          <w:rFonts w:hint="eastAsia"/>
          <w:szCs w:val="21"/>
        </w:rPr>
        <w:t>4</w:t>
      </w:r>
      <w:r>
        <w:rPr>
          <w:szCs w:val="21"/>
        </w:rPr>
        <w:t>.1和</w:t>
      </w:r>
      <w:r>
        <w:rPr>
          <w:rFonts w:hint="eastAsia"/>
          <w:szCs w:val="21"/>
        </w:rPr>
        <w:t>4</w:t>
      </w:r>
      <w:r>
        <w:rPr>
          <w:szCs w:val="21"/>
        </w:rPr>
        <w:t>.2的要求，但需要提供相关的符合有关要求的验证说明材料。</w:t>
      </w:r>
    </w:p>
    <w:p w14:paraId="4A9C6F2F">
      <w:pPr>
        <w:pStyle w:val="76"/>
        <w:numPr>
          <w:ilvl w:val="0"/>
          <w:numId w:val="22"/>
        </w:numPr>
        <w:spacing w:before="156" w:after="156"/>
      </w:pPr>
      <w:r>
        <w:rPr>
          <w:rFonts w:hint="eastAsia"/>
        </w:rPr>
        <w:t>7</w:t>
      </w:r>
      <w:r>
        <w:rPr>
          <w:rFonts w:hint="eastAsia"/>
        </w:rPr>
        <w:tab/>
      </w:r>
      <w:r>
        <w:rPr>
          <w:rFonts w:hint="eastAsia"/>
        </w:rPr>
        <w:t xml:space="preserve">　检验规则  </w:t>
      </w:r>
    </w:p>
    <w:p w14:paraId="4AFA28EB">
      <w:pPr>
        <w:pStyle w:val="76"/>
        <w:numPr>
          <w:ilvl w:val="0"/>
          <w:numId w:val="22"/>
        </w:numPr>
        <w:spacing w:before="156" w:after="156"/>
      </w:pPr>
      <w:r>
        <w:rPr>
          <w:rFonts w:hint="eastAsia"/>
        </w:rPr>
        <w:t>7.1</w:t>
      </w:r>
      <w:r>
        <w:rPr>
          <w:rFonts w:hint="eastAsia"/>
        </w:rPr>
        <w:tab/>
      </w:r>
      <w:r>
        <w:rPr>
          <w:rFonts w:hint="eastAsia"/>
        </w:rPr>
        <w:t>　组批</w:t>
      </w:r>
    </w:p>
    <w:p w14:paraId="34CFEBE1">
      <w:pPr>
        <w:ind w:firstLine="420" w:firstLineChars="200"/>
        <w:rPr>
          <w:rFonts w:ascii="宋体" w:hAnsi="宋体"/>
          <w:szCs w:val="21"/>
        </w:rPr>
      </w:pPr>
      <w:r>
        <w:rPr>
          <w:rFonts w:hint="eastAsia" w:ascii="宋体" w:hAnsi="宋体"/>
          <w:szCs w:val="21"/>
        </w:rPr>
        <w:t>由同一班次，同一生产线生产的包装完好的同一品种为一批。</w:t>
      </w:r>
    </w:p>
    <w:p w14:paraId="49462420">
      <w:pPr>
        <w:pStyle w:val="76"/>
        <w:numPr>
          <w:ilvl w:val="0"/>
          <w:numId w:val="22"/>
        </w:numPr>
        <w:spacing w:before="156" w:after="156"/>
      </w:pPr>
      <w:r>
        <w:rPr>
          <w:rFonts w:hint="eastAsia"/>
        </w:rPr>
        <w:t>7.2</w:t>
      </w:r>
      <w:r>
        <w:rPr>
          <w:rFonts w:hint="eastAsia"/>
        </w:rPr>
        <w:tab/>
      </w:r>
      <w:r>
        <w:rPr>
          <w:rFonts w:hint="eastAsia"/>
        </w:rPr>
        <w:t>　抽样</w:t>
      </w:r>
    </w:p>
    <w:p w14:paraId="142DA8EA">
      <w:pPr>
        <w:ind w:firstLine="420" w:firstLineChars="200"/>
        <w:rPr>
          <w:szCs w:val="21"/>
        </w:rPr>
      </w:pPr>
      <w:r>
        <w:rPr>
          <w:rFonts w:hint="eastAsia"/>
          <w:szCs w:val="21"/>
        </w:rPr>
        <w:t>在每一批发泡生产的海绵中分上层、中层、下层各随机取样进行抽样，抽样按GB/T2828.1规定进行。</w:t>
      </w:r>
    </w:p>
    <w:p w14:paraId="2789EC58">
      <w:pPr>
        <w:pStyle w:val="76"/>
        <w:numPr>
          <w:ilvl w:val="0"/>
          <w:numId w:val="22"/>
        </w:numPr>
        <w:spacing w:before="156" w:after="156"/>
      </w:pPr>
      <w:r>
        <w:rPr>
          <w:rFonts w:hint="eastAsia"/>
        </w:rPr>
        <w:t>7.3</w:t>
      </w:r>
      <w:r>
        <w:rPr>
          <w:rFonts w:hint="eastAsia"/>
        </w:rPr>
        <w:tab/>
      </w:r>
      <w:r>
        <w:rPr>
          <w:rFonts w:hint="eastAsia"/>
        </w:rPr>
        <w:t xml:space="preserve">　出厂检验 </w:t>
      </w:r>
    </w:p>
    <w:p w14:paraId="5E0CFBF8">
      <w:pPr>
        <w:ind w:firstLine="420" w:firstLineChars="200"/>
        <w:rPr>
          <w:rFonts w:ascii="宋体" w:hAnsi="宋体"/>
          <w:szCs w:val="21"/>
        </w:rPr>
      </w:pPr>
      <w:r>
        <w:rPr>
          <w:rFonts w:hint="eastAsia" w:ascii="宋体" w:hAnsi="宋体"/>
          <w:szCs w:val="21"/>
        </w:rPr>
        <w:t>出厂检验项目为</w:t>
      </w:r>
      <w:r>
        <w:rPr>
          <w:rFonts w:hint="eastAsia"/>
          <w:szCs w:val="21"/>
        </w:rPr>
        <w:t>3.1、3.2、3.3，</w:t>
      </w:r>
      <w:r>
        <w:rPr>
          <w:rFonts w:hint="eastAsia" w:ascii="宋体" w:hAnsi="宋体"/>
          <w:szCs w:val="21"/>
        </w:rPr>
        <w:t>每批产品应经检验合格并附盖品质检验合格章子附对应批次二维码后方可出厂。</w:t>
      </w:r>
    </w:p>
    <w:p w14:paraId="0D37B2B2">
      <w:pPr>
        <w:pStyle w:val="76"/>
        <w:numPr>
          <w:ilvl w:val="0"/>
          <w:numId w:val="22"/>
        </w:numPr>
        <w:spacing w:before="156" w:after="156"/>
      </w:pPr>
      <w:r>
        <w:rPr>
          <w:rFonts w:hint="eastAsia"/>
        </w:rPr>
        <w:t>7.4</w:t>
      </w:r>
      <w:r>
        <w:rPr>
          <w:rFonts w:hint="eastAsia"/>
        </w:rPr>
        <w:tab/>
      </w:r>
      <w:r>
        <w:rPr>
          <w:rFonts w:hint="eastAsia"/>
        </w:rPr>
        <w:t xml:space="preserve">　判定规则 </w:t>
      </w:r>
    </w:p>
    <w:p w14:paraId="75F76420">
      <w:pPr>
        <w:ind w:firstLine="420" w:firstLineChars="200"/>
        <w:rPr>
          <w:rFonts w:ascii="宋体" w:hAnsi="宋体"/>
          <w:szCs w:val="21"/>
        </w:rPr>
      </w:pPr>
      <w:r>
        <w:rPr>
          <w:rFonts w:hint="eastAsia" w:ascii="宋体" w:hAnsi="宋体"/>
          <w:szCs w:val="21"/>
        </w:rPr>
        <w:t>所检验项目全部合格，则判该产品合格，若有不合格项，允许自出厂检验的同批合格产品中两倍量抽样，对不合格项进行复检，复检仍不合格，则判定该批产品不合格。</w:t>
      </w:r>
    </w:p>
    <w:p w14:paraId="326B73CD">
      <w:pPr>
        <w:pStyle w:val="76"/>
        <w:numPr>
          <w:ilvl w:val="0"/>
          <w:numId w:val="22"/>
        </w:numPr>
        <w:spacing w:before="156" w:after="156"/>
      </w:pPr>
      <w:r>
        <w:rPr>
          <w:rFonts w:hint="eastAsia"/>
        </w:rPr>
        <w:t>8</w:t>
      </w:r>
      <w:r>
        <w:rPr>
          <w:rFonts w:hint="eastAsia"/>
        </w:rPr>
        <w:tab/>
      </w:r>
      <w:r>
        <w:rPr>
          <w:rFonts w:hint="eastAsia"/>
        </w:rPr>
        <w:t>标签、包装、运输、贮存</w:t>
      </w:r>
    </w:p>
    <w:p w14:paraId="2D2D2EB2">
      <w:pPr>
        <w:pStyle w:val="76"/>
        <w:numPr>
          <w:ilvl w:val="0"/>
          <w:numId w:val="22"/>
        </w:numPr>
        <w:spacing w:before="156" w:after="156"/>
      </w:pPr>
      <w:r>
        <w:rPr>
          <w:rFonts w:hint="eastAsia"/>
        </w:rPr>
        <w:t>8.1</w:t>
      </w:r>
      <w:r>
        <w:rPr>
          <w:rFonts w:hint="eastAsia"/>
        </w:rPr>
        <w:tab/>
      </w:r>
      <w:r>
        <w:rPr>
          <w:rFonts w:hint="eastAsia"/>
        </w:rPr>
        <w:t>　标签</w:t>
      </w:r>
    </w:p>
    <w:p w14:paraId="6DB816EC">
      <w:pPr>
        <w:ind w:firstLine="420" w:firstLineChars="200"/>
        <w:rPr>
          <w:rFonts w:ascii="宋体" w:hAnsi="宋体"/>
          <w:szCs w:val="21"/>
        </w:rPr>
      </w:pPr>
      <w:r>
        <w:rPr>
          <w:rFonts w:hint="eastAsia" w:ascii="宋体" w:hAnsi="宋体"/>
          <w:szCs w:val="21"/>
        </w:rPr>
        <w:t>产品标签上有以下内容：</w:t>
      </w:r>
    </w:p>
    <w:p w14:paraId="1847CF7A">
      <w:pPr>
        <w:ind w:firstLine="420" w:firstLineChars="200"/>
        <w:rPr>
          <w:szCs w:val="21"/>
        </w:rPr>
      </w:pPr>
      <w:r>
        <w:rPr>
          <w:rFonts w:hint="eastAsia"/>
          <w:szCs w:val="21"/>
        </w:rPr>
        <w:t>a）产品牌号、颜色；</w:t>
      </w:r>
    </w:p>
    <w:p w14:paraId="3A90DDF0">
      <w:pPr>
        <w:ind w:firstLine="420" w:firstLineChars="200"/>
        <w:rPr>
          <w:szCs w:val="21"/>
        </w:rPr>
      </w:pPr>
      <w:r>
        <w:rPr>
          <w:rFonts w:hint="eastAsia"/>
          <w:szCs w:val="21"/>
        </w:rPr>
        <w:t>b）产品规格及数量；</w:t>
      </w:r>
    </w:p>
    <w:p w14:paraId="12AD71DC">
      <w:pPr>
        <w:ind w:firstLine="420" w:firstLineChars="200"/>
        <w:rPr>
          <w:szCs w:val="21"/>
        </w:rPr>
      </w:pPr>
      <w:r>
        <w:rPr>
          <w:rFonts w:hint="eastAsia"/>
          <w:szCs w:val="21"/>
        </w:rPr>
        <w:t>c）生产批号；</w:t>
      </w:r>
    </w:p>
    <w:p w14:paraId="481C6AD1">
      <w:pPr>
        <w:ind w:firstLine="420" w:firstLineChars="200"/>
        <w:rPr>
          <w:szCs w:val="21"/>
        </w:rPr>
      </w:pPr>
      <w:r>
        <w:rPr>
          <w:rFonts w:hint="eastAsia"/>
          <w:szCs w:val="21"/>
        </w:rPr>
        <w:t>d）公司名称、商标；</w:t>
      </w:r>
    </w:p>
    <w:p w14:paraId="29BDF3FE">
      <w:pPr>
        <w:ind w:firstLine="420" w:firstLineChars="200"/>
        <w:rPr>
          <w:szCs w:val="21"/>
        </w:rPr>
      </w:pPr>
      <w:r>
        <w:rPr>
          <w:rFonts w:hint="eastAsia"/>
          <w:szCs w:val="21"/>
        </w:rPr>
        <w:t>e）检验合格印章；</w:t>
      </w:r>
    </w:p>
    <w:p w14:paraId="214C86A0">
      <w:pPr>
        <w:ind w:firstLine="420" w:firstLineChars="200"/>
        <w:rPr>
          <w:szCs w:val="21"/>
        </w:rPr>
      </w:pPr>
      <w:r>
        <w:rPr>
          <w:rFonts w:hint="eastAsia"/>
          <w:szCs w:val="21"/>
        </w:rPr>
        <w:t>f）生产日期。</w:t>
      </w:r>
    </w:p>
    <w:p w14:paraId="60820B0B">
      <w:pPr>
        <w:pStyle w:val="76"/>
        <w:numPr>
          <w:ilvl w:val="0"/>
          <w:numId w:val="22"/>
        </w:numPr>
        <w:spacing w:before="156" w:after="156"/>
      </w:pPr>
      <w:r>
        <w:rPr>
          <w:rFonts w:hint="eastAsia"/>
        </w:rPr>
        <w:t>8.2</w:t>
      </w:r>
      <w:r>
        <w:rPr>
          <w:rFonts w:hint="eastAsia"/>
        </w:rPr>
        <w:tab/>
      </w:r>
      <w:r>
        <w:rPr>
          <w:rFonts w:hint="eastAsia"/>
        </w:rPr>
        <w:t>　包装</w:t>
      </w:r>
    </w:p>
    <w:p w14:paraId="1CE974AE">
      <w:pPr>
        <w:ind w:firstLine="420" w:firstLineChars="200"/>
        <w:rPr>
          <w:rFonts w:ascii="宋体" w:hAnsi="宋体"/>
          <w:szCs w:val="21"/>
        </w:rPr>
      </w:pPr>
      <w:r>
        <w:rPr>
          <w:rFonts w:hint="eastAsia" w:ascii="宋体" w:hAnsi="宋体"/>
          <w:szCs w:val="21"/>
        </w:rPr>
        <w:t xml:space="preserve"> 根据客户对产品厚度、宽幅的要求，以卷绵的形态进行包装，将卷绵分装在塑料保护袋中，袋口扎紧，浅色或者白色海绵应分装在黑色塑料保护袋中。</w:t>
      </w:r>
    </w:p>
    <w:p w14:paraId="754FEE28">
      <w:pPr>
        <w:pStyle w:val="76"/>
        <w:numPr>
          <w:ilvl w:val="0"/>
          <w:numId w:val="22"/>
        </w:numPr>
        <w:spacing w:before="156" w:after="156"/>
      </w:pPr>
      <w:r>
        <w:rPr>
          <w:rFonts w:hint="eastAsia"/>
        </w:rPr>
        <w:t>8.3</w:t>
      </w:r>
      <w:r>
        <w:rPr>
          <w:rFonts w:hint="eastAsia"/>
        </w:rPr>
        <w:tab/>
      </w:r>
      <w:r>
        <w:rPr>
          <w:rFonts w:hint="eastAsia"/>
        </w:rPr>
        <w:t>　运输</w:t>
      </w:r>
    </w:p>
    <w:p w14:paraId="50EF4989">
      <w:pPr>
        <w:ind w:firstLine="420" w:firstLineChars="200"/>
        <w:rPr>
          <w:rFonts w:ascii="宋体" w:hAnsi="宋体"/>
          <w:szCs w:val="21"/>
        </w:rPr>
      </w:pPr>
      <w:r>
        <w:rPr>
          <w:rFonts w:hint="eastAsia" w:ascii="宋体" w:hAnsi="宋体"/>
          <w:szCs w:val="21"/>
        </w:rPr>
        <w:t>搬运和装卸产品时，应使用卷绵专用的装卸叉车，不得人工抛掷。运输工具底面必须平整并设法使产品固定好，在运输中减少震动，运输时应有防雨、防雪、防水措施。运输过程中严禁烟火。</w:t>
      </w:r>
    </w:p>
    <w:p w14:paraId="3AD77BAF">
      <w:pPr>
        <w:pStyle w:val="76"/>
        <w:numPr>
          <w:ilvl w:val="0"/>
          <w:numId w:val="22"/>
        </w:numPr>
        <w:spacing w:before="156" w:after="156"/>
      </w:pPr>
      <w:r>
        <w:rPr>
          <w:rFonts w:hint="eastAsia"/>
        </w:rPr>
        <w:t>8.4</w:t>
      </w:r>
      <w:r>
        <w:rPr>
          <w:rFonts w:hint="eastAsia"/>
        </w:rPr>
        <w:tab/>
      </w:r>
      <w:r>
        <w:rPr>
          <w:rFonts w:hint="eastAsia"/>
        </w:rPr>
        <w:t>　贮存</w:t>
      </w:r>
    </w:p>
    <w:p w14:paraId="01B088F0">
      <w:pPr>
        <w:ind w:firstLine="420" w:firstLineChars="200"/>
        <w:rPr>
          <w:rFonts w:ascii="宋体" w:hAnsi="宋体"/>
          <w:szCs w:val="21"/>
        </w:rPr>
      </w:pPr>
      <w:r>
        <w:rPr>
          <w:rFonts w:hint="eastAsia" w:ascii="宋体" w:hAnsi="宋体"/>
          <w:szCs w:val="21"/>
        </w:rPr>
        <w:t xml:space="preserve"> 产品应按不同的规格、类别分别堆放；堆放场地必须平坦、防潮、避免阳光照射。贮存时，应远离热源，火源，不得与油类、化学品等腐蚀物资混贮。</w:t>
      </w:r>
    </w:p>
    <w:bookmarkEnd w:id="28"/>
    <w:p w14:paraId="40D8E768">
      <w:pPr>
        <w:pStyle w:val="121"/>
      </w:pPr>
    </w:p>
    <w:p w14:paraId="3584DC2C">
      <w:pPr>
        <w:pStyle w:val="118"/>
      </w:pPr>
      <w:r>
        <w:br w:type="textWrapping"/>
      </w:r>
      <w:r>
        <w:rPr>
          <w:rFonts w:hint="eastAsia"/>
        </w:rPr>
        <w:t>（规范性）</w:t>
      </w:r>
    </w:p>
    <w:p w14:paraId="1C52D9F3">
      <w:pPr>
        <w:pStyle w:val="137"/>
        <w:spacing w:before="312" w:after="312"/>
        <w:rPr>
          <w:rFonts w:ascii="Times New Roman"/>
        </w:rPr>
      </w:pPr>
      <w:r>
        <w:rPr>
          <w:rFonts w:ascii="Times New Roman"/>
        </w:rPr>
        <w:t>单位产品综合能耗</w:t>
      </w:r>
    </w:p>
    <w:p w14:paraId="26EAEE05">
      <w:pPr>
        <w:ind w:firstLine="420" w:firstLineChars="200"/>
        <w:rPr>
          <w:color w:val="000000"/>
          <w:szCs w:val="21"/>
        </w:rPr>
      </w:pPr>
      <w:r>
        <w:rPr>
          <w:rFonts w:hAnsi="宋体"/>
          <w:color w:val="000000"/>
          <w:szCs w:val="21"/>
        </w:rPr>
        <w:t>综合能耗中如涉及外购能源，则外购燃料能源一般以其实物发热量为计算基础折算为标准煤量，外购电按当量值进行计算，</w:t>
      </w:r>
      <w:r>
        <w:rPr>
          <w:color w:val="000000"/>
          <w:szCs w:val="21"/>
        </w:rPr>
        <w:t>10</w:t>
      </w:r>
      <w:r>
        <w:rPr>
          <w:color w:val="000000"/>
          <w:szCs w:val="21"/>
          <w:vertAlign w:val="superscript"/>
        </w:rPr>
        <w:t xml:space="preserve">4 </w:t>
      </w:r>
      <w:r>
        <w:rPr>
          <w:color w:val="000000"/>
          <w:szCs w:val="21"/>
        </w:rPr>
        <w:t>kW</w:t>
      </w:r>
      <w:r>
        <w:rPr>
          <w:color w:val="000000"/>
          <w:kern w:val="0"/>
          <w:szCs w:val="18"/>
        </w:rPr>
        <w:t>·</w:t>
      </w:r>
      <w:r>
        <w:rPr>
          <w:color w:val="000000"/>
          <w:szCs w:val="21"/>
        </w:rPr>
        <w:t>h=1.229 tce</w:t>
      </w:r>
      <w:r>
        <w:rPr>
          <w:rFonts w:hAnsi="宋体"/>
          <w:color w:val="000000"/>
          <w:szCs w:val="21"/>
        </w:rPr>
        <w:t>折算成标煤。企业消耗的各种能源包括主要生产系统、辅助生产系统和附属生产系统用能，不包括冬季采暖用能、生活用能和基建项目用能。</w:t>
      </w:r>
    </w:p>
    <w:p w14:paraId="3011D3C6">
      <w:pPr>
        <w:ind w:firstLine="420" w:firstLineChars="200"/>
        <w:rPr>
          <w:rFonts w:hAnsi="宋体"/>
          <w:color w:val="000000"/>
          <w:szCs w:val="21"/>
        </w:rPr>
      </w:pPr>
      <w:r>
        <w:rPr>
          <w:rFonts w:hAnsi="宋体"/>
          <w:color w:val="000000"/>
          <w:szCs w:val="21"/>
        </w:rPr>
        <w:t>单位产品综合能耗指</w:t>
      </w:r>
      <w:r>
        <w:rPr>
          <w:rFonts w:hint="eastAsia"/>
        </w:rPr>
        <w:t>软质聚氨酯泡沫塑料</w:t>
      </w:r>
      <w:r>
        <w:rPr>
          <w:rFonts w:hAnsi="宋体"/>
          <w:color w:val="000000"/>
          <w:szCs w:val="21"/>
        </w:rPr>
        <w:t>企业在计划统计期内，对实际消耗的各种能源实物量按规定的计算方法和单位分别折算为一次能源后的总和。综合能耗主要包括一次能源（如煤、石油、天然气等）、二次能源（如蒸汽、电力等）和直接用于生产的能耗工质（如冷却水、压缩空气等）。具体综合能耗按照</w:t>
      </w:r>
      <w:r>
        <w:rPr>
          <w:color w:val="000000"/>
          <w:szCs w:val="21"/>
        </w:rPr>
        <w:t>GB/T 2589</w:t>
      </w:r>
      <w:r>
        <w:rPr>
          <w:rFonts w:hAnsi="宋体"/>
          <w:color w:val="000000"/>
          <w:szCs w:val="21"/>
        </w:rPr>
        <w:t>计算。按公式</w:t>
      </w:r>
      <w:r>
        <w:rPr>
          <w:rFonts w:hint="eastAsia" w:hAnsi="宋体"/>
          <w:color w:val="000000"/>
          <w:szCs w:val="21"/>
        </w:rPr>
        <w:t>（</w:t>
      </w:r>
      <w:r>
        <w:rPr>
          <w:color w:val="000000"/>
          <w:szCs w:val="21"/>
        </w:rPr>
        <w:t>A.1</w:t>
      </w:r>
      <w:r>
        <w:rPr>
          <w:rFonts w:hint="eastAsia" w:hAnsi="宋体"/>
          <w:color w:val="000000"/>
          <w:szCs w:val="21"/>
        </w:rPr>
        <w:t>）</w:t>
      </w:r>
      <w:r>
        <w:rPr>
          <w:rFonts w:hAnsi="宋体"/>
          <w:color w:val="000000"/>
          <w:szCs w:val="21"/>
        </w:rPr>
        <w:t>计算：</w:t>
      </w:r>
    </w:p>
    <w:p w14:paraId="4B5C29E4">
      <w:pPr>
        <w:ind w:firstLine="420" w:firstLineChars="200"/>
        <w:jc w:val="right"/>
        <w:rPr>
          <w:color w:val="000000"/>
          <w:szCs w:val="21"/>
        </w:rPr>
      </w:pPr>
      <w:r>
        <w:rPr>
          <w:rFonts w:hint="eastAsia" w:ascii="宋体" w:hAnsi="宋体"/>
          <w:color w:val="000000"/>
          <w:szCs w:val="21"/>
        </w:rPr>
        <w:t xml:space="preserve">       </w:t>
      </w:r>
      <w:r>
        <w:rPr>
          <w:rFonts w:ascii="宋体" w:hAnsi="宋体"/>
          <w:color w:val="000000"/>
          <w:position w:val="-30"/>
          <w:szCs w:val="21"/>
        </w:rPr>
        <w:object>
          <v:shape id="_x0000_i1025" o:spt="75" type="#_x0000_t75" style="height:34.2pt;width:48pt;" o:ole="t" filled="f" o:preferrelative="t" stroked="f" coordsize="21600,21600">
            <v:path/>
            <v:fill on="f" focussize="0,0"/>
            <v:stroke on="f" joinstyle="miter"/>
            <v:imagedata r:id="rId7" o:title=""/>
            <o:lock v:ext="edit" aspectratio="t"/>
            <w10:wrap type="none"/>
            <w10:anchorlock/>
          </v:shape>
          <o:OLEObject Type="Embed" ProgID="Equation.3" ShapeID="_x0000_i1025" DrawAspect="Content" ObjectID="_1468075725" r:id="rId6">
            <o:LockedField>false</o:LockedField>
          </o:OLEObject>
        </w:object>
      </w:r>
      <w:r>
        <w:rPr>
          <w:rFonts w:ascii="宋体" w:hAnsi="宋体"/>
          <w:color w:val="000000"/>
          <w:szCs w:val="21"/>
        </w:rPr>
        <w:t>………………………………………………</w:t>
      </w:r>
      <w:r>
        <w:rPr>
          <w:rFonts w:hAnsi="宋体"/>
          <w:color w:val="000000"/>
          <w:szCs w:val="21"/>
        </w:rPr>
        <w:t>（</w:t>
      </w:r>
      <w:r>
        <w:rPr>
          <w:color w:val="000000"/>
          <w:szCs w:val="21"/>
        </w:rPr>
        <w:t>A.1</w:t>
      </w:r>
      <w:r>
        <w:rPr>
          <w:rFonts w:hAnsi="宋体"/>
          <w:color w:val="000000"/>
          <w:szCs w:val="21"/>
        </w:rPr>
        <w:t>）</w:t>
      </w:r>
    </w:p>
    <w:p w14:paraId="0E654FEF">
      <w:pPr>
        <w:ind w:firstLine="420" w:firstLineChars="200"/>
        <w:rPr>
          <w:rFonts w:hAnsi="宋体"/>
          <w:color w:val="000000"/>
          <w:szCs w:val="21"/>
        </w:rPr>
      </w:pPr>
      <w:r>
        <w:rPr>
          <w:rFonts w:hAnsi="宋体"/>
          <w:color w:val="000000"/>
          <w:szCs w:val="21"/>
        </w:rPr>
        <w:t>式中：</w:t>
      </w:r>
    </w:p>
    <w:tbl>
      <w:tblPr>
        <w:tblStyle w:val="56"/>
        <w:tblW w:w="0" w:type="auto"/>
        <w:tblInd w:w="817" w:type="dxa"/>
        <w:tblLayout w:type="fixed"/>
        <w:tblCellMar>
          <w:top w:w="0" w:type="dxa"/>
          <w:left w:w="108" w:type="dxa"/>
          <w:bottom w:w="0" w:type="dxa"/>
          <w:right w:w="108" w:type="dxa"/>
        </w:tblCellMar>
      </w:tblPr>
      <w:tblGrid>
        <w:gridCol w:w="567"/>
        <w:gridCol w:w="8192"/>
      </w:tblGrid>
      <w:tr w14:paraId="02D380AF">
        <w:tblPrEx>
          <w:tblCellMar>
            <w:top w:w="0" w:type="dxa"/>
            <w:left w:w="108" w:type="dxa"/>
            <w:bottom w:w="0" w:type="dxa"/>
            <w:right w:w="108" w:type="dxa"/>
          </w:tblCellMar>
        </w:tblPrEx>
        <w:tc>
          <w:tcPr>
            <w:tcW w:w="567" w:type="dxa"/>
          </w:tcPr>
          <w:p w14:paraId="5AA4071E">
            <w:pPr>
              <w:jc w:val="right"/>
              <w:rPr>
                <w:i/>
                <w:color w:val="000000"/>
                <w:szCs w:val="21"/>
              </w:rPr>
            </w:pPr>
            <w:r>
              <w:rPr>
                <w:rFonts w:hint="eastAsia"/>
                <w:i/>
                <w:color w:val="000000"/>
                <w:szCs w:val="21"/>
              </w:rPr>
              <w:t>E</w:t>
            </w:r>
            <w:r>
              <w:rPr>
                <w:rFonts w:hint="eastAsia"/>
                <w:color w:val="000000"/>
                <w:szCs w:val="21"/>
                <w:vertAlign w:val="subscript"/>
              </w:rPr>
              <w:t>ui</w:t>
            </w:r>
          </w:p>
        </w:tc>
        <w:tc>
          <w:tcPr>
            <w:tcW w:w="8192" w:type="dxa"/>
          </w:tcPr>
          <w:p w14:paraId="064B786F">
            <w:pPr>
              <w:ind w:left="-105" w:leftChars="-50"/>
              <w:rPr>
                <w:i/>
                <w:color w:val="000000"/>
                <w:szCs w:val="21"/>
              </w:rPr>
            </w:pPr>
            <w:r>
              <w:rPr>
                <w:color w:val="000000"/>
                <w:szCs w:val="21"/>
              </w:rPr>
              <w:t>——</w:t>
            </w:r>
            <w:r>
              <w:rPr>
                <w:rFonts w:hAnsi="宋体"/>
                <w:color w:val="000000"/>
                <w:szCs w:val="21"/>
              </w:rPr>
              <w:t>单位产品综合能耗，单位为</w:t>
            </w:r>
            <w:r>
              <w:rPr>
                <w:rFonts w:hAnsi="宋体"/>
                <w:color w:val="000000"/>
                <w:szCs w:val="21"/>
                <w:highlight w:val="yellow"/>
              </w:rPr>
              <w:t>吨标煤每</w:t>
            </w:r>
            <w:r>
              <w:rPr>
                <w:rFonts w:hint="eastAsia" w:hAnsi="宋体"/>
                <w:color w:val="000000"/>
                <w:szCs w:val="21"/>
                <w:highlight w:val="yellow"/>
              </w:rPr>
              <w:t>吨（</w:t>
            </w:r>
            <w:r>
              <w:rPr>
                <w:color w:val="000000"/>
                <w:szCs w:val="21"/>
                <w:highlight w:val="yellow"/>
              </w:rPr>
              <w:t>tce/</w:t>
            </w:r>
            <w:r>
              <w:rPr>
                <w:rFonts w:hint="eastAsia"/>
                <w:color w:val="000000"/>
                <w:szCs w:val="21"/>
              </w:rPr>
              <w:t>t</w:t>
            </w:r>
            <w:r>
              <w:rPr>
                <w:rFonts w:hint="eastAsia" w:hAnsi="宋体"/>
                <w:color w:val="000000"/>
                <w:szCs w:val="21"/>
              </w:rPr>
              <w:t>）</w:t>
            </w:r>
            <w:r>
              <w:rPr>
                <w:rFonts w:hAnsi="宋体"/>
                <w:color w:val="000000"/>
                <w:szCs w:val="21"/>
              </w:rPr>
              <w:t>；</w:t>
            </w:r>
          </w:p>
        </w:tc>
      </w:tr>
      <w:tr w14:paraId="50DEB302">
        <w:tblPrEx>
          <w:tblCellMar>
            <w:top w:w="0" w:type="dxa"/>
            <w:left w:w="108" w:type="dxa"/>
            <w:bottom w:w="0" w:type="dxa"/>
            <w:right w:w="108" w:type="dxa"/>
          </w:tblCellMar>
        </w:tblPrEx>
        <w:tc>
          <w:tcPr>
            <w:tcW w:w="567" w:type="dxa"/>
          </w:tcPr>
          <w:p w14:paraId="6E125B95">
            <w:pPr>
              <w:jc w:val="right"/>
              <w:rPr>
                <w:i/>
                <w:color w:val="000000"/>
                <w:szCs w:val="21"/>
              </w:rPr>
            </w:pPr>
            <w:r>
              <w:rPr>
                <w:rFonts w:hint="eastAsia"/>
                <w:i/>
                <w:color w:val="000000"/>
                <w:szCs w:val="21"/>
              </w:rPr>
              <w:t>E</w:t>
            </w:r>
            <w:r>
              <w:rPr>
                <w:rFonts w:hint="eastAsia"/>
                <w:color w:val="000000"/>
                <w:szCs w:val="21"/>
                <w:vertAlign w:val="subscript"/>
              </w:rPr>
              <w:t>i</w:t>
            </w:r>
          </w:p>
        </w:tc>
        <w:tc>
          <w:tcPr>
            <w:tcW w:w="8192" w:type="dxa"/>
          </w:tcPr>
          <w:p w14:paraId="4A9E1F3E">
            <w:pPr>
              <w:ind w:left="-105" w:leftChars="-50"/>
              <w:rPr>
                <w:i/>
                <w:color w:val="000000"/>
                <w:szCs w:val="21"/>
              </w:rPr>
            </w:pPr>
            <w:r>
              <w:rPr>
                <w:color w:val="000000"/>
                <w:szCs w:val="21"/>
              </w:rPr>
              <w:t>——</w:t>
            </w:r>
            <w:r>
              <w:rPr>
                <w:rFonts w:hAnsi="宋体"/>
                <w:color w:val="000000"/>
                <w:szCs w:val="21"/>
              </w:rPr>
              <w:t>在一定计量时间内产品生产的综合能耗，单位为</w:t>
            </w:r>
            <w:r>
              <w:rPr>
                <w:rFonts w:hAnsi="宋体"/>
                <w:color w:val="000000"/>
                <w:szCs w:val="21"/>
                <w:highlight w:val="yellow"/>
              </w:rPr>
              <w:t>吨标煤</w:t>
            </w:r>
            <w:r>
              <w:rPr>
                <w:rFonts w:hint="eastAsia" w:hAnsi="宋体"/>
                <w:color w:val="000000"/>
                <w:szCs w:val="21"/>
                <w:highlight w:val="yellow"/>
              </w:rPr>
              <w:t>（</w:t>
            </w:r>
            <w:r>
              <w:rPr>
                <w:color w:val="000000"/>
                <w:szCs w:val="21"/>
                <w:highlight w:val="yellow"/>
              </w:rPr>
              <w:t>tce</w:t>
            </w:r>
            <w:r>
              <w:rPr>
                <w:rFonts w:hint="eastAsia" w:hAnsi="宋体"/>
                <w:color w:val="000000"/>
                <w:szCs w:val="21"/>
                <w:highlight w:val="yellow"/>
              </w:rPr>
              <w:t>）</w:t>
            </w:r>
            <w:r>
              <w:rPr>
                <w:rFonts w:hAnsi="宋体"/>
                <w:color w:val="000000"/>
                <w:szCs w:val="21"/>
              </w:rPr>
              <w:t>；</w:t>
            </w:r>
          </w:p>
        </w:tc>
      </w:tr>
      <w:tr w14:paraId="71AAD2D7">
        <w:tblPrEx>
          <w:tblCellMar>
            <w:top w:w="0" w:type="dxa"/>
            <w:left w:w="108" w:type="dxa"/>
            <w:bottom w:w="0" w:type="dxa"/>
            <w:right w:w="108" w:type="dxa"/>
          </w:tblCellMar>
        </w:tblPrEx>
        <w:tc>
          <w:tcPr>
            <w:tcW w:w="567" w:type="dxa"/>
          </w:tcPr>
          <w:p w14:paraId="4D1F63E6">
            <w:pPr>
              <w:jc w:val="right"/>
              <w:rPr>
                <w:i/>
                <w:color w:val="000000"/>
                <w:szCs w:val="21"/>
              </w:rPr>
            </w:pPr>
            <w:r>
              <w:rPr>
                <w:rFonts w:hint="eastAsia"/>
                <w:i/>
                <w:color w:val="000000"/>
                <w:szCs w:val="21"/>
              </w:rPr>
              <w:t>Q</w:t>
            </w:r>
            <w:r>
              <w:rPr>
                <w:rFonts w:hint="eastAsia"/>
                <w:color w:val="000000"/>
                <w:szCs w:val="21"/>
                <w:vertAlign w:val="subscript"/>
              </w:rPr>
              <w:t>bz</w:t>
            </w:r>
          </w:p>
        </w:tc>
        <w:tc>
          <w:tcPr>
            <w:tcW w:w="8192" w:type="dxa"/>
          </w:tcPr>
          <w:p w14:paraId="60115CBE">
            <w:pPr>
              <w:ind w:left="-105" w:leftChars="-50"/>
              <w:rPr>
                <w:i/>
                <w:color w:val="000000"/>
                <w:szCs w:val="21"/>
              </w:rPr>
            </w:pPr>
            <w:r>
              <w:rPr>
                <w:color w:val="000000"/>
                <w:szCs w:val="21"/>
              </w:rPr>
              <w:t>——</w:t>
            </w:r>
            <w:r>
              <w:rPr>
                <w:rFonts w:hAnsi="宋体"/>
                <w:color w:val="000000"/>
                <w:szCs w:val="21"/>
              </w:rPr>
              <w:t>在一定计量时间内</w:t>
            </w:r>
            <w:r>
              <w:rPr>
                <w:color w:val="000000"/>
              </w:rPr>
              <w:t>软质聚氨酯泡沫塑料产品</w:t>
            </w:r>
            <w:r>
              <w:rPr>
                <w:rFonts w:hAnsi="宋体"/>
                <w:color w:val="000000"/>
                <w:szCs w:val="21"/>
              </w:rPr>
              <w:t>标准品产量，单位为</w:t>
            </w:r>
            <w:r>
              <w:rPr>
                <w:rFonts w:hint="eastAsia" w:hAnsi="宋体"/>
                <w:color w:val="000000"/>
                <w:szCs w:val="21"/>
              </w:rPr>
              <w:t>吨（</w:t>
            </w:r>
            <w:r>
              <w:rPr>
                <w:rFonts w:hint="eastAsia"/>
                <w:color w:val="000000"/>
                <w:szCs w:val="21"/>
              </w:rPr>
              <w:t>t</w:t>
            </w:r>
            <w:r>
              <w:rPr>
                <w:rFonts w:hint="eastAsia" w:hAnsi="宋体"/>
                <w:color w:val="000000"/>
                <w:szCs w:val="21"/>
              </w:rPr>
              <w:t>）</w:t>
            </w:r>
            <w:r>
              <w:rPr>
                <w:rFonts w:hAnsi="宋体"/>
                <w:color w:val="000000"/>
                <w:szCs w:val="21"/>
              </w:rPr>
              <w:t>。</w:t>
            </w:r>
          </w:p>
        </w:tc>
      </w:tr>
    </w:tbl>
    <w:p w14:paraId="50DBC6CA">
      <w:pPr>
        <w:pStyle w:val="137"/>
        <w:spacing w:before="312" w:after="312"/>
        <w:rPr>
          <w:rFonts w:ascii="Times New Roman"/>
        </w:rPr>
      </w:pPr>
      <w:r>
        <w:rPr>
          <w:rFonts w:ascii="Times New Roman"/>
        </w:rPr>
        <w:t>取样</w:t>
      </w:r>
    </w:p>
    <w:p w14:paraId="48D5A8AF">
      <w:pPr>
        <w:pStyle w:val="41"/>
        <w:rPr>
          <w:rFonts w:ascii="Times New Roman"/>
        </w:rPr>
      </w:pPr>
      <w:r>
        <w:rPr>
          <w:rFonts w:ascii="Times New Roman"/>
        </w:rPr>
        <w:t>产品样品应取自测试系列的生产线产品，距生产日期3~7天，取样在中心部位，距外表面不小于35</w:t>
      </w:r>
      <w:r>
        <w:rPr>
          <w:rFonts w:hint="eastAsia" w:ascii="Times New Roman"/>
        </w:rPr>
        <w:t xml:space="preserve"> </w:t>
      </w:r>
      <w:r>
        <w:rPr>
          <w:rFonts w:ascii="Times New Roman"/>
        </w:rPr>
        <w:t>cm。如果产品尺寸不足以保持35</w:t>
      </w:r>
      <w:r>
        <w:rPr>
          <w:rFonts w:hint="eastAsia" w:ascii="Times New Roman"/>
        </w:rPr>
        <w:t xml:space="preserve"> </w:t>
      </w:r>
      <w:r>
        <w:rPr>
          <w:rFonts w:ascii="Times New Roman"/>
        </w:rPr>
        <w:t>cm以上的距外表面距离，则应保持最大可能的尺寸。化学相关测试样品尺寸为40</w:t>
      </w:r>
      <w:r>
        <w:rPr>
          <w:rFonts w:hint="eastAsia" w:ascii="Times New Roman"/>
        </w:rPr>
        <w:t xml:space="preserve"> </w:t>
      </w:r>
      <w:r>
        <w:rPr>
          <w:rFonts w:ascii="Times New Roman"/>
        </w:rPr>
        <w:t>cm × 40</w:t>
      </w:r>
      <w:r>
        <w:rPr>
          <w:rFonts w:hint="eastAsia" w:ascii="Times New Roman"/>
        </w:rPr>
        <w:t xml:space="preserve"> </w:t>
      </w:r>
      <w:r>
        <w:rPr>
          <w:rFonts w:ascii="Times New Roman"/>
        </w:rPr>
        <w:t>cm × 5</w:t>
      </w:r>
      <w:r>
        <w:rPr>
          <w:rFonts w:hint="eastAsia" w:ascii="Times New Roman"/>
        </w:rPr>
        <w:t xml:space="preserve"> </w:t>
      </w:r>
      <w:r>
        <w:rPr>
          <w:rFonts w:ascii="Times New Roman"/>
        </w:rPr>
        <w:t>cm，物理性能相关测试样品尺寸参照测试标准要求。</w:t>
      </w:r>
    </w:p>
    <w:p w14:paraId="2BBCED41">
      <w:pPr>
        <w:pStyle w:val="137"/>
        <w:spacing w:before="312" w:after="312"/>
        <w:rPr>
          <w:rFonts w:ascii="Times New Roman"/>
        </w:rPr>
      </w:pPr>
      <w:r>
        <w:rPr>
          <w:rFonts w:ascii="Times New Roman"/>
        </w:rPr>
        <w:t>状态调节</w:t>
      </w:r>
    </w:p>
    <w:p w14:paraId="7DC2F3C4">
      <w:pPr>
        <w:pStyle w:val="163"/>
        <w:framePr w:hSpace="0" w:vSpace="0" w:wrap="auto" w:vAnchor="margin" w:hAnchor="text" w:xAlign="left" w:yAlign="inline"/>
      </w:pPr>
      <w:r>
        <w:t>试验按GB/T 2918中23/50二级环境条件进行，试样在温度（23±2）℃，相对湿度（50±5）%的条件下进行不少于16</w:t>
      </w:r>
      <w:r>
        <w:rPr>
          <w:rFonts w:hint="eastAsia"/>
        </w:rPr>
        <w:t xml:space="preserve"> </w:t>
      </w:r>
      <w:r>
        <w:t>h的状态调节。</w:t>
      </w:r>
    </w:p>
    <w:p w14:paraId="5DBE1A49">
      <w:r>
        <w:br w:type="page"/>
      </w:r>
    </w:p>
    <w:p w14:paraId="706607D5">
      <w:pPr>
        <w:pStyle w:val="41"/>
        <w:ind w:firstLine="0" w:firstLineChars="0"/>
        <w:jc w:val="center"/>
        <w:rPr>
          <w:rFonts w:ascii="黑体" w:hAnsi="黑体" w:eastAsia="黑体" w:cs="黑体"/>
        </w:rPr>
      </w:pPr>
      <w:r>
        <w:rPr>
          <w:rFonts w:hint="eastAsia" w:ascii="黑体" w:hAnsi="黑体" w:eastAsia="黑体" w:cs="黑体"/>
        </w:rPr>
        <w:t>附  录  B</w:t>
      </w:r>
    </w:p>
    <w:p w14:paraId="4798BF18">
      <w:pPr>
        <w:pStyle w:val="118"/>
        <w:keepNext w:val="0"/>
        <w:pageBreakBefore w:val="0"/>
        <w:numPr>
          <w:ilvl w:val="0"/>
          <w:numId w:val="0"/>
        </w:numPr>
        <w:spacing w:before="0" w:after="0"/>
      </w:pPr>
      <w:r>
        <w:rPr>
          <w:rFonts w:hint="eastAsia"/>
        </w:rPr>
        <w:t>（资料性）</w:t>
      </w:r>
    </w:p>
    <w:p w14:paraId="2A0565EE">
      <w:pPr>
        <w:pStyle w:val="118"/>
        <w:keepNext w:val="0"/>
        <w:pageBreakBefore w:val="0"/>
        <w:numPr>
          <w:ilvl w:val="0"/>
          <w:numId w:val="0"/>
        </w:numPr>
        <w:spacing w:before="0" w:after="0"/>
      </w:pPr>
      <w:r>
        <w:rPr>
          <w:rFonts w:hint="eastAsia"/>
        </w:rPr>
        <w:t>汽车顶棚用软质聚氨酯泡沫塑料产品生命周期评价方法</w:t>
      </w:r>
    </w:p>
    <w:p w14:paraId="6D3718A1">
      <w:pPr>
        <w:pStyle w:val="137"/>
        <w:numPr>
          <w:ilvl w:val="0"/>
          <w:numId w:val="0"/>
        </w:numPr>
        <w:spacing w:before="312" w:after="312"/>
      </w:pPr>
      <w:r>
        <w:rPr>
          <w:rFonts w:hint="eastAsia"/>
        </w:rPr>
        <w:t>B.1  评价目的</w:t>
      </w:r>
    </w:p>
    <w:p w14:paraId="039D5CCC">
      <w:pPr>
        <w:pStyle w:val="41"/>
        <w:rPr>
          <w:szCs w:val="21"/>
        </w:rPr>
      </w:pPr>
      <w:r>
        <w:rPr>
          <w:rFonts w:hint="eastAsia"/>
        </w:rPr>
        <w:t>通过调查汽车顶棚用软质聚氨酯泡沫塑料产品原材料生产（采购）、产品生产、运输等过程的各项消耗与排放，量化分析产品对环境造成的影响，提出产品</w:t>
      </w:r>
      <w:r>
        <w:rPr>
          <w:rFonts w:hint="eastAsia"/>
          <w:szCs w:val="21"/>
        </w:rPr>
        <w:t>绿色设计或绿色化改进建议，从而提升产品的绿色设计水平。</w:t>
      </w:r>
    </w:p>
    <w:p w14:paraId="5A8B1E9C">
      <w:pPr>
        <w:pStyle w:val="137"/>
        <w:numPr>
          <w:ilvl w:val="0"/>
          <w:numId w:val="0"/>
        </w:numPr>
        <w:spacing w:before="312" w:after="312"/>
      </w:pPr>
      <w:r>
        <w:rPr>
          <w:rFonts w:hint="eastAsia"/>
        </w:rPr>
        <w:t>B.2  评价范围</w:t>
      </w:r>
    </w:p>
    <w:p w14:paraId="55B9A448">
      <w:pPr>
        <w:pStyle w:val="137"/>
        <w:numPr>
          <w:ilvl w:val="1"/>
          <w:numId w:val="0"/>
        </w:numPr>
        <w:spacing w:before="312" w:after="312"/>
      </w:pPr>
      <w:r>
        <w:rPr>
          <w:rFonts w:hint="eastAsia"/>
        </w:rPr>
        <w:t>B.2.1  功能单位</w:t>
      </w:r>
    </w:p>
    <w:p w14:paraId="7E196734">
      <w:pPr>
        <w:ind w:firstLine="420" w:firstLineChars="200"/>
        <w:rPr>
          <w:szCs w:val="21"/>
        </w:rPr>
      </w:pPr>
      <w:r>
        <w:rPr>
          <w:rFonts w:hAnsi="宋体"/>
          <w:szCs w:val="21"/>
        </w:rPr>
        <w:t>功能单位</w:t>
      </w:r>
      <w:r>
        <w:rPr>
          <w:rFonts w:hint="eastAsia" w:hAnsi="宋体"/>
          <w:szCs w:val="21"/>
        </w:rPr>
        <w:t>应</w:t>
      </w:r>
      <w:r>
        <w:rPr>
          <w:rFonts w:hAnsi="宋体"/>
          <w:szCs w:val="21"/>
        </w:rPr>
        <w:t>是明确规定并且可测量的。本文件可以“万</w:t>
      </w:r>
      <w:r>
        <w:rPr>
          <w:rFonts w:hint="eastAsia" w:hAnsi="宋体"/>
          <w:szCs w:val="21"/>
        </w:rPr>
        <w:t>吨</w:t>
      </w:r>
      <w:r>
        <w:rPr>
          <w:rFonts w:hint="eastAsia"/>
        </w:rPr>
        <w:t>汽车顶棚用软质聚氨酯泡沫塑料</w:t>
      </w:r>
      <w:r>
        <w:rPr>
          <w:rFonts w:hint="eastAsia" w:hAnsi="宋体"/>
          <w:szCs w:val="21"/>
        </w:rPr>
        <w:t>”</w:t>
      </w:r>
      <w:r>
        <w:rPr>
          <w:rFonts w:hAnsi="宋体"/>
          <w:szCs w:val="21"/>
        </w:rPr>
        <w:t>为功能单位。</w:t>
      </w:r>
    </w:p>
    <w:p w14:paraId="1B848359">
      <w:pPr>
        <w:pStyle w:val="137"/>
        <w:numPr>
          <w:ilvl w:val="1"/>
          <w:numId w:val="0"/>
        </w:numPr>
        <w:spacing w:before="312" w:after="312"/>
      </w:pPr>
      <w:r>
        <w:rPr>
          <w:rFonts w:hint="eastAsia"/>
        </w:rPr>
        <w:t>B.2.2  系统边界</w:t>
      </w:r>
    </w:p>
    <w:p w14:paraId="72E1FA2B">
      <w:pPr>
        <w:ind w:firstLine="420"/>
        <w:rPr>
          <w:rFonts w:hAnsi="宋体"/>
          <w:color w:val="000000"/>
          <w:szCs w:val="21"/>
        </w:rPr>
      </w:pPr>
      <w:bookmarkStart w:id="29" w:name="_Hlk6920279"/>
      <w:r>
        <w:rPr>
          <w:rFonts w:hint="eastAsia"/>
        </w:rPr>
        <w:t>本文件界定的汽车顶棚用软质聚氨酯泡沫塑料产品生命周期系统边界参见图B.</w:t>
      </w:r>
      <w:r>
        <w:t>1</w:t>
      </w:r>
      <w:r>
        <w:rPr>
          <w:rFonts w:hint="eastAsia"/>
        </w:rPr>
        <w:t>，主要包括</w:t>
      </w:r>
      <w:r>
        <w:rPr>
          <w:rFonts w:hAnsi="宋体"/>
          <w:szCs w:val="21"/>
        </w:rPr>
        <w:t>原</w:t>
      </w:r>
      <w:r>
        <w:rPr>
          <w:rFonts w:hint="eastAsia" w:hAnsi="宋体"/>
          <w:szCs w:val="21"/>
        </w:rPr>
        <w:t>料生产</w:t>
      </w:r>
      <w:r>
        <w:rPr>
          <w:rFonts w:hint="eastAsia"/>
        </w:rPr>
        <w:t>、</w:t>
      </w:r>
      <w:r>
        <w:rPr>
          <w:rFonts w:hint="eastAsia" w:hAnsi="宋体"/>
          <w:szCs w:val="21"/>
        </w:rPr>
        <w:t>原料运输、产品生产、产品包装阶段</w:t>
      </w:r>
      <w:r>
        <w:rPr>
          <w:rFonts w:hint="eastAsia"/>
        </w:rPr>
        <w:t>。</w:t>
      </w:r>
      <w:bookmarkEnd w:id="29"/>
    </w:p>
    <w:p w14:paraId="37DABB81">
      <w:pPr>
        <w:jc w:val="center"/>
        <w:rPr>
          <w:rFonts w:hAnsi="宋体"/>
          <w:color w:val="000000"/>
          <w:szCs w:val="21"/>
        </w:rPr>
      </w:pPr>
      <w:r>
        <w:rPr>
          <w:rFonts w:hint="eastAsia" w:hAnsi="宋体"/>
          <w:color w:val="000000"/>
          <w:szCs w:val="21"/>
        </w:rPr>
        <w:drawing>
          <wp:inline distT="0" distB="0" distL="114300" distR="114300">
            <wp:extent cx="4319270" cy="3220720"/>
            <wp:effectExtent l="0" t="0" r="5080" b="8255"/>
            <wp:docPr id="8" name="图片 8" descr="e3a456657a2c79f4b304950250ad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e3a456657a2c79f4b304950250ad701"/>
                    <pic:cNvPicPr>
                      <a:picLocks noChangeAspect="1"/>
                    </pic:cNvPicPr>
                  </pic:nvPicPr>
                  <pic:blipFill>
                    <a:blip r:embed="rId8"/>
                    <a:stretch>
                      <a:fillRect/>
                    </a:stretch>
                  </pic:blipFill>
                  <pic:spPr>
                    <a:xfrm>
                      <a:off x="0" y="0"/>
                      <a:ext cx="4319270" cy="3220720"/>
                    </a:xfrm>
                    <a:prstGeom prst="rect">
                      <a:avLst/>
                    </a:prstGeom>
                  </pic:spPr>
                </pic:pic>
              </a:graphicData>
            </a:graphic>
          </wp:inline>
        </w:drawing>
      </w:r>
    </w:p>
    <w:p w14:paraId="6DA33666">
      <w:pPr>
        <w:pStyle w:val="134"/>
        <w:numPr>
          <w:ilvl w:val="0"/>
          <w:numId w:val="0"/>
        </w:numPr>
        <w:spacing w:before="156" w:after="156"/>
        <w:ind w:firstLine="2730" w:firstLineChars="1300"/>
        <w:jc w:val="both"/>
        <w:rPr>
          <w:rFonts w:hAnsi="黑体" w:cs="黑体"/>
        </w:rPr>
      </w:pPr>
      <w:r>
        <w:rPr>
          <w:rFonts w:hint="eastAsia" w:hAnsi="黑体" w:cs="黑体"/>
          <w:color w:val="333333"/>
          <w:kern w:val="0"/>
          <w:shd w:val="clear" w:color="auto" w:fill="FFFFFF"/>
          <w:lang w:bidi="ar"/>
        </w:rPr>
        <w:t>图B.1  汽车顶棚用软质聚氨酯泡沫塑料</w:t>
      </w:r>
      <w:r>
        <w:rPr>
          <w:rFonts w:hint="eastAsia" w:hAnsi="黑体" w:cs="黑体"/>
        </w:rPr>
        <w:t>产品生命周期系统边界图</w:t>
      </w:r>
    </w:p>
    <w:p w14:paraId="64C27661">
      <w:pPr>
        <w:pStyle w:val="137"/>
        <w:numPr>
          <w:ilvl w:val="1"/>
          <w:numId w:val="0"/>
        </w:numPr>
        <w:spacing w:before="312" w:after="312"/>
      </w:pPr>
      <w:r>
        <w:rPr>
          <w:rFonts w:hint="eastAsia"/>
        </w:rPr>
        <w:t>B.2.3  数据取舍原则</w:t>
      </w:r>
    </w:p>
    <w:p w14:paraId="37BBBEB9">
      <w:pPr>
        <w:pStyle w:val="41"/>
      </w:pPr>
      <w:r>
        <w:rPr>
          <w:rFonts w:hint="eastAsia"/>
        </w:rPr>
        <w:t>数据</w:t>
      </w:r>
      <w:r>
        <w:rPr>
          <w:rFonts w:hint="eastAsia" w:cs="宋体"/>
          <w:color w:val="000000"/>
          <w:szCs w:val="21"/>
        </w:rPr>
        <w:t>取舍原则如下:</w:t>
      </w:r>
    </w:p>
    <w:p w14:paraId="56B5A020">
      <w:pPr>
        <w:ind w:firstLine="420" w:firstLineChars="200"/>
        <w:rPr>
          <w:szCs w:val="21"/>
        </w:rPr>
      </w:pPr>
      <w:r>
        <w:rPr>
          <w:rFonts w:hint="eastAsia"/>
          <w:szCs w:val="21"/>
        </w:rPr>
        <w:t>——所有能耗均列出；</w:t>
      </w:r>
    </w:p>
    <w:p w14:paraId="7E877FBD">
      <w:pPr>
        <w:ind w:firstLine="420" w:firstLineChars="200"/>
        <w:rPr>
          <w:szCs w:val="21"/>
        </w:rPr>
      </w:pPr>
      <w:r>
        <w:rPr>
          <w:rFonts w:hint="eastAsia"/>
          <w:szCs w:val="21"/>
        </w:rPr>
        <w:t>——主要原料消耗均列出；</w:t>
      </w:r>
    </w:p>
    <w:p w14:paraId="1CA8A776">
      <w:pPr>
        <w:ind w:firstLine="420" w:firstLineChars="200"/>
        <w:rPr>
          <w:szCs w:val="21"/>
        </w:rPr>
      </w:pPr>
      <w:r>
        <w:rPr>
          <w:rFonts w:hint="eastAsia"/>
          <w:szCs w:val="21"/>
        </w:rPr>
        <w:t>——小于产品质量</w:t>
      </w:r>
      <w:r>
        <w:rPr>
          <w:szCs w:val="21"/>
        </w:rPr>
        <w:t>1%</w:t>
      </w:r>
      <w:r>
        <w:rPr>
          <w:rFonts w:hint="eastAsia"/>
          <w:szCs w:val="21"/>
        </w:rPr>
        <w:t>的辅料消耗可忽略，但总忽略的质量不得超过产品质量的</w:t>
      </w:r>
      <w:r>
        <w:rPr>
          <w:szCs w:val="21"/>
        </w:rPr>
        <w:t>5%</w:t>
      </w:r>
      <w:r>
        <w:rPr>
          <w:rFonts w:hint="eastAsia"/>
          <w:szCs w:val="21"/>
        </w:rPr>
        <w:t>；</w:t>
      </w:r>
    </w:p>
    <w:p w14:paraId="31A6EB6A">
      <w:pPr>
        <w:ind w:firstLine="420" w:firstLineChars="200"/>
        <w:rPr>
          <w:szCs w:val="21"/>
        </w:rPr>
      </w:pPr>
      <w:r>
        <w:rPr>
          <w:rFonts w:hint="eastAsia"/>
          <w:szCs w:val="21"/>
        </w:rPr>
        <w:t>——现有法规、标准、文件要求对大气、水体、土壤进行监测的各种排放均列出，如环保法规、行业环境标准、环境监测报告、环境影响评价报告等；</w:t>
      </w:r>
    </w:p>
    <w:p w14:paraId="48790063">
      <w:pPr>
        <w:ind w:firstLine="420" w:firstLineChars="200"/>
        <w:rPr>
          <w:szCs w:val="21"/>
        </w:rPr>
      </w:pPr>
      <w:r>
        <w:rPr>
          <w:rFonts w:hint="eastAsia"/>
          <w:szCs w:val="21"/>
        </w:rPr>
        <w:t>——小于固体废弃物排放总量</w:t>
      </w:r>
      <w:r>
        <w:rPr>
          <w:szCs w:val="21"/>
        </w:rPr>
        <w:t>1%</w:t>
      </w:r>
      <w:r>
        <w:rPr>
          <w:rFonts w:hint="eastAsia"/>
          <w:szCs w:val="21"/>
        </w:rPr>
        <w:t>的一般性固体废弃物可忽略；</w:t>
      </w:r>
    </w:p>
    <w:p w14:paraId="1A6C0910">
      <w:pPr>
        <w:ind w:firstLine="420" w:firstLineChars="200"/>
      </w:pPr>
      <w:r>
        <w:rPr>
          <w:rFonts w:hint="eastAsia"/>
          <w:szCs w:val="21"/>
        </w:rPr>
        <w:t>——道路与厂房的基础设施、各工序的</w:t>
      </w:r>
      <w:r>
        <w:rPr>
          <w:rFonts w:hint="eastAsia"/>
        </w:rPr>
        <w:t>设备、厂房内人员及生活设施的消耗和排放，均忽略。</w:t>
      </w:r>
    </w:p>
    <w:p w14:paraId="0182D971">
      <w:pPr>
        <w:pStyle w:val="137"/>
        <w:numPr>
          <w:ilvl w:val="1"/>
          <w:numId w:val="0"/>
        </w:numPr>
        <w:spacing w:before="312" w:after="312"/>
      </w:pPr>
      <w:r>
        <w:rPr>
          <w:rFonts w:hint="eastAsia"/>
        </w:rPr>
        <w:t>B.3  生命周期清单分析</w:t>
      </w:r>
    </w:p>
    <w:p w14:paraId="5017A55B">
      <w:pPr>
        <w:pStyle w:val="138"/>
        <w:numPr>
          <w:ilvl w:val="0"/>
          <w:numId w:val="0"/>
        </w:numPr>
        <w:spacing w:before="156" w:after="156"/>
      </w:pPr>
      <w:r>
        <w:rPr>
          <w:rFonts w:hint="eastAsia"/>
        </w:rPr>
        <w:t xml:space="preserve">B.3.1  </w:t>
      </w:r>
      <w:r>
        <w:t>总则</w:t>
      </w:r>
    </w:p>
    <w:p w14:paraId="4673981D">
      <w:pPr>
        <w:pStyle w:val="41"/>
      </w:pPr>
      <w:r>
        <w:rPr>
          <w:rFonts w:hint="eastAsia"/>
        </w:rPr>
        <w:t>编制汽车顶棚用软质聚氨酯泡沫塑料产品系统边界内的原辅料、能源输入和排放到空气、水及土壤的排放物清单，作为产品生命周期评价的依据，选择对应单元过程的数据收集表，并进行数据收集和整理。数据收集主要包括现场数据的收集和背景数据的选择，所有数据的来源和算法均应明确地说明，对产品使用</w:t>
      </w:r>
      <w:r>
        <w:t>、废弃等阶段数据收集采用的情景假设应予以明确说明</w:t>
      </w:r>
      <w:r>
        <w:rPr>
          <w:rFonts w:hint="eastAsia"/>
        </w:rPr>
        <w:t>。</w:t>
      </w:r>
    </w:p>
    <w:p w14:paraId="03806A7E">
      <w:pPr>
        <w:pStyle w:val="138"/>
        <w:numPr>
          <w:ilvl w:val="0"/>
          <w:numId w:val="0"/>
        </w:numPr>
        <w:spacing w:before="156" w:after="156"/>
      </w:pPr>
      <w:r>
        <w:rPr>
          <w:rFonts w:hint="eastAsia"/>
        </w:rPr>
        <w:t xml:space="preserve">B.3.2  </w:t>
      </w:r>
      <w:r>
        <w:t>数据收集</w:t>
      </w:r>
    </w:p>
    <w:p w14:paraId="0C2BD693">
      <w:pPr>
        <w:pStyle w:val="123"/>
        <w:numPr>
          <w:ilvl w:val="0"/>
          <w:numId w:val="0"/>
        </w:numPr>
        <w:spacing w:before="156" w:after="156"/>
      </w:pPr>
      <w:r>
        <w:rPr>
          <w:rFonts w:hint="eastAsia"/>
        </w:rPr>
        <w:t xml:space="preserve">B.3.2.1  </w:t>
      </w:r>
      <w:r>
        <w:t>现场数据</w:t>
      </w:r>
      <w:r>
        <w:rPr>
          <w:rFonts w:hint="eastAsia"/>
        </w:rPr>
        <w:t>收集</w:t>
      </w:r>
    </w:p>
    <w:p w14:paraId="47EB4427">
      <w:pPr>
        <w:ind w:firstLine="420" w:firstLineChars="200"/>
      </w:pPr>
      <w:r>
        <w:rPr>
          <w:rFonts w:hint="eastAsia"/>
        </w:rPr>
        <w:t>现场数据来自于参评企业及其主要原料供应商的实际生产过程，一方面包含各单元过程单位产品的原料、能源、资源的消耗量，另一方面涵盖环保法规、环境监测报告和环境影响评价报告等所要求监测的大气、水体、土壤的各种污染物排放量和温室气体排放量（数据需转换为单位产品对应的排放量）。</w:t>
      </w:r>
    </w:p>
    <w:p w14:paraId="5E284592">
      <w:pPr>
        <w:pStyle w:val="123"/>
        <w:numPr>
          <w:ilvl w:val="0"/>
          <w:numId w:val="0"/>
        </w:numPr>
        <w:spacing w:before="156" w:after="156"/>
      </w:pPr>
      <w:r>
        <w:rPr>
          <w:rFonts w:hint="eastAsia"/>
        </w:rPr>
        <w:t xml:space="preserve">B.3.2.2  </w:t>
      </w:r>
      <w:r>
        <w:t>背景数据</w:t>
      </w:r>
      <w:r>
        <w:rPr>
          <w:rFonts w:hint="eastAsia"/>
        </w:rPr>
        <w:t>选择</w:t>
      </w:r>
    </w:p>
    <w:p w14:paraId="6D23F08C">
      <w:pPr>
        <w:pStyle w:val="41"/>
        <w:rPr>
          <w:rFonts w:ascii="Times New Roman"/>
        </w:rPr>
      </w:pPr>
      <w:r>
        <w:rPr>
          <w:rFonts w:hint="eastAsia"/>
          <w:szCs w:val="21"/>
        </w:rPr>
        <w:t>各种能耗和原辅料的上游生产过程数据（背景数据）宜采用来自上游供应商提供的数据，如上游原料的生命周期评价报告数据，尤其是重要的原辅料数据；如果上游供应商不能提供，可采用公开的行业数据、生命周期评价数据库或文献数据替代。</w:t>
      </w:r>
    </w:p>
    <w:p w14:paraId="4460E5BE">
      <w:pPr>
        <w:pStyle w:val="123"/>
        <w:numPr>
          <w:ilvl w:val="0"/>
          <w:numId w:val="0"/>
        </w:numPr>
        <w:spacing w:before="156" w:after="156"/>
      </w:pPr>
      <w:r>
        <w:rPr>
          <w:rFonts w:hint="eastAsia"/>
        </w:rPr>
        <w:t xml:space="preserve">B.3.2.3  </w:t>
      </w:r>
      <w:r>
        <w:t>原材料采购和预加工</w:t>
      </w:r>
    </w:p>
    <w:p w14:paraId="6EFA4668">
      <w:pPr>
        <w:ind w:firstLine="420" w:firstLineChars="200"/>
        <w:rPr>
          <w:szCs w:val="21"/>
        </w:rPr>
      </w:pPr>
      <w:r>
        <w:rPr>
          <w:rFonts w:hAnsi="宋体"/>
          <w:color w:val="000000"/>
          <w:szCs w:val="21"/>
        </w:rPr>
        <w:t>该阶段始于原辅材料的采购</w:t>
      </w:r>
      <w:r>
        <w:rPr>
          <w:rFonts w:hAnsi="宋体"/>
          <w:szCs w:val="21"/>
        </w:rPr>
        <w:t>，结束于原辅材料进入</w:t>
      </w:r>
      <w:r>
        <w:rPr>
          <w:rFonts w:hint="eastAsia"/>
        </w:rPr>
        <w:t>汽车顶棚用软质聚氨酯泡沫塑料</w:t>
      </w:r>
      <w:r>
        <w:rPr>
          <w:rFonts w:hAnsi="宋体"/>
          <w:szCs w:val="21"/>
        </w:rPr>
        <w:t>产品生产设施，包括</w:t>
      </w:r>
      <w:r>
        <w:rPr>
          <w:rFonts w:hint="eastAsia"/>
          <w:szCs w:val="21"/>
        </w:rPr>
        <w:t>：</w:t>
      </w:r>
    </w:p>
    <w:p w14:paraId="219E8918">
      <w:pPr>
        <w:pStyle w:val="88"/>
        <w:numPr>
          <w:ilvl w:val="0"/>
          <w:numId w:val="0"/>
        </w:numPr>
        <w:ind w:left="420"/>
        <w:rPr>
          <w:rFonts w:ascii="Times New Roman"/>
        </w:rPr>
      </w:pPr>
      <w:r>
        <w:rPr>
          <w:rFonts w:hint="eastAsia" w:ascii="Times New Roman"/>
        </w:rPr>
        <w:t>——</w:t>
      </w:r>
      <w:r>
        <w:rPr>
          <w:rFonts w:ascii="Times New Roman"/>
        </w:rPr>
        <w:t>开采和提取；</w:t>
      </w:r>
    </w:p>
    <w:p w14:paraId="0A2B1567">
      <w:pPr>
        <w:pStyle w:val="88"/>
        <w:numPr>
          <w:ilvl w:val="0"/>
          <w:numId w:val="0"/>
        </w:numPr>
        <w:ind w:left="420"/>
        <w:rPr>
          <w:rFonts w:ascii="Times New Roman"/>
        </w:rPr>
      </w:pPr>
      <w:r>
        <w:rPr>
          <w:rFonts w:hint="eastAsia" w:ascii="Times New Roman"/>
        </w:rPr>
        <w:t>——</w:t>
      </w:r>
      <w:r>
        <w:rPr>
          <w:rFonts w:ascii="Times New Roman"/>
        </w:rPr>
        <w:t>所有材料的预加工；</w:t>
      </w:r>
    </w:p>
    <w:p w14:paraId="3B18B0EA">
      <w:pPr>
        <w:pStyle w:val="88"/>
        <w:numPr>
          <w:ilvl w:val="0"/>
          <w:numId w:val="0"/>
        </w:numPr>
        <w:ind w:left="420"/>
        <w:rPr>
          <w:rFonts w:ascii="Times New Roman"/>
        </w:rPr>
      </w:pPr>
      <w:r>
        <w:rPr>
          <w:rFonts w:hint="eastAsia" w:ascii="Times New Roman"/>
        </w:rPr>
        <w:t>——</w:t>
      </w:r>
      <w:r>
        <w:rPr>
          <w:rFonts w:ascii="Times New Roman"/>
        </w:rPr>
        <w:t>转换回收的材料；</w:t>
      </w:r>
    </w:p>
    <w:p w14:paraId="094039EB">
      <w:pPr>
        <w:pStyle w:val="88"/>
        <w:numPr>
          <w:ilvl w:val="0"/>
          <w:numId w:val="0"/>
        </w:numPr>
        <w:ind w:left="420"/>
        <w:rPr>
          <w:rFonts w:ascii="Times New Roman"/>
        </w:rPr>
      </w:pPr>
      <w:r>
        <w:rPr>
          <w:rFonts w:hint="eastAsia" w:ascii="Times New Roman"/>
        </w:rPr>
        <w:t>——</w:t>
      </w:r>
      <w:r>
        <w:rPr>
          <w:rFonts w:ascii="Times New Roman"/>
        </w:rPr>
        <w:t>提取或与加工设施内部或与加工设施之间的运输。</w:t>
      </w:r>
    </w:p>
    <w:p w14:paraId="2A981546">
      <w:pPr>
        <w:pStyle w:val="123"/>
        <w:numPr>
          <w:ilvl w:val="0"/>
          <w:numId w:val="0"/>
        </w:numPr>
        <w:spacing w:before="156" w:after="156"/>
      </w:pPr>
      <w:r>
        <w:rPr>
          <w:rFonts w:hint="eastAsia"/>
        </w:rPr>
        <w:t xml:space="preserve">B.3.2.4  </w:t>
      </w:r>
      <w:r>
        <w:t>生产</w:t>
      </w:r>
    </w:p>
    <w:p w14:paraId="55C69FC2">
      <w:pPr>
        <w:ind w:firstLine="420" w:firstLineChars="200"/>
        <w:rPr>
          <w:szCs w:val="21"/>
        </w:rPr>
      </w:pPr>
      <w:r>
        <w:rPr>
          <w:rFonts w:hAnsi="宋体"/>
          <w:szCs w:val="21"/>
        </w:rPr>
        <w:t>该阶段始于</w:t>
      </w:r>
      <w:r>
        <w:rPr>
          <w:rFonts w:hint="eastAsia"/>
        </w:rPr>
        <w:t>汽车顶棚用软质聚氨酯泡沫塑料原料</w:t>
      </w:r>
      <w:r>
        <w:rPr>
          <w:rFonts w:hAnsi="宋体"/>
          <w:szCs w:val="21"/>
        </w:rPr>
        <w:t>进入生产设施，结束于</w:t>
      </w:r>
      <w:r>
        <w:rPr>
          <w:rFonts w:hint="eastAsia"/>
        </w:rPr>
        <w:t>汽车顶棚用软质聚氨酯泡沫塑料</w:t>
      </w:r>
      <w:r>
        <w:rPr>
          <w:rFonts w:hAnsi="宋体"/>
          <w:szCs w:val="21"/>
        </w:rPr>
        <w:t>产品离开生产设施。生产活动包括物理处理、化学处理、制造、制造过程中半成品的运输、材料组成包装等。</w:t>
      </w:r>
    </w:p>
    <w:p w14:paraId="7B888C82">
      <w:pPr>
        <w:pStyle w:val="123"/>
        <w:numPr>
          <w:ilvl w:val="0"/>
          <w:numId w:val="0"/>
        </w:numPr>
        <w:spacing w:before="156" w:after="156"/>
      </w:pPr>
      <w:r>
        <w:rPr>
          <w:rFonts w:hint="eastAsia"/>
        </w:rPr>
        <w:t xml:space="preserve">B.3.2.5  </w:t>
      </w:r>
      <w:r>
        <w:t>产品运输</w:t>
      </w:r>
    </w:p>
    <w:p w14:paraId="7394637B">
      <w:pPr>
        <w:ind w:firstLine="420" w:firstLineChars="200"/>
        <w:rPr>
          <w:rFonts w:hAnsi="宋体"/>
          <w:color w:val="000000"/>
          <w:szCs w:val="21"/>
        </w:rPr>
      </w:pPr>
      <w:r>
        <w:rPr>
          <w:rFonts w:hAnsi="宋体"/>
          <w:szCs w:val="21"/>
        </w:rPr>
        <w:t>该阶段将</w:t>
      </w:r>
      <w:r>
        <w:rPr>
          <w:rFonts w:hint="eastAsia"/>
        </w:rPr>
        <w:t>汽车顶棚用软质聚氨酯泡沫塑料</w:t>
      </w:r>
      <w:r>
        <w:rPr>
          <w:rFonts w:hAnsi="宋体"/>
          <w:szCs w:val="21"/>
        </w:rPr>
        <w:t>产品分配给各</w:t>
      </w:r>
      <w:r>
        <w:rPr>
          <w:rFonts w:hAnsi="宋体"/>
          <w:color w:val="000000"/>
          <w:szCs w:val="21"/>
        </w:rPr>
        <w:t>地经销商，可沿着供应链将其储存在各点，包括运输车辆的燃料使用等过程。</w:t>
      </w:r>
    </w:p>
    <w:p w14:paraId="552F119B">
      <w:pPr>
        <w:ind w:firstLine="420" w:firstLineChars="200"/>
        <w:rPr>
          <w:color w:val="000000"/>
          <w:szCs w:val="21"/>
        </w:rPr>
      </w:pPr>
      <w:r>
        <w:rPr>
          <w:rFonts w:hint="eastAsia"/>
          <w:color w:val="000000"/>
          <w:szCs w:val="21"/>
        </w:rPr>
        <w:t>应考虑的运输参数包括运输方式、车辆类型、燃料消耗量、运输距离等。</w:t>
      </w:r>
    </w:p>
    <w:p w14:paraId="096D0867">
      <w:pPr>
        <w:pStyle w:val="123"/>
        <w:numPr>
          <w:ilvl w:val="0"/>
          <w:numId w:val="0"/>
        </w:numPr>
        <w:spacing w:before="156" w:after="156"/>
      </w:pPr>
      <w:r>
        <w:rPr>
          <w:rFonts w:hint="eastAsia"/>
        </w:rPr>
        <w:t xml:space="preserve">B.3.2.6  </w:t>
      </w:r>
      <w:r>
        <w:t>物流</w:t>
      </w:r>
    </w:p>
    <w:p w14:paraId="1CB5854F">
      <w:pPr>
        <w:ind w:firstLine="420" w:firstLineChars="200"/>
        <w:rPr>
          <w:color w:val="000000"/>
          <w:szCs w:val="21"/>
        </w:rPr>
      </w:pPr>
      <w:r>
        <w:rPr>
          <w:rFonts w:hAnsi="宋体"/>
          <w:color w:val="000000"/>
          <w:szCs w:val="21"/>
        </w:rPr>
        <w:t>应考虑的运输参数包括运输方式、车辆类型、燃料消耗量、装货速率、回空数量、运输距离、根据负载限制因素的商品运输分配以及燃料用量。</w:t>
      </w:r>
    </w:p>
    <w:p w14:paraId="6E5EAD01">
      <w:pPr>
        <w:pStyle w:val="123"/>
        <w:numPr>
          <w:ilvl w:val="0"/>
          <w:numId w:val="0"/>
        </w:numPr>
        <w:spacing w:before="156" w:after="156"/>
      </w:pPr>
      <w:r>
        <w:rPr>
          <w:rFonts w:hint="eastAsia"/>
        </w:rPr>
        <w:t xml:space="preserve">B.3.2.7  </w:t>
      </w:r>
      <w:r>
        <w:t>用电量计算</w:t>
      </w:r>
    </w:p>
    <w:p w14:paraId="28B104BE">
      <w:pPr>
        <w:ind w:firstLine="420" w:firstLineChars="200"/>
        <w:rPr>
          <w:color w:val="000000"/>
          <w:szCs w:val="21"/>
        </w:rPr>
      </w:pPr>
      <w:r>
        <w:rPr>
          <w:rFonts w:hAnsi="宋体"/>
          <w:color w:val="000000"/>
          <w:szCs w:val="21"/>
        </w:rPr>
        <w:t>对于产品系统边界上游或内部消耗的电力，应使用区域供应商现场数据。</w:t>
      </w:r>
    </w:p>
    <w:p w14:paraId="0A1AE542">
      <w:pPr>
        <w:pStyle w:val="138"/>
        <w:numPr>
          <w:ilvl w:val="0"/>
          <w:numId w:val="0"/>
        </w:numPr>
        <w:spacing w:before="156" w:after="156"/>
      </w:pPr>
      <w:r>
        <w:rPr>
          <w:rFonts w:hint="eastAsia"/>
        </w:rPr>
        <w:t xml:space="preserve">B.3.3  </w:t>
      </w:r>
      <w:r>
        <w:t>数据分配</w:t>
      </w:r>
    </w:p>
    <w:p w14:paraId="129CAE2E">
      <w:pPr>
        <w:ind w:firstLine="420" w:firstLineChars="200"/>
        <w:rPr>
          <w:color w:val="000000"/>
          <w:szCs w:val="21"/>
        </w:rPr>
      </w:pPr>
      <w:r>
        <w:rPr>
          <w:rFonts w:hAnsi="宋体"/>
          <w:szCs w:val="21"/>
        </w:rPr>
        <w:t>在进行</w:t>
      </w:r>
      <w:r>
        <w:rPr>
          <w:rFonts w:hint="eastAsia"/>
        </w:rPr>
        <w:t>汽车顶棚用软质聚氨酯泡沫塑料</w:t>
      </w:r>
      <w:r>
        <w:rPr>
          <w:rFonts w:hAnsi="宋体"/>
          <w:szCs w:val="21"/>
        </w:rPr>
        <w:t>产品生命周期评价的过程中涉及到数据分配问题，特别是</w:t>
      </w:r>
      <w:r>
        <w:rPr>
          <w:rFonts w:hint="eastAsia"/>
        </w:rPr>
        <w:t>汽车顶棚用软质聚氨酯泡沫塑料</w:t>
      </w:r>
      <w:r>
        <w:rPr>
          <w:rFonts w:hAnsi="宋体"/>
          <w:szCs w:val="21"/>
        </w:rPr>
        <w:t>产品的生产环节。由于厂家往往同时生产多种类型的产品，一条流水线上或一个车间里会同时生产多种型号。很难就某单个型号的产品生产收集清单数据，往往会就某个车间、某条流水线收集数据，然后再分配到具体的产品上。针对</w:t>
      </w:r>
      <w:r>
        <w:rPr>
          <w:rFonts w:hint="eastAsia"/>
        </w:rPr>
        <w:t>汽车顶棚用软质聚氨酯泡沫塑料</w:t>
      </w:r>
      <w:r>
        <w:rPr>
          <w:rFonts w:hAnsi="宋体"/>
          <w:szCs w:val="21"/>
        </w:rPr>
        <w:t>生产阶段，</w:t>
      </w:r>
      <w:r>
        <w:rPr>
          <w:rFonts w:hAnsi="宋体"/>
          <w:color w:val="000000"/>
          <w:szCs w:val="21"/>
        </w:rPr>
        <w:t>因为生产的产品主要成分</w:t>
      </w:r>
      <w:r>
        <w:rPr>
          <w:rFonts w:hint="eastAsia" w:hAnsi="宋体"/>
          <w:color w:val="000000"/>
          <w:szCs w:val="21"/>
        </w:rPr>
        <w:t>基本</w:t>
      </w:r>
      <w:r>
        <w:rPr>
          <w:rFonts w:hAnsi="宋体"/>
          <w:color w:val="000000"/>
          <w:szCs w:val="21"/>
        </w:rPr>
        <w:t>一致，所以可以</w:t>
      </w:r>
      <w:r>
        <w:rPr>
          <w:rFonts w:ascii="宋体" w:hAnsi="宋体"/>
          <w:color w:val="000000"/>
          <w:szCs w:val="21"/>
        </w:rPr>
        <w:t>“重量分配”</w:t>
      </w:r>
      <w:r>
        <w:rPr>
          <w:rFonts w:hAnsi="宋体"/>
          <w:color w:val="000000"/>
          <w:szCs w:val="21"/>
        </w:rPr>
        <w:t>作为分摊的比例，即重量越大的产品，其分摊额度就越大。</w:t>
      </w:r>
    </w:p>
    <w:p w14:paraId="0FEB06FD">
      <w:pPr>
        <w:pStyle w:val="138"/>
        <w:numPr>
          <w:ilvl w:val="0"/>
          <w:numId w:val="0"/>
        </w:numPr>
        <w:spacing w:before="156" w:after="156"/>
      </w:pPr>
      <w:r>
        <w:rPr>
          <w:rFonts w:hint="eastAsia"/>
        </w:rPr>
        <w:t xml:space="preserve">B.3.4  </w:t>
      </w:r>
      <w:r>
        <w:t>清单分析</w:t>
      </w:r>
    </w:p>
    <w:p w14:paraId="25F20B80">
      <w:pPr>
        <w:ind w:firstLine="420" w:firstLineChars="200"/>
        <w:rPr>
          <w:rFonts w:hAnsi="宋体"/>
          <w:szCs w:val="21"/>
        </w:rPr>
      </w:pPr>
      <w:r>
        <w:rPr>
          <w:rFonts w:hint="eastAsia" w:hAnsi="宋体"/>
          <w:szCs w:val="21"/>
        </w:rPr>
        <w:t>按表B.1～表B.5对应需要的数据进行填报。对收集的数据进行核实后，利用生命周期评价软件进行数据的分析处理。</w:t>
      </w:r>
    </w:p>
    <w:p w14:paraId="0D28847A">
      <w:pPr>
        <w:pStyle w:val="122"/>
        <w:numPr>
          <w:ilvl w:val="0"/>
          <w:numId w:val="0"/>
        </w:numPr>
        <w:spacing w:before="156" w:after="156"/>
      </w:pPr>
      <w:r>
        <w:rPr>
          <w:rFonts w:hint="eastAsia"/>
        </w:rPr>
        <w:t xml:space="preserve">表B.1  </w:t>
      </w:r>
      <w:r>
        <w:t>原材料成分、用量及运输清单</w:t>
      </w:r>
    </w:p>
    <w:tbl>
      <w:tblPr>
        <w:tblStyle w:val="56"/>
        <w:tblW w:w="0" w:type="auto"/>
        <w:tblInd w:w="114"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45"/>
        <w:gridCol w:w="992"/>
        <w:gridCol w:w="2064"/>
        <w:gridCol w:w="1196"/>
        <w:gridCol w:w="993"/>
        <w:gridCol w:w="1275"/>
        <w:gridCol w:w="1985"/>
      </w:tblGrid>
      <w:tr w14:paraId="121329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5" w:type="dxa"/>
            <w:tcBorders>
              <w:bottom w:val="single" w:color="auto" w:sz="8" w:space="0"/>
            </w:tcBorders>
            <w:vAlign w:val="center"/>
          </w:tcPr>
          <w:p w14:paraId="742EA261">
            <w:pPr>
              <w:widowControl/>
              <w:jc w:val="center"/>
              <w:rPr>
                <w:kern w:val="0"/>
                <w:sz w:val="18"/>
                <w:szCs w:val="18"/>
              </w:rPr>
            </w:pPr>
            <w:r>
              <w:rPr>
                <w:rFonts w:hAnsi="宋体"/>
                <w:kern w:val="0"/>
                <w:sz w:val="18"/>
                <w:szCs w:val="18"/>
              </w:rPr>
              <w:t>原材料</w:t>
            </w:r>
          </w:p>
        </w:tc>
        <w:tc>
          <w:tcPr>
            <w:tcW w:w="992" w:type="dxa"/>
            <w:tcBorders>
              <w:bottom w:val="single" w:color="auto" w:sz="8" w:space="0"/>
            </w:tcBorders>
            <w:vAlign w:val="center"/>
          </w:tcPr>
          <w:p w14:paraId="71999CA8">
            <w:pPr>
              <w:widowControl/>
              <w:jc w:val="center"/>
              <w:rPr>
                <w:kern w:val="0"/>
                <w:sz w:val="18"/>
                <w:szCs w:val="18"/>
              </w:rPr>
            </w:pPr>
            <w:r>
              <w:rPr>
                <w:rFonts w:hAnsi="宋体"/>
                <w:kern w:val="0"/>
                <w:sz w:val="18"/>
                <w:szCs w:val="18"/>
              </w:rPr>
              <w:t>含量</w:t>
            </w:r>
            <w:r>
              <w:rPr>
                <w:kern w:val="0"/>
                <w:sz w:val="18"/>
                <w:szCs w:val="18"/>
              </w:rPr>
              <w:t>/</w:t>
            </w:r>
            <w:r>
              <w:rPr>
                <w:rFonts w:hint="eastAsia"/>
                <w:kern w:val="0"/>
                <w:sz w:val="18"/>
                <w:szCs w:val="18"/>
              </w:rPr>
              <w:t>（</w:t>
            </w:r>
            <w:r>
              <w:rPr>
                <w:kern w:val="0"/>
                <w:sz w:val="18"/>
                <w:szCs w:val="18"/>
              </w:rPr>
              <w:t>%</w:t>
            </w:r>
            <w:r>
              <w:rPr>
                <w:rFonts w:hint="eastAsia"/>
                <w:kern w:val="0"/>
                <w:sz w:val="18"/>
                <w:szCs w:val="18"/>
              </w:rPr>
              <w:t>）</w:t>
            </w:r>
          </w:p>
        </w:tc>
        <w:tc>
          <w:tcPr>
            <w:tcW w:w="2064" w:type="dxa"/>
            <w:tcBorders>
              <w:bottom w:val="single" w:color="auto" w:sz="8" w:space="0"/>
            </w:tcBorders>
            <w:vAlign w:val="center"/>
          </w:tcPr>
          <w:p w14:paraId="3AD3ED40">
            <w:pPr>
              <w:widowControl/>
              <w:jc w:val="center"/>
              <w:rPr>
                <w:kern w:val="0"/>
                <w:sz w:val="18"/>
                <w:szCs w:val="18"/>
              </w:rPr>
            </w:pPr>
            <w:r>
              <w:rPr>
                <w:kern w:val="0"/>
                <w:sz w:val="18"/>
                <w:szCs w:val="18"/>
              </w:rPr>
              <w:t>相应过程功能单位</w:t>
            </w:r>
            <w:r>
              <w:rPr>
                <w:rFonts w:hint="eastAsia"/>
                <w:kern w:val="0"/>
                <w:sz w:val="18"/>
                <w:szCs w:val="18"/>
              </w:rPr>
              <w:t>/</w:t>
            </w:r>
            <w:r>
              <w:rPr>
                <w:kern w:val="0"/>
                <w:sz w:val="18"/>
                <w:szCs w:val="18"/>
              </w:rPr>
              <w:t>10</w:t>
            </w:r>
            <w:r>
              <w:rPr>
                <w:kern w:val="0"/>
                <w:sz w:val="18"/>
                <w:szCs w:val="18"/>
                <w:vertAlign w:val="superscript"/>
              </w:rPr>
              <w:t>4</w:t>
            </w:r>
            <w:r>
              <w:rPr>
                <w:rFonts w:hint="eastAsia"/>
                <w:kern w:val="0"/>
                <w:sz w:val="18"/>
                <w:szCs w:val="18"/>
              </w:rPr>
              <w:t>t</w:t>
            </w:r>
          </w:p>
        </w:tc>
        <w:tc>
          <w:tcPr>
            <w:tcW w:w="1196" w:type="dxa"/>
            <w:tcBorders>
              <w:bottom w:val="single" w:color="auto" w:sz="8" w:space="0"/>
            </w:tcBorders>
            <w:vAlign w:val="center"/>
          </w:tcPr>
          <w:p w14:paraId="12C37568">
            <w:pPr>
              <w:jc w:val="center"/>
              <w:rPr>
                <w:kern w:val="0"/>
                <w:sz w:val="18"/>
                <w:szCs w:val="18"/>
              </w:rPr>
            </w:pPr>
            <w:r>
              <w:rPr>
                <w:rFonts w:hAnsi="宋体"/>
                <w:kern w:val="0"/>
                <w:sz w:val="18"/>
                <w:szCs w:val="18"/>
              </w:rPr>
              <w:t>原材料产地</w:t>
            </w:r>
          </w:p>
        </w:tc>
        <w:tc>
          <w:tcPr>
            <w:tcW w:w="993" w:type="dxa"/>
            <w:tcBorders>
              <w:bottom w:val="single" w:color="auto" w:sz="8" w:space="0"/>
            </w:tcBorders>
            <w:vAlign w:val="center"/>
          </w:tcPr>
          <w:p w14:paraId="53EFCFE9">
            <w:pPr>
              <w:jc w:val="center"/>
              <w:rPr>
                <w:kern w:val="0"/>
                <w:sz w:val="18"/>
                <w:szCs w:val="18"/>
              </w:rPr>
            </w:pPr>
            <w:r>
              <w:rPr>
                <w:rFonts w:hAnsi="宋体"/>
                <w:kern w:val="0"/>
                <w:sz w:val="18"/>
                <w:szCs w:val="18"/>
              </w:rPr>
              <w:t>运输方式</w:t>
            </w:r>
          </w:p>
        </w:tc>
        <w:tc>
          <w:tcPr>
            <w:tcW w:w="1275" w:type="dxa"/>
            <w:tcBorders>
              <w:bottom w:val="single" w:color="auto" w:sz="8" w:space="0"/>
            </w:tcBorders>
            <w:vAlign w:val="center"/>
          </w:tcPr>
          <w:p w14:paraId="1BFFBD02">
            <w:pPr>
              <w:widowControl/>
              <w:jc w:val="center"/>
              <w:rPr>
                <w:kern w:val="0"/>
                <w:sz w:val="18"/>
                <w:szCs w:val="18"/>
              </w:rPr>
            </w:pPr>
            <w:r>
              <w:rPr>
                <w:rFonts w:hAnsi="宋体"/>
                <w:kern w:val="0"/>
                <w:sz w:val="18"/>
                <w:szCs w:val="18"/>
              </w:rPr>
              <w:t>运输距离</w:t>
            </w:r>
            <w:r>
              <w:rPr>
                <w:rFonts w:hint="eastAsia" w:hAnsi="宋体"/>
                <w:kern w:val="0"/>
                <w:sz w:val="18"/>
                <w:szCs w:val="18"/>
              </w:rPr>
              <w:t>/</w:t>
            </w:r>
            <w:r>
              <w:rPr>
                <w:kern w:val="0"/>
                <w:sz w:val="18"/>
                <w:szCs w:val="18"/>
              </w:rPr>
              <w:t>km</w:t>
            </w:r>
          </w:p>
        </w:tc>
        <w:tc>
          <w:tcPr>
            <w:tcW w:w="1985" w:type="dxa"/>
            <w:tcBorders>
              <w:bottom w:val="single" w:color="auto" w:sz="8" w:space="0"/>
            </w:tcBorders>
            <w:vAlign w:val="center"/>
          </w:tcPr>
          <w:p w14:paraId="682F7742">
            <w:pPr>
              <w:widowControl/>
              <w:snapToGrid w:val="0"/>
              <w:jc w:val="center"/>
              <w:rPr>
                <w:rFonts w:hAnsi="宋体"/>
                <w:kern w:val="0"/>
                <w:sz w:val="18"/>
                <w:szCs w:val="18"/>
              </w:rPr>
            </w:pPr>
            <w:r>
              <w:rPr>
                <w:rFonts w:hAnsi="宋体"/>
                <w:kern w:val="0"/>
                <w:sz w:val="18"/>
                <w:szCs w:val="18"/>
              </w:rPr>
              <w:t>单位产品运输距离</w:t>
            </w:r>
          </w:p>
          <w:p w14:paraId="716ED55B">
            <w:pPr>
              <w:widowControl/>
              <w:snapToGrid w:val="0"/>
              <w:jc w:val="center"/>
              <w:rPr>
                <w:kern w:val="0"/>
                <w:sz w:val="18"/>
                <w:szCs w:val="18"/>
              </w:rPr>
            </w:pPr>
            <w:r>
              <w:rPr>
                <w:rFonts w:hAnsi="宋体"/>
                <w:kern w:val="0"/>
                <w:sz w:val="18"/>
                <w:szCs w:val="18"/>
              </w:rPr>
              <w:t>（</w:t>
            </w:r>
            <w:r>
              <w:rPr>
                <w:kern w:val="0"/>
                <w:sz w:val="18"/>
                <w:szCs w:val="18"/>
              </w:rPr>
              <w:t>km/10</w:t>
            </w:r>
            <w:r>
              <w:rPr>
                <w:kern w:val="0"/>
                <w:sz w:val="18"/>
                <w:szCs w:val="18"/>
                <w:vertAlign w:val="superscript"/>
              </w:rPr>
              <w:t>4</w:t>
            </w:r>
            <w:r>
              <w:rPr>
                <w:rFonts w:hint="eastAsia"/>
                <w:kern w:val="0"/>
                <w:sz w:val="18"/>
                <w:szCs w:val="18"/>
              </w:rPr>
              <w:t>t</w:t>
            </w:r>
            <w:r>
              <w:rPr>
                <w:rFonts w:hAnsi="宋体"/>
                <w:kern w:val="0"/>
                <w:sz w:val="18"/>
                <w:szCs w:val="18"/>
              </w:rPr>
              <w:t>）</w:t>
            </w:r>
          </w:p>
        </w:tc>
      </w:tr>
      <w:tr w14:paraId="67EA02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5" w:type="dxa"/>
            <w:tcBorders>
              <w:top w:val="single" w:color="auto" w:sz="8" w:space="0"/>
              <w:bottom w:val="single" w:color="auto" w:sz="4" w:space="0"/>
            </w:tcBorders>
            <w:vAlign w:val="center"/>
          </w:tcPr>
          <w:p w14:paraId="2A5D8CDC">
            <w:pPr>
              <w:widowControl/>
              <w:jc w:val="center"/>
              <w:rPr>
                <w:kern w:val="0"/>
                <w:sz w:val="18"/>
                <w:szCs w:val="18"/>
              </w:rPr>
            </w:pPr>
          </w:p>
        </w:tc>
        <w:tc>
          <w:tcPr>
            <w:tcW w:w="992" w:type="dxa"/>
            <w:tcBorders>
              <w:top w:val="single" w:color="auto" w:sz="8" w:space="0"/>
              <w:bottom w:val="single" w:color="auto" w:sz="4" w:space="0"/>
            </w:tcBorders>
            <w:vAlign w:val="center"/>
          </w:tcPr>
          <w:p w14:paraId="690E1F7E">
            <w:pPr>
              <w:widowControl/>
              <w:jc w:val="center"/>
              <w:rPr>
                <w:kern w:val="0"/>
                <w:sz w:val="18"/>
                <w:szCs w:val="18"/>
              </w:rPr>
            </w:pPr>
          </w:p>
        </w:tc>
        <w:tc>
          <w:tcPr>
            <w:tcW w:w="2064" w:type="dxa"/>
            <w:tcBorders>
              <w:top w:val="single" w:color="auto" w:sz="8" w:space="0"/>
              <w:bottom w:val="single" w:color="auto" w:sz="4" w:space="0"/>
            </w:tcBorders>
            <w:vAlign w:val="center"/>
          </w:tcPr>
          <w:p w14:paraId="5CA9F870">
            <w:pPr>
              <w:widowControl/>
              <w:jc w:val="center"/>
              <w:rPr>
                <w:kern w:val="0"/>
                <w:sz w:val="18"/>
                <w:szCs w:val="18"/>
              </w:rPr>
            </w:pPr>
          </w:p>
        </w:tc>
        <w:tc>
          <w:tcPr>
            <w:tcW w:w="1196" w:type="dxa"/>
            <w:tcBorders>
              <w:top w:val="single" w:color="auto" w:sz="8" w:space="0"/>
              <w:bottom w:val="single" w:color="auto" w:sz="4" w:space="0"/>
            </w:tcBorders>
            <w:vAlign w:val="center"/>
          </w:tcPr>
          <w:p w14:paraId="2EFB9D79">
            <w:pPr>
              <w:widowControl/>
              <w:jc w:val="center"/>
              <w:rPr>
                <w:kern w:val="0"/>
                <w:sz w:val="18"/>
                <w:szCs w:val="18"/>
              </w:rPr>
            </w:pPr>
          </w:p>
        </w:tc>
        <w:tc>
          <w:tcPr>
            <w:tcW w:w="993" w:type="dxa"/>
            <w:tcBorders>
              <w:top w:val="single" w:color="auto" w:sz="8" w:space="0"/>
              <w:bottom w:val="single" w:color="auto" w:sz="4" w:space="0"/>
            </w:tcBorders>
            <w:vAlign w:val="center"/>
          </w:tcPr>
          <w:p w14:paraId="2923A9C3">
            <w:pPr>
              <w:widowControl/>
              <w:jc w:val="center"/>
              <w:rPr>
                <w:kern w:val="0"/>
                <w:sz w:val="18"/>
                <w:szCs w:val="18"/>
              </w:rPr>
            </w:pPr>
          </w:p>
        </w:tc>
        <w:tc>
          <w:tcPr>
            <w:tcW w:w="1275" w:type="dxa"/>
            <w:tcBorders>
              <w:top w:val="single" w:color="auto" w:sz="8" w:space="0"/>
              <w:bottom w:val="single" w:color="auto" w:sz="4" w:space="0"/>
            </w:tcBorders>
            <w:vAlign w:val="center"/>
          </w:tcPr>
          <w:p w14:paraId="720DF1FD">
            <w:pPr>
              <w:widowControl/>
              <w:jc w:val="center"/>
              <w:rPr>
                <w:kern w:val="0"/>
                <w:sz w:val="18"/>
                <w:szCs w:val="18"/>
              </w:rPr>
            </w:pPr>
          </w:p>
        </w:tc>
        <w:tc>
          <w:tcPr>
            <w:tcW w:w="1985" w:type="dxa"/>
            <w:tcBorders>
              <w:top w:val="single" w:color="auto" w:sz="8" w:space="0"/>
              <w:bottom w:val="single" w:color="auto" w:sz="4" w:space="0"/>
            </w:tcBorders>
            <w:vAlign w:val="center"/>
          </w:tcPr>
          <w:p w14:paraId="7E5987F8">
            <w:pPr>
              <w:widowControl/>
              <w:jc w:val="center"/>
              <w:rPr>
                <w:kern w:val="0"/>
                <w:sz w:val="18"/>
                <w:szCs w:val="18"/>
              </w:rPr>
            </w:pPr>
          </w:p>
        </w:tc>
      </w:tr>
      <w:tr w14:paraId="50F880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5" w:type="dxa"/>
            <w:tcBorders>
              <w:top w:val="single" w:color="auto" w:sz="4" w:space="0"/>
              <w:bottom w:val="single" w:color="auto" w:sz="4" w:space="0"/>
            </w:tcBorders>
            <w:vAlign w:val="center"/>
          </w:tcPr>
          <w:p w14:paraId="1CA2E210">
            <w:pPr>
              <w:widowControl/>
              <w:jc w:val="center"/>
              <w:rPr>
                <w:kern w:val="0"/>
                <w:sz w:val="18"/>
                <w:szCs w:val="18"/>
              </w:rPr>
            </w:pPr>
          </w:p>
        </w:tc>
        <w:tc>
          <w:tcPr>
            <w:tcW w:w="992" w:type="dxa"/>
            <w:tcBorders>
              <w:top w:val="single" w:color="auto" w:sz="4" w:space="0"/>
              <w:bottom w:val="single" w:color="auto" w:sz="4" w:space="0"/>
            </w:tcBorders>
            <w:vAlign w:val="center"/>
          </w:tcPr>
          <w:p w14:paraId="65055852">
            <w:pPr>
              <w:widowControl/>
              <w:jc w:val="center"/>
              <w:rPr>
                <w:kern w:val="0"/>
                <w:sz w:val="18"/>
                <w:szCs w:val="18"/>
              </w:rPr>
            </w:pPr>
          </w:p>
        </w:tc>
        <w:tc>
          <w:tcPr>
            <w:tcW w:w="2064" w:type="dxa"/>
            <w:tcBorders>
              <w:top w:val="single" w:color="auto" w:sz="4" w:space="0"/>
              <w:bottom w:val="single" w:color="auto" w:sz="4" w:space="0"/>
            </w:tcBorders>
            <w:vAlign w:val="center"/>
          </w:tcPr>
          <w:p w14:paraId="16E142AF">
            <w:pPr>
              <w:widowControl/>
              <w:jc w:val="center"/>
              <w:rPr>
                <w:kern w:val="0"/>
                <w:sz w:val="18"/>
                <w:szCs w:val="18"/>
              </w:rPr>
            </w:pPr>
          </w:p>
        </w:tc>
        <w:tc>
          <w:tcPr>
            <w:tcW w:w="1196" w:type="dxa"/>
            <w:tcBorders>
              <w:top w:val="single" w:color="auto" w:sz="4" w:space="0"/>
              <w:bottom w:val="single" w:color="auto" w:sz="4" w:space="0"/>
            </w:tcBorders>
            <w:vAlign w:val="center"/>
          </w:tcPr>
          <w:p w14:paraId="2591421B">
            <w:pPr>
              <w:widowControl/>
              <w:jc w:val="center"/>
              <w:rPr>
                <w:kern w:val="0"/>
                <w:sz w:val="18"/>
                <w:szCs w:val="18"/>
              </w:rPr>
            </w:pPr>
          </w:p>
        </w:tc>
        <w:tc>
          <w:tcPr>
            <w:tcW w:w="993" w:type="dxa"/>
            <w:tcBorders>
              <w:top w:val="single" w:color="auto" w:sz="4" w:space="0"/>
              <w:bottom w:val="single" w:color="auto" w:sz="4" w:space="0"/>
            </w:tcBorders>
            <w:vAlign w:val="center"/>
          </w:tcPr>
          <w:p w14:paraId="63F0424F">
            <w:pPr>
              <w:widowControl/>
              <w:jc w:val="center"/>
              <w:rPr>
                <w:kern w:val="0"/>
                <w:sz w:val="18"/>
                <w:szCs w:val="18"/>
              </w:rPr>
            </w:pPr>
          </w:p>
        </w:tc>
        <w:tc>
          <w:tcPr>
            <w:tcW w:w="1275" w:type="dxa"/>
            <w:tcBorders>
              <w:top w:val="single" w:color="auto" w:sz="4" w:space="0"/>
              <w:bottom w:val="single" w:color="auto" w:sz="4" w:space="0"/>
            </w:tcBorders>
            <w:vAlign w:val="center"/>
          </w:tcPr>
          <w:p w14:paraId="01F96CE1">
            <w:pPr>
              <w:widowControl/>
              <w:jc w:val="center"/>
              <w:rPr>
                <w:kern w:val="0"/>
                <w:sz w:val="18"/>
                <w:szCs w:val="18"/>
              </w:rPr>
            </w:pPr>
          </w:p>
        </w:tc>
        <w:tc>
          <w:tcPr>
            <w:tcW w:w="1985" w:type="dxa"/>
            <w:tcBorders>
              <w:top w:val="single" w:color="auto" w:sz="4" w:space="0"/>
              <w:bottom w:val="single" w:color="auto" w:sz="4" w:space="0"/>
            </w:tcBorders>
            <w:vAlign w:val="center"/>
          </w:tcPr>
          <w:p w14:paraId="6714B885">
            <w:pPr>
              <w:widowControl/>
              <w:jc w:val="center"/>
              <w:rPr>
                <w:kern w:val="0"/>
                <w:sz w:val="18"/>
                <w:szCs w:val="18"/>
              </w:rPr>
            </w:pPr>
          </w:p>
        </w:tc>
      </w:tr>
      <w:tr w14:paraId="14FE24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5" w:type="dxa"/>
            <w:tcBorders>
              <w:top w:val="single" w:color="auto" w:sz="4" w:space="0"/>
            </w:tcBorders>
            <w:vAlign w:val="center"/>
          </w:tcPr>
          <w:p w14:paraId="74A6E203">
            <w:pPr>
              <w:widowControl/>
              <w:jc w:val="center"/>
              <w:rPr>
                <w:kern w:val="0"/>
                <w:sz w:val="18"/>
                <w:szCs w:val="18"/>
              </w:rPr>
            </w:pPr>
          </w:p>
        </w:tc>
        <w:tc>
          <w:tcPr>
            <w:tcW w:w="992" w:type="dxa"/>
            <w:tcBorders>
              <w:top w:val="single" w:color="auto" w:sz="4" w:space="0"/>
            </w:tcBorders>
            <w:vAlign w:val="center"/>
          </w:tcPr>
          <w:p w14:paraId="37E4CE69">
            <w:pPr>
              <w:widowControl/>
              <w:jc w:val="center"/>
              <w:rPr>
                <w:kern w:val="0"/>
                <w:sz w:val="18"/>
                <w:szCs w:val="18"/>
              </w:rPr>
            </w:pPr>
          </w:p>
        </w:tc>
        <w:tc>
          <w:tcPr>
            <w:tcW w:w="2064" w:type="dxa"/>
            <w:tcBorders>
              <w:top w:val="single" w:color="auto" w:sz="4" w:space="0"/>
            </w:tcBorders>
            <w:vAlign w:val="center"/>
          </w:tcPr>
          <w:p w14:paraId="66344889">
            <w:pPr>
              <w:widowControl/>
              <w:jc w:val="center"/>
              <w:rPr>
                <w:kern w:val="0"/>
                <w:sz w:val="18"/>
                <w:szCs w:val="18"/>
              </w:rPr>
            </w:pPr>
          </w:p>
        </w:tc>
        <w:tc>
          <w:tcPr>
            <w:tcW w:w="1196" w:type="dxa"/>
            <w:tcBorders>
              <w:top w:val="single" w:color="auto" w:sz="4" w:space="0"/>
            </w:tcBorders>
            <w:vAlign w:val="center"/>
          </w:tcPr>
          <w:p w14:paraId="7D25195F">
            <w:pPr>
              <w:widowControl/>
              <w:jc w:val="center"/>
              <w:rPr>
                <w:kern w:val="0"/>
                <w:sz w:val="18"/>
                <w:szCs w:val="18"/>
              </w:rPr>
            </w:pPr>
          </w:p>
        </w:tc>
        <w:tc>
          <w:tcPr>
            <w:tcW w:w="993" w:type="dxa"/>
            <w:tcBorders>
              <w:top w:val="single" w:color="auto" w:sz="4" w:space="0"/>
            </w:tcBorders>
            <w:vAlign w:val="center"/>
          </w:tcPr>
          <w:p w14:paraId="3C7F04C5">
            <w:pPr>
              <w:widowControl/>
              <w:jc w:val="center"/>
              <w:rPr>
                <w:kern w:val="0"/>
                <w:sz w:val="18"/>
                <w:szCs w:val="18"/>
              </w:rPr>
            </w:pPr>
          </w:p>
        </w:tc>
        <w:tc>
          <w:tcPr>
            <w:tcW w:w="1275" w:type="dxa"/>
            <w:tcBorders>
              <w:top w:val="single" w:color="auto" w:sz="4" w:space="0"/>
            </w:tcBorders>
            <w:vAlign w:val="center"/>
          </w:tcPr>
          <w:p w14:paraId="1C11E344">
            <w:pPr>
              <w:widowControl/>
              <w:jc w:val="center"/>
              <w:rPr>
                <w:kern w:val="0"/>
                <w:sz w:val="18"/>
                <w:szCs w:val="18"/>
              </w:rPr>
            </w:pPr>
          </w:p>
        </w:tc>
        <w:tc>
          <w:tcPr>
            <w:tcW w:w="1985" w:type="dxa"/>
            <w:tcBorders>
              <w:top w:val="single" w:color="auto" w:sz="4" w:space="0"/>
            </w:tcBorders>
            <w:vAlign w:val="center"/>
          </w:tcPr>
          <w:p w14:paraId="6D7A252B">
            <w:pPr>
              <w:widowControl/>
              <w:jc w:val="center"/>
              <w:rPr>
                <w:kern w:val="0"/>
                <w:sz w:val="18"/>
                <w:szCs w:val="18"/>
              </w:rPr>
            </w:pPr>
          </w:p>
        </w:tc>
      </w:tr>
    </w:tbl>
    <w:p w14:paraId="684E2F51">
      <w:pPr>
        <w:pStyle w:val="122"/>
        <w:numPr>
          <w:ilvl w:val="0"/>
          <w:numId w:val="0"/>
        </w:numPr>
        <w:spacing w:before="156" w:after="156"/>
      </w:pPr>
      <w:r>
        <w:rPr>
          <w:rFonts w:hint="eastAsia"/>
        </w:rPr>
        <w:t>表B.2  生产过程能耗</w:t>
      </w:r>
    </w:p>
    <w:tbl>
      <w:tblPr>
        <w:tblStyle w:val="56"/>
        <w:tblW w:w="0" w:type="auto"/>
        <w:tblInd w:w="114"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2410"/>
        <w:gridCol w:w="2693"/>
        <w:gridCol w:w="2552"/>
      </w:tblGrid>
      <w:tr w14:paraId="533BFC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95" w:type="dxa"/>
            <w:tcBorders>
              <w:top w:val="single" w:color="auto" w:sz="8" w:space="0"/>
              <w:left w:val="single" w:color="auto" w:sz="8" w:space="0"/>
              <w:bottom w:val="single" w:color="auto" w:sz="8" w:space="0"/>
            </w:tcBorders>
            <w:vAlign w:val="center"/>
          </w:tcPr>
          <w:p w14:paraId="1B3108FF">
            <w:pPr>
              <w:widowControl/>
              <w:jc w:val="center"/>
              <w:rPr>
                <w:kern w:val="0"/>
                <w:sz w:val="18"/>
                <w:szCs w:val="18"/>
              </w:rPr>
            </w:pPr>
            <w:r>
              <w:rPr>
                <w:kern w:val="0"/>
                <w:sz w:val="18"/>
                <w:szCs w:val="18"/>
              </w:rPr>
              <w:t>能耗种类</w:t>
            </w:r>
          </w:p>
        </w:tc>
        <w:tc>
          <w:tcPr>
            <w:tcW w:w="2410" w:type="dxa"/>
            <w:tcBorders>
              <w:top w:val="single" w:color="auto" w:sz="8" w:space="0"/>
              <w:bottom w:val="single" w:color="auto" w:sz="8" w:space="0"/>
            </w:tcBorders>
            <w:vAlign w:val="center"/>
          </w:tcPr>
          <w:p w14:paraId="1EC84B9B">
            <w:pPr>
              <w:widowControl/>
              <w:jc w:val="center"/>
              <w:rPr>
                <w:kern w:val="0"/>
                <w:sz w:val="18"/>
                <w:szCs w:val="18"/>
              </w:rPr>
            </w:pPr>
            <w:r>
              <w:rPr>
                <w:kern w:val="0"/>
                <w:sz w:val="18"/>
                <w:szCs w:val="18"/>
              </w:rPr>
              <w:t>单位</w:t>
            </w:r>
          </w:p>
        </w:tc>
        <w:tc>
          <w:tcPr>
            <w:tcW w:w="2693" w:type="dxa"/>
            <w:tcBorders>
              <w:top w:val="single" w:color="auto" w:sz="8" w:space="0"/>
              <w:bottom w:val="single" w:color="auto" w:sz="8" w:space="0"/>
            </w:tcBorders>
            <w:vAlign w:val="center"/>
          </w:tcPr>
          <w:p w14:paraId="08EBF918">
            <w:pPr>
              <w:jc w:val="center"/>
              <w:rPr>
                <w:kern w:val="0"/>
                <w:sz w:val="18"/>
                <w:szCs w:val="18"/>
              </w:rPr>
            </w:pPr>
            <w:r>
              <w:rPr>
                <w:kern w:val="0"/>
                <w:sz w:val="18"/>
                <w:szCs w:val="18"/>
              </w:rPr>
              <w:t>生产过程总消耗量</w:t>
            </w:r>
          </w:p>
        </w:tc>
        <w:tc>
          <w:tcPr>
            <w:tcW w:w="2552" w:type="dxa"/>
            <w:tcBorders>
              <w:top w:val="single" w:color="auto" w:sz="8" w:space="0"/>
              <w:bottom w:val="single" w:color="auto" w:sz="8" w:space="0"/>
              <w:right w:val="single" w:color="auto" w:sz="8" w:space="0"/>
            </w:tcBorders>
            <w:vAlign w:val="center"/>
          </w:tcPr>
          <w:p w14:paraId="40957F77">
            <w:pPr>
              <w:widowControl/>
              <w:jc w:val="center"/>
              <w:rPr>
                <w:kern w:val="0"/>
                <w:sz w:val="18"/>
                <w:szCs w:val="18"/>
              </w:rPr>
            </w:pPr>
            <w:r>
              <w:rPr>
                <w:kern w:val="0"/>
                <w:sz w:val="18"/>
                <w:szCs w:val="18"/>
              </w:rPr>
              <w:t>单次使用产品消耗量</w:t>
            </w:r>
          </w:p>
        </w:tc>
      </w:tr>
      <w:tr w14:paraId="6EE754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95" w:type="dxa"/>
            <w:tcBorders>
              <w:top w:val="single" w:color="auto" w:sz="8" w:space="0"/>
              <w:left w:val="single" w:color="auto" w:sz="8" w:space="0"/>
              <w:bottom w:val="single" w:color="auto" w:sz="4" w:space="0"/>
            </w:tcBorders>
            <w:vAlign w:val="center"/>
          </w:tcPr>
          <w:p w14:paraId="6C26B529">
            <w:pPr>
              <w:widowControl/>
              <w:jc w:val="center"/>
              <w:rPr>
                <w:kern w:val="0"/>
                <w:sz w:val="18"/>
                <w:szCs w:val="18"/>
              </w:rPr>
            </w:pPr>
            <w:r>
              <w:rPr>
                <w:kern w:val="0"/>
                <w:sz w:val="18"/>
                <w:szCs w:val="18"/>
              </w:rPr>
              <w:t>电</w:t>
            </w:r>
            <w:r>
              <w:rPr>
                <w:rFonts w:hint="eastAsia"/>
                <w:kern w:val="0"/>
                <w:sz w:val="18"/>
                <w:szCs w:val="18"/>
              </w:rPr>
              <w:t xml:space="preserve">  </w:t>
            </w:r>
            <w:r>
              <w:rPr>
                <w:kern w:val="0"/>
                <w:sz w:val="18"/>
                <w:szCs w:val="18"/>
              </w:rPr>
              <w:t>耗</w:t>
            </w:r>
          </w:p>
        </w:tc>
        <w:tc>
          <w:tcPr>
            <w:tcW w:w="2410" w:type="dxa"/>
            <w:tcBorders>
              <w:top w:val="single" w:color="auto" w:sz="8" w:space="0"/>
              <w:bottom w:val="single" w:color="auto" w:sz="4" w:space="0"/>
            </w:tcBorders>
            <w:vAlign w:val="center"/>
          </w:tcPr>
          <w:p w14:paraId="4F850D74">
            <w:pPr>
              <w:widowControl/>
              <w:jc w:val="center"/>
              <w:rPr>
                <w:kern w:val="0"/>
                <w:sz w:val="18"/>
                <w:szCs w:val="18"/>
              </w:rPr>
            </w:pPr>
            <w:r>
              <w:rPr>
                <w:kern w:val="0"/>
                <w:sz w:val="18"/>
                <w:szCs w:val="18"/>
              </w:rPr>
              <w:t>千瓦时</w:t>
            </w:r>
            <w:r>
              <w:rPr>
                <w:rFonts w:hint="eastAsia"/>
                <w:kern w:val="0"/>
                <w:sz w:val="18"/>
                <w:szCs w:val="18"/>
              </w:rPr>
              <w:t>/</w:t>
            </w:r>
            <w:r>
              <w:rPr>
                <w:kern w:val="0"/>
                <w:sz w:val="18"/>
                <w:szCs w:val="18"/>
              </w:rPr>
              <w:t>kW·h</w:t>
            </w:r>
          </w:p>
        </w:tc>
        <w:tc>
          <w:tcPr>
            <w:tcW w:w="2693" w:type="dxa"/>
            <w:tcBorders>
              <w:top w:val="single" w:color="auto" w:sz="8" w:space="0"/>
              <w:bottom w:val="single" w:color="auto" w:sz="4" w:space="0"/>
            </w:tcBorders>
            <w:vAlign w:val="center"/>
          </w:tcPr>
          <w:p w14:paraId="6499B824">
            <w:pPr>
              <w:widowControl/>
              <w:jc w:val="center"/>
              <w:rPr>
                <w:kern w:val="0"/>
                <w:sz w:val="18"/>
                <w:szCs w:val="18"/>
              </w:rPr>
            </w:pPr>
          </w:p>
        </w:tc>
        <w:tc>
          <w:tcPr>
            <w:tcW w:w="2552" w:type="dxa"/>
            <w:tcBorders>
              <w:top w:val="single" w:color="auto" w:sz="8" w:space="0"/>
              <w:bottom w:val="single" w:color="auto" w:sz="4" w:space="0"/>
              <w:right w:val="single" w:color="auto" w:sz="8" w:space="0"/>
            </w:tcBorders>
            <w:vAlign w:val="center"/>
          </w:tcPr>
          <w:p w14:paraId="06BAB30A">
            <w:pPr>
              <w:widowControl/>
              <w:jc w:val="center"/>
              <w:rPr>
                <w:kern w:val="0"/>
                <w:sz w:val="18"/>
                <w:szCs w:val="18"/>
              </w:rPr>
            </w:pPr>
          </w:p>
        </w:tc>
      </w:tr>
      <w:tr w14:paraId="7F77B0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95" w:type="dxa"/>
            <w:tcBorders>
              <w:top w:val="single" w:color="auto" w:sz="4" w:space="0"/>
              <w:left w:val="single" w:color="auto" w:sz="8" w:space="0"/>
              <w:bottom w:val="single" w:color="auto" w:sz="4" w:space="0"/>
            </w:tcBorders>
            <w:vAlign w:val="center"/>
          </w:tcPr>
          <w:p w14:paraId="2CDB18BC">
            <w:pPr>
              <w:widowControl/>
              <w:jc w:val="center"/>
              <w:rPr>
                <w:kern w:val="0"/>
                <w:sz w:val="18"/>
                <w:szCs w:val="18"/>
              </w:rPr>
            </w:pPr>
            <w:r>
              <w:rPr>
                <w:kern w:val="0"/>
                <w:sz w:val="18"/>
                <w:szCs w:val="18"/>
              </w:rPr>
              <w:t>水</w:t>
            </w:r>
          </w:p>
        </w:tc>
        <w:tc>
          <w:tcPr>
            <w:tcW w:w="2410" w:type="dxa"/>
            <w:tcBorders>
              <w:top w:val="single" w:color="auto" w:sz="4" w:space="0"/>
              <w:bottom w:val="single" w:color="auto" w:sz="4" w:space="0"/>
            </w:tcBorders>
            <w:vAlign w:val="center"/>
          </w:tcPr>
          <w:p w14:paraId="7BF8966A">
            <w:pPr>
              <w:widowControl/>
              <w:jc w:val="center"/>
              <w:rPr>
                <w:kern w:val="0"/>
                <w:sz w:val="18"/>
                <w:szCs w:val="18"/>
              </w:rPr>
            </w:pPr>
            <w:r>
              <w:rPr>
                <w:kern w:val="0"/>
                <w:sz w:val="18"/>
                <w:szCs w:val="18"/>
              </w:rPr>
              <w:t>吨</w:t>
            </w:r>
            <w:r>
              <w:rPr>
                <w:rFonts w:hint="eastAsia"/>
                <w:kern w:val="0"/>
                <w:sz w:val="18"/>
                <w:szCs w:val="18"/>
              </w:rPr>
              <w:t>/</w:t>
            </w:r>
            <w:r>
              <w:rPr>
                <w:kern w:val="0"/>
                <w:sz w:val="18"/>
                <w:szCs w:val="18"/>
              </w:rPr>
              <w:t>t</w:t>
            </w:r>
          </w:p>
        </w:tc>
        <w:tc>
          <w:tcPr>
            <w:tcW w:w="2693" w:type="dxa"/>
            <w:tcBorders>
              <w:top w:val="single" w:color="auto" w:sz="4" w:space="0"/>
              <w:bottom w:val="single" w:color="auto" w:sz="4" w:space="0"/>
            </w:tcBorders>
            <w:vAlign w:val="center"/>
          </w:tcPr>
          <w:p w14:paraId="792AECF6">
            <w:pPr>
              <w:widowControl/>
              <w:jc w:val="center"/>
              <w:rPr>
                <w:kern w:val="0"/>
                <w:sz w:val="18"/>
                <w:szCs w:val="18"/>
              </w:rPr>
            </w:pPr>
          </w:p>
        </w:tc>
        <w:tc>
          <w:tcPr>
            <w:tcW w:w="2552" w:type="dxa"/>
            <w:tcBorders>
              <w:top w:val="single" w:color="auto" w:sz="4" w:space="0"/>
              <w:bottom w:val="single" w:color="auto" w:sz="4" w:space="0"/>
              <w:right w:val="single" w:color="auto" w:sz="8" w:space="0"/>
            </w:tcBorders>
            <w:vAlign w:val="center"/>
          </w:tcPr>
          <w:p w14:paraId="47AB3261">
            <w:pPr>
              <w:widowControl/>
              <w:jc w:val="center"/>
              <w:rPr>
                <w:kern w:val="0"/>
                <w:sz w:val="18"/>
                <w:szCs w:val="18"/>
              </w:rPr>
            </w:pPr>
          </w:p>
        </w:tc>
      </w:tr>
      <w:tr w14:paraId="54D132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95" w:type="dxa"/>
            <w:tcBorders>
              <w:top w:val="single" w:color="auto" w:sz="4" w:space="0"/>
              <w:left w:val="single" w:color="auto" w:sz="8" w:space="0"/>
              <w:bottom w:val="single" w:color="auto" w:sz="4" w:space="0"/>
            </w:tcBorders>
            <w:vAlign w:val="center"/>
          </w:tcPr>
          <w:p w14:paraId="161535F0">
            <w:pPr>
              <w:widowControl/>
              <w:jc w:val="center"/>
              <w:rPr>
                <w:kern w:val="0"/>
                <w:sz w:val="18"/>
                <w:szCs w:val="18"/>
              </w:rPr>
            </w:pPr>
            <w:r>
              <w:rPr>
                <w:kern w:val="0"/>
                <w:sz w:val="18"/>
                <w:szCs w:val="18"/>
              </w:rPr>
              <w:t>煤</w:t>
            </w:r>
            <w:r>
              <w:rPr>
                <w:rFonts w:hint="eastAsia"/>
                <w:kern w:val="0"/>
                <w:sz w:val="18"/>
                <w:szCs w:val="18"/>
              </w:rPr>
              <w:t xml:space="preserve">  </w:t>
            </w:r>
            <w:r>
              <w:rPr>
                <w:kern w:val="0"/>
                <w:sz w:val="18"/>
                <w:szCs w:val="18"/>
              </w:rPr>
              <w:t>耗</w:t>
            </w:r>
          </w:p>
        </w:tc>
        <w:tc>
          <w:tcPr>
            <w:tcW w:w="2410" w:type="dxa"/>
            <w:tcBorders>
              <w:top w:val="single" w:color="auto" w:sz="4" w:space="0"/>
              <w:bottom w:val="single" w:color="auto" w:sz="4" w:space="0"/>
            </w:tcBorders>
            <w:vAlign w:val="center"/>
          </w:tcPr>
          <w:p w14:paraId="3FAAC6E9">
            <w:pPr>
              <w:widowControl/>
              <w:jc w:val="center"/>
              <w:rPr>
                <w:kern w:val="0"/>
                <w:sz w:val="18"/>
                <w:szCs w:val="18"/>
              </w:rPr>
            </w:pPr>
            <w:r>
              <w:rPr>
                <w:kern w:val="0"/>
                <w:sz w:val="18"/>
                <w:szCs w:val="18"/>
              </w:rPr>
              <w:t>兆焦</w:t>
            </w:r>
            <w:r>
              <w:rPr>
                <w:rFonts w:hint="eastAsia"/>
                <w:kern w:val="0"/>
                <w:sz w:val="18"/>
                <w:szCs w:val="18"/>
              </w:rPr>
              <w:t>/</w:t>
            </w:r>
            <w:r>
              <w:rPr>
                <w:kern w:val="0"/>
                <w:sz w:val="18"/>
                <w:szCs w:val="18"/>
              </w:rPr>
              <w:t>MJ</w:t>
            </w:r>
          </w:p>
        </w:tc>
        <w:tc>
          <w:tcPr>
            <w:tcW w:w="2693" w:type="dxa"/>
            <w:tcBorders>
              <w:top w:val="single" w:color="auto" w:sz="4" w:space="0"/>
              <w:bottom w:val="single" w:color="auto" w:sz="4" w:space="0"/>
            </w:tcBorders>
            <w:vAlign w:val="center"/>
          </w:tcPr>
          <w:p w14:paraId="5266F94A">
            <w:pPr>
              <w:widowControl/>
              <w:jc w:val="center"/>
              <w:rPr>
                <w:kern w:val="0"/>
                <w:sz w:val="18"/>
                <w:szCs w:val="18"/>
              </w:rPr>
            </w:pPr>
          </w:p>
        </w:tc>
        <w:tc>
          <w:tcPr>
            <w:tcW w:w="2552" w:type="dxa"/>
            <w:tcBorders>
              <w:top w:val="single" w:color="auto" w:sz="4" w:space="0"/>
              <w:bottom w:val="single" w:color="auto" w:sz="4" w:space="0"/>
              <w:right w:val="single" w:color="auto" w:sz="8" w:space="0"/>
            </w:tcBorders>
            <w:vAlign w:val="center"/>
          </w:tcPr>
          <w:p w14:paraId="3D087EBF">
            <w:pPr>
              <w:widowControl/>
              <w:jc w:val="center"/>
              <w:rPr>
                <w:kern w:val="0"/>
                <w:sz w:val="18"/>
                <w:szCs w:val="18"/>
              </w:rPr>
            </w:pPr>
          </w:p>
        </w:tc>
      </w:tr>
      <w:tr w14:paraId="61FEE1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95" w:type="dxa"/>
            <w:tcBorders>
              <w:top w:val="single" w:color="auto" w:sz="4" w:space="0"/>
              <w:left w:val="single" w:color="auto" w:sz="8" w:space="0"/>
              <w:bottom w:val="single" w:color="auto" w:sz="8" w:space="0"/>
            </w:tcBorders>
            <w:vAlign w:val="center"/>
          </w:tcPr>
          <w:p w14:paraId="255B4DAA">
            <w:pPr>
              <w:widowControl/>
              <w:jc w:val="center"/>
              <w:rPr>
                <w:kern w:val="0"/>
                <w:sz w:val="18"/>
                <w:szCs w:val="18"/>
              </w:rPr>
            </w:pPr>
            <w:r>
              <w:rPr>
                <w:kern w:val="0"/>
                <w:sz w:val="18"/>
                <w:szCs w:val="18"/>
              </w:rPr>
              <w:t>蒸</w:t>
            </w:r>
            <w:r>
              <w:rPr>
                <w:rFonts w:hint="eastAsia"/>
                <w:kern w:val="0"/>
                <w:sz w:val="18"/>
                <w:szCs w:val="18"/>
              </w:rPr>
              <w:t xml:space="preserve">  </w:t>
            </w:r>
            <w:r>
              <w:rPr>
                <w:kern w:val="0"/>
                <w:sz w:val="18"/>
                <w:szCs w:val="18"/>
              </w:rPr>
              <w:t>汽</w:t>
            </w:r>
          </w:p>
        </w:tc>
        <w:tc>
          <w:tcPr>
            <w:tcW w:w="2410" w:type="dxa"/>
            <w:tcBorders>
              <w:top w:val="single" w:color="auto" w:sz="4" w:space="0"/>
              <w:bottom w:val="single" w:color="auto" w:sz="8" w:space="0"/>
            </w:tcBorders>
            <w:vAlign w:val="center"/>
          </w:tcPr>
          <w:p w14:paraId="21073B34">
            <w:pPr>
              <w:widowControl/>
              <w:jc w:val="center"/>
              <w:rPr>
                <w:kern w:val="0"/>
                <w:sz w:val="18"/>
                <w:szCs w:val="18"/>
              </w:rPr>
            </w:pPr>
            <w:r>
              <w:rPr>
                <w:kern w:val="0"/>
                <w:sz w:val="18"/>
                <w:szCs w:val="18"/>
              </w:rPr>
              <w:t>立方米</w:t>
            </w:r>
            <w:r>
              <w:rPr>
                <w:rFonts w:hint="eastAsia"/>
                <w:kern w:val="0"/>
                <w:sz w:val="18"/>
                <w:szCs w:val="18"/>
              </w:rPr>
              <w:t>/</w:t>
            </w:r>
            <w:r>
              <w:rPr>
                <w:kern w:val="0"/>
                <w:sz w:val="18"/>
                <w:szCs w:val="18"/>
              </w:rPr>
              <w:t>m³</w:t>
            </w:r>
          </w:p>
        </w:tc>
        <w:tc>
          <w:tcPr>
            <w:tcW w:w="2693" w:type="dxa"/>
            <w:tcBorders>
              <w:top w:val="single" w:color="auto" w:sz="4" w:space="0"/>
              <w:bottom w:val="single" w:color="auto" w:sz="8" w:space="0"/>
            </w:tcBorders>
            <w:vAlign w:val="center"/>
          </w:tcPr>
          <w:p w14:paraId="710769EB">
            <w:pPr>
              <w:widowControl/>
              <w:jc w:val="center"/>
              <w:rPr>
                <w:kern w:val="0"/>
                <w:sz w:val="18"/>
                <w:szCs w:val="18"/>
              </w:rPr>
            </w:pPr>
          </w:p>
        </w:tc>
        <w:tc>
          <w:tcPr>
            <w:tcW w:w="2552" w:type="dxa"/>
            <w:tcBorders>
              <w:top w:val="single" w:color="auto" w:sz="4" w:space="0"/>
              <w:bottom w:val="single" w:color="auto" w:sz="8" w:space="0"/>
              <w:right w:val="single" w:color="auto" w:sz="8" w:space="0"/>
            </w:tcBorders>
            <w:vAlign w:val="center"/>
          </w:tcPr>
          <w:p w14:paraId="3C578614">
            <w:pPr>
              <w:widowControl/>
              <w:jc w:val="center"/>
              <w:rPr>
                <w:kern w:val="0"/>
                <w:sz w:val="18"/>
                <w:szCs w:val="18"/>
              </w:rPr>
            </w:pPr>
          </w:p>
        </w:tc>
      </w:tr>
    </w:tbl>
    <w:p w14:paraId="4F5513E5">
      <w:pPr>
        <w:pStyle w:val="122"/>
        <w:numPr>
          <w:ilvl w:val="0"/>
          <w:numId w:val="0"/>
        </w:numPr>
        <w:spacing w:before="156" w:after="156"/>
      </w:pPr>
      <w:r>
        <w:rPr>
          <w:rFonts w:hint="eastAsia"/>
        </w:rPr>
        <w:t xml:space="preserve">表B.3  </w:t>
      </w:r>
      <w:r>
        <w:t>包装材料清单</w:t>
      </w:r>
    </w:p>
    <w:tbl>
      <w:tblPr>
        <w:tblStyle w:val="56"/>
        <w:tblW w:w="0" w:type="auto"/>
        <w:tblInd w:w="114"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121"/>
        <w:gridCol w:w="3685"/>
        <w:gridCol w:w="3544"/>
      </w:tblGrid>
      <w:tr w14:paraId="0E75CE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2121" w:type="dxa"/>
            <w:tcBorders>
              <w:top w:val="single" w:color="auto" w:sz="8" w:space="0"/>
              <w:left w:val="single" w:color="auto" w:sz="8" w:space="0"/>
              <w:bottom w:val="single" w:color="auto" w:sz="8" w:space="0"/>
            </w:tcBorders>
            <w:vAlign w:val="center"/>
          </w:tcPr>
          <w:p w14:paraId="0696FF69">
            <w:pPr>
              <w:widowControl/>
              <w:jc w:val="center"/>
              <w:rPr>
                <w:kern w:val="0"/>
                <w:sz w:val="18"/>
                <w:szCs w:val="18"/>
              </w:rPr>
            </w:pPr>
            <w:r>
              <w:rPr>
                <w:rFonts w:hAnsi="宋体"/>
                <w:kern w:val="0"/>
                <w:sz w:val="18"/>
                <w:szCs w:val="18"/>
              </w:rPr>
              <w:t>材</w:t>
            </w:r>
            <w:r>
              <w:rPr>
                <w:rFonts w:hint="eastAsia" w:hAnsi="宋体"/>
                <w:kern w:val="0"/>
                <w:sz w:val="18"/>
                <w:szCs w:val="18"/>
              </w:rPr>
              <w:t xml:space="preserve">  </w:t>
            </w:r>
            <w:r>
              <w:rPr>
                <w:rFonts w:hAnsi="宋体"/>
                <w:kern w:val="0"/>
                <w:sz w:val="18"/>
                <w:szCs w:val="18"/>
              </w:rPr>
              <w:t>料</w:t>
            </w:r>
          </w:p>
        </w:tc>
        <w:tc>
          <w:tcPr>
            <w:tcW w:w="3685" w:type="dxa"/>
            <w:tcBorders>
              <w:top w:val="single" w:color="auto" w:sz="8" w:space="0"/>
              <w:bottom w:val="single" w:color="auto" w:sz="8" w:space="0"/>
            </w:tcBorders>
            <w:vAlign w:val="center"/>
          </w:tcPr>
          <w:p w14:paraId="338B14B0">
            <w:pPr>
              <w:jc w:val="center"/>
              <w:rPr>
                <w:kern w:val="0"/>
                <w:sz w:val="18"/>
                <w:szCs w:val="18"/>
              </w:rPr>
            </w:pPr>
            <w:r>
              <w:rPr>
                <w:rFonts w:hAnsi="宋体"/>
                <w:kern w:val="0"/>
                <w:sz w:val="18"/>
                <w:szCs w:val="18"/>
              </w:rPr>
              <w:t>单位产品用量</w:t>
            </w:r>
            <w:r>
              <w:rPr>
                <w:kern w:val="0"/>
                <w:sz w:val="18"/>
                <w:szCs w:val="18"/>
              </w:rPr>
              <w:t>/10</w:t>
            </w:r>
            <w:r>
              <w:rPr>
                <w:kern w:val="0"/>
                <w:sz w:val="18"/>
                <w:szCs w:val="18"/>
                <w:vertAlign w:val="superscript"/>
              </w:rPr>
              <w:t>4</w:t>
            </w:r>
            <w:r>
              <w:rPr>
                <w:rFonts w:hint="eastAsia"/>
                <w:kern w:val="0"/>
                <w:sz w:val="18"/>
                <w:szCs w:val="18"/>
              </w:rPr>
              <w:t>t</w:t>
            </w:r>
          </w:p>
        </w:tc>
        <w:tc>
          <w:tcPr>
            <w:tcW w:w="3544" w:type="dxa"/>
            <w:tcBorders>
              <w:top w:val="single" w:color="auto" w:sz="8" w:space="0"/>
              <w:bottom w:val="single" w:color="auto" w:sz="8" w:space="0"/>
              <w:right w:val="single" w:color="auto" w:sz="8" w:space="0"/>
            </w:tcBorders>
            <w:vAlign w:val="center"/>
          </w:tcPr>
          <w:p w14:paraId="7CF2F1EA">
            <w:pPr>
              <w:widowControl/>
              <w:jc w:val="center"/>
              <w:rPr>
                <w:kern w:val="0"/>
                <w:sz w:val="18"/>
                <w:szCs w:val="18"/>
              </w:rPr>
            </w:pPr>
            <w:r>
              <w:rPr>
                <w:rFonts w:hAnsi="宋体"/>
                <w:kern w:val="0"/>
                <w:sz w:val="18"/>
                <w:szCs w:val="18"/>
              </w:rPr>
              <w:t>单次使用产品消耗量</w:t>
            </w:r>
            <w:r>
              <w:rPr>
                <w:kern w:val="0"/>
                <w:sz w:val="18"/>
                <w:szCs w:val="18"/>
              </w:rPr>
              <w:t>/10</w:t>
            </w:r>
            <w:r>
              <w:rPr>
                <w:kern w:val="0"/>
                <w:sz w:val="18"/>
                <w:szCs w:val="18"/>
                <w:vertAlign w:val="superscript"/>
              </w:rPr>
              <w:t>4</w:t>
            </w:r>
            <w:r>
              <w:rPr>
                <w:rFonts w:hint="eastAsia"/>
                <w:kern w:val="0"/>
                <w:sz w:val="18"/>
                <w:szCs w:val="18"/>
              </w:rPr>
              <w:t>t</w:t>
            </w:r>
          </w:p>
        </w:tc>
      </w:tr>
      <w:tr w14:paraId="576D56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2121" w:type="dxa"/>
            <w:tcBorders>
              <w:top w:val="single" w:color="auto" w:sz="8" w:space="0"/>
              <w:left w:val="single" w:color="auto" w:sz="8" w:space="0"/>
              <w:bottom w:val="single" w:color="auto" w:sz="4" w:space="0"/>
            </w:tcBorders>
            <w:vAlign w:val="center"/>
          </w:tcPr>
          <w:p w14:paraId="7FC54EC7">
            <w:pPr>
              <w:widowControl/>
              <w:jc w:val="center"/>
              <w:rPr>
                <w:kern w:val="0"/>
                <w:sz w:val="18"/>
                <w:szCs w:val="18"/>
              </w:rPr>
            </w:pPr>
            <w:r>
              <w:rPr>
                <w:rFonts w:hAnsi="宋体"/>
                <w:kern w:val="0"/>
                <w:sz w:val="18"/>
                <w:szCs w:val="18"/>
              </w:rPr>
              <w:t>瓦楞纸</w:t>
            </w:r>
          </w:p>
        </w:tc>
        <w:tc>
          <w:tcPr>
            <w:tcW w:w="3685" w:type="dxa"/>
            <w:tcBorders>
              <w:top w:val="single" w:color="auto" w:sz="8" w:space="0"/>
              <w:bottom w:val="single" w:color="auto" w:sz="4" w:space="0"/>
            </w:tcBorders>
            <w:vAlign w:val="center"/>
          </w:tcPr>
          <w:p w14:paraId="53399ED8">
            <w:pPr>
              <w:widowControl/>
              <w:jc w:val="center"/>
              <w:rPr>
                <w:kern w:val="0"/>
                <w:sz w:val="18"/>
                <w:szCs w:val="18"/>
              </w:rPr>
            </w:pPr>
          </w:p>
        </w:tc>
        <w:tc>
          <w:tcPr>
            <w:tcW w:w="3544" w:type="dxa"/>
            <w:tcBorders>
              <w:top w:val="single" w:color="auto" w:sz="8" w:space="0"/>
              <w:bottom w:val="single" w:color="auto" w:sz="4" w:space="0"/>
              <w:right w:val="single" w:color="auto" w:sz="8" w:space="0"/>
            </w:tcBorders>
            <w:vAlign w:val="center"/>
          </w:tcPr>
          <w:p w14:paraId="05FAB654">
            <w:pPr>
              <w:widowControl/>
              <w:jc w:val="center"/>
              <w:rPr>
                <w:kern w:val="0"/>
                <w:sz w:val="18"/>
                <w:szCs w:val="18"/>
              </w:rPr>
            </w:pPr>
          </w:p>
        </w:tc>
      </w:tr>
      <w:tr w14:paraId="353440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2121" w:type="dxa"/>
            <w:tcBorders>
              <w:top w:val="single" w:color="auto" w:sz="4" w:space="0"/>
              <w:left w:val="single" w:color="auto" w:sz="8" w:space="0"/>
              <w:bottom w:val="single" w:color="auto" w:sz="4" w:space="0"/>
            </w:tcBorders>
            <w:vAlign w:val="center"/>
          </w:tcPr>
          <w:p w14:paraId="65F65BDC">
            <w:pPr>
              <w:widowControl/>
              <w:jc w:val="center"/>
              <w:rPr>
                <w:kern w:val="0"/>
                <w:sz w:val="18"/>
                <w:szCs w:val="18"/>
              </w:rPr>
            </w:pPr>
            <w:r>
              <w:rPr>
                <w:rFonts w:hAnsi="宋体"/>
                <w:kern w:val="0"/>
                <w:sz w:val="18"/>
                <w:szCs w:val="18"/>
              </w:rPr>
              <w:t>聚乙烯（</w:t>
            </w:r>
            <w:r>
              <w:rPr>
                <w:kern w:val="0"/>
                <w:sz w:val="18"/>
                <w:szCs w:val="18"/>
              </w:rPr>
              <w:t>PE</w:t>
            </w:r>
            <w:r>
              <w:rPr>
                <w:rFonts w:hAnsi="宋体"/>
                <w:kern w:val="0"/>
                <w:sz w:val="18"/>
                <w:szCs w:val="18"/>
              </w:rPr>
              <w:t>）</w:t>
            </w:r>
          </w:p>
        </w:tc>
        <w:tc>
          <w:tcPr>
            <w:tcW w:w="3685" w:type="dxa"/>
            <w:tcBorders>
              <w:top w:val="single" w:color="auto" w:sz="4" w:space="0"/>
              <w:bottom w:val="single" w:color="auto" w:sz="4" w:space="0"/>
            </w:tcBorders>
            <w:vAlign w:val="center"/>
          </w:tcPr>
          <w:p w14:paraId="666AE693">
            <w:pPr>
              <w:widowControl/>
              <w:jc w:val="center"/>
              <w:rPr>
                <w:kern w:val="0"/>
                <w:sz w:val="18"/>
                <w:szCs w:val="18"/>
              </w:rPr>
            </w:pPr>
          </w:p>
        </w:tc>
        <w:tc>
          <w:tcPr>
            <w:tcW w:w="3544" w:type="dxa"/>
            <w:tcBorders>
              <w:top w:val="single" w:color="auto" w:sz="4" w:space="0"/>
              <w:bottom w:val="single" w:color="auto" w:sz="4" w:space="0"/>
              <w:right w:val="single" w:color="auto" w:sz="8" w:space="0"/>
            </w:tcBorders>
            <w:vAlign w:val="center"/>
          </w:tcPr>
          <w:p w14:paraId="02392C76">
            <w:pPr>
              <w:widowControl/>
              <w:jc w:val="center"/>
              <w:rPr>
                <w:kern w:val="0"/>
                <w:sz w:val="18"/>
                <w:szCs w:val="18"/>
              </w:rPr>
            </w:pPr>
          </w:p>
        </w:tc>
      </w:tr>
      <w:tr w14:paraId="0F67DF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2121" w:type="dxa"/>
            <w:tcBorders>
              <w:top w:val="single" w:color="auto" w:sz="4" w:space="0"/>
              <w:left w:val="single" w:color="auto" w:sz="8" w:space="0"/>
              <w:bottom w:val="single" w:color="auto" w:sz="4" w:space="0"/>
            </w:tcBorders>
            <w:vAlign w:val="center"/>
          </w:tcPr>
          <w:p w14:paraId="45513CDE">
            <w:pPr>
              <w:widowControl/>
              <w:jc w:val="center"/>
              <w:rPr>
                <w:kern w:val="0"/>
                <w:sz w:val="18"/>
                <w:szCs w:val="18"/>
              </w:rPr>
            </w:pPr>
            <w:r>
              <w:rPr>
                <w:rFonts w:hAnsi="宋体"/>
                <w:kern w:val="0"/>
                <w:sz w:val="18"/>
                <w:szCs w:val="18"/>
              </w:rPr>
              <w:t>聚丙烯（</w:t>
            </w:r>
            <w:r>
              <w:rPr>
                <w:kern w:val="0"/>
                <w:sz w:val="18"/>
                <w:szCs w:val="18"/>
              </w:rPr>
              <w:t>PP</w:t>
            </w:r>
            <w:r>
              <w:rPr>
                <w:rFonts w:hAnsi="宋体"/>
                <w:kern w:val="0"/>
                <w:sz w:val="18"/>
                <w:szCs w:val="18"/>
              </w:rPr>
              <w:t>）</w:t>
            </w:r>
          </w:p>
        </w:tc>
        <w:tc>
          <w:tcPr>
            <w:tcW w:w="3685" w:type="dxa"/>
            <w:tcBorders>
              <w:top w:val="single" w:color="auto" w:sz="4" w:space="0"/>
              <w:bottom w:val="single" w:color="auto" w:sz="4" w:space="0"/>
            </w:tcBorders>
            <w:vAlign w:val="center"/>
          </w:tcPr>
          <w:p w14:paraId="534B25B6">
            <w:pPr>
              <w:widowControl/>
              <w:jc w:val="center"/>
              <w:rPr>
                <w:kern w:val="0"/>
                <w:sz w:val="18"/>
                <w:szCs w:val="18"/>
              </w:rPr>
            </w:pPr>
          </w:p>
        </w:tc>
        <w:tc>
          <w:tcPr>
            <w:tcW w:w="3544" w:type="dxa"/>
            <w:tcBorders>
              <w:top w:val="single" w:color="auto" w:sz="4" w:space="0"/>
              <w:bottom w:val="single" w:color="auto" w:sz="4" w:space="0"/>
              <w:right w:val="single" w:color="auto" w:sz="8" w:space="0"/>
            </w:tcBorders>
            <w:vAlign w:val="center"/>
          </w:tcPr>
          <w:p w14:paraId="7C7E8EB8">
            <w:pPr>
              <w:widowControl/>
              <w:jc w:val="center"/>
              <w:rPr>
                <w:kern w:val="0"/>
                <w:sz w:val="18"/>
                <w:szCs w:val="18"/>
              </w:rPr>
            </w:pPr>
          </w:p>
        </w:tc>
      </w:tr>
      <w:tr w14:paraId="2FE596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2121" w:type="dxa"/>
            <w:tcBorders>
              <w:top w:val="single" w:color="auto" w:sz="4" w:space="0"/>
              <w:left w:val="single" w:color="auto" w:sz="8" w:space="0"/>
              <w:bottom w:val="single" w:color="auto" w:sz="8" w:space="0"/>
            </w:tcBorders>
            <w:vAlign w:val="center"/>
          </w:tcPr>
          <w:p w14:paraId="776E10B8">
            <w:pPr>
              <w:widowControl/>
              <w:jc w:val="center"/>
              <w:rPr>
                <w:kern w:val="0"/>
                <w:sz w:val="18"/>
                <w:szCs w:val="18"/>
              </w:rPr>
            </w:pPr>
            <w:r>
              <w:rPr>
                <w:rFonts w:hAnsi="宋体"/>
                <w:kern w:val="0"/>
                <w:sz w:val="18"/>
                <w:szCs w:val="18"/>
              </w:rPr>
              <w:t>其</w:t>
            </w:r>
            <w:r>
              <w:rPr>
                <w:rFonts w:hint="eastAsia" w:hAnsi="宋体"/>
                <w:kern w:val="0"/>
                <w:sz w:val="18"/>
                <w:szCs w:val="18"/>
              </w:rPr>
              <w:t xml:space="preserve">  </w:t>
            </w:r>
            <w:r>
              <w:rPr>
                <w:rFonts w:hAnsi="宋体"/>
                <w:kern w:val="0"/>
                <w:sz w:val="18"/>
                <w:szCs w:val="18"/>
              </w:rPr>
              <w:t>他</w:t>
            </w:r>
          </w:p>
        </w:tc>
        <w:tc>
          <w:tcPr>
            <w:tcW w:w="3685" w:type="dxa"/>
            <w:tcBorders>
              <w:top w:val="single" w:color="auto" w:sz="4" w:space="0"/>
              <w:bottom w:val="single" w:color="auto" w:sz="8" w:space="0"/>
            </w:tcBorders>
            <w:vAlign w:val="center"/>
          </w:tcPr>
          <w:p w14:paraId="360BC496">
            <w:pPr>
              <w:widowControl/>
              <w:jc w:val="center"/>
              <w:rPr>
                <w:kern w:val="0"/>
                <w:sz w:val="18"/>
                <w:szCs w:val="18"/>
              </w:rPr>
            </w:pPr>
          </w:p>
        </w:tc>
        <w:tc>
          <w:tcPr>
            <w:tcW w:w="3544" w:type="dxa"/>
            <w:tcBorders>
              <w:top w:val="single" w:color="auto" w:sz="4" w:space="0"/>
              <w:bottom w:val="single" w:color="auto" w:sz="8" w:space="0"/>
              <w:right w:val="single" w:color="auto" w:sz="8" w:space="0"/>
            </w:tcBorders>
            <w:vAlign w:val="center"/>
          </w:tcPr>
          <w:p w14:paraId="10F147B9">
            <w:pPr>
              <w:widowControl/>
              <w:jc w:val="center"/>
              <w:rPr>
                <w:kern w:val="0"/>
                <w:sz w:val="18"/>
                <w:szCs w:val="18"/>
              </w:rPr>
            </w:pPr>
          </w:p>
        </w:tc>
      </w:tr>
    </w:tbl>
    <w:p w14:paraId="5398906B">
      <w:pPr>
        <w:pStyle w:val="122"/>
        <w:numPr>
          <w:ilvl w:val="0"/>
          <w:numId w:val="0"/>
        </w:numPr>
        <w:spacing w:before="156" w:after="156"/>
      </w:pPr>
      <w:r>
        <w:rPr>
          <w:rFonts w:hint="eastAsia"/>
        </w:rPr>
        <w:t xml:space="preserve">表B.4  </w:t>
      </w:r>
      <w:r>
        <w:t>运输过程清单</w:t>
      </w:r>
    </w:p>
    <w:tbl>
      <w:tblPr>
        <w:tblStyle w:val="56"/>
        <w:tblW w:w="0" w:type="auto"/>
        <w:tblInd w:w="114"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396"/>
        <w:gridCol w:w="1560"/>
        <w:gridCol w:w="1701"/>
        <w:gridCol w:w="2693"/>
      </w:tblGrid>
      <w:tr w14:paraId="0E4D47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3396" w:type="dxa"/>
            <w:tcBorders>
              <w:top w:val="single" w:color="auto" w:sz="8" w:space="0"/>
              <w:left w:val="single" w:color="auto" w:sz="8" w:space="0"/>
              <w:bottom w:val="single" w:color="auto" w:sz="8" w:space="0"/>
            </w:tcBorders>
            <w:vAlign w:val="center"/>
          </w:tcPr>
          <w:p w14:paraId="659FDC3B">
            <w:pPr>
              <w:widowControl/>
              <w:jc w:val="center"/>
              <w:rPr>
                <w:kern w:val="0"/>
                <w:sz w:val="18"/>
                <w:szCs w:val="18"/>
              </w:rPr>
            </w:pPr>
            <w:r>
              <w:rPr>
                <w:rFonts w:hAnsi="宋体"/>
                <w:kern w:val="0"/>
                <w:sz w:val="18"/>
                <w:szCs w:val="18"/>
              </w:rPr>
              <w:t>过</w:t>
            </w:r>
            <w:r>
              <w:rPr>
                <w:kern w:val="0"/>
                <w:sz w:val="18"/>
                <w:szCs w:val="18"/>
              </w:rPr>
              <w:t xml:space="preserve">  </w:t>
            </w:r>
            <w:r>
              <w:rPr>
                <w:rFonts w:hAnsi="宋体"/>
                <w:kern w:val="0"/>
                <w:sz w:val="18"/>
                <w:szCs w:val="18"/>
              </w:rPr>
              <w:t>程</w:t>
            </w:r>
          </w:p>
        </w:tc>
        <w:tc>
          <w:tcPr>
            <w:tcW w:w="1560" w:type="dxa"/>
            <w:tcBorders>
              <w:top w:val="single" w:color="auto" w:sz="8" w:space="0"/>
              <w:bottom w:val="single" w:color="auto" w:sz="8" w:space="0"/>
            </w:tcBorders>
            <w:vAlign w:val="center"/>
          </w:tcPr>
          <w:p w14:paraId="67FAFF32">
            <w:pPr>
              <w:widowControl/>
              <w:jc w:val="center"/>
              <w:rPr>
                <w:kern w:val="0"/>
                <w:sz w:val="18"/>
                <w:szCs w:val="18"/>
              </w:rPr>
            </w:pPr>
            <w:r>
              <w:rPr>
                <w:rFonts w:hAnsi="宋体"/>
                <w:kern w:val="0"/>
                <w:sz w:val="18"/>
                <w:szCs w:val="18"/>
              </w:rPr>
              <w:t>运输方式</w:t>
            </w:r>
          </w:p>
        </w:tc>
        <w:tc>
          <w:tcPr>
            <w:tcW w:w="1701" w:type="dxa"/>
            <w:tcBorders>
              <w:top w:val="single" w:color="auto" w:sz="8" w:space="0"/>
              <w:bottom w:val="single" w:color="auto" w:sz="8" w:space="0"/>
            </w:tcBorders>
            <w:vAlign w:val="center"/>
          </w:tcPr>
          <w:p w14:paraId="70290F3C">
            <w:pPr>
              <w:jc w:val="center"/>
              <w:rPr>
                <w:kern w:val="0"/>
                <w:sz w:val="18"/>
                <w:szCs w:val="18"/>
              </w:rPr>
            </w:pPr>
            <w:r>
              <w:rPr>
                <w:rFonts w:hAnsi="宋体"/>
                <w:kern w:val="0"/>
                <w:sz w:val="18"/>
                <w:szCs w:val="18"/>
              </w:rPr>
              <w:t>运输距离</w:t>
            </w:r>
            <w:r>
              <w:rPr>
                <w:kern w:val="0"/>
                <w:sz w:val="18"/>
                <w:szCs w:val="18"/>
              </w:rPr>
              <w:t>/km</w:t>
            </w:r>
          </w:p>
        </w:tc>
        <w:tc>
          <w:tcPr>
            <w:tcW w:w="2693" w:type="dxa"/>
            <w:tcBorders>
              <w:top w:val="single" w:color="auto" w:sz="8" w:space="0"/>
              <w:bottom w:val="single" w:color="auto" w:sz="8" w:space="0"/>
              <w:right w:val="single" w:color="auto" w:sz="8" w:space="0"/>
            </w:tcBorders>
            <w:vAlign w:val="center"/>
          </w:tcPr>
          <w:p w14:paraId="207D8549">
            <w:pPr>
              <w:widowControl/>
              <w:jc w:val="center"/>
              <w:rPr>
                <w:kern w:val="0"/>
                <w:sz w:val="18"/>
                <w:szCs w:val="18"/>
              </w:rPr>
            </w:pPr>
            <w:r>
              <w:rPr>
                <w:rFonts w:hAnsi="宋体"/>
                <w:kern w:val="0"/>
                <w:sz w:val="18"/>
                <w:szCs w:val="18"/>
              </w:rPr>
              <w:t>单位产品运输距离</w:t>
            </w:r>
            <w:r>
              <w:rPr>
                <w:kern w:val="0"/>
                <w:sz w:val="18"/>
                <w:szCs w:val="18"/>
              </w:rPr>
              <w:t>/</w:t>
            </w:r>
            <w:r>
              <w:rPr>
                <w:rFonts w:hAnsi="宋体"/>
                <w:kern w:val="0"/>
                <w:sz w:val="18"/>
                <w:szCs w:val="18"/>
              </w:rPr>
              <w:t>（</w:t>
            </w:r>
            <w:r>
              <w:rPr>
                <w:kern w:val="0"/>
                <w:sz w:val="18"/>
                <w:szCs w:val="18"/>
              </w:rPr>
              <w:t>km/10</w:t>
            </w:r>
            <w:r>
              <w:rPr>
                <w:kern w:val="0"/>
                <w:sz w:val="18"/>
                <w:szCs w:val="18"/>
                <w:vertAlign w:val="superscript"/>
              </w:rPr>
              <w:t>4</w:t>
            </w:r>
            <w:r>
              <w:rPr>
                <w:rFonts w:hint="eastAsia"/>
                <w:kern w:val="0"/>
                <w:sz w:val="18"/>
                <w:szCs w:val="18"/>
              </w:rPr>
              <w:t>t</w:t>
            </w:r>
            <w:r>
              <w:rPr>
                <w:rFonts w:hAnsi="宋体"/>
                <w:kern w:val="0"/>
                <w:sz w:val="18"/>
                <w:szCs w:val="18"/>
              </w:rPr>
              <w:t>）</w:t>
            </w:r>
          </w:p>
        </w:tc>
      </w:tr>
      <w:tr w14:paraId="2EB2CD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3396" w:type="dxa"/>
            <w:tcBorders>
              <w:top w:val="single" w:color="auto" w:sz="8" w:space="0"/>
              <w:left w:val="single" w:color="auto" w:sz="8" w:space="0"/>
              <w:bottom w:val="single" w:color="auto" w:sz="4" w:space="0"/>
            </w:tcBorders>
            <w:vAlign w:val="center"/>
          </w:tcPr>
          <w:p w14:paraId="6E2DB87D">
            <w:pPr>
              <w:widowControl/>
              <w:jc w:val="center"/>
              <w:rPr>
                <w:kern w:val="0"/>
                <w:sz w:val="18"/>
                <w:szCs w:val="18"/>
              </w:rPr>
            </w:pPr>
            <w:r>
              <w:rPr>
                <w:rFonts w:hAnsi="宋体"/>
                <w:kern w:val="0"/>
                <w:sz w:val="18"/>
                <w:szCs w:val="18"/>
              </w:rPr>
              <w:t>从生产地到总经销商</w:t>
            </w:r>
          </w:p>
        </w:tc>
        <w:tc>
          <w:tcPr>
            <w:tcW w:w="1560" w:type="dxa"/>
            <w:tcBorders>
              <w:top w:val="single" w:color="auto" w:sz="8" w:space="0"/>
              <w:bottom w:val="single" w:color="auto" w:sz="4" w:space="0"/>
            </w:tcBorders>
            <w:vAlign w:val="center"/>
          </w:tcPr>
          <w:p w14:paraId="54E87852">
            <w:pPr>
              <w:widowControl/>
              <w:jc w:val="center"/>
              <w:rPr>
                <w:kern w:val="0"/>
                <w:sz w:val="18"/>
                <w:szCs w:val="18"/>
              </w:rPr>
            </w:pPr>
          </w:p>
        </w:tc>
        <w:tc>
          <w:tcPr>
            <w:tcW w:w="1701" w:type="dxa"/>
            <w:tcBorders>
              <w:top w:val="single" w:color="auto" w:sz="8" w:space="0"/>
              <w:bottom w:val="single" w:color="auto" w:sz="4" w:space="0"/>
            </w:tcBorders>
            <w:vAlign w:val="center"/>
          </w:tcPr>
          <w:p w14:paraId="15224039">
            <w:pPr>
              <w:widowControl/>
              <w:jc w:val="center"/>
              <w:rPr>
                <w:kern w:val="0"/>
                <w:sz w:val="18"/>
                <w:szCs w:val="18"/>
              </w:rPr>
            </w:pPr>
          </w:p>
        </w:tc>
        <w:tc>
          <w:tcPr>
            <w:tcW w:w="2693" w:type="dxa"/>
            <w:tcBorders>
              <w:top w:val="single" w:color="auto" w:sz="8" w:space="0"/>
              <w:bottom w:val="single" w:color="auto" w:sz="4" w:space="0"/>
              <w:right w:val="single" w:color="auto" w:sz="8" w:space="0"/>
            </w:tcBorders>
            <w:vAlign w:val="center"/>
          </w:tcPr>
          <w:p w14:paraId="26CEF6D4">
            <w:pPr>
              <w:widowControl/>
              <w:jc w:val="center"/>
              <w:rPr>
                <w:kern w:val="0"/>
                <w:sz w:val="18"/>
                <w:szCs w:val="18"/>
              </w:rPr>
            </w:pPr>
          </w:p>
        </w:tc>
      </w:tr>
      <w:tr w14:paraId="70B807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3396" w:type="dxa"/>
            <w:tcBorders>
              <w:top w:val="single" w:color="auto" w:sz="4" w:space="0"/>
              <w:left w:val="single" w:color="auto" w:sz="8" w:space="0"/>
              <w:bottom w:val="single" w:color="auto" w:sz="4" w:space="0"/>
            </w:tcBorders>
            <w:vAlign w:val="center"/>
          </w:tcPr>
          <w:p w14:paraId="2B75CF73">
            <w:pPr>
              <w:widowControl/>
              <w:jc w:val="center"/>
              <w:rPr>
                <w:kern w:val="0"/>
                <w:sz w:val="18"/>
                <w:szCs w:val="18"/>
              </w:rPr>
            </w:pPr>
            <w:r>
              <w:rPr>
                <w:rFonts w:hAnsi="宋体"/>
                <w:kern w:val="0"/>
                <w:sz w:val="18"/>
                <w:szCs w:val="18"/>
              </w:rPr>
              <w:t>从总经销商到分经销商</w:t>
            </w:r>
          </w:p>
        </w:tc>
        <w:tc>
          <w:tcPr>
            <w:tcW w:w="1560" w:type="dxa"/>
            <w:tcBorders>
              <w:top w:val="single" w:color="auto" w:sz="4" w:space="0"/>
              <w:bottom w:val="single" w:color="auto" w:sz="4" w:space="0"/>
            </w:tcBorders>
            <w:vAlign w:val="center"/>
          </w:tcPr>
          <w:p w14:paraId="1BA4838C">
            <w:pPr>
              <w:widowControl/>
              <w:jc w:val="center"/>
              <w:rPr>
                <w:kern w:val="0"/>
                <w:sz w:val="18"/>
                <w:szCs w:val="18"/>
              </w:rPr>
            </w:pPr>
          </w:p>
        </w:tc>
        <w:tc>
          <w:tcPr>
            <w:tcW w:w="1701" w:type="dxa"/>
            <w:tcBorders>
              <w:top w:val="single" w:color="auto" w:sz="4" w:space="0"/>
              <w:bottom w:val="single" w:color="auto" w:sz="4" w:space="0"/>
            </w:tcBorders>
            <w:vAlign w:val="center"/>
          </w:tcPr>
          <w:p w14:paraId="35F8A5EC">
            <w:pPr>
              <w:widowControl/>
              <w:jc w:val="center"/>
              <w:rPr>
                <w:kern w:val="0"/>
                <w:sz w:val="18"/>
                <w:szCs w:val="18"/>
              </w:rPr>
            </w:pPr>
          </w:p>
        </w:tc>
        <w:tc>
          <w:tcPr>
            <w:tcW w:w="2693" w:type="dxa"/>
            <w:tcBorders>
              <w:top w:val="single" w:color="auto" w:sz="4" w:space="0"/>
              <w:bottom w:val="single" w:color="auto" w:sz="4" w:space="0"/>
              <w:right w:val="single" w:color="auto" w:sz="8" w:space="0"/>
            </w:tcBorders>
            <w:vAlign w:val="center"/>
          </w:tcPr>
          <w:p w14:paraId="7844C17B">
            <w:pPr>
              <w:widowControl/>
              <w:jc w:val="center"/>
              <w:rPr>
                <w:kern w:val="0"/>
                <w:sz w:val="18"/>
                <w:szCs w:val="18"/>
              </w:rPr>
            </w:pPr>
          </w:p>
        </w:tc>
      </w:tr>
      <w:tr w14:paraId="778E30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3396" w:type="dxa"/>
            <w:tcBorders>
              <w:top w:val="single" w:color="auto" w:sz="4" w:space="0"/>
              <w:left w:val="single" w:color="auto" w:sz="8" w:space="0"/>
              <w:bottom w:val="single" w:color="auto" w:sz="8" w:space="0"/>
            </w:tcBorders>
            <w:vAlign w:val="center"/>
          </w:tcPr>
          <w:p w14:paraId="31761733">
            <w:pPr>
              <w:widowControl/>
              <w:jc w:val="center"/>
              <w:rPr>
                <w:kern w:val="0"/>
                <w:sz w:val="18"/>
                <w:szCs w:val="18"/>
              </w:rPr>
            </w:pPr>
            <w:r>
              <w:rPr>
                <w:rFonts w:hAnsi="宋体"/>
                <w:kern w:val="0"/>
                <w:sz w:val="18"/>
                <w:szCs w:val="18"/>
              </w:rPr>
              <w:t>从生产地到分经销商的总运输距离</w:t>
            </w:r>
          </w:p>
        </w:tc>
        <w:tc>
          <w:tcPr>
            <w:tcW w:w="1560" w:type="dxa"/>
            <w:tcBorders>
              <w:top w:val="single" w:color="auto" w:sz="4" w:space="0"/>
              <w:bottom w:val="single" w:color="auto" w:sz="8" w:space="0"/>
            </w:tcBorders>
            <w:vAlign w:val="center"/>
          </w:tcPr>
          <w:p w14:paraId="475CA1D9">
            <w:pPr>
              <w:widowControl/>
              <w:jc w:val="center"/>
              <w:rPr>
                <w:kern w:val="0"/>
                <w:sz w:val="18"/>
                <w:szCs w:val="18"/>
              </w:rPr>
            </w:pPr>
          </w:p>
        </w:tc>
        <w:tc>
          <w:tcPr>
            <w:tcW w:w="1701" w:type="dxa"/>
            <w:tcBorders>
              <w:top w:val="single" w:color="auto" w:sz="4" w:space="0"/>
              <w:bottom w:val="single" w:color="auto" w:sz="8" w:space="0"/>
            </w:tcBorders>
            <w:vAlign w:val="center"/>
          </w:tcPr>
          <w:p w14:paraId="65407D83">
            <w:pPr>
              <w:widowControl/>
              <w:jc w:val="center"/>
              <w:rPr>
                <w:kern w:val="0"/>
                <w:sz w:val="18"/>
                <w:szCs w:val="18"/>
              </w:rPr>
            </w:pPr>
          </w:p>
        </w:tc>
        <w:tc>
          <w:tcPr>
            <w:tcW w:w="2693" w:type="dxa"/>
            <w:tcBorders>
              <w:top w:val="single" w:color="auto" w:sz="4" w:space="0"/>
              <w:bottom w:val="single" w:color="auto" w:sz="8" w:space="0"/>
              <w:right w:val="single" w:color="auto" w:sz="8" w:space="0"/>
            </w:tcBorders>
            <w:vAlign w:val="center"/>
          </w:tcPr>
          <w:p w14:paraId="034B1C98">
            <w:pPr>
              <w:widowControl/>
              <w:jc w:val="center"/>
              <w:rPr>
                <w:kern w:val="0"/>
                <w:sz w:val="18"/>
                <w:szCs w:val="18"/>
              </w:rPr>
            </w:pPr>
          </w:p>
        </w:tc>
      </w:tr>
    </w:tbl>
    <w:p w14:paraId="6DC1E414">
      <w:pPr>
        <w:pStyle w:val="122"/>
        <w:numPr>
          <w:ilvl w:val="0"/>
          <w:numId w:val="0"/>
        </w:numPr>
        <w:spacing w:before="156" w:after="156"/>
      </w:pPr>
      <w:r>
        <w:rPr>
          <w:rFonts w:hint="eastAsia"/>
        </w:rPr>
        <w:t>表B.5  废弃物循环利用或</w:t>
      </w:r>
      <w:r>
        <w:t>废弃物处置清单</w:t>
      </w:r>
    </w:p>
    <w:tbl>
      <w:tblPr>
        <w:tblStyle w:val="56"/>
        <w:tblW w:w="0" w:type="auto"/>
        <w:tblInd w:w="114"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404"/>
        <w:gridCol w:w="2835"/>
        <w:gridCol w:w="4111"/>
      </w:tblGrid>
      <w:tr w14:paraId="61D2C5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2404" w:type="dxa"/>
            <w:tcBorders>
              <w:top w:val="single" w:color="auto" w:sz="12" w:space="0"/>
              <w:left w:val="single" w:color="auto" w:sz="12" w:space="0"/>
              <w:bottom w:val="single" w:color="auto" w:sz="12" w:space="0"/>
            </w:tcBorders>
          </w:tcPr>
          <w:p w14:paraId="7DFD56E5">
            <w:pPr>
              <w:jc w:val="center"/>
              <w:rPr>
                <w:rFonts w:ascii="宋体"/>
                <w:sz w:val="18"/>
              </w:rPr>
            </w:pPr>
            <w:r>
              <w:rPr>
                <w:rFonts w:hint="eastAsia" w:ascii="宋体"/>
                <w:sz w:val="18"/>
              </w:rPr>
              <w:t>废弃物名称或项目</w:t>
            </w:r>
          </w:p>
        </w:tc>
        <w:tc>
          <w:tcPr>
            <w:tcW w:w="2835" w:type="dxa"/>
            <w:tcBorders>
              <w:top w:val="single" w:color="auto" w:sz="12" w:space="0"/>
              <w:bottom w:val="single" w:color="auto" w:sz="12" w:space="0"/>
            </w:tcBorders>
          </w:tcPr>
          <w:p w14:paraId="5ADBF559">
            <w:pPr>
              <w:jc w:val="center"/>
              <w:rPr>
                <w:rFonts w:ascii="宋体"/>
                <w:sz w:val="18"/>
              </w:rPr>
            </w:pPr>
            <w:r>
              <w:rPr>
                <w:rFonts w:hint="eastAsia" w:ascii="宋体"/>
                <w:sz w:val="18"/>
              </w:rPr>
              <w:t>降解、处理回用方式</w:t>
            </w:r>
          </w:p>
        </w:tc>
        <w:tc>
          <w:tcPr>
            <w:tcW w:w="4111" w:type="dxa"/>
            <w:tcBorders>
              <w:top w:val="single" w:color="auto" w:sz="12" w:space="0"/>
              <w:bottom w:val="single" w:color="auto" w:sz="12" w:space="0"/>
              <w:right w:val="single" w:color="auto" w:sz="12" w:space="0"/>
            </w:tcBorders>
          </w:tcPr>
          <w:p w14:paraId="5B1AA40F">
            <w:pPr>
              <w:jc w:val="center"/>
              <w:rPr>
                <w:rFonts w:ascii="宋体"/>
                <w:sz w:val="18"/>
              </w:rPr>
            </w:pPr>
            <w:r>
              <w:rPr>
                <w:rFonts w:hint="eastAsia" w:ascii="宋体"/>
                <w:sz w:val="18"/>
              </w:rPr>
              <w:t>降解、处理过程</w:t>
            </w:r>
            <w:r>
              <w:rPr>
                <w:sz w:val="18"/>
              </w:rPr>
              <w:t>主要环境排放量/（g/10</w:t>
            </w:r>
            <w:r>
              <w:rPr>
                <w:sz w:val="18"/>
                <w:vertAlign w:val="superscript"/>
              </w:rPr>
              <w:t>4</w:t>
            </w:r>
            <w:r>
              <w:rPr>
                <w:sz w:val="18"/>
              </w:rPr>
              <w:t>m废弃</w:t>
            </w:r>
            <w:r>
              <w:rPr>
                <w:rFonts w:hint="eastAsia" w:ascii="宋体"/>
                <w:sz w:val="18"/>
              </w:rPr>
              <w:t>物）</w:t>
            </w:r>
          </w:p>
        </w:tc>
      </w:tr>
      <w:tr w14:paraId="536245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2404" w:type="dxa"/>
            <w:tcBorders>
              <w:top w:val="single" w:color="auto" w:sz="12" w:space="0"/>
              <w:left w:val="single" w:color="auto" w:sz="12" w:space="0"/>
              <w:bottom w:val="single" w:color="auto" w:sz="4" w:space="0"/>
            </w:tcBorders>
            <w:vAlign w:val="center"/>
          </w:tcPr>
          <w:p w14:paraId="7FD54C8B">
            <w:pPr>
              <w:widowControl/>
              <w:jc w:val="center"/>
              <w:rPr>
                <w:kern w:val="0"/>
                <w:sz w:val="18"/>
                <w:szCs w:val="18"/>
              </w:rPr>
            </w:pPr>
          </w:p>
        </w:tc>
        <w:tc>
          <w:tcPr>
            <w:tcW w:w="2835" w:type="dxa"/>
            <w:tcBorders>
              <w:top w:val="single" w:color="auto" w:sz="12" w:space="0"/>
              <w:bottom w:val="single" w:color="auto" w:sz="4" w:space="0"/>
            </w:tcBorders>
            <w:vAlign w:val="center"/>
          </w:tcPr>
          <w:p w14:paraId="5D824C8D">
            <w:pPr>
              <w:widowControl/>
              <w:jc w:val="center"/>
              <w:rPr>
                <w:kern w:val="0"/>
                <w:sz w:val="18"/>
                <w:szCs w:val="18"/>
              </w:rPr>
            </w:pPr>
          </w:p>
        </w:tc>
        <w:tc>
          <w:tcPr>
            <w:tcW w:w="4111" w:type="dxa"/>
            <w:tcBorders>
              <w:top w:val="single" w:color="auto" w:sz="12" w:space="0"/>
              <w:bottom w:val="single" w:color="auto" w:sz="4" w:space="0"/>
              <w:right w:val="single" w:color="auto" w:sz="12" w:space="0"/>
            </w:tcBorders>
            <w:vAlign w:val="center"/>
          </w:tcPr>
          <w:p w14:paraId="15023854">
            <w:pPr>
              <w:widowControl/>
              <w:jc w:val="center"/>
              <w:rPr>
                <w:kern w:val="0"/>
                <w:sz w:val="18"/>
                <w:szCs w:val="18"/>
              </w:rPr>
            </w:pPr>
          </w:p>
        </w:tc>
      </w:tr>
      <w:tr w14:paraId="3D749A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2404" w:type="dxa"/>
            <w:tcBorders>
              <w:top w:val="single" w:color="auto" w:sz="4" w:space="0"/>
              <w:left w:val="single" w:color="auto" w:sz="12" w:space="0"/>
              <w:bottom w:val="single" w:color="auto" w:sz="4" w:space="0"/>
            </w:tcBorders>
            <w:vAlign w:val="center"/>
          </w:tcPr>
          <w:p w14:paraId="1B517E2D">
            <w:pPr>
              <w:widowControl/>
              <w:jc w:val="center"/>
              <w:rPr>
                <w:kern w:val="0"/>
                <w:sz w:val="18"/>
                <w:szCs w:val="18"/>
              </w:rPr>
            </w:pPr>
          </w:p>
        </w:tc>
        <w:tc>
          <w:tcPr>
            <w:tcW w:w="2835" w:type="dxa"/>
            <w:tcBorders>
              <w:top w:val="single" w:color="auto" w:sz="4" w:space="0"/>
              <w:bottom w:val="single" w:color="auto" w:sz="4" w:space="0"/>
            </w:tcBorders>
            <w:vAlign w:val="center"/>
          </w:tcPr>
          <w:p w14:paraId="2D219D69">
            <w:pPr>
              <w:widowControl/>
              <w:jc w:val="center"/>
              <w:rPr>
                <w:kern w:val="0"/>
                <w:sz w:val="18"/>
                <w:szCs w:val="18"/>
              </w:rPr>
            </w:pPr>
          </w:p>
        </w:tc>
        <w:tc>
          <w:tcPr>
            <w:tcW w:w="4111" w:type="dxa"/>
            <w:tcBorders>
              <w:top w:val="single" w:color="auto" w:sz="4" w:space="0"/>
              <w:bottom w:val="single" w:color="auto" w:sz="4" w:space="0"/>
              <w:right w:val="single" w:color="auto" w:sz="12" w:space="0"/>
            </w:tcBorders>
            <w:vAlign w:val="center"/>
          </w:tcPr>
          <w:p w14:paraId="1E4CE6E4">
            <w:pPr>
              <w:widowControl/>
              <w:jc w:val="center"/>
              <w:rPr>
                <w:kern w:val="0"/>
                <w:sz w:val="18"/>
                <w:szCs w:val="18"/>
              </w:rPr>
            </w:pPr>
          </w:p>
        </w:tc>
      </w:tr>
      <w:tr w14:paraId="0E5FE4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2404" w:type="dxa"/>
            <w:tcBorders>
              <w:top w:val="single" w:color="auto" w:sz="4" w:space="0"/>
              <w:left w:val="single" w:color="auto" w:sz="12" w:space="0"/>
              <w:bottom w:val="single" w:color="auto" w:sz="12" w:space="0"/>
            </w:tcBorders>
            <w:vAlign w:val="center"/>
          </w:tcPr>
          <w:p w14:paraId="0893AFEF">
            <w:pPr>
              <w:widowControl/>
              <w:jc w:val="center"/>
              <w:rPr>
                <w:kern w:val="0"/>
                <w:sz w:val="18"/>
                <w:szCs w:val="18"/>
              </w:rPr>
            </w:pPr>
          </w:p>
        </w:tc>
        <w:tc>
          <w:tcPr>
            <w:tcW w:w="2835" w:type="dxa"/>
            <w:tcBorders>
              <w:top w:val="single" w:color="auto" w:sz="4" w:space="0"/>
              <w:bottom w:val="single" w:color="auto" w:sz="12" w:space="0"/>
            </w:tcBorders>
            <w:vAlign w:val="center"/>
          </w:tcPr>
          <w:p w14:paraId="0EBF30A4">
            <w:pPr>
              <w:widowControl/>
              <w:jc w:val="center"/>
              <w:rPr>
                <w:kern w:val="0"/>
                <w:sz w:val="18"/>
                <w:szCs w:val="18"/>
              </w:rPr>
            </w:pPr>
          </w:p>
        </w:tc>
        <w:tc>
          <w:tcPr>
            <w:tcW w:w="4111" w:type="dxa"/>
            <w:tcBorders>
              <w:top w:val="single" w:color="auto" w:sz="4" w:space="0"/>
              <w:bottom w:val="single" w:color="auto" w:sz="12" w:space="0"/>
              <w:right w:val="single" w:color="auto" w:sz="12" w:space="0"/>
            </w:tcBorders>
            <w:vAlign w:val="center"/>
          </w:tcPr>
          <w:p w14:paraId="2E548576">
            <w:pPr>
              <w:widowControl/>
              <w:jc w:val="center"/>
              <w:rPr>
                <w:kern w:val="0"/>
                <w:sz w:val="18"/>
                <w:szCs w:val="18"/>
              </w:rPr>
            </w:pPr>
          </w:p>
        </w:tc>
      </w:tr>
    </w:tbl>
    <w:p w14:paraId="4367595D">
      <w:pPr>
        <w:pStyle w:val="137"/>
        <w:numPr>
          <w:ilvl w:val="1"/>
          <w:numId w:val="0"/>
        </w:numPr>
        <w:spacing w:before="312" w:after="312"/>
      </w:pPr>
      <w:r>
        <w:rPr>
          <w:rFonts w:hint="eastAsia"/>
        </w:rPr>
        <w:t>B.4  生命周期影响评价</w:t>
      </w:r>
    </w:p>
    <w:p w14:paraId="3678D761">
      <w:pPr>
        <w:pStyle w:val="138"/>
        <w:numPr>
          <w:ilvl w:val="0"/>
          <w:numId w:val="0"/>
        </w:numPr>
        <w:spacing w:before="156" w:after="156"/>
      </w:pPr>
      <w:r>
        <w:rPr>
          <w:rFonts w:hint="eastAsia"/>
        </w:rPr>
        <w:t xml:space="preserve">B.4.1  </w:t>
      </w:r>
      <w:r>
        <w:t>影响类型</w:t>
      </w:r>
    </w:p>
    <w:p w14:paraId="31B7EA96">
      <w:pPr>
        <w:snapToGrid w:val="0"/>
        <w:ind w:firstLine="420" w:firstLineChars="200"/>
        <w:rPr>
          <w:szCs w:val="21"/>
        </w:rPr>
      </w:pPr>
      <w:r>
        <w:rPr>
          <w:rFonts w:hAnsi="宋体"/>
          <w:szCs w:val="21"/>
        </w:rPr>
        <w:t>影响类型分为资源能源消耗、生态环境影响和人体健康危害</w:t>
      </w:r>
      <w:r>
        <w:rPr>
          <w:szCs w:val="21"/>
        </w:rPr>
        <w:t>3</w:t>
      </w:r>
      <w:r>
        <w:rPr>
          <w:rFonts w:hAnsi="宋体"/>
          <w:szCs w:val="21"/>
        </w:rPr>
        <w:t>类。</w:t>
      </w:r>
      <w:r>
        <w:rPr>
          <w:rFonts w:hint="eastAsia"/>
        </w:rPr>
        <w:t>汽车顶棚用软质聚氨酯泡沫塑料</w:t>
      </w:r>
      <w:r>
        <w:rPr>
          <w:rFonts w:hAnsi="宋体"/>
          <w:szCs w:val="21"/>
        </w:rPr>
        <w:t>的影响类型采用不可再生资源消耗、气候变化、富营养化和人体健康危害</w:t>
      </w:r>
      <w:r>
        <w:rPr>
          <w:szCs w:val="21"/>
        </w:rPr>
        <w:t>4</w:t>
      </w:r>
      <w:r>
        <w:rPr>
          <w:rFonts w:hAnsi="宋体"/>
          <w:szCs w:val="21"/>
        </w:rPr>
        <w:t>个指标。</w:t>
      </w:r>
    </w:p>
    <w:p w14:paraId="78EB0F13">
      <w:pPr>
        <w:pStyle w:val="138"/>
        <w:numPr>
          <w:ilvl w:val="0"/>
          <w:numId w:val="0"/>
        </w:numPr>
        <w:spacing w:before="156" w:after="156"/>
      </w:pPr>
      <w:r>
        <w:rPr>
          <w:rFonts w:hint="eastAsia"/>
        </w:rPr>
        <w:t xml:space="preserve">B.4.2  </w:t>
      </w:r>
      <w:r>
        <w:t>清单因子归类</w:t>
      </w:r>
    </w:p>
    <w:p w14:paraId="07579CF1">
      <w:pPr>
        <w:snapToGrid w:val="0"/>
        <w:ind w:firstLine="420" w:firstLineChars="200"/>
        <w:rPr>
          <w:szCs w:val="21"/>
        </w:rPr>
      </w:pPr>
      <w:r>
        <w:rPr>
          <w:rFonts w:hAnsi="宋体"/>
          <w:szCs w:val="21"/>
        </w:rPr>
        <w:t>根据清单因子的物理化学性质，将对某影响类型有贡献的因子归到一起，见表</w:t>
      </w:r>
      <w:r>
        <w:rPr>
          <w:rFonts w:hint="eastAsia"/>
          <w:szCs w:val="21"/>
        </w:rPr>
        <w:t>B.</w:t>
      </w:r>
      <w:r>
        <w:rPr>
          <w:szCs w:val="21"/>
        </w:rPr>
        <w:t>6</w:t>
      </w:r>
      <w:r>
        <w:rPr>
          <w:rFonts w:hint="eastAsia"/>
          <w:szCs w:val="21"/>
        </w:rPr>
        <w:t>。</w:t>
      </w:r>
      <w:r>
        <w:rPr>
          <w:rFonts w:hAnsi="宋体"/>
          <w:szCs w:val="21"/>
        </w:rPr>
        <w:t>例如，将对气候变化有贡献的二氧化碳、一氧化氮等清单因子归到气候变化影响类型里面。</w:t>
      </w:r>
    </w:p>
    <w:p w14:paraId="446499D6">
      <w:pPr>
        <w:pStyle w:val="122"/>
        <w:numPr>
          <w:ilvl w:val="0"/>
          <w:numId w:val="0"/>
        </w:numPr>
        <w:spacing w:before="156" w:after="156"/>
      </w:pPr>
      <w:r>
        <w:rPr>
          <w:rFonts w:hint="eastAsia"/>
        </w:rPr>
        <w:t>表B.6  汽车顶棚用软质聚氨酯泡沫塑料</w:t>
      </w:r>
      <w:r>
        <w:t>产品生命周期清单因子归类示例</w:t>
      </w:r>
    </w:p>
    <w:tbl>
      <w:tblPr>
        <w:tblStyle w:val="56"/>
        <w:tblW w:w="0" w:type="auto"/>
        <w:tblInd w:w="114"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971"/>
        <w:gridCol w:w="6379"/>
      </w:tblGrid>
      <w:tr w14:paraId="30426D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71" w:type="dxa"/>
            <w:tcBorders>
              <w:top w:val="single" w:color="auto" w:sz="8" w:space="0"/>
              <w:left w:val="single" w:color="auto" w:sz="8" w:space="0"/>
              <w:bottom w:val="single" w:color="auto" w:sz="8" w:space="0"/>
            </w:tcBorders>
            <w:vAlign w:val="center"/>
          </w:tcPr>
          <w:p w14:paraId="0A6AB2D1">
            <w:pPr>
              <w:widowControl/>
              <w:snapToGrid w:val="0"/>
              <w:jc w:val="center"/>
              <w:rPr>
                <w:kern w:val="0"/>
                <w:sz w:val="18"/>
                <w:szCs w:val="18"/>
              </w:rPr>
            </w:pPr>
            <w:r>
              <w:rPr>
                <w:kern w:val="0"/>
                <w:sz w:val="18"/>
                <w:szCs w:val="18"/>
              </w:rPr>
              <w:t>影响类型</w:t>
            </w:r>
          </w:p>
        </w:tc>
        <w:tc>
          <w:tcPr>
            <w:tcW w:w="6379" w:type="dxa"/>
            <w:tcBorders>
              <w:top w:val="single" w:color="auto" w:sz="8" w:space="0"/>
              <w:bottom w:val="single" w:color="auto" w:sz="8" w:space="0"/>
              <w:right w:val="single" w:color="auto" w:sz="8" w:space="0"/>
            </w:tcBorders>
            <w:vAlign w:val="center"/>
          </w:tcPr>
          <w:p w14:paraId="60B0889D">
            <w:pPr>
              <w:widowControl/>
              <w:snapToGrid w:val="0"/>
              <w:jc w:val="center"/>
              <w:rPr>
                <w:sz w:val="18"/>
                <w:szCs w:val="18"/>
              </w:rPr>
            </w:pPr>
            <w:r>
              <w:rPr>
                <w:kern w:val="0"/>
                <w:sz w:val="18"/>
                <w:szCs w:val="18"/>
              </w:rPr>
              <w:t>清单因子归类</w:t>
            </w:r>
          </w:p>
        </w:tc>
      </w:tr>
      <w:tr w14:paraId="48C6C5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71" w:type="dxa"/>
            <w:tcBorders>
              <w:top w:val="single" w:color="auto" w:sz="8" w:space="0"/>
              <w:left w:val="single" w:color="auto" w:sz="8" w:space="0"/>
              <w:bottom w:val="single" w:color="auto" w:sz="4" w:space="0"/>
            </w:tcBorders>
            <w:vAlign w:val="center"/>
          </w:tcPr>
          <w:p w14:paraId="11702986">
            <w:pPr>
              <w:widowControl/>
              <w:snapToGrid w:val="0"/>
              <w:jc w:val="center"/>
              <w:rPr>
                <w:kern w:val="0"/>
                <w:sz w:val="18"/>
                <w:szCs w:val="18"/>
              </w:rPr>
            </w:pPr>
            <w:r>
              <w:rPr>
                <w:kern w:val="0"/>
                <w:sz w:val="18"/>
                <w:szCs w:val="18"/>
              </w:rPr>
              <w:t>不可再生资源消耗</w:t>
            </w:r>
          </w:p>
        </w:tc>
        <w:tc>
          <w:tcPr>
            <w:tcW w:w="6379" w:type="dxa"/>
            <w:tcBorders>
              <w:top w:val="single" w:color="auto" w:sz="8" w:space="0"/>
              <w:bottom w:val="single" w:color="auto" w:sz="4" w:space="0"/>
              <w:right w:val="single" w:color="auto" w:sz="8" w:space="0"/>
            </w:tcBorders>
            <w:vAlign w:val="center"/>
          </w:tcPr>
          <w:p w14:paraId="1A8E7395">
            <w:pPr>
              <w:widowControl/>
              <w:snapToGrid w:val="0"/>
              <w:jc w:val="center"/>
              <w:rPr>
                <w:kern w:val="0"/>
                <w:sz w:val="18"/>
                <w:szCs w:val="18"/>
              </w:rPr>
            </w:pPr>
            <w:r>
              <w:rPr>
                <w:kern w:val="0"/>
                <w:sz w:val="18"/>
                <w:szCs w:val="18"/>
              </w:rPr>
              <w:t>煤、石油、天然气</w:t>
            </w:r>
          </w:p>
        </w:tc>
      </w:tr>
      <w:tr w14:paraId="073E29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71" w:type="dxa"/>
            <w:tcBorders>
              <w:top w:val="single" w:color="auto" w:sz="4" w:space="0"/>
              <w:left w:val="single" w:color="auto" w:sz="8" w:space="0"/>
              <w:bottom w:val="single" w:color="auto" w:sz="4" w:space="0"/>
            </w:tcBorders>
            <w:vAlign w:val="center"/>
          </w:tcPr>
          <w:p w14:paraId="160B339E">
            <w:pPr>
              <w:widowControl/>
              <w:snapToGrid w:val="0"/>
              <w:jc w:val="center"/>
              <w:rPr>
                <w:kern w:val="0"/>
                <w:sz w:val="18"/>
                <w:szCs w:val="18"/>
              </w:rPr>
            </w:pPr>
            <w:r>
              <w:rPr>
                <w:kern w:val="0"/>
                <w:sz w:val="18"/>
                <w:szCs w:val="18"/>
              </w:rPr>
              <w:t>气候变化</w:t>
            </w:r>
          </w:p>
        </w:tc>
        <w:tc>
          <w:tcPr>
            <w:tcW w:w="6379" w:type="dxa"/>
            <w:tcBorders>
              <w:top w:val="single" w:color="auto" w:sz="4" w:space="0"/>
              <w:bottom w:val="single" w:color="auto" w:sz="4" w:space="0"/>
              <w:right w:val="single" w:color="auto" w:sz="8" w:space="0"/>
            </w:tcBorders>
            <w:vAlign w:val="center"/>
          </w:tcPr>
          <w:p w14:paraId="72E78373">
            <w:pPr>
              <w:widowControl/>
              <w:snapToGrid w:val="0"/>
              <w:jc w:val="center"/>
              <w:rPr>
                <w:kern w:val="0"/>
                <w:sz w:val="18"/>
                <w:szCs w:val="18"/>
              </w:rPr>
            </w:pPr>
            <w:r>
              <w:rPr>
                <w:kern w:val="0"/>
                <w:sz w:val="18"/>
                <w:szCs w:val="18"/>
              </w:rPr>
              <w:t>二氧化碳（CO</w:t>
            </w:r>
            <w:r>
              <w:rPr>
                <w:kern w:val="0"/>
                <w:sz w:val="18"/>
                <w:szCs w:val="18"/>
                <w:vertAlign w:val="subscript"/>
              </w:rPr>
              <w:t>2</w:t>
            </w:r>
            <w:r>
              <w:rPr>
                <w:kern w:val="0"/>
                <w:sz w:val="18"/>
                <w:szCs w:val="18"/>
              </w:rPr>
              <w:t>）、甲烷（CH</w:t>
            </w:r>
            <w:r>
              <w:rPr>
                <w:kern w:val="0"/>
                <w:sz w:val="18"/>
                <w:szCs w:val="18"/>
                <w:vertAlign w:val="subscript"/>
              </w:rPr>
              <w:t>4</w:t>
            </w:r>
            <w:r>
              <w:rPr>
                <w:kern w:val="0"/>
                <w:sz w:val="18"/>
                <w:szCs w:val="18"/>
              </w:rPr>
              <w:t>）</w:t>
            </w:r>
          </w:p>
        </w:tc>
      </w:tr>
      <w:tr w14:paraId="21592D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71" w:type="dxa"/>
            <w:tcBorders>
              <w:top w:val="single" w:color="auto" w:sz="4" w:space="0"/>
              <w:left w:val="single" w:color="auto" w:sz="8" w:space="0"/>
              <w:bottom w:val="single" w:color="auto" w:sz="4" w:space="0"/>
            </w:tcBorders>
            <w:vAlign w:val="center"/>
          </w:tcPr>
          <w:p w14:paraId="22EA1A77">
            <w:pPr>
              <w:widowControl/>
              <w:snapToGrid w:val="0"/>
              <w:jc w:val="center"/>
              <w:rPr>
                <w:kern w:val="0"/>
                <w:sz w:val="18"/>
                <w:szCs w:val="18"/>
              </w:rPr>
            </w:pPr>
            <w:r>
              <w:rPr>
                <w:kern w:val="0"/>
                <w:sz w:val="18"/>
                <w:szCs w:val="18"/>
              </w:rPr>
              <w:t>富营养化</w:t>
            </w:r>
          </w:p>
        </w:tc>
        <w:tc>
          <w:tcPr>
            <w:tcW w:w="6379" w:type="dxa"/>
            <w:tcBorders>
              <w:top w:val="single" w:color="auto" w:sz="4" w:space="0"/>
              <w:bottom w:val="single" w:color="auto" w:sz="4" w:space="0"/>
              <w:right w:val="single" w:color="auto" w:sz="8" w:space="0"/>
            </w:tcBorders>
            <w:vAlign w:val="center"/>
          </w:tcPr>
          <w:p w14:paraId="714E0BA1">
            <w:pPr>
              <w:widowControl/>
              <w:snapToGrid w:val="0"/>
              <w:jc w:val="center"/>
              <w:rPr>
                <w:kern w:val="0"/>
                <w:sz w:val="18"/>
                <w:szCs w:val="18"/>
              </w:rPr>
            </w:pPr>
            <w:r>
              <w:rPr>
                <w:kern w:val="0"/>
                <w:sz w:val="18"/>
                <w:szCs w:val="18"/>
              </w:rPr>
              <w:t>氮氧化物（NO</w:t>
            </w:r>
            <w:r>
              <w:rPr>
                <w:kern w:val="0"/>
                <w:sz w:val="18"/>
                <w:szCs w:val="18"/>
                <w:vertAlign w:val="subscript"/>
              </w:rPr>
              <w:t>x</w:t>
            </w:r>
            <w:r>
              <w:rPr>
                <w:kern w:val="0"/>
                <w:sz w:val="18"/>
                <w:szCs w:val="18"/>
              </w:rPr>
              <w:t>）</w:t>
            </w:r>
          </w:p>
        </w:tc>
      </w:tr>
      <w:tr w14:paraId="784EE3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71" w:type="dxa"/>
            <w:tcBorders>
              <w:top w:val="single" w:color="auto" w:sz="4" w:space="0"/>
              <w:left w:val="single" w:color="auto" w:sz="8" w:space="0"/>
              <w:bottom w:val="single" w:color="auto" w:sz="8" w:space="0"/>
            </w:tcBorders>
            <w:vAlign w:val="center"/>
          </w:tcPr>
          <w:p w14:paraId="549B6385">
            <w:pPr>
              <w:widowControl/>
              <w:snapToGrid w:val="0"/>
              <w:jc w:val="center"/>
              <w:rPr>
                <w:kern w:val="0"/>
                <w:sz w:val="18"/>
                <w:szCs w:val="18"/>
              </w:rPr>
            </w:pPr>
            <w:r>
              <w:rPr>
                <w:kern w:val="0"/>
                <w:sz w:val="18"/>
                <w:szCs w:val="18"/>
              </w:rPr>
              <w:t>人体健康</w:t>
            </w:r>
            <w:r>
              <w:rPr>
                <w:rFonts w:hint="eastAsia"/>
                <w:kern w:val="0"/>
                <w:sz w:val="18"/>
                <w:szCs w:val="18"/>
              </w:rPr>
              <w:t>损害</w:t>
            </w:r>
          </w:p>
        </w:tc>
        <w:tc>
          <w:tcPr>
            <w:tcW w:w="6379" w:type="dxa"/>
            <w:tcBorders>
              <w:top w:val="single" w:color="auto" w:sz="4" w:space="0"/>
              <w:bottom w:val="single" w:color="auto" w:sz="8" w:space="0"/>
              <w:right w:val="single" w:color="auto" w:sz="8" w:space="0"/>
            </w:tcBorders>
            <w:vAlign w:val="center"/>
          </w:tcPr>
          <w:p w14:paraId="158F5C32">
            <w:pPr>
              <w:widowControl/>
              <w:snapToGrid w:val="0"/>
              <w:jc w:val="center"/>
              <w:rPr>
                <w:kern w:val="0"/>
                <w:sz w:val="18"/>
                <w:szCs w:val="18"/>
              </w:rPr>
            </w:pPr>
            <w:r>
              <w:rPr>
                <w:kern w:val="0"/>
                <w:sz w:val="18"/>
                <w:szCs w:val="18"/>
              </w:rPr>
              <w:t>NO</w:t>
            </w:r>
            <w:r>
              <w:rPr>
                <w:kern w:val="0"/>
                <w:sz w:val="18"/>
                <w:szCs w:val="18"/>
                <w:vertAlign w:val="subscript"/>
              </w:rPr>
              <w:t>x</w:t>
            </w:r>
            <w:r>
              <w:rPr>
                <w:rFonts w:hint="eastAsia"/>
                <w:kern w:val="0"/>
                <w:sz w:val="18"/>
                <w:szCs w:val="18"/>
              </w:rPr>
              <w:t>、</w:t>
            </w:r>
            <w:r>
              <w:rPr>
                <w:kern w:val="0"/>
                <w:sz w:val="18"/>
                <w:szCs w:val="18"/>
              </w:rPr>
              <w:t>S</w:t>
            </w:r>
            <w:r>
              <w:rPr>
                <w:rFonts w:hint="eastAsia"/>
                <w:kern w:val="0"/>
                <w:sz w:val="18"/>
                <w:szCs w:val="18"/>
              </w:rPr>
              <w:t>O</w:t>
            </w:r>
            <w:r>
              <w:rPr>
                <w:kern w:val="0"/>
                <w:sz w:val="18"/>
                <w:szCs w:val="18"/>
                <w:vertAlign w:val="subscript"/>
              </w:rPr>
              <w:t>x</w:t>
            </w:r>
            <w:r>
              <w:rPr>
                <w:rFonts w:hint="eastAsia"/>
                <w:kern w:val="0"/>
                <w:sz w:val="18"/>
                <w:szCs w:val="18"/>
              </w:rPr>
              <w:t>、</w:t>
            </w:r>
            <w:r>
              <w:rPr>
                <w:rFonts w:hAnsi="宋体"/>
                <w:kern w:val="0"/>
                <w:sz w:val="18"/>
                <w:szCs w:val="18"/>
              </w:rPr>
              <w:t>颗粒物</w:t>
            </w:r>
          </w:p>
        </w:tc>
      </w:tr>
    </w:tbl>
    <w:p w14:paraId="42C7101B">
      <w:pPr>
        <w:pStyle w:val="138"/>
        <w:numPr>
          <w:ilvl w:val="0"/>
          <w:numId w:val="0"/>
        </w:numPr>
        <w:spacing w:before="156" w:after="156"/>
      </w:pPr>
      <w:r>
        <w:rPr>
          <w:rFonts w:hint="eastAsia"/>
        </w:rPr>
        <w:t xml:space="preserve">B.4.3  </w:t>
      </w:r>
      <w:r>
        <w:t>分类评价</w:t>
      </w:r>
    </w:p>
    <w:p w14:paraId="4F1B7A5F">
      <w:pPr>
        <w:snapToGrid w:val="0"/>
        <w:ind w:firstLine="420" w:firstLineChars="200"/>
        <w:rPr>
          <w:rFonts w:hAnsi="宋体"/>
          <w:szCs w:val="21"/>
        </w:rPr>
      </w:pPr>
      <w:r>
        <w:rPr>
          <w:rFonts w:hAnsi="宋体"/>
          <w:szCs w:val="21"/>
        </w:rPr>
        <w:t>计算出不同影响类型的特征化模型。分类评价的结果采用表</w:t>
      </w:r>
      <w:r>
        <w:rPr>
          <w:rFonts w:hint="eastAsia" w:hAnsi="宋体"/>
          <w:szCs w:val="21"/>
        </w:rPr>
        <w:t>B</w:t>
      </w:r>
      <w:r>
        <w:rPr>
          <w:szCs w:val="21"/>
        </w:rPr>
        <w:t>.7</w:t>
      </w:r>
      <w:r>
        <w:rPr>
          <w:rFonts w:hAnsi="宋体"/>
          <w:szCs w:val="21"/>
        </w:rPr>
        <w:t>中的当量物质表示。</w:t>
      </w:r>
    </w:p>
    <w:p w14:paraId="4204C792">
      <w:pPr>
        <w:pStyle w:val="122"/>
        <w:numPr>
          <w:ilvl w:val="0"/>
          <w:numId w:val="0"/>
        </w:numPr>
        <w:spacing w:before="156" w:after="156"/>
      </w:pPr>
      <w:r>
        <w:rPr>
          <w:rFonts w:hint="eastAsia"/>
        </w:rPr>
        <w:t>表B.7  汽车顶棚用软质聚氨酯泡沫塑料</w:t>
      </w:r>
      <w:r>
        <w:t>产品生命周期影响评价示例</w:t>
      </w:r>
    </w:p>
    <w:tbl>
      <w:tblPr>
        <w:tblStyle w:val="56"/>
        <w:tblW w:w="0" w:type="auto"/>
        <w:tblInd w:w="114"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121"/>
        <w:gridCol w:w="2374"/>
        <w:gridCol w:w="2400"/>
        <w:gridCol w:w="2455"/>
      </w:tblGrid>
      <w:tr w14:paraId="7F66F5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21" w:type="dxa"/>
            <w:tcBorders>
              <w:bottom w:val="single" w:color="auto" w:sz="8" w:space="0"/>
            </w:tcBorders>
            <w:vAlign w:val="center"/>
          </w:tcPr>
          <w:p w14:paraId="6E472BFA">
            <w:pPr>
              <w:widowControl/>
              <w:snapToGrid w:val="0"/>
              <w:jc w:val="center"/>
              <w:rPr>
                <w:kern w:val="0"/>
                <w:sz w:val="18"/>
                <w:szCs w:val="18"/>
              </w:rPr>
            </w:pPr>
            <w:r>
              <w:rPr>
                <w:rFonts w:hAnsi="宋体"/>
                <w:kern w:val="0"/>
                <w:sz w:val="18"/>
                <w:szCs w:val="18"/>
              </w:rPr>
              <w:t>环境类别</w:t>
            </w:r>
          </w:p>
        </w:tc>
        <w:tc>
          <w:tcPr>
            <w:tcW w:w="2374" w:type="dxa"/>
            <w:tcBorders>
              <w:bottom w:val="single" w:color="auto" w:sz="8" w:space="0"/>
            </w:tcBorders>
            <w:vAlign w:val="center"/>
          </w:tcPr>
          <w:p w14:paraId="680D5401">
            <w:pPr>
              <w:widowControl/>
              <w:snapToGrid w:val="0"/>
              <w:jc w:val="center"/>
              <w:rPr>
                <w:kern w:val="0"/>
                <w:sz w:val="18"/>
                <w:szCs w:val="18"/>
              </w:rPr>
            </w:pPr>
            <w:r>
              <w:rPr>
                <w:rFonts w:hAnsi="宋体"/>
                <w:kern w:val="0"/>
                <w:sz w:val="18"/>
                <w:szCs w:val="18"/>
              </w:rPr>
              <w:t>单</w:t>
            </w:r>
            <w:r>
              <w:rPr>
                <w:kern w:val="0"/>
                <w:sz w:val="18"/>
                <w:szCs w:val="18"/>
              </w:rPr>
              <w:t xml:space="preserve">  </w:t>
            </w:r>
            <w:r>
              <w:rPr>
                <w:rFonts w:hAnsi="宋体"/>
                <w:kern w:val="0"/>
                <w:sz w:val="18"/>
                <w:szCs w:val="18"/>
              </w:rPr>
              <w:t>位</w:t>
            </w:r>
          </w:p>
        </w:tc>
        <w:tc>
          <w:tcPr>
            <w:tcW w:w="2400" w:type="dxa"/>
            <w:tcBorders>
              <w:bottom w:val="single" w:color="auto" w:sz="8" w:space="0"/>
            </w:tcBorders>
            <w:vAlign w:val="center"/>
          </w:tcPr>
          <w:p w14:paraId="4F531D1D">
            <w:pPr>
              <w:snapToGrid w:val="0"/>
              <w:jc w:val="center"/>
              <w:rPr>
                <w:kern w:val="0"/>
                <w:sz w:val="18"/>
                <w:szCs w:val="18"/>
              </w:rPr>
            </w:pPr>
            <w:r>
              <w:rPr>
                <w:rFonts w:hAnsi="宋体"/>
                <w:kern w:val="0"/>
                <w:sz w:val="18"/>
                <w:szCs w:val="18"/>
              </w:rPr>
              <w:t>指标参数</w:t>
            </w:r>
          </w:p>
        </w:tc>
        <w:tc>
          <w:tcPr>
            <w:tcW w:w="2455" w:type="dxa"/>
            <w:tcBorders>
              <w:bottom w:val="single" w:color="auto" w:sz="8" w:space="0"/>
            </w:tcBorders>
            <w:vAlign w:val="center"/>
          </w:tcPr>
          <w:p w14:paraId="4F4304A7">
            <w:pPr>
              <w:widowControl/>
              <w:snapToGrid w:val="0"/>
              <w:jc w:val="center"/>
              <w:rPr>
                <w:kern w:val="0"/>
                <w:sz w:val="18"/>
                <w:szCs w:val="18"/>
              </w:rPr>
            </w:pPr>
            <w:r>
              <w:rPr>
                <w:rFonts w:hAnsi="宋体"/>
                <w:kern w:val="0"/>
                <w:sz w:val="18"/>
                <w:szCs w:val="18"/>
              </w:rPr>
              <w:t>特征化因子</w:t>
            </w:r>
          </w:p>
        </w:tc>
      </w:tr>
      <w:tr w14:paraId="40461C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21" w:type="dxa"/>
            <w:vMerge w:val="restart"/>
            <w:tcBorders>
              <w:top w:val="single" w:color="auto" w:sz="8" w:space="0"/>
              <w:bottom w:val="single" w:color="auto" w:sz="4" w:space="0"/>
            </w:tcBorders>
            <w:vAlign w:val="center"/>
          </w:tcPr>
          <w:p w14:paraId="51A69B21">
            <w:pPr>
              <w:widowControl/>
              <w:snapToGrid w:val="0"/>
              <w:jc w:val="center"/>
              <w:rPr>
                <w:kern w:val="0"/>
                <w:sz w:val="18"/>
                <w:szCs w:val="18"/>
              </w:rPr>
            </w:pPr>
            <w:r>
              <w:rPr>
                <w:rFonts w:hAnsi="宋体"/>
                <w:kern w:val="0"/>
                <w:sz w:val="18"/>
                <w:szCs w:val="18"/>
              </w:rPr>
              <w:t>能源消耗</w:t>
            </w:r>
          </w:p>
        </w:tc>
        <w:tc>
          <w:tcPr>
            <w:tcW w:w="2374" w:type="dxa"/>
            <w:vMerge w:val="restart"/>
            <w:tcBorders>
              <w:top w:val="single" w:color="auto" w:sz="8" w:space="0"/>
              <w:bottom w:val="single" w:color="auto" w:sz="4" w:space="0"/>
            </w:tcBorders>
            <w:vAlign w:val="center"/>
          </w:tcPr>
          <w:p w14:paraId="4DF37782">
            <w:pPr>
              <w:widowControl/>
              <w:snapToGrid w:val="0"/>
              <w:jc w:val="center"/>
              <w:rPr>
                <w:kern w:val="0"/>
                <w:sz w:val="18"/>
                <w:szCs w:val="18"/>
              </w:rPr>
            </w:pPr>
            <w:r>
              <w:rPr>
                <w:rFonts w:hint="eastAsia"/>
                <w:kern w:val="0"/>
                <w:sz w:val="18"/>
                <w:szCs w:val="18"/>
              </w:rPr>
              <w:t>M</w:t>
            </w:r>
            <w:r>
              <w:rPr>
                <w:kern w:val="0"/>
                <w:sz w:val="18"/>
                <w:szCs w:val="18"/>
              </w:rPr>
              <w:t>J/kg(m</w:t>
            </w:r>
            <w:r>
              <w:rPr>
                <w:kern w:val="0"/>
                <w:sz w:val="18"/>
                <w:szCs w:val="18"/>
                <w:vertAlign w:val="superscript"/>
              </w:rPr>
              <w:t>3</w:t>
            </w:r>
            <w:r>
              <w:rPr>
                <w:kern w:val="0"/>
                <w:sz w:val="18"/>
                <w:szCs w:val="18"/>
              </w:rPr>
              <w:t>)</w:t>
            </w:r>
          </w:p>
        </w:tc>
        <w:tc>
          <w:tcPr>
            <w:tcW w:w="2400" w:type="dxa"/>
            <w:tcBorders>
              <w:top w:val="single" w:color="auto" w:sz="8" w:space="0"/>
              <w:bottom w:val="single" w:color="auto" w:sz="4" w:space="0"/>
            </w:tcBorders>
            <w:vAlign w:val="center"/>
          </w:tcPr>
          <w:p w14:paraId="7961D8AA">
            <w:pPr>
              <w:widowControl/>
              <w:snapToGrid w:val="0"/>
              <w:jc w:val="center"/>
              <w:rPr>
                <w:kern w:val="0"/>
                <w:sz w:val="18"/>
                <w:szCs w:val="18"/>
              </w:rPr>
            </w:pPr>
            <w:r>
              <w:rPr>
                <w:rFonts w:hAnsi="宋体"/>
                <w:kern w:val="0"/>
                <w:sz w:val="18"/>
                <w:szCs w:val="18"/>
              </w:rPr>
              <w:t>煤</w:t>
            </w:r>
          </w:p>
        </w:tc>
        <w:tc>
          <w:tcPr>
            <w:tcW w:w="2455" w:type="dxa"/>
            <w:tcBorders>
              <w:top w:val="single" w:color="auto" w:sz="8" w:space="0"/>
              <w:bottom w:val="single" w:color="auto" w:sz="4" w:space="0"/>
            </w:tcBorders>
            <w:vAlign w:val="center"/>
          </w:tcPr>
          <w:p w14:paraId="16798B97">
            <w:pPr>
              <w:widowControl/>
              <w:snapToGrid w:val="0"/>
              <w:jc w:val="center"/>
              <w:rPr>
                <w:kern w:val="0"/>
                <w:sz w:val="18"/>
                <w:szCs w:val="18"/>
              </w:rPr>
            </w:pPr>
            <w:r>
              <w:rPr>
                <w:kern w:val="0"/>
                <w:sz w:val="18"/>
                <w:szCs w:val="18"/>
              </w:rPr>
              <w:t>18</w:t>
            </w:r>
          </w:p>
        </w:tc>
      </w:tr>
      <w:tr w14:paraId="6310D2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21" w:type="dxa"/>
            <w:vMerge w:val="continue"/>
            <w:tcBorders>
              <w:top w:val="single" w:color="auto" w:sz="4" w:space="0"/>
              <w:bottom w:val="single" w:color="auto" w:sz="4" w:space="0"/>
            </w:tcBorders>
            <w:vAlign w:val="center"/>
          </w:tcPr>
          <w:p w14:paraId="3877F7C0">
            <w:pPr>
              <w:widowControl/>
              <w:snapToGrid w:val="0"/>
              <w:jc w:val="center"/>
              <w:rPr>
                <w:kern w:val="0"/>
                <w:sz w:val="18"/>
                <w:szCs w:val="18"/>
              </w:rPr>
            </w:pPr>
          </w:p>
        </w:tc>
        <w:tc>
          <w:tcPr>
            <w:tcW w:w="2374" w:type="dxa"/>
            <w:vMerge w:val="continue"/>
            <w:tcBorders>
              <w:top w:val="single" w:color="auto" w:sz="4" w:space="0"/>
              <w:bottom w:val="single" w:color="auto" w:sz="4" w:space="0"/>
            </w:tcBorders>
            <w:vAlign w:val="center"/>
          </w:tcPr>
          <w:p w14:paraId="4F995EA1">
            <w:pPr>
              <w:widowControl/>
              <w:snapToGrid w:val="0"/>
              <w:jc w:val="center"/>
              <w:rPr>
                <w:kern w:val="0"/>
                <w:sz w:val="18"/>
                <w:szCs w:val="18"/>
              </w:rPr>
            </w:pPr>
          </w:p>
        </w:tc>
        <w:tc>
          <w:tcPr>
            <w:tcW w:w="2400" w:type="dxa"/>
            <w:tcBorders>
              <w:top w:val="single" w:color="auto" w:sz="4" w:space="0"/>
              <w:bottom w:val="single" w:color="auto" w:sz="4" w:space="0"/>
            </w:tcBorders>
            <w:vAlign w:val="center"/>
          </w:tcPr>
          <w:p w14:paraId="5BEBD15D">
            <w:pPr>
              <w:widowControl/>
              <w:snapToGrid w:val="0"/>
              <w:jc w:val="center"/>
              <w:rPr>
                <w:kern w:val="0"/>
                <w:sz w:val="18"/>
                <w:szCs w:val="18"/>
              </w:rPr>
            </w:pPr>
            <w:r>
              <w:rPr>
                <w:rFonts w:hAnsi="宋体"/>
                <w:kern w:val="0"/>
                <w:sz w:val="18"/>
                <w:szCs w:val="18"/>
              </w:rPr>
              <w:t>石油</w:t>
            </w:r>
          </w:p>
        </w:tc>
        <w:tc>
          <w:tcPr>
            <w:tcW w:w="2455" w:type="dxa"/>
            <w:tcBorders>
              <w:top w:val="single" w:color="auto" w:sz="4" w:space="0"/>
              <w:bottom w:val="single" w:color="auto" w:sz="4" w:space="0"/>
            </w:tcBorders>
            <w:vAlign w:val="center"/>
          </w:tcPr>
          <w:p w14:paraId="1823051A">
            <w:pPr>
              <w:widowControl/>
              <w:snapToGrid w:val="0"/>
              <w:jc w:val="center"/>
              <w:rPr>
                <w:kern w:val="0"/>
                <w:sz w:val="18"/>
                <w:szCs w:val="18"/>
              </w:rPr>
            </w:pPr>
            <w:r>
              <w:rPr>
                <w:kern w:val="0"/>
                <w:sz w:val="18"/>
                <w:szCs w:val="18"/>
              </w:rPr>
              <w:t>43.2</w:t>
            </w:r>
          </w:p>
        </w:tc>
      </w:tr>
      <w:tr w14:paraId="398E23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21" w:type="dxa"/>
            <w:vMerge w:val="continue"/>
            <w:tcBorders>
              <w:top w:val="single" w:color="auto" w:sz="4" w:space="0"/>
              <w:bottom w:val="single" w:color="auto" w:sz="4" w:space="0"/>
            </w:tcBorders>
            <w:vAlign w:val="center"/>
          </w:tcPr>
          <w:p w14:paraId="15148393">
            <w:pPr>
              <w:widowControl/>
              <w:snapToGrid w:val="0"/>
              <w:jc w:val="center"/>
              <w:rPr>
                <w:kern w:val="0"/>
                <w:sz w:val="18"/>
                <w:szCs w:val="18"/>
              </w:rPr>
            </w:pPr>
          </w:p>
        </w:tc>
        <w:tc>
          <w:tcPr>
            <w:tcW w:w="2374" w:type="dxa"/>
            <w:vMerge w:val="continue"/>
            <w:tcBorders>
              <w:top w:val="single" w:color="auto" w:sz="4" w:space="0"/>
              <w:bottom w:val="single" w:color="auto" w:sz="4" w:space="0"/>
            </w:tcBorders>
            <w:vAlign w:val="center"/>
          </w:tcPr>
          <w:p w14:paraId="1EEA8AC1">
            <w:pPr>
              <w:widowControl/>
              <w:snapToGrid w:val="0"/>
              <w:jc w:val="center"/>
              <w:rPr>
                <w:kern w:val="0"/>
                <w:sz w:val="18"/>
                <w:szCs w:val="18"/>
              </w:rPr>
            </w:pPr>
          </w:p>
        </w:tc>
        <w:tc>
          <w:tcPr>
            <w:tcW w:w="2400" w:type="dxa"/>
            <w:tcBorders>
              <w:top w:val="single" w:color="auto" w:sz="4" w:space="0"/>
              <w:bottom w:val="single" w:color="auto" w:sz="4" w:space="0"/>
            </w:tcBorders>
            <w:vAlign w:val="center"/>
          </w:tcPr>
          <w:p w14:paraId="741D8323">
            <w:pPr>
              <w:widowControl/>
              <w:snapToGrid w:val="0"/>
              <w:jc w:val="center"/>
              <w:rPr>
                <w:kern w:val="0"/>
                <w:sz w:val="18"/>
                <w:szCs w:val="18"/>
              </w:rPr>
            </w:pPr>
            <w:r>
              <w:rPr>
                <w:rFonts w:hAnsi="宋体"/>
                <w:kern w:val="0"/>
                <w:sz w:val="18"/>
                <w:szCs w:val="18"/>
              </w:rPr>
              <w:t>天然气</w:t>
            </w:r>
          </w:p>
        </w:tc>
        <w:tc>
          <w:tcPr>
            <w:tcW w:w="2455" w:type="dxa"/>
            <w:tcBorders>
              <w:top w:val="single" w:color="auto" w:sz="4" w:space="0"/>
              <w:bottom w:val="single" w:color="auto" w:sz="4" w:space="0"/>
            </w:tcBorders>
            <w:vAlign w:val="center"/>
          </w:tcPr>
          <w:p w14:paraId="29E264B5">
            <w:pPr>
              <w:widowControl/>
              <w:snapToGrid w:val="0"/>
              <w:jc w:val="center"/>
              <w:rPr>
                <w:kern w:val="0"/>
                <w:sz w:val="18"/>
                <w:szCs w:val="18"/>
              </w:rPr>
            </w:pPr>
            <w:r>
              <w:rPr>
                <w:kern w:val="0"/>
                <w:sz w:val="18"/>
                <w:szCs w:val="18"/>
              </w:rPr>
              <w:t>34.5</w:t>
            </w:r>
          </w:p>
        </w:tc>
      </w:tr>
      <w:tr w14:paraId="621D9A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40" w:hRule="atLeast"/>
        </w:trPr>
        <w:tc>
          <w:tcPr>
            <w:tcW w:w="2121" w:type="dxa"/>
            <w:vMerge w:val="restart"/>
            <w:tcBorders>
              <w:top w:val="single" w:color="auto" w:sz="4" w:space="0"/>
              <w:bottom w:val="single" w:color="auto" w:sz="4" w:space="0"/>
            </w:tcBorders>
            <w:vAlign w:val="center"/>
          </w:tcPr>
          <w:p w14:paraId="16FBA179">
            <w:pPr>
              <w:widowControl/>
              <w:snapToGrid w:val="0"/>
              <w:jc w:val="center"/>
              <w:rPr>
                <w:kern w:val="0"/>
                <w:sz w:val="18"/>
                <w:szCs w:val="18"/>
              </w:rPr>
            </w:pPr>
            <w:r>
              <w:rPr>
                <w:rFonts w:hAnsi="宋体"/>
                <w:kern w:val="0"/>
                <w:sz w:val="18"/>
                <w:szCs w:val="18"/>
              </w:rPr>
              <w:t>全球变暖</w:t>
            </w:r>
          </w:p>
        </w:tc>
        <w:tc>
          <w:tcPr>
            <w:tcW w:w="2374" w:type="dxa"/>
            <w:vMerge w:val="restart"/>
            <w:tcBorders>
              <w:top w:val="single" w:color="auto" w:sz="4" w:space="0"/>
              <w:bottom w:val="single" w:color="auto" w:sz="4" w:space="0"/>
            </w:tcBorders>
            <w:vAlign w:val="center"/>
          </w:tcPr>
          <w:p w14:paraId="12EB4F12">
            <w:pPr>
              <w:widowControl/>
              <w:snapToGrid w:val="0"/>
              <w:jc w:val="center"/>
              <w:rPr>
                <w:kern w:val="0"/>
                <w:sz w:val="18"/>
                <w:szCs w:val="18"/>
              </w:rPr>
            </w:pPr>
            <w:r>
              <w:rPr>
                <w:kern w:val="0"/>
                <w:sz w:val="18"/>
                <w:szCs w:val="18"/>
              </w:rPr>
              <w:t>kg CO</w:t>
            </w:r>
            <w:r>
              <w:rPr>
                <w:kern w:val="0"/>
                <w:sz w:val="18"/>
                <w:szCs w:val="18"/>
                <w:vertAlign w:val="subscript"/>
              </w:rPr>
              <w:t>2</w:t>
            </w:r>
            <w:r>
              <w:rPr>
                <w:rFonts w:hAnsi="宋体"/>
                <w:kern w:val="0"/>
                <w:sz w:val="18"/>
                <w:szCs w:val="18"/>
              </w:rPr>
              <w:t>当量</w:t>
            </w:r>
            <w:r>
              <w:rPr>
                <w:kern w:val="0"/>
                <w:sz w:val="18"/>
                <w:szCs w:val="18"/>
              </w:rPr>
              <w:t>/kg</w:t>
            </w:r>
          </w:p>
        </w:tc>
        <w:tc>
          <w:tcPr>
            <w:tcW w:w="2400" w:type="dxa"/>
            <w:tcBorders>
              <w:top w:val="single" w:color="auto" w:sz="4" w:space="0"/>
              <w:bottom w:val="single" w:color="auto" w:sz="4" w:space="0"/>
            </w:tcBorders>
            <w:vAlign w:val="center"/>
          </w:tcPr>
          <w:p w14:paraId="5E5D1B5C">
            <w:pPr>
              <w:widowControl/>
              <w:snapToGrid w:val="0"/>
              <w:jc w:val="center"/>
              <w:rPr>
                <w:kern w:val="0"/>
                <w:sz w:val="18"/>
                <w:szCs w:val="18"/>
              </w:rPr>
            </w:pPr>
            <w:r>
              <w:rPr>
                <w:kern w:val="0"/>
                <w:sz w:val="18"/>
                <w:szCs w:val="18"/>
              </w:rPr>
              <w:t>CO</w:t>
            </w:r>
            <w:r>
              <w:rPr>
                <w:kern w:val="0"/>
                <w:sz w:val="18"/>
                <w:szCs w:val="18"/>
                <w:vertAlign w:val="subscript"/>
              </w:rPr>
              <w:t>2</w:t>
            </w:r>
          </w:p>
        </w:tc>
        <w:tc>
          <w:tcPr>
            <w:tcW w:w="2455" w:type="dxa"/>
            <w:tcBorders>
              <w:top w:val="single" w:color="auto" w:sz="4" w:space="0"/>
              <w:bottom w:val="single" w:color="auto" w:sz="4" w:space="0"/>
            </w:tcBorders>
            <w:vAlign w:val="center"/>
          </w:tcPr>
          <w:p w14:paraId="1160A6FD">
            <w:pPr>
              <w:widowControl/>
              <w:snapToGrid w:val="0"/>
              <w:jc w:val="center"/>
              <w:rPr>
                <w:kern w:val="0"/>
                <w:sz w:val="18"/>
                <w:szCs w:val="18"/>
              </w:rPr>
            </w:pPr>
            <w:r>
              <w:rPr>
                <w:kern w:val="0"/>
                <w:sz w:val="18"/>
                <w:szCs w:val="18"/>
              </w:rPr>
              <w:t>1</w:t>
            </w:r>
          </w:p>
        </w:tc>
      </w:tr>
      <w:tr w14:paraId="79E55C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21" w:type="dxa"/>
            <w:vMerge w:val="continue"/>
            <w:tcBorders>
              <w:top w:val="single" w:color="auto" w:sz="4" w:space="0"/>
              <w:bottom w:val="single" w:color="auto" w:sz="4" w:space="0"/>
            </w:tcBorders>
            <w:vAlign w:val="center"/>
          </w:tcPr>
          <w:p w14:paraId="7D0B121F">
            <w:pPr>
              <w:widowControl/>
              <w:snapToGrid w:val="0"/>
              <w:jc w:val="center"/>
              <w:rPr>
                <w:kern w:val="0"/>
                <w:sz w:val="18"/>
                <w:szCs w:val="18"/>
              </w:rPr>
            </w:pPr>
          </w:p>
        </w:tc>
        <w:tc>
          <w:tcPr>
            <w:tcW w:w="2374" w:type="dxa"/>
            <w:vMerge w:val="continue"/>
            <w:tcBorders>
              <w:top w:val="single" w:color="auto" w:sz="4" w:space="0"/>
              <w:bottom w:val="single" w:color="auto" w:sz="4" w:space="0"/>
            </w:tcBorders>
            <w:vAlign w:val="center"/>
          </w:tcPr>
          <w:p w14:paraId="4AE56E2E">
            <w:pPr>
              <w:widowControl/>
              <w:snapToGrid w:val="0"/>
              <w:jc w:val="center"/>
              <w:rPr>
                <w:kern w:val="0"/>
                <w:sz w:val="18"/>
                <w:szCs w:val="18"/>
              </w:rPr>
            </w:pPr>
          </w:p>
        </w:tc>
        <w:tc>
          <w:tcPr>
            <w:tcW w:w="2400" w:type="dxa"/>
            <w:tcBorders>
              <w:top w:val="single" w:color="auto" w:sz="4" w:space="0"/>
              <w:bottom w:val="single" w:color="auto" w:sz="4" w:space="0"/>
            </w:tcBorders>
            <w:vAlign w:val="center"/>
          </w:tcPr>
          <w:p w14:paraId="355A70E2">
            <w:pPr>
              <w:widowControl/>
              <w:snapToGrid w:val="0"/>
              <w:jc w:val="center"/>
              <w:rPr>
                <w:kern w:val="0"/>
                <w:sz w:val="18"/>
                <w:szCs w:val="18"/>
              </w:rPr>
            </w:pPr>
            <w:r>
              <w:rPr>
                <w:kern w:val="0"/>
                <w:sz w:val="18"/>
                <w:szCs w:val="18"/>
              </w:rPr>
              <w:t>CH</w:t>
            </w:r>
            <w:r>
              <w:rPr>
                <w:kern w:val="0"/>
                <w:sz w:val="18"/>
                <w:szCs w:val="18"/>
                <w:vertAlign w:val="subscript"/>
              </w:rPr>
              <w:t>4</w:t>
            </w:r>
          </w:p>
        </w:tc>
        <w:tc>
          <w:tcPr>
            <w:tcW w:w="2455" w:type="dxa"/>
            <w:tcBorders>
              <w:top w:val="single" w:color="auto" w:sz="4" w:space="0"/>
              <w:bottom w:val="single" w:color="auto" w:sz="4" w:space="0"/>
            </w:tcBorders>
            <w:vAlign w:val="center"/>
          </w:tcPr>
          <w:p w14:paraId="1B4DF8CE">
            <w:pPr>
              <w:widowControl/>
              <w:snapToGrid w:val="0"/>
              <w:jc w:val="center"/>
              <w:rPr>
                <w:kern w:val="0"/>
                <w:sz w:val="18"/>
                <w:szCs w:val="18"/>
              </w:rPr>
            </w:pPr>
            <w:r>
              <w:rPr>
                <w:kern w:val="0"/>
                <w:sz w:val="18"/>
                <w:szCs w:val="18"/>
              </w:rPr>
              <w:t>28</w:t>
            </w:r>
          </w:p>
        </w:tc>
      </w:tr>
      <w:tr w14:paraId="7AF4E3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21" w:type="dxa"/>
            <w:tcBorders>
              <w:top w:val="single" w:color="auto" w:sz="4" w:space="0"/>
              <w:bottom w:val="single" w:color="auto" w:sz="4" w:space="0"/>
            </w:tcBorders>
            <w:vAlign w:val="center"/>
          </w:tcPr>
          <w:p w14:paraId="2F17EC01">
            <w:pPr>
              <w:widowControl/>
              <w:snapToGrid w:val="0"/>
              <w:jc w:val="center"/>
              <w:rPr>
                <w:kern w:val="0"/>
                <w:sz w:val="18"/>
                <w:szCs w:val="18"/>
              </w:rPr>
            </w:pPr>
            <w:r>
              <w:rPr>
                <w:rFonts w:hAnsi="宋体"/>
                <w:kern w:val="0"/>
                <w:sz w:val="18"/>
                <w:szCs w:val="18"/>
              </w:rPr>
              <w:t>富营养化</w:t>
            </w:r>
          </w:p>
        </w:tc>
        <w:tc>
          <w:tcPr>
            <w:tcW w:w="2374" w:type="dxa"/>
            <w:tcBorders>
              <w:top w:val="single" w:color="auto" w:sz="4" w:space="0"/>
              <w:bottom w:val="single" w:color="auto" w:sz="4" w:space="0"/>
            </w:tcBorders>
            <w:vAlign w:val="center"/>
          </w:tcPr>
          <w:p w14:paraId="4B4F67A9">
            <w:pPr>
              <w:widowControl/>
              <w:snapToGrid w:val="0"/>
              <w:jc w:val="center"/>
              <w:rPr>
                <w:kern w:val="0"/>
                <w:sz w:val="18"/>
                <w:szCs w:val="18"/>
              </w:rPr>
            </w:pPr>
            <w:r>
              <w:rPr>
                <w:kern w:val="0"/>
                <w:sz w:val="18"/>
                <w:szCs w:val="18"/>
              </w:rPr>
              <w:t>kg PO</w:t>
            </w:r>
            <w:r>
              <w:rPr>
                <w:kern w:val="0"/>
                <w:sz w:val="18"/>
                <w:szCs w:val="18"/>
                <w:vertAlign w:val="subscript"/>
              </w:rPr>
              <w:t>4</w:t>
            </w:r>
            <w:r>
              <w:rPr>
                <w:kern w:val="0"/>
                <w:sz w:val="18"/>
                <w:szCs w:val="18"/>
                <w:vertAlign w:val="superscript"/>
              </w:rPr>
              <w:t>3-</w:t>
            </w:r>
            <w:r>
              <w:rPr>
                <w:rFonts w:hAnsi="宋体"/>
                <w:kern w:val="0"/>
                <w:sz w:val="18"/>
                <w:szCs w:val="18"/>
              </w:rPr>
              <w:t>当量</w:t>
            </w:r>
            <w:r>
              <w:rPr>
                <w:kern w:val="0"/>
                <w:sz w:val="18"/>
                <w:szCs w:val="18"/>
              </w:rPr>
              <w:t>/kg</w:t>
            </w:r>
          </w:p>
        </w:tc>
        <w:tc>
          <w:tcPr>
            <w:tcW w:w="2400" w:type="dxa"/>
            <w:tcBorders>
              <w:top w:val="single" w:color="auto" w:sz="4" w:space="0"/>
              <w:bottom w:val="single" w:color="auto" w:sz="4" w:space="0"/>
            </w:tcBorders>
            <w:vAlign w:val="center"/>
          </w:tcPr>
          <w:p w14:paraId="72D2EC6B">
            <w:pPr>
              <w:widowControl/>
              <w:snapToGrid w:val="0"/>
              <w:jc w:val="center"/>
              <w:rPr>
                <w:kern w:val="0"/>
                <w:sz w:val="18"/>
                <w:szCs w:val="18"/>
              </w:rPr>
            </w:pPr>
            <w:r>
              <w:rPr>
                <w:kern w:val="0"/>
                <w:sz w:val="18"/>
                <w:szCs w:val="18"/>
              </w:rPr>
              <w:t>NOx</w:t>
            </w:r>
          </w:p>
        </w:tc>
        <w:tc>
          <w:tcPr>
            <w:tcW w:w="2455" w:type="dxa"/>
            <w:tcBorders>
              <w:top w:val="single" w:color="auto" w:sz="4" w:space="0"/>
              <w:bottom w:val="single" w:color="auto" w:sz="4" w:space="0"/>
            </w:tcBorders>
            <w:vAlign w:val="center"/>
          </w:tcPr>
          <w:p w14:paraId="1D4A5FB2">
            <w:pPr>
              <w:widowControl/>
              <w:snapToGrid w:val="0"/>
              <w:jc w:val="center"/>
              <w:rPr>
                <w:kern w:val="0"/>
                <w:sz w:val="18"/>
                <w:szCs w:val="18"/>
              </w:rPr>
            </w:pPr>
            <w:r>
              <w:rPr>
                <w:kern w:val="0"/>
                <w:sz w:val="18"/>
                <w:szCs w:val="18"/>
              </w:rPr>
              <w:t>0.13</w:t>
            </w:r>
          </w:p>
        </w:tc>
      </w:tr>
      <w:tr w14:paraId="0D40B9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21" w:type="dxa"/>
            <w:vMerge w:val="restart"/>
            <w:tcBorders>
              <w:top w:val="single" w:color="auto" w:sz="4" w:space="0"/>
              <w:bottom w:val="single" w:color="auto" w:sz="4" w:space="0"/>
            </w:tcBorders>
            <w:vAlign w:val="center"/>
          </w:tcPr>
          <w:p w14:paraId="1928C8A4">
            <w:pPr>
              <w:widowControl/>
              <w:snapToGrid w:val="0"/>
              <w:jc w:val="center"/>
              <w:rPr>
                <w:kern w:val="0"/>
                <w:sz w:val="18"/>
                <w:szCs w:val="18"/>
              </w:rPr>
            </w:pPr>
            <w:r>
              <w:rPr>
                <w:rFonts w:hAnsi="宋体"/>
                <w:kern w:val="0"/>
                <w:sz w:val="18"/>
                <w:szCs w:val="18"/>
              </w:rPr>
              <w:t>人体健康</w:t>
            </w:r>
            <w:r>
              <w:rPr>
                <w:rFonts w:hint="eastAsia" w:hAnsi="宋体"/>
                <w:kern w:val="0"/>
                <w:sz w:val="18"/>
                <w:szCs w:val="18"/>
              </w:rPr>
              <w:t>损害</w:t>
            </w:r>
          </w:p>
        </w:tc>
        <w:tc>
          <w:tcPr>
            <w:tcW w:w="2374" w:type="dxa"/>
            <w:vMerge w:val="restart"/>
            <w:tcBorders>
              <w:top w:val="single" w:color="auto" w:sz="4" w:space="0"/>
              <w:bottom w:val="single" w:color="auto" w:sz="4" w:space="0"/>
            </w:tcBorders>
            <w:vAlign w:val="center"/>
          </w:tcPr>
          <w:p w14:paraId="21D1117D">
            <w:pPr>
              <w:widowControl/>
              <w:snapToGrid w:val="0"/>
              <w:jc w:val="center"/>
              <w:rPr>
                <w:kern w:val="0"/>
                <w:sz w:val="18"/>
                <w:szCs w:val="18"/>
              </w:rPr>
            </w:pPr>
            <w:r>
              <w:rPr>
                <w:kern w:val="0"/>
                <w:sz w:val="18"/>
                <w:szCs w:val="18"/>
              </w:rPr>
              <w:t>kg 1,4-</w:t>
            </w:r>
            <w:r>
              <w:rPr>
                <w:rFonts w:hAnsi="宋体"/>
                <w:kern w:val="0"/>
                <w:sz w:val="18"/>
                <w:szCs w:val="18"/>
              </w:rPr>
              <w:t>二氯苯当量</w:t>
            </w:r>
            <w:r>
              <w:rPr>
                <w:kern w:val="0"/>
                <w:sz w:val="18"/>
                <w:szCs w:val="18"/>
              </w:rPr>
              <w:t>/kg</w:t>
            </w:r>
          </w:p>
        </w:tc>
        <w:tc>
          <w:tcPr>
            <w:tcW w:w="2400" w:type="dxa"/>
            <w:tcBorders>
              <w:top w:val="single" w:color="auto" w:sz="4" w:space="0"/>
              <w:bottom w:val="single" w:color="auto" w:sz="4" w:space="0"/>
            </w:tcBorders>
            <w:vAlign w:val="center"/>
          </w:tcPr>
          <w:p w14:paraId="3036DA6C">
            <w:pPr>
              <w:widowControl/>
              <w:snapToGrid w:val="0"/>
              <w:jc w:val="center"/>
              <w:rPr>
                <w:kern w:val="0"/>
                <w:sz w:val="18"/>
                <w:szCs w:val="18"/>
              </w:rPr>
            </w:pPr>
            <w:r>
              <w:rPr>
                <w:kern w:val="0"/>
                <w:sz w:val="18"/>
                <w:szCs w:val="18"/>
              </w:rPr>
              <w:t>NO</w:t>
            </w:r>
            <w:r>
              <w:rPr>
                <w:kern w:val="0"/>
                <w:sz w:val="18"/>
                <w:szCs w:val="18"/>
                <w:vertAlign w:val="subscript"/>
              </w:rPr>
              <w:t>x</w:t>
            </w:r>
          </w:p>
        </w:tc>
        <w:tc>
          <w:tcPr>
            <w:tcW w:w="2455" w:type="dxa"/>
            <w:tcBorders>
              <w:top w:val="single" w:color="auto" w:sz="4" w:space="0"/>
              <w:bottom w:val="single" w:color="auto" w:sz="4" w:space="0"/>
            </w:tcBorders>
            <w:vAlign w:val="center"/>
          </w:tcPr>
          <w:p w14:paraId="49A4243C">
            <w:pPr>
              <w:widowControl/>
              <w:snapToGrid w:val="0"/>
              <w:jc w:val="center"/>
              <w:rPr>
                <w:kern w:val="0"/>
                <w:sz w:val="18"/>
                <w:szCs w:val="18"/>
              </w:rPr>
            </w:pPr>
            <w:r>
              <w:rPr>
                <w:kern w:val="0"/>
                <w:sz w:val="18"/>
                <w:szCs w:val="18"/>
              </w:rPr>
              <w:t>1.2</w:t>
            </w:r>
          </w:p>
        </w:tc>
      </w:tr>
      <w:tr w14:paraId="483B7D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21" w:type="dxa"/>
            <w:vMerge w:val="continue"/>
            <w:tcBorders>
              <w:top w:val="single" w:color="auto" w:sz="4" w:space="0"/>
              <w:bottom w:val="single" w:color="auto" w:sz="4" w:space="0"/>
            </w:tcBorders>
            <w:vAlign w:val="center"/>
          </w:tcPr>
          <w:p w14:paraId="00E453D9">
            <w:pPr>
              <w:widowControl/>
              <w:snapToGrid w:val="0"/>
              <w:jc w:val="center"/>
              <w:rPr>
                <w:kern w:val="0"/>
                <w:sz w:val="18"/>
                <w:szCs w:val="18"/>
              </w:rPr>
            </w:pPr>
          </w:p>
        </w:tc>
        <w:tc>
          <w:tcPr>
            <w:tcW w:w="2374" w:type="dxa"/>
            <w:vMerge w:val="continue"/>
            <w:tcBorders>
              <w:top w:val="single" w:color="auto" w:sz="4" w:space="0"/>
              <w:bottom w:val="single" w:color="auto" w:sz="4" w:space="0"/>
            </w:tcBorders>
            <w:vAlign w:val="center"/>
          </w:tcPr>
          <w:p w14:paraId="53BECF01">
            <w:pPr>
              <w:widowControl/>
              <w:snapToGrid w:val="0"/>
              <w:jc w:val="center"/>
              <w:rPr>
                <w:kern w:val="0"/>
                <w:sz w:val="18"/>
                <w:szCs w:val="18"/>
              </w:rPr>
            </w:pPr>
          </w:p>
        </w:tc>
        <w:tc>
          <w:tcPr>
            <w:tcW w:w="2400" w:type="dxa"/>
            <w:tcBorders>
              <w:top w:val="single" w:color="auto" w:sz="4" w:space="0"/>
              <w:bottom w:val="single" w:color="auto" w:sz="4" w:space="0"/>
            </w:tcBorders>
            <w:vAlign w:val="center"/>
          </w:tcPr>
          <w:p w14:paraId="21F099AF">
            <w:pPr>
              <w:widowControl/>
              <w:snapToGrid w:val="0"/>
              <w:jc w:val="center"/>
              <w:rPr>
                <w:kern w:val="0"/>
                <w:sz w:val="18"/>
                <w:szCs w:val="18"/>
              </w:rPr>
            </w:pPr>
            <w:r>
              <w:rPr>
                <w:kern w:val="0"/>
                <w:sz w:val="18"/>
                <w:szCs w:val="18"/>
              </w:rPr>
              <w:t>SO</w:t>
            </w:r>
            <w:r>
              <w:rPr>
                <w:kern w:val="0"/>
                <w:sz w:val="18"/>
                <w:szCs w:val="18"/>
                <w:vertAlign w:val="subscript"/>
              </w:rPr>
              <w:t>x</w:t>
            </w:r>
          </w:p>
        </w:tc>
        <w:tc>
          <w:tcPr>
            <w:tcW w:w="2455" w:type="dxa"/>
            <w:tcBorders>
              <w:top w:val="single" w:color="auto" w:sz="4" w:space="0"/>
              <w:bottom w:val="single" w:color="auto" w:sz="4" w:space="0"/>
            </w:tcBorders>
            <w:vAlign w:val="center"/>
          </w:tcPr>
          <w:p w14:paraId="031DF297">
            <w:pPr>
              <w:widowControl/>
              <w:snapToGrid w:val="0"/>
              <w:jc w:val="center"/>
              <w:rPr>
                <w:kern w:val="0"/>
                <w:sz w:val="18"/>
                <w:szCs w:val="18"/>
              </w:rPr>
            </w:pPr>
            <w:r>
              <w:rPr>
                <w:kern w:val="0"/>
                <w:sz w:val="18"/>
                <w:szCs w:val="18"/>
              </w:rPr>
              <w:t>0.096</w:t>
            </w:r>
          </w:p>
        </w:tc>
      </w:tr>
      <w:tr w14:paraId="5EEDB7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21" w:type="dxa"/>
            <w:vMerge w:val="continue"/>
            <w:tcBorders>
              <w:top w:val="single" w:color="auto" w:sz="4" w:space="0"/>
            </w:tcBorders>
            <w:vAlign w:val="center"/>
          </w:tcPr>
          <w:p w14:paraId="31272198">
            <w:pPr>
              <w:widowControl/>
              <w:snapToGrid w:val="0"/>
              <w:jc w:val="center"/>
              <w:rPr>
                <w:kern w:val="0"/>
                <w:sz w:val="18"/>
                <w:szCs w:val="18"/>
              </w:rPr>
            </w:pPr>
          </w:p>
        </w:tc>
        <w:tc>
          <w:tcPr>
            <w:tcW w:w="2374" w:type="dxa"/>
            <w:vMerge w:val="continue"/>
            <w:tcBorders>
              <w:top w:val="single" w:color="auto" w:sz="4" w:space="0"/>
            </w:tcBorders>
            <w:vAlign w:val="center"/>
          </w:tcPr>
          <w:p w14:paraId="45EB1A5E">
            <w:pPr>
              <w:widowControl/>
              <w:snapToGrid w:val="0"/>
              <w:jc w:val="center"/>
              <w:rPr>
                <w:kern w:val="0"/>
                <w:sz w:val="18"/>
                <w:szCs w:val="18"/>
              </w:rPr>
            </w:pPr>
          </w:p>
        </w:tc>
        <w:tc>
          <w:tcPr>
            <w:tcW w:w="2400" w:type="dxa"/>
            <w:tcBorders>
              <w:top w:val="single" w:color="auto" w:sz="4" w:space="0"/>
            </w:tcBorders>
            <w:vAlign w:val="center"/>
          </w:tcPr>
          <w:p w14:paraId="56EF1DFF">
            <w:pPr>
              <w:widowControl/>
              <w:snapToGrid w:val="0"/>
              <w:jc w:val="center"/>
              <w:rPr>
                <w:kern w:val="0"/>
                <w:sz w:val="18"/>
                <w:szCs w:val="18"/>
              </w:rPr>
            </w:pPr>
            <w:r>
              <w:rPr>
                <w:rFonts w:hAnsi="宋体"/>
                <w:kern w:val="0"/>
                <w:sz w:val="18"/>
                <w:szCs w:val="18"/>
              </w:rPr>
              <w:t>颗粒物</w:t>
            </w:r>
          </w:p>
        </w:tc>
        <w:tc>
          <w:tcPr>
            <w:tcW w:w="2455" w:type="dxa"/>
            <w:tcBorders>
              <w:top w:val="single" w:color="auto" w:sz="4" w:space="0"/>
            </w:tcBorders>
            <w:vAlign w:val="center"/>
          </w:tcPr>
          <w:p w14:paraId="666109BB">
            <w:pPr>
              <w:widowControl/>
              <w:snapToGrid w:val="0"/>
              <w:jc w:val="center"/>
              <w:rPr>
                <w:kern w:val="0"/>
                <w:sz w:val="18"/>
                <w:szCs w:val="18"/>
              </w:rPr>
            </w:pPr>
            <w:r>
              <w:rPr>
                <w:kern w:val="0"/>
                <w:sz w:val="18"/>
                <w:szCs w:val="18"/>
              </w:rPr>
              <w:t>0.82</w:t>
            </w:r>
          </w:p>
        </w:tc>
      </w:tr>
    </w:tbl>
    <w:p w14:paraId="347B90A9">
      <w:pPr>
        <w:pStyle w:val="138"/>
        <w:numPr>
          <w:ilvl w:val="0"/>
          <w:numId w:val="0"/>
        </w:numPr>
        <w:spacing w:before="156" w:after="156"/>
      </w:pPr>
      <w:r>
        <w:rPr>
          <w:rFonts w:hint="eastAsia"/>
        </w:rPr>
        <w:t xml:space="preserve">B.4.4  </w:t>
      </w:r>
      <w:r>
        <w:t>计算方法</w:t>
      </w:r>
    </w:p>
    <w:p w14:paraId="20B48D38">
      <w:pPr>
        <w:snapToGrid w:val="0"/>
        <w:ind w:firstLine="420" w:firstLineChars="200"/>
        <w:rPr>
          <w:szCs w:val="21"/>
        </w:rPr>
      </w:pPr>
      <w:r>
        <w:rPr>
          <w:rFonts w:hAnsi="宋体"/>
          <w:szCs w:val="21"/>
        </w:rPr>
        <w:t>影响评价结果计算方法见公式</w:t>
      </w:r>
      <w:r>
        <w:rPr>
          <w:rFonts w:hint="eastAsia" w:ascii="宋体" w:hAnsi="宋体"/>
          <w:szCs w:val="21"/>
        </w:rPr>
        <w:t>（</w:t>
      </w:r>
      <w:r>
        <w:rPr>
          <w:rFonts w:hint="eastAsia"/>
          <w:szCs w:val="21"/>
        </w:rPr>
        <w:t>B</w:t>
      </w:r>
      <w:r>
        <w:rPr>
          <w:szCs w:val="21"/>
        </w:rPr>
        <w:t>.1</w:t>
      </w:r>
      <w:r>
        <w:rPr>
          <w:rFonts w:hint="eastAsia" w:ascii="宋体" w:hAnsi="宋体"/>
          <w:szCs w:val="21"/>
        </w:rPr>
        <w:t>）</w:t>
      </w:r>
      <w:r>
        <w:rPr>
          <w:rFonts w:hint="eastAsia"/>
          <w:szCs w:val="21"/>
        </w:rPr>
        <w:t>：</w:t>
      </w:r>
    </w:p>
    <w:p w14:paraId="51E5F0FD">
      <w:pPr>
        <w:snapToGrid w:val="0"/>
        <w:ind w:firstLine="420" w:firstLineChars="200"/>
        <w:jc w:val="right"/>
        <w:rPr>
          <w:szCs w:val="21"/>
        </w:rPr>
      </w:pPr>
      <w:r>
        <w:rPr>
          <w:rFonts w:ascii="宋体" w:hAnsi="宋体"/>
          <w:position w:val="-14"/>
          <w:szCs w:val="21"/>
        </w:rPr>
        <w:object>
          <v:shape id="_x0000_i1026" o:spt="75" type="#_x0000_t75" style="height:17.4pt;width:116.4pt;" o:ole="t" filled="f" o:preferrelative="t" stroked="f" coordsize="21600,21600">
            <v:path/>
            <v:fill on="f" focussize="0,0"/>
            <v:stroke on="f" joinstyle="miter"/>
            <v:imagedata r:id="rId10" o:title=""/>
            <o:lock v:ext="edit" aspectratio="t"/>
            <w10:wrap type="none"/>
            <w10:anchorlock/>
          </v:shape>
          <o:OLEObject Type="Embed" ProgID="Equation.3" ShapeID="_x0000_i1026" DrawAspect="Content" ObjectID="_1468075726" r:id="rId9">
            <o:LockedField>false</o:LockedField>
          </o:OLEObject>
        </w:object>
      </w:r>
      <w:r>
        <w:rPr>
          <w:rFonts w:ascii="宋体" w:hAnsi="宋体"/>
          <w:szCs w:val="21"/>
        </w:rPr>
        <w:t>………………………………</w:t>
      </w:r>
      <w:r>
        <w:rPr>
          <w:rFonts w:hAnsi="宋体"/>
          <w:szCs w:val="21"/>
        </w:rPr>
        <w:t>（</w:t>
      </w:r>
      <w:r>
        <w:rPr>
          <w:rFonts w:hint="eastAsia"/>
          <w:szCs w:val="21"/>
        </w:rPr>
        <w:t>B</w:t>
      </w:r>
      <w:r>
        <w:rPr>
          <w:szCs w:val="21"/>
        </w:rPr>
        <w:t>.1</w:t>
      </w:r>
      <w:r>
        <w:rPr>
          <w:rFonts w:hAnsi="宋体"/>
          <w:szCs w:val="21"/>
        </w:rPr>
        <w:t>）</w:t>
      </w:r>
    </w:p>
    <w:p w14:paraId="51245910">
      <w:pPr>
        <w:ind w:firstLine="420"/>
        <w:rPr>
          <w:szCs w:val="21"/>
        </w:rPr>
      </w:pPr>
      <w:r>
        <w:rPr>
          <w:rFonts w:hAnsi="宋体"/>
          <w:szCs w:val="21"/>
        </w:rPr>
        <w:t>式中</w:t>
      </w:r>
      <w:r>
        <w:rPr>
          <w:rFonts w:hint="eastAsia"/>
          <w:szCs w:val="21"/>
        </w:rPr>
        <w:t>：</w:t>
      </w:r>
    </w:p>
    <w:tbl>
      <w:tblPr>
        <w:tblStyle w:val="56"/>
        <w:tblW w:w="0" w:type="auto"/>
        <w:tblInd w:w="0" w:type="dxa"/>
        <w:tblLayout w:type="autofit"/>
        <w:tblCellMar>
          <w:top w:w="0" w:type="dxa"/>
          <w:left w:w="108" w:type="dxa"/>
          <w:bottom w:w="0" w:type="dxa"/>
          <w:right w:w="108" w:type="dxa"/>
        </w:tblCellMar>
      </w:tblPr>
      <w:tblGrid>
        <w:gridCol w:w="1101"/>
        <w:gridCol w:w="8469"/>
      </w:tblGrid>
      <w:tr w14:paraId="51C00EAF">
        <w:tblPrEx>
          <w:tblCellMar>
            <w:top w:w="0" w:type="dxa"/>
            <w:left w:w="108" w:type="dxa"/>
            <w:bottom w:w="0" w:type="dxa"/>
            <w:right w:w="108" w:type="dxa"/>
          </w:tblCellMar>
        </w:tblPrEx>
        <w:tc>
          <w:tcPr>
            <w:tcW w:w="1101" w:type="dxa"/>
          </w:tcPr>
          <w:p w14:paraId="48048FFA">
            <w:pPr>
              <w:jc w:val="right"/>
              <w:rPr>
                <w:szCs w:val="21"/>
              </w:rPr>
            </w:pPr>
            <w:r>
              <w:rPr>
                <w:rFonts w:hint="eastAsia"/>
                <w:i/>
                <w:szCs w:val="21"/>
              </w:rPr>
              <w:t>EP</w:t>
            </w:r>
            <w:r>
              <w:rPr>
                <w:rFonts w:hint="eastAsia"/>
                <w:i/>
                <w:szCs w:val="21"/>
                <w:vertAlign w:val="subscript"/>
              </w:rPr>
              <w:t>i</w:t>
            </w:r>
          </w:p>
        </w:tc>
        <w:tc>
          <w:tcPr>
            <w:tcW w:w="8475" w:type="dxa"/>
          </w:tcPr>
          <w:p w14:paraId="13E1AE98">
            <w:pPr>
              <w:ind w:left="-105" w:leftChars="-50"/>
              <w:rPr>
                <w:szCs w:val="21"/>
              </w:rPr>
            </w:pPr>
            <w:r>
              <w:rPr>
                <w:szCs w:val="21"/>
              </w:rPr>
              <w:t>——</w:t>
            </w:r>
            <w:r>
              <w:rPr>
                <w:rFonts w:hAnsi="宋体"/>
                <w:szCs w:val="21"/>
              </w:rPr>
              <w:t>第</w:t>
            </w:r>
            <w:r>
              <w:rPr>
                <w:i/>
                <w:szCs w:val="21"/>
              </w:rPr>
              <w:t>i</w:t>
            </w:r>
            <w:r>
              <w:rPr>
                <w:rFonts w:hAnsi="宋体"/>
                <w:szCs w:val="21"/>
              </w:rPr>
              <w:t>种影响类型特征化值；</w:t>
            </w:r>
          </w:p>
        </w:tc>
      </w:tr>
      <w:tr w14:paraId="1F61795B">
        <w:tblPrEx>
          <w:tblCellMar>
            <w:top w:w="0" w:type="dxa"/>
            <w:left w:w="108" w:type="dxa"/>
            <w:bottom w:w="0" w:type="dxa"/>
            <w:right w:w="108" w:type="dxa"/>
          </w:tblCellMar>
        </w:tblPrEx>
        <w:tc>
          <w:tcPr>
            <w:tcW w:w="1101" w:type="dxa"/>
          </w:tcPr>
          <w:p w14:paraId="1DF325DB">
            <w:pPr>
              <w:jc w:val="right"/>
              <w:rPr>
                <w:szCs w:val="21"/>
              </w:rPr>
            </w:pPr>
            <w:r>
              <w:rPr>
                <w:rFonts w:hint="eastAsia"/>
                <w:i/>
                <w:szCs w:val="21"/>
              </w:rPr>
              <w:t>EP</w:t>
            </w:r>
            <w:r>
              <w:rPr>
                <w:rFonts w:hint="eastAsia"/>
                <w:i/>
                <w:szCs w:val="21"/>
                <w:vertAlign w:val="subscript"/>
              </w:rPr>
              <w:t>ij</w:t>
            </w:r>
          </w:p>
        </w:tc>
        <w:tc>
          <w:tcPr>
            <w:tcW w:w="8475" w:type="dxa"/>
          </w:tcPr>
          <w:p w14:paraId="159E9BC3">
            <w:pPr>
              <w:ind w:left="-105" w:leftChars="-50"/>
              <w:rPr>
                <w:szCs w:val="21"/>
              </w:rPr>
            </w:pPr>
            <w:r>
              <w:rPr>
                <w:szCs w:val="21"/>
              </w:rPr>
              <w:t>——</w:t>
            </w:r>
            <w:r>
              <w:rPr>
                <w:rFonts w:hAnsi="宋体"/>
                <w:szCs w:val="21"/>
              </w:rPr>
              <w:t>第</w:t>
            </w:r>
            <w:r>
              <w:rPr>
                <w:i/>
                <w:szCs w:val="21"/>
              </w:rPr>
              <w:t>i</w:t>
            </w:r>
            <w:r>
              <w:rPr>
                <w:rFonts w:hAnsi="宋体"/>
                <w:szCs w:val="21"/>
              </w:rPr>
              <w:t>种影响类型中第</w:t>
            </w:r>
            <w:r>
              <w:rPr>
                <w:i/>
                <w:szCs w:val="21"/>
              </w:rPr>
              <w:t>j</w:t>
            </w:r>
            <w:r>
              <w:rPr>
                <w:rFonts w:hAnsi="宋体"/>
                <w:szCs w:val="21"/>
              </w:rPr>
              <w:t>种清单因子的贡献；</w:t>
            </w:r>
          </w:p>
        </w:tc>
      </w:tr>
      <w:tr w14:paraId="180D2E30">
        <w:tblPrEx>
          <w:tblCellMar>
            <w:top w:w="0" w:type="dxa"/>
            <w:left w:w="108" w:type="dxa"/>
            <w:bottom w:w="0" w:type="dxa"/>
            <w:right w:w="108" w:type="dxa"/>
          </w:tblCellMar>
        </w:tblPrEx>
        <w:tc>
          <w:tcPr>
            <w:tcW w:w="1101" w:type="dxa"/>
          </w:tcPr>
          <w:p w14:paraId="317BF514">
            <w:pPr>
              <w:jc w:val="right"/>
              <w:rPr>
                <w:szCs w:val="21"/>
              </w:rPr>
            </w:pPr>
            <w:r>
              <w:rPr>
                <w:rFonts w:hint="eastAsia"/>
                <w:i/>
                <w:szCs w:val="21"/>
              </w:rPr>
              <w:t>Q</w:t>
            </w:r>
            <w:r>
              <w:rPr>
                <w:rFonts w:hint="eastAsia"/>
                <w:i/>
                <w:szCs w:val="21"/>
                <w:vertAlign w:val="subscript"/>
              </w:rPr>
              <w:t>j</w:t>
            </w:r>
          </w:p>
        </w:tc>
        <w:tc>
          <w:tcPr>
            <w:tcW w:w="8475" w:type="dxa"/>
          </w:tcPr>
          <w:p w14:paraId="19A5911D">
            <w:pPr>
              <w:ind w:left="-105" w:leftChars="-50"/>
              <w:rPr>
                <w:rFonts w:hAnsi="宋体"/>
                <w:szCs w:val="21"/>
              </w:rPr>
            </w:pPr>
            <w:r>
              <w:rPr>
                <w:szCs w:val="21"/>
              </w:rPr>
              <w:t>——</w:t>
            </w:r>
            <w:r>
              <w:rPr>
                <w:rFonts w:hAnsi="宋体"/>
                <w:szCs w:val="21"/>
              </w:rPr>
              <w:t>第</w:t>
            </w:r>
            <w:r>
              <w:rPr>
                <w:i/>
                <w:szCs w:val="21"/>
              </w:rPr>
              <w:t>j</w:t>
            </w:r>
            <w:r>
              <w:rPr>
                <w:rFonts w:hAnsi="宋体"/>
                <w:szCs w:val="21"/>
              </w:rPr>
              <w:t>种清单因子的排放量；</w:t>
            </w:r>
          </w:p>
          <w:p w14:paraId="37AA5E92">
            <w:pPr>
              <w:ind w:left="-105" w:leftChars="-50"/>
              <w:rPr>
                <w:rFonts w:hAnsi="宋体"/>
                <w:szCs w:val="21"/>
              </w:rPr>
            </w:pPr>
          </w:p>
          <w:p w14:paraId="45BC98B5">
            <w:pPr>
              <w:ind w:left="-105" w:leftChars="-50"/>
              <w:rPr>
                <w:rFonts w:hAnsi="宋体"/>
                <w:szCs w:val="21"/>
              </w:rPr>
            </w:pPr>
          </w:p>
          <w:p w14:paraId="72EB2882">
            <w:pPr>
              <w:ind w:left="-105" w:leftChars="-50"/>
              <w:rPr>
                <w:rFonts w:hAnsi="宋体"/>
                <w:szCs w:val="21"/>
              </w:rPr>
            </w:pPr>
          </w:p>
          <w:p w14:paraId="2232870E">
            <w:pPr>
              <w:ind w:left="-105" w:leftChars="-50"/>
              <w:rPr>
                <w:rFonts w:hAnsi="宋体"/>
                <w:szCs w:val="21"/>
              </w:rPr>
            </w:pPr>
          </w:p>
          <w:p w14:paraId="31955293">
            <w:pPr>
              <w:ind w:left="-105" w:leftChars="-50"/>
              <w:rPr>
                <w:rFonts w:hAnsi="宋体"/>
                <w:szCs w:val="21"/>
              </w:rPr>
            </w:pPr>
          </w:p>
          <w:p w14:paraId="01475C52">
            <w:pPr>
              <w:ind w:left="-105" w:leftChars="-50"/>
              <w:rPr>
                <w:rFonts w:hAnsi="宋体"/>
                <w:szCs w:val="21"/>
              </w:rPr>
            </w:pPr>
          </w:p>
          <w:p w14:paraId="3459A4D3">
            <w:pPr>
              <w:ind w:left="-105" w:leftChars="-50"/>
              <w:rPr>
                <w:rFonts w:hAnsi="宋体"/>
                <w:szCs w:val="21"/>
              </w:rPr>
            </w:pPr>
          </w:p>
          <w:p w14:paraId="08F1FA8C">
            <w:pPr>
              <w:ind w:left="-105" w:leftChars="-50"/>
              <w:rPr>
                <w:rFonts w:hAnsi="宋体"/>
                <w:szCs w:val="21"/>
              </w:rPr>
            </w:pPr>
          </w:p>
          <w:p w14:paraId="2DC71633">
            <w:pPr>
              <w:ind w:left="-105" w:leftChars="-50"/>
              <w:rPr>
                <w:rFonts w:hAnsi="宋体"/>
                <w:szCs w:val="21"/>
              </w:rPr>
            </w:pPr>
          </w:p>
          <w:p w14:paraId="566E8757">
            <w:pPr>
              <w:ind w:left="-105" w:leftChars="-50"/>
              <w:rPr>
                <w:rFonts w:hAnsi="宋体"/>
                <w:szCs w:val="21"/>
              </w:rPr>
            </w:pPr>
          </w:p>
          <w:p w14:paraId="378A6570">
            <w:pPr>
              <w:ind w:left="-105" w:leftChars="-50"/>
              <w:rPr>
                <w:rFonts w:hAnsi="宋体"/>
                <w:szCs w:val="21"/>
              </w:rPr>
            </w:pPr>
          </w:p>
          <w:p w14:paraId="1E80C588">
            <w:pPr>
              <w:ind w:left="-105" w:leftChars="-50"/>
              <w:rPr>
                <w:rFonts w:hAnsi="宋体"/>
                <w:szCs w:val="21"/>
              </w:rPr>
            </w:pPr>
          </w:p>
          <w:p w14:paraId="154EAFFD">
            <w:pPr>
              <w:ind w:left="-105" w:leftChars="-50"/>
              <w:rPr>
                <w:rFonts w:hAnsi="宋体"/>
                <w:szCs w:val="21"/>
              </w:rPr>
            </w:pPr>
          </w:p>
          <w:p w14:paraId="0EFE894A">
            <w:pPr>
              <w:ind w:left="-105" w:leftChars="-50"/>
              <w:rPr>
                <w:rFonts w:hAnsi="宋体"/>
                <w:szCs w:val="21"/>
              </w:rPr>
            </w:pPr>
          </w:p>
          <w:p w14:paraId="7BBB3AF7">
            <w:pPr>
              <w:ind w:left="-105" w:leftChars="-50"/>
              <w:rPr>
                <w:rFonts w:hAnsi="宋体"/>
                <w:szCs w:val="21"/>
              </w:rPr>
            </w:pPr>
          </w:p>
          <w:p w14:paraId="2E450205">
            <w:pPr>
              <w:ind w:left="-105" w:leftChars="-50"/>
              <w:rPr>
                <w:rFonts w:hAnsi="宋体"/>
                <w:szCs w:val="21"/>
              </w:rPr>
            </w:pPr>
          </w:p>
          <w:p w14:paraId="080FDCFE">
            <w:pPr>
              <w:ind w:left="-105" w:leftChars="-50"/>
              <w:rPr>
                <w:rFonts w:hAnsi="宋体"/>
                <w:szCs w:val="21"/>
              </w:rPr>
            </w:pPr>
          </w:p>
          <w:p w14:paraId="137871FE">
            <w:pPr>
              <w:ind w:left="-105" w:leftChars="-50"/>
              <w:rPr>
                <w:rFonts w:hAnsi="宋体"/>
                <w:szCs w:val="21"/>
              </w:rPr>
            </w:pPr>
          </w:p>
          <w:p w14:paraId="6436C178">
            <w:pPr>
              <w:ind w:left="-105" w:leftChars="-50"/>
              <w:rPr>
                <w:rFonts w:hAnsi="宋体"/>
                <w:szCs w:val="21"/>
              </w:rPr>
            </w:pPr>
          </w:p>
          <w:p w14:paraId="5236BB90">
            <w:pPr>
              <w:ind w:left="-105" w:leftChars="-50"/>
              <w:rPr>
                <w:rFonts w:hAnsi="宋体"/>
                <w:szCs w:val="21"/>
              </w:rPr>
            </w:pPr>
          </w:p>
          <w:p w14:paraId="2BBC133C">
            <w:pPr>
              <w:ind w:left="-105" w:leftChars="-50"/>
              <w:rPr>
                <w:rFonts w:hAnsi="宋体"/>
                <w:szCs w:val="21"/>
              </w:rPr>
            </w:pPr>
          </w:p>
          <w:p w14:paraId="55CB9090">
            <w:pPr>
              <w:ind w:left="-105" w:leftChars="-50"/>
              <w:rPr>
                <w:rFonts w:hAnsi="宋体"/>
                <w:szCs w:val="21"/>
              </w:rPr>
            </w:pPr>
          </w:p>
          <w:p w14:paraId="031166C0">
            <w:pPr>
              <w:ind w:left="-105" w:leftChars="-50"/>
              <w:rPr>
                <w:rFonts w:hAnsi="宋体"/>
                <w:szCs w:val="21"/>
              </w:rPr>
            </w:pPr>
          </w:p>
          <w:p w14:paraId="60A9EECB">
            <w:pPr>
              <w:ind w:left="-105" w:leftChars="-50"/>
              <w:rPr>
                <w:rFonts w:hAnsi="宋体"/>
                <w:szCs w:val="21"/>
              </w:rPr>
            </w:pPr>
          </w:p>
          <w:p w14:paraId="7B644DB4">
            <w:pPr>
              <w:ind w:left="-105" w:leftChars="-50"/>
              <w:rPr>
                <w:rFonts w:hAnsi="宋体"/>
                <w:szCs w:val="21"/>
              </w:rPr>
            </w:pPr>
          </w:p>
          <w:p w14:paraId="2880B577">
            <w:pPr>
              <w:ind w:left="-105" w:leftChars="-50"/>
              <w:rPr>
                <w:rFonts w:hAnsi="宋体"/>
                <w:szCs w:val="21"/>
              </w:rPr>
            </w:pPr>
          </w:p>
        </w:tc>
      </w:tr>
    </w:tbl>
    <w:p w14:paraId="68705009">
      <w:pPr>
        <w:pStyle w:val="163"/>
        <w:framePr w:hSpace="0" w:vSpace="0" w:wrap="auto" w:vAnchor="margin" w:hAnchor="text" w:xAlign="left" w:yAlign="inline"/>
      </w:pPr>
    </w:p>
    <w:sectPr>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CIDFont+F4">
    <w:altName w:val="Times New Roman"/>
    <w:panose1 w:val="00000000000000000000"/>
    <w:charset w:val="00"/>
    <w:family w:val="roman"/>
    <w:pitch w:val="default"/>
    <w:sig w:usb0="00000000" w:usb1="00000000" w:usb2="00000000" w:usb3="00000000" w:csb0="00000000" w:csb1="00000000"/>
  </w:font>
  <w:font w:name="CIDFont+F5">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9FF22">
    <w:pPr>
      <w:pStyle w:val="77"/>
    </w:pPr>
    <w:r>
      <w:fldChar w:fldCharType="begin"/>
    </w:r>
    <w:r>
      <w:instrText xml:space="preserve"> PAGE  \* MERGEFORMAT </w:instrText>
    </w:r>
    <w:r>
      <w:fldChar w:fldCharType="separate"/>
    </w:r>
    <w:r>
      <w:t>12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D736E">
    <w:pPr>
      <w:pStyle w:val="36"/>
    </w:pPr>
    <w:r>
      <w:t>T/CNLIC ××××—20XX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201"/>
      <w:suff w:val="nothing"/>
      <w:lvlText w:val="%1%2.%3　"/>
      <w:lvlJc w:val="left"/>
      <w:pPr>
        <w:ind w:left="0" w:firstLine="0"/>
      </w:pPr>
      <w:rPr>
        <w:rFonts w:hint="eastAsia" w:ascii="黑体" w:hAnsi="Times New Roman" w:eastAsia="黑体"/>
        <w:b w:val="0"/>
        <w:i w:val="0"/>
        <w:sz w:val="21"/>
      </w:rPr>
    </w:lvl>
    <w:lvl w:ilvl="3" w:tentative="0">
      <w:start w:val="1"/>
      <w:numFmt w:val="decimal"/>
      <w:pStyle w:val="197"/>
      <w:suff w:val="nothing"/>
      <w:lvlText w:val="%1%2.%3.%4　"/>
      <w:lvlJc w:val="left"/>
      <w:pPr>
        <w:ind w:left="0" w:firstLine="0"/>
      </w:pPr>
      <w:rPr>
        <w:rFonts w:hint="eastAsia" w:ascii="黑体" w:hAnsi="Times New Roman" w:eastAsia="黑体"/>
        <w:b w:val="0"/>
        <w:i w:val="0"/>
        <w:sz w:val="21"/>
      </w:rPr>
    </w:lvl>
    <w:lvl w:ilvl="4" w:tentative="0">
      <w:start w:val="1"/>
      <w:numFmt w:val="decimal"/>
      <w:pStyle w:val="198"/>
      <w:suff w:val="nothing"/>
      <w:lvlText w:val="%1%2.%3.%4.%5　"/>
      <w:lvlJc w:val="left"/>
      <w:pPr>
        <w:ind w:left="0" w:firstLine="0"/>
      </w:pPr>
      <w:rPr>
        <w:rFonts w:hint="eastAsia" w:ascii="黑体" w:hAnsi="Times New Roman" w:eastAsia="黑体"/>
        <w:b w:val="0"/>
        <w:i w:val="0"/>
        <w:sz w:val="21"/>
      </w:rPr>
    </w:lvl>
    <w:lvl w:ilvl="5" w:tentative="0">
      <w:start w:val="1"/>
      <w:numFmt w:val="decimal"/>
      <w:pStyle w:val="199"/>
      <w:suff w:val="nothing"/>
      <w:lvlText w:val="%1%2.%3.%4.%5.%6　"/>
      <w:lvlJc w:val="left"/>
      <w:pPr>
        <w:ind w:left="0" w:firstLine="0"/>
      </w:pPr>
      <w:rPr>
        <w:rFonts w:hint="eastAsia" w:ascii="黑体" w:hAnsi="Times New Roman" w:eastAsia="黑体"/>
        <w:b w:val="0"/>
        <w:i w:val="0"/>
        <w:sz w:val="21"/>
      </w:rPr>
    </w:lvl>
    <w:lvl w:ilvl="6" w:tentative="0">
      <w:start w:val="1"/>
      <w:numFmt w:val="decimal"/>
      <w:pStyle w:val="200"/>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A952887"/>
    <w:multiLevelType w:val="multilevel"/>
    <w:tmpl w:val="0A952887"/>
    <w:lvl w:ilvl="0" w:tentative="0">
      <w:start w:val="1"/>
      <w:numFmt w:val="decimal"/>
      <w:pStyle w:val="99"/>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
    <w:nsid w:val="0F805D97"/>
    <w:multiLevelType w:val="multilevel"/>
    <w:tmpl w:val="0F805D97"/>
    <w:lvl w:ilvl="0" w:tentative="0">
      <w:start w:val="1"/>
      <w:numFmt w:val="none"/>
      <w:pStyle w:val="91"/>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
    <w:nsid w:val="115E081A"/>
    <w:multiLevelType w:val="multilevel"/>
    <w:tmpl w:val="115E081A"/>
    <w:lvl w:ilvl="0" w:tentative="0">
      <w:start w:val="1"/>
      <w:numFmt w:val="decimal"/>
      <w:pStyle w:val="239"/>
      <w:suff w:val="nothing"/>
      <w:lvlText w:val="%1  "/>
      <w:lvlJc w:val="left"/>
      <w:pPr>
        <w:ind w:left="0" w:firstLine="0"/>
      </w:pPr>
      <w:rPr>
        <w:rFonts w:hint="eastAsia" w:ascii="黑体" w:eastAsia="黑体"/>
        <w:b w:val="0"/>
        <w:i w:val="0"/>
        <w:caps w:val="0"/>
        <w:smallCaps w:val="0"/>
        <w:strike w:val="0"/>
        <w:dstrike w:val="0"/>
        <w:outline w:val="0"/>
        <w:shadow w:val="0"/>
        <w:emboss w:val="0"/>
        <w:imprint w:val="0"/>
        <w:vanish w:val="0"/>
        <w:spacing w:val="0"/>
        <w:w w:val="100"/>
        <w:kern w:val="21"/>
        <w:position w:val="0"/>
        <w:sz w:val="21"/>
        <w:u w:val="none"/>
        <w:vertAlign w:val="baseline"/>
      </w:rPr>
    </w:lvl>
    <w:lvl w:ilvl="1" w:tentative="0">
      <w:start w:val="1"/>
      <w:numFmt w:val="decimal"/>
      <w:pStyle w:val="240"/>
      <w:suff w:val="nothing"/>
      <w:lvlText w:val="%1.%2  "/>
      <w:lvlJc w:val="left"/>
      <w:pPr>
        <w:ind w:left="0" w:firstLine="0"/>
      </w:pPr>
      <w:rPr>
        <w:rFonts w:hint="eastAsia" w:ascii="宋体" w:hAnsi="宋体" w:eastAsia="宋体"/>
        <w:b w:val="0"/>
        <w:bCs w:val="0"/>
        <w:i w:val="0"/>
        <w:iCs w:val="0"/>
        <w:caps w:val="0"/>
        <w:smallCaps w:val="0"/>
        <w:strike w:val="0"/>
        <w:dstrike w:val="0"/>
        <w:outline w:val="0"/>
        <w:shadow w:val="0"/>
        <w:emboss w:val="0"/>
        <w:imprint w:val="0"/>
        <w:vanish w:val="0"/>
        <w:color w:val="auto"/>
        <w:spacing w:val="0"/>
        <w:w w:val="100"/>
        <w:kern w:val="21"/>
        <w:position w:val="0"/>
        <w:sz w:val="21"/>
        <w:u w:val="none"/>
        <w:shd w:val="clear" w:color="auto" w:fill="auto"/>
        <w:vertAlign w:val="baseline"/>
      </w:rPr>
    </w:lvl>
    <w:lvl w:ilvl="2" w:tentative="0">
      <w:start w:val="1"/>
      <w:numFmt w:val="decimal"/>
      <w:pStyle w:val="241"/>
      <w:suff w:val="nothing"/>
      <w:lvlText w:val="%1.%2.%3  "/>
      <w:lvlJc w:val="left"/>
      <w:pPr>
        <w:ind w:left="945" w:firstLine="0"/>
      </w:pPr>
      <w:rPr>
        <w:rFonts w:ascii="宋体" w:hAnsi="宋体" w:eastAsia="宋体" w:cs="Times New Roman"/>
        <w:b w:val="0"/>
        <w:bCs w:val="0"/>
        <w:i w:val="0"/>
        <w:iCs w:val="0"/>
        <w:caps w:val="0"/>
        <w:smallCaps w:val="0"/>
        <w:strike w:val="0"/>
        <w:dstrike w:val="0"/>
        <w:outline w:val="0"/>
        <w:shadow w:val="0"/>
        <w:emboss w:val="0"/>
        <w:imprint w:val="0"/>
        <w:vanish w:val="0"/>
        <w:color w:val="auto"/>
        <w:spacing w:val="0"/>
        <w:w w:val="100"/>
        <w:kern w:val="21"/>
        <w:position w:val="0"/>
        <w:sz w:val="21"/>
        <w:u w:val="none"/>
        <w:shd w:val="clear" w:color="auto" w:fill="auto"/>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242"/>
      <w:suff w:val="nothing"/>
      <w:lvlText w:val="%1.%2.%3.%4  "/>
      <w:lvlJc w:val="left"/>
      <w:pPr>
        <w:ind w:left="0" w:firstLine="0"/>
      </w:pPr>
      <w:rPr>
        <w:rFonts w:hint="eastAsia" w:ascii="黑体" w:eastAsia="黑体"/>
        <w:b w:val="0"/>
        <w:i w:val="0"/>
        <w:caps w:val="0"/>
        <w:smallCaps w:val="0"/>
        <w:strike w:val="0"/>
        <w:dstrike w:val="0"/>
        <w:outline w:val="0"/>
        <w:shadow w:val="0"/>
        <w:emboss w:val="0"/>
        <w:imprint w:val="0"/>
        <w:vanish w:val="0"/>
        <w:spacing w:val="0"/>
        <w:w w:val="100"/>
        <w:kern w:val="21"/>
        <w:position w:val="0"/>
        <w:sz w:val="21"/>
        <w:u w:val="none"/>
        <w:vertAlign w:val="baseline"/>
      </w:rPr>
    </w:lvl>
    <w:lvl w:ilvl="4" w:tentative="0">
      <w:start w:val="1"/>
      <w:numFmt w:val="decimal"/>
      <w:pStyle w:val="243"/>
      <w:suff w:val="nothing"/>
      <w:lvlText w:val="%1.%2.%3.%4.%5  "/>
      <w:lvlJc w:val="left"/>
      <w:pPr>
        <w:ind w:left="0" w:firstLine="0"/>
      </w:pPr>
      <w:rPr>
        <w:rFonts w:hint="eastAsia" w:ascii="黑体" w:eastAsia="黑体"/>
        <w:b w:val="0"/>
        <w:i w:val="0"/>
        <w:caps w:val="0"/>
        <w:smallCaps w:val="0"/>
        <w:strike w:val="0"/>
        <w:dstrike w:val="0"/>
        <w:outline w:val="0"/>
        <w:shadow w:val="0"/>
        <w:emboss w:val="0"/>
        <w:imprint w:val="0"/>
        <w:vanish w:val="0"/>
        <w:spacing w:val="0"/>
        <w:w w:val="100"/>
        <w:kern w:val="21"/>
        <w:position w:val="0"/>
        <w:sz w:val="21"/>
        <w:u w:val="none"/>
        <w:vertAlign w:val="baseline"/>
      </w:rPr>
    </w:lvl>
    <w:lvl w:ilvl="5" w:tentative="0">
      <w:start w:val="1"/>
      <w:numFmt w:val="decimal"/>
      <w:pStyle w:val="244"/>
      <w:suff w:val="nothing"/>
      <w:lvlText w:val="%1.%2.%3.%4.%5.%6  "/>
      <w:lvlJc w:val="left"/>
      <w:pPr>
        <w:ind w:left="0" w:firstLine="0"/>
      </w:pPr>
      <w:rPr>
        <w:rFonts w:hint="eastAsia" w:ascii="黑体" w:eastAsia="黑体"/>
        <w:b w:val="0"/>
        <w:i w:val="0"/>
        <w:caps w:val="0"/>
        <w:smallCaps w:val="0"/>
        <w:strike w:val="0"/>
        <w:dstrike w:val="0"/>
        <w:outline w:val="0"/>
        <w:shadow w:val="0"/>
        <w:emboss w:val="0"/>
        <w:imprint w:val="0"/>
        <w:vanish w:val="0"/>
        <w:spacing w:val="0"/>
        <w:w w:val="100"/>
        <w:kern w:val="21"/>
        <w:position w:val="0"/>
        <w:sz w:val="21"/>
        <w:u w:val="none"/>
        <w:vertAlign w:val="baseline"/>
      </w:rPr>
    </w:lvl>
    <w:lvl w:ilvl="6" w:tentative="0">
      <w:start w:val="1"/>
      <w:numFmt w:val="lowerRoman"/>
      <w:lvlText w:val="(%7)"/>
      <w:lvlJc w:val="left"/>
      <w:pPr>
        <w:tabs>
          <w:tab w:val="left" w:pos="5528"/>
        </w:tabs>
        <w:ind w:left="5102" w:firstLine="0"/>
      </w:pPr>
    </w:lvl>
    <w:lvl w:ilvl="7" w:tentative="0">
      <w:start w:val="1"/>
      <w:numFmt w:val="lowerLetter"/>
      <w:lvlText w:val="(%8)"/>
      <w:lvlJc w:val="left"/>
      <w:pPr>
        <w:tabs>
          <w:tab w:val="left" w:pos="6378"/>
        </w:tabs>
        <w:ind w:left="5953" w:firstLine="0"/>
      </w:pPr>
    </w:lvl>
    <w:lvl w:ilvl="8" w:tentative="0">
      <w:start w:val="1"/>
      <w:numFmt w:val="lowerRoman"/>
      <w:lvlText w:val="(%9)"/>
      <w:lvlJc w:val="left"/>
      <w:pPr>
        <w:tabs>
          <w:tab w:val="left" w:pos="7228"/>
        </w:tabs>
        <w:ind w:left="6803" w:firstLine="0"/>
      </w:pPr>
    </w:lvl>
  </w:abstractNum>
  <w:abstractNum w:abstractNumId="4">
    <w:nsid w:val="1F361468"/>
    <w:multiLevelType w:val="singleLevel"/>
    <w:tmpl w:val="1F361468"/>
    <w:lvl w:ilvl="0" w:tentative="0">
      <w:start w:val="1"/>
      <w:numFmt w:val="decimal"/>
      <w:pStyle w:val="264"/>
      <w:lvlText w:val="%1"/>
      <w:lvlJc w:val="left"/>
      <w:pPr>
        <w:tabs>
          <w:tab w:val="left" w:pos="785"/>
        </w:tabs>
        <w:ind w:left="680" w:hanging="255"/>
      </w:pPr>
      <w:rPr>
        <w:rFonts w:hint="default" w:ascii="Times New Roman" w:hAnsi="Times New Roman"/>
        <w:b w:val="0"/>
        <w:i w:val="0"/>
        <w:caps w:val="0"/>
        <w:strike w:val="0"/>
        <w:dstrike w:val="0"/>
        <w:outline w:val="0"/>
        <w:shadow w:val="0"/>
        <w:emboss w:val="0"/>
        <w:imprint w:val="0"/>
        <w:vanish w:val="0"/>
        <w:spacing w:val="0"/>
        <w:w w:val="100"/>
        <w:kern w:val="16"/>
        <w:position w:val="0"/>
        <w:sz w:val="18"/>
        <w:u w:val="none"/>
        <w:vertAlign w:val="baseline"/>
      </w:rPr>
    </w:lvl>
  </w:abstractNum>
  <w:abstractNum w:abstractNumId="5">
    <w:nsid w:val="1FC91163"/>
    <w:multiLevelType w:val="multilevel"/>
    <w:tmpl w:val="1FC91163"/>
    <w:lvl w:ilvl="0" w:tentative="0">
      <w:start w:val="1"/>
      <w:numFmt w:val="decimal"/>
      <w:pStyle w:val="7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76"/>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80"/>
      <w:suff w:val="nothing"/>
      <w:lvlText w:val="%1.%2.%3　"/>
      <w:lvlJc w:val="left"/>
      <w:pPr>
        <w:ind w:left="0" w:firstLine="0"/>
      </w:pPr>
      <w:rPr>
        <w:rFonts w:hint="eastAsia" w:ascii="黑体" w:hAnsi="Times New Roman" w:eastAsia="黑体"/>
        <w:b w:val="0"/>
        <w:i w:val="0"/>
        <w:sz w:val="21"/>
      </w:rPr>
    </w:lvl>
    <w:lvl w:ilvl="3" w:tentative="0">
      <w:start w:val="1"/>
      <w:numFmt w:val="decimal"/>
      <w:pStyle w:val="85"/>
      <w:suff w:val="nothing"/>
      <w:lvlText w:val="%1.%2.%3.%4　"/>
      <w:lvlJc w:val="left"/>
      <w:pPr>
        <w:ind w:left="0" w:firstLine="0"/>
      </w:pPr>
      <w:rPr>
        <w:rFonts w:hint="eastAsia" w:ascii="黑体" w:hAnsi="Times New Roman" w:eastAsia="黑体"/>
        <w:b w:val="0"/>
        <w:i w:val="0"/>
        <w:sz w:val="21"/>
      </w:rPr>
    </w:lvl>
    <w:lvl w:ilvl="4" w:tentative="0">
      <w:start w:val="1"/>
      <w:numFmt w:val="decimal"/>
      <w:pStyle w:val="89"/>
      <w:suff w:val="nothing"/>
      <w:lvlText w:val="%1.%2.%3.%4.%5　"/>
      <w:lvlJc w:val="left"/>
      <w:pPr>
        <w:ind w:left="0" w:firstLine="0"/>
      </w:pPr>
      <w:rPr>
        <w:rFonts w:hint="eastAsia" w:ascii="黑体" w:hAnsi="Times New Roman" w:eastAsia="黑体"/>
        <w:b w:val="0"/>
        <w:i w:val="0"/>
        <w:sz w:val="21"/>
      </w:rPr>
    </w:lvl>
    <w:lvl w:ilvl="5" w:tentative="0">
      <w:start w:val="1"/>
      <w:numFmt w:val="decimal"/>
      <w:pStyle w:val="9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4B435DB"/>
    <w:multiLevelType w:val="multilevel"/>
    <w:tmpl w:val="24B435DB"/>
    <w:lvl w:ilvl="0" w:tentative="0">
      <w:start w:val="1"/>
      <w:numFmt w:val="lowerLetter"/>
      <w:pStyle w:val="155"/>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7">
    <w:nsid w:val="29707437"/>
    <w:multiLevelType w:val="multilevel"/>
    <w:tmpl w:val="29707437"/>
    <w:lvl w:ilvl="0" w:tentative="0">
      <w:start w:val="1"/>
      <w:numFmt w:val="none"/>
      <w:pStyle w:val="98"/>
      <w:suff w:val="nothing"/>
      <w:lvlText w:val="%1注："/>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8">
    <w:nsid w:val="2A8F7113"/>
    <w:multiLevelType w:val="multilevel"/>
    <w:tmpl w:val="2A8F7113"/>
    <w:lvl w:ilvl="0" w:tentative="0">
      <w:start w:val="1"/>
      <w:numFmt w:val="upperLetter"/>
      <w:pStyle w:val="133"/>
      <w:suff w:val="space"/>
      <w:lvlText w:val="%1"/>
      <w:lvlJc w:val="left"/>
      <w:pPr>
        <w:ind w:left="623" w:hanging="425"/>
      </w:pPr>
      <w:rPr>
        <w:rFonts w:hint="eastAsia"/>
      </w:rPr>
    </w:lvl>
    <w:lvl w:ilvl="1" w:tentative="0">
      <w:start w:val="1"/>
      <w:numFmt w:val="decimal"/>
      <w:pStyle w:val="134"/>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82"/>
      <w:suff w:val="nothing"/>
      <w:lvlText w:val="%1——"/>
      <w:lvlJc w:val="left"/>
      <w:pPr>
        <w:ind w:left="833" w:hanging="408"/>
      </w:pPr>
      <w:rPr>
        <w:rFonts w:hint="eastAsia"/>
      </w:rPr>
    </w:lvl>
    <w:lvl w:ilvl="1" w:tentative="0">
      <w:start w:val="1"/>
      <w:numFmt w:val="bullet"/>
      <w:pStyle w:val="83"/>
      <w:lvlText w:val=""/>
      <w:lvlJc w:val="left"/>
      <w:pPr>
        <w:tabs>
          <w:tab w:val="left" w:pos="760"/>
        </w:tabs>
        <w:ind w:left="1264" w:hanging="413"/>
      </w:pPr>
      <w:rPr>
        <w:rFonts w:hint="default" w:ascii="Symbol" w:hAnsi="Symbol"/>
        <w:color w:val="auto"/>
      </w:rPr>
    </w:lvl>
    <w:lvl w:ilvl="2" w:tentative="0">
      <w:start w:val="1"/>
      <w:numFmt w:val="bullet"/>
      <w:pStyle w:val="94"/>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42"/>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4C50F90"/>
    <w:multiLevelType w:val="multilevel"/>
    <w:tmpl w:val="44C50F90"/>
    <w:lvl w:ilvl="0" w:tentative="0">
      <w:start w:val="1"/>
      <w:numFmt w:val="lowerLetter"/>
      <w:pStyle w:val="93"/>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88"/>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95"/>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2">
    <w:nsid w:val="45F10011"/>
    <w:multiLevelType w:val="multilevel"/>
    <w:tmpl w:val="45F10011"/>
    <w:lvl w:ilvl="0" w:tentative="0">
      <w:start w:val="1"/>
      <w:numFmt w:val="decimal"/>
      <w:suff w:val="space"/>
      <w:lvlText w:val="%1 "/>
      <w:lvlJc w:val="left"/>
      <w:pPr>
        <w:ind w:left="0" w:firstLine="0"/>
      </w:pPr>
      <w:rPr>
        <w:rFonts w:hint="eastAsia" w:ascii="黑体" w:eastAsia="黑体"/>
        <w:b w:val="0"/>
        <w:i w:val="0"/>
        <w:sz w:val="21"/>
      </w:rPr>
    </w:lvl>
    <w:lvl w:ilvl="1" w:tentative="0">
      <w:start w:val="1"/>
      <w:numFmt w:val="decimal"/>
      <w:suff w:val="space"/>
      <w:lvlText w:val="%1.%2 "/>
      <w:lvlJc w:val="left"/>
      <w:pPr>
        <w:ind w:left="0" w:firstLine="0"/>
      </w:pPr>
      <w:rPr>
        <w:rFonts w:hint="eastAsia" w:ascii="黑体" w:eastAsia="黑体"/>
      </w:rPr>
    </w:lvl>
    <w:lvl w:ilvl="2" w:tentative="0">
      <w:start w:val="1"/>
      <w:numFmt w:val="decimal"/>
      <w:suff w:val="space"/>
      <w:lvlText w:val="%1.%2.%3 "/>
      <w:lvlJc w:val="left"/>
      <w:pPr>
        <w:ind w:left="0" w:firstLine="0"/>
      </w:pPr>
      <w:rPr>
        <w:rFonts w:hint="eastAsia" w:ascii="黑体" w:eastAsia="黑体"/>
        <w:b w:val="0"/>
        <w:i w:val="0"/>
        <w:color w:val="auto"/>
        <w:sz w:val="21"/>
        <w:u w:val="none"/>
      </w:rPr>
    </w:lvl>
    <w:lvl w:ilvl="3" w:tentative="0">
      <w:start w:val="1"/>
      <w:numFmt w:val="decimal"/>
      <w:pStyle w:val="6"/>
      <w:suff w:val="space"/>
      <w:lvlText w:val="%1.%2.%3.%4 "/>
      <w:lvlJc w:val="left"/>
      <w:pPr>
        <w:ind w:left="0" w:firstLine="0"/>
      </w:pPr>
      <w:rPr>
        <w:rFonts w:hint="eastAsia" w:ascii="黑体" w:eastAsia="黑体"/>
        <w:b w:val="0"/>
        <w:i w:val="0"/>
        <w:color w:val="auto"/>
        <w:sz w:val="21"/>
        <w:u w:val="none"/>
      </w:rPr>
    </w:lvl>
    <w:lvl w:ilvl="4" w:tentative="0">
      <w:start w:val="1"/>
      <w:numFmt w:val="decimal"/>
      <w:suff w:val="space"/>
      <w:lvlText w:val="%1.%2.%3.%4.%5."/>
      <w:lvlJc w:val="left"/>
      <w:pPr>
        <w:ind w:left="992" w:hanging="992"/>
      </w:pPr>
      <w:rPr>
        <w:rFonts w:hint="eastAsia"/>
      </w:rPr>
    </w:lvl>
    <w:lvl w:ilvl="5" w:tentative="0">
      <w:start w:val="1"/>
      <w:numFmt w:val="decimal"/>
      <w:suff w:val="space"/>
      <w:lvlText w:val="%1.%2.%3.%4.%5.%6."/>
      <w:lvlJc w:val="left"/>
      <w:pPr>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3">
    <w:nsid w:val="520F62E9"/>
    <w:multiLevelType w:val="multilevel"/>
    <w:tmpl w:val="520F62E9"/>
    <w:lvl w:ilvl="0" w:tentative="0">
      <w:start w:val="1"/>
      <w:numFmt w:val="decimal"/>
      <w:pStyle w:val="162"/>
      <w:suff w:val="nothing"/>
      <w:lvlText w:val="图%1　"/>
      <w:lvlJc w:val="left"/>
      <w:pPr>
        <w:ind w:left="0" w:firstLine="0"/>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4">
    <w:nsid w:val="5E63562F"/>
    <w:multiLevelType w:val="multilevel"/>
    <w:tmpl w:val="5E63562F"/>
    <w:lvl w:ilvl="0" w:tentative="0">
      <w:start w:val="1"/>
      <w:numFmt w:val="decimal"/>
      <w:pStyle w:val="92"/>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5">
    <w:nsid w:val="60B55DC2"/>
    <w:multiLevelType w:val="multilevel"/>
    <w:tmpl w:val="60B55DC2"/>
    <w:lvl w:ilvl="0" w:tentative="0">
      <w:start w:val="1"/>
      <w:numFmt w:val="upperLetter"/>
      <w:pStyle w:val="121"/>
      <w:lvlText w:val="%1"/>
      <w:lvlJc w:val="left"/>
      <w:pPr>
        <w:tabs>
          <w:tab w:val="left" w:pos="0"/>
        </w:tabs>
        <w:ind w:left="0" w:hanging="425"/>
      </w:pPr>
      <w:rPr>
        <w:rFonts w:hint="eastAsia"/>
      </w:rPr>
    </w:lvl>
    <w:lvl w:ilvl="1" w:tentative="0">
      <w:start w:val="1"/>
      <w:numFmt w:val="decimal"/>
      <w:pStyle w:val="122"/>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6">
    <w:nsid w:val="63404DBE"/>
    <w:multiLevelType w:val="multilevel"/>
    <w:tmpl w:val="63404DBE"/>
    <w:lvl w:ilvl="0" w:tentative="0">
      <w:start w:val="1"/>
      <w:numFmt w:val="none"/>
      <w:pStyle w:val="86"/>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7">
    <w:nsid w:val="63AF7EBF"/>
    <w:multiLevelType w:val="multilevel"/>
    <w:tmpl w:val="63AF7EBF"/>
    <w:lvl w:ilvl="0" w:tentative="0">
      <w:start w:val="1"/>
      <w:numFmt w:val="decimal"/>
      <w:pStyle w:val="160"/>
      <w:suff w:val="nothing"/>
      <w:lvlText w:val="表%1　"/>
      <w:lvlJc w:val="left"/>
      <w:pPr>
        <w:ind w:left="0" w:firstLine="0"/>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8">
    <w:nsid w:val="657D3FBC"/>
    <w:multiLevelType w:val="multilevel"/>
    <w:tmpl w:val="657D3FBC"/>
    <w:lvl w:ilvl="0" w:tentative="0">
      <w:start w:val="1"/>
      <w:numFmt w:val="upperLetter"/>
      <w:pStyle w:val="118"/>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37"/>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38"/>
      <w:suff w:val="nothing"/>
      <w:lvlText w:val="%1.%2.%3　"/>
      <w:lvlJc w:val="left"/>
      <w:pPr>
        <w:ind w:left="0" w:firstLine="0"/>
      </w:pPr>
      <w:rPr>
        <w:rFonts w:hint="eastAsia" w:ascii="黑体" w:hAnsi="Times New Roman" w:eastAsia="黑体"/>
        <w:b w:val="0"/>
        <w:i w:val="0"/>
        <w:sz w:val="21"/>
      </w:rPr>
    </w:lvl>
    <w:lvl w:ilvl="3" w:tentative="0">
      <w:start w:val="1"/>
      <w:numFmt w:val="decimal"/>
      <w:pStyle w:val="123"/>
      <w:suff w:val="nothing"/>
      <w:lvlText w:val="%1.%2.%3.%4　"/>
      <w:lvlJc w:val="left"/>
      <w:pPr>
        <w:ind w:left="0" w:firstLine="0"/>
      </w:pPr>
      <w:rPr>
        <w:rFonts w:hint="eastAsia" w:ascii="黑体" w:hAnsi="Times New Roman" w:eastAsia="黑体"/>
        <w:b w:val="0"/>
        <w:i w:val="0"/>
        <w:sz w:val="21"/>
      </w:rPr>
    </w:lvl>
    <w:lvl w:ilvl="4" w:tentative="0">
      <w:start w:val="1"/>
      <w:numFmt w:val="decimal"/>
      <w:pStyle w:val="128"/>
      <w:suff w:val="nothing"/>
      <w:lvlText w:val="%1.%2.%3.%4.%5　"/>
      <w:lvlJc w:val="left"/>
      <w:pPr>
        <w:ind w:left="0" w:firstLine="0"/>
      </w:pPr>
      <w:rPr>
        <w:rFonts w:hint="eastAsia" w:ascii="黑体" w:hAnsi="Times New Roman" w:eastAsia="黑体"/>
        <w:b w:val="0"/>
        <w:i w:val="0"/>
        <w:sz w:val="21"/>
      </w:rPr>
    </w:lvl>
    <w:lvl w:ilvl="5" w:tentative="0">
      <w:start w:val="1"/>
      <w:numFmt w:val="decimal"/>
      <w:pStyle w:val="131"/>
      <w:suff w:val="nothing"/>
      <w:lvlText w:val="%1.%2.%3.%4.%5.%6　"/>
      <w:lvlJc w:val="left"/>
      <w:pPr>
        <w:ind w:left="0" w:firstLine="0"/>
      </w:pPr>
      <w:rPr>
        <w:rFonts w:hint="eastAsia" w:ascii="黑体" w:hAnsi="Times New Roman" w:eastAsia="黑体"/>
        <w:b w:val="0"/>
        <w:i w:val="0"/>
        <w:sz w:val="21"/>
      </w:rPr>
    </w:lvl>
    <w:lvl w:ilvl="6" w:tentative="0">
      <w:start w:val="1"/>
      <w:numFmt w:val="decimal"/>
      <w:pStyle w:val="135"/>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9">
    <w:nsid w:val="6AB870ED"/>
    <w:multiLevelType w:val="multilevel"/>
    <w:tmpl w:val="6AB870ED"/>
    <w:lvl w:ilvl="0" w:tentative="0">
      <w:start w:val="1"/>
      <w:numFmt w:val="decimal"/>
      <w:pStyle w:val="96"/>
      <w:suff w:val="nothing"/>
      <w:lvlText w:val="示例%1："/>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20">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color w:val="000000"/>
        <w:sz w:val="21"/>
      </w:rPr>
    </w:lvl>
    <w:lvl w:ilvl="2" w:tentative="0">
      <w:start w:val="1"/>
      <w:numFmt w:val="decimal"/>
      <w:suff w:val="nothing"/>
      <w:lvlText w:val="%1%2.%3　"/>
      <w:lvlJc w:val="left"/>
      <w:pPr>
        <w:ind w:left="21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1">
    <w:nsid w:val="6D6C07CD"/>
    <w:multiLevelType w:val="multilevel"/>
    <w:tmpl w:val="6D6C07CD"/>
    <w:lvl w:ilvl="0" w:tentative="0">
      <w:start w:val="1"/>
      <w:numFmt w:val="lowerLetter"/>
      <w:pStyle w:val="140"/>
      <w:lvlText w:val="%1)"/>
      <w:lvlJc w:val="left"/>
      <w:pPr>
        <w:tabs>
          <w:tab w:val="left" w:pos="839"/>
        </w:tabs>
        <w:ind w:left="839" w:hanging="419"/>
      </w:pPr>
      <w:rPr>
        <w:rFonts w:hint="eastAsia" w:ascii="宋体" w:eastAsia="宋体"/>
        <w:b w:val="0"/>
        <w:i w:val="0"/>
        <w:sz w:val="21"/>
      </w:rPr>
    </w:lvl>
    <w:lvl w:ilvl="1" w:tentative="0">
      <w:start w:val="1"/>
      <w:numFmt w:val="decimal"/>
      <w:pStyle w:val="130"/>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num w:numId="1">
    <w:abstractNumId w:val="12"/>
  </w:num>
  <w:num w:numId="2">
    <w:abstractNumId w:val="10"/>
  </w:num>
  <w:num w:numId="3">
    <w:abstractNumId w:val="5"/>
  </w:num>
  <w:num w:numId="4">
    <w:abstractNumId w:val="9"/>
  </w:num>
  <w:num w:numId="5">
    <w:abstractNumId w:val="16"/>
  </w:num>
  <w:num w:numId="6">
    <w:abstractNumId w:val="11"/>
  </w:num>
  <w:num w:numId="7">
    <w:abstractNumId w:val="2"/>
  </w:num>
  <w:num w:numId="8">
    <w:abstractNumId w:val="14"/>
  </w:num>
  <w:num w:numId="9">
    <w:abstractNumId w:val="19"/>
  </w:num>
  <w:num w:numId="10">
    <w:abstractNumId w:val="7"/>
  </w:num>
  <w:num w:numId="11">
    <w:abstractNumId w:val="1"/>
  </w:num>
  <w:num w:numId="12">
    <w:abstractNumId w:val="18"/>
  </w:num>
  <w:num w:numId="13">
    <w:abstractNumId w:val="15"/>
  </w:num>
  <w:num w:numId="14">
    <w:abstractNumId w:val="21"/>
  </w:num>
  <w:num w:numId="15">
    <w:abstractNumId w:val="8"/>
  </w:num>
  <w:num w:numId="16">
    <w:abstractNumId w:val="6"/>
  </w:num>
  <w:num w:numId="17">
    <w:abstractNumId w:val="17"/>
  </w:num>
  <w:num w:numId="18">
    <w:abstractNumId w:val="13"/>
  </w:num>
  <w:num w:numId="19">
    <w:abstractNumId w:val="0"/>
  </w:num>
  <w:num w:numId="20">
    <w:abstractNumId w:val="3"/>
  </w:num>
  <w:num w:numId="21">
    <w:abstractNumId w:val="4"/>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0"/>
  <w:bordersDoNotSurroundFooter w:val="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AosqTPUpmcIpe7PTvwlzQMondaM=" w:salt="t0S+ypX2I0K5+IKp+46y/A=="/>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wZDg1YmYzYzUwMTUzMmYxNjE4NTRlZGQxOTcxOGMifQ=="/>
  </w:docVars>
  <w:rsids>
    <w:rsidRoot w:val="00035925"/>
    <w:rsid w:val="00000244"/>
    <w:rsid w:val="000007ED"/>
    <w:rsid w:val="00000BB3"/>
    <w:rsid w:val="0000185F"/>
    <w:rsid w:val="00004B91"/>
    <w:rsid w:val="00004E32"/>
    <w:rsid w:val="0000586F"/>
    <w:rsid w:val="000127D2"/>
    <w:rsid w:val="00013D86"/>
    <w:rsid w:val="00013E02"/>
    <w:rsid w:val="000165EF"/>
    <w:rsid w:val="00017954"/>
    <w:rsid w:val="00020E6F"/>
    <w:rsid w:val="0002143C"/>
    <w:rsid w:val="000218B6"/>
    <w:rsid w:val="00022141"/>
    <w:rsid w:val="00022737"/>
    <w:rsid w:val="00023B1B"/>
    <w:rsid w:val="000250DD"/>
    <w:rsid w:val="00025A65"/>
    <w:rsid w:val="00026BD8"/>
    <w:rsid w:val="00026C31"/>
    <w:rsid w:val="00027280"/>
    <w:rsid w:val="00030ABD"/>
    <w:rsid w:val="000320A7"/>
    <w:rsid w:val="000325EA"/>
    <w:rsid w:val="00035925"/>
    <w:rsid w:val="00036C2C"/>
    <w:rsid w:val="00037440"/>
    <w:rsid w:val="00037F9A"/>
    <w:rsid w:val="000433F2"/>
    <w:rsid w:val="000433F4"/>
    <w:rsid w:val="00045A7C"/>
    <w:rsid w:val="00051C9D"/>
    <w:rsid w:val="00055371"/>
    <w:rsid w:val="00056A24"/>
    <w:rsid w:val="0005779D"/>
    <w:rsid w:val="00057CE5"/>
    <w:rsid w:val="000607A3"/>
    <w:rsid w:val="00063F90"/>
    <w:rsid w:val="000657F7"/>
    <w:rsid w:val="00067CDF"/>
    <w:rsid w:val="00074FBE"/>
    <w:rsid w:val="0007762A"/>
    <w:rsid w:val="000813E7"/>
    <w:rsid w:val="0008164A"/>
    <w:rsid w:val="00081F6E"/>
    <w:rsid w:val="00083A09"/>
    <w:rsid w:val="0009005E"/>
    <w:rsid w:val="000918A9"/>
    <w:rsid w:val="00092001"/>
    <w:rsid w:val="00092618"/>
    <w:rsid w:val="00092857"/>
    <w:rsid w:val="00092BD8"/>
    <w:rsid w:val="000964C7"/>
    <w:rsid w:val="0009662E"/>
    <w:rsid w:val="000979D9"/>
    <w:rsid w:val="000A20A9"/>
    <w:rsid w:val="000A48B1"/>
    <w:rsid w:val="000B2F0E"/>
    <w:rsid w:val="000B3143"/>
    <w:rsid w:val="000B35A4"/>
    <w:rsid w:val="000B405D"/>
    <w:rsid w:val="000B5552"/>
    <w:rsid w:val="000C2BE6"/>
    <w:rsid w:val="000C42D4"/>
    <w:rsid w:val="000C6B05"/>
    <w:rsid w:val="000C6DD6"/>
    <w:rsid w:val="000C73D4"/>
    <w:rsid w:val="000D205A"/>
    <w:rsid w:val="000D3D4C"/>
    <w:rsid w:val="000D4667"/>
    <w:rsid w:val="000D4F51"/>
    <w:rsid w:val="000D6521"/>
    <w:rsid w:val="000D718B"/>
    <w:rsid w:val="000E003B"/>
    <w:rsid w:val="000E0C46"/>
    <w:rsid w:val="000E15EE"/>
    <w:rsid w:val="000E355B"/>
    <w:rsid w:val="000E51FE"/>
    <w:rsid w:val="000F030C"/>
    <w:rsid w:val="000F129C"/>
    <w:rsid w:val="000F174F"/>
    <w:rsid w:val="000F37AA"/>
    <w:rsid w:val="00104E29"/>
    <w:rsid w:val="00105331"/>
    <w:rsid w:val="001056DE"/>
    <w:rsid w:val="00106A8C"/>
    <w:rsid w:val="001124C0"/>
    <w:rsid w:val="00113E2E"/>
    <w:rsid w:val="00117A25"/>
    <w:rsid w:val="00121293"/>
    <w:rsid w:val="00126F28"/>
    <w:rsid w:val="0013175F"/>
    <w:rsid w:val="0013220C"/>
    <w:rsid w:val="0013364D"/>
    <w:rsid w:val="00133965"/>
    <w:rsid w:val="001343BB"/>
    <w:rsid w:val="00140949"/>
    <w:rsid w:val="001512B4"/>
    <w:rsid w:val="001515D9"/>
    <w:rsid w:val="00152C49"/>
    <w:rsid w:val="00161A59"/>
    <w:rsid w:val="001620A5"/>
    <w:rsid w:val="001640E7"/>
    <w:rsid w:val="00164E53"/>
    <w:rsid w:val="0016699D"/>
    <w:rsid w:val="001670D9"/>
    <w:rsid w:val="00167C43"/>
    <w:rsid w:val="0017494B"/>
    <w:rsid w:val="00174EFB"/>
    <w:rsid w:val="00175159"/>
    <w:rsid w:val="00175AD7"/>
    <w:rsid w:val="00176208"/>
    <w:rsid w:val="0017780C"/>
    <w:rsid w:val="00180357"/>
    <w:rsid w:val="001813B2"/>
    <w:rsid w:val="00181D98"/>
    <w:rsid w:val="0018211B"/>
    <w:rsid w:val="00183FE1"/>
    <w:rsid w:val="001840D3"/>
    <w:rsid w:val="00184782"/>
    <w:rsid w:val="00187A8A"/>
    <w:rsid w:val="001900F8"/>
    <w:rsid w:val="00190FBA"/>
    <w:rsid w:val="00191258"/>
    <w:rsid w:val="00192680"/>
    <w:rsid w:val="00193037"/>
    <w:rsid w:val="00193375"/>
    <w:rsid w:val="00193A2C"/>
    <w:rsid w:val="0019632B"/>
    <w:rsid w:val="001966F6"/>
    <w:rsid w:val="001A288E"/>
    <w:rsid w:val="001A29CB"/>
    <w:rsid w:val="001A5655"/>
    <w:rsid w:val="001B1176"/>
    <w:rsid w:val="001B3CDD"/>
    <w:rsid w:val="001B6DC2"/>
    <w:rsid w:val="001B754B"/>
    <w:rsid w:val="001B75E2"/>
    <w:rsid w:val="001C094E"/>
    <w:rsid w:val="001C149C"/>
    <w:rsid w:val="001C21AC"/>
    <w:rsid w:val="001C3689"/>
    <w:rsid w:val="001C47BA"/>
    <w:rsid w:val="001C59EA"/>
    <w:rsid w:val="001D1655"/>
    <w:rsid w:val="001D349E"/>
    <w:rsid w:val="001D36E7"/>
    <w:rsid w:val="001D3994"/>
    <w:rsid w:val="001D3A8A"/>
    <w:rsid w:val="001D406C"/>
    <w:rsid w:val="001D41EE"/>
    <w:rsid w:val="001D4970"/>
    <w:rsid w:val="001D4BEB"/>
    <w:rsid w:val="001D6622"/>
    <w:rsid w:val="001D71E6"/>
    <w:rsid w:val="001E0380"/>
    <w:rsid w:val="001E0B1B"/>
    <w:rsid w:val="001E13B1"/>
    <w:rsid w:val="001E2153"/>
    <w:rsid w:val="001E4C82"/>
    <w:rsid w:val="001F25C9"/>
    <w:rsid w:val="001F3A19"/>
    <w:rsid w:val="001F6904"/>
    <w:rsid w:val="002009E4"/>
    <w:rsid w:val="00201053"/>
    <w:rsid w:val="002024CE"/>
    <w:rsid w:val="0020251B"/>
    <w:rsid w:val="002030CD"/>
    <w:rsid w:val="00203DCC"/>
    <w:rsid w:val="00205EBC"/>
    <w:rsid w:val="002073D3"/>
    <w:rsid w:val="002077C4"/>
    <w:rsid w:val="00211B0E"/>
    <w:rsid w:val="00215D48"/>
    <w:rsid w:val="0021624B"/>
    <w:rsid w:val="002165C7"/>
    <w:rsid w:val="002166FF"/>
    <w:rsid w:val="002208BB"/>
    <w:rsid w:val="0022185E"/>
    <w:rsid w:val="00227FED"/>
    <w:rsid w:val="0023030A"/>
    <w:rsid w:val="0023066C"/>
    <w:rsid w:val="00230F08"/>
    <w:rsid w:val="00234028"/>
    <w:rsid w:val="00234467"/>
    <w:rsid w:val="0023578B"/>
    <w:rsid w:val="00235BE6"/>
    <w:rsid w:val="00237D8D"/>
    <w:rsid w:val="00241DA2"/>
    <w:rsid w:val="00242F77"/>
    <w:rsid w:val="00243C12"/>
    <w:rsid w:val="002446C9"/>
    <w:rsid w:val="002453F2"/>
    <w:rsid w:val="00245D35"/>
    <w:rsid w:val="00246958"/>
    <w:rsid w:val="00247E7B"/>
    <w:rsid w:val="00247FEE"/>
    <w:rsid w:val="00250E7D"/>
    <w:rsid w:val="0025169B"/>
    <w:rsid w:val="002523DB"/>
    <w:rsid w:val="002527DD"/>
    <w:rsid w:val="00252DAA"/>
    <w:rsid w:val="002554BB"/>
    <w:rsid w:val="002565D5"/>
    <w:rsid w:val="0025709F"/>
    <w:rsid w:val="00257AB7"/>
    <w:rsid w:val="00260A51"/>
    <w:rsid w:val="00261300"/>
    <w:rsid w:val="002622C0"/>
    <w:rsid w:val="00274FEA"/>
    <w:rsid w:val="002776A1"/>
    <w:rsid w:val="002778AE"/>
    <w:rsid w:val="0028269A"/>
    <w:rsid w:val="002828C1"/>
    <w:rsid w:val="00283590"/>
    <w:rsid w:val="00286973"/>
    <w:rsid w:val="00287674"/>
    <w:rsid w:val="002938A4"/>
    <w:rsid w:val="00294E70"/>
    <w:rsid w:val="002954B8"/>
    <w:rsid w:val="00295B6C"/>
    <w:rsid w:val="00295EE6"/>
    <w:rsid w:val="002967B2"/>
    <w:rsid w:val="0029686D"/>
    <w:rsid w:val="002A1924"/>
    <w:rsid w:val="002A4647"/>
    <w:rsid w:val="002A47DB"/>
    <w:rsid w:val="002A7420"/>
    <w:rsid w:val="002A7A7E"/>
    <w:rsid w:val="002B0D88"/>
    <w:rsid w:val="002B0F12"/>
    <w:rsid w:val="002B1308"/>
    <w:rsid w:val="002B308B"/>
    <w:rsid w:val="002B4098"/>
    <w:rsid w:val="002B4554"/>
    <w:rsid w:val="002B52D8"/>
    <w:rsid w:val="002B584F"/>
    <w:rsid w:val="002B707C"/>
    <w:rsid w:val="002C1049"/>
    <w:rsid w:val="002C72D8"/>
    <w:rsid w:val="002D0B39"/>
    <w:rsid w:val="002D11FA"/>
    <w:rsid w:val="002D17BC"/>
    <w:rsid w:val="002D19A4"/>
    <w:rsid w:val="002D6352"/>
    <w:rsid w:val="002D71CB"/>
    <w:rsid w:val="002E0DDF"/>
    <w:rsid w:val="002E2906"/>
    <w:rsid w:val="002E5156"/>
    <w:rsid w:val="002E5635"/>
    <w:rsid w:val="002E57FC"/>
    <w:rsid w:val="002E5C6B"/>
    <w:rsid w:val="002E64C3"/>
    <w:rsid w:val="002E6A2C"/>
    <w:rsid w:val="002E6A96"/>
    <w:rsid w:val="002E76A0"/>
    <w:rsid w:val="002F035E"/>
    <w:rsid w:val="002F0FE8"/>
    <w:rsid w:val="002F1D8C"/>
    <w:rsid w:val="002F21DA"/>
    <w:rsid w:val="002F2696"/>
    <w:rsid w:val="002F34B8"/>
    <w:rsid w:val="002F74B3"/>
    <w:rsid w:val="0030042A"/>
    <w:rsid w:val="00301AE2"/>
    <w:rsid w:val="00301F39"/>
    <w:rsid w:val="00303D27"/>
    <w:rsid w:val="003049D1"/>
    <w:rsid w:val="00305BEE"/>
    <w:rsid w:val="003062FB"/>
    <w:rsid w:val="00313962"/>
    <w:rsid w:val="003150EC"/>
    <w:rsid w:val="00321028"/>
    <w:rsid w:val="003219B8"/>
    <w:rsid w:val="003234E0"/>
    <w:rsid w:val="00325926"/>
    <w:rsid w:val="00325C5E"/>
    <w:rsid w:val="00325D85"/>
    <w:rsid w:val="003271C5"/>
    <w:rsid w:val="00327A8A"/>
    <w:rsid w:val="003321C7"/>
    <w:rsid w:val="003333F1"/>
    <w:rsid w:val="003339A3"/>
    <w:rsid w:val="00334AD5"/>
    <w:rsid w:val="00336610"/>
    <w:rsid w:val="0033754D"/>
    <w:rsid w:val="00341F5C"/>
    <w:rsid w:val="00343D23"/>
    <w:rsid w:val="00343F73"/>
    <w:rsid w:val="00345060"/>
    <w:rsid w:val="00345148"/>
    <w:rsid w:val="003451FB"/>
    <w:rsid w:val="003478F2"/>
    <w:rsid w:val="00352629"/>
    <w:rsid w:val="0035323B"/>
    <w:rsid w:val="00353D19"/>
    <w:rsid w:val="0035785A"/>
    <w:rsid w:val="003609D2"/>
    <w:rsid w:val="00363387"/>
    <w:rsid w:val="00363F22"/>
    <w:rsid w:val="0036437B"/>
    <w:rsid w:val="0036453D"/>
    <w:rsid w:val="00364940"/>
    <w:rsid w:val="003652D9"/>
    <w:rsid w:val="00374086"/>
    <w:rsid w:val="00375564"/>
    <w:rsid w:val="00376489"/>
    <w:rsid w:val="0037686C"/>
    <w:rsid w:val="00377B18"/>
    <w:rsid w:val="00377C02"/>
    <w:rsid w:val="00383191"/>
    <w:rsid w:val="0038358B"/>
    <w:rsid w:val="00384C36"/>
    <w:rsid w:val="00386DED"/>
    <w:rsid w:val="0039105F"/>
    <w:rsid w:val="003912E7"/>
    <w:rsid w:val="003937D3"/>
    <w:rsid w:val="00393947"/>
    <w:rsid w:val="00395141"/>
    <w:rsid w:val="00397513"/>
    <w:rsid w:val="003A2275"/>
    <w:rsid w:val="003A5614"/>
    <w:rsid w:val="003A6A4F"/>
    <w:rsid w:val="003A7088"/>
    <w:rsid w:val="003B00DF"/>
    <w:rsid w:val="003B1275"/>
    <w:rsid w:val="003B1778"/>
    <w:rsid w:val="003B59F6"/>
    <w:rsid w:val="003C11CB"/>
    <w:rsid w:val="003C2F6A"/>
    <w:rsid w:val="003C3017"/>
    <w:rsid w:val="003C3128"/>
    <w:rsid w:val="003C411B"/>
    <w:rsid w:val="003C4BA7"/>
    <w:rsid w:val="003C6A77"/>
    <w:rsid w:val="003C7126"/>
    <w:rsid w:val="003C75F3"/>
    <w:rsid w:val="003C78A3"/>
    <w:rsid w:val="003D05ED"/>
    <w:rsid w:val="003D09D6"/>
    <w:rsid w:val="003D21D6"/>
    <w:rsid w:val="003D36AB"/>
    <w:rsid w:val="003D3F65"/>
    <w:rsid w:val="003E1867"/>
    <w:rsid w:val="003E36E2"/>
    <w:rsid w:val="003E418D"/>
    <w:rsid w:val="003E56D7"/>
    <w:rsid w:val="003E5729"/>
    <w:rsid w:val="003E57A1"/>
    <w:rsid w:val="003E724E"/>
    <w:rsid w:val="003F1D40"/>
    <w:rsid w:val="003F22BB"/>
    <w:rsid w:val="003F2A5B"/>
    <w:rsid w:val="003F3EB4"/>
    <w:rsid w:val="003F4E2F"/>
    <w:rsid w:val="003F4EE0"/>
    <w:rsid w:val="003F4F2C"/>
    <w:rsid w:val="003F5559"/>
    <w:rsid w:val="003F67EC"/>
    <w:rsid w:val="003F6843"/>
    <w:rsid w:val="003F7232"/>
    <w:rsid w:val="00400473"/>
    <w:rsid w:val="0040133B"/>
    <w:rsid w:val="00402153"/>
    <w:rsid w:val="00402758"/>
    <w:rsid w:val="00402E26"/>
    <w:rsid w:val="00402FC1"/>
    <w:rsid w:val="00411DB8"/>
    <w:rsid w:val="0041201B"/>
    <w:rsid w:val="00415724"/>
    <w:rsid w:val="004170C2"/>
    <w:rsid w:val="004200D9"/>
    <w:rsid w:val="0042467F"/>
    <w:rsid w:val="00425082"/>
    <w:rsid w:val="00431480"/>
    <w:rsid w:val="00431DEB"/>
    <w:rsid w:val="0043255C"/>
    <w:rsid w:val="0043490B"/>
    <w:rsid w:val="0044259D"/>
    <w:rsid w:val="004439D9"/>
    <w:rsid w:val="00445F0D"/>
    <w:rsid w:val="00446B29"/>
    <w:rsid w:val="004524BE"/>
    <w:rsid w:val="00453F9A"/>
    <w:rsid w:val="00454CC3"/>
    <w:rsid w:val="00456E3D"/>
    <w:rsid w:val="00457558"/>
    <w:rsid w:val="00461462"/>
    <w:rsid w:val="004648B9"/>
    <w:rsid w:val="00464903"/>
    <w:rsid w:val="00471E91"/>
    <w:rsid w:val="00474079"/>
    <w:rsid w:val="00474675"/>
    <w:rsid w:val="0047470C"/>
    <w:rsid w:val="00481B9A"/>
    <w:rsid w:val="00483095"/>
    <w:rsid w:val="00484C88"/>
    <w:rsid w:val="00491FDD"/>
    <w:rsid w:val="004934FF"/>
    <w:rsid w:val="00494365"/>
    <w:rsid w:val="004A0C38"/>
    <w:rsid w:val="004A203E"/>
    <w:rsid w:val="004A35F9"/>
    <w:rsid w:val="004A3951"/>
    <w:rsid w:val="004A3B2E"/>
    <w:rsid w:val="004A4662"/>
    <w:rsid w:val="004A7E02"/>
    <w:rsid w:val="004B1059"/>
    <w:rsid w:val="004B157A"/>
    <w:rsid w:val="004B24C1"/>
    <w:rsid w:val="004B3092"/>
    <w:rsid w:val="004B49B1"/>
    <w:rsid w:val="004B557C"/>
    <w:rsid w:val="004C1E7F"/>
    <w:rsid w:val="004C1F35"/>
    <w:rsid w:val="004C292F"/>
    <w:rsid w:val="004C37B0"/>
    <w:rsid w:val="004C3861"/>
    <w:rsid w:val="004C657F"/>
    <w:rsid w:val="004D079E"/>
    <w:rsid w:val="004D306F"/>
    <w:rsid w:val="004D4671"/>
    <w:rsid w:val="004D4B02"/>
    <w:rsid w:val="004D4F76"/>
    <w:rsid w:val="004D7622"/>
    <w:rsid w:val="004E4248"/>
    <w:rsid w:val="004E4B13"/>
    <w:rsid w:val="004E4B8C"/>
    <w:rsid w:val="004E5A47"/>
    <w:rsid w:val="004E64B5"/>
    <w:rsid w:val="004F654D"/>
    <w:rsid w:val="00500C3C"/>
    <w:rsid w:val="00502405"/>
    <w:rsid w:val="005036E2"/>
    <w:rsid w:val="005053C4"/>
    <w:rsid w:val="00510280"/>
    <w:rsid w:val="00513D73"/>
    <w:rsid w:val="00513DF0"/>
    <w:rsid w:val="0051418B"/>
    <w:rsid w:val="005148B3"/>
    <w:rsid w:val="00514A43"/>
    <w:rsid w:val="00515E9C"/>
    <w:rsid w:val="005174E5"/>
    <w:rsid w:val="00520898"/>
    <w:rsid w:val="00522393"/>
    <w:rsid w:val="00522620"/>
    <w:rsid w:val="00524B7B"/>
    <w:rsid w:val="00525656"/>
    <w:rsid w:val="00525BF3"/>
    <w:rsid w:val="00534C02"/>
    <w:rsid w:val="0054044C"/>
    <w:rsid w:val="00541BC6"/>
    <w:rsid w:val="0054264B"/>
    <w:rsid w:val="00543786"/>
    <w:rsid w:val="00544D7A"/>
    <w:rsid w:val="005455EB"/>
    <w:rsid w:val="00545A49"/>
    <w:rsid w:val="005463CC"/>
    <w:rsid w:val="005465F4"/>
    <w:rsid w:val="00546D0D"/>
    <w:rsid w:val="00547FF5"/>
    <w:rsid w:val="0055153A"/>
    <w:rsid w:val="00552A1C"/>
    <w:rsid w:val="005533D7"/>
    <w:rsid w:val="005535DB"/>
    <w:rsid w:val="00553B5E"/>
    <w:rsid w:val="00554B63"/>
    <w:rsid w:val="0055580E"/>
    <w:rsid w:val="0055715A"/>
    <w:rsid w:val="00561835"/>
    <w:rsid w:val="00562125"/>
    <w:rsid w:val="00562CF6"/>
    <w:rsid w:val="00564C9B"/>
    <w:rsid w:val="0056544B"/>
    <w:rsid w:val="00567177"/>
    <w:rsid w:val="005703DE"/>
    <w:rsid w:val="005710BC"/>
    <w:rsid w:val="005755F1"/>
    <w:rsid w:val="005757A9"/>
    <w:rsid w:val="00577D1E"/>
    <w:rsid w:val="00580C9E"/>
    <w:rsid w:val="00581781"/>
    <w:rsid w:val="00582524"/>
    <w:rsid w:val="00582BBE"/>
    <w:rsid w:val="0058464E"/>
    <w:rsid w:val="0058650E"/>
    <w:rsid w:val="00586FB7"/>
    <w:rsid w:val="00592A26"/>
    <w:rsid w:val="00595ECD"/>
    <w:rsid w:val="005A01CB"/>
    <w:rsid w:val="005A19A9"/>
    <w:rsid w:val="005A3071"/>
    <w:rsid w:val="005A3196"/>
    <w:rsid w:val="005A44B2"/>
    <w:rsid w:val="005A58FF"/>
    <w:rsid w:val="005A5EAF"/>
    <w:rsid w:val="005A6491"/>
    <w:rsid w:val="005A64C0"/>
    <w:rsid w:val="005B1985"/>
    <w:rsid w:val="005B3C11"/>
    <w:rsid w:val="005B3FD8"/>
    <w:rsid w:val="005B401E"/>
    <w:rsid w:val="005B6A3B"/>
    <w:rsid w:val="005C04C1"/>
    <w:rsid w:val="005C1C28"/>
    <w:rsid w:val="005C35AF"/>
    <w:rsid w:val="005C3675"/>
    <w:rsid w:val="005C38D1"/>
    <w:rsid w:val="005C43D0"/>
    <w:rsid w:val="005C4F8C"/>
    <w:rsid w:val="005C6DB5"/>
    <w:rsid w:val="005D20E7"/>
    <w:rsid w:val="005D3842"/>
    <w:rsid w:val="005D5127"/>
    <w:rsid w:val="005D5736"/>
    <w:rsid w:val="005D69B0"/>
    <w:rsid w:val="005E19E7"/>
    <w:rsid w:val="005E2392"/>
    <w:rsid w:val="005F5E0F"/>
    <w:rsid w:val="005F6AA2"/>
    <w:rsid w:val="00601622"/>
    <w:rsid w:val="00602188"/>
    <w:rsid w:val="00605041"/>
    <w:rsid w:val="00605B50"/>
    <w:rsid w:val="0061037E"/>
    <w:rsid w:val="0061100A"/>
    <w:rsid w:val="0061240A"/>
    <w:rsid w:val="00613FAA"/>
    <w:rsid w:val="006144F2"/>
    <w:rsid w:val="00616C36"/>
    <w:rsid w:val="0061716C"/>
    <w:rsid w:val="006171AF"/>
    <w:rsid w:val="0061780C"/>
    <w:rsid w:val="00617868"/>
    <w:rsid w:val="006224B0"/>
    <w:rsid w:val="006243A1"/>
    <w:rsid w:val="006244CF"/>
    <w:rsid w:val="00624DBD"/>
    <w:rsid w:val="00626005"/>
    <w:rsid w:val="00632E56"/>
    <w:rsid w:val="00633702"/>
    <w:rsid w:val="00635CBA"/>
    <w:rsid w:val="00636EFC"/>
    <w:rsid w:val="0064019C"/>
    <w:rsid w:val="0064338B"/>
    <w:rsid w:val="006451E4"/>
    <w:rsid w:val="00646542"/>
    <w:rsid w:val="006504F4"/>
    <w:rsid w:val="0065366F"/>
    <w:rsid w:val="00653D60"/>
    <w:rsid w:val="00654BC9"/>
    <w:rsid w:val="006552FD"/>
    <w:rsid w:val="00656F0B"/>
    <w:rsid w:val="0066293F"/>
    <w:rsid w:val="00663733"/>
    <w:rsid w:val="00663AF3"/>
    <w:rsid w:val="00665061"/>
    <w:rsid w:val="0066619D"/>
    <w:rsid w:val="00666B6C"/>
    <w:rsid w:val="006700F5"/>
    <w:rsid w:val="00671DDF"/>
    <w:rsid w:val="0067237F"/>
    <w:rsid w:val="0067681B"/>
    <w:rsid w:val="00677B54"/>
    <w:rsid w:val="00682682"/>
    <w:rsid w:val="00682702"/>
    <w:rsid w:val="0068348A"/>
    <w:rsid w:val="006902AF"/>
    <w:rsid w:val="00690771"/>
    <w:rsid w:val="00690CF6"/>
    <w:rsid w:val="00692368"/>
    <w:rsid w:val="00692386"/>
    <w:rsid w:val="00692567"/>
    <w:rsid w:val="0069449F"/>
    <w:rsid w:val="00694BB4"/>
    <w:rsid w:val="00695192"/>
    <w:rsid w:val="00696EC9"/>
    <w:rsid w:val="006A11AB"/>
    <w:rsid w:val="006A2EBC"/>
    <w:rsid w:val="006A30FB"/>
    <w:rsid w:val="006A5EA0"/>
    <w:rsid w:val="006A783B"/>
    <w:rsid w:val="006A7B33"/>
    <w:rsid w:val="006B4062"/>
    <w:rsid w:val="006B4E13"/>
    <w:rsid w:val="006B75DD"/>
    <w:rsid w:val="006C047C"/>
    <w:rsid w:val="006C183B"/>
    <w:rsid w:val="006C2BC0"/>
    <w:rsid w:val="006C3D8B"/>
    <w:rsid w:val="006C5776"/>
    <w:rsid w:val="006C67E0"/>
    <w:rsid w:val="006C7ABA"/>
    <w:rsid w:val="006D0A13"/>
    <w:rsid w:val="006D0D60"/>
    <w:rsid w:val="006D1122"/>
    <w:rsid w:val="006D2A24"/>
    <w:rsid w:val="006D317E"/>
    <w:rsid w:val="006D3B1E"/>
    <w:rsid w:val="006D3C00"/>
    <w:rsid w:val="006D4EBE"/>
    <w:rsid w:val="006D6CE3"/>
    <w:rsid w:val="006E06AD"/>
    <w:rsid w:val="006E1188"/>
    <w:rsid w:val="006E3675"/>
    <w:rsid w:val="006E4A7F"/>
    <w:rsid w:val="006E608A"/>
    <w:rsid w:val="006F0967"/>
    <w:rsid w:val="006F1299"/>
    <w:rsid w:val="006F2274"/>
    <w:rsid w:val="006F64A0"/>
    <w:rsid w:val="006F7AE3"/>
    <w:rsid w:val="0070038F"/>
    <w:rsid w:val="00701B95"/>
    <w:rsid w:val="007027B1"/>
    <w:rsid w:val="0070286C"/>
    <w:rsid w:val="00704DF6"/>
    <w:rsid w:val="007063CB"/>
    <w:rsid w:val="0070641D"/>
    <w:rsid w:val="0070651C"/>
    <w:rsid w:val="007132A3"/>
    <w:rsid w:val="0071393C"/>
    <w:rsid w:val="0071513A"/>
    <w:rsid w:val="00715B5C"/>
    <w:rsid w:val="00716421"/>
    <w:rsid w:val="00716EF1"/>
    <w:rsid w:val="00721419"/>
    <w:rsid w:val="00722C76"/>
    <w:rsid w:val="00723AC5"/>
    <w:rsid w:val="00724EFB"/>
    <w:rsid w:val="00726575"/>
    <w:rsid w:val="00730310"/>
    <w:rsid w:val="00732BB8"/>
    <w:rsid w:val="0073647A"/>
    <w:rsid w:val="00737F09"/>
    <w:rsid w:val="00740A49"/>
    <w:rsid w:val="00740E22"/>
    <w:rsid w:val="007419C3"/>
    <w:rsid w:val="00742E95"/>
    <w:rsid w:val="00743AC4"/>
    <w:rsid w:val="007449CC"/>
    <w:rsid w:val="00746559"/>
    <w:rsid w:val="007467A7"/>
    <w:rsid w:val="007469DD"/>
    <w:rsid w:val="0074741B"/>
    <w:rsid w:val="0074759E"/>
    <w:rsid w:val="007478EA"/>
    <w:rsid w:val="0075415C"/>
    <w:rsid w:val="00757097"/>
    <w:rsid w:val="00757C7F"/>
    <w:rsid w:val="00761E8B"/>
    <w:rsid w:val="00763502"/>
    <w:rsid w:val="0076620C"/>
    <w:rsid w:val="00767638"/>
    <w:rsid w:val="00770A2A"/>
    <w:rsid w:val="00771157"/>
    <w:rsid w:val="007743FA"/>
    <w:rsid w:val="00780147"/>
    <w:rsid w:val="00785056"/>
    <w:rsid w:val="007902CD"/>
    <w:rsid w:val="007913AB"/>
    <w:rsid w:val="007914F7"/>
    <w:rsid w:val="0079174F"/>
    <w:rsid w:val="00791845"/>
    <w:rsid w:val="00792B83"/>
    <w:rsid w:val="00795C73"/>
    <w:rsid w:val="007A2BA7"/>
    <w:rsid w:val="007A4809"/>
    <w:rsid w:val="007B1625"/>
    <w:rsid w:val="007B3730"/>
    <w:rsid w:val="007B37AC"/>
    <w:rsid w:val="007B706E"/>
    <w:rsid w:val="007B70AE"/>
    <w:rsid w:val="007B71EB"/>
    <w:rsid w:val="007C0748"/>
    <w:rsid w:val="007C276A"/>
    <w:rsid w:val="007C6205"/>
    <w:rsid w:val="007C686A"/>
    <w:rsid w:val="007C728E"/>
    <w:rsid w:val="007D0BE0"/>
    <w:rsid w:val="007D204F"/>
    <w:rsid w:val="007D2C53"/>
    <w:rsid w:val="007D3D60"/>
    <w:rsid w:val="007D4456"/>
    <w:rsid w:val="007D4685"/>
    <w:rsid w:val="007D62AA"/>
    <w:rsid w:val="007E1980"/>
    <w:rsid w:val="007E4054"/>
    <w:rsid w:val="007E4B76"/>
    <w:rsid w:val="007E5043"/>
    <w:rsid w:val="007E54C7"/>
    <w:rsid w:val="007E5EA8"/>
    <w:rsid w:val="007E7CCD"/>
    <w:rsid w:val="007F0CF1"/>
    <w:rsid w:val="007F0E4F"/>
    <w:rsid w:val="007F12A5"/>
    <w:rsid w:val="007F20F6"/>
    <w:rsid w:val="007F2823"/>
    <w:rsid w:val="007F2D74"/>
    <w:rsid w:val="007F34BB"/>
    <w:rsid w:val="007F3FB7"/>
    <w:rsid w:val="007F4CF1"/>
    <w:rsid w:val="007F758D"/>
    <w:rsid w:val="007F7D52"/>
    <w:rsid w:val="0080484A"/>
    <w:rsid w:val="00805589"/>
    <w:rsid w:val="008057A5"/>
    <w:rsid w:val="00805E2F"/>
    <w:rsid w:val="0080654C"/>
    <w:rsid w:val="008071C6"/>
    <w:rsid w:val="00810B22"/>
    <w:rsid w:val="008118C0"/>
    <w:rsid w:val="00812DC9"/>
    <w:rsid w:val="008156E1"/>
    <w:rsid w:val="00817A00"/>
    <w:rsid w:val="00820B95"/>
    <w:rsid w:val="00823E2F"/>
    <w:rsid w:val="00825249"/>
    <w:rsid w:val="00825891"/>
    <w:rsid w:val="0083138C"/>
    <w:rsid w:val="00831631"/>
    <w:rsid w:val="0083228D"/>
    <w:rsid w:val="00833D07"/>
    <w:rsid w:val="00835DB3"/>
    <w:rsid w:val="008360D7"/>
    <w:rsid w:val="0083617B"/>
    <w:rsid w:val="00836342"/>
    <w:rsid w:val="00836A2D"/>
    <w:rsid w:val="00836CB2"/>
    <w:rsid w:val="008370A6"/>
    <w:rsid w:val="008371BD"/>
    <w:rsid w:val="00840EBF"/>
    <w:rsid w:val="00843A36"/>
    <w:rsid w:val="00850333"/>
    <w:rsid w:val="008504A8"/>
    <w:rsid w:val="00851B58"/>
    <w:rsid w:val="0085282E"/>
    <w:rsid w:val="008547BC"/>
    <w:rsid w:val="00856C82"/>
    <w:rsid w:val="00857EBB"/>
    <w:rsid w:val="00861AE2"/>
    <w:rsid w:val="00867B8E"/>
    <w:rsid w:val="0087198C"/>
    <w:rsid w:val="00872C1F"/>
    <w:rsid w:val="008739C0"/>
    <w:rsid w:val="00873B42"/>
    <w:rsid w:val="0087638E"/>
    <w:rsid w:val="00877CB0"/>
    <w:rsid w:val="008805AC"/>
    <w:rsid w:val="00880D1A"/>
    <w:rsid w:val="00881540"/>
    <w:rsid w:val="00884468"/>
    <w:rsid w:val="00885100"/>
    <w:rsid w:val="008856D8"/>
    <w:rsid w:val="0089032E"/>
    <w:rsid w:val="008925A3"/>
    <w:rsid w:val="00892E82"/>
    <w:rsid w:val="00893277"/>
    <w:rsid w:val="00894DA2"/>
    <w:rsid w:val="00895FA9"/>
    <w:rsid w:val="008A0AAC"/>
    <w:rsid w:val="008A1035"/>
    <w:rsid w:val="008A2C76"/>
    <w:rsid w:val="008A2F56"/>
    <w:rsid w:val="008A44EA"/>
    <w:rsid w:val="008A62B3"/>
    <w:rsid w:val="008A6E08"/>
    <w:rsid w:val="008B0E27"/>
    <w:rsid w:val="008B3BB2"/>
    <w:rsid w:val="008C0BE9"/>
    <w:rsid w:val="008C1B58"/>
    <w:rsid w:val="008C393C"/>
    <w:rsid w:val="008C39AE"/>
    <w:rsid w:val="008C40DF"/>
    <w:rsid w:val="008C590D"/>
    <w:rsid w:val="008C5D65"/>
    <w:rsid w:val="008C754B"/>
    <w:rsid w:val="008C7C67"/>
    <w:rsid w:val="008D06B4"/>
    <w:rsid w:val="008D1020"/>
    <w:rsid w:val="008D1CDE"/>
    <w:rsid w:val="008D2AAB"/>
    <w:rsid w:val="008D447E"/>
    <w:rsid w:val="008D7566"/>
    <w:rsid w:val="008E031B"/>
    <w:rsid w:val="008E0418"/>
    <w:rsid w:val="008E0560"/>
    <w:rsid w:val="008E2D8C"/>
    <w:rsid w:val="008E6542"/>
    <w:rsid w:val="008E7029"/>
    <w:rsid w:val="008E744D"/>
    <w:rsid w:val="008E7EF6"/>
    <w:rsid w:val="008F106D"/>
    <w:rsid w:val="008F1F98"/>
    <w:rsid w:val="008F2340"/>
    <w:rsid w:val="008F2790"/>
    <w:rsid w:val="008F3899"/>
    <w:rsid w:val="008F3F61"/>
    <w:rsid w:val="008F3F6A"/>
    <w:rsid w:val="008F4C17"/>
    <w:rsid w:val="008F6758"/>
    <w:rsid w:val="0090350F"/>
    <w:rsid w:val="00903FA0"/>
    <w:rsid w:val="009040DD"/>
    <w:rsid w:val="00905B47"/>
    <w:rsid w:val="009061A9"/>
    <w:rsid w:val="0090690F"/>
    <w:rsid w:val="00910D88"/>
    <w:rsid w:val="00911391"/>
    <w:rsid w:val="0091331C"/>
    <w:rsid w:val="009137BD"/>
    <w:rsid w:val="0091503D"/>
    <w:rsid w:val="00917B40"/>
    <w:rsid w:val="00921B30"/>
    <w:rsid w:val="00925E94"/>
    <w:rsid w:val="00927718"/>
    <w:rsid w:val="009279DE"/>
    <w:rsid w:val="00927AB9"/>
    <w:rsid w:val="00927B37"/>
    <w:rsid w:val="00930116"/>
    <w:rsid w:val="009302E0"/>
    <w:rsid w:val="00930625"/>
    <w:rsid w:val="00937BA6"/>
    <w:rsid w:val="00941074"/>
    <w:rsid w:val="00941082"/>
    <w:rsid w:val="0094212C"/>
    <w:rsid w:val="00944853"/>
    <w:rsid w:val="0094609D"/>
    <w:rsid w:val="009465EF"/>
    <w:rsid w:val="009466C1"/>
    <w:rsid w:val="00947396"/>
    <w:rsid w:val="0095378C"/>
    <w:rsid w:val="00954689"/>
    <w:rsid w:val="0095472A"/>
    <w:rsid w:val="009572DB"/>
    <w:rsid w:val="00960688"/>
    <w:rsid w:val="0096085A"/>
    <w:rsid w:val="009617C9"/>
    <w:rsid w:val="0096180A"/>
    <w:rsid w:val="00961C93"/>
    <w:rsid w:val="00962B4E"/>
    <w:rsid w:val="00965324"/>
    <w:rsid w:val="0097091E"/>
    <w:rsid w:val="00973F97"/>
    <w:rsid w:val="00976066"/>
    <w:rsid w:val="009760D3"/>
    <w:rsid w:val="009764B1"/>
    <w:rsid w:val="00977132"/>
    <w:rsid w:val="00980466"/>
    <w:rsid w:val="00981A4B"/>
    <w:rsid w:val="00982250"/>
    <w:rsid w:val="00982501"/>
    <w:rsid w:val="00983D33"/>
    <w:rsid w:val="0098553E"/>
    <w:rsid w:val="009877D3"/>
    <w:rsid w:val="009904A5"/>
    <w:rsid w:val="0099483E"/>
    <w:rsid w:val="00994E8F"/>
    <w:rsid w:val="009951DC"/>
    <w:rsid w:val="0099566A"/>
    <w:rsid w:val="009959BB"/>
    <w:rsid w:val="00997158"/>
    <w:rsid w:val="009A0827"/>
    <w:rsid w:val="009A1184"/>
    <w:rsid w:val="009A1BCF"/>
    <w:rsid w:val="009A2D10"/>
    <w:rsid w:val="009A3A7C"/>
    <w:rsid w:val="009A5D33"/>
    <w:rsid w:val="009A7D84"/>
    <w:rsid w:val="009B2323"/>
    <w:rsid w:val="009B2ADB"/>
    <w:rsid w:val="009B4E68"/>
    <w:rsid w:val="009B603A"/>
    <w:rsid w:val="009B7173"/>
    <w:rsid w:val="009B7DE1"/>
    <w:rsid w:val="009B7DEB"/>
    <w:rsid w:val="009C2D0E"/>
    <w:rsid w:val="009C3BFB"/>
    <w:rsid w:val="009C3DAC"/>
    <w:rsid w:val="009C42E0"/>
    <w:rsid w:val="009D135E"/>
    <w:rsid w:val="009D159C"/>
    <w:rsid w:val="009D3230"/>
    <w:rsid w:val="009D5362"/>
    <w:rsid w:val="009D6585"/>
    <w:rsid w:val="009E1415"/>
    <w:rsid w:val="009E44C9"/>
    <w:rsid w:val="009E6116"/>
    <w:rsid w:val="009E7E25"/>
    <w:rsid w:val="009F0A55"/>
    <w:rsid w:val="009F0BDB"/>
    <w:rsid w:val="009F7DD7"/>
    <w:rsid w:val="00A02E43"/>
    <w:rsid w:val="00A0333A"/>
    <w:rsid w:val="00A05368"/>
    <w:rsid w:val="00A065F9"/>
    <w:rsid w:val="00A07011"/>
    <w:rsid w:val="00A07E46"/>
    <w:rsid w:val="00A07F34"/>
    <w:rsid w:val="00A17048"/>
    <w:rsid w:val="00A22154"/>
    <w:rsid w:val="00A229E2"/>
    <w:rsid w:val="00A22D91"/>
    <w:rsid w:val="00A24058"/>
    <w:rsid w:val="00A24F19"/>
    <w:rsid w:val="00A25C38"/>
    <w:rsid w:val="00A2796D"/>
    <w:rsid w:val="00A307FD"/>
    <w:rsid w:val="00A31D60"/>
    <w:rsid w:val="00A32F85"/>
    <w:rsid w:val="00A3531B"/>
    <w:rsid w:val="00A35824"/>
    <w:rsid w:val="00A36BBE"/>
    <w:rsid w:val="00A37C20"/>
    <w:rsid w:val="00A40ACA"/>
    <w:rsid w:val="00A40D88"/>
    <w:rsid w:val="00A40D9E"/>
    <w:rsid w:val="00A41DF7"/>
    <w:rsid w:val="00A420B1"/>
    <w:rsid w:val="00A42ECA"/>
    <w:rsid w:val="00A4307A"/>
    <w:rsid w:val="00A43F24"/>
    <w:rsid w:val="00A44573"/>
    <w:rsid w:val="00A46D19"/>
    <w:rsid w:val="00A46DEF"/>
    <w:rsid w:val="00A47EBB"/>
    <w:rsid w:val="00A50604"/>
    <w:rsid w:val="00A50AA5"/>
    <w:rsid w:val="00A51CDD"/>
    <w:rsid w:val="00A5310D"/>
    <w:rsid w:val="00A53717"/>
    <w:rsid w:val="00A563F8"/>
    <w:rsid w:val="00A56B86"/>
    <w:rsid w:val="00A56BBA"/>
    <w:rsid w:val="00A57719"/>
    <w:rsid w:val="00A602FF"/>
    <w:rsid w:val="00A6039E"/>
    <w:rsid w:val="00A607DB"/>
    <w:rsid w:val="00A61288"/>
    <w:rsid w:val="00A6494E"/>
    <w:rsid w:val="00A6730D"/>
    <w:rsid w:val="00A67A54"/>
    <w:rsid w:val="00A71625"/>
    <w:rsid w:val="00A71B9B"/>
    <w:rsid w:val="00A71C80"/>
    <w:rsid w:val="00A724D1"/>
    <w:rsid w:val="00A736B9"/>
    <w:rsid w:val="00A751C7"/>
    <w:rsid w:val="00A756B7"/>
    <w:rsid w:val="00A80008"/>
    <w:rsid w:val="00A84CE5"/>
    <w:rsid w:val="00A87844"/>
    <w:rsid w:val="00A9227B"/>
    <w:rsid w:val="00A93A45"/>
    <w:rsid w:val="00A94F23"/>
    <w:rsid w:val="00A97A55"/>
    <w:rsid w:val="00AA038C"/>
    <w:rsid w:val="00AA0C52"/>
    <w:rsid w:val="00AA1203"/>
    <w:rsid w:val="00AA61C3"/>
    <w:rsid w:val="00AA7A09"/>
    <w:rsid w:val="00AB03F7"/>
    <w:rsid w:val="00AB360F"/>
    <w:rsid w:val="00AB3B50"/>
    <w:rsid w:val="00AB74EF"/>
    <w:rsid w:val="00AC05B1"/>
    <w:rsid w:val="00AC24BA"/>
    <w:rsid w:val="00AC450C"/>
    <w:rsid w:val="00AC53A4"/>
    <w:rsid w:val="00AC66D0"/>
    <w:rsid w:val="00AD340B"/>
    <w:rsid w:val="00AD356C"/>
    <w:rsid w:val="00AD5348"/>
    <w:rsid w:val="00AD5FC5"/>
    <w:rsid w:val="00AE2914"/>
    <w:rsid w:val="00AE6D15"/>
    <w:rsid w:val="00AE7023"/>
    <w:rsid w:val="00AE76DF"/>
    <w:rsid w:val="00AE78AA"/>
    <w:rsid w:val="00AF0EF3"/>
    <w:rsid w:val="00AF1F49"/>
    <w:rsid w:val="00AF2D81"/>
    <w:rsid w:val="00AF4383"/>
    <w:rsid w:val="00AF5641"/>
    <w:rsid w:val="00B021A7"/>
    <w:rsid w:val="00B04182"/>
    <w:rsid w:val="00B05ECF"/>
    <w:rsid w:val="00B07AE3"/>
    <w:rsid w:val="00B11430"/>
    <w:rsid w:val="00B12A5D"/>
    <w:rsid w:val="00B1424E"/>
    <w:rsid w:val="00B167E3"/>
    <w:rsid w:val="00B20F7E"/>
    <w:rsid w:val="00B242F4"/>
    <w:rsid w:val="00B2477A"/>
    <w:rsid w:val="00B24D1C"/>
    <w:rsid w:val="00B25233"/>
    <w:rsid w:val="00B27D8A"/>
    <w:rsid w:val="00B30072"/>
    <w:rsid w:val="00B30481"/>
    <w:rsid w:val="00B324E8"/>
    <w:rsid w:val="00B3312F"/>
    <w:rsid w:val="00B337ED"/>
    <w:rsid w:val="00B353EB"/>
    <w:rsid w:val="00B4016F"/>
    <w:rsid w:val="00B407AC"/>
    <w:rsid w:val="00B40F12"/>
    <w:rsid w:val="00B439C4"/>
    <w:rsid w:val="00B4535E"/>
    <w:rsid w:val="00B46116"/>
    <w:rsid w:val="00B47917"/>
    <w:rsid w:val="00B5011A"/>
    <w:rsid w:val="00B528A9"/>
    <w:rsid w:val="00B52A8C"/>
    <w:rsid w:val="00B54707"/>
    <w:rsid w:val="00B56155"/>
    <w:rsid w:val="00B561F0"/>
    <w:rsid w:val="00B57996"/>
    <w:rsid w:val="00B57E3E"/>
    <w:rsid w:val="00B62F11"/>
    <w:rsid w:val="00B63042"/>
    <w:rsid w:val="00B636A8"/>
    <w:rsid w:val="00B64BD7"/>
    <w:rsid w:val="00B65B35"/>
    <w:rsid w:val="00B665C6"/>
    <w:rsid w:val="00B72AD8"/>
    <w:rsid w:val="00B74441"/>
    <w:rsid w:val="00B758A5"/>
    <w:rsid w:val="00B77748"/>
    <w:rsid w:val="00B805AF"/>
    <w:rsid w:val="00B82BD5"/>
    <w:rsid w:val="00B869EC"/>
    <w:rsid w:val="00B8780A"/>
    <w:rsid w:val="00B917FF"/>
    <w:rsid w:val="00B92383"/>
    <w:rsid w:val="00B9397A"/>
    <w:rsid w:val="00B9633D"/>
    <w:rsid w:val="00B967D5"/>
    <w:rsid w:val="00BA0482"/>
    <w:rsid w:val="00BA2EBE"/>
    <w:rsid w:val="00BA3239"/>
    <w:rsid w:val="00BA4190"/>
    <w:rsid w:val="00BA42BE"/>
    <w:rsid w:val="00BA443B"/>
    <w:rsid w:val="00BA78F7"/>
    <w:rsid w:val="00BB0F28"/>
    <w:rsid w:val="00BB1580"/>
    <w:rsid w:val="00BB458A"/>
    <w:rsid w:val="00BB693F"/>
    <w:rsid w:val="00BC1EB8"/>
    <w:rsid w:val="00BC5953"/>
    <w:rsid w:val="00BC7B55"/>
    <w:rsid w:val="00BC7D22"/>
    <w:rsid w:val="00BC7F94"/>
    <w:rsid w:val="00BD00D3"/>
    <w:rsid w:val="00BD1365"/>
    <w:rsid w:val="00BD1659"/>
    <w:rsid w:val="00BD3AA9"/>
    <w:rsid w:val="00BD4A18"/>
    <w:rsid w:val="00BD5EE3"/>
    <w:rsid w:val="00BD6DB2"/>
    <w:rsid w:val="00BD73A1"/>
    <w:rsid w:val="00BE11CF"/>
    <w:rsid w:val="00BE20EE"/>
    <w:rsid w:val="00BE21AB"/>
    <w:rsid w:val="00BE2A8C"/>
    <w:rsid w:val="00BE471E"/>
    <w:rsid w:val="00BE55CB"/>
    <w:rsid w:val="00BE7067"/>
    <w:rsid w:val="00BE7E0A"/>
    <w:rsid w:val="00BF3BB2"/>
    <w:rsid w:val="00BF4422"/>
    <w:rsid w:val="00BF45C1"/>
    <w:rsid w:val="00BF617A"/>
    <w:rsid w:val="00BF7D05"/>
    <w:rsid w:val="00C00FA0"/>
    <w:rsid w:val="00C013CE"/>
    <w:rsid w:val="00C014FE"/>
    <w:rsid w:val="00C0379D"/>
    <w:rsid w:val="00C03931"/>
    <w:rsid w:val="00C0447D"/>
    <w:rsid w:val="00C05FE3"/>
    <w:rsid w:val="00C112A0"/>
    <w:rsid w:val="00C11DA9"/>
    <w:rsid w:val="00C13186"/>
    <w:rsid w:val="00C14710"/>
    <w:rsid w:val="00C17646"/>
    <w:rsid w:val="00C20D5B"/>
    <w:rsid w:val="00C2136D"/>
    <w:rsid w:val="00C214EE"/>
    <w:rsid w:val="00C22131"/>
    <w:rsid w:val="00C2314B"/>
    <w:rsid w:val="00C24248"/>
    <w:rsid w:val="00C244A0"/>
    <w:rsid w:val="00C24971"/>
    <w:rsid w:val="00C25355"/>
    <w:rsid w:val="00C26BE5"/>
    <w:rsid w:val="00C26E4D"/>
    <w:rsid w:val="00C27909"/>
    <w:rsid w:val="00C27B03"/>
    <w:rsid w:val="00C314E1"/>
    <w:rsid w:val="00C33999"/>
    <w:rsid w:val="00C34397"/>
    <w:rsid w:val="00C40503"/>
    <w:rsid w:val="00C4095D"/>
    <w:rsid w:val="00C41EEA"/>
    <w:rsid w:val="00C41FD8"/>
    <w:rsid w:val="00C55750"/>
    <w:rsid w:val="00C57A9C"/>
    <w:rsid w:val="00C601D2"/>
    <w:rsid w:val="00C60BFB"/>
    <w:rsid w:val="00C60DE1"/>
    <w:rsid w:val="00C61AE1"/>
    <w:rsid w:val="00C624C1"/>
    <w:rsid w:val="00C65BCC"/>
    <w:rsid w:val="00C65CE9"/>
    <w:rsid w:val="00C66970"/>
    <w:rsid w:val="00C70E04"/>
    <w:rsid w:val="00C71F4D"/>
    <w:rsid w:val="00C760C5"/>
    <w:rsid w:val="00C80393"/>
    <w:rsid w:val="00C8373D"/>
    <w:rsid w:val="00C83A7D"/>
    <w:rsid w:val="00C8691C"/>
    <w:rsid w:val="00C86CB4"/>
    <w:rsid w:val="00C877BF"/>
    <w:rsid w:val="00C9075B"/>
    <w:rsid w:val="00C96295"/>
    <w:rsid w:val="00C96364"/>
    <w:rsid w:val="00CA0231"/>
    <w:rsid w:val="00CA03DF"/>
    <w:rsid w:val="00CA053E"/>
    <w:rsid w:val="00CA0BE5"/>
    <w:rsid w:val="00CA168A"/>
    <w:rsid w:val="00CA2097"/>
    <w:rsid w:val="00CA357E"/>
    <w:rsid w:val="00CA44F9"/>
    <w:rsid w:val="00CA4918"/>
    <w:rsid w:val="00CA4A69"/>
    <w:rsid w:val="00CA6379"/>
    <w:rsid w:val="00CB3C76"/>
    <w:rsid w:val="00CB5559"/>
    <w:rsid w:val="00CB6188"/>
    <w:rsid w:val="00CB722E"/>
    <w:rsid w:val="00CC0350"/>
    <w:rsid w:val="00CC0496"/>
    <w:rsid w:val="00CC0CC0"/>
    <w:rsid w:val="00CC3E0C"/>
    <w:rsid w:val="00CC58D3"/>
    <w:rsid w:val="00CC6CBF"/>
    <w:rsid w:val="00CC784D"/>
    <w:rsid w:val="00CD2825"/>
    <w:rsid w:val="00CD43B1"/>
    <w:rsid w:val="00CD4D34"/>
    <w:rsid w:val="00CD531B"/>
    <w:rsid w:val="00CD5E8B"/>
    <w:rsid w:val="00CE0EB1"/>
    <w:rsid w:val="00CE1DA0"/>
    <w:rsid w:val="00CE59A3"/>
    <w:rsid w:val="00CE617D"/>
    <w:rsid w:val="00CF1E15"/>
    <w:rsid w:val="00CF265A"/>
    <w:rsid w:val="00CF75C8"/>
    <w:rsid w:val="00D00A8D"/>
    <w:rsid w:val="00D02B3D"/>
    <w:rsid w:val="00D03268"/>
    <w:rsid w:val="00D0337B"/>
    <w:rsid w:val="00D03D51"/>
    <w:rsid w:val="00D0702B"/>
    <w:rsid w:val="00D07777"/>
    <w:rsid w:val="00D078B3"/>
    <w:rsid w:val="00D079B2"/>
    <w:rsid w:val="00D114E9"/>
    <w:rsid w:val="00D13FE2"/>
    <w:rsid w:val="00D14C3A"/>
    <w:rsid w:val="00D17297"/>
    <w:rsid w:val="00D17CD8"/>
    <w:rsid w:val="00D216F6"/>
    <w:rsid w:val="00D222E9"/>
    <w:rsid w:val="00D22AF6"/>
    <w:rsid w:val="00D2527C"/>
    <w:rsid w:val="00D26FC0"/>
    <w:rsid w:val="00D313B3"/>
    <w:rsid w:val="00D3290C"/>
    <w:rsid w:val="00D35B8E"/>
    <w:rsid w:val="00D40F07"/>
    <w:rsid w:val="00D429C6"/>
    <w:rsid w:val="00D437AF"/>
    <w:rsid w:val="00D440C7"/>
    <w:rsid w:val="00D466CB"/>
    <w:rsid w:val="00D47748"/>
    <w:rsid w:val="00D503C3"/>
    <w:rsid w:val="00D51322"/>
    <w:rsid w:val="00D5178F"/>
    <w:rsid w:val="00D518DF"/>
    <w:rsid w:val="00D51FD9"/>
    <w:rsid w:val="00D52B3B"/>
    <w:rsid w:val="00D54CC3"/>
    <w:rsid w:val="00D55D03"/>
    <w:rsid w:val="00D6041A"/>
    <w:rsid w:val="00D61258"/>
    <w:rsid w:val="00D633EB"/>
    <w:rsid w:val="00D70A62"/>
    <w:rsid w:val="00D71C99"/>
    <w:rsid w:val="00D736AC"/>
    <w:rsid w:val="00D747AA"/>
    <w:rsid w:val="00D75A7E"/>
    <w:rsid w:val="00D817D2"/>
    <w:rsid w:val="00D82FF7"/>
    <w:rsid w:val="00D8343F"/>
    <w:rsid w:val="00D847FE"/>
    <w:rsid w:val="00D86B9C"/>
    <w:rsid w:val="00D900CD"/>
    <w:rsid w:val="00D90A39"/>
    <w:rsid w:val="00D964EA"/>
    <w:rsid w:val="00D966D0"/>
    <w:rsid w:val="00DA0C59"/>
    <w:rsid w:val="00DA2E1A"/>
    <w:rsid w:val="00DA3991"/>
    <w:rsid w:val="00DA72A1"/>
    <w:rsid w:val="00DA7F95"/>
    <w:rsid w:val="00DB01F1"/>
    <w:rsid w:val="00DB26E2"/>
    <w:rsid w:val="00DB3222"/>
    <w:rsid w:val="00DB5B93"/>
    <w:rsid w:val="00DB5CCC"/>
    <w:rsid w:val="00DB7E6C"/>
    <w:rsid w:val="00DC1F62"/>
    <w:rsid w:val="00DC2223"/>
    <w:rsid w:val="00DC2BB7"/>
    <w:rsid w:val="00DC4F68"/>
    <w:rsid w:val="00DC64B0"/>
    <w:rsid w:val="00DC6B1E"/>
    <w:rsid w:val="00DD068D"/>
    <w:rsid w:val="00DD14EA"/>
    <w:rsid w:val="00DD252A"/>
    <w:rsid w:val="00DD4184"/>
    <w:rsid w:val="00DD522C"/>
    <w:rsid w:val="00DD55CA"/>
    <w:rsid w:val="00DD5949"/>
    <w:rsid w:val="00DD5A29"/>
    <w:rsid w:val="00DD5D9D"/>
    <w:rsid w:val="00DD5DA7"/>
    <w:rsid w:val="00DE35CB"/>
    <w:rsid w:val="00DE3EFB"/>
    <w:rsid w:val="00DF0EF0"/>
    <w:rsid w:val="00DF21E9"/>
    <w:rsid w:val="00DF22C7"/>
    <w:rsid w:val="00DF599C"/>
    <w:rsid w:val="00DF5CC9"/>
    <w:rsid w:val="00DF651A"/>
    <w:rsid w:val="00E004B9"/>
    <w:rsid w:val="00E00F14"/>
    <w:rsid w:val="00E01CB8"/>
    <w:rsid w:val="00E02939"/>
    <w:rsid w:val="00E02C54"/>
    <w:rsid w:val="00E06386"/>
    <w:rsid w:val="00E075C5"/>
    <w:rsid w:val="00E1051A"/>
    <w:rsid w:val="00E11668"/>
    <w:rsid w:val="00E118E7"/>
    <w:rsid w:val="00E122B7"/>
    <w:rsid w:val="00E126E1"/>
    <w:rsid w:val="00E12E1B"/>
    <w:rsid w:val="00E15274"/>
    <w:rsid w:val="00E15E70"/>
    <w:rsid w:val="00E21B55"/>
    <w:rsid w:val="00E221D3"/>
    <w:rsid w:val="00E24EB4"/>
    <w:rsid w:val="00E266F8"/>
    <w:rsid w:val="00E30316"/>
    <w:rsid w:val="00E30635"/>
    <w:rsid w:val="00E30B16"/>
    <w:rsid w:val="00E317D2"/>
    <w:rsid w:val="00E320ED"/>
    <w:rsid w:val="00E33393"/>
    <w:rsid w:val="00E33AFB"/>
    <w:rsid w:val="00E34218"/>
    <w:rsid w:val="00E36688"/>
    <w:rsid w:val="00E42040"/>
    <w:rsid w:val="00E43593"/>
    <w:rsid w:val="00E4555B"/>
    <w:rsid w:val="00E46282"/>
    <w:rsid w:val="00E50CD1"/>
    <w:rsid w:val="00E5216E"/>
    <w:rsid w:val="00E52591"/>
    <w:rsid w:val="00E53FD1"/>
    <w:rsid w:val="00E5508D"/>
    <w:rsid w:val="00E5529C"/>
    <w:rsid w:val="00E555F2"/>
    <w:rsid w:val="00E64CAF"/>
    <w:rsid w:val="00E657C6"/>
    <w:rsid w:val="00E75D40"/>
    <w:rsid w:val="00E75D41"/>
    <w:rsid w:val="00E81965"/>
    <w:rsid w:val="00E81D45"/>
    <w:rsid w:val="00E82344"/>
    <w:rsid w:val="00E84C82"/>
    <w:rsid w:val="00E84D64"/>
    <w:rsid w:val="00E84E9A"/>
    <w:rsid w:val="00E87408"/>
    <w:rsid w:val="00E90ABA"/>
    <w:rsid w:val="00E914C4"/>
    <w:rsid w:val="00E934F5"/>
    <w:rsid w:val="00E94C18"/>
    <w:rsid w:val="00E96961"/>
    <w:rsid w:val="00E96E3D"/>
    <w:rsid w:val="00E97F49"/>
    <w:rsid w:val="00EA09D2"/>
    <w:rsid w:val="00EA10D7"/>
    <w:rsid w:val="00EA72AA"/>
    <w:rsid w:val="00EA72EC"/>
    <w:rsid w:val="00EB019B"/>
    <w:rsid w:val="00EB11CB"/>
    <w:rsid w:val="00EB1C71"/>
    <w:rsid w:val="00EB275A"/>
    <w:rsid w:val="00EB57CA"/>
    <w:rsid w:val="00EB589A"/>
    <w:rsid w:val="00EB5C26"/>
    <w:rsid w:val="00EB5D14"/>
    <w:rsid w:val="00EB786A"/>
    <w:rsid w:val="00EB7FF2"/>
    <w:rsid w:val="00EC1578"/>
    <w:rsid w:val="00EC1B1B"/>
    <w:rsid w:val="00EC1BFC"/>
    <w:rsid w:val="00EC1C72"/>
    <w:rsid w:val="00EC3356"/>
    <w:rsid w:val="00EC34EB"/>
    <w:rsid w:val="00EC3CC9"/>
    <w:rsid w:val="00EC5D85"/>
    <w:rsid w:val="00EC680A"/>
    <w:rsid w:val="00ED0C18"/>
    <w:rsid w:val="00ED511C"/>
    <w:rsid w:val="00ED6D01"/>
    <w:rsid w:val="00ED7229"/>
    <w:rsid w:val="00ED78CA"/>
    <w:rsid w:val="00EE25CB"/>
    <w:rsid w:val="00EE2BED"/>
    <w:rsid w:val="00EE2EC7"/>
    <w:rsid w:val="00EE374B"/>
    <w:rsid w:val="00EE4A87"/>
    <w:rsid w:val="00EF2869"/>
    <w:rsid w:val="00EF315A"/>
    <w:rsid w:val="00EF6C78"/>
    <w:rsid w:val="00F012A6"/>
    <w:rsid w:val="00F0317B"/>
    <w:rsid w:val="00F0341C"/>
    <w:rsid w:val="00F03507"/>
    <w:rsid w:val="00F04014"/>
    <w:rsid w:val="00F04EFE"/>
    <w:rsid w:val="00F05D60"/>
    <w:rsid w:val="00F07224"/>
    <w:rsid w:val="00F07FD3"/>
    <w:rsid w:val="00F10B17"/>
    <w:rsid w:val="00F10E08"/>
    <w:rsid w:val="00F10E8D"/>
    <w:rsid w:val="00F11BB5"/>
    <w:rsid w:val="00F1296C"/>
    <w:rsid w:val="00F13A9C"/>
    <w:rsid w:val="00F1417B"/>
    <w:rsid w:val="00F1712D"/>
    <w:rsid w:val="00F17A17"/>
    <w:rsid w:val="00F20579"/>
    <w:rsid w:val="00F20592"/>
    <w:rsid w:val="00F208A0"/>
    <w:rsid w:val="00F2115E"/>
    <w:rsid w:val="00F27B3D"/>
    <w:rsid w:val="00F30ABD"/>
    <w:rsid w:val="00F34B99"/>
    <w:rsid w:val="00F34C92"/>
    <w:rsid w:val="00F40B02"/>
    <w:rsid w:val="00F41E81"/>
    <w:rsid w:val="00F449FF"/>
    <w:rsid w:val="00F51720"/>
    <w:rsid w:val="00F51CF2"/>
    <w:rsid w:val="00F52DAB"/>
    <w:rsid w:val="00F543F0"/>
    <w:rsid w:val="00F55E3E"/>
    <w:rsid w:val="00F57601"/>
    <w:rsid w:val="00F64D94"/>
    <w:rsid w:val="00F6761F"/>
    <w:rsid w:val="00F7080D"/>
    <w:rsid w:val="00F73F99"/>
    <w:rsid w:val="00F74B07"/>
    <w:rsid w:val="00F75F80"/>
    <w:rsid w:val="00F76654"/>
    <w:rsid w:val="00F772F9"/>
    <w:rsid w:val="00F81D29"/>
    <w:rsid w:val="00F8652F"/>
    <w:rsid w:val="00F90BE5"/>
    <w:rsid w:val="00F91C4D"/>
    <w:rsid w:val="00F92FD9"/>
    <w:rsid w:val="00FA24FB"/>
    <w:rsid w:val="00FA37B1"/>
    <w:rsid w:val="00FA3E0B"/>
    <w:rsid w:val="00FA4CDD"/>
    <w:rsid w:val="00FA5EF7"/>
    <w:rsid w:val="00FA6684"/>
    <w:rsid w:val="00FA731E"/>
    <w:rsid w:val="00FA77C2"/>
    <w:rsid w:val="00FA7BD0"/>
    <w:rsid w:val="00FB042E"/>
    <w:rsid w:val="00FB1DCF"/>
    <w:rsid w:val="00FB2B38"/>
    <w:rsid w:val="00FB39F8"/>
    <w:rsid w:val="00FB61CE"/>
    <w:rsid w:val="00FB6701"/>
    <w:rsid w:val="00FB7105"/>
    <w:rsid w:val="00FB7626"/>
    <w:rsid w:val="00FB7A07"/>
    <w:rsid w:val="00FC04CC"/>
    <w:rsid w:val="00FC2066"/>
    <w:rsid w:val="00FC30B2"/>
    <w:rsid w:val="00FC6358"/>
    <w:rsid w:val="00FD1381"/>
    <w:rsid w:val="00FD273C"/>
    <w:rsid w:val="00FD320D"/>
    <w:rsid w:val="00FE1B98"/>
    <w:rsid w:val="00FE23DE"/>
    <w:rsid w:val="00FE3BCC"/>
    <w:rsid w:val="00FE61D3"/>
    <w:rsid w:val="00FE65E1"/>
    <w:rsid w:val="00FF1801"/>
    <w:rsid w:val="00FF4CEF"/>
    <w:rsid w:val="00FF4F85"/>
    <w:rsid w:val="00FF5234"/>
    <w:rsid w:val="00FF6842"/>
    <w:rsid w:val="02C32E43"/>
    <w:rsid w:val="03897016"/>
    <w:rsid w:val="04115E30"/>
    <w:rsid w:val="04285D0C"/>
    <w:rsid w:val="053022E6"/>
    <w:rsid w:val="065639AF"/>
    <w:rsid w:val="069A01B7"/>
    <w:rsid w:val="06FD08ED"/>
    <w:rsid w:val="084762C4"/>
    <w:rsid w:val="08E0660C"/>
    <w:rsid w:val="09842C00"/>
    <w:rsid w:val="0A886906"/>
    <w:rsid w:val="0A8E7038"/>
    <w:rsid w:val="0B3B38BB"/>
    <w:rsid w:val="0B770C6E"/>
    <w:rsid w:val="0C696A4D"/>
    <w:rsid w:val="0C795A8B"/>
    <w:rsid w:val="0E3B2427"/>
    <w:rsid w:val="0E747874"/>
    <w:rsid w:val="0F832D65"/>
    <w:rsid w:val="110D4D0F"/>
    <w:rsid w:val="11FD0C42"/>
    <w:rsid w:val="132E28C9"/>
    <w:rsid w:val="138F7608"/>
    <w:rsid w:val="13DF1AA7"/>
    <w:rsid w:val="150D10C8"/>
    <w:rsid w:val="15133286"/>
    <w:rsid w:val="16131283"/>
    <w:rsid w:val="169470A4"/>
    <w:rsid w:val="1A0C348B"/>
    <w:rsid w:val="1AF12032"/>
    <w:rsid w:val="1B943177"/>
    <w:rsid w:val="1BAD0C17"/>
    <w:rsid w:val="1BB83D8F"/>
    <w:rsid w:val="1DBF30AA"/>
    <w:rsid w:val="1E022440"/>
    <w:rsid w:val="1EE53CE9"/>
    <w:rsid w:val="1F9A4E2D"/>
    <w:rsid w:val="200A67CA"/>
    <w:rsid w:val="215734CE"/>
    <w:rsid w:val="216317A8"/>
    <w:rsid w:val="220862D1"/>
    <w:rsid w:val="249441E7"/>
    <w:rsid w:val="24DA0C2C"/>
    <w:rsid w:val="26CA2142"/>
    <w:rsid w:val="26DE7CB8"/>
    <w:rsid w:val="27252BF1"/>
    <w:rsid w:val="273D2B16"/>
    <w:rsid w:val="28DA7202"/>
    <w:rsid w:val="29852110"/>
    <w:rsid w:val="29DB24F2"/>
    <w:rsid w:val="2A426A83"/>
    <w:rsid w:val="2B027310"/>
    <w:rsid w:val="2B3530E0"/>
    <w:rsid w:val="2B7F020A"/>
    <w:rsid w:val="2B96235F"/>
    <w:rsid w:val="2BD05A42"/>
    <w:rsid w:val="2C235F3C"/>
    <w:rsid w:val="2DB41456"/>
    <w:rsid w:val="2DC965B5"/>
    <w:rsid w:val="2DCB45D1"/>
    <w:rsid w:val="2DED34FE"/>
    <w:rsid w:val="2EE45D6B"/>
    <w:rsid w:val="2F8530AA"/>
    <w:rsid w:val="30653CC1"/>
    <w:rsid w:val="31174E3B"/>
    <w:rsid w:val="312A215B"/>
    <w:rsid w:val="3138414C"/>
    <w:rsid w:val="319B28CB"/>
    <w:rsid w:val="339963F3"/>
    <w:rsid w:val="33ED4608"/>
    <w:rsid w:val="34DC4CD4"/>
    <w:rsid w:val="35CF045B"/>
    <w:rsid w:val="36C76516"/>
    <w:rsid w:val="38212257"/>
    <w:rsid w:val="38557CB4"/>
    <w:rsid w:val="385851E8"/>
    <w:rsid w:val="38AD5420"/>
    <w:rsid w:val="38C40645"/>
    <w:rsid w:val="39001CD4"/>
    <w:rsid w:val="398E0E0E"/>
    <w:rsid w:val="39DA2245"/>
    <w:rsid w:val="3AF94EFA"/>
    <w:rsid w:val="3E947108"/>
    <w:rsid w:val="41910029"/>
    <w:rsid w:val="42383FAC"/>
    <w:rsid w:val="43DB1EE9"/>
    <w:rsid w:val="448F3D1A"/>
    <w:rsid w:val="457479F1"/>
    <w:rsid w:val="4669318B"/>
    <w:rsid w:val="48AE0B5A"/>
    <w:rsid w:val="48CB5B7A"/>
    <w:rsid w:val="49151C1F"/>
    <w:rsid w:val="49172460"/>
    <w:rsid w:val="4948541D"/>
    <w:rsid w:val="4A233C29"/>
    <w:rsid w:val="4B71637A"/>
    <w:rsid w:val="4CFC3F49"/>
    <w:rsid w:val="4D1F46CD"/>
    <w:rsid w:val="4DC507EE"/>
    <w:rsid w:val="4EEE4370"/>
    <w:rsid w:val="4EF53A97"/>
    <w:rsid w:val="501425C6"/>
    <w:rsid w:val="50281B04"/>
    <w:rsid w:val="50EA1C7D"/>
    <w:rsid w:val="514D4B25"/>
    <w:rsid w:val="53795D3A"/>
    <w:rsid w:val="542007A5"/>
    <w:rsid w:val="5476515C"/>
    <w:rsid w:val="554364D7"/>
    <w:rsid w:val="559A3E78"/>
    <w:rsid w:val="55A008A2"/>
    <w:rsid w:val="55F67FAE"/>
    <w:rsid w:val="56357F2A"/>
    <w:rsid w:val="56B844BA"/>
    <w:rsid w:val="571234F7"/>
    <w:rsid w:val="57611E88"/>
    <w:rsid w:val="5829219E"/>
    <w:rsid w:val="582E2B69"/>
    <w:rsid w:val="58E248AA"/>
    <w:rsid w:val="5A622F9B"/>
    <w:rsid w:val="5B8A4EC0"/>
    <w:rsid w:val="5BB10966"/>
    <w:rsid w:val="5CAC368F"/>
    <w:rsid w:val="5D2E4CB6"/>
    <w:rsid w:val="5DC755BA"/>
    <w:rsid w:val="5DE238C1"/>
    <w:rsid w:val="5E020D02"/>
    <w:rsid w:val="5E2C4331"/>
    <w:rsid w:val="5E6C52B2"/>
    <w:rsid w:val="5E6F213A"/>
    <w:rsid w:val="5F68495B"/>
    <w:rsid w:val="5FBB0071"/>
    <w:rsid w:val="601A4071"/>
    <w:rsid w:val="60486611"/>
    <w:rsid w:val="608D4DCC"/>
    <w:rsid w:val="617A5F38"/>
    <w:rsid w:val="61804119"/>
    <w:rsid w:val="62612990"/>
    <w:rsid w:val="628F77C1"/>
    <w:rsid w:val="62991EBA"/>
    <w:rsid w:val="62D32F5B"/>
    <w:rsid w:val="63C628ED"/>
    <w:rsid w:val="664E4BAE"/>
    <w:rsid w:val="66833143"/>
    <w:rsid w:val="67760F4F"/>
    <w:rsid w:val="683F57E5"/>
    <w:rsid w:val="6AA933EA"/>
    <w:rsid w:val="6BD80EE5"/>
    <w:rsid w:val="6BDA24CF"/>
    <w:rsid w:val="6C276CBC"/>
    <w:rsid w:val="6C800599"/>
    <w:rsid w:val="6D1B05CF"/>
    <w:rsid w:val="6D4E5F43"/>
    <w:rsid w:val="6DA23CD7"/>
    <w:rsid w:val="6ED150FA"/>
    <w:rsid w:val="6F2B37CA"/>
    <w:rsid w:val="6FA8301D"/>
    <w:rsid w:val="6FCE4D61"/>
    <w:rsid w:val="72607243"/>
    <w:rsid w:val="72744F58"/>
    <w:rsid w:val="72923467"/>
    <w:rsid w:val="730B5214"/>
    <w:rsid w:val="76100253"/>
    <w:rsid w:val="77D0404D"/>
    <w:rsid w:val="791F7306"/>
    <w:rsid w:val="79635E1D"/>
    <w:rsid w:val="7B4627A9"/>
    <w:rsid w:val="7F5E476F"/>
    <w:rsid w:val="7F827823"/>
    <w:rsid w:val="7FB25F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6"/>
    <w:qFormat/>
    <w:uiPriority w:val="9"/>
    <w:pPr>
      <w:keepNext/>
      <w:jc w:val="center"/>
      <w:outlineLvl w:val="0"/>
    </w:pPr>
    <w:rPr>
      <w:rFonts w:eastAsia="黑体"/>
      <w:b/>
      <w:sz w:val="28"/>
      <w:szCs w:val="20"/>
      <w:lang w:val="zh-CN"/>
    </w:rPr>
  </w:style>
  <w:style w:type="paragraph" w:styleId="3">
    <w:name w:val="heading 2"/>
    <w:basedOn w:val="1"/>
    <w:next w:val="1"/>
    <w:link w:val="177"/>
    <w:qFormat/>
    <w:uiPriority w:val="0"/>
    <w:pPr>
      <w:keepNext/>
      <w:ind w:right="28"/>
      <w:jc w:val="right"/>
      <w:outlineLvl w:val="1"/>
    </w:pPr>
    <w:rPr>
      <w:i/>
      <w:iCs/>
      <w:lang w:val="zh-CN"/>
    </w:rPr>
  </w:style>
  <w:style w:type="paragraph" w:styleId="4">
    <w:name w:val="heading 3"/>
    <w:basedOn w:val="1"/>
    <w:next w:val="5"/>
    <w:link w:val="178"/>
    <w:qFormat/>
    <w:uiPriority w:val="9"/>
    <w:pPr>
      <w:keepNext/>
      <w:keepLines/>
      <w:tabs>
        <w:tab w:val="left" w:pos="2126"/>
      </w:tabs>
      <w:spacing w:before="260" w:after="260" w:line="416" w:lineRule="auto"/>
      <w:ind w:left="1701"/>
      <w:outlineLvl w:val="2"/>
    </w:pPr>
    <w:rPr>
      <w:b/>
      <w:bCs/>
      <w:sz w:val="32"/>
      <w:szCs w:val="32"/>
      <w:lang w:val="zh-CN"/>
    </w:rPr>
  </w:style>
  <w:style w:type="paragraph" w:styleId="6">
    <w:name w:val="heading 4"/>
    <w:basedOn w:val="1"/>
    <w:next w:val="1"/>
    <w:link w:val="179"/>
    <w:qFormat/>
    <w:uiPriority w:val="0"/>
    <w:pPr>
      <w:numPr>
        <w:ilvl w:val="3"/>
        <w:numId w:val="1"/>
      </w:numPr>
      <w:adjustRightInd w:val="0"/>
      <w:spacing w:line="312" w:lineRule="atLeast"/>
      <w:textAlignment w:val="baseline"/>
      <w:outlineLvl w:val="3"/>
    </w:pPr>
    <w:rPr>
      <w:kern w:val="0"/>
      <w:szCs w:val="20"/>
      <w:lang w:val="zh-CN"/>
    </w:rPr>
  </w:style>
  <w:style w:type="paragraph" w:styleId="7">
    <w:name w:val="heading 5"/>
    <w:basedOn w:val="1"/>
    <w:next w:val="1"/>
    <w:link w:val="180"/>
    <w:autoRedefine/>
    <w:qFormat/>
    <w:uiPriority w:val="0"/>
    <w:pPr>
      <w:keepNext/>
      <w:keepLines/>
      <w:tabs>
        <w:tab w:val="left" w:pos="3827"/>
      </w:tabs>
      <w:spacing w:before="280" w:after="290" w:line="376" w:lineRule="auto"/>
      <w:ind w:left="3402"/>
      <w:outlineLvl w:val="4"/>
    </w:pPr>
    <w:rPr>
      <w:b/>
      <w:bCs/>
      <w:sz w:val="28"/>
      <w:szCs w:val="28"/>
      <w:lang w:val="zh-CN"/>
    </w:rPr>
  </w:style>
  <w:style w:type="paragraph" w:styleId="8">
    <w:name w:val="heading 6"/>
    <w:basedOn w:val="1"/>
    <w:next w:val="1"/>
    <w:link w:val="181"/>
    <w:qFormat/>
    <w:uiPriority w:val="0"/>
    <w:pPr>
      <w:keepNext/>
      <w:keepLines/>
      <w:tabs>
        <w:tab w:val="left" w:pos="4677"/>
      </w:tabs>
      <w:spacing w:before="240" w:after="64" w:line="320" w:lineRule="auto"/>
      <w:ind w:left="4252"/>
      <w:outlineLvl w:val="5"/>
    </w:pPr>
    <w:rPr>
      <w:rFonts w:ascii="Arial" w:hAnsi="Arial" w:eastAsia="黑体"/>
      <w:b/>
      <w:bCs/>
      <w:sz w:val="24"/>
      <w:lang w:val="zh-CN"/>
    </w:rPr>
  </w:style>
  <w:style w:type="paragraph" w:styleId="9">
    <w:name w:val="heading 7"/>
    <w:basedOn w:val="1"/>
    <w:next w:val="1"/>
    <w:link w:val="182"/>
    <w:qFormat/>
    <w:uiPriority w:val="0"/>
    <w:pPr>
      <w:keepNext/>
      <w:keepLines/>
      <w:tabs>
        <w:tab w:val="left" w:pos="5528"/>
      </w:tabs>
      <w:spacing w:before="240" w:after="64" w:line="320" w:lineRule="auto"/>
      <w:ind w:left="5102"/>
      <w:outlineLvl w:val="6"/>
    </w:pPr>
    <w:rPr>
      <w:b/>
      <w:bCs/>
      <w:sz w:val="24"/>
      <w:lang w:val="zh-CN"/>
    </w:rPr>
  </w:style>
  <w:style w:type="paragraph" w:styleId="10">
    <w:name w:val="heading 8"/>
    <w:basedOn w:val="1"/>
    <w:next w:val="1"/>
    <w:link w:val="183"/>
    <w:qFormat/>
    <w:uiPriority w:val="0"/>
    <w:pPr>
      <w:keepNext/>
      <w:keepLines/>
      <w:tabs>
        <w:tab w:val="left" w:pos="6378"/>
      </w:tabs>
      <w:spacing w:before="240" w:after="64" w:line="320" w:lineRule="auto"/>
      <w:ind w:left="5953"/>
      <w:outlineLvl w:val="7"/>
    </w:pPr>
    <w:rPr>
      <w:rFonts w:ascii="Arial" w:hAnsi="Arial" w:eastAsia="黑体"/>
      <w:sz w:val="24"/>
      <w:lang w:val="zh-CN"/>
    </w:rPr>
  </w:style>
  <w:style w:type="paragraph" w:styleId="11">
    <w:name w:val="heading 9"/>
    <w:basedOn w:val="1"/>
    <w:next w:val="1"/>
    <w:link w:val="184"/>
    <w:qFormat/>
    <w:uiPriority w:val="0"/>
    <w:pPr>
      <w:keepNext/>
      <w:keepLines/>
      <w:tabs>
        <w:tab w:val="left" w:pos="7228"/>
      </w:tabs>
      <w:spacing w:before="240" w:after="64" w:line="320" w:lineRule="auto"/>
      <w:ind w:left="6803"/>
      <w:outlineLvl w:val="8"/>
    </w:pPr>
    <w:rPr>
      <w:rFonts w:ascii="Arial" w:hAnsi="Arial" w:eastAsia="黑体"/>
      <w:szCs w:val="21"/>
      <w:lang w:val="zh-CN"/>
    </w:rPr>
  </w:style>
  <w:style w:type="character" w:default="1" w:styleId="58">
    <w:name w:val="Default Paragraph Font"/>
    <w:semiHidden/>
    <w:unhideWhenUsed/>
    <w:qFormat/>
    <w:uiPriority w:val="1"/>
  </w:style>
  <w:style w:type="table" w:default="1" w:styleId="5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rPr>
      <w:szCs w:val="20"/>
    </w:rPr>
  </w:style>
  <w:style w:type="paragraph" w:styleId="12">
    <w:name w:val="toc 7"/>
    <w:basedOn w:val="1"/>
    <w:next w:val="1"/>
    <w:autoRedefine/>
    <w:qFormat/>
    <w:uiPriority w:val="0"/>
    <w:pPr>
      <w:tabs>
        <w:tab w:val="right" w:leader="dot" w:pos="9241"/>
      </w:tabs>
      <w:ind w:firstLine="500" w:firstLineChars="500"/>
      <w:jc w:val="left"/>
    </w:pPr>
    <w:rPr>
      <w:rFonts w:ascii="宋体"/>
      <w:szCs w:val="21"/>
    </w:rPr>
  </w:style>
  <w:style w:type="paragraph" w:styleId="13">
    <w:name w:val="Note Heading"/>
    <w:basedOn w:val="1"/>
    <w:next w:val="1"/>
    <w:link w:val="278"/>
    <w:qFormat/>
    <w:uiPriority w:val="0"/>
    <w:pPr>
      <w:jc w:val="center"/>
    </w:pPr>
    <w:rPr>
      <w:szCs w:val="20"/>
      <w:lang w:val="zh-CN"/>
    </w:rPr>
  </w:style>
  <w:style w:type="paragraph" w:styleId="14">
    <w:name w:val="index 8"/>
    <w:basedOn w:val="1"/>
    <w:next w:val="1"/>
    <w:autoRedefine/>
    <w:qFormat/>
    <w:uiPriority w:val="0"/>
    <w:pPr>
      <w:ind w:left="1680" w:hanging="210"/>
      <w:jc w:val="left"/>
    </w:pPr>
    <w:rPr>
      <w:rFonts w:ascii="Calibri" w:hAnsi="Calibri"/>
      <w:sz w:val="20"/>
      <w:szCs w:val="20"/>
    </w:rPr>
  </w:style>
  <w:style w:type="paragraph" w:styleId="15">
    <w:name w:val="caption"/>
    <w:basedOn w:val="1"/>
    <w:next w:val="1"/>
    <w:autoRedefine/>
    <w:qFormat/>
    <w:uiPriority w:val="0"/>
    <w:pPr>
      <w:spacing w:before="152" w:after="160"/>
    </w:pPr>
    <w:rPr>
      <w:rFonts w:ascii="Arial" w:hAnsi="Arial" w:eastAsia="黑体" w:cs="Arial"/>
      <w:sz w:val="20"/>
      <w:szCs w:val="20"/>
    </w:rPr>
  </w:style>
  <w:style w:type="paragraph" w:styleId="16">
    <w:name w:val="index 5"/>
    <w:basedOn w:val="1"/>
    <w:next w:val="1"/>
    <w:qFormat/>
    <w:uiPriority w:val="0"/>
    <w:pPr>
      <w:ind w:left="1050" w:hanging="210"/>
      <w:jc w:val="left"/>
    </w:pPr>
    <w:rPr>
      <w:rFonts w:ascii="Calibri" w:hAnsi="Calibri"/>
      <w:sz w:val="20"/>
      <w:szCs w:val="20"/>
    </w:rPr>
  </w:style>
  <w:style w:type="paragraph" w:styleId="17">
    <w:name w:val="Document Map"/>
    <w:basedOn w:val="1"/>
    <w:link w:val="253"/>
    <w:autoRedefine/>
    <w:qFormat/>
    <w:uiPriority w:val="0"/>
    <w:pPr>
      <w:shd w:val="clear" w:color="auto" w:fill="000080"/>
    </w:pPr>
  </w:style>
  <w:style w:type="paragraph" w:styleId="18">
    <w:name w:val="annotation text"/>
    <w:basedOn w:val="1"/>
    <w:link w:val="229"/>
    <w:qFormat/>
    <w:uiPriority w:val="0"/>
    <w:pPr>
      <w:jc w:val="left"/>
    </w:pPr>
    <w:rPr>
      <w:szCs w:val="20"/>
    </w:rPr>
  </w:style>
  <w:style w:type="paragraph" w:styleId="19">
    <w:name w:val="index 6"/>
    <w:basedOn w:val="1"/>
    <w:next w:val="1"/>
    <w:qFormat/>
    <w:uiPriority w:val="0"/>
    <w:pPr>
      <w:ind w:left="1260" w:hanging="210"/>
      <w:jc w:val="left"/>
    </w:pPr>
    <w:rPr>
      <w:rFonts w:ascii="Calibri" w:hAnsi="Calibri"/>
      <w:sz w:val="20"/>
      <w:szCs w:val="20"/>
    </w:rPr>
  </w:style>
  <w:style w:type="paragraph" w:styleId="20">
    <w:name w:val="Body Text 3"/>
    <w:basedOn w:val="1"/>
    <w:link w:val="226"/>
    <w:qFormat/>
    <w:uiPriority w:val="0"/>
    <w:pPr>
      <w:widowControl/>
      <w:jc w:val="center"/>
    </w:pPr>
    <w:rPr>
      <w:rFonts w:ascii="宋体" w:hAnsi="宋体"/>
      <w:kern w:val="0"/>
      <w:sz w:val="18"/>
      <w:szCs w:val="20"/>
    </w:rPr>
  </w:style>
  <w:style w:type="paragraph" w:styleId="21">
    <w:name w:val="Body Text"/>
    <w:basedOn w:val="1"/>
    <w:link w:val="203"/>
    <w:qFormat/>
    <w:uiPriority w:val="0"/>
    <w:pPr>
      <w:spacing w:after="120"/>
    </w:pPr>
  </w:style>
  <w:style w:type="paragraph" w:styleId="22">
    <w:name w:val="Body Text Indent"/>
    <w:basedOn w:val="1"/>
    <w:link w:val="187"/>
    <w:qFormat/>
    <w:uiPriority w:val="0"/>
    <w:pPr>
      <w:ind w:firstLine="420"/>
    </w:pPr>
    <w:rPr>
      <w:szCs w:val="20"/>
      <w:lang w:val="zh-CN"/>
    </w:rPr>
  </w:style>
  <w:style w:type="paragraph" w:styleId="23">
    <w:name w:val="Block Text"/>
    <w:basedOn w:val="1"/>
    <w:autoRedefine/>
    <w:qFormat/>
    <w:uiPriority w:val="0"/>
    <w:pPr>
      <w:spacing w:after="120"/>
      <w:ind w:left="1440" w:leftChars="700" w:right="1440" w:rightChars="700"/>
    </w:pPr>
    <w:rPr>
      <w:szCs w:val="20"/>
    </w:rPr>
  </w:style>
  <w:style w:type="paragraph" w:styleId="24">
    <w:name w:val="HTML Address"/>
    <w:basedOn w:val="1"/>
    <w:link w:val="202"/>
    <w:autoRedefine/>
    <w:qFormat/>
    <w:uiPriority w:val="0"/>
    <w:rPr>
      <w:i/>
      <w:iCs/>
      <w:lang w:val="zh-CN"/>
    </w:rPr>
  </w:style>
  <w:style w:type="paragraph" w:styleId="25">
    <w:name w:val="index 4"/>
    <w:basedOn w:val="1"/>
    <w:next w:val="1"/>
    <w:autoRedefine/>
    <w:qFormat/>
    <w:uiPriority w:val="0"/>
    <w:pPr>
      <w:ind w:left="840" w:hanging="210"/>
      <w:jc w:val="left"/>
    </w:pPr>
    <w:rPr>
      <w:rFonts w:ascii="Calibri" w:hAnsi="Calibri"/>
      <w:sz w:val="20"/>
      <w:szCs w:val="20"/>
    </w:rPr>
  </w:style>
  <w:style w:type="paragraph" w:styleId="26">
    <w:name w:val="toc 5"/>
    <w:basedOn w:val="1"/>
    <w:next w:val="1"/>
    <w:qFormat/>
    <w:uiPriority w:val="0"/>
    <w:pPr>
      <w:tabs>
        <w:tab w:val="right" w:leader="dot" w:pos="9241"/>
      </w:tabs>
      <w:ind w:firstLine="300" w:firstLineChars="300"/>
      <w:jc w:val="left"/>
    </w:pPr>
    <w:rPr>
      <w:rFonts w:ascii="宋体"/>
      <w:szCs w:val="21"/>
    </w:rPr>
  </w:style>
  <w:style w:type="paragraph" w:styleId="27">
    <w:name w:val="toc 3"/>
    <w:basedOn w:val="1"/>
    <w:next w:val="1"/>
    <w:autoRedefine/>
    <w:qFormat/>
    <w:uiPriority w:val="39"/>
    <w:pPr>
      <w:tabs>
        <w:tab w:val="right" w:leader="dot" w:pos="9241"/>
      </w:tabs>
      <w:ind w:firstLine="100" w:firstLineChars="100"/>
      <w:jc w:val="left"/>
    </w:pPr>
    <w:rPr>
      <w:rFonts w:ascii="宋体"/>
      <w:szCs w:val="21"/>
    </w:rPr>
  </w:style>
  <w:style w:type="paragraph" w:styleId="28">
    <w:name w:val="Plain Text"/>
    <w:basedOn w:val="1"/>
    <w:link w:val="222"/>
    <w:qFormat/>
    <w:uiPriority w:val="0"/>
    <w:rPr>
      <w:rFonts w:ascii="宋体" w:hAnsi="Courier New"/>
      <w:szCs w:val="20"/>
      <w:lang w:val="zh-CN"/>
    </w:rPr>
  </w:style>
  <w:style w:type="paragraph" w:styleId="29">
    <w:name w:val="toc 8"/>
    <w:basedOn w:val="1"/>
    <w:next w:val="1"/>
    <w:qFormat/>
    <w:uiPriority w:val="0"/>
    <w:pPr>
      <w:tabs>
        <w:tab w:val="right" w:leader="dot" w:pos="9241"/>
      </w:tabs>
      <w:ind w:firstLine="607" w:firstLineChars="600"/>
      <w:jc w:val="left"/>
    </w:pPr>
    <w:rPr>
      <w:rFonts w:ascii="宋体"/>
      <w:szCs w:val="21"/>
    </w:rPr>
  </w:style>
  <w:style w:type="paragraph" w:styleId="30">
    <w:name w:val="index 3"/>
    <w:basedOn w:val="1"/>
    <w:next w:val="1"/>
    <w:autoRedefine/>
    <w:qFormat/>
    <w:uiPriority w:val="0"/>
    <w:pPr>
      <w:ind w:left="630" w:hanging="210"/>
      <w:jc w:val="left"/>
    </w:pPr>
    <w:rPr>
      <w:rFonts w:ascii="Calibri" w:hAnsi="Calibri"/>
      <w:sz w:val="20"/>
      <w:szCs w:val="20"/>
    </w:rPr>
  </w:style>
  <w:style w:type="paragraph" w:styleId="31">
    <w:name w:val="Date"/>
    <w:basedOn w:val="1"/>
    <w:next w:val="1"/>
    <w:link w:val="189"/>
    <w:qFormat/>
    <w:uiPriority w:val="0"/>
  </w:style>
  <w:style w:type="paragraph" w:styleId="32">
    <w:name w:val="Body Text Indent 2"/>
    <w:basedOn w:val="1"/>
    <w:link w:val="215"/>
    <w:autoRedefine/>
    <w:qFormat/>
    <w:uiPriority w:val="99"/>
    <w:pPr>
      <w:spacing w:after="120" w:line="480" w:lineRule="auto"/>
      <w:ind w:left="420" w:leftChars="200"/>
    </w:pPr>
    <w:rPr>
      <w:szCs w:val="20"/>
      <w:lang w:val="zh-CN"/>
    </w:rPr>
  </w:style>
  <w:style w:type="paragraph" w:styleId="33">
    <w:name w:val="endnote text"/>
    <w:basedOn w:val="1"/>
    <w:link w:val="254"/>
    <w:qFormat/>
    <w:uiPriority w:val="0"/>
    <w:pPr>
      <w:snapToGrid w:val="0"/>
      <w:jc w:val="left"/>
    </w:pPr>
  </w:style>
  <w:style w:type="paragraph" w:styleId="34">
    <w:name w:val="Balloon Text"/>
    <w:basedOn w:val="1"/>
    <w:link w:val="175"/>
    <w:qFormat/>
    <w:uiPriority w:val="99"/>
    <w:rPr>
      <w:sz w:val="18"/>
      <w:szCs w:val="18"/>
    </w:rPr>
  </w:style>
  <w:style w:type="paragraph" w:styleId="35">
    <w:name w:val="footer"/>
    <w:basedOn w:val="1"/>
    <w:link w:val="186"/>
    <w:qFormat/>
    <w:uiPriority w:val="99"/>
    <w:pPr>
      <w:snapToGrid w:val="0"/>
      <w:ind w:right="210" w:rightChars="100"/>
      <w:jc w:val="right"/>
    </w:pPr>
    <w:rPr>
      <w:sz w:val="18"/>
      <w:szCs w:val="18"/>
    </w:rPr>
  </w:style>
  <w:style w:type="paragraph" w:styleId="36">
    <w:name w:val="header"/>
    <w:basedOn w:val="1"/>
    <w:link w:val="185"/>
    <w:qFormat/>
    <w:uiPriority w:val="99"/>
    <w:pPr>
      <w:snapToGrid w:val="0"/>
      <w:jc w:val="left"/>
    </w:pPr>
    <w:rPr>
      <w:sz w:val="18"/>
      <w:szCs w:val="18"/>
    </w:rPr>
  </w:style>
  <w:style w:type="paragraph" w:styleId="37">
    <w:name w:val="toc 1"/>
    <w:basedOn w:val="1"/>
    <w:next w:val="1"/>
    <w:autoRedefine/>
    <w:qFormat/>
    <w:uiPriority w:val="39"/>
    <w:pPr>
      <w:tabs>
        <w:tab w:val="right" w:leader="dot" w:pos="9242"/>
      </w:tabs>
      <w:spacing w:beforeLines="25" w:afterLines="25"/>
      <w:jc w:val="left"/>
    </w:pPr>
    <w:rPr>
      <w:rFonts w:ascii="宋体"/>
      <w:szCs w:val="21"/>
    </w:rPr>
  </w:style>
  <w:style w:type="paragraph" w:styleId="38">
    <w:name w:val="toc 4"/>
    <w:basedOn w:val="1"/>
    <w:next w:val="1"/>
    <w:qFormat/>
    <w:uiPriority w:val="0"/>
    <w:pPr>
      <w:tabs>
        <w:tab w:val="right" w:leader="dot" w:pos="9241"/>
      </w:tabs>
      <w:ind w:firstLine="200" w:firstLineChars="200"/>
      <w:jc w:val="left"/>
    </w:pPr>
    <w:rPr>
      <w:rFonts w:ascii="宋体"/>
      <w:szCs w:val="21"/>
    </w:rPr>
  </w:style>
  <w:style w:type="paragraph" w:styleId="39">
    <w:name w:val="index heading"/>
    <w:basedOn w:val="1"/>
    <w:next w:val="40"/>
    <w:qFormat/>
    <w:uiPriority w:val="0"/>
    <w:pPr>
      <w:spacing w:before="120" w:after="120"/>
      <w:jc w:val="center"/>
    </w:pPr>
    <w:rPr>
      <w:rFonts w:ascii="Calibri" w:hAnsi="Calibri"/>
      <w:b/>
      <w:bCs/>
      <w:iCs/>
      <w:szCs w:val="20"/>
    </w:rPr>
  </w:style>
  <w:style w:type="paragraph" w:styleId="40">
    <w:name w:val="index 1"/>
    <w:basedOn w:val="1"/>
    <w:next w:val="41"/>
    <w:autoRedefine/>
    <w:qFormat/>
    <w:uiPriority w:val="0"/>
    <w:pPr>
      <w:tabs>
        <w:tab w:val="right" w:leader="dot" w:pos="9299"/>
      </w:tabs>
      <w:jc w:val="left"/>
    </w:pPr>
    <w:rPr>
      <w:rFonts w:ascii="宋体"/>
      <w:szCs w:val="21"/>
    </w:rPr>
  </w:style>
  <w:style w:type="paragraph" w:customStyle="1" w:styleId="41">
    <w:name w:val="段"/>
    <w:next w:val="36"/>
    <w:link w:val="7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42">
    <w:name w:val="footnote text"/>
    <w:basedOn w:val="1"/>
    <w:link w:val="205"/>
    <w:autoRedefine/>
    <w:qFormat/>
    <w:uiPriority w:val="0"/>
    <w:pPr>
      <w:numPr>
        <w:ilvl w:val="0"/>
        <w:numId w:val="2"/>
      </w:numPr>
      <w:snapToGrid w:val="0"/>
      <w:jc w:val="left"/>
    </w:pPr>
    <w:rPr>
      <w:rFonts w:ascii="宋体"/>
      <w:sz w:val="18"/>
      <w:szCs w:val="18"/>
    </w:rPr>
  </w:style>
  <w:style w:type="paragraph" w:styleId="43">
    <w:name w:val="toc 6"/>
    <w:basedOn w:val="1"/>
    <w:next w:val="1"/>
    <w:qFormat/>
    <w:uiPriority w:val="0"/>
    <w:pPr>
      <w:tabs>
        <w:tab w:val="right" w:leader="dot" w:pos="9241"/>
      </w:tabs>
      <w:ind w:firstLine="400" w:firstLineChars="400"/>
      <w:jc w:val="left"/>
    </w:pPr>
    <w:rPr>
      <w:rFonts w:ascii="宋体"/>
      <w:szCs w:val="21"/>
    </w:rPr>
  </w:style>
  <w:style w:type="paragraph" w:styleId="44">
    <w:name w:val="Body Text Indent 3"/>
    <w:basedOn w:val="1"/>
    <w:link w:val="208"/>
    <w:autoRedefine/>
    <w:qFormat/>
    <w:uiPriority w:val="0"/>
    <w:pPr>
      <w:spacing w:after="120"/>
      <w:ind w:left="420" w:leftChars="200"/>
    </w:pPr>
    <w:rPr>
      <w:sz w:val="16"/>
      <w:szCs w:val="16"/>
    </w:rPr>
  </w:style>
  <w:style w:type="paragraph" w:styleId="45">
    <w:name w:val="index 7"/>
    <w:basedOn w:val="1"/>
    <w:next w:val="1"/>
    <w:qFormat/>
    <w:uiPriority w:val="0"/>
    <w:pPr>
      <w:ind w:left="1470" w:hanging="210"/>
      <w:jc w:val="left"/>
    </w:pPr>
    <w:rPr>
      <w:rFonts w:ascii="Calibri" w:hAnsi="Calibri"/>
      <w:sz w:val="20"/>
      <w:szCs w:val="20"/>
    </w:rPr>
  </w:style>
  <w:style w:type="paragraph" w:styleId="46">
    <w:name w:val="index 9"/>
    <w:basedOn w:val="1"/>
    <w:next w:val="1"/>
    <w:autoRedefine/>
    <w:qFormat/>
    <w:uiPriority w:val="0"/>
    <w:pPr>
      <w:ind w:left="1890" w:hanging="210"/>
      <w:jc w:val="left"/>
    </w:pPr>
    <w:rPr>
      <w:rFonts w:ascii="Calibri" w:hAnsi="Calibri"/>
      <w:sz w:val="20"/>
      <w:szCs w:val="20"/>
    </w:rPr>
  </w:style>
  <w:style w:type="paragraph" w:styleId="47">
    <w:name w:val="toc 2"/>
    <w:basedOn w:val="1"/>
    <w:next w:val="1"/>
    <w:qFormat/>
    <w:uiPriority w:val="39"/>
    <w:pPr>
      <w:tabs>
        <w:tab w:val="right" w:leader="dot" w:pos="9242"/>
      </w:tabs>
    </w:pPr>
    <w:rPr>
      <w:rFonts w:ascii="宋体"/>
      <w:szCs w:val="21"/>
    </w:rPr>
  </w:style>
  <w:style w:type="paragraph" w:styleId="48">
    <w:name w:val="toc 9"/>
    <w:basedOn w:val="1"/>
    <w:next w:val="1"/>
    <w:qFormat/>
    <w:uiPriority w:val="0"/>
    <w:pPr>
      <w:ind w:left="1470"/>
      <w:jc w:val="left"/>
    </w:pPr>
    <w:rPr>
      <w:sz w:val="20"/>
      <w:szCs w:val="20"/>
    </w:rPr>
  </w:style>
  <w:style w:type="paragraph" w:styleId="49">
    <w:name w:val="Body Text 2"/>
    <w:basedOn w:val="1"/>
    <w:link w:val="210"/>
    <w:qFormat/>
    <w:uiPriority w:val="0"/>
    <w:pPr>
      <w:spacing w:after="120" w:line="480" w:lineRule="auto"/>
    </w:pPr>
  </w:style>
  <w:style w:type="paragraph" w:styleId="50">
    <w:name w:val="HTML Preformatted"/>
    <w:basedOn w:val="1"/>
    <w:link w:val="213"/>
    <w:qFormat/>
    <w:uiPriority w:val="0"/>
    <w:rPr>
      <w:rFonts w:ascii="Courier New" w:hAnsi="Courier New"/>
      <w:sz w:val="20"/>
      <w:szCs w:val="20"/>
      <w:lang w:val="zh-CN"/>
    </w:rPr>
  </w:style>
  <w:style w:type="paragraph" w:styleId="51">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52">
    <w:name w:val="index 2"/>
    <w:basedOn w:val="1"/>
    <w:next w:val="1"/>
    <w:qFormat/>
    <w:uiPriority w:val="0"/>
    <w:pPr>
      <w:ind w:left="420" w:hanging="210"/>
      <w:jc w:val="left"/>
    </w:pPr>
    <w:rPr>
      <w:rFonts w:ascii="Calibri" w:hAnsi="Calibri"/>
      <w:sz w:val="20"/>
      <w:szCs w:val="20"/>
    </w:rPr>
  </w:style>
  <w:style w:type="paragraph" w:styleId="53">
    <w:name w:val="Title"/>
    <w:basedOn w:val="1"/>
    <w:link w:val="196"/>
    <w:qFormat/>
    <w:uiPriority w:val="0"/>
    <w:pPr>
      <w:spacing w:before="240" w:after="60"/>
      <w:jc w:val="center"/>
      <w:outlineLvl w:val="0"/>
    </w:pPr>
    <w:rPr>
      <w:rFonts w:ascii="Arial" w:hAnsi="Arial"/>
      <w:b/>
      <w:bCs/>
      <w:sz w:val="32"/>
      <w:szCs w:val="32"/>
      <w:lang w:val="zh-CN"/>
    </w:rPr>
  </w:style>
  <w:style w:type="paragraph" w:styleId="54">
    <w:name w:val="annotation subject"/>
    <w:basedOn w:val="18"/>
    <w:next w:val="18"/>
    <w:link w:val="230"/>
    <w:qFormat/>
    <w:uiPriority w:val="0"/>
    <w:rPr>
      <w:b/>
      <w:bCs/>
      <w:szCs w:val="24"/>
    </w:rPr>
  </w:style>
  <w:style w:type="paragraph" w:styleId="55">
    <w:name w:val="Body Text First Indent"/>
    <w:basedOn w:val="21"/>
    <w:link w:val="209"/>
    <w:qFormat/>
    <w:uiPriority w:val="0"/>
    <w:pPr>
      <w:ind w:firstLine="420" w:firstLineChars="100"/>
    </w:pPr>
  </w:style>
  <w:style w:type="table" w:styleId="57">
    <w:name w:val="Table Grid"/>
    <w:basedOn w:val="56"/>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9">
    <w:name w:val="Strong"/>
    <w:qFormat/>
    <w:uiPriority w:val="0"/>
    <w:rPr>
      <w:b/>
      <w:bCs/>
    </w:rPr>
  </w:style>
  <w:style w:type="character" w:styleId="60">
    <w:name w:val="endnote reference"/>
    <w:qFormat/>
    <w:uiPriority w:val="0"/>
    <w:rPr>
      <w:vertAlign w:val="superscript"/>
    </w:rPr>
  </w:style>
  <w:style w:type="character" w:styleId="61">
    <w:name w:val="page number"/>
    <w:autoRedefine/>
    <w:qFormat/>
    <w:uiPriority w:val="0"/>
    <w:rPr>
      <w:rFonts w:ascii="Times New Roman" w:hAnsi="Times New Roman" w:eastAsia="宋体"/>
      <w:sz w:val="18"/>
    </w:rPr>
  </w:style>
  <w:style w:type="character" w:styleId="62">
    <w:name w:val="FollowedHyperlink"/>
    <w:autoRedefine/>
    <w:qFormat/>
    <w:uiPriority w:val="99"/>
    <w:rPr>
      <w:color w:val="800080"/>
      <w:u w:val="single"/>
    </w:rPr>
  </w:style>
  <w:style w:type="character" w:styleId="63">
    <w:name w:val="Emphasis"/>
    <w:autoRedefine/>
    <w:qFormat/>
    <w:uiPriority w:val="0"/>
    <w:rPr>
      <w:color w:val="CC0000"/>
    </w:rPr>
  </w:style>
  <w:style w:type="character" w:styleId="64">
    <w:name w:val="HTML Definition"/>
    <w:autoRedefine/>
    <w:qFormat/>
    <w:uiPriority w:val="0"/>
    <w:rPr>
      <w:i/>
    </w:rPr>
  </w:style>
  <w:style w:type="character" w:styleId="65">
    <w:name w:val="HTML Typewriter"/>
    <w:autoRedefine/>
    <w:qFormat/>
    <w:uiPriority w:val="0"/>
    <w:rPr>
      <w:rFonts w:ascii="Courier New" w:hAnsi="Courier New"/>
      <w:sz w:val="20"/>
    </w:rPr>
  </w:style>
  <w:style w:type="character" w:styleId="66">
    <w:name w:val="HTML Acronym"/>
    <w:basedOn w:val="58"/>
    <w:qFormat/>
    <w:uiPriority w:val="0"/>
  </w:style>
  <w:style w:type="character" w:styleId="67">
    <w:name w:val="HTML Variable"/>
    <w:autoRedefine/>
    <w:qFormat/>
    <w:uiPriority w:val="0"/>
    <w:rPr>
      <w:i/>
    </w:rPr>
  </w:style>
  <w:style w:type="character" w:styleId="68">
    <w:name w:val="Hyperlink"/>
    <w:autoRedefine/>
    <w:qFormat/>
    <w:uiPriority w:val="99"/>
    <w:rPr>
      <w:color w:val="0000FF"/>
      <w:spacing w:val="0"/>
      <w:w w:val="100"/>
      <w:szCs w:val="21"/>
      <w:u w:val="single"/>
    </w:rPr>
  </w:style>
  <w:style w:type="character" w:styleId="69">
    <w:name w:val="HTML Code"/>
    <w:autoRedefine/>
    <w:qFormat/>
    <w:uiPriority w:val="0"/>
    <w:rPr>
      <w:rFonts w:ascii="Courier New" w:hAnsi="Courier New"/>
      <w:sz w:val="20"/>
    </w:rPr>
  </w:style>
  <w:style w:type="character" w:styleId="70">
    <w:name w:val="annotation reference"/>
    <w:autoRedefine/>
    <w:qFormat/>
    <w:uiPriority w:val="0"/>
    <w:rPr>
      <w:sz w:val="21"/>
      <w:szCs w:val="21"/>
    </w:rPr>
  </w:style>
  <w:style w:type="character" w:styleId="71">
    <w:name w:val="HTML Cite"/>
    <w:qFormat/>
    <w:uiPriority w:val="0"/>
    <w:rPr>
      <w:i/>
      <w:iCs/>
    </w:rPr>
  </w:style>
  <w:style w:type="character" w:styleId="72">
    <w:name w:val="footnote reference"/>
    <w:autoRedefine/>
    <w:qFormat/>
    <w:uiPriority w:val="0"/>
    <w:rPr>
      <w:vertAlign w:val="superscript"/>
    </w:rPr>
  </w:style>
  <w:style w:type="character" w:styleId="73">
    <w:name w:val="HTML Keyboard"/>
    <w:autoRedefine/>
    <w:qFormat/>
    <w:uiPriority w:val="0"/>
    <w:rPr>
      <w:rFonts w:ascii="Courier New" w:hAnsi="Courier New"/>
      <w:sz w:val="20"/>
    </w:rPr>
  </w:style>
  <w:style w:type="character" w:styleId="74">
    <w:name w:val="HTML Sample"/>
    <w:qFormat/>
    <w:uiPriority w:val="0"/>
    <w:rPr>
      <w:rFonts w:ascii="Courier New" w:hAnsi="Courier New"/>
    </w:rPr>
  </w:style>
  <w:style w:type="character" w:customStyle="1" w:styleId="75">
    <w:name w:val="段 Char"/>
    <w:link w:val="41"/>
    <w:qFormat/>
    <w:uiPriority w:val="0"/>
    <w:rPr>
      <w:rFonts w:ascii="宋体"/>
      <w:sz w:val="21"/>
      <w:lang w:val="en-US" w:eastAsia="zh-CN" w:bidi="ar-SA"/>
    </w:rPr>
  </w:style>
  <w:style w:type="paragraph" w:customStyle="1" w:styleId="76">
    <w:name w:val="一级条标题"/>
    <w:next w:val="41"/>
    <w:link w:val="193"/>
    <w:autoRedefine/>
    <w:qFormat/>
    <w:uiPriority w:val="0"/>
    <w:pPr>
      <w:numPr>
        <w:ilvl w:val="1"/>
        <w:numId w:val="3"/>
      </w:numPr>
      <w:spacing w:beforeLines="50" w:afterLines="50"/>
      <w:outlineLvl w:val="2"/>
    </w:pPr>
    <w:rPr>
      <w:rFonts w:ascii="黑体" w:hAnsi="Times New Roman" w:eastAsia="黑体" w:cs="Times New Roman"/>
      <w:sz w:val="21"/>
      <w:szCs w:val="21"/>
      <w:lang w:val="en-US" w:eastAsia="zh-CN" w:bidi="ar-SA"/>
    </w:rPr>
  </w:style>
  <w:style w:type="paragraph" w:customStyle="1" w:styleId="77">
    <w:name w:val="标准书脚_奇数页"/>
    <w:autoRedefine/>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78">
    <w:name w:val="标准书眉_奇数页"/>
    <w:next w:val="1"/>
    <w:autoRedefine/>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79">
    <w:name w:val="章标题"/>
    <w:next w:val="41"/>
    <w:link w:val="192"/>
    <w:qFormat/>
    <w:uiPriority w:val="0"/>
    <w:pPr>
      <w:numPr>
        <w:ilvl w:val="0"/>
        <w:numId w:val="3"/>
      </w:numPr>
      <w:spacing w:beforeLines="100" w:afterLines="100"/>
      <w:jc w:val="both"/>
      <w:outlineLvl w:val="1"/>
    </w:pPr>
    <w:rPr>
      <w:rFonts w:ascii="黑体" w:hAnsi="Times New Roman" w:eastAsia="黑体" w:cs="Times New Roman"/>
      <w:sz w:val="21"/>
      <w:lang w:val="en-US" w:eastAsia="zh-CN" w:bidi="ar-SA"/>
    </w:rPr>
  </w:style>
  <w:style w:type="paragraph" w:customStyle="1" w:styleId="80">
    <w:name w:val="二级条标题"/>
    <w:basedOn w:val="76"/>
    <w:next w:val="41"/>
    <w:link w:val="194"/>
    <w:autoRedefine/>
    <w:qFormat/>
    <w:uiPriority w:val="0"/>
    <w:pPr>
      <w:numPr>
        <w:ilvl w:val="2"/>
      </w:numPr>
      <w:spacing w:before="50" w:after="50"/>
      <w:outlineLvl w:val="3"/>
    </w:pPr>
  </w:style>
  <w:style w:type="paragraph" w:customStyle="1" w:styleId="81">
    <w:name w:val="封面标准号2"/>
    <w:autoRedefine/>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82">
    <w:name w:val="列项——（一级）"/>
    <w:qFormat/>
    <w:uiPriority w:val="0"/>
    <w:pPr>
      <w:widowControl w:val="0"/>
      <w:numPr>
        <w:ilvl w:val="0"/>
        <w:numId w:val="4"/>
      </w:numPr>
      <w:jc w:val="both"/>
    </w:pPr>
    <w:rPr>
      <w:rFonts w:ascii="宋体" w:hAnsi="Times New Roman" w:eastAsia="宋体" w:cs="Times New Roman"/>
      <w:sz w:val="21"/>
      <w:lang w:val="en-US" w:eastAsia="zh-CN" w:bidi="ar-SA"/>
    </w:rPr>
  </w:style>
  <w:style w:type="paragraph" w:customStyle="1" w:styleId="83">
    <w:name w:val="列项●（二级）"/>
    <w:autoRedefine/>
    <w:qFormat/>
    <w:uiPriority w:val="0"/>
    <w:pPr>
      <w:numPr>
        <w:ilvl w:val="1"/>
        <w:numId w:val="4"/>
      </w:numPr>
      <w:tabs>
        <w:tab w:val="left" w:pos="840"/>
      </w:tabs>
      <w:jc w:val="both"/>
    </w:pPr>
    <w:rPr>
      <w:rFonts w:ascii="宋体" w:hAnsi="Times New Roman" w:eastAsia="宋体" w:cs="Times New Roman"/>
      <w:sz w:val="21"/>
      <w:lang w:val="en-US" w:eastAsia="zh-CN" w:bidi="ar-SA"/>
    </w:rPr>
  </w:style>
  <w:style w:type="paragraph" w:customStyle="1" w:styleId="84">
    <w:name w:val="目次、标准名称标题"/>
    <w:basedOn w:val="1"/>
    <w:next w:val="41"/>
    <w:link w:val="173"/>
    <w:autoRedefine/>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85">
    <w:name w:val="三级条标题"/>
    <w:basedOn w:val="80"/>
    <w:next w:val="41"/>
    <w:link w:val="234"/>
    <w:autoRedefine/>
    <w:qFormat/>
    <w:uiPriority w:val="0"/>
    <w:pPr>
      <w:numPr>
        <w:ilvl w:val="3"/>
      </w:numPr>
      <w:outlineLvl w:val="4"/>
    </w:pPr>
  </w:style>
  <w:style w:type="paragraph" w:customStyle="1" w:styleId="86">
    <w:name w:val="示例"/>
    <w:next w:val="87"/>
    <w:autoRedefine/>
    <w:qFormat/>
    <w:uiPriority w:val="0"/>
    <w:pPr>
      <w:widowControl w:val="0"/>
      <w:numPr>
        <w:ilvl w:val="0"/>
        <w:numId w:val="5"/>
      </w:numPr>
      <w:jc w:val="both"/>
    </w:pPr>
    <w:rPr>
      <w:rFonts w:ascii="宋体" w:hAnsi="Times New Roman" w:eastAsia="宋体" w:cs="Times New Roman"/>
      <w:sz w:val="18"/>
      <w:szCs w:val="18"/>
      <w:lang w:val="en-US" w:eastAsia="zh-CN" w:bidi="ar-SA"/>
    </w:rPr>
  </w:style>
  <w:style w:type="paragraph" w:customStyle="1" w:styleId="87">
    <w:name w:val="示例内容"/>
    <w:autoRedefine/>
    <w:qFormat/>
    <w:uiPriority w:val="0"/>
    <w:pPr>
      <w:ind w:firstLine="200" w:firstLineChars="200"/>
    </w:pPr>
    <w:rPr>
      <w:rFonts w:ascii="宋体" w:hAnsi="Times New Roman" w:eastAsia="宋体" w:cs="Times New Roman"/>
      <w:sz w:val="18"/>
      <w:szCs w:val="18"/>
      <w:lang w:val="en-US" w:eastAsia="zh-CN" w:bidi="ar-SA"/>
    </w:rPr>
  </w:style>
  <w:style w:type="paragraph" w:customStyle="1" w:styleId="88">
    <w:name w:val="数字编号列项（二级）"/>
    <w:qFormat/>
    <w:uiPriority w:val="0"/>
    <w:pPr>
      <w:numPr>
        <w:ilvl w:val="1"/>
        <w:numId w:val="6"/>
      </w:numPr>
      <w:jc w:val="both"/>
    </w:pPr>
    <w:rPr>
      <w:rFonts w:ascii="宋体" w:hAnsi="Times New Roman" w:eastAsia="宋体" w:cs="Times New Roman"/>
      <w:sz w:val="21"/>
      <w:lang w:val="en-US" w:eastAsia="zh-CN" w:bidi="ar-SA"/>
    </w:rPr>
  </w:style>
  <w:style w:type="paragraph" w:customStyle="1" w:styleId="89">
    <w:name w:val="四级条标题"/>
    <w:basedOn w:val="85"/>
    <w:next w:val="41"/>
    <w:autoRedefine/>
    <w:qFormat/>
    <w:uiPriority w:val="0"/>
    <w:pPr>
      <w:numPr>
        <w:ilvl w:val="4"/>
      </w:numPr>
      <w:outlineLvl w:val="5"/>
    </w:pPr>
  </w:style>
  <w:style w:type="paragraph" w:customStyle="1" w:styleId="90">
    <w:name w:val="五级条标题"/>
    <w:basedOn w:val="89"/>
    <w:next w:val="41"/>
    <w:autoRedefine/>
    <w:qFormat/>
    <w:uiPriority w:val="0"/>
    <w:pPr>
      <w:numPr>
        <w:ilvl w:val="5"/>
      </w:numPr>
      <w:outlineLvl w:val="6"/>
    </w:pPr>
  </w:style>
  <w:style w:type="paragraph" w:customStyle="1" w:styleId="91">
    <w:name w:val="注："/>
    <w:next w:val="41"/>
    <w:autoRedefine/>
    <w:qFormat/>
    <w:uiPriority w:val="0"/>
    <w:pPr>
      <w:widowControl w:val="0"/>
      <w:numPr>
        <w:ilvl w:val="0"/>
        <w:numId w:val="7"/>
      </w:numPr>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92">
    <w:name w:val="注×："/>
    <w:link w:val="249"/>
    <w:qFormat/>
    <w:uiPriority w:val="0"/>
    <w:pPr>
      <w:widowControl w:val="0"/>
      <w:numPr>
        <w:ilvl w:val="0"/>
        <w:numId w:val="8"/>
      </w:numPr>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93">
    <w:name w:val="字母编号列项（一级）"/>
    <w:qFormat/>
    <w:uiPriority w:val="0"/>
    <w:pPr>
      <w:numPr>
        <w:ilvl w:val="0"/>
        <w:numId w:val="6"/>
      </w:numPr>
      <w:jc w:val="both"/>
    </w:pPr>
    <w:rPr>
      <w:rFonts w:ascii="宋体" w:hAnsi="Times New Roman" w:eastAsia="宋体" w:cs="Times New Roman"/>
      <w:sz w:val="21"/>
      <w:lang w:val="en-US" w:eastAsia="zh-CN" w:bidi="ar-SA"/>
    </w:rPr>
  </w:style>
  <w:style w:type="paragraph" w:customStyle="1" w:styleId="94">
    <w:name w:val="列项◆（三级）"/>
    <w:basedOn w:val="1"/>
    <w:autoRedefine/>
    <w:qFormat/>
    <w:uiPriority w:val="0"/>
    <w:pPr>
      <w:numPr>
        <w:ilvl w:val="2"/>
        <w:numId w:val="4"/>
      </w:numPr>
    </w:pPr>
    <w:rPr>
      <w:rFonts w:ascii="宋体"/>
      <w:szCs w:val="21"/>
    </w:rPr>
  </w:style>
  <w:style w:type="paragraph" w:customStyle="1" w:styleId="95">
    <w:name w:val="编号列项（三级）"/>
    <w:autoRedefine/>
    <w:qFormat/>
    <w:uiPriority w:val="0"/>
    <w:pPr>
      <w:numPr>
        <w:ilvl w:val="2"/>
        <w:numId w:val="6"/>
      </w:numPr>
    </w:pPr>
    <w:rPr>
      <w:rFonts w:ascii="宋体" w:hAnsi="Times New Roman" w:eastAsia="宋体" w:cs="Times New Roman"/>
      <w:sz w:val="21"/>
      <w:lang w:val="en-US" w:eastAsia="zh-CN" w:bidi="ar-SA"/>
    </w:rPr>
  </w:style>
  <w:style w:type="paragraph" w:customStyle="1" w:styleId="96">
    <w:name w:val="示例×："/>
    <w:basedOn w:val="79"/>
    <w:autoRedefine/>
    <w:qFormat/>
    <w:uiPriority w:val="0"/>
    <w:pPr>
      <w:numPr>
        <w:numId w:val="9"/>
      </w:numPr>
      <w:spacing w:beforeLines="0" w:afterLines="0"/>
      <w:outlineLvl w:val="9"/>
    </w:pPr>
    <w:rPr>
      <w:rFonts w:ascii="宋体" w:eastAsia="宋体"/>
      <w:sz w:val="18"/>
      <w:szCs w:val="18"/>
    </w:rPr>
  </w:style>
  <w:style w:type="paragraph" w:customStyle="1" w:styleId="97">
    <w:name w:val="二级无"/>
    <w:basedOn w:val="80"/>
    <w:link w:val="251"/>
    <w:qFormat/>
    <w:uiPriority w:val="99"/>
    <w:pPr>
      <w:spacing w:beforeLines="0" w:afterLines="0"/>
    </w:pPr>
    <w:rPr>
      <w:rFonts w:ascii="宋体" w:eastAsia="宋体"/>
    </w:rPr>
  </w:style>
  <w:style w:type="paragraph" w:customStyle="1" w:styleId="98">
    <w:name w:val="注：（正文）"/>
    <w:basedOn w:val="91"/>
    <w:next w:val="41"/>
    <w:qFormat/>
    <w:uiPriority w:val="0"/>
    <w:pPr>
      <w:numPr>
        <w:numId w:val="10"/>
      </w:numPr>
      <w:ind w:left="726" w:hanging="363"/>
    </w:pPr>
  </w:style>
  <w:style w:type="paragraph" w:customStyle="1" w:styleId="99">
    <w:name w:val="注×：（正文）"/>
    <w:autoRedefine/>
    <w:qFormat/>
    <w:uiPriority w:val="0"/>
    <w:pPr>
      <w:numPr>
        <w:ilvl w:val="0"/>
        <w:numId w:val="11"/>
      </w:numPr>
      <w:ind w:left="811" w:hanging="448"/>
      <w:jc w:val="both"/>
    </w:pPr>
    <w:rPr>
      <w:rFonts w:ascii="宋体" w:hAnsi="Times New Roman" w:eastAsia="宋体" w:cs="Times New Roman"/>
      <w:sz w:val="18"/>
      <w:szCs w:val="18"/>
      <w:lang w:val="en-US" w:eastAsia="zh-CN" w:bidi="ar-SA"/>
    </w:rPr>
  </w:style>
  <w:style w:type="paragraph" w:customStyle="1" w:styleId="100">
    <w:name w:val="标准标志"/>
    <w:next w:val="1"/>
    <w:autoRedefine/>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01">
    <w:name w:val="标准称谓"/>
    <w:next w:val="1"/>
    <w:autoRedefine/>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02">
    <w:name w:val="标准书脚_偶数页"/>
    <w:autoRedefine/>
    <w:qFormat/>
    <w:uiPriority w:val="0"/>
    <w:pPr>
      <w:spacing w:before="120"/>
      <w:ind w:left="221"/>
    </w:pPr>
    <w:rPr>
      <w:rFonts w:ascii="宋体" w:hAnsi="Times New Roman" w:eastAsia="宋体" w:cs="Times New Roman"/>
      <w:sz w:val="18"/>
      <w:szCs w:val="18"/>
      <w:lang w:val="en-US" w:eastAsia="zh-CN" w:bidi="ar-SA"/>
    </w:rPr>
  </w:style>
  <w:style w:type="paragraph" w:customStyle="1" w:styleId="103">
    <w:name w:val="标准书眉_偶数页"/>
    <w:basedOn w:val="78"/>
    <w:next w:val="1"/>
    <w:qFormat/>
    <w:uiPriority w:val="0"/>
    <w:pPr>
      <w:jc w:val="left"/>
    </w:pPr>
  </w:style>
  <w:style w:type="paragraph" w:customStyle="1" w:styleId="104">
    <w:name w:val="标准书眉一"/>
    <w:qFormat/>
    <w:uiPriority w:val="0"/>
    <w:pPr>
      <w:jc w:val="both"/>
    </w:pPr>
    <w:rPr>
      <w:rFonts w:ascii="Times New Roman" w:hAnsi="Times New Roman" w:eastAsia="宋体" w:cs="Times New Roman"/>
      <w:lang w:val="en-US" w:eastAsia="zh-CN" w:bidi="ar-SA"/>
    </w:rPr>
  </w:style>
  <w:style w:type="paragraph" w:customStyle="1" w:styleId="105">
    <w:name w:val="参考文献"/>
    <w:basedOn w:val="1"/>
    <w:next w:val="41"/>
    <w:autoRedefine/>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06">
    <w:name w:val="参考文献、索引标题"/>
    <w:basedOn w:val="1"/>
    <w:next w:val="41"/>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107">
    <w:name w:val="发布"/>
    <w:autoRedefine/>
    <w:qFormat/>
    <w:uiPriority w:val="0"/>
    <w:rPr>
      <w:rFonts w:ascii="黑体" w:eastAsia="黑体"/>
      <w:spacing w:val="85"/>
      <w:w w:val="100"/>
      <w:position w:val="3"/>
      <w:sz w:val="28"/>
      <w:szCs w:val="28"/>
    </w:rPr>
  </w:style>
  <w:style w:type="paragraph" w:customStyle="1" w:styleId="108">
    <w:name w:val="发布部门"/>
    <w:next w:val="41"/>
    <w:autoRedefine/>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09">
    <w:name w:val="发布日期"/>
    <w:autoRedefine/>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110">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11">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12">
    <w:name w:val="封面标准名称"/>
    <w:autoRedefine/>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13">
    <w:name w:val="封面标准英文名称"/>
    <w:basedOn w:val="112"/>
    <w:link w:val="236"/>
    <w:qFormat/>
    <w:uiPriority w:val="0"/>
    <w:pPr>
      <w:framePr w:wrap="around"/>
      <w:spacing w:before="370" w:line="400" w:lineRule="exact"/>
    </w:pPr>
    <w:rPr>
      <w:rFonts w:ascii="Times New Roman"/>
      <w:sz w:val="28"/>
      <w:szCs w:val="28"/>
    </w:rPr>
  </w:style>
  <w:style w:type="paragraph" w:customStyle="1" w:styleId="114">
    <w:name w:val="封面一致性程度标识"/>
    <w:basedOn w:val="113"/>
    <w:autoRedefine/>
    <w:qFormat/>
    <w:uiPriority w:val="0"/>
    <w:pPr>
      <w:framePr w:wrap="around"/>
      <w:spacing w:before="440"/>
    </w:pPr>
    <w:rPr>
      <w:rFonts w:ascii="宋体" w:eastAsia="宋体"/>
    </w:rPr>
  </w:style>
  <w:style w:type="paragraph" w:customStyle="1" w:styleId="115">
    <w:name w:val="封面标准文稿类别"/>
    <w:basedOn w:val="114"/>
    <w:autoRedefine/>
    <w:qFormat/>
    <w:uiPriority w:val="0"/>
    <w:pPr>
      <w:framePr w:wrap="around"/>
      <w:spacing w:after="160" w:line="240" w:lineRule="auto"/>
    </w:pPr>
    <w:rPr>
      <w:sz w:val="24"/>
    </w:rPr>
  </w:style>
  <w:style w:type="paragraph" w:customStyle="1" w:styleId="116">
    <w:name w:val="封面标准文稿编辑信息"/>
    <w:basedOn w:val="115"/>
    <w:autoRedefine/>
    <w:qFormat/>
    <w:uiPriority w:val="0"/>
    <w:pPr>
      <w:framePr w:wrap="around"/>
      <w:spacing w:before="180" w:line="180" w:lineRule="exact"/>
    </w:pPr>
    <w:rPr>
      <w:sz w:val="21"/>
    </w:rPr>
  </w:style>
  <w:style w:type="paragraph" w:customStyle="1" w:styleId="117">
    <w:name w:val="封面正文"/>
    <w:autoRedefine/>
    <w:qFormat/>
    <w:uiPriority w:val="0"/>
    <w:pPr>
      <w:jc w:val="both"/>
    </w:pPr>
    <w:rPr>
      <w:rFonts w:ascii="Times New Roman" w:hAnsi="Times New Roman" w:eastAsia="宋体" w:cs="Times New Roman"/>
      <w:lang w:val="en-US" w:eastAsia="zh-CN" w:bidi="ar-SA"/>
    </w:rPr>
  </w:style>
  <w:style w:type="paragraph" w:customStyle="1" w:styleId="118">
    <w:name w:val="附录标识"/>
    <w:basedOn w:val="119"/>
    <w:next w:val="41"/>
    <w:autoRedefine/>
    <w:qFormat/>
    <w:uiPriority w:val="0"/>
    <w:pPr>
      <w:numPr>
        <w:ilvl w:val="0"/>
        <w:numId w:val="12"/>
      </w:numPr>
      <w:tabs>
        <w:tab w:val="left" w:pos="360"/>
        <w:tab w:val="left" w:pos="6405"/>
      </w:tabs>
      <w:spacing w:after="280"/>
    </w:pPr>
  </w:style>
  <w:style w:type="paragraph" w:customStyle="1" w:styleId="119">
    <w:name w:val="前言、引言标题"/>
    <w:next w:val="1"/>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20">
    <w:name w:val="附录标题"/>
    <w:basedOn w:val="41"/>
    <w:next w:val="41"/>
    <w:autoRedefine/>
    <w:qFormat/>
    <w:uiPriority w:val="0"/>
    <w:pPr>
      <w:ind w:firstLine="0" w:firstLineChars="0"/>
      <w:jc w:val="center"/>
    </w:pPr>
    <w:rPr>
      <w:rFonts w:ascii="黑体" w:eastAsia="黑体"/>
    </w:rPr>
  </w:style>
  <w:style w:type="paragraph" w:customStyle="1" w:styleId="121">
    <w:name w:val="附录表标号"/>
    <w:basedOn w:val="1"/>
    <w:next w:val="41"/>
    <w:autoRedefine/>
    <w:qFormat/>
    <w:uiPriority w:val="0"/>
    <w:pPr>
      <w:numPr>
        <w:ilvl w:val="0"/>
        <w:numId w:val="13"/>
      </w:numPr>
      <w:tabs>
        <w:tab w:val="clear" w:pos="0"/>
      </w:tabs>
      <w:spacing w:line="14" w:lineRule="exact"/>
      <w:ind w:left="811" w:hanging="448"/>
      <w:jc w:val="center"/>
      <w:outlineLvl w:val="0"/>
    </w:pPr>
    <w:rPr>
      <w:color w:val="FFFFFF"/>
    </w:rPr>
  </w:style>
  <w:style w:type="paragraph" w:customStyle="1" w:styleId="122">
    <w:name w:val="附录表标题"/>
    <w:basedOn w:val="1"/>
    <w:next w:val="41"/>
    <w:autoRedefine/>
    <w:qFormat/>
    <w:uiPriority w:val="0"/>
    <w:pPr>
      <w:numPr>
        <w:ilvl w:val="1"/>
        <w:numId w:val="13"/>
      </w:numPr>
      <w:tabs>
        <w:tab w:val="left" w:pos="180"/>
      </w:tabs>
      <w:spacing w:beforeLines="50" w:afterLines="50"/>
      <w:ind w:left="0" w:firstLine="0"/>
      <w:jc w:val="center"/>
    </w:pPr>
    <w:rPr>
      <w:rFonts w:ascii="黑体" w:eastAsia="黑体"/>
      <w:szCs w:val="21"/>
    </w:rPr>
  </w:style>
  <w:style w:type="paragraph" w:customStyle="1" w:styleId="123">
    <w:name w:val="附录二级条标题"/>
    <w:basedOn w:val="1"/>
    <w:next w:val="41"/>
    <w:link w:val="237"/>
    <w:autoRedefine/>
    <w:qFormat/>
    <w:uiPriority w:val="0"/>
    <w:pPr>
      <w:widowControl/>
      <w:numPr>
        <w:ilvl w:val="3"/>
        <w:numId w:val="12"/>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24">
    <w:name w:val="附录二级无"/>
    <w:basedOn w:val="123"/>
    <w:qFormat/>
    <w:uiPriority w:val="0"/>
    <w:pPr>
      <w:tabs>
        <w:tab w:val="clear" w:pos="360"/>
      </w:tabs>
      <w:spacing w:beforeLines="0" w:afterLines="0"/>
    </w:pPr>
    <w:rPr>
      <w:rFonts w:ascii="宋体" w:eastAsia="宋体"/>
      <w:szCs w:val="21"/>
    </w:rPr>
  </w:style>
  <w:style w:type="paragraph" w:customStyle="1" w:styleId="125">
    <w:name w:val="附录公式"/>
    <w:basedOn w:val="41"/>
    <w:next w:val="41"/>
    <w:link w:val="126"/>
    <w:autoRedefine/>
    <w:qFormat/>
    <w:uiPriority w:val="0"/>
  </w:style>
  <w:style w:type="character" w:customStyle="1" w:styleId="126">
    <w:name w:val="附录公式 Char"/>
    <w:basedOn w:val="75"/>
    <w:link w:val="125"/>
    <w:qFormat/>
    <w:uiPriority w:val="0"/>
    <w:rPr>
      <w:rFonts w:ascii="宋体"/>
      <w:sz w:val="21"/>
      <w:lang w:val="en-US" w:eastAsia="zh-CN" w:bidi="ar-SA"/>
    </w:rPr>
  </w:style>
  <w:style w:type="paragraph" w:customStyle="1" w:styleId="127">
    <w:name w:val="附录公式编号制表符"/>
    <w:basedOn w:val="1"/>
    <w:next w:val="41"/>
    <w:autoRedefine/>
    <w:qFormat/>
    <w:uiPriority w:val="0"/>
    <w:pPr>
      <w:widowControl/>
      <w:tabs>
        <w:tab w:val="center" w:pos="4201"/>
        <w:tab w:val="right" w:leader="dot" w:pos="9298"/>
      </w:tabs>
      <w:autoSpaceDE w:val="0"/>
      <w:autoSpaceDN w:val="0"/>
    </w:pPr>
    <w:rPr>
      <w:rFonts w:ascii="宋体"/>
      <w:kern w:val="0"/>
      <w:szCs w:val="20"/>
    </w:rPr>
  </w:style>
  <w:style w:type="paragraph" w:customStyle="1" w:styleId="128">
    <w:name w:val="附录三级条标题"/>
    <w:basedOn w:val="123"/>
    <w:next w:val="41"/>
    <w:qFormat/>
    <w:uiPriority w:val="0"/>
    <w:pPr>
      <w:numPr>
        <w:ilvl w:val="4"/>
      </w:numPr>
      <w:outlineLvl w:val="4"/>
    </w:pPr>
  </w:style>
  <w:style w:type="paragraph" w:customStyle="1" w:styleId="129">
    <w:name w:val="附录三级无"/>
    <w:basedOn w:val="128"/>
    <w:autoRedefine/>
    <w:qFormat/>
    <w:uiPriority w:val="0"/>
    <w:pPr>
      <w:tabs>
        <w:tab w:val="clear" w:pos="360"/>
      </w:tabs>
      <w:spacing w:beforeLines="0" w:afterLines="0"/>
    </w:pPr>
    <w:rPr>
      <w:rFonts w:ascii="宋体" w:eastAsia="宋体"/>
      <w:szCs w:val="21"/>
    </w:rPr>
  </w:style>
  <w:style w:type="paragraph" w:customStyle="1" w:styleId="130">
    <w:name w:val="附录数字编号列项（二级）"/>
    <w:qFormat/>
    <w:uiPriority w:val="0"/>
    <w:pPr>
      <w:numPr>
        <w:ilvl w:val="1"/>
        <w:numId w:val="14"/>
      </w:numPr>
    </w:pPr>
    <w:rPr>
      <w:rFonts w:ascii="宋体" w:hAnsi="Times New Roman" w:eastAsia="宋体" w:cs="Times New Roman"/>
      <w:sz w:val="21"/>
      <w:lang w:val="en-US" w:eastAsia="zh-CN" w:bidi="ar-SA"/>
    </w:rPr>
  </w:style>
  <w:style w:type="paragraph" w:customStyle="1" w:styleId="131">
    <w:name w:val="附录四级条标题"/>
    <w:basedOn w:val="128"/>
    <w:next w:val="41"/>
    <w:autoRedefine/>
    <w:qFormat/>
    <w:uiPriority w:val="0"/>
    <w:pPr>
      <w:numPr>
        <w:ilvl w:val="5"/>
      </w:numPr>
      <w:outlineLvl w:val="5"/>
    </w:pPr>
  </w:style>
  <w:style w:type="paragraph" w:customStyle="1" w:styleId="132">
    <w:name w:val="附录四级无"/>
    <w:basedOn w:val="131"/>
    <w:autoRedefine/>
    <w:qFormat/>
    <w:uiPriority w:val="0"/>
    <w:pPr>
      <w:tabs>
        <w:tab w:val="clear" w:pos="360"/>
      </w:tabs>
      <w:spacing w:beforeLines="0" w:afterLines="0"/>
    </w:pPr>
    <w:rPr>
      <w:rFonts w:ascii="宋体" w:eastAsia="宋体"/>
      <w:szCs w:val="21"/>
    </w:rPr>
  </w:style>
  <w:style w:type="paragraph" w:customStyle="1" w:styleId="133">
    <w:name w:val="附录图标号"/>
    <w:basedOn w:val="1"/>
    <w:autoRedefine/>
    <w:qFormat/>
    <w:uiPriority w:val="0"/>
    <w:pPr>
      <w:keepNext/>
      <w:pageBreakBefore/>
      <w:widowControl/>
      <w:numPr>
        <w:ilvl w:val="0"/>
        <w:numId w:val="15"/>
      </w:numPr>
      <w:spacing w:line="14" w:lineRule="exact"/>
      <w:ind w:left="0" w:firstLine="363"/>
      <w:jc w:val="center"/>
      <w:outlineLvl w:val="0"/>
    </w:pPr>
    <w:rPr>
      <w:color w:val="FFFFFF"/>
    </w:rPr>
  </w:style>
  <w:style w:type="paragraph" w:customStyle="1" w:styleId="134">
    <w:name w:val="附录图标题"/>
    <w:basedOn w:val="1"/>
    <w:next w:val="41"/>
    <w:qFormat/>
    <w:uiPriority w:val="0"/>
    <w:pPr>
      <w:numPr>
        <w:ilvl w:val="1"/>
        <w:numId w:val="15"/>
      </w:numPr>
      <w:tabs>
        <w:tab w:val="left" w:pos="363"/>
      </w:tabs>
      <w:spacing w:beforeLines="50" w:afterLines="50"/>
      <w:ind w:left="0" w:firstLine="0"/>
      <w:jc w:val="center"/>
    </w:pPr>
    <w:rPr>
      <w:rFonts w:ascii="黑体" w:eastAsia="黑体"/>
      <w:szCs w:val="21"/>
    </w:rPr>
  </w:style>
  <w:style w:type="paragraph" w:customStyle="1" w:styleId="135">
    <w:name w:val="附录五级条标题"/>
    <w:basedOn w:val="131"/>
    <w:next w:val="41"/>
    <w:qFormat/>
    <w:uiPriority w:val="0"/>
    <w:pPr>
      <w:numPr>
        <w:ilvl w:val="6"/>
      </w:numPr>
      <w:outlineLvl w:val="6"/>
    </w:pPr>
  </w:style>
  <w:style w:type="paragraph" w:customStyle="1" w:styleId="136">
    <w:name w:val="附录五级无"/>
    <w:basedOn w:val="135"/>
    <w:autoRedefine/>
    <w:qFormat/>
    <w:uiPriority w:val="0"/>
    <w:pPr>
      <w:tabs>
        <w:tab w:val="clear" w:pos="360"/>
      </w:tabs>
      <w:spacing w:beforeLines="0" w:afterLines="0"/>
    </w:pPr>
    <w:rPr>
      <w:rFonts w:ascii="宋体" w:eastAsia="宋体"/>
      <w:szCs w:val="21"/>
    </w:rPr>
  </w:style>
  <w:style w:type="paragraph" w:customStyle="1" w:styleId="137">
    <w:name w:val="附录章标题"/>
    <w:next w:val="41"/>
    <w:autoRedefine/>
    <w:qFormat/>
    <w:uiPriority w:val="0"/>
    <w:pPr>
      <w:numPr>
        <w:ilvl w:val="1"/>
        <w:numId w:val="12"/>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38">
    <w:name w:val="附录一级条标题"/>
    <w:basedOn w:val="137"/>
    <w:next w:val="41"/>
    <w:autoRedefine/>
    <w:qFormat/>
    <w:uiPriority w:val="0"/>
    <w:pPr>
      <w:numPr>
        <w:ilvl w:val="2"/>
      </w:numPr>
      <w:autoSpaceDN w:val="0"/>
      <w:spacing w:beforeLines="50" w:afterLines="50"/>
      <w:outlineLvl w:val="2"/>
    </w:pPr>
  </w:style>
  <w:style w:type="paragraph" w:customStyle="1" w:styleId="139">
    <w:name w:val="附录一级无"/>
    <w:basedOn w:val="138"/>
    <w:autoRedefine/>
    <w:qFormat/>
    <w:uiPriority w:val="0"/>
    <w:pPr>
      <w:spacing w:beforeLines="0" w:afterLines="0"/>
    </w:pPr>
    <w:rPr>
      <w:rFonts w:ascii="宋体" w:eastAsia="宋体"/>
      <w:szCs w:val="21"/>
    </w:rPr>
  </w:style>
  <w:style w:type="paragraph" w:customStyle="1" w:styleId="140">
    <w:name w:val="附录字母编号列项（一级）"/>
    <w:autoRedefine/>
    <w:qFormat/>
    <w:uiPriority w:val="0"/>
    <w:pPr>
      <w:numPr>
        <w:ilvl w:val="0"/>
        <w:numId w:val="14"/>
      </w:numPr>
    </w:pPr>
    <w:rPr>
      <w:rFonts w:ascii="宋体" w:hAnsi="Times New Roman" w:eastAsia="宋体" w:cs="Times New Roman"/>
      <w:sz w:val="21"/>
      <w:lang w:val="en-US" w:eastAsia="zh-CN" w:bidi="ar-SA"/>
    </w:rPr>
  </w:style>
  <w:style w:type="paragraph" w:customStyle="1" w:styleId="141">
    <w:name w:val="列项说明"/>
    <w:basedOn w:val="1"/>
    <w:autoRedefine/>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42">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43">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44">
    <w:name w:val="其他标准标志"/>
    <w:basedOn w:val="100"/>
    <w:qFormat/>
    <w:uiPriority w:val="0"/>
    <w:pPr>
      <w:framePr w:w="6101" w:wrap="around" w:vAnchor="page" w:hAnchor="page" w:x="4673" w:y="942"/>
    </w:pPr>
    <w:rPr>
      <w:w w:val="130"/>
    </w:rPr>
  </w:style>
  <w:style w:type="paragraph" w:customStyle="1" w:styleId="145">
    <w:name w:val="其他标准称谓"/>
    <w:next w:val="1"/>
    <w:autoRedefine/>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46">
    <w:name w:val="其他发布部门"/>
    <w:basedOn w:val="108"/>
    <w:qFormat/>
    <w:uiPriority w:val="0"/>
    <w:pPr>
      <w:framePr w:wrap="around" w:y="15310"/>
      <w:spacing w:line="0" w:lineRule="atLeast"/>
    </w:pPr>
    <w:rPr>
      <w:rFonts w:ascii="黑体" w:eastAsia="黑体"/>
      <w:b w:val="0"/>
    </w:rPr>
  </w:style>
  <w:style w:type="paragraph" w:customStyle="1" w:styleId="147">
    <w:name w:val="三级无"/>
    <w:basedOn w:val="85"/>
    <w:autoRedefine/>
    <w:qFormat/>
    <w:uiPriority w:val="0"/>
    <w:pPr>
      <w:spacing w:beforeLines="0" w:afterLines="0"/>
    </w:pPr>
    <w:rPr>
      <w:rFonts w:ascii="宋体" w:eastAsia="宋体"/>
    </w:rPr>
  </w:style>
  <w:style w:type="paragraph" w:customStyle="1" w:styleId="148">
    <w:name w:val="实施日期"/>
    <w:autoRedefine/>
    <w:qFormat/>
    <w:uiPriority w:val="0"/>
    <w:pPr>
      <w:framePr w:w="3997" w:h="471" w:hRule="exact" w:vSpace="181" w:wrap="around" w:vAnchor="page" w:hAnchor="page" w:x="7089" w:y="14097"/>
      <w:jc w:val="right"/>
    </w:pPr>
    <w:rPr>
      <w:rFonts w:ascii="Times New Roman" w:hAnsi="Times New Roman" w:eastAsia="黑体" w:cs="Times New Roman"/>
      <w:sz w:val="28"/>
      <w:lang w:val="en-US" w:eastAsia="zh-CN" w:bidi="ar-SA"/>
    </w:rPr>
  </w:style>
  <w:style w:type="paragraph" w:customStyle="1" w:styleId="149">
    <w:name w:val="示例后文字"/>
    <w:basedOn w:val="41"/>
    <w:next w:val="41"/>
    <w:autoRedefine/>
    <w:qFormat/>
    <w:uiPriority w:val="0"/>
    <w:pPr>
      <w:ind w:firstLine="360"/>
    </w:pPr>
    <w:rPr>
      <w:sz w:val="18"/>
    </w:rPr>
  </w:style>
  <w:style w:type="paragraph" w:customStyle="1" w:styleId="150">
    <w:name w:val="首示例"/>
    <w:next w:val="41"/>
    <w:link w:val="151"/>
    <w:autoRedefine/>
    <w:qFormat/>
    <w:uiPriority w:val="0"/>
    <w:pPr>
      <w:tabs>
        <w:tab w:val="left" w:pos="360"/>
      </w:tabs>
    </w:pPr>
    <w:rPr>
      <w:rFonts w:ascii="宋体" w:hAnsi="宋体" w:eastAsia="宋体" w:cs="Times New Roman"/>
      <w:kern w:val="2"/>
      <w:sz w:val="18"/>
      <w:szCs w:val="18"/>
      <w:lang w:val="en-US" w:eastAsia="zh-CN" w:bidi="ar-SA"/>
    </w:rPr>
  </w:style>
  <w:style w:type="character" w:customStyle="1" w:styleId="151">
    <w:name w:val="首示例 Char"/>
    <w:link w:val="150"/>
    <w:autoRedefine/>
    <w:qFormat/>
    <w:uiPriority w:val="0"/>
    <w:rPr>
      <w:rFonts w:ascii="宋体" w:hAnsi="宋体"/>
      <w:kern w:val="2"/>
      <w:sz w:val="18"/>
      <w:szCs w:val="18"/>
    </w:rPr>
  </w:style>
  <w:style w:type="paragraph" w:customStyle="1" w:styleId="152">
    <w:name w:val="四级无"/>
    <w:basedOn w:val="89"/>
    <w:qFormat/>
    <w:uiPriority w:val="0"/>
    <w:pPr>
      <w:spacing w:beforeLines="0" w:afterLines="0"/>
    </w:pPr>
    <w:rPr>
      <w:rFonts w:ascii="宋体" w:eastAsia="宋体"/>
    </w:rPr>
  </w:style>
  <w:style w:type="paragraph" w:customStyle="1" w:styleId="153">
    <w:name w:val="条文脚注"/>
    <w:basedOn w:val="42"/>
    <w:autoRedefine/>
    <w:qFormat/>
    <w:uiPriority w:val="0"/>
    <w:pPr>
      <w:numPr>
        <w:numId w:val="0"/>
      </w:numPr>
      <w:jc w:val="both"/>
    </w:pPr>
  </w:style>
  <w:style w:type="paragraph" w:customStyle="1" w:styleId="154">
    <w:name w:val="图标脚注说明"/>
    <w:basedOn w:val="41"/>
    <w:autoRedefine/>
    <w:qFormat/>
    <w:uiPriority w:val="0"/>
    <w:pPr>
      <w:ind w:left="840" w:hanging="420" w:firstLineChars="0"/>
    </w:pPr>
    <w:rPr>
      <w:sz w:val="18"/>
      <w:szCs w:val="18"/>
    </w:rPr>
  </w:style>
  <w:style w:type="paragraph" w:customStyle="1" w:styleId="155">
    <w:name w:val="图表脚注说明"/>
    <w:basedOn w:val="1"/>
    <w:qFormat/>
    <w:uiPriority w:val="0"/>
    <w:pPr>
      <w:numPr>
        <w:ilvl w:val="0"/>
        <w:numId w:val="16"/>
      </w:numPr>
    </w:pPr>
    <w:rPr>
      <w:rFonts w:ascii="宋体"/>
      <w:sz w:val="18"/>
      <w:szCs w:val="18"/>
    </w:rPr>
  </w:style>
  <w:style w:type="paragraph" w:customStyle="1" w:styleId="156">
    <w:name w:val="图的脚注"/>
    <w:next w:val="41"/>
    <w:autoRedefine/>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57">
    <w:name w:val="文献分类号"/>
    <w:autoRedefine/>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58">
    <w:name w:val="五级无"/>
    <w:basedOn w:val="90"/>
    <w:autoRedefine/>
    <w:qFormat/>
    <w:uiPriority w:val="0"/>
    <w:pPr>
      <w:spacing w:beforeLines="0" w:afterLines="0"/>
    </w:pPr>
    <w:rPr>
      <w:rFonts w:ascii="宋体" w:eastAsia="宋体"/>
    </w:rPr>
  </w:style>
  <w:style w:type="paragraph" w:customStyle="1" w:styleId="159">
    <w:name w:val="一级无"/>
    <w:basedOn w:val="76"/>
    <w:qFormat/>
    <w:uiPriority w:val="0"/>
    <w:pPr>
      <w:spacing w:beforeLines="0" w:afterLines="0"/>
    </w:pPr>
    <w:rPr>
      <w:rFonts w:ascii="宋体" w:eastAsia="宋体"/>
    </w:rPr>
  </w:style>
  <w:style w:type="paragraph" w:customStyle="1" w:styleId="160">
    <w:name w:val="正文表标题"/>
    <w:next w:val="41"/>
    <w:autoRedefine/>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61">
    <w:name w:val="正文公式编号制表符"/>
    <w:basedOn w:val="41"/>
    <w:next w:val="41"/>
    <w:link w:val="250"/>
    <w:autoRedefine/>
    <w:qFormat/>
    <w:uiPriority w:val="0"/>
    <w:pPr>
      <w:ind w:firstLine="0" w:firstLineChars="0"/>
    </w:pPr>
  </w:style>
  <w:style w:type="paragraph" w:customStyle="1" w:styleId="162">
    <w:name w:val="正文图标题"/>
    <w:next w:val="41"/>
    <w:qFormat/>
    <w:uiPriority w:val="99"/>
    <w:pPr>
      <w:numPr>
        <w:ilvl w:val="0"/>
        <w:numId w:val="18"/>
      </w:numPr>
      <w:spacing w:beforeLines="50" w:afterLines="50"/>
      <w:jc w:val="center"/>
    </w:pPr>
    <w:rPr>
      <w:rFonts w:ascii="黑体" w:hAnsi="Times New Roman" w:eastAsia="黑体" w:cs="Times New Roman"/>
      <w:sz w:val="21"/>
      <w:lang w:val="en-US" w:eastAsia="zh-CN" w:bidi="ar-SA"/>
    </w:rPr>
  </w:style>
  <w:style w:type="paragraph" w:customStyle="1" w:styleId="163">
    <w:name w:val="终结线"/>
    <w:basedOn w:val="1"/>
    <w:autoRedefine/>
    <w:qFormat/>
    <w:uiPriority w:val="0"/>
    <w:pPr>
      <w:framePr w:hSpace="181" w:vSpace="181" w:wrap="around" w:vAnchor="text" w:hAnchor="margin" w:xAlign="center" w:y="285"/>
    </w:pPr>
  </w:style>
  <w:style w:type="paragraph" w:customStyle="1" w:styleId="164">
    <w:name w:val="其他发布日期"/>
    <w:autoRedefine/>
    <w:qFormat/>
    <w:uiPriority w:val="0"/>
    <w:pPr>
      <w:framePr w:w="3997" w:h="471" w:hRule="exact" w:vSpace="181" w:wrap="around" w:vAnchor="page" w:hAnchor="page" w:x="1419" w:y="14097" w:anchorLock="1"/>
    </w:pPr>
    <w:rPr>
      <w:rFonts w:ascii="Times New Roman" w:hAnsi="Times New Roman" w:eastAsia="黑体" w:cs="Times New Roman"/>
      <w:sz w:val="28"/>
      <w:lang w:val="en-US" w:eastAsia="zh-CN" w:bidi="ar-SA"/>
    </w:rPr>
  </w:style>
  <w:style w:type="paragraph" w:customStyle="1" w:styleId="165">
    <w:name w:val="其他实施日期"/>
    <w:basedOn w:val="148"/>
    <w:autoRedefine/>
    <w:qFormat/>
    <w:uiPriority w:val="0"/>
    <w:pPr>
      <w:framePr w:wrap="around"/>
    </w:pPr>
  </w:style>
  <w:style w:type="paragraph" w:customStyle="1" w:styleId="166">
    <w:name w:val="封面标准名称2"/>
    <w:basedOn w:val="112"/>
    <w:autoRedefine/>
    <w:qFormat/>
    <w:uiPriority w:val="0"/>
    <w:pPr>
      <w:framePr w:wrap="around" w:y="4469"/>
      <w:spacing w:beforeLines="630"/>
    </w:pPr>
  </w:style>
  <w:style w:type="paragraph" w:customStyle="1" w:styleId="167">
    <w:name w:val="封面标准英文名称2"/>
    <w:basedOn w:val="113"/>
    <w:autoRedefine/>
    <w:qFormat/>
    <w:uiPriority w:val="0"/>
    <w:pPr>
      <w:framePr w:wrap="around" w:y="4469"/>
    </w:pPr>
  </w:style>
  <w:style w:type="paragraph" w:customStyle="1" w:styleId="168">
    <w:name w:val="封面一致性程度标识2"/>
    <w:basedOn w:val="114"/>
    <w:qFormat/>
    <w:uiPriority w:val="0"/>
    <w:pPr>
      <w:framePr w:wrap="around" w:y="4469"/>
    </w:pPr>
  </w:style>
  <w:style w:type="paragraph" w:customStyle="1" w:styleId="169">
    <w:name w:val="封面标准文稿类别2"/>
    <w:basedOn w:val="115"/>
    <w:autoRedefine/>
    <w:qFormat/>
    <w:uiPriority w:val="0"/>
    <w:pPr>
      <w:framePr w:wrap="around" w:y="4469"/>
    </w:pPr>
  </w:style>
  <w:style w:type="paragraph" w:customStyle="1" w:styleId="170">
    <w:name w:val="封面标准文稿编辑信息2"/>
    <w:basedOn w:val="116"/>
    <w:autoRedefine/>
    <w:qFormat/>
    <w:uiPriority w:val="0"/>
    <w:pPr>
      <w:framePr w:wrap="around" w:y="4469"/>
    </w:pPr>
  </w:style>
  <w:style w:type="paragraph" w:customStyle="1" w:styleId="171">
    <w:name w:val="标准名称"/>
    <w:basedOn w:val="84"/>
    <w:link w:val="174"/>
    <w:autoRedefine/>
    <w:qFormat/>
    <w:uiPriority w:val="0"/>
  </w:style>
  <w:style w:type="character" w:styleId="172">
    <w:name w:val="Placeholder Text"/>
    <w:basedOn w:val="58"/>
    <w:semiHidden/>
    <w:qFormat/>
    <w:uiPriority w:val="99"/>
    <w:rPr>
      <w:color w:val="808080"/>
    </w:rPr>
  </w:style>
  <w:style w:type="character" w:customStyle="1" w:styleId="173">
    <w:name w:val="目次、标准名称标题 Char"/>
    <w:basedOn w:val="58"/>
    <w:link w:val="84"/>
    <w:autoRedefine/>
    <w:qFormat/>
    <w:uiPriority w:val="0"/>
    <w:rPr>
      <w:rFonts w:ascii="黑体" w:eastAsia="黑体"/>
      <w:sz w:val="32"/>
      <w:shd w:val="clear" w:color="FFFFFF" w:fill="FFFFFF"/>
    </w:rPr>
  </w:style>
  <w:style w:type="character" w:customStyle="1" w:styleId="174">
    <w:name w:val="标准名称 Char"/>
    <w:basedOn w:val="173"/>
    <w:link w:val="171"/>
    <w:autoRedefine/>
    <w:qFormat/>
    <w:uiPriority w:val="0"/>
    <w:rPr>
      <w:rFonts w:ascii="黑体" w:eastAsia="黑体"/>
      <w:sz w:val="32"/>
      <w:shd w:val="clear" w:color="FFFFFF" w:fill="FFFFFF"/>
    </w:rPr>
  </w:style>
  <w:style w:type="character" w:customStyle="1" w:styleId="175">
    <w:name w:val="批注框文本 字符"/>
    <w:basedOn w:val="58"/>
    <w:link w:val="34"/>
    <w:autoRedefine/>
    <w:qFormat/>
    <w:uiPriority w:val="99"/>
    <w:rPr>
      <w:kern w:val="2"/>
      <w:sz w:val="18"/>
      <w:szCs w:val="18"/>
    </w:rPr>
  </w:style>
  <w:style w:type="character" w:customStyle="1" w:styleId="176">
    <w:name w:val="标题 1 字符"/>
    <w:basedOn w:val="58"/>
    <w:link w:val="2"/>
    <w:qFormat/>
    <w:uiPriority w:val="9"/>
    <w:rPr>
      <w:rFonts w:eastAsia="黑体"/>
      <w:b/>
      <w:kern w:val="2"/>
      <w:sz w:val="28"/>
      <w:lang w:val="zh-CN" w:eastAsia="zh-CN"/>
    </w:rPr>
  </w:style>
  <w:style w:type="character" w:customStyle="1" w:styleId="177">
    <w:name w:val="标题 2 字符"/>
    <w:basedOn w:val="58"/>
    <w:link w:val="3"/>
    <w:qFormat/>
    <w:uiPriority w:val="0"/>
    <w:rPr>
      <w:i/>
      <w:iCs/>
      <w:kern w:val="2"/>
      <w:sz w:val="21"/>
      <w:szCs w:val="24"/>
      <w:lang w:val="zh-CN" w:eastAsia="zh-CN"/>
    </w:rPr>
  </w:style>
  <w:style w:type="character" w:customStyle="1" w:styleId="178">
    <w:name w:val="标题 3 字符"/>
    <w:basedOn w:val="58"/>
    <w:link w:val="4"/>
    <w:qFormat/>
    <w:uiPriority w:val="9"/>
    <w:rPr>
      <w:b/>
      <w:bCs/>
      <w:kern w:val="2"/>
      <w:sz w:val="32"/>
      <w:szCs w:val="32"/>
      <w:lang w:val="zh-CN" w:eastAsia="zh-CN"/>
    </w:rPr>
  </w:style>
  <w:style w:type="character" w:customStyle="1" w:styleId="179">
    <w:name w:val="标题 4 字符"/>
    <w:basedOn w:val="58"/>
    <w:link w:val="6"/>
    <w:qFormat/>
    <w:uiPriority w:val="0"/>
    <w:rPr>
      <w:sz w:val="21"/>
      <w:lang w:val="zh-CN" w:eastAsia="zh-CN"/>
    </w:rPr>
  </w:style>
  <w:style w:type="character" w:customStyle="1" w:styleId="180">
    <w:name w:val="标题 5 字符"/>
    <w:basedOn w:val="58"/>
    <w:link w:val="7"/>
    <w:qFormat/>
    <w:uiPriority w:val="0"/>
    <w:rPr>
      <w:b/>
      <w:bCs/>
      <w:kern w:val="2"/>
      <w:sz w:val="28"/>
      <w:szCs w:val="28"/>
      <w:lang w:val="zh-CN" w:eastAsia="zh-CN"/>
    </w:rPr>
  </w:style>
  <w:style w:type="character" w:customStyle="1" w:styleId="181">
    <w:name w:val="标题 6 字符"/>
    <w:basedOn w:val="58"/>
    <w:link w:val="8"/>
    <w:qFormat/>
    <w:uiPriority w:val="0"/>
    <w:rPr>
      <w:rFonts w:ascii="Arial" w:hAnsi="Arial" w:eastAsia="黑体"/>
      <w:b/>
      <w:bCs/>
      <w:kern w:val="2"/>
      <w:sz w:val="24"/>
      <w:szCs w:val="24"/>
      <w:lang w:val="zh-CN" w:eastAsia="zh-CN"/>
    </w:rPr>
  </w:style>
  <w:style w:type="character" w:customStyle="1" w:styleId="182">
    <w:name w:val="标题 7 字符"/>
    <w:basedOn w:val="58"/>
    <w:link w:val="9"/>
    <w:qFormat/>
    <w:uiPriority w:val="0"/>
    <w:rPr>
      <w:b/>
      <w:bCs/>
      <w:kern w:val="2"/>
      <w:sz w:val="24"/>
      <w:szCs w:val="24"/>
      <w:lang w:val="zh-CN" w:eastAsia="zh-CN"/>
    </w:rPr>
  </w:style>
  <w:style w:type="character" w:customStyle="1" w:styleId="183">
    <w:name w:val="标题 8 字符"/>
    <w:basedOn w:val="58"/>
    <w:link w:val="10"/>
    <w:qFormat/>
    <w:uiPriority w:val="0"/>
    <w:rPr>
      <w:rFonts w:ascii="Arial" w:hAnsi="Arial" w:eastAsia="黑体"/>
      <w:kern w:val="2"/>
      <w:sz w:val="24"/>
      <w:szCs w:val="24"/>
      <w:lang w:val="zh-CN" w:eastAsia="zh-CN"/>
    </w:rPr>
  </w:style>
  <w:style w:type="character" w:customStyle="1" w:styleId="184">
    <w:name w:val="标题 9 字符"/>
    <w:basedOn w:val="58"/>
    <w:link w:val="11"/>
    <w:qFormat/>
    <w:uiPriority w:val="0"/>
    <w:rPr>
      <w:rFonts w:ascii="Arial" w:hAnsi="Arial" w:eastAsia="黑体"/>
      <w:kern w:val="2"/>
      <w:sz w:val="21"/>
      <w:szCs w:val="21"/>
      <w:lang w:val="zh-CN" w:eastAsia="zh-CN"/>
    </w:rPr>
  </w:style>
  <w:style w:type="character" w:customStyle="1" w:styleId="185">
    <w:name w:val="页眉 字符"/>
    <w:basedOn w:val="58"/>
    <w:link w:val="36"/>
    <w:qFormat/>
    <w:uiPriority w:val="99"/>
    <w:rPr>
      <w:kern w:val="2"/>
      <w:sz w:val="18"/>
      <w:szCs w:val="18"/>
    </w:rPr>
  </w:style>
  <w:style w:type="character" w:customStyle="1" w:styleId="186">
    <w:name w:val="页脚 字符"/>
    <w:basedOn w:val="58"/>
    <w:link w:val="35"/>
    <w:qFormat/>
    <w:uiPriority w:val="99"/>
    <w:rPr>
      <w:kern w:val="2"/>
      <w:sz w:val="18"/>
      <w:szCs w:val="18"/>
    </w:rPr>
  </w:style>
  <w:style w:type="character" w:customStyle="1" w:styleId="187">
    <w:name w:val="正文文本缩进 字符"/>
    <w:basedOn w:val="58"/>
    <w:link w:val="22"/>
    <w:qFormat/>
    <w:uiPriority w:val="0"/>
    <w:rPr>
      <w:kern w:val="2"/>
      <w:sz w:val="21"/>
      <w:lang w:val="zh-CN" w:eastAsia="zh-CN"/>
    </w:rPr>
  </w:style>
  <w:style w:type="table" w:customStyle="1" w:styleId="188">
    <w:name w:val="网格型1"/>
    <w:basedOn w:val="5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9">
    <w:name w:val="日期 字符"/>
    <w:basedOn w:val="58"/>
    <w:link w:val="31"/>
    <w:qFormat/>
    <w:uiPriority w:val="0"/>
    <w:rPr>
      <w:kern w:val="2"/>
      <w:sz w:val="21"/>
      <w:szCs w:val="24"/>
    </w:rPr>
  </w:style>
  <w:style w:type="paragraph" w:customStyle="1" w:styleId="190">
    <w:name w:val="段 Char Char"/>
    <w:link w:val="191"/>
    <w:qFormat/>
    <w:uiPriority w:val="0"/>
    <w:pPr>
      <w:autoSpaceDE w:val="0"/>
      <w:autoSpaceDN w:val="0"/>
      <w:ind w:firstLine="420" w:firstLineChars="200"/>
      <w:jc w:val="both"/>
    </w:pPr>
    <w:rPr>
      <w:rFonts w:ascii="宋体" w:hAnsi="宋体" w:eastAsia="宋体" w:cs="Times New Roman"/>
      <w:sz w:val="21"/>
      <w:szCs w:val="21"/>
      <w:lang w:val="en-US" w:eastAsia="zh-CN" w:bidi="ar-SA"/>
    </w:rPr>
  </w:style>
  <w:style w:type="character" w:customStyle="1" w:styleId="191">
    <w:name w:val="段 Char Char Char"/>
    <w:link w:val="190"/>
    <w:qFormat/>
    <w:uiPriority w:val="0"/>
    <w:rPr>
      <w:rFonts w:ascii="宋体" w:hAnsi="宋体"/>
      <w:sz w:val="21"/>
      <w:szCs w:val="21"/>
    </w:rPr>
  </w:style>
  <w:style w:type="character" w:customStyle="1" w:styleId="192">
    <w:name w:val="章标题 Char"/>
    <w:link w:val="79"/>
    <w:qFormat/>
    <w:uiPriority w:val="0"/>
    <w:rPr>
      <w:rFonts w:ascii="黑体" w:eastAsia="黑体"/>
      <w:sz w:val="21"/>
    </w:rPr>
  </w:style>
  <w:style w:type="character" w:customStyle="1" w:styleId="193">
    <w:name w:val="一级条标题 Char"/>
    <w:basedOn w:val="192"/>
    <w:link w:val="76"/>
    <w:qFormat/>
    <w:uiPriority w:val="0"/>
    <w:rPr>
      <w:rFonts w:ascii="黑体" w:eastAsia="黑体"/>
      <w:sz w:val="21"/>
      <w:szCs w:val="21"/>
    </w:rPr>
  </w:style>
  <w:style w:type="character" w:customStyle="1" w:styleId="194">
    <w:name w:val="二级条标题 Char"/>
    <w:link w:val="80"/>
    <w:qFormat/>
    <w:uiPriority w:val="0"/>
    <w:rPr>
      <w:rFonts w:ascii="黑体" w:eastAsia="黑体"/>
      <w:sz w:val="21"/>
      <w:szCs w:val="21"/>
    </w:rPr>
  </w:style>
  <w:style w:type="paragraph" w:customStyle="1" w:styleId="195">
    <w:name w:val="列项——"/>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character" w:customStyle="1" w:styleId="196">
    <w:name w:val="标题 字符"/>
    <w:basedOn w:val="58"/>
    <w:link w:val="53"/>
    <w:qFormat/>
    <w:uiPriority w:val="0"/>
    <w:rPr>
      <w:rFonts w:ascii="Arial" w:hAnsi="Arial"/>
      <w:b/>
      <w:bCs/>
      <w:kern w:val="2"/>
      <w:sz w:val="32"/>
      <w:szCs w:val="32"/>
      <w:lang w:val="zh-CN" w:eastAsia="zh-CN"/>
    </w:rPr>
  </w:style>
  <w:style w:type="paragraph" w:customStyle="1" w:styleId="197">
    <w:name w:val="二级无标题条"/>
    <w:basedOn w:val="1"/>
    <w:qFormat/>
    <w:uiPriority w:val="0"/>
    <w:pPr>
      <w:numPr>
        <w:ilvl w:val="3"/>
        <w:numId w:val="19"/>
      </w:numPr>
    </w:pPr>
  </w:style>
  <w:style w:type="paragraph" w:customStyle="1" w:styleId="198">
    <w:name w:val="三级无标题条"/>
    <w:basedOn w:val="1"/>
    <w:qFormat/>
    <w:uiPriority w:val="0"/>
    <w:pPr>
      <w:numPr>
        <w:ilvl w:val="4"/>
        <w:numId w:val="19"/>
      </w:numPr>
    </w:pPr>
  </w:style>
  <w:style w:type="paragraph" w:customStyle="1" w:styleId="199">
    <w:name w:val="四级无标题条"/>
    <w:basedOn w:val="1"/>
    <w:qFormat/>
    <w:uiPriority w:val="0"/>
    <w:pPr>
      <w:numPr>
        <w:ilvl w:val="5"/>
        <w:numId w:val="19"/>
      </w:numPr>
    </w:pPr>
  </w:style>
  <w:style w:type="paragraph" w:customStyle="1" w:styleId="200">
    <w:name w:val="五级无标题条"/>
    <w:basedOn w:val="1"/>
    <w:qFormat/>
    <w:uiPriority w:val="0"/>
    <w:pPr>
      <w:numPr>
        <w:ilvl w:val="6"/>
        <w:numId w:val="19"/>
      </w:numPr>
    </w:pPr>
  </w:style>
  <w:style w:type="paragraph" w:customStyle="1" w:styleId="201">
    <w:name w:val="一级无标题条"/>
    <w:basedOn w:val="1"/>
    <w:qFormat/>
    <w:uiPriority w:val="0"/>
    <w:pPr>
      <w:numPr>
        <w:ilvl w:val="2"/>
        <w:numId w:val="19"/>
      </w:numPr>
    </w:pPr>
  </w:style>
  <w:style w:type="character" w:customStyle="1" w:styleId="202">
    <w:name w:val="HTML 地址 字符"/>
    <w:basedOn w:val="58"/>
    <w:link w:val="24"/>
    <w:qFormat/>
    <w:uiPriority w:val="0"/>
    <w:rPr>
      <w:i/>
      <w:iCs/>
      <w:kern w:val="2"/>
      <w:sz w:val="21"/>
      <w:szCs w:val="24"/>
      <w:lang w:val="zh-CN" w:eastAsia="zh-CN"/>
    </w:rPr>
  </w:style>
  <w:style w:type="character" w:customStyle="1" w:styleId="203">
    <w:name w:val="正文文本 字符"/>
    <w:basedOn w:val="58"/>
    <w:link w:val="21"/>
    <w:qFormat/>
    <w:uiPriority w:val="0"/>
    <w:rPr>
      <w:kern w:val="2"/>
      <w:sz w:val="21"/>
      <w:szCs w:val="24"/>
    </w:rPr>
  </w:style>
  <w:style w:type="paragraph" w:customStyle="1" w:styleId="204">
    <w:name w:val="图表脚注"/>
    <w:next w:val="41"/>
    <w:qFormat/>
    <w:uiPriority w:val="0"/>
    <w:pPr>
      <w:ind w:left="300" w:leftChars="200" w:hanging="100" w:hangingChars="100"/>
      <w:jc w:val="both"/>
    </w:pPr>
    <w:rPr>
      <w:rFonts w:ascii="宋体" w:hAnsi="Times New Roman" w:eastAsia="宋体" w:cs="Times New Roman"/>
      <w:sz w:val="18"/>
      <w:lang w:val="en-US" w:eastAsia="zh-CN" w:bidi="ar-SA"/>
    </w:rPr>
  </w:style>
  <w:style w:type="character" w:customStyle="1" w:styleId="205">
    <w:name w:val="脚注文本 字符"/>
    <w:basedOn w:val="58"/>
    <w:link w:val="42"/>
    <w:qFormat/>
    <w:uiPriority w:val="0"/>
    <w:rPr>
      <w:rFonts w:ascii="宋体"/>
      <w:kern w:val="2"/>
      <w:sz w:val="18"/>
      <w:szCs w:val="18"/>
    </w:rPr>
  </w:style>
  <w:style w:type="character" w:customStyle="1" w:styleId="206">
    <w:name w:val="一级无标题条 Char"/>
    <w:qFormat/>
    <w:uiPriority w:val="0"/>
    <w:rPr>
      <w:rFonts w:eastAsia="宋体"/>
      <w:kern w:val="2"/>
      <w:sz w:val="21"/>
      <w:szCs w:val="24"/>
      <w:lang w:val="en-US" w:eastAsia="zh-CN" w:bidi="ar-SA"/>
    </w:rPr>
  </w:style>
  <w:style w:type="character" w:customStyle="1" w:styleId="207">
    <w:name w:val="三级无标题条 Char"/>
    <w:qFormat/>
    <w:uiPriority w:val="0"/>
    <w:rPr>
      <w:rFonts w:eastAsia="宋体"/>
      <w:kern w:val="2"/>
      <w:sz w:val="21"/>
      <w:szCs w:val="24"/>
      <w:lang w:val="en-US" w:eastAsia="zh-CN" w:bidi="ar-SA"/>
    </w:rPr>
  </w:style>
  <w:style w:type="character" w:customStyle="1" w:styleId="208">
    <w:name w:val="正文文本缩进 3 字符"/>
    <w:basedOn w:val="58"/>
    <w:link w:val="44"/>
    <w:qFormat/>
    <w:uiPriority w:val="0"/>
    <w:rPr>
      <w:kern w:val="2"/>
      <w:sz w:val="16"/>
      <w:szCs w:val="16"/>
    </w:rPr>
  </w:style>
  <w:style w:type="character" w:customStyle="1" w:styleId="209">
    <w:name w:val="正文首行缩进 字符"/>
    <w:basedOn w:val="203"/>
    <w:link w:val="55"/>
    <w:qFormat/>
    <w:uiPriority w:val="0"/>
    <w:rPr>
      <w:kern w:val="2"/>
      <w:sz w:val="21"/>
      <w:szCs w:val="24"/>
    </w:rPr>
  </w:style>
  <w:style w:type="character" w:customStyle="1" w:styleId="210">
    <w:name w:val="正文文本 2 字符"/>
    <w:basedOn w:val="58"/>
    <w:link w:val="49"/>
    <w:qFormat/>
    <w:uiPriority w:val="0"/>
    <w:rPr>
      <w:kern w:val="2"/>
      <w:sz w:val="21"/>
      <w:szCs w:val="24"/>
    </w:rPr>
  </w:style>
  <w:style w:type="character" w:customStyle="1" w:styleId="211">
    <w:name w:val="附录章标题 Char"/>
    <w:qFormat/>
    <w:uiPriority w:val="0"/>
    <w:rPr>
      <w:rFonts w:ascii="黑体" w:eastAsia="黑体"/>
      <w:kern w:val="21"/>
      <w:sz w:val="21"/>
      <w:lang w:val="en-US" w:eastAsia="zh-CN" w:bidi="ar-SA"/>
    </w:rPr>
  </w:style>
  <w:style w:type="character" w:customStyle="1" w:styleId="212">
    <w:name w:val="附录一级条标题 Char"/>
    <w:basedOn w:val="211"/>
    <w:qFormat/>
    <w:uiPriority w:val="0"/>
    <w:rPr>
      <w:rFonts w:ascii="黑体" w:eastAsia="黑体"/>
      <w:kern w:val="21"/>
      <w:sz w:val="21"/>
      <w:lang w:val="en-US" w:eastAsia="zh-CN" w:bidi="ar-SA"/>
    </w:rPr>
  </w:style>
  <w:style w:type="character" w:customStyle="1" w:styleId="213">
    <w:name w:val="HTML 预设格式 字符"/>
    <w:basedOn w:val="58"/>
    <w:link w:val="50"/>
    <w:qFormat/>
    <w:uiPriority w:val="0"/>
    <w:rPr>
      <w:rFonts w:ascii="Courier New" w:hAnsi="Courier New"/>
      <w:kern w:val="2"/>
      <w:lang w:val="zh-CN" w:eastAsia="zh-CN"/>
    </w:rPr>
  </w:style>
  <w:style w:type="paragraph" w:customStyle="1" w:styleId="214">
    <w:name w:val="样式1"/>
    <w:basedOn w:val="6"/>
    <w:link w:val="256"/>
    <w:qFormat/>
    <w:uiPriority w:val="0"/>
    <w:pPr>
      <w:numPr>
        <w:ilvl w:val="0"/>
        <w:numId w:val="0"/>
      </w:numPr>
      <w:adjustRightInd/>
      <w:spacing w:before="156" w:beforeLines="50" w:line="276" w:lineRule="auto"/>
      <w:ind w:firstLine="360" w:firstLineChars="200"/>
      <w:textAlignment w:val="auto"/>
      <w:outlineLvl w:val="9"/>
    </w:pPr>
    <w:rPr>
      <w:rFonts w:ascii="宋体" w:hAnsi="宋体"/>
      <w:bCs/>
      <w:kern w:val="2"/>
      <w:sz w:val="18"/>
      <w:szCs w:val="18"/>
    </w:rPr>
  </w:style>
  <w:style w:type="character" w:customStyle="1" w:styleId="215">
    <w:name w:val="正文文本缩进 2 字符"/>
    <w:basedOn w:val="58"/>
    <w:link w:val="32"/>
    <w:qFormat/>
    <w:uiPriority w:val="99"/>
    <w:rPr>
      <w:kern w:val="2"/>
      <w:sz w:val="21"/>
      <w:lang w:val="zh-CN" w:eastAsia="zh-CN"/>
    </w:rPr>
  </w:style>
  <w:style w:type="paragraph" w:customStyle="1" w:styleId="216">
    <w:name w:val="xl24"/>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b/>
      <w:bCs/>
      <w:kern w:val="0"/>
      <w:szCs w:val="21"/>
    </w:rPr>
  </w:style>
  <w:style w:type="paragraph" w:customStyle="1" w:styleId="217">
    <w:name w:val="xl44"/>
    <w:basedOn w:val="1"/>
    <w:qFormat/>
    <w:uiPriority w:val="0"/>
    <w:pPr>
      <w:widowControl/>
      <w:pBdr>
        <w:left w:val="single" w:color="auto" w:sz="4" w:space="0"/>
      </w:pBdr>
      <w:spacing w:before="100" w:beforeAutospacing="1" w:after="100" w:afterAutospacing="1"/>
    </w:pPr>
    <w:rPr>
      <w:rFonts w:ascii="宋体" w:hAnsi="宋体"/>
      <w:kern w:val="0"/>
      <w:szCs w:val="21"/>
    </w:rPr>
  </w:style>
  <w:style w:type="character" w:customStyle="1" w:styleId="218">
    <w:name w:val="个人答复风格"/>
    <w:qFormat/>
    <w:uiPriority w:val="0"/>
    <w:rPr>
      <w:rFonts w:ascii="Arial" w:hAnsi="Arial" w:eastAsia="宋体" w:cs="Arial"/>
      <w:color w:val="auto"/>
      <w:sz w:val="20"/>
    </w:rPr>
  </w:style>
  <w:style w:type="paragraph" w:customStyle="1" w:styleId="219">
    <w:name w:val="TABLE-col-heading"/>
    <w:basedOn w:val="1"/>
    <w:qFormat/>
    <w:uiPriority w:val="0"/>
    <w:pPr>
      <w:widowControl/>
      <w:spacing w:before="60" w:after="60"/>
      <w:jc w:val="center"/>
    </w:pPr>
    <w:rPr>
      <w:rFonts w:ascii="Arial" w:hAnsi="Arial" w:cs="Arial"/>
      <w:b/>
      <w:bCs/>
      <w:spacing w:val="8"/>
      <w:kern w:val="0"/>
      <w:sz w:val="16"/>
      <w:szCs w:val="16"/>
      <w:lang w:val="en-GB"/>
    </w:rPr>
  </w:style>
  <w:style w:type="paragraph" w:customStyle="1" w:styleId="220">
    <w:name w:val="TABLE-cell"/>
    <w:basedOn w:val="1"/>
    <w:qFormat/>
    <w:uiPriority w:val="0"/>
    <w:pPr>
      <w:widowControl/>
      <w:spacing w:before="60" w:after="60"/>
      <w:jc w:val="left"/>
    </w:pPr>
    <w:rPr>
      <w:rFonts w:ascii="Arial" w:hAnsi="Arial" w:cs="Arial"/>
      <w:spacing w:val="8"/>
      <w:kern w:val="0"/>
      <w:sz w:val="16"/>
      <w:szCs w:val="16"/>
      <w:lang w:val="en-GB"/>
    </w:rPr>
  </w:style>
  <w:style w:type="character" w:customStyle="1" w:styleId="221">
    <w:name w:val="SUBscript"/>
    <w:qFormat/>
    <w:uiPriority w:val="0"/>
    <w:rPr>
      <w:kern w:val="0"/>
      <w:position w:val="-6"/>
      <w:sz w:val="16"/>
      <w:szCs w:val="16"/>
    </w:rPr>
  </w:style>
  <w:style w:type="character" w:customStyle="1" w:styleId="222">
    <w:name w:val="纯文本 字符"/>
    <w:basedOn w:val="58"/>
    <w:link w:val="28"/>
    <w:qFormat/>
    <w:uiPriority w:val="0"/>
    <w:rPr>
      <w:rFonts w:ascii="宋体" w:hAnsi="Courier New"/>
      <w:kern w:val="2"/>
      <w:sz w:val="21"/>
      <w:lang w:val="zh-CN" w:eastAsia="zh-CN"/>
    </w:rPr>
  </w:style>
  <w:style w:type="character" w:customStyle="1" w:styleId="223">
    <w:name w:val="个人撰写风格"/>
    <w:qFormat/>
    <w:uiPriority w:val="0"/>
    <w:rPr>
      <w:rFonts w:ascii="Arial" w:hAnsi="Arial" w:eastAsia="宋体"/>
      <w:color w:val="auto"/>
      <w:sz w:val="20"/>
    </w:rPr>
  </w:style>
  <w:style w:type="paragraph" w:customStyle="1" w:styleId="224">
    <w:name w:val="_Style 21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25">
    <w:name w:val="条标题"/>
    <w:basedOn w:val="1"/>
    <w:qFormat/>
    <w:uiPriority w:val="0"/>
    <w:pPr>
      <w:tabs>
        <w:tab w:val="left" w:pos="525"/>
        <w:tab w:val="left" w:pos="760"/>
      </w:tabs>
      <w:ind w:left="1264" w:hanging="413"/>
      <w:outlineLvl w:val="1"/>
    </w:pPr>
    <w:rPr>
      <w:rFonts w:ascii="宋体"/>
      <w:szCs w:val="20"/>
    </w:rPr>
  </w:style>
  <w:style w:type="character" w:customStyle="1" w:styleId="226">
    <w:name w:val="正文文本 3 字符"/>
    <w:basedOn w:val="58"/>
    <w:link w:val="20"/>
    <w:qFormat/>
    <w:uiPriority w:val="0"/>
    <w:rPr>
      <w:rFonts w:ascii="宋体" w:hAnsi="宋体"/>
      <w:sz w:val="18"/>
    </w:rPr>
  </w:style>
  <w:style w:type="paragraph" w:customStyle="1" w:styleId="227">
    <w:name w:val="无标题条"/>
    <w:next w:val="41"/>
    <w:qFormat/>
    <w:uiPriority w:val="0"/>
    <w:pPr>
      <w:jc w:val="both"/>
    </w:pPr>
    <w:rPr>
      <w:rFonts w:ascii="Times New Roman" w:hAnsi="Times New Roman" w:eastAsia="宋体" w:cs="Times New Roman"/>
      <w:sz w:val="21"/>
      <w:lang w:val="en-US" w:eastAsia="zh-CN" w:bidi="ar-SA"/>
    </w:rPr>
  </w:style>
  <w:style w:type="paragraph" w:customStyle="1" w:styleId="228">
    <w:name w:val="列项·"/>
    <w:qFormat/>
    <w:uiPriority w:val="0"/>
    <w:pPr>
      <w:tabs>
        <w:tab w:val="left" w:pos="840"/>
      </w:tabs>
      <w:ind w:left="840" w:leftChars="200" w:hanging="420" w:hangingChars="200"/>
      <w:jc w:val="both"/>
    </w:pPr>
    <w:rPr>
      <w:rFonts w:ascii="宋体" w:hAnsi="Times New Roman" w:eastAsia="宋体" w:cs="Times New Roman"/>
      <w:sz w:val="21"/>
      <w:lang w:val="en-US" w:eastAsia="zh-CN" w:bidi="ar-SA"/>
    </w:rPr>
  </w:style>
  <w:style w:type="character" w:customStyle="1" w:styleId="229">
    <w:name w:val="批注文字 字符"/>
    <w:basedOn w:val="58"/>
    <w:link w:val="18"/>
    <w:qFormat/>
    <w:uiPriority w:val="0"/>
    <w:rPr>
      <w:kern w:val="2"/>
      <w:sz w:val="21"/>
    </w:rPr>
  </w:style>
  <w:style w:type="character" w:customStyle="1" w:styleId="230">
    <w:name w:val="批注主题 字符"/>
    <w:basedOn w:val="229"/>
    <w:link w:val="54"/>
    <w:qFormat/>
    <w:uiPriority w:val="0"/>
    <w:rPr>
      <w:b/>
      <w:bCs/>
      <w:kern w:val="2"/>
      <w:sz w:val="21"/>
      <w:szCs w:val="24"/>
    </w:rPr>
  </w:style>
  <w:style w:type="character" w:customStyle="1" w:styleId="231">
    <w:name w:val="一级条标题 Char1"/>
    <w:basedOn w:val="192"/>
    <w:qFormat/>
    <w:uiPriority w:val="0"/>
    <w:rPr>
      <w:rFonts w:ascii="黑体" w:eastAsia="黑体"/>
      <w:sz w:val="21"/>
    </w:rPr>
  </w:style>
  <w:style w:type="character" w:customStyle="1" w:styleId="232">
    <w:name w:val="producttext1"/>
    <w:qFormat/>
    <w:uiPriority w:val="0"/>
    <w:rPr>
      <w:rFonts w:hint="default" w:ascii="Arial" w:hAnsi="Arial" w:cs="Arial"/>
      <w:color w:val="000000"/>
      <w:sz w:val="17"/>
      <w:szCs w:val="17"/>
      <w:u w:val="none"/>
    </w:rPr>
  </w:style>
  <w:style w:type="paragraph" w:customStyle="1" w:styleId="233">
    <w:name w:val="Char"/>
    <w:basedOn w:val="1"/>
    <w:qFormat/>
    <w:uiPriority w:val="0"/>
    <w:pPr>
      <w:widowControl/>
      <w:spacing w:after="160" w:line="240" w:lineRule="exact"/>
      <w:jc w:val="left"/>
    </w:pPr>
    <w:rPr>
      <w:rFonts w:ascii="Arial" w:hAnsi="Arial" w:eastAsia="Times New Roman" w:cs="Verdana"/>
      <w:b/>
      <w:kern w:val="0"/>
      <w:sz w:val="24"/>
      <w:lang w:eastAsia="en-US"/>
    </w:rPr>
  </w:style>
  <w:style w:type="character" w:customStyle="1" w:styleId="234">
    <w:name w:val="三级条标题 Char"/>
    <w:basedOn w:val="194"/>
    <w:link w:val="85"/>
    <w:qFormat/>
    <w:uiPriority w:val="0"/>
    <w:rPr>
      <w:rFonts w:ascii="黑体" w:eastAsia="黑体"/>
      <w:sz w:val="21"/>
      <w:szCs w:val="21"/>
    </w:rPr>
  </w:style>
  <w:style w:type="paragraph" w:customStyle="1" w:styleId="235">
    <w:name w:val="Char1"/>
    <w:basedOn w:val="1"/>
    <w:qFormat/>
    <w:uiPriority w:val="0"/>
    <w:pPr>
      <w:widowControl/>
      <w:spacing w:after="160" w:line="240" w:lineRule="exact"/>
      <w:jc w:val="left"/>
    </w:pPr>
    <w:rPr>
      <w:rFonts w:ascii="Arial" w:hAnsi="Arial" w:eastAsia="Times New Roman" w:cs="Verdana"/>
      <w:b/>
      <w:kern w:val="0"/>
      <w:sz w:val="24"/>
      <w:lang w:eastAsia="en-US"/>
    </w:rPr>
  </w:style>
  <w:style w:type="character" w:customStyle="1" w:styleId="236">
    <w:name w:val="封面标准英文名称 Char"/>
    <w:link w:val="113"/>
    <w:qFormat/>
    <w:uiPriority w:val="0"/>
    <w:rPr>
      <w:rFonts w:eastAsia="黑体"/>
      <w:sz w:val="28"/>
      <w:szCs w:val="28"/>
    </w:rPr>
  </w:style>
  <w:style w:type="character" w:customStyle="1" w:styleId="237">
    <w:name w:val="附录二级条标题 Char"/>
    <w:basedOn w:val="212"/>
    <w:link w:val="123"/>
    <w:qFormat/>
    <w:uiPriority w:val="0"/>
    <w:rPr>
      <w:rFonts w:ascii="黑体" w:eastAsia="黑体"/>
      <w:kern w:val="21"/>
      <w:sz w:val="21"/>
      <w:lang w:val="en-US" w:eastAsia="zh-CN" w:bidi="ar-SA"/>
    </w:rPr>
  </w:style>
  <w:style w:type="character" w:customStyle="1" w:styleId="238">
    <w:name w:val="lineheigh201"/>
    <w:basedOn w:val="58"/>
    <w:qFormat/>
    <w:uiPriority w:val="0"/>
  </w:style>
  <w:style w:type="paragraph" w:customStyle="1" w:styleId="239">
    <w:name w:val="章"/>
    <w:basedOn w:val="1"/>
    <w:next w:val="41"/>
    <w:qFormat/>
    <w:uiPriority w:val="0"/>
    <w:pPr>
      <w:numPr>
        <w:ilvl w:val="0"/>
        <w:numId w:val="20"/>
      </w:numPr>
      <w:adjustRightInd w:val="0"/>
      <w:spacing w:before="160" w:after="160"/>
      <w:outlineLvl w:val="0"/>
    </w:pPr>
    <w:rPr>
      <w:rFonts w:ascii="黑体" w:eastAsia="黑体"/>
      <w:kern w:val="21"/>
      <w:szCs w:val="20"/>
    </w:rPr>
  </w:style>
  <w:style w:type="paragraph" w:customStyle="1" w:styleId="240">
    <w:name w:val="条1"/>
    <w:basedOn w:val="1"/>
    <w:next w:val="41"/>
    <w:qFormat/>
    <w:uiPriority w:val="0"/>
    <w:pPr>
      <w:numPr>
        <w:ilvl w:val="1"/>
        <w:numId w:val="20"/>
      </w:numPr>
      <w:outlineLvl w:val="1"/>
    </w:pPr>
    <w:rPr>
      <w:rFonts w:ascii="黑体" w:eastAsia="黑体"/>
      <w:kern w:val="21"/>
      <w:szCs w:val="20"/>
    </w:rPr>
  </w:style>
  <w:style w:type="paragraph" w:customStyle="1" w:styleId="241">
    <w:name w:val="条2"/>
    <w:basedOn w:val="1"/>
    <w:next w:val="41"/>
    <w:qFormat/>
    <w:uiPriority w:val="0"/>
    <w:pPr>
      <w:numPr>
        <w:ilvl w:val="2"/>
        <w:numId w:val="20"/>
      </w:numPr>
      <w:outlineLvl w:val="1"/>
    </w:pPr>
    <w:rPr>
      <w:rFonts w:ascii="黑体" w:eastAsia="黑体"/>
      <w:kern w:val="21"/>
      <w:szCs w:val="20"/>
    </w:rPr>
  </w:style>
  <w:style w:type="paragraph" w:customStyle="1" w:styleId="242">
    <w:name w:val="条3"/>
    <w:basedOn w:val="1"/>
    <w:next w:val="41"/>
    <w:qFormat/>
    <w:uiPriority w:val="0"/>
    <w:pPr>
      <w:numPr>
        <w:ilvl w:val="3"/>
        <w:numId w:val="20"/>
      </w:numPr>
      <w:outlineLvl w:val="1"/>
    </w:pPr>
    <w:rPr>
      <w:rFonts w:ascii="黑体" w:eastAsia="黑体"/>
      <w:kern w:val="21"/>
      <w:szCs w:val="20"/>
    </w:rPr>
  </w:style>
  <w:style w:type="paragraph" w:customStyle="1" w:styleId="243">
    <w:name w:val="条4"/>
    <w:basedOn w:val="1"/>
    <w:next w:val="41"/>
    <w:qFormat/>
    <w:uiPriority w:val="0"/>
    <w:pPr>
      <w:numPr>
        <w:ilvl w:val="4"/>
        <w:numId w:val="20"/>
      </w:numPr>
      <w:outlineLvl w:val="1"/>
    </w:pPr>
    <w:rPr>
      <w:rFonts w:ascii="黑体" w:eastAsia="黑体"/>
      <w:kern w:val="21"/>
      <w:szCs w:val="20"/>
    </w:rPr>
  </w:style>
  <w:style w:type="paragraph" w:customStyle="1" w:styleId="244">
    <w:name w:val="条5"/>
    <w:basedOn w:val="1"/>
    <w:next w:val="41"/>
    <w:qFormat/>
    <w:uiPriority w:val="0"/>
    <w:pPr>
      <w:numPr>
        <w:ilvl w:val="5"/>
        <w:numId w:val="20"/>
      </w:numPr>
      <w:outlineLvl w:val="1"/>
    </w:pPr>
    <w:rPr>
      <w:rFonts w:ascii="黑体" w:eastAsia="黑体"/>
      <w:kern w:val="21"/>
      <w:szCs w:val="20"/>
    </w:rPr>
  </w:style>
  <w:style w:type="paragraph" w:customStyle="1" w:styleId="245">
    <w:name w:val="标准表题"/>
    <w:basedOn w:val="1"/>
    <w:next w:val="41"/>
    <w:qFormat/>
    <w:uiPriority w:val="0"/>
    <w:pPr>
      <w:widowControl/>
      <w:jc w:val="center"/>
    </w:pPr>
    <w:rPr>
      <w:rFonts w:ascii="黑体" w:eastAsia="黑体"/>
      <w:kern w:val="21"/>
      <w:szCs w:val="20"/>
    </w:rPr>
  </w:style>
  <w:style w:type="character" w:customStyle="1" w:styleId="246">
    <w:name w:val="def3"/>
    <w:qFormat/>
    <w:uiPriority w:val="0"/>
  </w:style>
  <w:style w:type="paragraph" w:customStyle="1" w:styleId="247">
    <w:name w:val="p0"/>
    <w:basedOn w:val="1"/>
    <w:qFormat/>
    <w:uiPriority w:val="0"/>
    <w:pPr>
      <w:widowControl/>
    </w:pPr>
    <w:rPr>
      <w:kern w:val="0"/>
      <w:szCs w:val="21"/>
    </w:rPr>
  </w:style>
  <w:style w:type="paragraph" w:customStyle="1" w:styleId="248">
    <w:name w:val="列出段落1"/>
    <w:basedOn w:val="1"/>
    <w:qFormat/>
    <w:uiPriority w:val="0"/>
    <w:pPr>
      <w:ind w:firstLine="420" w:firstLineChars="200"/>
    </w:pPr>
    <w:rPr>
      <w:rFonts w:ascii="Calibri" w:hAnsi="Calibri"/>
      <w:szCs w:val="22"/>
    </w:rPr>
  </w:style>
  <w:style w:type="character" w:customStyle="1" w:styleId="249">
    <w:name w:val="注×： Char"/>
    <w:link w:val="92"/>
    <w:qFormat/>
    <w:uiPriority w:val="0"/>
    <w:rPr>
      <w:rFonts w:ascii="宋体"/>
      <w:sz w:val="18"/>
      <w:szCs w:val="18"/>
    </w:rPr>
  </w:style>
  <w:style w:type="character" w:customStyle="1" w:styleId="250">
    <w:name w:val="正文公式编号制表符 Char"/>
    <w:link w:val="161"/>
    <w:qFormat/>
    <w:uiPriority w:val="0"/>
    <w:rPr>
      <w:rFonts w:ascii="宋体"/>
      <w:sz w:val="21"/>
    </w:rPr>
  </w:style>
  <w:style w:type="character" w:customStyle="1" w:styleId="251">
    <w:name w:val="二级无 Char"/>
    <w:link w:val="97"/>
    <w:qFormat/>
    <w:locked/>
    <w:uiPriority w:val="99"/>
    <w:rPr>
      <w:rFonts w:ascii="宋体"/>
      <w:sz w:val="21"/>
      <w:szCs w:val="21"/>
    </w:rPr>
  </w:style>
  <w:style w:type="paragraph" w:styleId="252">
    <w:name w:val="List Paragraph"/>
    <w:basedOn w:val="1"/>
    <w:qFormat/>
    <w:uiPriority w:val="99"/>
    <w:pPr>
      <w:ind w:firstLine="420" w:firstLineChars="200"/>
    </w:pPr>
    <w:rPr>
      <w:rFonts w:ascii="Calibri" w:hAnsi="Calibri"/>
      <w:szCs w:val="22"/>
    </w:rPr>
  </w:style>
  <w:style w:type="character" w:customStyle="1" w:styleId="253">
    <w:name w:val="文档结构图 字符"/>
    <w:basedOn w:val="58"/>
    <w:link w:val="17"/>
    <w:qFormat/>
    <w:uiPriority w:val="0"/>
    <w:rPr>
      <w:kern w:val="2"/>
      <w:sz w:val="21"/>
      <w:szCs w:val="24"/>
      <w:shd w:val="clear" w:color="auto" w:fill="000080"/>
    </w:rPr>
  </w:style>
  <w:style w:type="character" w:customStyle="1" w:styleId="254">
    <w:name w:val="尾注文本 字符"/>
    <w:basedOn w:val="58"/>
    <w:link w:val="33"/>
    <w:qFormat/>
    <w:uiPriority w:val="0"/>
    <w:rPr>
      <w:kern w:val="2"/>
      <w:sz w:val="21"/>
      <w:szCs w:val="24"/>
    </w:rPr>
  </w:style>
  <w:style w:type="paragraph" w:customStyle="1" w:styleId="255">
    <w:name w:val="样式2"/>
    <w:basedOn w:val="214"/>
    <w:next w:val="214"/>
    <w:link w:val="257"/>
    <w:qFormat/>
    <w:uiPriority w:val="0"/>
    <w:pPr>
      <w:snapToGrid w:val="0"/>
      <w:spacing w:before="0" w:beforeLines="0" w:line="240" w:lineRule="auto"/>
      <w:ind w:right="210" w:rightChars="100" w:firstLine="0" w:firstLineChars="0"/>
      <w:jc w:val="right"/>
    </w:pPr>
  </w:style>
  <w:style w:type="character" w:customStyle="1" w:styleId="256">
    <w:name w:val="样式1 Char"/>
    <w:link w:val="214"/>
    <w:qFormat/>
    <w:uiPriority w:val="0"/>
    <w:rPr>
      <w:rFonts w:ascii="宋体" w:hAnsi="宋体"/>
      <w:bCs/>
      <w:kern w:val="2"/>
      <w:sz w:val="18"/>
      <w:szCs w:val="18"/>
      <w:lang w:val="zh-CN" w:eastAsia="zh-CN"/>
    </w:rPr>
  </w:style>
  <w:style w:type="character" w:customStyle="1" w:styleId="257">
    <w:name w:val="样式2 Char"/>
    <w:basedOn w:val="256"/>
    <w:link w:val="255"/>
    <w:qFormat/>
    <w:uiPriority w:val="0"/>
    <w:rPr>
      <w:rFonts w:ascii="宋体" w:hAnsi="宋体"/>
      <w:kern w:val="2"/>
      <w:sz w:val="18"/>
      <w:szCs w:val="18"/>
      <w:lang w:val="zh-CN" w:eastAsia="zh-CN"/>
    </w:rPr>
  </w:style>
  <w:style w:type="paragraph" w:customStyle="1" w:styleId="258">
    <w:name w:val="TOC 标题1"/>
    <w:basedOn w:val="2"/>
    <w:next w:val="1"/>
    <w:unhideWhenUsed/>
    <w:qFormat/>
    <w:uiPriority w:val="39"/>
    <w:pPr>
      <w:keepLines/>
      <w:widowControl/>
      <w:spacing w:before="480" w:line="276" w:lineRule="auto"/>
      <w:jc w:val="left"/>
      <w:outlineLvl w:val="9"/>
    </w:pPr>
    <w:rPr>
      <w:rFonts w:ascii="Cambria" w:hAnsi="Cambria" w:eastAsia="宋体"/>
      <w:bCs/>
      <w:color w:val="365F91"/>
      <w:kern w:val="0"/>
      <w:szCs w:val="28"/>
    </w:rPr>
  </w:style>
  <w:style w:type="character" w:customStyle="1" w:styleId="259">
    <w:name w:val="附录公式 Char Char"/>
    <w:qFormat/>
    <w:uiPriority w:val="0"/>
    <w:rPr>
      <w:rFonts w:ascii="宋体" w:hAnsi="Times New Roman"/>
      <w:sz w:val="21"/>
      <w:lang w:val="en-US" w:eastAsia="zh-CN" w:bidi="ar-SA"/>
    </w:rPr>
  </w:style>
  <w:style w:type="character" w:customStyle="1" w:styleId="260">
    <w:name w:val="首示例 Char Char"/>
    <w:qFormat/>
    <w:uiPriority w:val="0"/>
    <w:rPr>
      <w:rFonts w:ascii="宋体" w:hAnsi="宋体"/>
      <w:kern w:val="2"/>
      <w:sz w:val="18"/>
      <w:szCs w:val="18"/>
      <w:lang w:val="en-US" w:eastAsia="zh-CN" w:bidi="ar-SA"/>
    </w:rPr>
  </w:style>
  <w:style w:type="character" w:customStyle="1" w:styleId="261">
    <w:name w:val="short_text"/>
    <w:basedOn w:val="58"/>
    <w:qFormat/>
    <w:uiPriority w:val="0"/>
  </w:style>
  <w:style w:type="character" w:customStyle="1" w:styleId="262">
    <w:name w:val="short_text1"/>
    <w:qFormat/>
    <w:uiPriority w:val="0"/>
    <w:rPr>
      <w:sz w:val="26"/>
      <w:szCs w:val="26"/>
    </w:rPr>
  </w:style>
  <w:style w:type="paragraph" w:customStyle="1" w:styleId="263">
    <w:name w:val="表格内容"/>
    <w:basedOn w:val="41"/>
    <w:qFormat/>
    <w:uiPriority w:val="0"/>
    <w:pPr>
      <w:tabs>
        <w:tab w:val="clear" w:pos="4201"/>
        <w:tab w:val="clear" w:pos="9298"/>
      </w:tabs>
      <w:ind w:firstLine="0" w:firstLineChars="0"/>
      <w:jc w:val="center"/>
    </w:pPr>
    <w:rPr>
      <w:rFonts w:ascii="Times New Roman"/>
      <w:sz w:val="18"/>
    </w:rPr>
  </w:style>
  <w:style w:type="paragraph" w:customStyle="1" w:styleId="264">
    <w:name w:val="表格中文字"/>
    <w:qFormat/>
    <w:uiPriority w:val="0"/>
    <w:pPr>
      <w:numPr>
        <w:ilvl w:val="0"/>
        <w:numId w:val="21"/>
      </w:numPr>
      <w:tabs>
        <w:tab w:val="clear" w:pos="785"/>
      </w:tabs>
      <w:spacing w:line="300" w:lineRule="auto"/>
      <w:ind w:left="0" w:firstLine="0"/>
    </w:pPr>
    <w:rPr>
      <w:rFonts w:ascii="Times New Roman" w:hAnsi="Times New Roman" w:eastAsia="宋体" w:cs="Times New Roman"/>
      <w:sz w:val="18"/>
      <w:lang w:val="en-US" w:eastAsia="zh-CN" w:bidi="ar-SA"/>
    </w:rPr>
  </w:style>
  <w:style w:type="paragraph" w:customStyle="1" w:styleId="265">
    <w:name w:val="正文小项目"/>
    <w:basedOn w:val="1"/>
    <w:qFormat/>
    <w:uiPriority w:val="0"/>
    <w:pPr>
      <w:tabs>
        <w:tab w:val="left" w:pos="1200"/>
      </w:tabs>
      <w:adjustRightInd w:val="0"/>
      <w:spacing w:line="300" w:lineRule="auto"/>
      <w:ind w:left="1200" w:leftChars="400" w:hanging="360" w:hangingChars="200"/>
      <w:jc w:val="left"/>
    </w:pPr>
    <w:rPr>
      <w:kern w:val="0"/>
      <w:szCs w:val="20"/>
    </w:rPr>
  </w:style>
  <w:style w:type="paragraph" w:customStyle="1" w:styleId="266">
    <w:name w:val="附录条文"/>
    <w:qFormat/>
    <w:uiPriority w:val="0"/>
    <w:pPr>
      <w:ind w:firstLine="425"/>
    </w:pPr>
    <w:rPr>
      <w:rFonts w:ascii="宋体" w:hAnsi="宋体" w:eastAsia="宋体" w:cs="Times New Roman"/>
      <w:sz w:val="21"/>
      <w:lang w:val="en-US" w:eastAsia="zh-CN" w:bidi="ar-SA"/>
    </w:rPr>
  </w:style>
  <w:style w:type="paragraph" w:customStyle="1" w:styleId="267">
    <w:name w:val="Char Char2"/>
    <w:basedOn w:val="1"/>
    <w:qFormat/>
    <w:uiPriority w:val="0"/>
    <w:pPr>
      <w:widowControl/>
      <w:spacing w:after="160" w:line="240" w:lineRule="exact"/>
      <w:jc w:val="left"/>
    </w:pPr>
    <w:rPr>
      <w:rFonts w:ascii="Verdana" w:hAnsi="Verdana"/>
      <w:kern w:val="0"/>
      <w:sz w:val="20"/>
      <w:szCs w:val="20"/>
      <w:lang w:eastAsia="en-US"/>
    </w:rPr>
  </w:style>
  <w:style w:type="paragraph" w:customStyle="1" w:styleId="268">
    <w:name w:val="目次附录6"/>
    <w:basedOn w:val="1"/>
    <w:next w:val="1"/>
    <w:qFormat/>
    <w:uiPriority w:val="0"/>
    <w:pPr>
      <w:spacing w:line="300" w:lineRule="auto"/>
      <w:ind w:left="1140"/>
      <w:jc w:val="left"/>
    </w:pPr>
    <w:rPr>
      <w:kern w:val="0"/>
      <w:szCs w:val="20"/>
    </w:rPr>
  </w:style>
  <w:style w:type="paragraph" w:customStyle="1" w:styleId="269">
    <w:name w:val="修订1"/>
    <w:qFormat/>
    <w:uiPriority w:val="99"/>
    <w:rPr>
      <w:rFonts w:ascii="Times New Roman" w:hAnsi="Times New Roman" w:eastAsia="宋体" w:cs="Times New Roman"/>
      <w:kern w:val="2"/>
      <w:sz w:val="21"/>
      <w:lang w:val="en-US" w:eastAsia="zh-CN" w:bidi="ar-SA"/>
    </w:rPr>
  </w:style>
  <w:style w:type="paragraph" w:customStyle="1" w:styleId="270">
    <w:name w:val="编制说明1"/>
    <w:next w:val="1"/>
    <w:qFormat/>
    <w:uiPriority w:val="0"/>
    <w:pPr>
      <w:jc w:val="center"/>
      <w:outlineLvl w:val="0"/>
    </w:pPr>
    <w:rPr>
      <w:rFonts w:ascii="宋体" w:hAnsi="Times New Roman" w:eastAsia="宋体" w:cs="Times New Roman"/>
      <w:sz w:val="30"/>
      <w:lang w:val="en-US" w:eastAsia="zh-CN" w:bidi="ar-SA"/>
    </w:rPr>
  </w:style>
  <w:style w:type="character" w:customStyle="1" w:styleId="271">
    <w:name w:val="一级条标题 Char Char"/>
    <w:qFormat/>
    <w:uiPriority w:val="0"/>
    <w:rPr>
      <w:rFonts w:ascii="黑体" w:hAnsi="Times New Roman" w:eastAsia="黑体"/>
      <w:sz w:val="21"/>
      <w:szCs w:val="21"/>
      <w:lang w:bidi="ar-SA"/>
    </w:rPr>
  </w:style>
  <w:style w:type="character" w:customStyle="1" w:styleId="272">
    <w:name w:val="二级条标题 Char Char"/>
    <w:qFormat/>
    <w:uiPriority w:val="0"/>
    <w:rPr>
      <w:rFonts w:ascii="黑体" w:hAnsi="Times New Roman" w:eastAsia="黑体"/>
      <w:sz w:val="21"/>
      <w:szCs w:val="21"/>
      <w:lang w:val="zh-CN" w:eastAsia="zh-CN"/>
    </w:rPr>
  </w:style>
  <w:style w:type="character" w:customStyle="1" w:styleId="273">
    <w:name w:val="正文文本缩进 Char1"/>
    <w:semiHidden/>
    <w:qFormat/>
    <w:uiPriority w:val="99"/>
    <w:rPr>
      <w:rFonts w:ascii="Times New Roman" w:hAnsi="Times New Roman"/>
      <w:kern w:val="2"/>
      <w:sz w:val="21"/>
      <w:szCs w:val="24"/>
    </w:rPr>
  </w:style>
  <w:style w:type="paragraph" w:customStyle="1" w:styleId="274">
    <w:name w:val="p15"/>
    <w:basedOn w:val="1"/>
    <w:qFormat/>
    <w:uiPriority w:val="0"/>
    <w:pPr>
      <w:widowControl/>
      <w:ind w:firstLine="420"/>
    </w:pPr>
    <w:rPr>
      <w:rFonts w:ascii="宋体" w:hAnsi="宋体" w:cs="宋体"/>
      <w:kern w:val="0"/>
      <w:szCs w:val="21"/>
    </w:rPr>
  </w:style>
  <w:style w:type="paragraph" w:customStyle="1" w:styleId="275">
    <w:name w:val="_Style 24"/>
    <w:basedOn w:val="1"/>
    <w:qFormat/>
    <w:uiPriority w:val="0"/>
    <w:pPr>
      <w:adjustRightInd w:val="0"/>
      <w:spacing w:line="360" w:lineRule="auto"/>
    </w:pPr>
  </w:style>
  <w:style w:type="character" w:customStyle="1" w:styleId="276">
    <w:name w:val="apple-converted-space"/>
    <w:basedOn w:val="58"/>
    <w:qFormat/>
    <w:uiPriority w:val="0"/>
  </w:style>
  <w:style w:type="paragraph" w:customStyle="1" w:styleId="277">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278">
    <w:name w:val="注释标题 字符"/>
    <w:basedOn w:val="58"/>
    <w:link w:val="13"/>
    <w:qFormat/>
    <w:uiPriority w:val="0"/>
    <w:rPr>
      <w:kern w:val="2"/>
      <w:sz w:val="21"/>
      <w:lang w:val="zh-CN" w:eastAsia="zh-CN"/>
    </w:rPr>
  </w:style>
  <w:style w:type="character" w:customStyle="1" w:styleId="279">
    <w:name w:val="high-light-bg4"/>
    <w:basedOn w:val="58"/>
    <w:qFormat/>
    <w:uiPriority w:val="0"/>
  </w:style>
  <w:style w:type="paragraph" w:customStyle="1" w:styleId="280">
    <w:name w:val="TOC 标题11"/>
    <w:basedOn w:val="2"/>
    <w:next w:val="1"/>
    <w:unhideWhenUsed/>
    <w:qFormat/>
    <w:uiPriority w:val="39"/>
    <w:pPr>
      <w:keepLines/>
      <w:widowControl/>
      <w:spacing w:before="480" w:line="276" w:lineRule="auto"/>
      <w:jc w:val="left"/>
      <w:outlineLvl w:val="9"/>
    </w:pPr>
    <w:rPr>
      <w:rFonts w:ascii="Cambria" w:hAnsi="Cambria" w:eastAsia="宋体"/>
      <w:bCs/>
      <w:color w:val="366091"/>
      <w:kern w:val="0"/>
      <w:szCs w:val="28"/>
      <w:lang w:val="en-US"/>
    </w:rPr>
  </w:style>
  <w:style w:type="paragraph" w:customStyle="1" w:styleId="281">
    <w:name w:val="Table Body"/>
    <w:basedOn w:val="1"/>
    <w:qFormat/>
    <w:uiPriority w:val="0"/>
    <w:pPr>
      <w:widowControl/>
      <w:spacing w:before="80" w:after="80"/>
      <w:jc w:val="left"/>
    </w:pPr>
    <w:rPr>
      <w:rFonts w:ascii="Calibri" w:hAnsi="Calibri"/>
      <w:snapToGrid w:val="0"/>
      <w:kern w:val="0"/>
      <w:sz w:val="18"/>
      <w:szCs w:val="20"/>
    </w:rPr>
  </w:style>
  <w:style w:type="character" w:customStyle="1" w:styleId="282">
    <w:name w:val="fontstyle01"/>
    <w:basedOn w:val="58"/>
    <w:qFormat/>
    <w:uiPriority w:val="0"/>
    <w:rPr>
      <w:rFonts w:hint="default" w:ascii="CIDFont+F4" w:hAnsi="CIDFont+F4"/>
      <w:color w:val="000000"/>
      <w:sz w:val="22"/>
      <w:szCs w:val="22"/>
    </w:rPr>
  </w:style>
  <w:style w:type="character" w:customStyle="1" w:styleId="283">
    <w:name w:val="fontstyle21"/>
    <w:basedOn w:val="58"/>
    <w:qFormat/>
    <w:uiPriority w:val="0"/>
    <w:rPr>
      <w:rFonts w:hint="default" w:ascii="CIDFont+F5" w:hAnsi="CIDFont+F5"/>
      <w:color w:val="000000"/>
      <w:sz w:val="22"/>
      <w:szCs w:val="22"/>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2.png"/><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glossaryDocument" Target="glossary/document.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wmf"/><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11"/>
        <w:style w:val=""/>
        <w:category>
          <w:name w:val="常规"/>
          <w:gallery w:val="placeholder"/>
        </w:category>
        <w:types>
          <w:type w:val="bbPlcHdr"/>
        </w:types>
        <w:behaviors>
          <w:behavior w:val="content"/>
        </w:behaviors>
        <w:description w:val=""/>
        <w:guid w:val="{028989F2-0355-49D4-BDA6-4D56B5D374C0}"/>
      </w:docPartPr>
      <w:docPartBody>
        <w:p w14:paraId="5F84B116">
          <w:pPr>
            <w:pStyle w:val="5"/>
          </w:pPr>
          <w:r>
            <w:rPr>
              <w:rStyle w:val="4"/>
              <w:rFonts w:hint="eastAsia"/>
            </w:rPr>
            <w:t>标准名称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13A"/>
    <w:rsid w:val="0002647A"/>
    <w:rsid w:val="0002653F"/>
    <w:rsid w:val="00080DE3"/>
    <w:rsid w:val="00087E40"/>
    <w:rsid w:val="000C73CF"/>
    <w:rsid w:val="001132F9"/>
    <w:rsid w:val="00114ABC"/>
    <w:rsid w:val="0018490C"/>
    <w:rsid w:val="001C16E0"/>
    <w:rsid w:val="001E5E6E"/>
    <w:rsid w:val="002068C7"/>
    <w:rsid w:val="00314316"/>
    <w:rsid w:val="00323E80"/>
    <w:rsid w:val="003372E5"/>
    <w:rsid w:val="003750AF"/>
    <w:rsid w:val="003B2D6A"/>
    <w:rsid w:val="003C1EE5"/>
    <w:rsid w:val="00407AFD"/>
    <w:rsid w:val="00430F92"/>
    <w:rsid w:val="004643B7"/>
    <w:rsid w:val="004656E7"/>
    <w:rsid w:val="004B0104"/>
    <w:rsid w:val="004E6AFF"/>
    <w:rsid w:val="004F113A"/>
    <w:rsid w:val="004F1EC5"/>
    <w:rsid w:val="00515A81"/>
    <w:rsid w:val="005335DD"/>
    <w:rsid w:val="0056585B"/>
    <w:rsid w:val="00595E09"/>
    <w:rsid w:val="005B6EC1"/>
    <w:rsid w:val="00657AE0"/>
    <w:rsid w:val="00674FBA"/>
    <w:rsid w:val="006A4867"/>
    <w:rsid w:val="006A7893"/>
    <w:rsid w:val="006C2F65"/>
    <w:rsid w:val="006D02E4"/>
    <w:rsid w:val="007216E9"/>
    <w:rsid w:val="007C6ACB"/>
    <w:rsid w:val="007E2797"/>
    <w:rsid w:val="00800293"/>
    <w:rsid w:val="00820E7E"/>
    <w:rsid w:val="0087556A"/>
    <w:rsid w:val="008B3979"/>
    <w:rsid w:val="008C53AF"/>
    <w:rsid w:val="008E024D"/>
    <w:rsid w:val="008F0268"/>
    <w:rsid w:val="00902EF8"/>
    <w:rsid w:val="00982DAC"/>
    <w:rsid w:val="009A1DF2"/>
    <w:rsid w:val="009B054C"/>
    <w:rsid w:val="009B16B1"/>
    <w:rsid w:val="00A41B6A"/>
    <w:rsid w:val="00A94E45"/>
    <w:rsid w:val="00AA204A"/>
    <w:rsid w:val="00AD6808"/>
    <w:rsid w:val="00B17039"/>
    <w:rsid w:val="00B717AC"/>
    <w:rsid w:val="00BC67AA"/>
    <w:rsid w:val="00C124FA"/>
    <w:rsid w:val="00C54182"/>
    <w:rsid w:val="00C64D0F"/>
    <w:rsid w:val="00C75994"/>
    <w:rsid w:val="00C875D2"/>
    <w:rsid w:val="00CB0162"/>
    <w:rsid w:val="00CB0B2B"/>
    <w:rsid w:val="00CE7608"/>
    <w:rsid w:val="00D06D66"/>
    <w:rsid w:val="00D3040F"/>
    <w:rsid w:val="00D4454B"/>
    <w:rsid w:val="00D65DD7"/>
    <w:rsid w:val="00DA4409"/>
    <w:rsid w:val="00E14CD4"/>
    <w:rsid w:val="00E33098"/>
    <w:rsid w:val="00E425EC"/>
    <w:rsid w:val="00E462C3"/>
    <w:rsid w:val="00E53957"/>
    <w:rsid w:val="00E95A08"/>
    <w:rsid w:val="00EA15BD"/>
    <w:rsid w:val="00EA32AC"/>
    <w:rsid w:val="00EC2756"/>
    <w:rsid w:val="00F30F69"/>
    <w:rsid w:val="00F5102A"/>
    <w:rsid w:val="00F93653"/>
    <w:rsid w:val="00F96136"/>
    <w:rsid w:val="00FF0B73"/>
    <w:rsid w:val="00FF0E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cs="Times New Roman" w:asciiTheme="minorHAnsi" w:hAnsiTheme="minorHAnsi" w:eastAsiaTheme="minorEastAsia"/>
      <w:kern w:val="2"/>
      <w:sz w:val="3276"/>
      <w:szCs w:val="3276"/>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1112"/>
    <w:qFormat/>
    <w:uiPriority w:val="0"/>
    <w:pPr>
      <w:keepNext/>
      <w:pageBreakBefore/>
      <w:shd w:val="clear" w:color="FFFFFF" w:fill="FFFFFF"/>
      <w:spacing w:before="640" w:after="560" w:line="460" w:lineRule="exact"/>
      <w:jc w:val="center"/>
      <w:outlineLvl w:val="0"/>
    </w:pPr>
    <w:rPr>
      <w:rFonts w:ascii="黑体" w:hAnsi="Times New Roman" w:eastAsia="黑体" w:cs="Times New Roman"/>
      <w:sz w:val="3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zle</Company>
  <Pages>17</Pages>
  <Words>5641</Words>
  <Characters>6944</Characters>
  <Lines>86</Lines>
  <Paragraphs>24</Paragraphs>
  <TotalTime>1</TotalTime>
  <ScaleCrop>false</ScaleCrop>
  <LinksUpToDate>false</LinksUpToDate>
  <CharactersWithSpaces>7216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2022-07-31T01:08:00Z</dcterms:created>
  <dc:creator>CNIS;阿基里斯赵建明</dc:creator>
  <cp:lastModifiedBy>Administrator</cp:lastModifiedBy>
  <dcterms:modified xsi:type="dcterms:W3CDTF">2025-03-13T00:58:04Z</dcterms:modified>
  <dc:title>标准名称</dc:title>
  <cp:revision>168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306335B2AED648DFB1329E1EFC595F77_13</vt:lpwstr>
  </property>
  <property fmtid="{D5CDD505-2E9C-101B-9397-08002B2CF9AE}" pid="4" name="KSOTemplateDocerSaveRecord">
    <vt:lpwstr>eyJoZGlkIjoiYjI4ZGU5YmUxZTE0MzAxYTg1Nzk5OWFmZTAzZmQ5ZTkifQ==</vt:lpwstr>
  </property>
</Properties>
</file>