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0C30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ICS 83.080.01</w:t>
      </w:r>
      <w:bookmarkStart w:id="43" w:name="_GoBack"/>
      <w:bookmarkEnd w:id="43"/>
      <w:r>
        <w:rPr>
          <w:rFonts w:hint="eastAsia" w:ascii="黑体" w:hAnsi="黑体" w:eastAsia="黑体" w:cs="黑体"/>
          <w:lang w:val="en-US" w:eastAsia="zh-CN"/>
        </w:rPr>
        <w:t xml:space="preserve"> </w:t>
      </w:r>
    </w:p>
    <w:p w14:paraId="69FD03C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黑体" w:hAnsi="黑体" w:eastAsia="黑体" w:cs="黑体"/>
          <w:lang w:val="en-US" w:eastAsia="zh-CN"/>
        </w:rPr>
      </w:pPr>
      <w:r>
        <w:rPr>
          <w:rFonts w:hint="eastAsia" w:ascii="黑体" w:hAnsi="黑体" w:eastAsia="黑体" w:cs="黑体"/>
          <w:lang w:val="en-US" w:eastAsia="zh-CN"/>
        </w:rPr>
        <w:t>CCS</w:t>
      </w:r>
    </w:p>
    <w:p w14:paraId="13009E67"/>
    <w:p w14:paraId="2F4D6380"/>
    <w:p w14:paraId="6F71F39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团     体    标    准</w:t>
      </w:r>
    </w:p>
    <w:p w14:paraId="02E407EE">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T/HN·PIA 06-2025</w:t>
      </w:r>
    </w:p>
    <w:p w14:paraId="7A6E22BD">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lang w:val="en-US" w:eastAsia="zh-CN"/>
        </w:rPr>
      </w:pPr>
      <w:r>
        <w:rPr>
          <w:rFonts w:hint="eastAsia" w:ascii="黑体" w:hAnsi="黑体" w:eastAsia="黑体" w:cs="黑体"/>
          <w:lang w:val="en-US" w:eastAsia="zh-CN"/>
        </w:rPr>
        <w:t>T/GDPIA 72-2025</w:t>
      </w:r>
    </w:p>
    <w:p w14:paraId="09F87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0288" behindDoc="1" locked="0" layoutInCell="1" allowOverlap="0">
                <wp:simplePos x="0" y="0"/>
                <wp:positionH relativeFrom="page">
                  <wp:posOffset>737235</wp:posOffset>
                </wp:positionH>
                <wp:positionV relativeFrom="page">
                  <wp:posOffset>3068320</wp:posOffset>
                </wp:positionV>
                <wp:extent cx="612013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05pt;margin-top:241.6pt;height:0pt;width:481.9pt;mso-position-horizontal-relative:page;mso-position-vertical-relative:page;z-index:-251656192;mso-width-relative:page;mso-height-relative:page;" filled="f" stroked="t" coordsize="21600,21600" o:allowoverlap="f" o:gfxdata="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Sca62AAAAAwB&#10;AAAPAAAAAAAAAAEAIAAAACIAAABkcnMvZG93bnJldi54bWxQSwECFAAUAAAACACHTuJATdRXBOIB&#10;AACqAwAADgAAAAAAAAABACAAAAAnAQAAZHJzL2Uyb0RvYy54bWxQSwUGAAAAAAYABgBZAQAAewUA&#10;AAAA&#10;">
                <v:fill on="f" focussize="0,0"/>
                <v:stroke color="#000000" joinstyle="round"/>
                <v:imagedata o:title=""/>
                <o:lock v:ext="edit" aspectratio="f"/>
              </v:line>
            </w:pict>
          </mc:Fallback>
        </mc:AlternateContent>
      </w:r>
    </w:p>
    <w:p w14:paraId="645D49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sz w:val="84"/>
          <w:szCs w:val="84"/>
          <w:lang w:val="en-US" w:eastAsia="zh-CN"/>
        </w:rPr>
      </w:pPr>
    </w:p>
    <w:p w14:paraId="5317CA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全生物降解塑料购物袋类使用的改性料</w:t>
      </w:r>
    </w:p>
    <w:p w14:paraId="1A0DA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Modified of Total Biodegradable Plastic For Shopping Bags</w:t>
      </w:r>
    </w:p>
    <w:p w14:paraId="7964C3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4F576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CFA2C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5F583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62F13D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9D44B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E7916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2FFF90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B4A74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45E7D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CAEF6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27D8A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87E8F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08DEF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553A13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4DE0A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1560B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64CE44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78F526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3DC093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rPr>
      </w:pPr>
    </w:p>
    <w:p w14:paraId="019567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黑体" w:hAnsi="黑体" w:eastAsia="黑体" w:cs="黑体"/>
          <w:szCs w:val="28"/>
        </w:rPr>
      </w:pPr>
      <w:r>
        <w:rPr>
          <w:rFonts w:hint="eastAsia" w:ascii="黑体" w:hAnsi="黑体" w:eastAsia="黑体" w:cs="黑体"/>
          <w:szCs w:val="28"/>
          <w:lang w:val="en-US" w:eastAsia="zh-CN"/>
        </w:rPr>
        <w:t>2025-XX-XX发布                                                         2025-XX-XX实施</w:t>
      </w:r>
    </w:p>
    <w:p w14:paraId="6AE92BA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黑体" w:cs="Times New Roman"/>
          <w:szCs w:val="28"/>
          <w:lang w:val="en-US" w:eastAsia="zh-CN"/>
        </w:rPr>
      </w:pPr>
      <w:r>
        <w:rPr>
          <w:rFonts w:hint="default" w:ascii="Times New Roman" w:hAnsi="Times New Roman" w:eastAsia="黑体" w:cs="Times New Roman"/>
          <w:b/>
          <w:bCs/>
          <w:kern w:val="0"/>
          <w:sz w:val="52"/>
          <w:szCs w:val="52"/>
        </w:rPr>
        <mc:AlternateContent>
          <mc:Choice Requires="wps">
            <w:drawing>
              <wp:anchor distT="0" distB="0" distL="114300" distR="114300" simplePos="0" relativeHeight="251661312" behindDoc="1" locked="0" layoutInCell="1" allowOverlap="0">
                <wp:simplePos x="0" y="0"/>
                <wp:positionH relativeFrom="page">
                  <wp:posOffset>758825</wp:posOffset>
                </wp:positionH>
                <wp:positionV relativeFrom="page">
                  <wp:posOffset>9284335</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75pt;margin-top:731.05pt;height:0pt;width:481.9pt;mso-position-horizontal-relative:page;mso-position-vertical-relative:page;z-index:-251655168;mso-width-relative:page;mso-height-relative:page;" filled="f" stroked="t" coordsize="21600,21600" o:allowoverlap="f" o:gfxdata="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PdHstgAAAAO&#10;AQAADwAAAAAAAAABACAAAAAiAAAAZHJzL2Rvd25yZXYueG1sUEsBAhQAFAAAAAgAh07iQJlfVKDj&#10;AQAAqgMAAA4AAAAAAAAAAQAgAAAAJwEAAGRycy9lMm9Eb2MueG1sUEsFBgAAAAAGAAYAWQEAAHwF&#10;AAAAAA==&#10;">
                <v:fill on="f" focussize="0,0"/>
                <v:stroke color="#000000" joinstyle="round"/>
                <v:imagedata o:title=""/>
                <o:lock v:ext="edit" aspectratio="f"/>
              </v:line>
            </w:pict>
          </mc:Fallback>
        </mc:AlternateContent>
      </w:r>
    </w:p>
    <w:p w14:paraId="5B01CCC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海南省塑料行业协会   </w:t>
      </w:r>
    </w:p>
    <w:p w14:paraId="3328DFA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 xml:space="preserve">                            发布</w:t>
      </w:r>
    </w:p>
    <w:p w14:paraId="1828B3A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黑体" w:cs="Times New Roman"/>
          <w:sz w:val="28"/>
          <w:szCs w:val="28"/>
          <w:lang w:val="en-US" w:eastAsia="zh-CN"/>
        </w:rPr>
        <w:sectPr>
          <w:pgSz w:w="11906" w:h="16838"/>
          <w:pgMar w:top="850" w:right="1417" w:bottom="850" w:left="1417" w:header="851" w:footer="992" w:gutter="0"/>
          <w:cols w:space="425" w:num="1"/>
          <w:docGrid w:type="lines" w:linePitch="312" w:charSpace="0"/>
        </w:sectPr>
      </w:pPr>
      <w:r>
        <w:rPr>
          <w:rFonts w:hint="eastAsia" w:ascii="Times New Roman" w:hAnsi="Times New Roman" w:eastAsia="黑体" w:cs="Times New Roman"/>
          <w:sz w:val="28"/>
          <w:szCs w:val="28"/>
          <w:lang w:val="en-US" w:eastAsia="zh-CN"/>
        </w:rPr>
        <w:t>广东省塑料工业协会</w:t>
      </w:r>
    </w:p>
    <w:sdt>
      <w:sdtPr>
        <w:rPr>
          <w:rFonts w:ascii="Times New Roman" w:hAnsi="Calibri" w:eastAsia="宋体"/>
          <w:b/>
          <w:bCs/>
          <w:kern w:val="2"/>
          <w:sz w:val="21"/>
          <w:szCs w:val="24"/>
          <w:lang w:val="zh-CN"/>
        </w:rPr>
        <w:id w:val="1387377525"/>
        <w:docPartObj>
          <w:docPartGallery w:val="Table of Contents"/>
          <w:docPartUnique/>
        </w:docPartObj>
      </w:sdtPr>
      <w:sdtEndPr>
        <w:rPr>
          <w:rFonts w:ascii="黑体" w:hAnsi="Calibri" w:eastAsia="黑体"/>
          <w:b w:val="0"/>
          <w:bCs w:val="0"/>
          <w:kern w:val="0"/>
          <w:sz w:val="32"/>
          <w:szCs w:val="20"/>
          <w:lang w:val="zh-CN"/>
        </w:rPr>
      </w:sdtEndPr>
      <w:sdtContent>
        <w:p w14:paraId="2138A58C">
          <w:pPr>
            <w:pStyle w:val="7"/>
            <w:spacing w:after="360"/>
          </w:pPr>
          <w:bookmarkStart w:id="0" w:name="_Toc17041"/>
          <w:r>
            <w:rPr>
              <w:lang w:val="zh-CN"/>
            </w:rPr>
            <w:t>目录</w:t>
          </w:r>
          <w:bookmarkEnd w:id="0"/>
        </w:p>
        <w:p w14:paraId="1533B67E">
          <w:pPr>
            <w:pStyle w:val="4"/>
            <w:tabs>
              <w:tab w:val="right" w:leader="dot" w:pos="9354"/>
            </w:tabs>
          </w:pPr>
          <w:r>
            <w:rPr>
              <w:rFonts w:asciiTheme="minorHAnsi" w:hAnsiTheme="minorHAnsi" w:eastAsiaTheme="minorEastAsia" w:cstheme="minorBidi"/>
              <w:sz w:val="22"/>
              <w:szCs w:val="22"/>
            </w:rPr>
            <w:fldChar w:fldCharType="begin"/>
          </w:r>
          <w:r>
            <w:instrText xml:space="preserve"> TOC \o "1-3" \h \z \u </w:instrText>
          </w:r>
          <w:r>
            <w:rPr>
              <w:rFonts w:asciiTheme="minorHAnsi" w:hAnsiTheme="minorHAnsi" w:eastAsiaTheme="minorEastAsia" w:cstheme="minorBidi"/>
              <w:sz w:val="22"/>
              <w:szCs w:val="22"/>
            </w:rPr>
            <w:fldChar w:fldCharType="separate"/>
          </w:r>
          <w:r>
            <w:fldChar w:fldCharType="begin"/>
          </w:r>
          <w:r>
            <w:instrText xml:space="preserve"> HYPERLINK \l "_Toc23186" </w:instrText>
          </w:r>
          <w:r>
            <w:fldChar w:fldCharType="separate"/>
          </w:r>
          <w:r>
            <w:rPr>
              <w:rFonts w:hint="eastAsia"/>
              <w:bCs/>
            </w:rPr>
            <w:t>前言</w:t>
          </w:r>
          <w:r>
            <w:fldChar w:fldCharType="end"/>
          </w:r>
          <w:r>
            <w:tab/>
          </w:r>
          <w:r>
            <w:fldChar w:fldCharType="begin"/>
          </w:r>
          <w:r>
            <w:instrText xml:space="preserve"> PAGEREF _Toc6715 \h </w:instrText>
          </w:r>
          <w:r>
            <w:fldChar w:fldCharType="separate"/>
          </w:r>
          <w:r>
            <w:t>1</w:t>
          </w:r>
          <w:r>
            <w:fldChar w:fldCharType="end"/>
          </w:r>
        </w:p>
        <w:p w14:paraId="7BECAFF3">
          <w:pPr>
            <w:pStyle w:val="4"/>
            <w:tabs>
              <w:tab w:val="right" w:leader="dot" w:pos="9354"/>
            </w:tabs>
          </w:pPr>
          <w:r>
            <w:fldChar w:fldCharType="begin"/>
          </w:r>
          <w:r>
            <w:instrText xml:space="preserve"> HYPERLINK \l "_Toc6715" </w:instrText>
          </w:r>
          <w:r>
            <w:fldChar w:fldCharType="separate"/>
          </w:r>
          <w:r>
            <w:rPr>
              <w:rFonts w:hint="eastAsia" w:ascii="黑体" w:eastAsia="黑体"/>
            </w:rPr>
            <w:t xml:space="preserve">1 </w:t>
          </w:r>
          <w:sdt>
            <w:sdtPr>
              <w:rPr>
                <w:rFonts w:hint="eastAsia"/>
              </w:rPr>
              <w:alias w:val="章标题-范围"/>
              <w:tag w:val="章标题"/>
              <w:id w:val="147479705"/>
              <w:lock w:val="sdtContentLocked"/>
              <w:placeholder>
                <w:docPart w:val="{c3af6e8d-0cca-43cd-b44d-0ee1978b6b06}"/>
              </w:placeholder>
              <w15:appearance w15:val="hidden"/>
            </w:sdtPr>
            <w:sdtEndPr>
              <w:rPr>
                <w:rFonts w:hint="eastAsia"/>
              </w:rPr>
            </w:sdtEndPr>
            <w:sdtContent>
              <w:r>
                <w:rPr>
                  <w:rFonts w:hint="eastAsia"/>
                </w:rPr>
                <w:t>范围</w:t>
              </w:r>
            </w:sdtContent>
          </w:sdt>
          <w:r>
            <w:tab/>
          </w:r>
          <w:r>
            <w:rPr>
              <w:rFonts w:hint="eastAsia"/>
              <w:lang w:val="en-US" w:eastAsia="zh-CN"/>
            </w:rPr>
            <w:t>2</w:t>
          </w:r>
          <w:r>
            <w:fldChar w:fldCharType="end"/>
          </w:r>
        </w:p>
        <w:p w14:paraId="4226F59D">
          <w:pPr>
            <w:pStyle w:val="4"/>
            <w:tabs>
              <w:tab w:val="right" w:leader="dot" w:pos="9354"/>
            </w:tabs>
          </w:pPr>
          <w:r>
            <w:fldChar w:fldCharType="begin"/>
          </w:r>
          <w:r>
            <w:instrText xml:space="preserve"> HYPERLINK \l "_Toc6886" </w:instrText>
          </w:r>
          <w:r>
            <w:fldChar w:fldCharType="separate"/>
          </w:r>
          <w:r>
            <w:rPr>
              <w:rFonts w:hint="eastAsia" w:ascii="黑体" w:eastAsia="黑体"/>
            </w:rPr>
            <w:t xml:space="preserve">2 </w:t>
          </w:r>
          <w:sdt>
            <w:sdtPr>
              <w:rPr>
                <w:rFonts w:hint="eastAsia"/>
              </w:rPr>
              <w:alias w:val="章标题-规范性引用文件"/>
              <w:tag w:val="章标题"/>
              <w:id w:val="147454565"/>
              <w:lock w:val="sdtContentLocked"/>
              <w:placeholder>
                <w:docPart w:val="{5db11d6f-70a0-41fe-a7a9-363a9d3de718}"/>
              </w:placeholder>
              <w15:appearance w15:val="hidden"/>
            </w:sdtPr>
            <w:sdtEndPr>
              <w:rPr>
                <w:rFonts w:hint="eastAsia"/>
              </w:rPr>
            </w:sdtEndPr>
            <w:sdtContent>
              <w:r>
                <w:rPr>
                  <w:rFonts w:hint="eastAsia"/>
                </w:rPr>
                <w:t>规范性引用文件</w:t>
              </w:r>
            </w:sdtContent>
          </w:sdt>
          <w:r>
            <w:tab/>
          </w:r>
          <w:r>
            <w:rPr>
              <w:rFonts w:hint="eastAsia"/>
              <w:lang w:val="en-US" w:eastAsia="zh-CN"/>
            </w:rPr>
            <w:t>2</w:t>
          </w:r>
          <w:r>
            <w:fldChar w:fldCharType="end"/>
          </w:r>
        </w:p>
        <w:p w14:paraId="6BA95715">
          <w:pPr>
            <w:pStyle w:val="4"/>
            <w:tabs>
              <w:tab w:val="right" w:leader="dot" w:pos="9354"/>
            </w:tabs>
          </w:pPr>
          <w:r>
            <w:fldChar w:fldCharType="begin"/>
          </w:r>
          <w:r>
            <w:instrText xml:space="preserve"> HYPERLINK \l "_Toc12225" </w:instrText>
          </w:r>
          <w:r>
            <w:fldChar w:fldCharType="separate"/>
          </w:r>
          <w:r>
            <w:rPr>
              <w:rFonts w:hint="eastAsia" w:ascii="黑体" w:eastAsia="黑体"/>
            </w:rPr>
            <w:t xml:space="preserve">3 </w:t>
          </w:r>
          <w:sdt>
            <w:sdtPr>
              <w:alias w:val="章标题-术语和定义"/>
              <w:tag w:val="章标题"/>
              <w:id w:val="147465499"/>
              <w:lock w:val="sdtContentLocked"/>
              <w:placeholder>
                <w:docPart w:val="{f8f12e35-1160-4cd0-9ab9-2e44990607ff}"/>
              </w:placeholder>
              <w15:appearance w15:val="hidden"/>
            </w:sdtPr>
            <w:sdtContent>
              <w:r>
                <w:t>术语和定义</w:t>
              </w:r>
            </w:sdtContent>
          </w:sdt>
          <w:r>
            <w:tab/>
          </w:r>
          <w:r>
            <w:rPr>
              <w:rFonts w:hint="eastAsia"/>
              <w:lang w:val="en-US" w:eastAsia="zh-CN"/>
            </w:rPr>
            <w:t>2</w:t>
          </w:r>
          <w:r>
            <w:fldChar w:fldCharType="end"/>
          </w:r>
        </w:p>
        <w:p w14:paraId="5A7EB2AB">
          <w:pPr>
            <w:pStyle w:val="4"/>
            <w:tabs>
              <w:tab w:val="right" w:leader="dot" w:pos="9354"/>
            </w:tabs>
          </w:pPr>
          <w:r>
            <w:fldChar w:fldCharType="begin"/>
          </w:r>
          <w:r>
            <w:instrText xml:space="preserve"> HYPERLINK \l "_Toc24071" </w:instrText>
          </w:r>
          <w:r>
            <w:fldChar w:fldCharType="separate"/>
          </w:r>
          <w:r>
            <w:rPr>
              <w:rFonts w:hint="eastAsia" w:ascii="黑体" w:eastAsia="黑体"/>
            </w:rPr>
            <w:t xml:space="preserve">4 </w:t>
          </w:r>
          <w:r>
            <w:rPr>
              <w:rFonts w:hint="eastAsia"/>
            </w:rPr>
            <w:t>产品分类</w:t>
          </w:r>
          <w:r>
            <w:tab/>
          </w:r>
          <w:r>
            <w:rPr>
              <w:rFonts w:hint="eastAsia"/>
              <w:lang w:val="en-US" w:eastAsia="zh-CN"/>
            </w:rPr>
            <w:t>3</w:t>
          </w:r>
          <w:r>
            <w:fldChar w:fldCharType="end"/>
          </w:r>
        </w:p>
        <w:p w14:paraId="499935A5">
          <w:pPr>
            <w:pStyle w:val="4"/>
            <w:tabs>
              <w:tab w:val="right" w:leader="dot" w:pos="9354"/>
            </w:tabs>
          </w:pPr>
          <w:r>
            <w:fldChar w:fldCharType="begin"/>
          </w:r>
          <w:r>
            <w:instrText xml:space="preserve"> HYPERLINK \l "_Toc14432" </w:instrText>
          </w:r>
          <w:r>
            <w:fldChar w:fldCharType="separate"/>
          </w:r>
          <w:r>
            <w:rPr>
              <w:rFonts w:hint="eastAsia" w:ascii="黑体" w:eastAsia="黑体"/>
            </w:rPr>
            <w:t xml:space="preserve">5 </w:t>
          </w:r>
          <w:r>
            <w:rPr>
              <w:rFonts w:hint="eastAsia"/>
            </w:rPr>
            <w:t>要求</w:t>
          </w:r>
          <w:r>
            <w:tab/>
          </w:r>
          <w:r>
            <w:rPr>
              <w:rFonts w:hint="eastAsia"/>
              <w:lang w:val="en-US" w:eastAsia="zh-CN"/>
            </w:rPr>
            <w:t>4</w:t>
          </w:r>
          <w:r>
            <w:fldChar w:fldCharType="end"/>
          </w:r>
        </w:p>
        <w:p w14:paraId="15ABC785">
          <w:pPr>
            <w:pStyle w:val="4"/>
            <w:tabs>
              <w:tab w:val="right" w:leader="dot" w:pos="9354"/>
            </w:tabs>
          </w:pPr>
          <w:r>
            <w:fldChar w:fldCharType="begin"/>
          </w:r>
          <w:r>
            <w:instrText xml:space="preserve"> HYPERLINK \l "_Toc6928" </w:instrText>
          </w:r>
          <w:r>
            <w:fldChar w:fldCharType="separate"/>
          </w:r>
          <w:r>
            <w:rPr>
              <w:rFonts w:hint="eastAsia" w:ascii="黑体" w:eastAsia="黑体"/>
            </w:rPr>
            <w:t xml:space="preserve">6 </w:t>
          </w:r>
          <w:r>
            <w:rPr>
              <w:rFonts w:hint="eastAsia"/>
            </w:rPr>
            <w:t>试验方法</w:t>
          </w:r>
          <w:r>
            <w:tab/>
          </w:r>
          <w:r>
            <w:fldChar w:fldCharType="begin"/>
          </w:r>
          <w:r>
            <w:instrText xml:space="preserve"> PAGEREF _Toc6928 \h </w:instrText>
          </w:r>
          <w:r>
            <w:fldChar w:fldCharType="separate"/>
          </w:r>
          <w:r>
            <w:t>2</w:t>
          </w:r>
          <w:r>
            <w:fldChar w:fldCharType="end"/>
          </w:r>
          <w:r>
            <w:fldChar w:fldCharType="end"/>
          </w:r>
        </w:p>
        <w:p w14:paraId="7A120537">
          <w:pPr>
            <w:pStyle w:val="4"/>
            <w:tabs>
              <w:tab w:val="right" w:leader="dot" w:pos="9354"/>
            </w:tabs>
          </w:pPr>
          <w:r>
            <w:fldChar w:fldCharType="begin"/>
          </w:r>
          <w:r>
            <w:instrText xml:space="preserve"> HYPERLINK \l "_Toc6879" </w:instrText>
          </w:r>
          <w:r>
            <w:fldChar w:fldCharType="separate"/>
          </w:r>
          <w:r>
            <w:rPr>
              <w:rFonts w:hint="eastAsia" w:ascii="黑体" w:eastAsia="黑体"/>
            </w:rPr>
            <w:t xml:space="preserve">7 </w:t>
          </w:r>
          <w:r>
            <w:rPr>
              <w:rFonts w:hint="eastAsia"/>
            </w:rPr>
            <w:t>检验规则</w:t>
          </w:r>
          <w:r>
            <w:tab/>
          </w:r>
          <w:r>
            <w:fldChar w:fldCharType="begin"/>
          </w:r>
          <w:r>
            <w:instrText xml:space="preserve"> PAGEREF _Toc6879 \h </w:instrText>
          </w:r>
          <w:r>
            <w:fldChar w:fldCharType="separate"/>
          </w:r>
          <w:r>
            <w:t>3</w:t>
          </w:r>
          <w:r>
            <w:fldChar w:fldCharType="end"/>
          </w:r>
          <w:r>
            <w:fldChar w:fldCharType="end"/>
          </w:r>
        </w:p>
        <w:p w14:paraId="205F0F43">
          <w:pPr>
            <w:pStyle w:val="4"/>
            <w:tabs>
              <w:tab w:val="right" w:leader="dot" w:pos="9354"/>
            </w:tabs>
          </w:pPr>
          <w:r>
            <w:fldChar w:fldCharType="begin"/>
          </w:r>
          <w:r>
            <w:instrText xml:space="preserve"> HYPERLINK \l "_Toc23080" </w:instrText>
          </w:r>
          <w:r>
            <w:fldChar w:fldCharType="separate"/>
          </w:r>
          <w:r>
            <w:rPr>
              <w:rFonts w:hint="eastAsia" w:ascii="黑体" w:eastAsia="黑体"/>
            </w:rPr>
            <w:t xml:space="preserve">8 </w:t>
          </w:r>
          <w:r>
            <w:rPr>
              <w:rFonts w:hint="eastAsia"/>
            </w:rPr>
            <w:t>标志</w:t>
          </w:r>
          <w:r>
            <w:tab/>
          </w:r>
          <w:r>
            <w:fldChar w:fldCharType="begin"/>
          </w:r>
          <w:r>
            <w:instrText xml:space="preserve"> PAGEREF _Toc23080 \h </w:instrText>
          </w:r>
          <w:r>
            <w:fldChar w:fldCharType="separate"/>
          </w:r>
          <w:r>
            <w:t>4</w:t>
          </w:r>
          <w:r>
            <w:fldChar w:fldCharType="end"/>
          </w:r>
          <w:r>
            <w:fldChar w:fldCharType="end"/>
          </w:r>
        </w:p>
        <w:p w14:paraId="79D92F9D">
          <w:pPr>
            <w:pStyle w:val="4"/>
            <w:tabs>
              <w:tab w:val="right" w:leader="dot" w:pos="9354"/>
            </w:tabs>
          </w:pPr>
          <w:r>
            <w:fldChar w:fldCharType="begin"/>
          </w:r>
          <w:r>
            <w:instrText xml:space="preserve"> HYPERLINK \l "_Toc17601" </w:instrText>
          </w:r>
          <w:r>
            <w:fldChar w:fldCharType="separate"/>
          </w:r>
          <w:r>
            <w:rPr>
              <w:rFonts w:hint="eastAsia" w:ascii="黑体" w:eastAsia="黑体"/>
            </w:rPr>
            <w:t xml:space="preserve">9 </w:t>
          </w:r>
          <w:r>
            <w:rPr>
              <w:rFonts w:hint="eastAsia"/>
            </w:rPr>
            <w:t>包装、运输和贮存</w:t>
          </w:r>
          <w:r>
            <w:tab/>
          </w:r>
          <w:r>
            <w:rPr>
              <w:rFonts w:hint="eastAsia"/>
              <w:lang w:val="en-US" w:eastAsia="zh-CN"/>
            </w:rPr>
            <w:t>5</w:t>
          </w:r>
          <w:r>
            <w:fldChar w:fldCharType="end"/>
          </w:r>
        </w:p>
        <w:p w14:paraId="744FEB1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黑体" w:hAnsi="Calibri" w:eastAsia="黑体"/>
              <w:b w:val="0"/>
              <w:bCs w:val="0"/>
              <w:kern w:val="0"/>
              <w:sz w:val="32"/>
              <w:szCs w:val="20"/>
              <w:lang w:val="zh-CN"/>
            </w:rPr>
          </w:pPr>
          <w:r>
            <w:rPr>
              <w:bCs/>
              <w:lang w:val="zh-CN"/>
            </w:rPr>
            <w:fldChar w:fldCharType="end"/>
          </w:r>
        </w:p>
      </w:sdtContent>
    </w:sdt>
    <w:p w14:paraId="33DFA2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E4FB34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ABB8D4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524B4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DAF805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D955F4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49987E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28DC2D4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225DE4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06772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682EA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9CF6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015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288AB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9FF3D1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3F4115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479498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1D1DBC8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53E99C6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131979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7F4A4A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黑体" w:hAnsi="Calibri" w:eastAsia="黑体"/>
          <w:b w:val="0"/>
          <w:bCs w:val="0"/>
          <w:kern w:val="0"/>
          <w:sz w:val="32"/>
          <w:szCs w:val="20"/>
          <w:lang w:val="en-US" w:eastAsia="zh-CN"/>
        </w:rPr>
      </w:pPr>
    </w:p>
    <w:p w14:paraId="0135EB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黑体" w:hAnsi="Calibri" w:eastAsia="黑体"/>
          <w:b w:val="0"/>
          <w:bCs w:val="0"/>
          <w:kern w:val="0"/>
          <w:sz w:val="32"/>
          <w:szCs w:val="20"/>
          <w:lang w:val="en-US" w:eastAsia="zh-CN"/>
        </w:rPr>
        <w:sectPr>
          <w:footerReference r:id="rId5" w:type="default"/>
          <w:pgSz w:w="11906" w:h="16838"/>
          <w:pgMar w:top="1417" w:right="1417" w:bottom="1417" w:left="1417" w:header="851" w:footer="992" w:gutter="0"/>
          <w:cols w:space="425" w:num="1"/>
          <w:docGrid w:type="lines" w:linePitch="312" w:charSpace="0"/>
        </w:sectPr>
      </w:pPr>
    </w:p>
    <w:p w14:paraId="5538F0C6">
      <w:pPr>
        <w:pStyle w:val="7"/>
        <w:spacing w:before="900" w:after="360"/>
      </w:pPr>
      <w:bookmarkStart w:id="1" w:name="_Toc23186"/>
      <w:r>
        <w:rPr>
          <w:spacing w:val="320"/>
        </w:rPr>
        <w:t>前</w:t>
      </w:r>
      <w:r>
        <w:t>言</w:t>
      </w:r>
      <w:bookmarkEnd w:id="1"/>
    </w:p>
    <w:p w14:paraId="0479D132">
      <w:pPr>
        <w:pStyle w:val="8"/>
        <w:spacing w:before="0" w:after="0"/>
        <w:ind w:firstLine="420" w:firstLineChars="200"/>
        <w:jc w:val="left"/>
        <w:rPr>
          <w:rFonts w:ascii="宋体" w:eastAsia="宋体"/>
          <w:sz w:val="21"/>
        </w:rPr>
      </w:pPr>
      <w:bookmarkStart w:id="2" w:name="_Toc17699"/>
      <w:r>
        <w:rPr>
          <w:rFonts w:hint="eastAsia" w:ascii="宋体" w:eastAsia="宋体"/>
          <w:sz w:val="21"/>
        </w:rPr>
        <w:t>本文件按照《团体标准结构和编写指南》T/CAS 1.1-2017要求并参照GB/T 1.1-2020《标准化工 作导则第1部分：标准化文件的结构和起草规则》的规定起草。</w:t>
      </w:r>
      <w:bookmarkEnd w:id="2"/>
    </w:p>
    <w:p w14:paraId="505B28E8">
      <w:pPr>
        <w:pStyle w:val="8"/>
        <w:spacing w:before="0" w:after="0"/>
        <w:ind w:firstLine="420" w:firstLineChars="200"/>
        <w:jc w:val="left"/>
        <w:rPr>
          <w:rFonts w:ascii="宋体" w:eastAsia="宋体"/>
          <w:sz w:val="21"/>
        </w:rPr>
      </w:pPr>
      <w:bookmarkStart w:id="3" w:name="_Toc15841"/>
      <w:r>
        <w:rPr>
          <w:rFonts w:hint="eastAsia" w:ascii="宋体" w:eastAsia="宋体"/>
          <w:sz w:val="21"/>
        </w:rPr>
        <w:t>请注意本文件的某些内容可能涉及专利。本文件的发布机构不承担识别专利的责任。</w:t>
      </w:r>
      <w:bookmarkEnd w:id="3"/>
    </w:p>
    <w:p w14:paraId="543D1988">
      <w:pPr>
        <w:pStyle w:val="8"/>
        <w:spacing w:before="0" w:after="0"/>
        <w:ind w:firstLine="420" w:firstLineChars="200"/>
        <w:jc w:val="left"/>
        <w:rPr>
          <w:rFonts w:ascii="宋体" w:eastAsia="宋体"/>
          <w:sz w:val="21"/>
          <w:lang w:val="zh-TW" w:eastAsia="zh-TW"/>
        </w:rPr>
      </w:pPr>
      <w:bookmarkStart w:id="4" w:name="_Toc8517"/>
      <w:r>
        <w:rPr>
          <w:rFonts w:hint="eastAsia" w:ascii="宋体" w:eastAsia="宋体"/>
          <w:sz w:val="21"/>
          <w:lang w:val="zh-TW" w:eastAsia="zh-TW"/>
        </w:rPr>
        <w:t>本文件由海南省塑料行业协会提出。</w:t>
      </w:r>
      <w:bookmarkEnd w:id="4"/>
    </w:p>
    <w:p w14:paraId="47095AA9">
      <w:pPr>
        <w:pStyle w:val="8"/>
        <w:keepNext w:val="0"/>
        <w:keepLines w:val="0"/>
        <w:pageBreakBefore w:val="0"/>
        <w:kinsoku/>
        <w:wordWrap/>
        <w:overflowPunct/>
        <w:topLinePunct w:val="0"/>
        <w:autoSpaceDE/>
        <w:autoSpaceDN/>
        <w:bidi w:val="0"/>
        <w:snapToGrid/>
        <w:spacing w:before="0" w:after="0" w:line="240" w:lineRule="auto"/>
        <w:ind w:firstLine="420" w:firstLineChars="200"/>
        <w:jc w:val="left"/>
        <w:textAlignment w:val="auto"/>
        <w:rPr>
          <w:rFonts w:ascii="宋体" w:eastAsia="宋体"/>
          <w:color w:val="FF0000"/>
          <w:sz w:val="21"/>
        </w:rPr>
      </w:pPr>
      <w:bookmarkStart w:id="5" w:name="_Toc26995"/>
      <w:r>
        <w:rPr>
          <w:rFonts w:hint="eastAsia" w:ascii="宋体" w:eastAsia="宋体"/>
          <w:sz w:val="21"/>
          <w:lang w:val="zh-TW" w:eastAsia="zh-TW"/>
        </w:rPr>
        <w:t>本文件起草单位：</w:t>
      </w:r>
      <w:bookmarkEnd w:id="5"/>
      <w:r>
        <w:rPr>
          <w:rFonts w:hint="eastAsia" w:ascii="宋体" w:eastAsia="宋体"/>
          <w:sz w:val="21"/>
        </w:rPr>
        <w:t>海南省检验检测研究院、海南认证审核中心、</w:t>
      </w:r>
      <w:r>
        <w:rPr>
          <w:rFonts w:hint="eastAsia" w:ascii="宋体" w:eastAsia="宋体"/>
          <w:color w:val="FF0000"/>
          <w:sz w:val="21"/>
        </w:rPr>
        <w:t>广州际标包装设备有限公司、</w:t>
      </w:r>
      <w:r>
        <w:rPr>
          <w:rFonts w:hint="eastAsia" w:ascii="宋体" w:eastAsia="宋体"/>
          <w:sz w:val="21"/>
        </w:rPr>
        <w:t>海南恒鑫生活科技有限公司、</w:t>
      </w:r>
      <w:r>
        <w:rPr>
          <w:rFonts w:hint="eastAsia" w:ascii="宋体" w:eastAsia="宋体"/>
          <w:color w:val="FF0000"/>
          <w:sz w:val="21"/>
        </w:rPr>
        <w:t>汕头市雷氏塑化科技有限公司、</w:t>
      </w:r>
      <w:r>
        <w:rPr>
          <w:rFonts w:hint="eastAsia" w:ascii="宋体" w:eastAsia="宋体"/>
          <w:sz w:val="21"/>
        </w:rPr>
        <w:t xml:space="preserve">河南金丹环保新材料有限公司、中国石化化工销售有限公司华南分公司合成树脂市场部、海南创佳达生物科技有限公司、中科信晖（海南）新材料科技有限公司、 </w:t>
      </w:r>
      <w:r>
        <w:rPr>
          <w:rFonts w:hint="eastAsia" w:ascii="宋体" w:eastAsia="宋体"/>
          <w:color w:val="FF0000"/>
          <w:sz w:val="21"/>
        </w:rPr>
        <w:t>燕源生物科技投资（海南）有限公司、</w:t>
      </w:r>
      <w:r>
        <w:rPr>
          <w:rFonts w:hint="eastAsia" w:ascii="宋体" w:eastAsia="宋体"/>
          <w:sz w:val="21"/>
        </w:rPr>
        <w:t>金塑（海南）环保科技有限公司、海南海福新材料有限公司、经略科技（海南）有限公司、</w:t>
      </w:r>
      <w:r>
        <w:rPr>
          <w:rFonts w:hint="eastAsia" w:ascii="宋体" w:eastAsia="宋体"/>
          <w:color w:val="FF0000"/>
          <w:sz w:val="21"/>
        </w:rPr>
        <w:t>保定源汉升新材料科技有限公司</w:t>
      </w:r>
      <w:r>
        <w:rPr>
          <w:rFonts w:hint="eastAsia" w:ascii="宋体" w:eastAsia="宋体"/>
          <w:sz w:val="21"/>
        </w:rPr>
        <w:t>、海南鑫汇诺包装制品有限公司、海口大功塑料有限公司、</w:t>
      </w:r>
      <w:r>
        <w:rPr>
          <w:rFonts w:hint="eastAsia" w:ascii="宋体" w:eastAsia="宋体"/>
          <w:color w:val="FF0000"/>
          <w:sz w:val="21"/>
        </w:rPr>
        <w:t>青海绿润新材料科技有限公司</w:t>
      </w:r>
      <w:r>
        <w:rPr>
          <w:rFonts w:hint="eastAsia" w:ascii="宋体" w:eastAsia="宋体"/>
          <w:sz w:val="21"/>
        </w:rPr>
        <w:t>、海南众联华泰环保科技有限公司、</w:t>
      </w:r>
      <w:r>
        <w:rPr>
          <w:rFonts w:hint="eastAsia" w:ascii="宋体" w:eastAsia="宋体"/>
          <w:color w:val="FF0000"/>
          <w:sz w:val="21"/>
        </w:rPr>
        <w:t>东莞愷进塑胶制品有限公司、</w:t>
      </w:r>
      <w:r>
        <w:rPr>
          <w:rFonts w:hint="eastAsia" w:ascii="宋体" w:eastAsia="宋体"/>
          <w:sz w:val="21"/>
        </w:rPr>
        <w:t>河南特创生物科技有限公司、黑龙江金英纳福生物科技有限公司、</w:t>
      </w:r>
      <w:r>
        <w:rPr>
          <w:rFonts w:hint="eastAsia" w:ascii="宋体" w:eastAsia="宋体"/>
          <w:color w:val="FF0000"/>
          <w:sz w:val="21"/>
        </w:rPr>
        <w:t>环霆科技宁波（有限）公司</w:t>
      </w:r>
    </w:p>
    <w:p w14:paraId="2BA3B83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r>
        <w:rPr>
          <w:rFonts w:hint="eastAsia" w:ascii="宋体" w:eastAsia="宋体"/>
          <w:sz w:val="21"/>
          <w:lang w:val="zh-TW" w:eastAsia="zh-TW"/>
        </w:rPr>
        <w:t>本文件主要起草人：</w:t>
      </w:r>
      <w:r>
        <w:rPr>
          <w:rFonts w:hint="eastAsia" w:ascii="宋体" w:eastAsia="宋体"/>
          <w:sz w:val="21"/>
        </w:rPr>
        <w:t>毛海梅、吴毓炜、</w:t>
      </w:r>
      <w:r>
        <w:rPr>
          <w:rFonts w:hint="eastAsia" w:ascii="宋体" w:eastAsia="宋体"/>
          <w:color w:val="FF0000"/>
          <w:sz w:val="21"/>
        </w:rPr>
        <w:t>何晓禅、</w:t>
      </w:r>
      <w:r>
        <w:rPr>
          <w:rFonts w:hint="eastAsia" w:ascii="宋体" w:eastAsia="宋体"/>
          <w:sz w:val="21"/>
        </w:rPr>
        <w:t>赵宏亮、李开鹏、</w:t>
      </w:r>
      <w:r>
        <w:rPr>
          <w:rFonts w:hint="eastAsia" w:ascii="宋体" w:eastAsia="宋体"/>
          <w:color w:val="FF0000"/>
          <w:sz w:val="21"/>
        </w:rPr>
        <w:t>雷保兴</w:t>
      </w:r>
      <w:r>
        <w:rPr>
          <w:rFonts w:hint="eastAsia" w:ascii="宋体" w:eastAsia="宋体"/>
          <w:sz w:val="21"/>
        </w:rPr>
        <w:t>、莫智明、张福祥、王春霞、陈烜、蔡连开、</w:t>
      </w:r>
      <w:r>
        <w:rPr>
          <w:rFonts w:hint="eastAsia" w:ascii="宋体" w:eastAsia="宋体"/>
          <w:color w:val="FF0000"/>
          <w:sz w:val="21"/>
        </w:rPr>
        <w:t>粱翰庭</w:t>
      </w:r>
      <w:r>
        <w:rPr>
          <w:rFonts w:hint="eastAsia" w:ascii="宋体" w:eastAsia="宋体"/>
          <w:sz w:val="21"/>
        </w:rPr>
        <w:t>、温章生、王丽、莫丽、吴贤、</w:t>
      </w:r>
      <w:r>
        <w:rPr>
          <w:rFonts w:hint="eastAsia" w:ascii="宋体" w:eastAsia="宋体"/>
          <w:color w:val="FF0000"/>
          <w:sz w:val="21"/>
        </w:rPr>
        <w:t>叶新建、叶菲菲、邓瑶、</w:t>
      </w:r>
      <w:r>
        <w:rPr>
          <w:rFonts w:hint="eastAsia" w:ascii="宋体" w:eastAsia="宋体"/>
          <w:sz w:val="21"/>
        </w:rPr>
        <w:t>牛俊、尹六六、胡智功、</w:t>
      </w:r>
      <w:r>
        <w:rPr>
          <w:rFonts w:hint="eastAsia" w:ascii="宋体" w:eastAsia="宋体"/>
          <w:color w:val="FF0000"/>
          <w:sz w:val="21"/>
        </w:rPr>
        <w:t>蔡佳君</w:t>
      </w:r>
      <w:r>
        <w:rPr>
          <w:rFonts w:hint="eastAsia" w:ascii="宋体" w:eastAsia="宋体"/>
          <w:sz w:val="21"/>
        </w:rPr>
        <w:t>、林彦、汤恒兴、周鸿勋、</w:t>
      </w:r>
      <w:r>
        <w:rPr>
          <w:rFonts w:hint="eastAsia" w:ascii="宋体" w:eastAsia="宋体"/>
          <w:color w:val="FF0000"/>
          <w:sz w:val="21"/>
        </w:rPr>
        <w:t>张益荣</w:t>
      </w:r>
    </w:p>
    <w:p w14:paraId="1E19046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3D6C0E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3E1FC6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FA8A1D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54070D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EFB563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D3FB5C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6B9273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19DED7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C1BE9D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1D59B7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7D3E5C3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EC21ED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F9EBFC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4C5E2C1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68CB69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0F8EFC6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463D00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B07F0F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175D941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B5F99F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36CA74B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53848DB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p w14:paraId="2519A96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eastAsia" w:ascii="宋体" w:eastAsia="宋体"/>
          <w:color w:val="FF0000"/>
          <w:sz w:val="21"/>
        </w:rPr>
      </w:pPr>
    </w:p>
    <w:sdt>
      <w:sdtPr>
        <w:tag w:val="NEW_STAND_NAME"/>
        <w:id w:val="595910757"/>
        <w:lock w:val="sdtLocked"/>
        <w:placeholder>
          <w:docPart w:val="{0d31e988-3d95-4d28-ad93-5a58dd4de8d8}"/>
        </w:placeholder>
      </w:sdtPr>
      <w:sdtContent>
        <w:p w14:paraId="5434CDC2">
          <w:pPr>
            <w:pStyle w:val="9"/>
            <w:spacing w:before="2" w:beforeLines="1" w:after="680"/>
            <w:rPr>
              <w:rFonts w:hint="eastAsia"/>
            </w:rPr>
          </w:pPr>
          <w:bookmarkStart w:id="6" w:name="NEW_STAND_NAME"/>
          <w:r>
            <w:rPr>
              <w:rFonts w:hint="eastAsia"/>
            </w:rPr>
            <w:t>全生物降解塑料购物袋类使用的改性料</w:t>
          </w:r>
          <w:r>
            <w:t>     </w:t>
          </w:r>
        </w:p>
      </w:sdtContent>
    </w:sdt>
    <w:bookmarkEnd w:id="6"/>
    <w:sdt>
      <w:sdtPr>
        <w:rPr>
          <w:rFonts w:hint="eastAsia"/>
        </w:rPr>
        <w:alias w:val="章标题-范围"/>
        <w:tag w:val="章标题"/>
        <w:id w:val="-1062399288"/>
        <w:lock w:val="sdtContentLocked"/>
        <w:placeholder>
          <w:docPart w:val="{c6f21dc1-ebcc-4999-9ed9-eb1061c76b7c}"/>
        </w:placeholder>
        <w15:appearance w15:val="hidden"/>
      </w:sdtPr>
      <w:sdtEndPr>
        <w:rPr>
          <w:rFonts w:hint="eastAsia"/>
        </w:rPr>
      </w:sdtEndPr>
      <w:sdtContent>
        <w:p w14:paraId="08C66817">
          <w:pPr>
            <w:pStyle w:val="10"/>
            <w:spacing w:before="240" w:after="240"/>
            <w:rPr>
              <w:rFonts w:hint="eastAsia"/>
            </w:rPr>
          </w:pPr>
          <w:bookmarkStart w:id="7" w:name="_Toc61956687"/>
          <w:bookmarkStart w:id="8" w:name="_Toc6715"/>
          <w:bookmarkStart w:id="9" w:name="_Toc122947492"/>
          <w:r>
            <w:rPr>
              <w:rFonts w:hint="eastAsia"/>
            </w:rPr>
            <w:t>范围</w:t>
          </w:r>
        </w:p>
      </w:sdtContent>
    </w:sdt>
    <w:bookmarkEnd w:id="7"/>
    <w:bookmarkEnd w:id="8"/>
    <w:bookmarkEnd w:id="9"/>
    <w:sdt>
      <w:sdtPr>
        <w:rPr>
          <w:rFonts w:hint="eastAsia"/>
          <w:lang w:eastAsia="zh-CN"/>
        </w:rPr>
        <w:id w:val="-1482843704"/>
        <w:lock w:val="sdtLocked"/>
        <w:placeholder>
          <w:docPart w:val="{9e6ca31b-f6b5-429e-93de-c385da8a528b}"/>
        </w:placeholder>
        <w:comboBox>
          <w:listItem w:displayText="请选择并修改对“范围&quot;的描述。" w:value="请选择并修改对“范围&quot;的描述。"/>
          <w:listItem w:displayText=" " w:value=" "/>
          <w:listItem w:displayText="本文件规定了......的要求/特性/尺寸/指示。" w:value="本文件规定了......的要求/特性/尺寸/指示。"/>
          <w:listItem w:displayText="本文件确立了......的程序/体系/系统/总体原则。" w:value="本文件确立了......的程序/体系/系统/总体原则。"/>
          <w:listItem w:displayText="本文件描述了......的方法/路径。" w:value="本文件描述了......的方法/路径。"/>
          <w:listItem w:displayText="本文件提供了......的指导/指南/建议。" w:value="本文件提供了......的指导/指南/建议。"/>
          <w:listItem w:displayText="本文件给出了......的信息/说明。" w:value="本文件给出了......的信息/说明。"/>
          <w:listItem w:displayText="本文件界定了......的术语/符号/界限。" w:value="本文件界定了......的术语/符号/界限。"/>
        </w:comboBox>
      </w:sdtPr>
      <w:sdtEndPr>
        <w:rPr>
          <w:rFonts w:hint="eastAsia"/>
          <w:lang w:eastAsia="zh-CN"/>
        </w:rPr>
      </w:sdtEndPr>
      <w:sdtContent>
        <w:p w14:paraId="3E940150">
          <w:pPr>
            <w:pStyle w:val="11"/>
            <w:rPr>
              <w:lang w:eastAsia="zh-CN"/>
            </w:rPr>
          </w:pPr>
          <w:r>
            <w:rPr>
              <w:rFonts w:hint="eastAsia"/>
              <w:lang w:eastAsia="zh-CN"/>
            </w:rPr>
            <w:t>本文件规定了全生物降解塑料购物袋类使用的改性料的产品分类、要求、试验方法、检验规则、包装、运输和贮存等。</w:t>
          </w:r>
        </w:p>
      </w:sdtContent>
    </w:sdt>
    <w:p w14:paraId="4F03346D">
      <w:pPr>
        <w:pStyle w:val="12"/>
        <w:ind w:firstLine="4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本文件适用于使用PBAT、PLA等全生物降解原料，通过双螺杆挤出共混工艺，制成一种应用于日常购物袋类产品的改性料</w:t>
      </w:r>
      <w:r>
        <w:rPr>
          <w:color w:val="000000" w:themeColor="text1"/>
          <w14:textFill>
            <w14:solidFill>
              <w14:schemeClr w14:val="tx1"/>
            </w14:solidFill>
          </w14:textFill>
        </w:rPr>
        <w:t>。</w:t>
      </w:r>
    </w:p>
    <w:sdt>
      <w:sdtPr>
        <w:rPr>
          <w:rFonts w:hint="eastAsia"/>
        </w:rPr>
        <w:alias w:val="章标题-规范性引用文件"/>
        <w:tag w:val="章标题"/>
        <w:id w:val="147474732"/>
        <w:lock w:val="sdtContentLocked"/>
        <w:placeholder>
          <w:docPart w:val="{a35c5555-6524-4c7f-a661-ca511d12e452}"/>
        </w:placeholder>
        <w15:appearance w15:val="hidden"/>
      </w:sdtPr>
      <w:sdtEndPr>
        <w:rPr>
          <w:rFonts w:hint="eastAsia"/>
        </w:rPr>
      </w:sdtEndPr>
      <w:sdtContent>
        <w:p w14:paraId="48FF15AF">
          <w:pPr>
            <w:pStyle w:val="10"/>
            <w:spacing w:before="240" w:after="240"/>
            <w:rPr>
              <w:rFonts w:hint="eastAsia"/>
            </w:rPr>
          </w:pPr>
          <w:bookmarkStart w:id="10" w:name="_Toc122947493"/>
          <w:bookmarkStart w:id="11" w:name="_Toc6886"/>
          <w:r>
            <w:rPr>
              <w:rFonts w:hint="eastAsia"/>
            </w:rPr>
            <w:t>规范性引用文件</w:t>
          </w:r>
        </w:p>
      </w:sdtContent>
    </w:sdt>
    <w:bookmarkEnd w:id="10"/>
    <w:bookmarkEnd w:id="11"/>
    <w:sdt>
      <w:sdtPr>
        <w:rPr>
          <w:rFonts w:hint="eastAsia"/>
          <w:lang w:eastAsia="zh-CN"/>
        </w:rPr>
        <w:alias w:val="引导语"/>
        <w:tag w:val="引导语"/>
        <w:id w:val="147453072"/>
        <w:lock w:val="sdtLocked"/>
        <w:placeholder>
          <w:docPart w:val="{6408d24e-7d41-403c-bf4d-fa9c8c4844e3}"/>
        </w:placeholder>
        <w:dropDownList>
          <w:listItem w:displayText="请选择引导语。" w:value="请选择引导语。"/>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lang w:eastAsia="zh-CN"/>
        </w:rPr>
      </w:sdtEndPr>
      <w:sdtContent>
        <w:p w14:paraId="7CEFBD7A">
          <w:pPr>
            <w:pStyle w:val="11"/>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44E889">
      <w:pPr>
        <w:pStyle w:val="11"/>
        <w:rPr>
          <w:lang w:eastAsia="zh-CN"/>
        </w:rPr>
      </w:pPr>
      <w:r>
        <w:rPr>
          <w:rFonts w:hint="eastAsia"/>
          <w:lang w:eastAsia="zh-CN"/>
        </w:rPr>
        <w:t>GB/T 32366  生物降解聚对苯二甲酸-己二酸丁二酯（PBAT）</w:t>
      </w:r>
    </w:p>
    <w:p w14:paraId="329982F2">
      <w:pPr>
        <w:pStyle w:val="11"/>
        <w:rPr>
          <w:lang w:eastAsia="zh-CN"/>
        </w:rPr>
      </w:pPr>
      <w:r>
        <w:rPr>
          <w:rFonts w:hint="eastAsia"/>
          <w:lang w:eastAsia="zh-CN"/>
        </w:rPr>
        <w:t>GB/T 29284  聚乳酸</w:t>
      </w:r>
    </w:p>
    <w:p w14:paraId="46415A13">
      <w:pPr>
        <w:pStyle w:val="11"/>
        <w:rPr>
          <w:lang w:eastAsia="zh-CN"/>
        </w:rPr>
      </w:pPr>
      <w:r>
        <w:rPr>
          <w:rFonts w:hint="eastAsia"/>
          <w:lang w:eastAsia="zh-CN"/>
        </w:rPr>
        <w:t xml:space="preserve">DB46/T 505  </w:t>
      </w:r>
      <w:r>
        <w:rPr>
          <w:lang w:eastAsia="zh-CN"/>
        </w:rPr>
        <w:t>全生物降解塑料制品 通用技术要求</w:t>
      </w:r>
    </w:p>
    <w:p w14:paraId="542974C6">
      <w:pPr>
        <w:pStyle w:val="11"/>
        <w:rPr>
          <w:lang w:eastAsia="zh-CN"/>
        </w:rPr>
      </w:pPr>
      <w:r>
        <w:rPr>
          <w:rFonts w:hint="eastAsia"/>
          <w:lang w:eastAsia="zh-CN"/>
        </w:rPr>
        <w:t xml:space="preserve">GB/T 17037.1  </w:t>
      </w:r>
      <w:r>
        <w:rPr>
          <w:lang w:eastAsia="zh-CN"/>
        </w:rPr>
        <w:t>热塑性塑料材料注塑试样的制备 第1部分</w:t>
      </w:r>
      <w:r>
        <w:rPr>
          <w:rFonts w:hint="eastAsia"/>
          <w:lang w:eastAsia="zh-CN"/>
        </w:rPr>
        <w:t>:</w:t>
      </w:r>
      <w:r>
        <w:rPr>
          <w:lang w:eastAsia="zh-CN"/>
        </w:rPr>
        <w:t>一般原理及多用途试样和长条试样的制备</w:t>
      </w:r>
    </w:p>
    <w:p w14:paraId="5571C305">
      <w:pPr>
        <w:pStyle w:val="11"/>
        <w:rPr>
          <w:lang w:eastAsia="zh-CN"/>
        </w:rPr>
      </w:pPr>
      <w:r>
        <w:rPr>
          <w:rFonts w:hint="eastAsia"/>
          <w:lang w:eastAsia="zh-CN"/>
        </w:rPr>
        <w:t xml:space="preserve">GB/T 2918   </w:t>
      </w:r>
      <w:r>
        <w:rPr>
          <w:lang w:eastAsia="zh-CN"/>
        </w:rPr>
        <w:t>塑料试样状态调节和试验的标准环境</w:t>
      </w:r>
    </w:p>
    <w:p w14:paraId="085370A9">
      <w:pPr>
        <w:pStyle w:val="11"/>
        <w:rPr>
          <w:lang w:eastAsia="zh-CN"/>
        </w:rPr>
      </w:pPr>
      <w:r>
        <w:rPr>
          <w:rFonts w:hint="eastAsia"/>
          <w:lang w:eastAsia="zh-CN"/>
        </w:rPr>
        <w:t xml:space="preserve">GB/T 1033.1  </w:t>
      </w:r>
      <w:r>
        <w:rPr>
          <w:lang w:eastAsia="zh-CN"/>
        </w:rPr>
        <w:t>塑料 非泡沫塑料密度的测定 第</w:t>
      </w:r>
      <w:r>
        <w:rPr>
          <w:rFonts w:hint="eastAsia"/>
          <w:lang w:eastAsia="zh-CN"/>
        </w:rPr>
        <w:t>1</w:t>
      </w:r>
      <w:r>
        <w:rPr>
          <w:lang w:eastAsia="zh-CN"/>
        </w:rPr>
        <w:t>部分：浸渍法、液体比重瓶法和滴定法</w:t>
      </w:r>
    </w:p>
    <w:p w14:paraId="0415AEB5">
      <w:pPr>
        <w:pStyle w:val="11"/>
        <w:rPr>
          <w:lang w:eastAsia="zh-CN"/>
        </w:rPr>
      </w:pPr>
      <w:r>
        <w:rPr>
          <w:rFonts w:hint="eastAsia"/>
          <w:lang w:eastAsia="zh-CN"/>
        </w:rPr>
        <w:t>GB/T 1966.3  塑料 差示扫描量热法(DSC) 第3部分:熔融和结晶温度及热焓的测定</w:t>
      </w:r>
    </w:p>
    <w:p w14:paraId="4EDC08C8">
      <w:pPr>
        <w:pStyle w:val="11"/>
        <w:rPr>
          <w:lang w:eastAsia="zh-CN"/>
        </w:rPr>
      </w:pPr>
      <w:r>
        <w:rPr>
          <w:rFonts w:hint="eastAsia"/>
          <w:lang w:eastAsia="zh-CN"/>
        </w:rPr>
        <w:t>GB/T 3682.1  塑料  热塑性塑料熔体质量流动速率(MFR)和熔体体积流动速率(MVR)的测定 第1部分：标准方法</w:t>
      </w:r>
    </w:p>
    <w:p w14:paraId="6A49AEE1">
      <w:pPr>
        <w:pStyle w:val="11"/>
        <w:rPr>
          <w:lang w:eastAsia="zh-CN"/>
        </w:rPr>
      </w:pPr>
      <w:r>
        <w:rPr>
          <w:rFonts w:hint="eastAsia"/>
          <w:lang w:eastAsia="zh-CN"/>
        </w:rPr>
        <w:t xml:space="preserve">GB/T 12006.2  </w:t>
      </w:r>
      <w:r>
        <w:rPr>
          <w:lang w:eastAsia="zh-CN"/>
        </w:rPr>
        <w:t>塑料 聚酰胺 第2部分：含水量测定</w:t>
      </w:r>
    </w:p>
    <w:p w14:paraId="27C6DFDB">
      <w:pPr>
        <w:pStyle w:val="11"/>
        <w:rPr>
          <w:lang w:eastAsia="zh-CN"/>
        </w:rPr>
      </w:pPr>
      <w:r>
        <w:rPr>
          <w:rFonts w:hint="eastAsia"/>
          <w:lang w:eastAsia="zh-CN"/>
        </w:rPr>
        <w:t>GB/T 1040.1  塑料 拉伸性能的测定 第1部分：总则</w:t>
      </w:r>
    </w:p>
    <w:p w14:paraId="1386A08A">
      <w:pPr>
        <w:pStyle w:val="11"/>
        <w:rPr>
          <w:lang w:eastAsia="zh-CN"/>
        </w:rPr>
      </w:pPr>
      <w:r>
        <w:rPr>
          <w:rFonts w:hint="eastAsia"/>
          <w:lang w:eastAsia="zh-CN"/>
        </w:rPr>
        <w:t>GB/T 1040.2  塑料 拉伸性能的测定 第2部分：模塑和挤塑塑料的试验条件</w:t>
      </w:r>
    </w:p>
    <w:p w14:paraId="2EC988A7">
      <w:pPr>
        <w:pStyle w:val="11"/>
        <w:rPr>
          <w:lang w:eastAsia="zh-CN"/>
        </w:rPr>
      </w:pPr>
      <w:r>
        <w:rPr>
          <w:rFonts w:hint="eastAsia"/>
          <w:lang w:eastAsia="zh-CN"/>
        </w:rPr>
        <w:t>GB/T 1633  热塑性塑料维卡软化温度(VST)的测定</w:t>
      </w:r>
    </w:p>
    <w:p w14:paraId="048C4331">
      <w:pPr>
        <w:pStyle w:val="11"/>
        <w:rPr>
          <w:lang w:eastAsia="zh-CN"/>
        </w:rPr>
      </w:pPr>
      <w:r>
        <w:rPr>
          <w:rFonts w:hint="eastAsia"/>
          <w:lang w:eastAsia="zh-CN"/>
        </w:rPr>
        <w:t>GB/T 9345.1  塑料 灰分的测定 第1部分：通用方法</w:t>
      </w:r>
    </w:p>
    <w:sdt>
      <w:sdtPr>
        <w:alias w:val="章标题-术语和定义"/>
        <w:tag w:val="章标题"/>
        <w:id w:val="926078182"/>
        <w:lock w:val="sdtContentLocked"/>
        <w:placeholder>
          <w:docPart w:val="{de926539-1396-460d-981b-02b74dc46dc1}"/>
        </w:placeholder>
        <w15:appearance w15:val="hidden"/>
      </w:sdtPr>
      <w:sdtContent>
        <w:p w14:paraId="13FA5E15">
          <w:pPr>
            <w:pStyle w:val="10"/>
            <w:spacing w:before="240" w:after="240"/>
            <w:rPr>
              <w:rFonts w:hint="eastAsia"/>
            </w:rPr>
          </w:pPr>
          <w:bookmarkStart w:id="12" w:name="_Toc122947494"/>
          <w:bookmarkStart w:id="13" w:name="_Toc12225"/>
          <w:r>
            <w:t>术语和定义</w:t>
          </w:r>
        </w:p>
      </w:sdtContent>
    </w:sdt>
    <w:bookmarkEnd w:id="12"/>
    <w:bookmarkEnd w:id="13"/>
    <w:sdt>
      <w:sdtPr>
        <w:rPr>
          <w:rFonts w:hint="eastAsia"/>
          <w:sz w:val="21"/>
          <w:szCs w:val="21"/>
          <w:lang w:eastAsia="zh-CN"/>
        </w:rPr>
        <w:alias w:val="引导语"/>
        <w:tag w:val="引导语"/>
        <w:id w:val="-723295623"/>
        <w:lock w:val="sdtLocked"/>
        <w:placeholder>
          <w:docPart w:val="{14f2a3bb-b0c3-47b3-a7a0-9ff9c37b62ba}"/>
        </w:placeholder>
        <w:comboBox>
          <w:listItem w:displayText="请选择并修改引导语。" w:value="请选择并修改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z w:val="21"/>
          <w:szCs w:val="21"/>
          <w:lang w:eastAsia="zh-CN"/>
        </w:rPr>
      </w:sdtEndPr>
      <w:sdtContent>
        <w:p w14:paraId="06F816B6">
          <w:pPr>
            <w:pStyle w:val="13"/>
            <w:spacing w:after="300" w:line="329" w:lineRule="exact"/>
            <w:rPr>
              <w:rFonts w:hint="eastAsia"/>
              <w:color w:val="auto"/>
              <w:sz w:val="21"/>
              <w:szCs w:val="21"/>
            </w:rPr>
          </w:pPr>
          <w:r>
            <w:rPr>
              <w:rFonts w:hint="eastAsia"/>
              <w:sz w:val="21"/>
              <w:szCs w:val="21"/>
              <w:lang w:eastAsia="zh-CN"/>
            </w:rPr>
            <w:t>本文件没有需要界定的术语和定义。</w:t>
          </w:r>
        </w:p>
      </w:sdtContent>
    </w:sdt>
    <w:p w14:paraId="768BF7BD">
      <w:pPr>
        <w:pStyle w:val="10"/>
        <w:spacing w:before="240" w:after="240"/>
        <w:rPr>
          <w:rFonts w:hint="eastAsia"/>
        </w:rPr>
      </w:pPr>
      <w:bookmarkStart w:id="14" w:name="_Toc24071"/>
      <w:r>
        <w:rPr>
          <w:rFonts w:hint="eastAsia"/>
        </w:rPr>
        <w:t>产品</w:t>
      </w:r>
      <w:bookmarkEnd w:id="14"/>
      <w:r>
        <w:rPr>
          <w:rFonts w:hint="eastAsia"/>
        </w:rPr>
        <w:t>分级</w:t>
      </w:r>
    </w:p>
    <w:p w14:paraId="72AC13A1">
      <w:pPr>
        <w:pStyle w:val="11"/>
        <w:rPr>
          <w:lang w:eastAsia="zh-CN"/>
        </w:rPr>
      </w:pPr>
      <w:r>
        <w:rPr>
          <w:rFonts w:hint="eastAsia"/>
          <w:lang w:eastAsia="zh-CN"/>
        </w:rPr>
        <w:t>根据产品熔体质量流动速率(MFR)的不同，分为A级、B级和C级，见表1。</w:t>
      </w:r>
    </w:p>
    <w:p w14:paraId="4E79FF00">
      <w:pPr>
        <w:pStyle w:val="14"/>
        <w:spacing w:before="120" w:after="120"/>
        <w:rPr>
          <w:rFonts w:hint="eastAsia"/>
        </w:rPr>
      </w:pPr>
      <w:r>
        <w:rPr>
          <w:rFonts w:hint="eastAsia"/>
        </w:rPr>
        <w:t>产品分级</w:t>
      </w:r>
    </w:p>
    <w:tbl>
      <w:tblPr>
        <w:tblStyle w:val="15"/>
        <w:tblW w:w="83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4"/>
        <w:gridCol w:w="5364"/>
      </w:tblGrid>
      <w:tr w14:paraId="4726B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024" w:type="dxa"/>
            <w:vAlign w:val="center"/>
          </w:tcPr>
          <w:p w14:paraId="3938720D">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级别</w:t>
            </w:r>
          </w:p>
        </w:tc>
        <w:tc>
          <w:tcPr>
            <w:tcW w:w="5364" w:type="dxa"/>
            <w:vAlign w:val="center"/>
          </w:tcPr>
          <w:p w14:paraId="457C2866">
            <w:pPr>
              <w:spacing w:line="240" w:lineRule="auto"/>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熔体质量流动速率/(g/10 min)</w:t>
            </w:r>
          </w:p>
        </w:tc>
      </w:tr>
      <w:tr w14:paraId="09F1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jc w:val="center"/>
        </w:trPr>
        <w:tc>
          <w:tcPr>
            <w:tcW w:w="3024" w:type="dxa"/>
            <w:vAlign w:val="center"/>
          </w:tcPr>
          <w:p w14:paraId="3417869A">
            <w:pPr>
              <w:jc w:val="center"/>
              <w:rPr>
                <w:rFonts w:hint="eastAsia" w:ascii="宋体" w:hAnsi="宋体" w:cs="宋体"/>
                <w:color w:val="FF0000"/>
                <w:sz w:val="18"/>
                <w:szCs w:val="18"/>
              </w:rPr>
            </w:pPr>
            <w:r>
              <w:rPr>
                <w:rFonts w:hint="eastAsia" w:ascii="宋体" w:hAnsi="Times New Roman" w:cstheme="minorBidi"/>
                <w:color w:val="000000"/>
                <w:kern w:val="0"/>
                <w:sz w:val="18"/>
                <w:szCs w:val="18"/>
              </w:rPr>
              <w:t>A级</w:t>
            </w:r>
          </w:p>
        </w:tc>
        <w:tc>
          <w:tcPr>
            <w:tcW w:w="5364" w:type="dxa"/>
            <w:vAlign w:val="center"/>
          </w:tcPr>
          <w:p w14:paraId="05939618">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5</w:t>
            </w:r>
          </w:p>
        </w:tc>
      </w:tr>
      <w:tr w14:paraId="4F646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jc w:val="center"/>
        </w:trPr>
        <w:tc>
          <w:tcPr>
            <w:tcW w:w="3024" w:type="dxa"/>
            <w:vAlign w:val="center"/>
          </w:tcPr>
          <w:p w14:paraId="1BCCD301">
            <w:pPr>
              <w:spacing w:line="240" w:lineRule="auto"/>
              <w:jc w:val="center"/>
              <w:rPr>
                <w:rFonts w:hint="eastAsia" w:ascii="宋体" w:hAnsi="宋体" w:cs="宋体"/>
                <w:color w:val="FF0000"/>
                <w:sz w:val="18"/>
                <w:szCs w:val="18"/>
              </w:rPr>
            </w:pPr>
            <w:r>
              <w:rPr>
                <w:rFonts w:hint="eastAsia" w:ascii="宋体" w:hAnsi="Times New Roman" w:cstheme="minorBidi"/>
                <w:color w:val="000000"/>
                <w:kern w:val="0"/>
                <w:sz w:val="18"/>
                <w:szCs w:val="18"/>
              </w:rPr>
              <w:t>B级</w:t>
            </w:r>
          </w:p>
        </w:tc>
        <w:tc>
          <w:tcPr>
            <w:tcW w:w="5364" w:type="dxa"/>
            <w:vAlign w:val="center"/>
          </w:tcPr>
          <w:p w14:paraId="1BC77F1E">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10</w:t>
            </w:r>
          </w:p>
        </w:tc>
      </w:tr>
      <w:tr w14:paraId="28F7A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3024" w:type="dxa"/>
            <w:vAlign w:val="center"/>
          </w:tcPr>
          <w:p w14:paraId="5AACED32">
            <w:pPr>
              <w:spacing w:line="240" w:lineRule="auto"/>
              <w:jc w:val="center"/>
              <w:rPr>
                <w:rFonts w:ascii="宋体" w:hAnsi="Times New Roman" w:cstheme="minorBidi"/>
                <w:color w:val="FF0000"/>
                <w:kern w:val="0"/>
                <w:sz w:val="18"/>
                <w:szCs w:val="18"/>
              </w:rPr>
            </w:pPr>
            <w:r>
              <w:rPr>
                <w:rFonts w:hint="eastAsia" w:ascii="宋体" w:hAnsi="Times New Roman" w:cstheme="minorBidi"/>
                <w:color w:val="000000"/>
                <w:kern w:val="0"/>
                <w:sz w:val="18"/>
                <w:szCs w:val="18"/>
              </w:rPr>
              <w:t>C级</w:t>
            </w:r>
          </w:p>
        </w:tc>
        <w:tc>
          <w:tcPr>
            <w:tcW w:w="5364" w:type="dxa"/>
            <w:vAlign w:val="center"/>
          </w:tcPr>
          <w:p w14:paraId="37148323">
            <w:pPr>
              <w:jc w:val="center"/>
              <w:rPr>
                <w:rFonts w:ascii="宋体" w:hAnsi="Times New Roman" w:cstheme="minorBidi"/>
                <w:color w:val="000000"/>
                <w:kern w:val="0"/>
                <w:sz w:val="18"/>
                <w:szCs w:val="18"/>
              </w:rPr>
            </w:pPr>
            <w:r>
              <w:rPr>
                <w:rFonts w:hint="eastAsia" w:ascii="宋体" w:hAnsi="Times New Roman" w:cstheme="minorBidi"/>
                <w:color w:val="000000"/>
                <w:kern w:val="0"/>
                <w:sz w:val="18"/>
                <w:szCs w:val="18"/>
              </w:rPr>
              <w:t>＜30</w:t>
            </w:r>
          </w:p>
        </w:tc>
      </w:tr>
    </w:tbl>
    <w:p w14:paraId="3F9E1D33">
      <w:pPr>
        <w:pStyle w:val="12"/>
        <w:ind w:firstLine="420"/>
        <w:rPr>
          <w:color w:val="FF0000"/>
        </w:rPr>
      </w:pPr>
    </w:p>
    <w:p w14:paraId="2FD309B1">
      <w:pPr>
        <w:pStyle w:val="10"/>
        <w:spacing w:before="240" w:after="240"/>
        <w:rPr>
          <w:rFonts w:hint="eastAsia"/>
        </w:rPr>
      </w:pPr>
      <w:bookmarkStart w:id="15" w:name="_Toc14432"/>
      <w:r>
        <w:rPr>
          <w:rFonts w:hint="eastAsia"/>
        </w:rPr>
        <w:t>要求</w:t>
      </w:r>
      <w:bookmarkEnd w:id="15"/>
    </w:p>
    <w:p w14:paraId="4E278ED0">
      <w:pPr>
        <w:pStyle w:val="16"/>
        <w:spacing w:before="120" w:after="120"/>
        <w:rPr>
          <w:rStyle w:val="17"/>
          <w:rFonts w:hint="eastAsia"/>
          <w:lang w:eastAsia="zh-CN"/>
        </w:rPr>
      </w:pPr>
      <w:bookmarkStart w:id="16" w:name="_Toc14022"/>
      <w:r>
        <w:rPr>
          <w:rStyle w:val="17"/>
          <w:rFonts w:hint="eastAsia"/>
          <w:lang w:eastAsia="zh-CN"/>
        </w:rPr>
        <w:t>原材料要求</w:t>
      </w:r>
      <w:bookmarkEnd w:id="16"/>
    </w:p>
    <w:p w14:paraId="5E9E8E4A">
      <w:pPr>
        <w:pStyle w:val="18"/>
        <w:spacing w:before="120" w:after="120"/>
        <w:rPr>
          <w:rFonts w:hint="eastAsia"/>
          <w:lang w:eastAsia="zh-CN"/>
        </w:rPr>
      </w:pPr>
      <w:bookmarkStart w:id="17" w:name="_Toc7281"/>
      <w:r>
        <w:rPr>
          <w:rFonts w:hint="eastAsia"/>
          <w:lang w:eastAsia="zh-CN"/>
        </w:rPr>
        <w:t>PBAT的要求</w:t>
      </w:r>
      <w:bookmarkEnd w:id="17"/>
    </w:p>
    <w:p w14:paraId="03C586BA">
      <w:pPr>
        <w:pStyle w:val="12"/>
        <w:ind w:firstLine="420"/>
      </w:pPr>
      <w:r>
        <w:rPr>
          <w:rFonts w:hint="eastAsia"/>
        </w:rPr>
        <w:t>PBAT材料应符合GB/T 32366的要求。</w:t>
      </w:r>
    </w:p>
    <w:p w14:paraId="4BCE38E1">
      <w:pPr>
        <w:pStyle w:val="18"/>
        <w:spacing w:before="120" w:after="120"/>
        <w:rPr>
          <w:rFonts w:hint="eastAsia"/>
          <w:lang w:eastAsia="zh-CN"/>
        </w:rPr>
      </w:pPr>
      <w:bookmarkStart w:id="18" w:name="_Toc27974"/>
      <w:r>
        <w:rPr>
          <w:rFonts w:hint="eastAsia"/>
          <w:lang w:eastAsia="zh-CN"/>
        </w:rPr>
        <w:t>PLA的要求</w:t>
      </w:r>
      <w:bookmarkEnd w:id="18"/>
    </w:p>
    <w:p w14:paraId="4168E921">
      <w:pPr>
        <w:pStyle w:val="12"/>
        <w:ind w:firstLine="420"/>
      </w:pPr>
      <w:r>
        <w:rPr>
          <w:rFonts w:hint="eastAsia"/>
        </w:rPr>
        <w:t>PLA材料应符合GB/T 29284的要求。</w:t>
      </w:r>
    </w:p>
    <w:p w14:paraId="70C46536">
      <w:pPr>
        <w:pStyle w:val="16"/>
        <w:spacing w:before="120" w:after="120"/>
        <w:rPr>
          <w:rStyle w:val="17"/>
          <w:rFonts w:hint="eastAsia" w:cs="Times New Roman"/>
          <w:lang w:eastAsia="zh-CN"/>
        </w:rPr>
      </w:pPr>
      <w:bookmarkStart w:id="19" w:name="_Toc18425"/>
      <w:r>
        <w:rPr>
          <w:rStyle w:val="17"/>
          <w:rFonts w:hint="eastAsia" w:cs="Times New Roman"/>
          <w:lang w:eastAsia="zh-CN"/>
        </w:rPr>
        <w:t>基本要求</w:t>
      </w:r>
      <w:bookmarkEnd w:id="19"/>
    </w:p>
    <w:p w14:paraId="396BBABC">
      <w:pPr>
        <w:pStyle w:val="18"/>
        <w:spacing w:before="120" w:after="120"/>
        <w:rPr>
          <w:rFonts w:hint="eastAsia"/>
          <w:lang w:eastAsia="zh-CN"/>
        </w:rPr>
      </w:pPr>
      <w:bookmarkStart w:id="20" w:name="_Toc6204"/>
      <w:r>
        <w:rPr>
          <w:rFonts w:hint="eastAsia"/>
          <w:lang w:eastAsia="zh-CN"/>
        </w:rPr>
        <w:t>外观</w:t>
      </w:r>
      <w:bookmarkEnd w:id="20"/>
    </w:p>
    <w:p w14:paraId="74E78A59">
      <w:pPr>
        <w:pStyle w:val="13"/>
        <w:spacing w:after="300" w:line="329" w:lineRule="exact"/>
        <w:rPr>
          <w:rFonts w:hint="eastAsia"/>
          <w:color w:val="auto"/>
          <w:sz w:val="21"/>
          <w:szCs w:val="21"/>
        </w:rPr>
      </w:pPr>
      <w:r>
        <w:rPr>
          <w:rFonts w:hint="eastAsia"/>
          <w:spacing w:val="-1"/>
          <w:sz w:val="21"/>
          <w:szCs w:val="21"/>
          <w:lang w:val="en-US" w:eastAsia="zh-CN"/>
        </w:rPr>
        <w:t>改性料</w:t>
      </w:r>
      <w:r>
        <w:rPr>
          <w:spacing w:val="-1"/>
          <w:sz w:val="21"/>
          <w:szCs w:val="21"/>
        </w:rPr>
        <w:t>为圆柱状或椭圆状的</w:t>
      </w:r>
      <w:r>
        <w:rPr>
          <w:color w:val="000000" w:themeColor="text1"/>
          <w:spacing w:val="-1"/>
          <w:sz w:val="21"/>
          <w:szCs w:val="21"/>
          <w14:textFill>
            <w14:solidFill>
              <w14:schemeClr w14:val="tx1"/>
            </w14:solidFill>
          </w14:textFill>
        </w:rPr>
        <w:t>颗粒，颗粒尺寸在任意方</w:t>
      </w:r>
      <w:r>
        <w:rPr>
          <w:color w:val="000000" w:themeColor="text1"/>
          <w:spacing w:val="-2"/>
          <w:sz w:val="21"/>
          <w:szCs w:val="21"/>
          <w14:textFill>
            <w14:solidFill>
              <w14:schemeClr w14:val="tx1"/>
            </w14:solidFill>
          </w14:textFill>
        </w:rPr>
        <w:t>向上应为</w:t>
      </w:r>
      <w:r>
        <w:rPr>
          <w:color w:val="000000" w:themeColor="text1"/>
          <w:spacing w:val="-40"/>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2mm~5mm</w:t>
      </w:r>
      <w:r>
        <w:rPr>
          <w:rFonts w:ascii="Times New Roman" w:hAnsi="Times New Roman" w:eastAsia="Times New Roman" w:cs="Times New Roman"/>
          <w:color w:val="000000" w:themeColor="text1"/>
          <w:spacing w:val="-26"/>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，并允许少量连粒，连粒的个数不超过</w:t>
      </w:r>
      <w:r>
        <w:rPr>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粒，且质量百分比含量≤</w:t>
      </w:r>
      <w:r>
        <w:rPr>
          <w:rFonts w:ascii="Times New Roman" w:hAnsi="Times New Roman" w:eastAsia="Times New Roman" w:cs="Times New Roman"/>
          <w:color w:val="000000" w:themeColor="text1"/>
          <w:spacing w:val="-2"/>
          <w:sz w:val="21"/>
          <w:szCs w:val="21"/>
          <w14:textFill>
            <w14:solidFill>
              <w14:schemeClr w14:val="tx1"/>
            </w14:solidFill>
          </w14:textFill>
        </w:rPr>
        <w:t>3%</w:t>
      </w:r>
      <w:r>
        <w:rPr>
          <w:color w:val="000000" w:themeColor="text1"/>
          <w:spacing w:val="-2"/>
          <w:sz w:val="21"/>
          <w:szCs w:val="21"/>
          <w14:textFill>
            <w14:solidFill>
              <w14:schemeClr w14:val="tx1"/>
            </w14:solidFill>
          </w14:textFill>
        </w:rPr>
        <w:t>。</w:t>
      </w:r>
    </w:p>
    <w:p w14:paraId="71B3602E">
      <w:pPr>
        <w:pStyle w:val="18"/>
        <w:spacing w:before="120" w:after="120"/>
        <w:rPr>
          <w:rFonts w:hint="eastAsia"/>
          <w:lang w:eastAsia="zh-CN"/>
        </w:rPr>
      </w:pPr>
      <w:bookmarkStart w:id="21" w:name="_Toc28301"/>
      <w:r>
        <w:rPr>
          <w:rFonts w:hint="eastAsia"/>
          <w:lang w:eastAsia="zh-CN"/>
        </w:rPr>
        <w:t>颜色</w:t>
      </w:r>
      <w:bookmarkEnd w:id="21"/>
    </w:p>
    <w:p w14:paraId="097DBBA0">
      <w:pPr>
        <w:pStyle w:val="13"/>
        <w:spacing w:after="300" w:line="329" w:lineRule="exact"/>
        <w:rPr>
          <w:rFonts w:hint="eastAsia"/>
          <w:color w:val="000000" w:themeColor="text1"/>
          <w:spacing w:val="-1"/>
          <w:sz w:val="21"/>
          <w:szCs w:val="21"/>
          <w:lang w:eastAsia="zh-CN"/>
          <w14:textFill>
            <w14:solidFill>
              <w14:schemeClr w14:val="tx1"/>
            </w14:solidFill>
          </w14:textFill>
        </w:rPr>
      </w:pPr>
      <w:r>
        <w:rPr>
          <w:rFonts w:hint="eastAsia"/>
          <w:color w:val="000000" w:themeColor="text1"/>
          <w:spacing w:val="-1"/>
          <w:sz w:val="21"/>
          <w:szCs w:val="21"/>
          <w14:textFill>
            <w14:solidFill>
              <w14:schemeClr w14:val="tx1"/>
            </w14:solidFill>
          </w14:textFill>
        </w:rPr>
        <w:t>一般为无嗅</w:t>
      </w:r>
      <w:r>
        <w:rPr>
          <w:rFonts w:hint="eastAsia"/>
          <w:color w:val="000000" w:themeColor="text1"/>
          <w:spacing w:val="-1"/>
          <w:sz w:val="21"/>
          <w:szCs w:val="21"/>
          <w:lang w:val="en-US" w:eastAsia="zh-CN"/>
          <w14:textFill>
            <w14:solidFill>
              <w14:schemeClr w14:val="tx1"/>
            </w14:solidFill>
          </w14:textFill>
        </w:rPr>
        <w:t>乳白色</w:t>
      </w:r>
      <w:r>
        <w:rPr>
          <w:rFonts w:hint="eastAsia"/>
          <w:color w:val="000000" w:themeColor="text1"/>
          <w:spacing w:val="-1"/>
          <w:sz w:val="21"/>
          <w:szCs w:val="21"/>
          <w14:textFill>
            <w14:solidFill>
              <w14:schemeClr w14:val="tx1"/>
            </w14:solidFill>
          </w14:textFill>
        </w:rPr>
        <w:t>颗粒，可</w:t>
      </w:r>
      <w:r>
        <w:rPr>
          <w:rFonts w:hint="eastAsia"/>
          <w:color w:val="000000" w:themeColor="text1"/>
          <w:spacing w:val="-1"/>
          <w:sz w:val="21"/>
          <w:szCs w:val="21"/>
          <w:lang w:val="en-US" w:eastAsia="zh-CN"/>
          <w14:textFill>
            <w14:solidFill>
              <w14:schemeClr w14:val="tx1"/>
            </w14:solidFill>
          </w14:textFill>
        </w:rPr>
        <w:t>轻微</w:t>
      </w:r>
      <w:r>
        <w:rPr>
          <w:rFonts w:hint="eastAsia"/>
          <w:color w:val="000000" w:themeColor="text1"/>
          <w:spacing w:val="-1"/>
          <w:sz w:val="21"/>
          <w:szCs w:val="21"/>
          <w14:textFill>
            <w14:solidFill>
              <w14:schemeClr w14:val="tx1"/>
            </w14:solidFill>
          </w14:textFill>
        </w:rPr>
        <w:t>发黄，</w:t>
      </w:r>
      <w:r>
        <w:rPr>
          <w:color w:val="000000" w:themeColor="text1"/>
          <w:spacing w:val="-1"/>
          <w:sz w:val="21"/>
          <w:szCs w:val="21"/>
          <w14:textFill>
            <w14:solidFill>
              <w14:schemeClr w14:val="tx1"/>
            </w14:solidFill>
          </w14:textFill>
        </w:rPr>
        <w:t>色泽一致且无杂粒</w:t>
      </w:r>
      <w:r>
        <w:rPr>
          <w:rFonts w:hint="eastAsia"/>
          <w:color w:val="000000" w:themeColor="text1"/>
          <w:spacing w:val="-1"/>
          <w:sz w:val="21"/>
          <w:szCs w:val="21"/>
          <w:lang w:eastAsia="zh-CN"/>
          <w14:textFill>
            <w14:solidFill>
              <w14:schemeClr w14:val="tx1"/>
            </w14:solidFill>
          </w14:textFill>
        </w:rPr>
        <w:t>。</w:t>
      </w:r>
    </w:p>
    <w:p w14:paraId="3793A6CB">
      <w:pPr>
        <w:pStyle w:val="16"/>
        <w:spacing w:before="120" w:after="120"/>
        <w:rPr>
          <w:rStyle w:val="17"/>
          <w:rFonts w:hint="eastAsia" w:cs="Times New Roman"/>
          <w:lang w:eastAsia="zh-CN"/>
        </w:rPr>
      </w:pPr>
      <w:bookmarkStart w:id="22" w:name="_Toc7610"/>
      <w:r>
        <w:rPr>
          <w:rStyle w:val="17"/>
          <w:rFonts w:hint="eastAsia" w:cs="Times New Roman"/>
          <w:lang w:eastAsia="zh-CN"/>
        </w:rPr>
        <w:t>技术要求</w:t>
      </w:r>
      <w:bookmarkEnd w:id="22"/>
    </w:p>
    <w:p w14:paraId="36728008">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改性料的主要技术要求详见表1。</w:t>
      </w:r>
    </w:p>
    <w:p w14:paraId="61A674EB">
      <w:pPr>
        <w:pStyle w:val="14"/>
        <w:spacing w:before="120" w:after="120"/>
        <w:rPr>
          <w:rFonts w:hint="eastAsia"/>
        </w:rPr>
      </w:pPr>
      <w:bookmarkStart w:id="23" w:name="_Toc122947524"/>
      <w:bookmarkStart w:id="24" w:name="_Toc107221856"/>
      <w:r>
        <w:rPr>
          <w:rFonts w:hint="eastAsia"/>
        </w:rPr>
        <w:t>全生物降解塑料购物袋类使用的改性料</w:t>
      </w:r>
      <w:bookmarkEnd w:id="23"/>
      <w:bookmarkEnd w:id="24"/>
      <w:r>
        <w:rPr>
          <w:rFonts w:hint="eastAsia"/>
        </w:rPr>
        <w:t>主要技术要求</w:t>
      </w:r>
    </w:p>
    <w:tbl>
      <w:tblPr>
        <w:tblStyle w:val="15"/>
        <w:tblW w:w="91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40"/>
        <w:gridCol w:w="1994"/>
        <w:gridCol w:w="1854"/>
        <w:gridCol w:w="1900"/>
      </w:tblGrid>
      <w:tr w14:paraId="7F828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restart"/>
            <w:vAlign w:val="center"/>
          </w:tcPr>
          <w:p w14:paraId="49E0362F">
            <w:pPr>
              <w:jc w:val="center"/>
              <w:rPr>
                <w:rFonts w:hint="eastAsia" w:ascii="宋体" w:hAnsi="宋体" w:cs="宋体"/>
                <w:sz w:val="18"/>
                <w:szCs w:val="18"/>
              </w:rPr>
            </w:pPr>
            <w:r>
              <w:rPr>
                <w:rFonts w:hint="eastAsia" w:ascii="宋体" w:hAnsi="宋体" w:cs="宋体"/>
                <w:sz w:val="18"/>
                <w:szCs w:val="18"/>
              </w:rPr>
              <w:t>序号</w:t>
            </w:r>
          </w:p>
        </w:tc>
        <w:tc>
          <w:tcPr>
            <w:tcW w:w="2640" w:type="dxa"/>
            <w:vMerge w:val="restart"/>
            <w:vAlign w:val="center"/>
          </w:tcPr>
          <w:p w14:paraId="398B889C">
            <w:pPr>
              <w:jc w:val="center"/>
              <w:rPr>
                <w:rFonts w:hint="eastAsia" w:ascii="宋体" w:hAnsi="宋体" w:cs="宋体"/>
                <w:sz w:val="18"/>
                <w:szCs w:val="18"/>
              </w:rPr>
            </w:pPr>
            <w:r>
              <w:rPr>
                <w:rFonts w:hint="eastAsia" w:ascii="宋体" w:hAnsi="宋体" w:cs="宋体"/>
                <w:sz w:val="18"/>
                <w:szCs w:val="18"/>
              </w:rPr>
              <w:t>项目</w:t>
            </w:r>
          </w:p>
        </w:tc>
        <w:tc>
          <w:tcPr>
            <w:tcW w:w="5748" w:type="dxa"/>
            <w:gridSpan w:val="3"/>
            <w:vAlign w:val="center"/>
          </w:tcPr>
          <w:p w14:paraId="390492DA">
            <w:pPr>
              <w:spacing w:line="240" w:lineRule="auto"/>
              <w:jc w:val="center"/>
              <w:rPr>
                <w:rFonts w:hint="eastAsia" w:ascii="宋体" w:hAnsi="宋体" w:cs="宋体"/>
                <w:kern w:val="0"/>
                <w:sz w:val="18"/>
                <w:szCs w:val="18"/>
              </w:rPr>
            </w:pPr>
            <w:r>
              <w:rPr>
                <w:rFonts w:hint="eastAsia" w:ascii="宋体" w:hAnsi="宋体" w:cs="宋体"/>
                <w:kern w:val="0"/>
                <w:sz w:val="18"/>
                <w:szCs w:val="18"/>
              </w:rPr>
              <w:t>级别</w:t>
            </w:r>
          </w:p>
        </w:tc>
      </w:tr>
      <w:tr w14:paraId="46BB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Merge w:val="continue"/>
            <w:vAlign w:val="center"/>
          </w:tcPr>
          <w:p w14:paraId="4DB36995">
            <w:pPr>
              <w:jc w:val="center"/>
              <w:rPr>
                <w:rFonts w:hint="eastAsia" w:ascii="宋体" w:hAnsi="宋体" w:cs="宋体"/>
                <w:sz w:val="18"/>
                <w:szCs w:val="18"/>
              </w:rPr>
            </w:pPr>
          </w:p>
        </w:tc>
        <w:tc>
          <w:tcPr>
            <w:tcW w:w="2640" w:type="dxa"/>
            <w:vMerge w:val="continue"/>
            <w:vAlign w:val="center"/>
          </w:tcPr>
          <w:p w14:paraId="76E645C7">
            <w:pPr>
              <w:jc w:val="center"/>
              <w:rPr>
                <w:rFonts w:hint="eastAsia" w:ascii="宋体" w:hAnsi="宋体" w:cs="宋体"/>
                <w:sz w:val="18"/>
                <w:szCs w:val="18"/>
              </w:rPr>
            </w:pPr>
          </w:p>
        </w:tc>
        <w:tc>
          <w:tcPr>
            <w:tcW w:w="1994" w:type="dxa"/>
            <w:shd w:val="clear" w:color="auto" w:fill="auto"/>
            <w:vAlign w:val="center"/>
          </w:tcPr>
          <w:p w14:paraId="7B0FDC86">
            <w:pPr>
              <w:spacing w:line="240" w:lineRule="auto"/>
              <w:jc w:val="center"/>
              <w:rPr>
                <w:rFonts w:hint="eastAsia" w:ascii="宋体" w:hAnsi="宋体" w:cs="宋体"/>
                <w:kern w:val="0"/>
                <w:sz w:val="18"/>
                <w:szCs w:val="18"/>
              </w:rPr>
            </w:pPr>
            <w:r>
              <w:rPr>
                <w:rFonts w:hint="eastAsia" w:ascii="宋体" w:hAnsi="宋体" w:cs="宋体"/>
                <w:kern w:val="0"/>
                <w:sz w:val="18"/>
                <w:szCs w:val="18"/>
              </w:rPr>
              <w:t>A级</w:t>
            </w:r>
          </w:p>
        </w:tc>
        <w:tc>
          <w:tcPr>
            <w:tcW w:w="1854" w:type="dxa"/>
            <w:shd w:val="clear" w:color="auto" w:fill="auto"/>
            <w:vAlign w:val="center"/>
          </w:tcPr>
          <w:p w14:paraId="2A8BFCFD">
            <w:pPr>
              <w:spacing w:line="240" w:lineRule="auto"/>
              <w:jc w:val="center"/>
              <w:rPr>
                <w:rFonts w:hint="eastAsia" w:ascii="宋体" w:hAnsi="宋体" w:cs="宋体"/>
                <w:kern w:val="0"/>
                <w:sz w:val="18"/>
                <w:szCs w:val="18"/>
              </w:rPr>
            </w:pPr>
            <w:r>
              <w:rPr>
                <w:rFonts w:hint="eastAsia" w:ascii="宋体" w:hAnsi="宋体" w:cs="宋体"/>
                <w:kern w:val="0"/>
                <w:sz w:val="18"/>
                <w:szCs w:val="18"/>
              </w:rPr>
              <w:t>B级</w:t>
            </w:r>
          </w:p>
        </w:tc>
        <w:tc>
          <w:tcPr>
            <w:tcW w:w="1900" w:type="dxa"/>
            <w:shd w:val="clear" w:color="auto" w:fill="auto"/>
            <w:vAlign w:val="center"/>
          </w:tcPr>
          <w:p w14:paraId="57753692">
            <w:pPr>
              <w:spacing w:line="240" w:lineRule="auto"/>
              <w:jc w:val="center"/>
              <w:rPr>
                <w:rFonts w:hint="eastAsia" w:ascii="宋体" w:hAnsi="宋体" w:cs="宋体"/>
                <w:kern w:val="0"/>
                <w:sz w:val="18"/>
                <w:szCs w:val="18"/>
              </w:rPr>
            </w:pPr>
            <w:r>
              <w:rPr>
                <w:rFonts w:hint="eastAsia" w:ascii="宋体" w:hAnsi="宋体" w:cs="宋体"/>
                <w:kern w:val="0"/>
                <w:sz w:val="18"/>
                <w:szCs w:val="18"/>
              </w:rPr>
              <w:t>C级</w:t>
            </w:r>
          </w:p>
        </w:tc>
      </w:tr>
      <w:tr w14:paraId="69CFF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0A5EF5D">
            <w:pPr>
              <w:jc w:val="center"/>
              <w:rPr>
                <w:rFonts w:hint="eastAsia" w:ascii="宋体" w:hAnsi="宋体" w:cs="宋体"/>
                <w:spacing w:val="-2"/>
                <w:sz w:val="18"/>
                <w:szCs w:val="18"/>
              </w:rPr>
            </w:pPr>
            <w:r>
              <w:rPr>
                <w:rFonts w:hint="eastAsia" w:ascii="宋体" w:hAnsi="宋体" w:cs="宋体"/>
                <w:spacing w:val="-2"/>
                <w:sz w:val="18"/>
                <w:szCs w:val="18"/>
              </w:rPr>
              <w:t>1</w:t>
            </w:r>
          </w:p>
        </w:tc>
        <w:tc>
          <w:tcPr>
            <w:tcW w:w="2640" w:type="dxa"/>
            <w:vAlign w:val="center"/>
          </w:tcPr>
          <w:p w14:paraId="18DC8639">
            <w:pPr>
              <w:jc w:val="center"/>
              <w:rPr>
                <w:rFonts w:hint="eastAsia" w:ascii="宋体" w:hAnsi="宋体" w:cs="宋体"/>
                <w:sz w:val="18"/>
                <w:szCs w:val="18"/>
              </w:rPr>
            </w:pPr>
            <w:r>
              <w:rPr>
                <w:rFonts w:hint="eastAsia" w:ascii="宋体" w:hAnsi="宋体" w:cs="宋体"/>
                <w:sz w:val="18"/>
                <w:szCs w:val="18"/>
              </w:rPr>
              <w:t>密度/(g/cm3)</w:t>
            </w:r>
          </w:p>
        </w:tc>
        <w:tc>
          <w:tcPr>
            <w:tcW w:w="5748" w:type="dxa"/>
            <w:gridSpan w:val="3"/>
            <w:vAlign w:val="center"/>
          </w:tcPr>
          <w:p w14:paraId="5F15FE77">
            <w:pPr>
              <w:jc w:val="center"/>
              <w:rPr>
                <w:rFonts w:hint="eastAsia" w:ascii="宋体" w:hAnsi="宋体" w:cs="宋体"/>
                <w:sz w:val="18"/>
                <w:szCs w:val="18"/>
              </w:rPr>
            </w:pPr>
            <w:r>
              <w:rPr>
                <w:rFonts w:hint="eastAsia" w:ascii="宋体" w:hAnsi="宋体" w:cs="宋体"/>
                <w:sz w:val="18"/>
                <w:szCs w:val="18"/>
              </w:rPr>
              <w:t>1.2±0.1</w:t>
            </w:r>
          </w:p>
        </w:tc>
      </w:tr>
      <w:tr w14:paraId="7683E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6A979E19">
            <w:pPr>
              <w:spacing w:line="24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2640" w:type="dxa"/>
            <w:vAlign w:val="center"/>
          </w:tcPr>
          <w:p w14:paraId="559901FE">
            <w:pPr>
              <w:spacing w:line="240" w:lineRule="auto"/>
              <w:jc w:val="center"/>
              <w:rPr>
                <w:rFonts w:hint="eastAsia" w:ascii="宋体" w:hAnsi="宋体" w:cs="宋体"/>
                <w:sz w:val="18"/>
                <w:szCs w:val="18"/>
              </w:rPr>
            </w:pPr>
            <w:r>
              <w:rPr>
                <w:rFonts w:hint="eastAsia" w:ascii="宋体" w:hAnsi="宋体" w:cs="宋体"/>
                <w:sz w:val="18"/>
                <w:szCs w:val="18"/>
              </w:rPr>
              <w:t>熔点/℃</w:t>
            </w:r>
          </w:p>
        </w:tc>
        <w:tc>
          <w:tcPr>
            <w:tcW w:w="5748" w:type="dxa"/>
            <w:gridSpan w:val="3"/>
            <w:vAlign w:val="center"/>
          </w:tcPr>
          <w:p w14:paraId="69EE501A">
            <w:pPr>
              <w:jc w:val="center"/>
              <w:rPr>
                <w:rFonts w:hint="eastAsia" w:ascii="宋体" w:hAnsi="宋体" w:cs="宋体"/>
                <w:sz w:val="18"/>
                <w:szCs w:val="18"/>
              </w:rPr>
            </w:pPr>
            <w:r>
              <w:rPr>
                <w:rFonts w:hint="eastAsia" w:ascii="宋体" w:hAnsi="宋体" w:cs="宋体"/>
                <w:sz w:val="18"/>
                <w:szCs w:val="18"/>
              </w:rPr>
              <w:t>110～145</w:t>
            </w:r>
          </w:p>
        </w:tc>
      </w:tr>
      <w:tr w14:paraId="7BE7D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3D0F6E86">
            <w:pPr>
              <w:spacing w:line="240" w:lineRule="auto"/>
              <w:jc w:val="center"/>
              <w:rPr>
                <w:rFonts w:hint="eastAsia" w:ascii="宋体" w:hAnsi="宋体" w:cs="宋体"/>
                <w:kern w:val="0"/>
                <w:sz w:val="18"/>
                <w:szCs w:val="18"/>
              </w:rPr>
            </w:pPr>
            <w:r>
              <w:rPr>
                <w:rFonts w:hint="eastAsia" w:ascii="宋体" w:hAnsi="宋体" w:cs="宋体"/>
                <w:kern w:val="0"/>
                <w:sz w:val="18"/>
                <w:szCs w:val="18"/>
              </w:rPr>
              <w:t>3</w:t>
            </w:r>
          </w:p>
        </w:tc>
        <w:tc>
          <w:tcPr>
            <w:tcW w:w="2640" w:type="dxa"/>
            <w:vAlign w:val="center"/>
          </w:tcPr>
          <w:p w14:paraId="140FDF94">
            <w:pPr>
              <w:spacing w:line="240" w:lineRule="auto"/>
              <w:jc w:val="center"/>
              <w:rPr>
                <w:rFonts w:hint="eastAsia" w:ascii="宋体" w:hAnsi="宋体" w:cs="宋体"/>
                <w:kern w:val="0"/>
                <w:sz w:val="18"/>
                <w:szCs w:val="18"/>
              </w:rPr>
            </w:pPr>
            <w:r>
              <w:rPr>
                <w:rFonts w:hint="eastAsia" w:ascii="宋体" w:hAnsi="宋体" w:cs="宋体"/>
                <w:kern w:val="0"/>
                <w:sz w:val="18"/>
                <w:szCs w:val="18"/>
              </w:rPr>
              <w:t>熔体质量流动速率(MFR)/(g/10 min)</w:t>
            </w:r>
          </w:p>
        </w:tc>
        <w:tc>
          <w:tcPr>
            <w:tcW w:w="1994" w:type="dxa"/>
            <w:vAlign w:val="center"/>
          </w:tcPr>
          <w:p w14:paraId="4000DC86">
            <w:pPr>
              <w:jc w:val="center"/>
              <w:rPr>
                <w:rFonts w:hint="eastAsia" w:ascii="宋体" w:hAnsi="宋体" w:cs="宋体"/>
                <w:sz w:val="18"/>
                <w:szCs w:val="18"/>
              </w:rPr>
            </w:pPr>
            <w:r>
              <w:rPr>
                <w:rFonts w:hint="eastAsia" w:ascii="宋体" w:hAnsi="宋体" w:cs="宋体"/>
                <w:sz w:val="18"/>
                <w:szCs w:val="18"/>
              </w:rPr>
              <w:t>5.0±0.5</w:t>
            </w:r>
          </w:p>
        </w:tc>
        <w:tc>
          <w:tcPr>
            <w:tcW w:w="1854" w:type="dxa"/>
            <w:vAlign w:val="center"/>
          </w:tcPr>
          <w:p w14:paraId="7C18DD83">
            <w:pPr>
              <w:jc w:val="center"/>
              <w:rPr>
                <w:rFonts w:hint="eastAsia" w:ascii="宋体" w:hAnsi="宋体" w:cs="宋体"/>
                <w:sz w:val="18"/>
                <w:szCs w:val="18"/>
              </w:rPr>
            </w:pPr>
            <w:r>
              <w:rPr>
                <w:rFonts w:hint="eastAsia" w:ascii="宋体" w:hAnsi="宋体" w:cs="宋体"/>
                <w:sz w:val="18"/>
                <w:szCs w:val="18"/>
              </w:rPr>
              <w:t>10.0±2.0</w:t>
            </w:r>
          </w:p>
        </w:tc>
        <w:tc>
          <w:tcPr>
            <w:tcW w:w="1900" w:type="dxa"/>
            <w:vAlign w:val="center"/>
          </w:tcPr>
          <w:p w14:paraId="60F6ECD0">
            <w:pPr>
              <w:jc w:val="center"/>
              <w:rPr>
                <w:rFonts w:hint="eastAsia" w:ascii="宋体" w:hAnsi="宋体" w:cs="宋体"/>
                <w:sz w:val="18"/>
                <w:szCs w:val="18"/>
              </w:rPr>
            </w:pPr>
            <w:r>
              <w:rPr>
                <w:rFonts w:hint="eastAsia" w:ascii="宋体" w:hAnsi="宋体" w:cs="宋体"/>
                <w:sz w:val="18"/>
                <w:szCs w:val="18"/>
              </w:rPr>
              <w:t>＜30</w:t>
            </w:r>
          </w:p>
        </w:tc>
      </w:tr>
      <w:tr w14:paraId="57388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08F2B00E">
            <w:pPr>
              <w:spacing w:line="240" w:lineRule="auto"/>
              <w:jc w:val="center"/>
              <w:rPr>
                <w:rFonts w:hint="eastAsia" w:ascii="宋体" w:hAnsi="宋体" w:cs="宋体"/>
                <w:kern w:val="0"/>
                <w:sz w:val="18"/>
                <w:szCs w:val="18"/>
              </w:rPr>
            </w:pPr>
            <w:r>
              <w:rPr>
                <w:rFonts w:hint="eastAsia" w:ascii="宋体" w:hAnsi="宋体" w:cs="宋体"/>
                <w:kern w:val="0"/>
                <w:sz w:val="18"/>
                <w:szCs w:val="18"/>
              </w:rPr>
              <w:t>4</w:t>
            </w:r>
          </w:p>
        </w:tc>
        <w:tc>
          <w:tcPr>
            <w:tcW w:w="2640" w:type="dxa"/>
            <w:vAlign w:val="center"/>
          </w:tcPr>
          <w:p w14:paraId="6158B2F8">
            <w:pPr>
              <w:spacing w:line="240" w:lineRule="auto"/>
              <w:jc w:val="center"/>
              <w:rPr>
                <w:rFonts w:hint="eastAsia" w:ascii="宋体" w:hAnsi="宋体" w:cs="宋体"/>
                <w:kern w:val="0"/>
                <w:sz w:val="18"/>
                <w:szCs w:val="18"/>
              </w:rPr>
            </w:pPr>
            <w:r>
              <w:rPr>
                <w:rFonts w:hint="eastAsia" w:ascii="宋体" w:hAnsi="宋体" w:cs="宋体"/>
                <w:kern w:val="0"/>
                <w:sz w:val="18"/>
                <w:szCs w:val="18"/>
              </w:rPr>
              <w:t>含水率/%</w:t>
            </w:r>
          </w:p>
        </w:tc>
        <w:tc>
          <w:tcPr>
            <w:tcW w:w="1994" w:type="dxa"/>
            <w:vAlign w:val="center"/>
          </w:tcPr>
          <w:p w14:paraId="22D6C28A">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23F1F7EF">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14C15076">
            <w:pPr>
              <w:jc w:val="center"/>
              <w:rPr>
                <w:rFonts w:hint="eastAsia" w:ascii="宋体" w:hAnsi="宋体" w:cs="宋体"/>
                <w:sz w:val="18"/>
                <w:szCs w:val="18"/>
              </w:rPr>
            </w:pPr>
            <w:r>
              <w:rPr>
                <w:rFonts w:hint="eastAsia" w:ascii="宋体" w:hAnsi="宋体" w:cs="宋体"/>
                <w:sz w:val="18"/>
                <w:szCs w:val="18"/>
              </w:rPr>
              <w:t>≤0.8</w:t>
            </w:r>
          </w:p>
        </w:tc>
      </w:tr>
      <w:tr w14:paraId="50D8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DBAD24B">
            <w:pPr>
              <w:spacing w:line="24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2640" w:type="dxa"/>
            <w:vAlign w:val="center"/>
          </w:tcPr>
          <w:p w14:paraId="73225E89">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断裂拉伸强度/MPa</w:t>
            </w:r>
          </w:p>
        </w:tc>
        <w:tc>
          <w:tcPr>
            <w:tcW w:w="1994" w:type="dxa"/>
            <w:vAlign w:val="center"/>
          </w:tcPr>
          <w:p w14:paraId="08919F11">
            <w:pPr>
              <w:jc w:val="center"/>
              <w:rPr>
                <w:rFonts w:hint="eastAsia" w:ascii="宋体" w:hAnsi="宋体" w:cs="宋体"/>
                <w:sz w:val="18"/>
                <w:szCs w:val="18"/>
              </w:rPr>
            </w:pPr>
            <w:r>
              <w:rPr>
                <w:rFonts w:hint="eastAsia" w:ascii="宋体" w:hAnsi="宋体" w:cs="宋体"/>
                <w:sz w:val="18"/>
                <w:szCs w:val="18"/>
              </w:rPr>
              <w:t>≥15</w:t>
            </w:r>
          </w:p>
        </w:tc>
        <w:tc>
          <w:tcPr>
            <w:tcW w:w="1854" w:type="dxa"/>
            <w:vAlign w:val="center"/>
          </w:tcPr>
          <w:p w14:paraId="558FF4DD">
            <w:pPr>
              <w:jc w:val="center"/>
              <w:rPr>
                <w:rFonts w:hint="eastAsia" w:ascii="宋体" w:hAnsi="宋体" w:cs="宋体"/>
                <w:sz w:val="18"/>
                <w:szCs w:val="18"/>
              </w:rPr>
            </w:pPr>
            <w:r>
              <w:rPr>
                <w:rFonts w:hint="eastAsia" w:ascii="宋体" w:hAnsi="宋体" w:cs="宋体"/>
                <w:sz w:val="18"/>
                <w:szCs w:val="18"/>
              </w:rPr>
              <w:t>≥10</w:t>
            </w:r>
          </w:p>
        </w:tc>
        <w:tc>
          <w:tcPr>
            <w:tcW w:w="1900" w:type="dxa"/>
            <w:vAlign w:val="center"/>
          </w:tcPr>
          <w:p w14:paraId="0EB1AA24">
            <w:pPr>
              <w:jc w:val="center"/>
              <w:rPr>
                <w:rFonts w:hint="eastAsia" w:ascii="宋体" w:hAnsi="宋体" w:cs="宋体"/>
                <w:sz w:val="18"/>
                <w:szCs w:val="18"/>
              </w:rPr>
            </w:pPr>
            <w:r>
              <w:rPr>
                <w:rFonts w:hint="eastAsia" w:ascii="宋体" w:hAnsi="宋体" w:cs="宋体"/>
                <w:sz w:val="18"/>
                <w:szCs w:val="18"/>
              </w:rPr>
              <w:t>≥10</w:t>
            </w:r>
          </w:p>
        </w:tc>
      </w:tr>
      <w:tr w14:paraId="3EB00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28DB1B8E">
            <w:pPr>
              <w:spacing w:line="240" w:lineRule="auto"/>
              <w:jc w:val="center"/>
              <w:rPr>
                <w:rFonts w:hint="eastAsia" w:ascii="宋体" w:hAnsi="宋体" w:cs="宋体"/>
                <w:kern w:val="0"/>
                <w:sz w:val="18"/>
                <w:szCs w:val="18"/>
              </w:rPr>
            </w:pPr>
            <w:r>
              <w:rPr>
                <w:rFonts w:hint="eastAsia" w:ascii="宋体" w:hAnsi="宋体" w:cs="宋体"/>
                <w:kern w:val="0"/>
                <w:sz w:val="18"/>
                <w:szCs w:val="18"/>
              </w:rPr>
              <w:t>6</w:t>
            </w:r>
          </w:p>
        </w:tc>
        <w:tc>
          <w:tcPr>
            <w:tcW w:w="2640" w:type="dxa"/>
            <w:vAlign w:val="center"/>
          </w:tcPr>
          <w:p w14:paraId="78BCDE24">
            <w:pPr>
              <w:spacing w:line="240" w:lineRule="auto"/>
              <w:jc w:val="center"/>
              <w:rPr>
                <w:rFonts w:hint="eastAsia" w:ascii="宋体" w:hAnsi="宋体" w:cs="宋体"/>
                <w:kern w:val="0"/>
                <w:sz w:val="18"/>
                <w:szCs w:val="18"/>
              </w:rPr>
            </w:pPr>
            <w:r>
              <w:rPr>
                <w:rFonts w:hint="eastAsia" w:ascii="宋体" w:hAnsi="宋体" w:cs="宋体"/>
                <w:kern w:val="0"/>
                <w:sz w:val="18"/>
                <w:szCs w:val="18"/>
              </w:rPr>
              <w:t>断裂拉伸应变/%</w:t>
            </w:r>
          </w:p>
        </w:tc>
        <w:tc>
          <w:tcPr>
            <w:tcW w:w="1994" w:type="dxa"/>
            <w:vAlign w:val="center"/>
          </w:tcPr>
          <w:p w14:paraId="00A2F6D4">
            <w:pPr>
              <w:jc w:val="center"/>
              <w:rPr>
                <w:rFonts w:hint="eastAsia" w:ascii="宋体" w:hAnsi="宋体" w:cs="宋体"/>
                <w:sz w:val="18"/>
                <w:szCs w:val="18"/>
              </w:rPr>
            </w:pPr>
            <w:r>
              <w:rPr>
                <w:rFonts w:hint="eastAsia" w:ascii="宋体" w:hAnsi="宋体" w:cs="宋体"/>
                <w:sz w:val="18"/>
                <w:szCs w:val="18"/>
              </w:rPr>
              <w:t>≥500</w:t>
            </w:r>
          </w:p>
        </w:tc>
        <w:tc>
          <w:tcPr>
            <w:tcW w:w="1854" w:type="dxa"/>
            <w:vAlign w:val="center"/>
          </w:tcPr>
          <w:p w14:paraId="06E3DE4A">
            <w:pPr>
              <w:jc w:val="center"/>
              <w:rPr>
                <w:rFonts w:hint="eastAsia" w:ascii="宋体" w:hAnsi="宋体" w:cs="宋体"/>
                <w:sz w:val="18"/>
                <w:szCs w:val="18"/>
              </w:rPr>
            </w:pPr>
            <w:r>
              <w:rPr>
                <w:rFonts w:hint="eastAsia" w:ascii="宋体" w:hAnsi="宋体" w:cs="宋体"/>
                <w:sz w:val="18"/>
                <w:szCs w:val="18"/>
              </w:rPr>
              <w:t>≥300</w:t>
            </w:r>
          </w:p>
        </w:tc>
        <w:tc>
          <w:tcPr>
            <w:tcW w:w="1900" w:type="dxa"/>
            <w:vAlign w:val="center"/>
          </w:tcPr>
          <w:p w14:paraId="6ED363FE">
            <w:pPr>
              <w:jc w:val="center"/>
              <w:rPr>
                <w:rFonts w:hint="eastAsia" w:ascii="宋体" w:hAnsi="宋体" w:cs="宋体"/>
                <w:sz w:val="18"/>
                <w:szCs w:val="18"/>
              </w:rPr>
            </w:pPr>
            <w:r>
              <w:rPr>
                <w:rFonts w:hint="eastAsia" w:ascii="宋体" w:hAnsi="宋体" w:cs="宋体"/>
                <w:sz w:val="18"/>
                <w:szCs w:val="18"/>
              </w:rPr>
              <w:t>≥200</w:t>
            </w:r>
          </w:p>
        </w:tc>
      </w:tr>
      <w:tr w14:paraId="31D5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02C6AD6A">
            <w:pPr>
              <w:spacing w:line="240" w:lineRule="auto"/>
              <w:jc w:val="center"/>
              <w:rPr>
                <w:rFonts w:hint="eastAsia" w:ascii="宋体" w:hAnsi="宋体" w:cs="宋体"/>
                <w:kern w:val="0"/>
                <w:sz w:val="18"/>
                <w:szCs w:val="18"/>
              </w:rPr>
            </w:pPr>
            <w:bookmarkStart w:id="25" w:name="_Toc9096"/>
            <w:r>
              <w:rPr>
                <w:rFonts w:hint="eastAsia" w:ascii="宋体" w:hAnsi="宋体" w:cs="宋体"/>
                <w:kern w:val="0"/>
                <w:sz w:val="18"/>
                <w:szCs w:val="18"/>
              </w:rPr>
              <w:t>7</w:t>
            </w:r>
          </w:p>
        </w:tc>
        <w:tc>
          <w:tcPr>
            <w:tcW w:w="2640" w:type="dxa"/>
            <w:vAlign w:val="center"/>
          </w:tcPr>
          <w:p w14:paraId="1AF769F7">
            <w:pPr>
              <w:spacing w:line="240" w:lineRule="auto"/>
              <w:jc w:val="center"/>
              <w:rPr>
                <w:rFonts w:hint="eastAsia" w:ascii="宋体" w:hAnsi="宋体" w:cs="宋体"/>
                <w:kern w:val="0"/>
                <w:sz w:val="18"/>
                <w:szCs w:val="18"/>
              </w:rPr>
            </w:pPr>
            <w:r>
              <w:rPr>
                <w:rFonts w:hint="eastAsia" w:ascii="宋体" w:hAnsi="宋体" w:cs="宋体"/>
                <w:kern w:val="0"/>
                <w:sz w:val="18"/>
                <w:szCs w:val="18"/>
              </w:rPr>
              <w:t>维卡软化点/℃</w:t>
            </w:r>
          </w:p>
        </w:tc>
        <w:tc>
          <w:tcPr>
            <w:tcW w:w="1994" w:type="dxa"/>
            <w:vAlign w:val="center"/>
          </w:tcPr>
          <w:p w14:paraId="20A8F3E3">
            <w:pPr>
              <w:jc w:val="center"/>
              <w:rPr>
                <w:rFonts w:hint="eastAsia" w:ascii="宋体" w:hAnsi="宋体" w:cs="宋体"/>
                <w:sz w:val="18"/>
                <w:szCs w:val="18"/>
              </w:rPr>
            </w:pPr>
            <w:r>
              <w:rPr>
                <w:rFonts w:hint="eastAsia" w:ascii="宋体" w:hAnsi="宋体" w:cs="宋体"/>
                <w:sz w:val="18"/>
                <w:szCs w:val="18"/>
              </w:rPr>
              <w:t>120±5</w:t>
            </w:r>
          </w:p>
        </w:tc>
        <w:tc>
          <w:tcPr>
            <w:tcW w:w="1854" w:type="dxa"/>
            <w:vAlign w:val="center"/>
          </w:tcPr>
          <w:p w14:paraId="0CA11D11">
            <w:pPr>
              <w:jc w:val="center"/>
              <w:rPr>
                <w:rFonts w:hint="eastAsia" w:ascii="宋体" w:hAnsi="宋体" w:cs="宋体"/>
                <w:sz w:val="18"/>
                <w:szCs w:val="18"/>
              </w:rPr>
            </w:pPr>
            <w:r>
              <w:rPr>
                <w:rFonts w:hint="eastAsia" w:ascii="宋体" w:hAnsi="宋体" w:cs="宋体"/>
                <w:sz w:val="18"/>
                <w:szCs w:val="18"/>
              </w:rPr>
              <w:t>120±10</w:t>
            </w:r>
          </w:p>
        </w:tc>
        <w:tc>
          <w:tcPr>
            <w:tcW w:w="1900" w:type="dxa"/>
            <w:vAlign w:val="center"/>
          </w:tcPr>
          <w:p w14:paraId="1BE4C13C">
            <w:pPr>
              <w:jc w:val="center"/>
              <w:rPr>
                <w:rFonts w:hint="eastAsia" w:ascii="宋体" w:hAnsi="宋体" w:cs="宋体"/>
                <w:sz w:val="18"/>
                <w:szCs w:val="18"/>
              </w:rPr>
            </w:pPr>
            <w:r>
              <w:rPr>
                <w:rFonts w:hint="eastAsia" w:ascii="宋体" w:hAnsi="宋体" w:cs="宋体"/>
                <w:sz w:val="18"/>
                <w:szCs w:val="18"/>
              </w:rPr>
              <w:t>120±20</w:t>
            </w:r>
          </w:p>
        </w:tc>
      </w:tr>
      <w:tr w14:paraId="4C5C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784" w:type="dxa"/>
            <w:vAlign w:val="center"/>
          </w:tcPr>
          <w:p w14:paraId="76F76FD1">
            <w:pPr>
              <w:spacing w:line="240" w:lineRule="auto"/>
              <w:jc w:val="center"/>
              <w:rPr>
                <w:rFonts w:hint="eastAsia" w:ascii="宋体" w:hAnsi="宋体" w:cs="宋体"/>
                <w:kern w:val="0"/>
                <w:sz w:val="18"/>
                <w:szCs w:val="18"/>
              </w:rPr>
            </w:pPr>
            <w:r>
              <w:rPr>
                <w:rFonts w:hint="eastAsia" w:ascii="宋体" w:hAnsi="宋体" w:cs="宋体"/>
                <w:kern w:val="0"/>
                <w:sz w:val="18"/>
                <w:szCs w:val="18"/>
              </w:rPr>
              <w:t>8</w:t>
            </w:r>
          </w:p>
        </w:tc>
        <w:tc>
          <w:tcPr>
            <w:tcW w:w="2640" w:type="dxa"/>
            <w:vAlign w:val="center"/>
          </w:tcPr>
          <w:p w14:paraId="0D899ACB">
            <w:pPr>
              <w:spacing w:line="240" w:lineRule="auto"/>
              <w:jc w:val="center"/>
              <w:rPr>
                <w:rFonts w:hint="eastAsia" w:ascii="宋体" w:hAnsi="宋体" w:cs="宋体"/>
                <w:kern w:val="0"/>
                <w:sz w:val="18"/>
                <w:szCs w:val="18"/>
              </w:rPr>
            </w:pPr>
            <w:r>
              <w:rPr>
                <w:rFonts w:hint="eastAsia" w:ascii="宋体" w:hAnsi="宋体" w:cs="宋体"/>
                <w:kern w:val="0"/>
                <w:sz w:val="18"/>
                <w:szCs w:val="18"/>
              </w:rPr>
              <w:t>灰分/%</w:t>
            </w:r>
          </w:p>
        </w:tc>
        <w:tc>
          <w:tcPr>
            <w:tcW w:w="1994" w:type="dxa"/>
            <w:vAlign w:val="center"/>
          </w:tcPr>
          <w:p w14:paraId="73040694">
            <w:pPr>
              <w:jc w:val="center"/>
              <w:rPr>
                <w:rFonts w:hint="eastAsia" w:ascii="宋体" w:hAnsi="宋体" w:cs="宋体"/>
                <w:sz w:val="18"/>
                <w:szCs w:val="18"/>
              </w:rPr>
            </w:pPr>
            <w:r>
              <w:rPr>
                <w:rFonts w:hint="eastAsia" w:ascii="宋体" w:hAnsi="宋体" w:cs="宋体"/>
                <w:sz w:val="18"/>
                <w:szCs w:val="18"/>
              </w:rPr>
              <w:t>≤0.1</w:t>
            </w:r>
          </w:p>
        </w:tc>
        <w:tc>
          <w:tcPr>
            <w:tcW w:w="1854" w:type="dxa"/>
            <w:vAlign w:val="center"/>
          </w:tcPr>
          <w:p w14:paraId="7C7D5BBD">
            <w:pPr>
              <w:jc w:val="center"/>
              <w:rPr>
                <w:rFonts w:hint="eastAsia" w:ascii="宋体" w:hAnsi="宋体" w:cs="宋体"/>
                <w:sz w:val="18"/>
                <w:szCs w:val="18"/>
              </w:rPr>
            </w:pPr>
            <w:r>
              <w:rPr>
                <w:rFonts w:hint="eastAsia" w:ascii="宋体" w:hAnsi="宋体" w:cs="宋体"/>
                <w:sz w:val="18"/>
                <w:szCs w:val="18"/>
              </w:rPr>
              <w:t>≤0.5</w:t>
            </w:r>
          </w:p>
        </w:tc>
        <w:tc>
          <w:tcPr>
            <w:tcW w:w="1900" w:type="dxa"/>
            <w:vAlign w:val="center"/>
          </w:tcPr>
          <w:p w14:paraId="70356B27">
            <w:pPr>
              <w:jc w:val="center"/>
              <w:rPr>
                <w:rFonts w:hint="eastAsia" w:ascii="宋体" w:hAnsi="宋体" w:cs="宋体"/>
                <w:sz w:val="18"/>
                <w:szCs w:val="18"/>
              </w:rPr>
            </w:pPr>
            <w:r>
              <w:rPr>
                <w:rFonts w:hint="eastAsia" w:ascii="宋体" w:hAnsi="宋体" w:cs="宋体"/>
                <w:sz w:val="18"/>
                <w:szCs w:val="18"/>
              </w:rPr>
              <w:t>≤1</w:t>
            </w:r>
          </w:p>
        </w:tc>
      </w:tr>
    </w:tbl>
    <w:p w14:paraId="17FFB6C9">
      <w:pPr>
        <w:pStyle w:val="16"/>
        <w:spacing w:before="120" w:after="120"/>
        <w:rPr>
          <w:rStyle w:val="17"/>
          <w:rFonts w:hint="eastAsia" w:cs="Times New Roman"/>
          <w:lang w:eastAsia="zh-CN"/>
        </w:rPr>
      </w:pPr>
      <w:r>
        <w:rPr>
          <w:rStyle w:val="17"/>
          <w:rFonts w:hint="eastAsia" w:cs="Times New Roman"/>
          <w:lang w:eastAsia="zh-CN"/>
        </w:rPr>
        <w:t>生物降解性能</w:t>
      </w:r>
      <w:bookmarkEnd w:id="25"/>
    </w:p>
    <w:p w14:paraId="4813EFD2">
      <w:pPr>
        <w:pStyle w:val="13"/>
        <w:spacing w:after="300" w:line="329" w:lineRule="exact"/>
        <w:rPr>
          <w:rFonts w:hint="eastAsia"/>
          <w:color w:val="auto"/>
          <w:sz w:val="21"/>
          <w:szCs w:val="21"/>
          <w:lang w:val="en-US" w:eastAsia="zh-CN"/>
        </w:rPr>
      </w:pPr>
      <w:r>
        <w:rPr>
          <w:rFonts w:hint="eastAsia"/>
          <w:color w:val="auto"/>
          <w:sz w:val="21"/>
          <w:szCs w:val="21"/>
          <w:lang w:val="en-US" w:eastAsia="zh-CN"/>
        </w:rPr>
        <w:t>改性料的生物降解性能应满足DB46/T 505-2020中4.2条的要求。</w:t>
      </w:r>
    </w:p>
    <w:p w14:paraId="3FE42AF9">
      <w:pPr>
        <w:pStyle w:val="10"/>
        <w:spacing w:before="240" w:after="240"/>
        <w:rPr>
          <w:rFonts w:hint="eastAsia"/>
        </w:rPr>
      </w:pPr>
      <w:bookmarkStart w:id="26" w:name="_Toc6928"/>
      <w:r>
        <w:rPr>
          <w:rFonts w:hint="eastAsia"/>
        </w:rPr>
        <w:t>试验方法</w:t>
      </w:r>
      <w:bookmarkEnd w:id="26"/>
    </w:p>
    <w:p w14:paraId="2F516A93">
      <w:pPr>
        <w:pStyle w:val="16"/>
        <w:spacing w:before="120" w:after="120"/>
        <w:rPr>
          <w:rStyle w:val="17"/>
          <w:rFonts w:hint="eastAsia" w:cs="Times New Roman"/>
          <w:lang w:eastAsia="zh-CN"/>
        </w:rPr>
      </w:pPr>
      <w:bookmarkStart w:id="27" w:name="_Toc4300"/>
      <w:r>
        <w:rPr>
          <w:rStyle w:val="17"/>
          <w:rFonts w:hint="eastAsia" w:cs="Times New Roman"/>
          <w:lang w:eastAsia="zh-CN"/>
        </w:rPr>
        <w:t>试样制备</w:t>
      </w:r>
      <w:bookmarkEnd w:id="27"/>
    </w:p>
    <w:p w14:paraId="61725441">
      <w:pPr>
        <w:pStyle w:val="11"/>
        <w:rPr>
          <w:lang w:eastAsia="zh-CN"/>
        </w:rPr>
      </w:pPr>
      <w:r>
        <w:rPr>
          <w:rFonts w:hint="eastAsia"/>
          <w:lang w:eastAsia="zh-CN"/>
        </w:rPr>
        <w:t>注塑试样按GB/T17037.1的规定进行，选用A1型和B1型模具。注塑时应使用合适的工艺以获得无缺陷的模塑件。</w:t>
      </w:r>
    </w:p>
    <w:p w14:paraId="7A172D0F">
      <w:pPr>
        <w:pStyle w:val="16"/>
        <w:spacing w:before="120" w:after="120"/>
        <w:rPr>
          <w:rStyle w:val="17"/>
          <w:rFonts w:hint="eastAsia" w:cs="Times New Roman"/>
          <w:lang w:eastAsia="zh-CN"/>
        </w:rPr>
      </w:pPr>
      <w:bookmarkStart w:id="28" w:name="_Toc29964"/>
      <w:r>
        <w:rPr>
          <w:rStyle w:val="17"/>
          <w:rFonts w:hint="eastAsia" w:cs="Times New Roman"/>
          <w:lang w:eastAsia="zh-CN"/>
        </w:rPr>
        <w:t>试样状态调节和试验的标准环境</w:t>
      </w:r>
      <w:bookmarkEnd w:id="28"/>
    </w:p>
    <w:p w14:paraId="6628846B">
      <w:pPr>
        <w:pStyle w:val="11"/>
        <w:rPr>
          <w:lang w:eastAsia="zh-CN"/>
        </w:rPr>
      </w:pPr>
      <w:r>
        <w:rPr>
          <w:rFonts w:hint="eastAsia"/>
          <w:lang w:eastAsia="zh-CN"/>
        </w:rPr>
        <w:t>除另有规定外，按GB/T2918中的标准环境(23℃士2℃,相对湿度50%士10%)进行，并在此条件下进行试验，状态调节时间至少40h,但不超过96h。</w:t>
      </w:r>
    </w:p>
    <w:p w14:paraId="3B6CF355">
      <w:pPr>
        <w:pStyle w:val="16"/>
        <w:spacing w:before="120" w:after="120"/>
        <w:rPr>
          <w:rStyle w:val="17"/>
          <w:rFonts w:hint="eastAsia" w:cs="Times New Roman"/>
          <w:lang w:eastAsia="zh-CN"/>
        </w:rPr>
      </w:pPr>
      <w:bookmarkStart w:id="29" w:name="_Toc10399"/>
      <w:r>
        <w:rPr>
          <w:rStyle w:val="17"/>
          <w:rFonts w:hint="eastAsia" w:cs="Times New Roman"/>
          <w:lang w:eastAsia="zh-CN"/>
        </w:rPr>
        <w:t>外观及颜色</w:t>
      </w:r>
      <w:bookmarkEnd w:id="29"/>
    </w:p>
    <w:p w14:paraId="5DBFE463">
      <w:pPr>
        <w:pStyle w:val="11"/>
        <w:rPr>
          <w:lang w:eastAsia="zh-CN"/>
        </w:rPr>
      </w:pPr>
      <w:r>
        <w:rPr>
          <w:rFonts w:hint="eastAsia"/>
          <w:lang w:eastAsia="zh-CN"/>
        </w:rPr>
        <w:t>在自然光下目测检查。</w:t>
      </w:r>
    </w:p>
    <w:p w14:paraId="25A98202">
      <w:pPr>
        <w:pStyle w:val="16"/>
        <w:spacing w:before="120" w:after="120"/>
        <w:rPr>
          <w:rStyle w:val="17"/>
          <w:rFonts w:hint="eastAsia" w:cs="Times New Roman"/>
          <w:lang w:eastAsia="zh-CN"/>
        </w:rPr>
      </w:pPr>
      <w:r>
        <w:rPr>
          <w:rStyle w:val="17"/>
          <w:rFonts w:hint="eastAsia" w:cs="Times New Roman"/>
          <w:lang w:eastAsia="zh-CN"/>
        </w:rPr>
        <w:t>密度</w:t>
      </w:r>
    </w:p>
    <w:p w14:paraId="72ED4A9C">
      <w:pPr>
        <w:pStyle w:val="11"/>
        <w:rPr>
          <w:lang w:eastAsia="zh-CN"/>
        </w:rPr>
      </w:pPr>
      <w:r>
        <w:rPr>
          <w:rFonts w:hint="eastAsia"/>
          <w:lang w:eastAsia="zh-CN"/>
        </w:rPr>
        <w:t>按GB/T 1033.1的规定进行，采用浸渍法，试验温度为25℃±1℃。</w:t>
      </w:r>
    </w:p>
    <w:p w14:paraId="1454323E">
      <w:pPr>
        <w:pStyle w:val="16"/>
        <w:spacing w:before="120" w:after="120"/>
        <w:rPr>
          <w:rStyle w:val="17"/>
          <w:rFonts w:hint="eastAsia" w:cs="Times New Roman"/>
          <w:lang w:eastAsia="zh-CN"/>
        </w:rPr>
      </w:pPr>
      <w:r>
        <w:rPr>
          <w:rStyle w:val="17"/>
          <w:rFonts w:hint="eastAsia" w:cs="Times New Roman"/>
          <w:lang w:eastAsia="zh-CN"/>
        </w:rPr>
        <w:t>熔点</w:t>
      </w:r>
    </w:p>
    <w:p w14:paraId="7D1839D4">
      <w:pPr>
        <w:pStyle w:val="11"/>
        <w:rPr>
          <w:rFonts w:hint="eastAsia" w:hAnsi="宋体" w:cs="宋体"/>
          <w:color w:val="000000" w:themeColor="text1"/>
          <w:sz w:val="18"/>
          <w:szCs w:val="18"/>
          <w14:textFill>
            <w14:solidFill>
              <w14:schemeClr w14:val="tx1"/>
            </w14:solidFill>
          </w14:textFill>
        </w:rPr>
      </w:pPr>
      <w:r>
        <w:rPr>
          <w:rFonts w:hint="eastAsia"/>
          <w:color w:val="000000" w:themeColor="text1"/>
          <w:lang w:eastAsia="zh-CN"/>
          <w14:textFill>
            <w14:solidFill>
              <w14:schemeClr w14:val="tx1"/>
            </w14:solidFill>
          </w14:textFill>
        </w:rPr>
        <w:t>按GB/T 19466.3的规定进行。</w:t>
      </w:r>
    </w:p>
    <w:p w14:paraId="256F7AE5">
      <w:pPr>
        <w:pStyle w:val="16"/>
        <w:spacing w:before="120" w:after="120"/>
        <w:rPr>
          <w:rStyle w:val="17"/>
          <w:rFonts w:hint="eastAsia" w:cs="Times New Roman"/>
          <w:lang w:eastAsia="zh-CN"/>
        </w:rPr>
      </w:pPr>
      <w:r>
        <w:rPr>
          <w:rStyle w:val="17"/>
          <w:rFonts w:hint="eastAsia" w:cs="Times New Roman"/>
          <w:lang w:eastAsia="zh-CN"/>
        </w:rPr>
        <w:t>熔体质量流动速率(MFR)</w:t>
      </w:r>
    </w:p>
    <w:p w14:paraId="40CA66DA">
      <w:pPr>
        <w:pStyle w:val="11"/>
        <w:rPr>
          <w:rStyle w:val="17"/>
          <w:rFonts w:hint="eastAsia" w:cs="Times New Roman"/>
          <w:lang w:eastAsia="zh-CN"/>
        </w:rPr>
      </w:pPr>
      <w:r>
        <w:rPr>
          <w:rFonts w:hint="eastAsia"/>
          <w:lang w:eastAsia="zh-CN"/>
        </w:rPr>
        <w:t>按GB/T 3682.1的规定进行。试验条件为温度</w:t>
      </w:r>
      <w:r>
        <w:rPr>
          <w:lang w:eastAsia="zh-CN"/>
        </w:rPr>
        <w:t>190</w:t>
      </w:r>
      <w:r>
        <w:rPr>
          <w:rFonts w:hint="eastAsia"/>
          <w:lang w:eastAsia="zh-CN"/>
        </w:rPr>
        <w:t>℃，负荷</w:t>
      </w:r>
      <w:r>
        <w:rPr>
          <w:lang w:eastAsia="zh-CN"/>
        </w:rPr>
        <w:t>2.16kg</w:t>
      </w:r>
      <w:r>
        <w:rPr>
          <w:rFonts w:hint="eastAsia"/>
          <w:lang w:eastAsia="zh-CN"/>
        </w:rPr>
        <w:t>。</w:t>
      </w:r>
    </w:p>
    <w:p w14:paraId="2FD893DC">
      <w:pPr>
        <w:pStyle w:val="16"/>
        <w:spacing w:before="120" w:after="120"/>
        <w:rPr>
          <w:rStyle w:val="17"/>
          <w:rFonts w:hint="eastAsia" w:cs="Times New Roman"/>
          <w:lang w:eastAsia="zh-CN"/>
        </w:rPr>
      </w:pPr>
      <w:r>
        <w:rPr>
          <w:rStyle w:val="17"/>
          <w:rFonts w:hint="eastAsia" w:cs="Times New Roman"/>
          <w:lang w:eastAsia="zh-CN"/>
        </w:rPr>
        <w:t>含水率</w:t>
      </w:r>
    </w:p>
    <w:p w14:paraId="22AD3085">
      <w:pPr>
        <w:pStyle w:val="11"/>
        <w:rPr>
          <w:lang w:eastAsia="zh-CN"/>
        </w:rPr>
      </w:pPr>
      <w:r>
        <w:rPr>
          <w:rFonts w:hint="eastAsia"/>
          <w:lang w:eastAsia="zh-CN"/>
        </w:rPr>
        <w:t>按GB/T 12006.2 的规定进行，采用B方法。</w:t>
      </w:r>
    </w:p>
    <w:p w14:paraId="692B30BC">
      <w:pPr>
        <w:pStyle w:val="16"/>
        <w:spacing w:before="120" w:after="120"/>
        <w:rPr>
          <w:rStyle w:val="17"/>
          <w:rFonts w:hint="eastAsia" w:cs="Times New Roman"/>
          <w:lang w:eastAsia="zh-CN"/>
        </w:rPr>
      </w:pPr>
      <w:r>
        <w:rPr>
          <w:rStyle w:val="17"/>
          <w:rFonts w:hint="eastAsia" w:cs="Times New Roman"/>
          <w:lang w:eastAsia="zh-CN"/>
        </w:rPr>
        <w:t>断裂拉伸强度和断裂拉伸应变</w:t>
      </w:r>
    </w:p>
    <w:p w14:paraId="38F99502">
      <w:pPr>
        <w:pStyle w:val="11"/>
        <w:rPr>
          <w:lang w:eastAsia="zh-CN"/>
        </w:rPr>
      </w:pPr>
      <w:r>
        <w:rPr>
          <w:rFonts w:hint="eastAsia"/>
          <w:lang w:eastAsia="zh-CN"/>
        </w:rPr>
        <w:t>按GB/T 1040.1和GB/T 1040.2的规定进行，试验速度为50mm/min。</w:t>
      </w:r>
    </w:p>
    <w:p w14:paraId="59D6391A">
      <w:pPr>
        <w:pStyle w:val="16"/>
        <w:spacing w:before="120" w:after="120"/>
        <w:rPr>
          <w:rStyle w:val="17"/>
          <w:rFonts w:hint="eastAsia" w:cs="Times New Roman"/>
          <w:lang w:eastAsia="zh-CN"/>
        </w:rPr>
      </w:pPr>
      <w:r>
        <w:rPr>
          <w:rStyle w:val="17"/>
          <w:rFonts w:hint="eastAsia" w:cs="Times New Roman"/>
          <w:lang w:eastAsia="zh-CN"/>
        </w:rPr>
        <w:t>维卡软化点</w:t>
      </w:r>
    </w:p>
    <w:p w14:paraId="0A599050">
      <w:pPr>
        <w:pStyle w:val="11"/>
        <w:rPr>
          <w:lang w:eastAsia="zh-CN"/>
        </w:rPr>
      </w:pPr>
      <w:r>
        <w:rPr>
          <w:rFonts w:hint="eastAsia"/>
          <w:lang w:eastAsia="zh-CN"/>
        </w:rPr>
        <w:t>按GB/T 1633的规定进行，试样尺寸为10mm×10mm×4mm，采用A</w:t>
      </w:r>
      <w:r>
        <w:rPr>
          <w:rFonts w:hint="eastAsia"/>
          <w:vertAlign w:val="subscript"/>
          <w:lang w:eastAsia="zh-CN"/>
        </w:rPr>
        <w:t>50</w:t>
      </w:r>
      <w:r>
        <w:rPr>
          <w:rFonts w:hint="eastAsia"/>
          <w:lang w:eastAsia="zh-CN"/>
        </w:rPr>
        <w:t>法。</w:t>
      </w:r>
    </w:p>
    <w:p w14:paraId="2901F5D3">
      <w:pPr>
        <w:pStyle w:val="16"/>
        <w:spacing w:before="120" w:after="120"/>
        <w:rPr>
          <w:rStyle w:val="17"/>
          <w:rFonts w:hint="eastAsia" w:cs="Times New Roman"/>
          <w:lang w:eastAsia="zh-CN"/>
        </w:rPr>
      </w:pPr>
      <w:r>
        <w:rPr>
          <w:rStyle w:val="17"/>
          <w:rFonts w:hint="eastAsia" w:cs="Times New Roman"/>
          <w:lang w:eastAsia="zh-CN"/>
        </w:rPr>
        <w:t>灰分</w:t>
      </w:r>
    </w:p>
    <w:p w14:paraId="4B40724C">
      <w:pPr>
        <w:pStyle w:val="11"/>
        <w:rPr>
          <w:lang w:eastAsia="zh-CN"/>
        </w:rPr>
      </w:pPr>
      <w:r>
        <w:rPr>
          <w:rFonts w:hint="eastAsia"/>
          <w:lang w:eastAsia="zh-CN"/>
        </w:rPr>
        <w:t>按 GB/T 9345.1的规定进行，采用直接燃烧法（A法），灼烧温度800℃±25℃。</w:t>
      </w:r>
    </w:p>
    <w:p w14:paraId="026DB4DD">
      <w:pPr>
        <w:pStyle w:val="10"/>
        <w:spacing w:before="240" w:after="240"/>
        <w:rPr>
          <w:rFonts w:hint="eastAsia"/>
        </w:rPr>
      </w:pPr>
      <w:bookmarkStart w:id="30" w:name="_Toc6879"/>
      <w:r>
        <w:rPr>
          <w:rFonts w:hint="eastAsia"/>
        </w:rPr>
        <w:t>检验规则</w:t>
      </w:r>
      <w:bookmarkEnd w:id="30"/>
    </w:p>
    <w:p w14:paraId="45C0414D">
      <w:pPr>
        <w:pStyle w:val="16"/>
        <w:spacing w:before="120" w:after="120"/>
        <w:rPr>
          <w:rStyle w:val="17"/>
          <w:rFonts w:hint="eastAsia" w:cs="Times New Roman"/>
          <w:lang w:eastAsia="zh-CN"/>
        </w:rPr>
      </w:pPr>
      <w:bookmarkStart w:id="31" w:name="_Toc21350"/>
      <w:r>
        <w:rPr>
          <w:rStyle w:val="17"/>
          <w:rFonts w:hint="eastAsia" w:cs="Times New Roman"/>
          <w:lang w:eastAsia="zh-CN"/>
        </w:rPr>
        <w:t>检验分类与检验项目</w:t>
      </w:r>
      <w:bookmarkEnd w:id="31"/>
    </w:p>
    <w:p w14:paraId="7B95F798">
      <w:pPr>
        <w:pStyle w:val="18"/>
        <w:spacing w:before="120" w:after="120"/>
        <w:rPr>
          <w:rFonts w:hint="eastAsia"/>
          <w:lang w:eastAsia="zh-CN"/>
        </w:rPr>
      </w:pPr>
      <w:bookmarkStart w:id="32" w:name="_Toc6504"/>
      <w:r>
        <w:rPr>
          <w:rFonts w:hint="eastAsia"/>
          <w:lang w:eastAsia="zh-CN"/>
        </w:rPr>
        <w:t>检验分类</w:t>
      </w:r>
      <w:bookmarkEnd w:id="32"/>
    </w:p>
    <w:p w14:paraId="43488425">
      <w:pPr>
        <w:spacing w:before="256" w:line="184" w:lineRule="auto"/>
        <w:ind w:firstLine="420"/>
        <w:rPr>
          <w:rFonts w:hint="eastAsia" w:ascii="宋体" w:hAnsi="宋体" w:cs="宋体"/>
        </w:rPr>
      </w:pPr>
      <w:r>
        <w:rPr>
          <w:rFonts w:ascii="宋体" w:hAnsi="宋体" w:cs="宋体"/>
          <w:spacing w:val="-1"/>
        </w:rPr>
        <w:t>检验分为型式检验和出厂检验两类。</w:t>
      </w:r>
    </w:p>
    <w:p w14:paraId="50025815">
      <w:pPr>
        <w:pStyle w:val="18"/>
        <w:spacing w:before="120" w:after="120"/>
        <w:rPr>
          <w:rFonts w:hint="eastAsia"/>
          <w:lang w:eastAsia="zh-CN"/>
        </w:rPr>
      </w:pPr>
      <w:bookmarkStart w:id="33" w:name="_Toc24656"/>
      <w:r>
        <w:rPr>
          <w:rFonts w:hint="eastAsia"/>
          <w:lang w:eastAsia="zh-CN"/>
        </w:rPr>
        <w:t>检验项目</w:t>
      </w:r>
      <w:bookmarkEnd w:id="33"/>
    </w:p>
    <w:p w14:paraId="04F9F2E7">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本文件规定的所有项目均为型式检验项目。</w:t>
      </w:r>
    </w:p>
    <w:p w14:paraId="03E83029">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本文件规定的所有项目均为型式检验项目。</w:t>
      </w:r>
    </w:p>
    <w:p w14:paraId="7D8C36C2">
      <w:pPr>
        <w:pStyle w:val="1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出厂检验项目为外观及颜色、密度、熔体质量流动速率(MFR)、含水率、断裂拉伸强度和断裂拉伸应变、灰分。</w:t>
      </w:r>
    </w:p>
    <w:p w14:paraId="071DB494">
      <w:pPr>
        <w:pStyle w:val="12"/>
        <w:ind w:firstLine="420"/>
      </w:pPr>
      <w:r>
        <w:rPr>
          <w:rFonts w:hint="eastAsia"/>
        </w:rPr>
        <w:t>当有下列情况时应进行型式检验：</w:t>
      </w:r>
    </w:p>
    <w:p w14:paraId="19A54E3C">
      <w:pPr>
        <w:pStyle w:val="12"/>
        <w:ind w:firstLine="420"/>
      </w:pPr>
      <w:r>
        <w:rPr>
          <w:rFonts w:hint="eastAsia"/>
        </w:rPr>
        <w:t>a）新产品或老产品转厂生产试制定型时；</w:t>
      </w:r>
    </w:p>
    <w:p w14:paraId="75B71DAC">
      <w:pPr>
        <w:pStyle w:val="12"/>
        <w:ind w:firstLine="420"/>
      </w:pPr>
      <w:r>
        <w:rPr>
          <w:rFonts w:hint="eastAsia"/>
        </w:rPr>
        <w:t>b）正式生产后，若原材料或配方有较大改变，可能影响产品性能时；</w:t>
      </w:r>
    </w:p>
    <w:p w14:paraId="0CFA5370">
      <w:pPr>
        <w:pStyle w:val="12"/>
        <w:ind w:firstLine="420"/>
      </w:pPr>
      <w:r>
        <w:rPr>
          <w:rFonts w:hint="eastAsia"/>
        </w:rPr>
        <w:t>c) 正式生产后，若工艺有较大改变，可能影响产品性能时；</w:t>
      </w:r>
    </w:p>
    <w:p w14:paraId="7A5F9E37">
      <w:pPr>
        <w:pStyle w:val="12"/>
        <w:ind w:firstLine="420"/>
      </w:pPr>
      <w:r>
        <w:rPr>
          <w:rFonts w:hint="eastAsia"/>
        </w:rPr>
        <w:t>d) 正常生产时，每12个月至少进行一次；</w:t>
      </w:r>
    </w:p>
    <w:p w14:paraId="41459C77">
      <w:pPr>
        <w:pStyle w:val="12"/>
        <w:ind w:firstLine="420"/>
      </w:pPr>
      <w:r>
        <w:rPr>
          <w:rFonts w:hint="eastAsia"/>
        </w:rPr>
        <w:t>e）产品装置检修或产品长期停产超过6个月后，恢复生产时；</w:t>
      </w:r>
    </w:p>
    <w:p w14:paraId="26905E12">
      <w:pPr>
        <w:pStyle w:val="12"/>
        <w:ind w:firstLine="420"/>
      </w:pPr>
      <w:r>
        <w:rPr>
          <w:rFonts w:hint="eastAsia"/>
        </w:rPr>
        <w:t>f）上级质量监督机构提出进行型式检验要求时。</w:t>
      </w:r>
    </w:p>
    <w:p w14:paraId="0B758E0B">
      <w:pPr>
        <w:spacing w:before="52" w:line="242" w:lineRule="exact"/>
        <w:ind w:firstLine="359"/>
        <w:rPr>
          <w:rFonts w:hint="eastAsia" w:ascii="宋体" w:hAnsi="宋体" w:cs="宋体"/>
          <w:sz w:val="18"/>
          <w:szCs w:val="18"/>
        </w:rPr>
      </w:pPr>
      <w:r>
        <w:rPr>
          <w:rFonts w:ascii="宋体" w:hAnsi="宋体" w:cs="宋体"/>
          <w:spacing w:val="-6"/>
          <w:sz w:val="18"/>
          <w:szCs w:val="18"/>
        </w:rPr>
        <w:t>注：上述型式检验情况的</w:t>
      </w:r>
      <w:r>
        <w:rPr>
          <w:rFonts w:ascii="宋体" w:hAnsi="宋体" w:cs="宋体"/>
          <w:spacing w:val="-38"/>
          <w:sz w:val="18"/>
          <w:szCs w:val="18"/>
        </w:rPr>
        <w:t xml:space="preserve"> </w:t>
      </w:r>
      <w:r>
        <w:rPr>
          <w:rFonts w:ascii="Times New Roman" w:hAnsi="Times New Roman" w:eastAsia="Times New Roman"/>
          <w:spacing w:val="-6"/>
          <w:sz w:val="18"/>
          <w:szCs w:val="18"/>
        </w:rPr>
        <w:t>c)</w:t>
      </w:r>
      <w:r>
        <w:rPr>
          <w:rFonts w:ascii="Times New Roman" w:hAnsi="Times New Roman" w:eastAsia="Times New Roman"/>
          <w:spacing w:val="-26"/>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d)</w:t>
      </w:r>
      <w:r>
        <w:rPr>
          <w:rFonts w:ascii="Times New Roman" w:hAnsi="Times New Roman" w:eastAsia="Times New Roman"/>
          <w:spacing w:val="-25"/>
          <w:sz w:val="18"/>
          <w:szCs w:val="18"/>
        </w:rPr>
        <w:t xml:space="preserve"> </w:t>
      </w:r>
      <w:r>
        <w:rPr>
          <w:rFonts w:ascii="宋体" w:hAnsi="宋体" w:cs="宋体"/>
          <w:spacing w:val="-6"/>
          <w:sz w:val="18"/>
          <w:szCs w:val="18"/>
        </w:rPr>
        <w:t>、</w:t>
      </w:r>
      <w:r>
        <w:rPr>
          <w:rFonts w:ascii="Times New Roman" w:hAnsi="Times New Roman" w:eastAsia="Times New Roman"/>
          <w:spacing w:val="-6"/>
          <w:sz w:val="18"/>
          <w:szCs w:val="18"/>
        </w:rPr>
        <w:t>e</w:t>
      </w:r>
      <w:r>
        <w:rPr>
          <w:rFonts w:ascii="宋体" w:hAnsi="宋体" w:cs="宋体"/>
          <w:spacing w:val="-6"/>
          <w:sz w:val="18"/>
          <w:szCs w:val="18"/>
        </w:rPr>
        <w:t>）可不进行</w:t>
      </w:r>
      <w:r>
        <w:rPr>
          <w:rFonts w:hint="eastAsia" w:ascii="宋体" w:hAnsi="宋体" w:cs="宋体"/>
          <w:spacing w:val="-6"/>
          <w:sz w:val="18"/>
          <w:szCs w:val="18"/>
        </w:rPr>
        <w:t>生物降解性能</w:t>
      </w:r>
      <w:r>
        <w:rPr>
          <w:rFonts w:ascii="宋体" w:hAnsi="宋体" w:cs="宋体"/>
          <w:spacing w:val="-6"/>
          <w:sz w:val="18"/>
          <w:szCs w:val="18"/>
        </w:rPr>
        <w:t>测试。</w:t>
      </w:r>
    </w:p>
    <w:p w14:paraId="37D6E3A2">
      <w:pPr>
        <w:pStyle w:val="16"/>
        <w:spacing w:before="120" w:after="120"/>
        <w:rPr>
          <w:rStyle w:val="17"/>
          <w:rFonts w:hint="eastAsia" w:cs="Times New Roman"/>
          <w:lang w:eastAsia="zh-CN"/>
        </w:rPr>
      </w:pPr>
      <w:bookmarkStart w:id="34" w:name="_Toc18881"/>
      <w:r>
        <w:rPr>
          <w:rStyle w:val="17"/>
          <w:rFonts w:hint="eastAsia" w:cs="Times New Roman"/>
          <w:lang w:eastAsia="zh-CN"/>
        </w:rPr>
        <w:t>组批规则与抽样方案</w:t>
      </w:r>
      <w:bookmarkEnd w:id="34"/>
    </w:p>
    <w:p w14:paraId="49E79B10">
      <w:pPr>
        <w:pStyle w:val="18"/>
        <w:spacing w:before="120" w:after="120"/>
        <w:rPr>
          <w:rFonts w:hint="eastAsia"/>
          <w:lang w:eastAsia="zh-CN"/>
        </w:rPr>
      </w:pPr>
      <w:bookmarkStart w:id="35" w:name="_Toc30758"/>
      <w:r>
        <w:rPr>
          <w:rFonts w:hint="eastAsia"/>
          <w:lang w:eastAsia="zh-CN"/>
        </w:rPr>
        <w:t>组批规则</w:t>
      </w:r>
      <w:bookmarkEnd w:id="35"/>
    </w:p>
    <w:p w14:paraId="55348D27">
      <w:pPr>
        <w:spacing w:before="236" w:line="274" w:lineRule="auto"/>
        <w:ind w:left="5" w:right="165" w:firstLine="428"/>
        <w:rPr>
          <w:rFonts w:hint="eastAsia" w:ascii="宋体" w:hAnsi="宋体" w:cs="宋体"/>
        </w:rPr>
      </w:pPr>
      <w:r>
        <w:rPr>
          <w:rFonts w:hint="eastAsia"/>
        </w:rPr>
        <w:t>全生物降解塑料购物袋类使用的改性料</w:t>
      </w:r>
      <w:r>
        <w:rPr>
          <w:rFonts w:ascii="宋体" w:hAnsi="宋体" w:cs="宋体"/>
          <w:spacing w:val="-1"/>
        </w:rPr>
        <w:t>由同一生产线上、相同原料、相同配方、相同工艺生产的同一牌号的产品组批。生产厂可按—定生产周期或储存料仓为一批对产品进组批。</w:t>
      </w:r>
    </w:p>
    <w:p w14:paraId="5C17F0ED">
      <w:pPr>
        <w:spacing w:line="204" w:lineRule="auto"/>
        <w:ind w:firstLine="425"/>
        <w:rPr>
          <w:rFonts w:hint="eastAsia" w:ascii="宋体" w:hAnsi="宋体" w:cs="宋体"/>
        </w:rPr>
      </w:pPr>
      <w:r>
        <w:rPr>
          <w:rFonts w:ascii="宋体" w:hAnsi="宋体" w:cs="宋体"/>
          <w:spacing w:val="-1"/>
        </w:rPr>
        <w:t>产品以组批为单位进行检验和验收。</w:t>
      </w:r>
    </w:p>
    <w:p w14:paraId="1D82932F">
      <w:pPr>
        <w:pStyle w:val="18"/>
        <w:spacing w:before="120" w:after="120"/>
        <w:rPr>
          <w:rFonts w:hint="eastAsia"/>
          <w:lang w:eastAsia="zh-CN"/>
        </w:rPr>
      </w:pPr>
      <w:bookmarkStart w:id="36" w:name="_Toc32058"/>
      <w:r>
        <w:rPr>
          <w:rFonts w:hint="eastAsia"/>
          <w:lang w:eastAsia="zh-CN"/>
        </w:rPr>
        <w:t>抽样方案</w:t>
      </w:r>
      <w:bookmarkEnd w:id="36"/>
    </w:p>
    <w:p w14:paraId="355538CF">
      <w:pPr>
        <w:pStyle w:val="11"/>
        <w:rPr>
          <w:rFonts w:hint="eastAsia" w:hAnsi="宋体" w:cs="宋体"/>
          <w:spacing w:val="-1"/>
          <w:lang w:eastAsia="zh-CN"/>
        </w:rPr>
      </w:pPr>
      <w:r>
        <w:rPr>
          <w:rFonts w:hAnsi="宋体" w:cs="宋体"/>
          <w:spacing w:val="-2"/>
          <w:lang w:eastAsia="zh-CN"/>
        </w:rPr>
        <w:t>可在料仓的取样口抽样，也可根据生产周</w:t>
      </w:r>
      <w:r>
        <w:rPr>
          <w:rFonts w:hAnsi="宋体" w:cs="宋体"/>
          <w:spacing w:val="-1"/>
          <w:lang w:eastAsia="zh-CN"/>
        </w:rPr>
        <w:t>期等实际情况确定具体的抽样方案。包装后产品的取样应按</w:t>
      </w:r>
      <w:r>
        <w:rPr>
          <w:rFonts w:hAnsi="宋体" w:cs="宋体"/>
          <w:spacing w:val="-42"/>
          <w:lang w:eastAsia="zh-CN"/>
        </w:rPr>
        <w:t xml:space="preserve"> </w:t>
      </w:r>
      <w:r>
        <w:rPr>
          <w:rFonts w:ascii="Times New Roman" w:eastAsia="Times New Roman" w:cs="Times New Roman"/>
          <w:spacing w:val="-1"/>
          <w:lang w:eastAsia="zh-CN"/>
        </w:rPr>
        <w:t>GB/T</w:t>
      </w:r>
      <w:r>
        <w:rPr>
          <w:rFonts w:ascii="Times New Roman" w:eastAsia="Times New Roman" w:cs="Times New Roman"/>
          <w:spacing w:val="5"/>
          <w:lang w:eastAsia="zh-CN"/>
        </w:rPr>
        <w:t xml:space="preserve"> </w:t>
      </w:r>
      <w:r>
        <w:rPr>
          <w:rFonts w:ascii="Times New Roman" w:eastAsia="Times New Roman" w:cs="Times New Roman"/>
          <w:spacing w:val="-1"/>
          <w:lang w:eastAsia="zh-CN"/>
        </w:rPr>
        <w:t>2547</w:t>
      </w:r>
      <w:r>
        <w:rPr>
          <w:rFonts w:hAnsi="宋体" w:cs="宋体"/>
          <w:spacing w:val="-1"/>
          <w:lang w:eastAsia="zh-CN"/>
        </w:rPr>
        <w:t>规定进行。</w:t>
      </w:r>
    </w:p>
    <w:p w14:paraId="217122A9">
      <w:pPr>
        <w:pStyle w:val="16"/>
        <w:spacing w:before="120" w:after="120"/>
        <w:rPr>
          <w:rStyle w:val="17"/>
          <w:rFonts w:hint="eastAsia" w:cs="Times New Roman"/>
          <w:lang w:eastAsia="zh-CN"/>
        </w:rPr>
      </w:pPr>
      <w:bookmarkStart w:id="37" w:name="_Toc3044"/>
      <w:r>
        <w:rPr>
          <w:rStyle w:val="17"/>
          <w:rFonts w:cs="Times New Roman"/>
          <w:lang w:eastAsia="zh-CN"/>
        </w:rPr>
        <w:t>判定规则</w:t>
      </w:r>
      <w:bookmarkEnd w:id="37"/>
    </w:p>
    <w:p w14:paraId="0C4B6F7C">
      <w:pPr>
        <w:pStyle w:val="11"/>
        <w:rPr>
          <w:rFonts w:hint="eastAsia" w:hAnsi="宋体" w:cs="宋体"/>
          <w:spacing w:val="-2"/>
          <w:lang w:eastAsia="zh-CN"/>
        </w:rPr>
      </w:pPr>
      <w:r>
        <w:rPr>
          <w:rFonts w:hAnsi="宋体" w:cs="宋体"/>
          <w:spacing w:val="-2"/>
          <w:lang w:eastAsia="zh-CN"/>
        </w:rPr>
        <w:t>当检验结果中有一项检验项目不合格时，应重新自同批产品中抽取两倍量的样本复验不合格项，以复验结果为准。复验有一项不合格，则判定整批为不合格产品。</w:t>
      </w:r>
    </w:p>
    <w:p w14:paraId="4500A377">
      <w:pPr>
        <w:pStyle w:val="10"/>
        <w:spacing w:before="240" w:after="240"/>
        <w:rPr>
          <w:rFonts w:hint="eastAsia"/>
        </w:rPr>
      </w:pPr>
      <w:bookmarkStart w:id="38" w:name="_Toc23080"/>
      <w:r>
        <w:rPr>
          <w:rFonts w:hint="eastAsia"/>
        </w:rPr>
        <w:t>标志</w:t>
      </w:r>
      <w:bookmarkEnd w:id="38"/>
    </w:p>
    <w:p w14:paraId="448BE7A5">
      <w:pPr>
        <w:spacing w:before="69" w:line="274" w:lineRule="auto"/>
        <w:ind w:left="6" w:firstLine="427"/>
        <w:rPr>
          <w:rFonts w:hint="eastAsia" w:ascii="宋体" w:hAnsi="宋体" w:cs="宋体"/>
        </w:rPr>
      </w:pPr>
      <w:r>
        <w:rPr>
          <w:rFonts w:ascii="宋体" w:hAnsi="宋体" w:cs="宋体"/>
          <w:spacing w:val="-2"/>
        </w:rPr>
        <w:t>产品的外包装袋上应有明显、清晰、牢固</w:t>
      </w:r>
      <w:r>
        <w:rPr>
          <w:rFonts w:ascii="宋体" w:hAnsi="宋体" w:cs="宋体"/>
          <w:spacing w:val="-8"/>
        </w:rPr>
        <w:t>的标志。标志内容可包括：生产厂名称、厂址、标准号、产品名称、型号、批号(含生产日期）</w:t>
      </w:r>
      <w:r>
        <w:rPr>
          <w:rFonts w:ascii="宋体" w:hAnsi="宋体" w:cs="宋体"/>
          <w:spacing w:val="-2"/>
        </w:rPr>
        <w:t>和净含量等。</w:t>
      </w:r>
    </w:p>
    <w:p w14:paraId="46426F7F">
      <w:pPr>
        <w:pStyle w:val="10"/>
        <w:spacing w:before="240" w:after="240"/>
        <w:rPr>
          <w:rFonts w:hint="eastAsia"/>
        </w:rPr>
      </w:pPr>
      <w:bookmarkStart w:id="39" w:name="_Toc17601"/>
      <w:r>
        <w:rPr>
          <w:rFonts w:hint="eastAsia"/>
        </w:rPr>
        <w:t>包装、运输和贮存</w:t>
      </w:r>
      <w:bookmarkEnd w:id="39"/>
    </w:p>
    <w:p w14:paraId="7DBC2AB5">
      <w:pPr>
        <w:pStyle w:val="16"/>
        <w:spacing w:before="120" w:after="120"/>
        <w:rPr>
          <w:rStyle w:val="17"/>
          <w:rFonts w:hint="eastAsia" w:cs="Times New Roman"/>
          <w:lang w:eastAsia="zh-CN"/>
        </w:rPr>
      </w:pPr>
      <w:bookmarkStart w:id="40" w:name="_Toc30773"/>
      <w:r>
        <w:rPr>
          <w:rStyle w:val="17"/>
          <w:rFonts w:cs="Times New Roman"/>
          <w:lang w:eastAsia="zh-CN"/>
        </w:rPr>
        <w:t>包装</w:t>
      </w:r>
      <w:bookmarkEnd w:id="40"/>
    </w:p>
    <w:p w14:paraId="36BF5E36">
      <w:pPr>
        <w:spacing w:before="257" w:line="274" w:lineRule="auto"/>
        <w:ind w:left="5" w:right="171" w:firstLine="428"/>
        <w:rPr>
          <w:rFonts w:hint="eastAsia" w:ascii="宋体" w:hAnsi="宋体" w:cs="宋体"/>
        </w:rPr>
      </w:pPr>
      <w:r>
        <w:rPr>
          <w:rFonts w:ascii="宋体" w:hAnsi="宋体" w:cs="宋体"/>
          <w:spacing w:val="-2"/>
        </w:rPr>
        <w:t>可用内衬铝箔袋的编织袋或其他密封防潮</w:t>
      </w:r>
      <w:r>
        <w:rPr>
          <w:rFonts w:ascii="宋体" w:hAnsi="宋体" w:cs="宋体"/>
          <w:spacing w:val="-1"/>
        </w:rPr>
        <w:t>包装形式包装。包装材料应保证在运输、码放、贮存时不被污染和泄漏。</w:t>
      </w:r>
    </w:p>
    <w:p w14:paraId="668E0C37">
      <w:pPr>
        <w:pStyle w:val="16"/>
        <w:spacing w:before="120" w:after="120"/>
        <w:rPr>
          <w:rStyle w:val="17"/>
          <w:rFonts w:hint="eastAsia" w:cs="Times New Roman"/>
          <w:lang w:eastAsia="zh-CN"/>
        </w:rPr>
      </w:pPr>
      <w:bookmarkStart w:id="41" w:name="_Toc27087"/>
      <w:r>
        <w:rPr>
          <w:rStyle w:val="17"/>
          <w:rFonts w:cs="Times New Roman"/>
          <w:lang w:eastAsia="zh-CN"/>
        </w:rPr>
        <w:t>运输</w:t>
      </w:r>
      <w:bookmarkEnd w:id="41"/>
    </w:p>
    <w:p w14:paraId="72778892">
      <w:pPr>
        <w:spacing w:before="257" w:line="274" w:lineRule="auto"/>
        <w:ind w:left="4" w:right="16" w:firstLine="428"/>
        <w:rPr>
          <w:rFonts w:hint="eastAsia" w:ascii="宋体" w:hAnsi="宋体" w:cs="宋体"/>
        </w:rPr>
      </w:pPr>
      <w:r>
        <w:rPr>
          <w:rFonts w:hint="eastAsia"/>
        </w:rPr>
        <w:t>全生物降解塑料购物袋类使用的改性料</w:t>
      </w:r>
      <w:r>
        <w:rPr>
          <w:rFonts w:ascii="宋体" w:hAnsi="宋体" w:cs="宋体"/>
          <w:spacing w:val="-2"/>
        </w:rPr>
        <w:t>为非危险品。在运输和装卸过程中不应使</w:t>
      </w:r>
      <w:r>
        <w:rPr>
          <w:rFonts w:ascii="宋体" w:hAnsi="宋体" w:cs="宋体"/>
          <w:spacing w:val="-3"/>
        </w:rPr>
        <w:t>用铁钩等锐利工具，切忌抛掷。运输工具应保持清洁、干燥并备有厢棚或苫布。运输时不应与沙土、</w:t>
      </w:r>
      <w:r>
        <w:rPr>
          <w:rFonts w:ascii="宋体" w:hAnsi="宋体" w:cs="宋体"/>
          <w:spacing w:val="-1"/>
        </w:rPr>
        <w:t>碎金属、煤炭及玻璃等混合装运，更不应与有毒及腐蚀性或易燃物混装。不应暴晒或雨淋。</w:t>
      </w:r>
    </w:p>
    <w:p w14:paraId="6EBF4D23">
      <w:pPr>
        <w:pStyle w:val="16"/>
        <w:spacing w:before="120" w:after="120"/>
        <w:rPr>
          <w:rStyle w:val="17"/>
          <w:rFonts w:hint="eastAsia" w:cs="Times New Roman"/>
          <w:lang w:eastAsia="zh-CN"/>
        </w:rPr>
      </w:pPr>
      <w:bookmarkStart w:id="42" w:name="_Toc12"/>
      <w:r>
        <w:rPr>
          <w:rStyle w:val="17"/>
          <w:rFonts w:cs="Times New Roman"/>
          <w:lang w:eastAsia="zh-CN"/>
        </w:rPr>
        <w:t>贮存</w:t>
      </w:r>
      <w:bookmarkEnd w:id="42"/>
    </w:p>
    <w:p w14:paraId="3BFF1A8C">
      <w:pPr>
        <w:pStyle w:val="11"/>
        <w:rPr>
          <w:rFonts w:hint="eastAsia" w:hAnsi="宋体" w:cs="宋体"/>
          <w:spacing w:val="-1"/>
          <w:lang w:eastAsia="zh-CN"/>
        </w:rPr>
      </w:pPr>
      <w:r>
        <w:rPr>
          <w:rFonts w:hAnsi="宋体" w:cs="宋体"/>
          <w:lang w:eastAsia="zh-CN"/>
        </w:rPr>
        <w:t>应贮存在通风、干燥、清洁并保持有良好</w:t>
      </w:r>
      <w:r>
        <w:rPr>
          <w:rFonts w:hAnsi="宋体" w:cs="宋体"/>
          <w:spacing w:val="25"/>
          <w:lang w:eastAsia="zh-CN"/>
        </w:rPr>
        <w:t xml:space="preserve"> </w:t>
      </w:r>
      <w:r>
        <w:rPr>
          <w:rFonts w:hAnsi="宋体" w:cs="宋体"/>
          <w:spacing w:val="-1"/>
          <w:lang w:eastAsia="zh-CN"/>
        </w:rPr>
        <w:t>消防设施的仓库内。贮存时，应远离热源，并防止阳光直接照射，不应在露天堆放。一般从生产之日起，贮存期</w:t>
      </w:r>
      <w:r>
        <w:rPr>
          <w:rFonts w:hAnsi="宋体" w:cs="宋体"/>
          <w:spacing w:val="-2"/>
          <w:lang w:eastAsia="zh-CN"/>
        </w:rPr>
        <w:t>不超过</w:t>
      </w:r>
      <w:r>
        <w:rPr>
          <w:rFonts w:ascii="Times New Roman" w:eastAsia="Times New Roman" w:cs="Times New Roman"/>
          <w:spacing w:val="-2"/>
          <w:lang w:eastAsia="zh-CN"/>
        </w:rPr>
        <w:t>12</w:t>
      </w:r>
      <w:r>
        <w:rPr>
          <w:rFonts w:hAnsi="宋体" w:cs="宋体"/>
          <w:spacing w:val="-2"/>
          <w:lang w:eastAsia="zh-CN"/>
        </w:rPr>
        <w:t>个月。</w:t>
      </w:r>
    </w:p>
    <w:p w14:paraId="44AA36D0">
      <w:pPr>
        <w:spacing w:before="302" w:line="274" w:lineRule="auto"/>
        <w:ind w:right="47" w:firstLine="412" w:firstLineChars="200"/>
        <w:rPr>
          <w:rFonts w:hint="eastAsia" w:ascii="宋体" w:hAnsi="宋体" w:cs="宋体"/>
          <w:spacing w:val="-2"/>
        </w:rPr>
      </w:pPr>
    </w:p>
    <w:p w14:paraId="5105AE1E">
      <w:pPr>
        <w:spacing w:before="302" w:line="274" w:lineRule="auto"/>
        <w:ind w:right="47" w:firstLine="412" w:firstLineChars="200"/>
        <w:rPr>
          <w:rFonts w:hint="eastAsia" w:ascii="宋体" w:hAnsi="宋体" w:cs="宋体"/>
          <w:spacing w:val="-2"/>
        </w:rPr>
      </w:pPr>
    </w:p>
    <w:p w14:paraId="61F58598">
      <w:pPr>
        <w:spacing w:before="302" w:line="274" w:lineRule="auto"/>
        <w:ind w:right="47" w:firstLine="412" w:firstLineChars="200"/>
        <w:rPr>
          <w:rFonts w:hint="eastAsia" w:ascii="宋体" w:hAnsi="宋体" w:cs="宋体"/>
          <w:spacing w:val="-2"/>
        </w:rPr>
      </w:pPr>
    </w:p>
    <w:p w14:paraId="23130A1D">
      <w:pPr>
        <w:spacing w:before="302" w:line="274" w:lineRule="auto"/>
        <w:ind w:right="47" w:firstLine="412" w:firstLineChars="200"/>
        <w:rPr>
          <w:rFonts w:hint="eastAsia" w:ascii="宋体" w:hAnsi="宋体" w:cs="宋体"/>
          <w:spacing w:val="-2"/>
        </w:rPr>
      </w:pPr>
    </w:p>
    <w:p w14:paraId="2C77B19C">
      <w:pPr>
        <w:pStyle w:val="11"/>
        <w:rPr>
          <w:rFonts w:hint="eastAsia" w:hAnsi="宋体" w:cs="宋体"/>
          <w:spacing w:val="-1"/>
          <w:lang w:eastAsia="zh-CN"/>
        </w:rPr>
      </w:pPr>
    </w:p>
    <w:p w14:paraId="40525BC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宋体" w:eastAsia="宋体"/>
          <w:color w:val="FF0000"/>
          <w:sz w:val="21"/>
          <w:lang w:val="en-US" w:eastAsia="zh-CN"/>
        </w:rPr>
      </w:pPr>
    </w:p>
    <w:sectPr>
      <w:headerReference r:id="rId6" w:type="default"/>
      <w:footerReference r:id="rId7"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42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12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D11A2">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7D11A2">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455B">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T/HN·PIA 06-2025</w:t>
    </w:r>
  </w:p>
  <w:p w14:paraId="1C13830B">
    <w:pPr>
      <w:pStyle w:val="3"/>
      <w:keepNext w:val="0"/>
      <w:keepLines w:val="0"/>
      <w:pageBreakBefore w:val="0"/>
      <w:widowControl w:val="0"/>
      <w:kinsoku/>
      <w:wordWrap/>
      <w:overflowPunct/>
      <w:topLinePunct w:val="0"/>
      <w:bidi w:val="0"/>
      <w:spacing w:line="240" w:lineRule="auto"/>
      <w:textAlignment w:val="auto"/>
    </w:pPr>
    <w:r>
      <w:rPr>
        <w:rFonts w:hint="eastAsia" w:ascii="黑体" w:hAnsi="黑体" w:eastAsia="黑体" w:cs="黑体"/>
        <w:sz w:val="21"/>
        <w:szCs w:val="21"/>
        <w:lang w:val="en-US" w:eastAsia="zh-CN"/>
      </w:rPr>
      <w:t xml:space="preserve">                                                                       T/GDPIA 72-2025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7"/>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1D45A5B"/>
    <w:multiLevelType w:val="multilevel"/>
    <w:tmpl w:val="61D45A5B"/>
    <w:lvl w:ilvl="0" w:tentative="0">
      <w:start w:val="1"/>
      <w:numFmt w:val="decimal"/>
      <w:pStyle w:val="10"/>
      <w:suff w:val="nothing"/>
      <w:lvlText w:val="%1  "/>
      <w:lvlJc w:val="left"/>
      <w:pPr>
        <w:ind w:left="425" w:hanging="425"/>
      </w:pPr>
      <w:rPr>
        <w:rFonts w:hint="eastAsia" w:ascii="黑体" w:eastAsia="黑体"/>
        <w:b w:val="0"/>
        <w:i w:val="0"/>
        <w:color w:val="auto"/>
        <w:sz w:val="21"/>
      </w:rPr>
    </w:lvl>
    <w:lvl w:ilvl="1" w:tentative="0">
      <w:start w:val="1"/>
      <w:numFmt w:val="decimal"/>
      <w:pStyle w:val="16"/>
      <w:suff w:val="nothing"/>
      <w:lvlText w:val="%1.%2  "/>
      <w:lvlJc w:val="left"/>
      <w:pPr>
        <w:ind w:left="0" w:firstLine="0"/>
      </w:pPr>
      <w:rPr>
        <w:rFonts w:hint="eastAsia" w:ascii="黑体" w:eastAsia="黑体"/>
        <w:b w:val="0"/>
        <w:i w:val="0"/>
        <w:color w:val="auto"/>
        <w:sz w:val="21"/>
      </w:rPr>
    </w:lvl>
    <w:lvl w:ilvl="2" w:tentative="0">
      <w:start w:val="1"/>
      <w:numFmt w:val="decimal"/>
      <w:pStyle w:val="18"/>
      <w:suff w:val="nothing"/>
      <w:lvlText w:val="%1.%2.%3  "/>
      <w:lvlJc w:val="left"/>
      <w:pPr>
        <w:ind w:left="0" w:firstLine="0"/>
      </w:pPr>
      <w:rPr>
        <w:rFonts w:hint="eastAsia" w:ascii="黑体" w:eastAsia="黑体"/>
        <w:b w:val="0"/>
        <w:i w:val="0"/>
        <w:color w:val="auto"/>
        <w:sz w:val="21"/>
      </w:rPr>
    </w:lvl>
    <w:lvl w:ilvl="3" w:tentative="0">
      <w:start w:val="1"/>
      <w:numFmt w:val="decimal"/>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color w:val="auto"/>
        <w:sz w:val="21"/>
      </w:rPr>
    </w:lvl>
    <w:lvl w:ilvl="6" w:tentative="0">
      <w:start w:val="1"/>
      <w:numFmt w:val="decimal"/>
      <w:suff w:val="nothing"/>
      <w:lvlText w:val="%1.%2.%3.%4.%5.%6.%7"/>
      <w:lvlJc w:val="left"/>
      <w:pPr>
        <w:ind w:left="0" w:firstLine="0"/>
      </w:pPr>
      <w:rPr>
        <w:rFonts w:hint="eastAsia" w:ascii="黑体" w:eastAsia="黑体"/>
        <w:b w:val="0"/>
        <w:i w:val="0"/>
        <w:color w:val="auto"/>
        <w:sz w:val="21"/>
      </w:rPr>
    </w:lvl>
    <w:lvl w:ilvl="7" w:tentative="0">
      <w:start w:val="1"/>
      <w:numFmt w:val="decimal"/>
      <w:suff w:val="nothing"/>
      <w:lvlText w:val="%1.%2.%3.%4.%5.%6.%7.%8"/>
      <w:lvlJc w:val="left"/>
      <w:pPr>
        <w:ind w:left="0" w:firstLine="0"/>
      </w:pPr>
      <w:rPr>
        <w:rFonts w:hint="eastAsia" w:ascii="黑体" w:eastAsia="黑体"/>
        <w:b w:val="0"/>
        <w:i w:val="0"/>
        <w:color w:val="auto"/>
        <w:sz w:val="21"/>
      </w:rPr>
    </w:lvl>
    <w:lvl w:ilvl="8" w:tentative="0">
      <w:start w:val="1"/>
      <w:numFmt w:val="decimal"/>
      <w:suff w:val="nothing"/>
      <w:lvlText w:val="%1.%2.%3.%4.%5.%6.%7.%8.%9"/>
      <w:lvlJc w:val="left"/>
      <w:pPr>
        <w:ind w:left="0" w:firstLine="0"/>
      </w:pPr>
      <w:rPr>
        <w:rFonts w:hint="eastAsia" w:ascii="黑体" w:eastAsia="黑体"/>
        <w:b w:val="0"/>
        <w:i w:val="0"/>
        <w:color w:val="auto"/>
        <w:sz w:val="21"/>
      </w:rPr>
    </w:lvl>
  </w:abstractNum>
  <w:abstractNum w:abstractNumId="2">
    <w:nsid w:val="633A79D7"/>
    <w:multiLevelType w:val="multilevel"/>
    <w:tmpl w:val="633A79D7"/>
    <w:lvl w:ilvl="0" w:tentative="0">
      <w:start w:val="1"/>
      <w:numFmt w:val="decimal"/>
      <w:suff w:val="nothing"/>
      <w:lvlText w:val="表 %1 "/>
      <w:lvlJc w:val="center"/>
      <w:pPr>
        <w:ind w:left="0" w:firstLine="0"/>
      </w:pPr>
      <w:rPr>
        <w:rFonts w:hint="eastAsia" w:eastAsia="黑体"/>
        <w:color w:val="auto"/>
        <w:sz w:val="21"/>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CEA2025"/>
    <w:multiLevelType w:val="multilevel"/>
    <w:tmpl w:val="6CEA2025"/>
    <w:lvl w:ilvl="0" w:tentative="0">
      <w:start w:val="1"/>
      <w:numFmt w:val="none"/>
      <w:pStyle w:val="8"/>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lvlOverride w:ilvl="0">
      <w:lvl w:ilvl="0" w:tentative="1">
        <w:start w:val="1"/>
        <w:numFmt w:val="decimal"/>
        <w:pStyle w:val="14"/>
        <w:suff w:val="nothing"/>
        <w:lvlText w:val="表 %1 "/>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8755C"/>
    <w:rsid w:val="1F5D20B9"/>
    <w:rsid w:val="20040EEF"/>
    <w:rsid w:val="321D26A2"/>
    <w:rsid w:val="3DCB7AF0"/>
    <w:rsid w:val="431C6A53"/>
    <w:rsid w:val="54DB29DA"/>
    <w:rsid w:val="57003D98"/>
    <w:rsid w:val="62D8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paragraph" w:styleId="4">
    <w:name w:val="toc 1"/>
    <w:basedOn w:val="1"/>
    <w:next w:val="1"/>
    <w:unhideWhenUsed/>
    <w:qFormat/>
    <w:uiPriority w:val="39"/>
    <w:rPr>
      <w:rFonts w:ascii="宋体"/>
    </w:rPr>
  </w:style>
  <w:style w:type="paragraph" w:customStyle="1" w:styleId="7">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0">
    <w:name w:val="标准_章标题"/>
    <w:next w:val="11"/>
    <w:qFormat/>
    <w:uiPriority w:val="0"/>
    <w:pPr>
      <w:numPr>
        <w:ilvl w:val="0"/>
        <w:numId w:val="3"/>
      </w:numPr>
      <w:spacing w:before="100" w:beforeLines="100" w:after="100" w:afterLines="100"/>
      <w:jc w:val="both"/>
      <w:outlineLvl w:val="0"/>
    </w:pPr>
    <w:rPr>
      <w:rFonts w:ascii="黑体" w:hAnsi="黑体" w:eastAsia="黑体" w:cstheme="minorBidi"/>
      <w:sz w:val="21"/>
      <w:szCs w:val="21"/>
      <w:lang w:val="en-US" w:eastAsia="zh-CN" w:bidi="ar-SA"/>
    </w:rPr>
  </w:style>
  <w:style w:type="paragraph" w:customStyle="1" w:styleId="11">
    <w:name w:val="标准_段"/>
    <w:qFormat/>
    <w:uiPriority w:val="0"/>
    <w:pPr>
      <w:ind w:firstLine="420"/>
      <w:jc w:val="both"/>
    </w:pPr>
    <w:rPr>
      <w:rFonts w:ascii="宋体" w:hAnsi="Times New Roman" w:eastAsia="宋体" w:cstheme="minorBidi"/>
      <w:color w:val="000000"/>
      <w:sz w:val="21"/>
      <w:szCs w:val="21"/>
      <w:lang w:val="en-US" w:eastAsia="en-US"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Body text|1"/>
    <w:basedOn w:val="1"/>
    <w:qFormat/>
    <w:uiPriority w:val="0"/>
    <w:pPr>
      <w:adjustRightInd/>
      <w:spacing w:line="360" w:lineRule="auto"/>
      <w:ind w:firstLine="400"/>
      <w:jc w:val="left"/>
    </w:pPr>
    <w:rPr>
      <w:rFonts w:ascii="宋体" w:hAnsi="宋体" w:cs="宋体"/>
      <w:color w:val="484848"/>
      <w:kern w:val="0"/>
      <w:sz w:val="18"/>
      <w:szCs w:val="18"/>
      <w:lang w:val="zh-TW" w:eastAsia="zh-TW" w:bidi="zh-TW"/>
    </w:rPr>
  </w:style>
  <w:style w:type="paragraph" w:customStyle="1" w:styleId="14">
    <w:name w:val="标准_表标题"/>
    <w:next w:val="11"/>
    <w:qFormat/>
    <w:uiPriority w:val="0"/>
    <w:pPr>
      <w:numPr>
        <w:ilvl w:val="0"/>
        <w:numId w:val="4"/>
      </w:numPr>
      <w:spacing w:before="50" w:beforeLines="50" w:after="50" w:afterLines="50"/>
      <w:jc w:val="center"/>
    </w:pPr>
    <w:rPr>
      <w:rFonts w:ascii="黑体" w:hAnsi="黑体" w:eastAsia="黑体" w:cstheme="minorBidi"/>
      <w:color w:val="000000"/>
      <w:sz w:val="21"/>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标准_条标题1级"/>
    <w:basedOn w:val="10"/>
    <w:next w:val="11"/>
    <w:qFormat/>
    <w:uiPriority w:val="0"/>
    <w:pPr>
      <w:numPr>
        <w:ilvl w:val="1"/>
      </w:numPr>
      <w:spacing w:before="50" w:beforeLines="50" w:after="50" w:afterLines="50"/>
      <w:outlineLvl w:val="1"/>
    </w:pPr>
    <w:rPr>
      <w:color w:val="000000"/>
      <w:lang w:eastAsia="en-US"/>
    </w:rPr>
  </w:style>
  <w:style w:type="character" w:customStyle="1" w:styleId="17">
    <w:name w:val="标准_条文编号"/>
    <w:basedOn w:val="6"/>
    <w:qFormat/>
    <w:uiPriority w:val="0"/>
    <w:rPr>
      <w:rFonts w:ascii="黑体" w:hAnsi="黑体" w:eastAsia="黑体"/>
      <w:color w:val="000000"/>
      <w:kern w:val="0"/>
      <w:sz w:val="21"/>
      <w:lang w:eastAsia="en-US"/>
    </w:rPr>
  </w:style>
  <w:style w:type="paragraph" w:customStyle="1" w:styleId="18">
    <w:name w:val="标准_条标题2级"/>
    <w:basedOn w:val="16"/>
    <w:next w:val="11"/>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af6e8d-0cca-43cd-b44d-0ee1978b6b06}"/>
        <w:style w:val=""/>
        <w:category>
          <w:name w:val="常规"/>
          <w:gallery w:val="placeholder"/>
        </w:category>
        <w:types>
          <w:type w:val="bbPlcHdr"/>
        </w:types>
        <w:behaviors>
          <w:behavior w:val="content"/>
        </w:behaviors>
        <w:description w:val=""/>
        <w:guid w:val="{c3af6e8d-0cca-43cd-b44d-0ee1978b6b06}"/>
      </w:docPartPr>
      <w:docPartBody>
        <w:p w14:paraId="0047DFB8">
          <w:pPr>
            <w:rPr>
              <w:rFonts w:hint="eastAsia"/>
            </w:rPr>
          </w:pPr>
          <w:r>
            <w:t>单击或点击此处输入文字。</w:t>
          </w:r>
        </w:p>
      </w:docPartBody>
    </w:docPart>
    <w:docPart>
      <w:docPartPr>
        <w:name w:val="{5db11d6f-70a0-41fe-a7a9-363a9d3de718}"/>
        <w:style w:val=""/>
        <w:category>
          <w:name w:val="常规"/>
          <w:gallery w:val="placeholder"/>
        </w:category>
        <w:types>
          <w:type w:val="bbPlcHdr"/>
        </w:types>
        <w:behaviors>
          <w:behavior w:val="content"/>
        </w:behaviors>
        <w:description w:val=""/>
        <w:guid w:val="{5db11d6f-70a0-41fe-a7a9-363a9d3de718}"/>
      </w:docPartPr>
      <w:docPartBody>
        <w:p w14:paraId="5FD1C81A">
          <w:pPr>
            <w:rPr>
              <w:rFonts w:hint="eastAsia"/>
            </w:rPr>
          </w:pPr>
          <w:r>
            <w:t>单击或点击此处输入文字。</w:t>
          </w:r>
        </w:p>
      </w:docPartBody>
    </w:docPart>
    <w:docPart>
      <w:docPartPr>
        <w:name w:val="{f8f12e35-1160-4cd0-9ab9-2e44990607ff}"/>
        <w:style w:val=""/>
        <w:category>
          <w:name w:val="常规"/>
          <w:gallery w:val="placeholder"/>
        </w:category>
        <w:types>
          <w:type w:val="bbPlcHdr"/>
        </w:types>
        <w:behaviors>
          <w:behavior w:val="content"/>
        </w:behaviors>
        <w:description w:val=""/>
        <w:guid w:val="{f8f12e35-1160-4cd0-9ab9-2e44990607ff}"/>
      </w:docPartPr>
      <w:docPartBody>
        <w:p w14:paraId="09B91796">
          <w:pPr>
            <w:rPr>
              <w:rFonts w:hint="eastAsia"/>
            </w:rPr>
          </w:pPr>
          <w:r>
            <w:t>单击或点击此处输入文字。</w:t>
          </w:r>
        </w:p>
      </w:docPartBody>
    </w:docPart>
    <w:docPart>
      <w:docPartPr>
        <w:name w:val="{0d31e988-3d95-4d28-ad93-5a58dd4de8d8}"/>
        <w:style w:val=""/>
        <w:category>
          <w:name w:val="常规"/>
          <w:gallery w:val="placeholder"/>
        </w:category>
        <w:types>
          <w:type w:val="bbPlcHdr"/>
        </w:types>
        <w:behaviors>
          <w:behavior w:val="content"/>
        </w:behaviors>
        <w:description w:val=""/>
        <w:guid w:val="{0d31e988-3d95-4d28-ad93-5a58dd4de8d8}"/>
      </w:docPartPr>
      <w:docPartBody>
        <w:p w14:paraId="1AEC2769">
          <w:pPr>
            <w:pStyle w:val="3"/>
            <w:rPr>
              <w:rFonts w:hint="eastAsia"/>
            </w:rPr>
          </w:pPr>
          <w:r>
            <w:rPr>
              <w:rStyle w:val="4"/>
              <w:rFonts w:hint="eastAsia"/>
            </w:rPr>
            <w:t>单击或点击此处输入文字。</w:t>
          </w:r>
        </w:p>
      </w:docPartBody>
    </w:docPart>
    <w:docPart>
      <w:docPartPr>
        <w:name w:val="{9e6ca31b-f6b5-429e-93de-c385da8a528b}"/>
        <w:style w:val=""/>
        <w:category>
          <w:name w:val="常规"/>
          <w:gallery w:val="placeholder"/>
        </w:category>
        <w:types>
          <w:type w:val="bbPlcHdr"/>
        </w:types>
        <w:behaviors>
          <w:behavior w:val="content"/>
        </w:behaviors>
        <w:description w:val=""/>
        <w:guid w:val="{9e6ca31b-f6b5-429e-93de-c385da8a528b}"/>
      </w:docPartPr>
      <w:docPartBody>
        <w:p w14:paraId="63C32A5D">
          <w:pPr>
            <w:pStyle w:val="5"/>
            <w:rPr>
              <w:rFonts w:hint="eastAsia"/>
            </w:rPr>
          </w:pPr>
          <w:r>
            <w:rPr>
              <w:rStyle w:val="4"/>
            </w:rPr>
            <w:t>选择一项。</w:t>
          </w:r>
        </w:p>
      </w:docPartBody>
    </w:docPart>
    <w:docPart>
      <w:docPartPr>
        <w:name w:val="{c6f21dc1-ebcc-4999-9ed9-eb1061c76b7c}"/>
        <w:style w:val=""/>
        <w:category>
          <w:name w:val="常规"/>
          <w:gallery w:val="placeholder"/>
        </w:category>
        <w:types>
          <w:type w:val="bbPlcHdr"/>
        </w:types>
        <w:behaviors>
          <w:behavior w:val="content"/>
        </w:behaviors>
        <w:description w:val=""/>
        <w:guid w:val="{c6f21dc1-ebcc-4999-9ed9-eb1061c76b7c}"/>
      </w:docPartPr>
      <w:docPartBody>
        <w:p w14:paraId="7A065124">
          <w:pPr>
            <w:rPr>
              <w:rFonts w:hint="eastAsia"/>
            </w:rPr>
          </w:pPr>
          <w:r>
            <w:rPr>
              <w:rStyle w:val="4"/>
            </w:rPr>
            <w:t>单击或点击此处输入文字。</w:t>
          </w:r>
        </w:p>
      </w:docPartBody>
    </w:docPart>
    <w:docPart>
      <w:docPartPr>
        <w:name w:val="{6408d24e-7d41-403c-bf4d-fa9c8c4844e3}"/>
        <w:style w:val=""/>
        <w:category>
          <w:name w:val="常规"/>
          <w:gallery w:val="placeholder"/>
        </w:category>
        <w:types>
          <w:type w:val="bbPlcHdr"/>
        </w:types>
        <w:behaviors>
          <w:behavior w:val="content"/>
        </w:behaviors>
        <w:description w:val=""/>
        <w:guid w:val="{6408d24e-7d41-403c-bf4d-fa9c8c4844e3}"/>
      </w:docPartPr>
      <w:docPartBody>
        <w:p w14:paraId="5DD2B749">
          <w:pPr>
            <w:pStyle w:val="5"/>
            <w:rPr>
              <w:rFonts w:hint="eastAsia"/>
            </w:rPr>
          </w:pPr>
          <w:r>
            <w:rPr>
              <w:rStyle w:val="4"/>
            </w:rPr>
            <w:t>选择一项。</w:t>
          </w:r>
        </w:p>
      </w:docPartBody>
    </w:docPart>
    <w:docPart>
      <w:docPartPr>
        <w:name w:val="{a35c5555-6524-4c7f-a661-ca511d12e452}"/>
        <w:style w:val=""/>
        <w:category>
          <w:name w:val="常规"/>
          <w:gallery w:val="placeholder"/>
        </w:category>
        <w:types>
          <w:type w:val="bbPlcHdr"/>
        </w:types>
        <w:behaviors>
          <w:behavior w:val="content"/>
        </w:behaviors>
        <w:description w:val=""/>
        <w:guid w:val="{a35c5555-6524-4c7f-a661-ca511d12e452}"/>
      </w:docPartPr>
      <w:docPartBody>
        <w:p w14:paraId="69ECB9CC">
          <w:pPr>
            <w:rPr>
              <w:rFonts w:hint="eastAsia"/>
            </w:rPr>
          </w:pPr>
          <w:r>
            <w:rPr>
              <w:rStyle w:val="4"/>
            </w:rPr>
            <w:t>单击或点击此处输入文字。</w:t>
          </w:r>
        </w:p>
      </w:docPartBody>
    </w:docPart>
    <w:docPart>
      <w:docPartPr>
        <w:name w:val="{14f2a3bb-b0c3-47b3-a7a0-9ff9c37b62ba}"/>
        <w:style w:val=""/>
        <w:category>
          <w:name w:val="常规"/>
          <w:gallery w:val="placeholder"/>
        </w:category>
        <w:types>
          <w:type w:val="bbPlcHdr"/>
        </w:types>
        <w:behaviors>
          <w:behavior w:val="content"/>
        </w:behaviors>
        <w:description w:val=""/>
        <w:guid w:val="{14f2a3bb-b0c3-47b3-a7a0-9ff9c37b62ba}"/>
      </w:docPartPr>
      <w:docPartBody>
        <w:p w14:paraId="6F3704A6">
          <w:pPr>
            <w:pStyle w:val="5"/>
            <w:rPr>
              <w:rFonts w:hint="eastAsia"/>
            </w:rPr>
          </w:pPr>
          <w:r>
            <w:rPr>
              <w:rStyle w:val="4"/>
            </w:rPr>
            <w:t>选择一项。</w:t>
          </w:r>
        </w:p>
      </w:docPartBody>
    </w:docPart>
    <w:docPart>
      <w:docPartPr>
        <w:name w:val="{de926539-1396-460d-981b-02b74dc46dc1}"/>
        <w:style w:val=""/>
        <w:category>
          <w:name w:val="常规"/>
          <w:gallery w:val="placeholder"/>
        </w:category>
        <w:types>
          <w:type w:val="bbPlcHdr"/>
        </w:types>
        <w:behaviors>
          <w:behavior w:val="content"/>
        </w:behaviors>
        <w:description w:val=""/>
        <w:guid w:val="{de926539-1396-460d-981b-02b74dc46dc1}"/>
      </w:docPartPr>
      <w:docPartBody>
        <w:p w14:paraId="65EADFE0">
          <w:pPr>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98465477BF494A07B1108F7355AE934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4">
    <w:name w:val="Placeholder Text"/>
    <w:basedOn w:val="2"/>
    <w:semiHidden/>
    <w:qFormat/>
    <w:uiPriority w:val="99"/>
    <w:rPr>
      <w:color w:val="808080"/>
    </w:rPr>
  </w:style>
  <w:style w:type="paragraph" w:customStyle="1" w:styleId="5">
    <w:name w:val="4CBA84D879DA465BB0915B255B18577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2784</Words>
  <Characters>3292</Characters>
  <Lines>0</Lines>
  <Paragraphs>0</Paragraphs>
  <TotalTime>0</TotalTime>
  <ScaleCrop>false</ScaleCrop>
  <LinksUpToDate>false</LinksUpToDate>
  <CharactersWithSpaces>3529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2025-03-11T12:15:00Z</dcterms:created>
  <dc:creator>芳芳</dc:creator>
  <cp:lastModifiedBy>WPS_1700209662</cp:lastModifiedBy>
  <dcterms:modified xsi:type="dcterms:W3CDTF">2025-03-13T13:10:45Z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1261BFE19C01499DB714D8397D9D05D6_11</vt:lpwstr>
  </property>
  <property fmtid="{D5CDD505-2E9C-101B-9397-08002B2CF9AE}" pid="4" name="KSOTemplateDocerSaveRecord">
    <vt:lpwstr>eyJoZGlkIjoiMGM3NmZlODM2MWY1MWY1YzM1MzhkOTg1MmY2NmNjODEiLCJ1c2VySWQiOiIxNTU4MzQ0MTEwIn0=</vt:lpwstr>
  </property>
</Properties>
</file>