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4969" w:rsidRDefault="00000000">
      <w:pPr>
        <w:pStyle w:val="30"/>
        <w:framePr w:wrap="around"/>
        <w:rPr>
          <w:rFonts w:hint="default"/>
        </w:rPr>
      </w:pPr>
      <w:r>
        <w:t>团体标准</w:t>
      </w:r>
    </w:p>
    <w:bookmarkStart w:id="0" w:name="StandNo"/>
    <w:p w:rsidR="003B4969" w:rsidRDefault="00000000">
      <w:pPr>
        <w:pStyle w:val="23"/>
        <w:framePr w:wrap="around"/>
        <w:rPr>
          <w:rFonts w:hint="default"/>
        </w:rPr>
      </w:pPr>
      <w:r>
        <w:fldChar w:fldCharType="begin">
          <w:ffData>
            <w:name w:val="StandNo"/>
            <w:enabled/>
            <w:calcOnExit w:val="0"/>
            <w:textInput>
              <w:default w:val="T/CCPITCSC XXX—XXXX"/>
            </w:textInput>
          </w:ffData>
        </w:fldChar>
      </w:r>
      <w:r>
        <w:instrText>FORMTEXT</w:instrText>
      </w:r>
      <w:r>
        <w:fldChar w:fldCharType="separate"/>
      </w:r>
      <w:r>
        <w:t>T/CCPITCSC XXX—XXXX</w:t>
      </w:r>
      <w:r>
        <w:fldChar w:fldCharType="end"/>
      </w:r>
      <w:bookmarkEnd w:id="0"/>
    </w:p>
    <w:p w:rsidR="003B4969" w:rsidRDefault="00000000">
      <w:pPr>
        <w:pStyle w:val="afff6"/>
        <w:framePr w:wrap="around"/>
        <w:rPr>
          <w:rFonts w:hint="default"/>
        </w:rPr>
      </w:pPr>
      <w:r>
        <w:fldChar w:fldCharType="begin">
          <w:ffData>
            <w:name w:val="ReplaceT"/>
            <w:enabled/>
            <w:calcOnExit w:val="0"/>
            <w:textInput/>
          </w:ffData>
        </w:fldChar>
      </w:r>
      <w:bookmarkStart w:id="1" w:name="ReplaceT"/>
      <w:r>
        <w:instrText>FORMTEXT</w:instrText>
      </w:r>
      <w:r>
        <w:fldChar w:fldCharType="separate"/>
      </w:r>
      <w:r>
        <w:rPr>
          <w:rFonts w:hint="default"/>
        </w:rPr>
        <w:t>     </w:t>
      </w:r>
      <w:r>
        <w:fldChar w:fldCharType="end"/>
      </w:r>
      <w:bookmarkEnd w:id="1"/>
    </w:p>
    <w:tbl>
      <w:tblPr>
        <w:tblStyle w:val="aff8"/>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41"/>
      </w:tblGrid>
      <w:tr w:rsidR="003B4969">
        <w:tc>
          <w:tcPr>
            <w:tcW w:w="9889" w:type="dxa"/>
            <w:tcBorders>
              <w:top w:val="single" w:sz="8" w:space="0" w:color="auto"/>
            </w:tcBorders>
          </w:tcPr>
          <w:p w:rsidR="003B4969" w:rsidRDefault="003B4969">
            <w:pPr>
              <w:pStyle w:val="afff1"/>
              <w:framePr w:wrap="around"/>
              <w:rPr>
                <w:rFonts w:hint="default"/>
                <w:sz w:val="10"/>
              </w:rPr>
            </w:pPr>
          </w:p>
        </w:tc>
      </w:tr>
    </w:tbl>
    <w:p w:rsidR="003B4969" w:rsidRDefault="00000000">
      <w:pPr>
        <w:pStyle w:val="afff7"/>
        <w:framePr w:wrap="around"/>
        <w:rPr>
          <w:rFonts w:hint="default"/>
        </w:rPr>
      </w:pPr>
      <w:r>
        <w:fldChar w:fldCharType="begin">
          <w:ffData>
            <w:name w:val="StdName"/>
            <w:enabled/>
            <w:calcOnExit w:val="0"/>
            <w:textInput>
              <w:default w:val="基于绿色碳汇高效运营的散水液态标准化工品（标品）物流管理服务规范"/>
            </w:textInput>
          </w:ffData>
        </w:fldChar>
      </w:r>
      <w:bookmarkStart w:id="2" w:name="StdName"/>
      <w:r>
        <w:instrText>FORMTEXT</w:instrText>
      </w:r>
      <w:r>
        <w:fldChar w:fldCharType="separate"/>
      </w:r>
      <w:r>
        <w:t>基于绿色碳汇高效运营的散水液态标准化工品（标品）物流管理服务规范</w:t>
      </w:r>
      <w:r>
        <w:fldChar w:fldCharType="end"/>
      </w:r>
      <w:bookmarkEnd w:id="2"/>
    </w:p>
    <w:bookmarkStart w:id="3" w:name="StdEnglishName"/>
    <w:p w:rsidR="003B4969" w:rsidRDefault="00000000">
      <w:pPr>
        <w:pStyle w:val="afff8"/>
        <w:framePr w:wrap="around"/>
        <w:rPr>
          <w:rFonts w:hint="default"/>
        </w:rPr>
      </w:pPr>
      <w:r>
        <w:fldChar w:fldCharType="begin">
          <w:ffData>
            <w:name w:val="StdEnglishName"/>
            <w:enabled/>
            <w:calcOnExit w:val="0"/>
            <w:textInput>
              <w:default w:val="Logistics Management Service Standards for Bulk Liquid Standardized Chemical Products (Standard Products) based on Efficient Operations and Green Carbon Credits"/>
            </w:textInput>
          </w:ffData>
        </w:fldChar>
      </w:r>
      <w:r>
        <w:instrText>FORMTEXT</w:instrText>
      </w:r>
      <w:r>
        <w:fldChar w:fldCharType="separate"/>
      </w:r>
      <w:r>
        <w:t>Logistics Management Service Standards for Bulk Liquid Standardized Chemical Products (Standard Products) based on Efficient Operations and Green Carbon Credits</w:t>
      </w:r>
      <w:r>
        <w:fldChar w:fldCharType="end"/>
      </w:r>
      <w:bookmarkEnd w:id="3"/>
    </w:p>
    <w:p w:rsidR="003B4969" w:rsidRDefault="00B33852">
      <w:pPr>
        <w:pStyle w:val="afff9"/>
        <w:framePr w:wrap="around"/>
        <w:rPr>
          <w:rFonts w:hint="default"/>
        </w:rPr>
      </w:pPr>
      <w:r>
        <w:rPr>
          <w:rFonts w:hint="default"/>
        </w:rPr>
        <w:fldChar w:fldCharType="begin">
          <w:ffData>
            <w:name w:val="YZBS"/>
            <w:enabled/>
            <w:calcOnExit w:val="0"/>
            <w:textInput/>
          </w:ffData>
        </w:fldChar>
      </w:r>
      <w:bookmarkStart w:id="4" w:name="YZBS"/>
      <w:r>
        <w:rPr>
          <w:rFonts w:hint="default"/>
        </w:rPr>
        <w:instrText xml:space="preserve"> </w:instrText>
      </w:r>
      <w:r>
        <w:instrText>FORMTEXT</w:instrText>
      </w:r>
      <w:r>
        <w:rPr>
          <w:rFonts w:hint="default"/>
        </w:rPr>
        <w:instrText xml:space="preserve"> </w:instrText>
      </w:r>
      <w:r>
        <w:rPr>
          <w:rFonts w:hint="default"/>
        </w:rPr>
        <w:fldChar w:fldCharType="separate"/>
      </w:r>
      <w:r>
        <w:rPr>
          <w:rFonts w:hint="default"/>
          <w:noProof/>
        </w:rPr>
        <w:t> </w:t>
      </w:r>
      <w:r>
        <w:rPr>
          <w:rFonts w:hint="default"/>
          <w:noProof/>
        </w:rPr>
        <w:t> </w:t>
      </w:r>
      <w:r>
        <w:rPr>
          <w:rFonts w:hint="default"/>
          <w:noProof/>
        </w:rPr>
        <w:t> </w:t>
      </w:r>
      <w:r>
        <w:rPr>
          <w:rFonts w:hint="default"/>
          <w:noProof/>
        </w:rPr>
        <w:t> </w:t>
      </w:r>
      <w:r>
        <w:rPr>
          <w:rFonts w:hint="default"/>
          <w:noProof/>
        </w:rPr>
        <w:t> </w:t>
      </w:r>
      <w:r>
        <w:rPr>
          <w:rFonts w:hint="default"/>
        </w:rPr>
        <w:fldChar w:fldCharType="end"/>
      </w:r>
      <w:bookmarkEnd w:id="4"/>
    </w:p>
    <w:p w:rsidR="003B4969" w:rsidRDefault="00000000">
      <w:pPr>
        <w:pStyle w:val="afffa"/>
        <w:framePr w:wrap="around"/>
        <w:spacing w:after="0"/>
      </w:pPr>
      <w:bookmarkStart w:id="5" w:name="LB"/>
      <w:r>
        <w:t>（征求意见稿）</w:t>
      </w:r>
      <w:bookmarkEnd w:id="5"/>
    </w:p>
    <w:p w:rsidR="003B4969" w:rsidRDefault="00000000">
      <w:pPr>
        <w:pStyle w:val="afffb"/>
        <w:framePr w:wrap="around"/>
        <w:spacing w:before="100"/>
      </w:pPr>
      <w:r>
        <w:fldChar w:fldCharType="begin">
          <w:ffData>
            <w:name w:val="WCRQ"/>
            <w:enabled/>
            <w:calcOnExit w:val="0"/>
            <w:textInput/>
          </w:ffData>
        </w:fldChar>
      </w:r>
      <w:bookmarkStart w:id="6" w:name="WCRQ"/>
      <w:r>
        <w:instrText>FORMTEXT</w:instrText>
      </w:r>
      <w:r>
        <w:fldChar w:fldCharType="separate"/>
      </w:r>
      <w:r>
        <w:rPr>
          <w:rFonts w:hint="default"/>
        </w:rPr>
        <w:t>     </w:t>
      </w:r>
      <w:r>
        <w:fldChar w:fldCharType="end"/>
      </w:r>
      <w:bookmarkEnd w:id="6"/>
    </w:p>
    <w:p w:rsidR="003B4969" w:rsidRDefault="00000000">
      <w:pPr>
        <w:pStyle w:val="afffc"/>
        <w:framePr w:wrap="around"/>
        <w:spacing w:beforeLines="220" w:before="686" w:after="93"/>
        <w:rPr>
          <w:rFonts w:hint="default"/>
        </w:rPr>
      </w:pPr>
      <w:r>
        <w:fldChar w:fldCharType="begin">
          <w:ffData>
            <w:name w:val="FileSelect"/>
            <w:enabled/>
            <w:calcOnExit w:val="0"/>
            <w:ddList>
              <w:default w:val="1"/>
              <w:listEntry w:val="     "/>
              <w:listEntry w:val="在提交反馈意见时，请将您知道的相关专利连同支持性文件一并附上。"/>
            </w:ddList>
          </w:ffData>
        </w:fldChar>
      </w:r>
      <w:bookmarkStart w:id="7" w:name="FileSelect"/>
      <w:r>
        <w:instrText>FORMDROPDOWN</w:instrText>
      </w:r>
      <w:r>
        <w:rPr>
          <w:rFonts w:hint="default"/>
        </w:rPr>
      </w:r>
      <w:r>
        <w:rPr>
          <w:rFonts w:hint="default"/>
        </w:rPr>
        <w:fldChar w:fldCharType="separate"/>
      </w:r>
      <w:r>
        <w:fldChar w:fldCharType="end"/>
      </w:r>
      <w:bookmarkEnd w:id="7"/>
    </w:p>
    <w:tbl>
      <w:tblPr>
        <w:tblStyle w:val="aff8"/>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70"/>
        <w:gridCol w:w="4871"/>
      </w:tblGrid>
      <w:tr w:rsidR="003B4969">
        <w:trPr>
          <w:trHeight w:hRule="exact" w:val="363"/>
        </w:trPr>
        <w:tc>
          <w:tcPr>
            <w:tcW w:w="4944" w:type="dxa"/>
            <w:tcBorders>
              <w:bottom w:val="single" w:sz="8" w:space="0" w:color="auto"/>
            </w:tcBorders>
            <w:tcMar>
              <w:left w:w="57" w:type="dxa"/>
              <w:bottom w:w="28" w:type="dxa"/>
            </w:tcMar>
          </w:tcPr>
          <w:p w:rsidR="003B4969" w:rsidRDefault="00000000">
            <w:pPr>
              <w:pStyle w:val="afff5"/>
              <w:framePr w:wrap="around"/>
              <w:rPr>
                <w:rFonts w:hint="default"/>
              </w:rPr>
            </w:pPr>
            <w:r>
              <w:fldChar w:fldCharType="begin">
                <w:ffData>
                  <w:name w:val="FY"/>
                  <w:enabled/>
                  <w:calcOnExit w:val="0"/>
                  <w:textInput>
                    <w:default w:val="XXXX"/>
                    <w:maxLength w:val="4"/>
                  </w:textInput>
                </w:ffData>
              </w:fldChar>
            </w:r>
            <w:bookmarkStart w:id="8" w:name="FY"/>
            <w:r>
              <w:instrText>FORMTEXT</w:instrText>
            </w:r>
            <w:r>
              <w:fldChar w:fldCharType="separate"/>
            </w:r>
            <w:r>
              <w:t>XXXX</w:t>
            </w:r>
            <w:r>
              <w:fldChar w:fldCharType="end"/>
            </w:r>
            <w:bookmarkEnd w:id="8"/>
            <w:r>
              <w:t xml:space="preserve"> - </w:t>
            </w:r>
            <w:r>
              <w:fldChar w:fldCharType="begin">
                <w:ffData>
                  <w:name w:val="FM"/>
                  <w:enabled/>
                  <w:calcOnExit w:val="0"/>
                  <w:textInput>
                    <w:default w:val="XX"/>
                    <w:maxLength w:val="2"/>
                  </w:textInput>
                </w:ffData>
              </w:fldChar>
            </w:r>
            <w:bookmarkStart w:id="9" w:name="FM"/>
            <w:r>
              <w:instrText>FORMTEXT</w:instrText>
            </w:r>
            <w:r>
              <w:fldChar w:fldCharType="separate"/>
            </w:r>
            <w:r>
              <w:t>XX</w:t>
            </w:r>
            <w:r>
              <w:fldChar w:fldCharType="end"/>
            </w:r>
            <w:bookmarkEnd w:id="9"/>
            <w:r>
              <w:t xml:space="preserve"> - </w:t>
            </w:r>
            <w:r>
              <w:fldChar w:fldCharType="begin">
                <w:ffData>
                  <w:name w:val="FD"/>
                  <w:enabled/>
                  <w:calcOnExit w:val="0"/>
                  <w:textInput>
                    <w:default w:val="XX"/>
                    <w:maxLength w:val="2"/>
                  </w:textInput>
                </w:ffData>
              </w:fldChar>
            </w:r>
            <w:bookmarkStart w:id="10" w:name="FD"/>
            <w:r>
              <w:instrText>FORMTEXT</w:instrText>
            </w:r>
            <w:r>
              <w:fldChar w:fldCharType="separate"/>
            </w:r>
            <w:r>
              <w:t>XX</w:t>
            </w:r>
            <w:r>
              <w:fldChar w:fldCharType="end"/>
            </w:r>
            <w:bookmarkEnd w:id="10"/>
            <w:r>
              <w:t xml:space="preserve"> 发布</w:t>
            </w:r>
          </w:p>
        </w:tc>
        <w:tc>
          <w:tcPr>
            <w:tcW w:w="4945" w:type="dxa"/>
            <w:tcBorders>
              <w:bottom w:val="single" w:sz="8" w:space="0" w:color="auto"/>
            </w:tcBorders>
            <w:tcMar>
              <w:right w:w="57" w:type="dxa"/>
            </w:tcMar>
          </w:tcPr>
          <w:p w:rsidR="003B4969" w:rsidRDefault="00000000">
            <w:pPr>
              <w:pStyle w:val="afff5"/>
              <w:framePr w:wrap="around"/>
              <w:jc w:val="right"/>
              <w:rPr>
                <w:rFonts w:hint="default"/>
              </w:rPr>
            </w:pPr>
            <w:r>
              <w:fldChar w:fldCharType="begin">
                <w:ffData>
                  <w:name w:val="SY"/>
                  <w:enabled/>
                  <w:calcOnExit w:val="0"/>
                  <w:textInput>
                    <w:default w:val="XXXX"/>
                    <w:maxLength w:val="4"/>
                  </w:textInput>
                </w:ffData>
              </w:fldChar>
            </w:r>
            <w:bookmarkStart w:id="11" w:name="SY"/>
            <w:r>
              <w:instrText>FORMTEXT</w:instrText>
            </w:r>
            <w:r>
              <w:fldChar w:fldCharType="separate"/>
            </w:r>
            <w:r>
              <w:t>XXXX</w:t>
            </w:r>
            <w:r>
              <w:fldChar w:fldCharType="end"/>
            </w:r>
            <w:bookmarkEnd w:id="11"/>
            <w:r>
              <w:t xml:space="preserve"> - </w:t>
            </w:r>
            <w:r>
              <w:fldChar w:fldCharType="begin">
                <w:ffData>
                  <w:name w:val="SM"/>
                  <w:enabled/>
                  <w:calcOnExit w:val="0"/>
                  <w:textInput>
                    <w:default w:val="XX"/>
                    <w:maxLength w:val="2"/>
                  </w:textInput>
                </w:ffData>
              </w:fldChar>
            </w:r>
            <w:bookmarkStart w:id="12" w:name="SM"/>
            <w:r>
              <w:instrText>FORMTEXT</w:instrText>
            </w:r>
            <w:r>
              <w:fldChar w:fldCharType="separate"/>
            </w:r>
            <w:r>
              <w:t>XX</w:t>
            </w:r>
            <w:r>
              <w:fldChar w:fldCharType="end"/>
            </w:r>
            <w:bookmarkEnd w:id="12"/>
            <w:r>
              <w:t xml:space="preserve"> - </w:t>
            </w:r>
            <w:r>
              <w:fldChar w:fldCharType="begin">
                <w:ffData>
                  <w:name w:val="SD"/>
                  <w:enabled/>
                  <w:calcOnExit w:val="0"/>
                  <w:textInput>
                    <w:default w:val="XX"/>
                    <w:maxLength w:val="2"/>
                  </w:textInput>
                </w:ffData>
              </w:fldChar>
            </w:r>
            <w:bookmarkStart w:id="13" w:name="SD"/>
            <w:r>
              <w:instrText>FORMTEXT</w:instrText>
            </w:r>
            <w:r>
              <w:fldChar w:fldCharType="separate"/>
            </w:r>
            <w:r>
              <w:t>XX</w:t>
            </w:r>
            <w:r>
              <w:fldChar w:fldCharType="end"/>
            </w:r>
            <w:bookmarkEnd w:id="13"/>
            <w:r>
              <w:t xml:space="preserve"> 实施</w:t>
            </w:r>
          </w:p>
        </w:tc>
      </w:tr>
    </w:tbl>
    <w:bookmarkStart w:id="14" w:name="FM2"/>
    <w:p w:rsidR="003B4969" w:rsidRDefault="00000000">
      <w:pPr>
        <w:pStyle w:val="24"/>
        <w:framePr w:wrap="around"/>
        <w:spacing w:before="0"/>
      </w:pPr>
      <w:r>
        <w:fldChar w:fldCharType="begin">
          <w:ffData>
            <w:name w:val="FM2"/>
            <w:enabled/>
            <w:calcOnExit w:val="0"/>
            <w:textInput>
              <w:default w:val="中国国际贸易促进委员会商业行业委员会"/>
            </w:textInput>
          </w:ffData>
        </w:fldChar>
      </w:r>
      <w:r>
        <w:instrText>FORMTEXT</w:instrText>
      </w:r>
      <w:r>
        <w:fldChar w:fldCharType="separate"/>
      </w:r>
      <w:r>
        <w:t>中国国际贸易促进委员会商业行业委员会</w:t>
      </w:r>
      <w:r>
        <w:fldChar w:fldCharType="end"/>
      </w:r>
      <w:bookmarkEnd w:id="14"/>
      <w:r>
        <w:t>  </w:t>
      </w:r>
      <w:r>
        <w:rPr>
          <w:spacing w:val="85"/>
        </w:rPr>
        <w:t>发</w:t>
      </w:r>
      <w:r>
        <w:t>布</w:t>
      </w:r>
    </w:p>
    <w:tbl>
      <w:tblPr>
        <w:tblStyle w:val="a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3"/>
        <w:gridCol w:w="9107"/>
      </w:tblGrid>
      <w:tr w:rsidR="003B4969">
        <w:tc>
          <w:tcPr>
            <w:tcW w:w="463" w:type="dxa"/>
          </w:tcPr>
          <w:p w:rsidR="003B4969" w:rsidRDefault="00000000">
            <w:pPr>
              <w:pStyle w:val="affff0"/>
              <w:framePr w:w="9639" w:wrap="around"/>
              <w:rPr>
                <w:rFonts w:hint="default"/>
              </w:rPr>
            </w:pPr>
            <w:r>
              <w:t>ICS</w:t>
            </w:r>
          </w:p>
        </w:tc>
        <w:tc>
          <w:tcPr>
            <w:tcW w:w="9107" w:type="dxa"/>
          </w:tcPr>
          <w:p w:rsidR="003B4969" w:rsidRDefault="00000000">
            <w:pPr>
              <w:pStyle w:val="affff0"/>
              <w:framePr w:w="9639" w:wrap="around"/>
              <w:rPr>
                <w:rFonts w:hint="default"/>
              </w:rPr>
            </w:pPr>
            <w:bookmarkStart w:id="15" w:name="ICS"/>
            <w:r>
              <w:rPr>
                <w:rFonts w:ascii="Times New Roman" w:eastAsia="宋体"/>
                <w:b/>
                <w:noProof/>
                <w:w w:val="130"/>
                <w:kern w:val="0"/>
              </w:rPr>
              <w:drawing>
                <wp:anchor distT="0" distB="0" distL="114935" distR="114935" simplePos="0" relativeHeight="251659264" behindDoc="0" locked="0" layoutInCell="1" allowOverlap="1">
                  <wp:simplePos x="0" y="0"/>
                  <wp:positionH relativeFrom="column">
                    <wp:posOffset>4328795</wp:posOffset>
                  </wp:positionH>
                  <wp:positionV relativeFrom="paragraph">
                    <wp:posOffset>-161925</wp:posOffset>
                  </wp:positionV>
                  <wp:extent cx="1400810" cy="1308100"/>
                  <wp:effectExtent l="0" t="0" r="0" b="0"/>
                  <wp:wrapNone/>
                  <wp:docPr id="4"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图片1"/>
                          <pic:cNvPicPr>
                            <a:picLocks noChangeAspect="1"/>
                          </pic:cNvPicPr>
                        </pic:nvPicPr>
                        <pic:blipFill>
                          <a:blip r:embed="rId7"/>
                          <a:stretch>
                            <a:fillRect/>
                          </a:stretch>
                        </pic:blipFill>
                        <pic:spPr>
                          <a:xfrm>
                            <a:off x="0" y="0"/>
                            <a:ext cx="1400810" cy="1308100"/>
                          </a:xfrm>
                          <a:prstGeom prst="rect">
                            <a:avLst/>
                          </a:prstGeom>
                          <a:noFill/>
                          <a:ln>
                            <a:noFill/>
                          </a:ln>
                        </pic:spPr>
                      </pic:pic>
                    </a:graphicData>
                  </a:graphic>
                </wp:anchor>
              </w:drawing>
            </w:r>
            <w:r>
              <w:fldChar w:fldCharType="begin">
                <w:ffData>
                  <w:name w:val="ICS"/>
                  <w:enabled/>
                  <w:calcOnExit w:val="0"/>
                  <w:textInput>
                    <w:default w:val="点击此处添加ICS号"/>
                  </w:textInput>
                </w:ffData>
              </w:fldChar>
            </w:r>
            <w:r>
              <w:instrText>FORMTEXT</w:instrText>
            </w:r>
            <w:r>
              <w:fldChar w:fldCharType="separate"/>
            </w:r>
            <w:r>
              <w:t>03.220.01     </w:t>
            </w:r>
            <w:r>
              <w:fldChar w:fldCharType="end"/>
            </w:r>
            <w:bookmarkEnd w:id="15"/>
          </w:p>
        </w:tc>
      </w:tr>
      <w:tr w:rsidR="003B4969">
        <w:tc>
          <w:tcPr>
            <w:tcW w:w="463" w:type="dxa"/>
          </w:tcPr>
          <w:p w:rsidR="003B4969" w:rsidRDefault="00000000">
            <w:pPr>
              <w:pStyle w:val="affff0"/>
              <w:framePr w:w="9639" w:wrap="around"/>
              <w:rPr>
                <w:rFonts w:hint="default"/>
              </w:rPr>
            </w:pPr>
            <w:r>
              <w:t>CCS</w:t>
            </w:r>
          </w:p>
        </w:tc>
        <w:bookmarkStart w:id="16" w:name="CCS"/>
        <w:tc>
          <w:tcPr>
            <w:tcW w:w="9107" w:type="dxa"/>
          </w:tcPr>
          <w:p w:rsidR="003B4969" w:rsidRDefault="00000000">
            <w:pPr>
              <w:pStyle w:val="affff0"/>
              <w:framePr w:w="9639" w:wrap="around"/>
              <w:rPr>
                <w:rFonts w:hint="default"/>
              </w:rPr>
            </w:pPr>
            <w:r>
              <w:fldChar w:fldCharType="begin">
                <w:ffData>
                  <w:name w:val="CCS"/>
                  <w:enabled/>
                  <w:calcOnExit w:val="0"/>
                  <w:textInput>
                    <w:default w:val="R 10"/>
                  </w:textInput>
                </w:ffData>
              </w:fldChar>
            </w:r>
            <w:r>
              <w:instrText>FORMTEXT</w:instrText>
            </w:r>
            <w:r>
              <w:fldChar w:fldCharType="separate"/>
            </w:r>
            <w:r>
              <w:t>R 10</w:t>
            </w:r>
            <w:r>
              <w:fldChar w:fldCharType="end"/>
            </w:r>
            <w:bookmarkEnd w:id="16"/>
          </w:p>
          <w:tbl>
            <w:tblPr>
              <w:tblStyle w:val="aff8"/>
              <w:tblpPr w:vertAnchor="page" w:horzAnchor="margin" w:tblpXSpec="right" w:tblpY="114"/>
              <w:tblOverlap w:val="never"/>
              <w:tblW w:w="6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662"/>
            </w:tblGrid>
            <w:tr w:rsidR="003B4969">
              <w:trPr>
                <w:trHeight w:val="1281"/>
              </w:trPr>
              <w:tc>
                <w:tcPr>
                  <w:tcW w:w="9107" w:type="dxa"/>
                  <w:vAlign w:val="center"/>
                </w:tcPr>
                <w:p w:rsidR="003B4969" w:rsidRDefault="00000000">
                  <w:pPr>
                    <w:pStyle w:val="affff0"/>
                    <w:framePr w:wrap="auto" w:vAnchor="margin" w:hAnchor="text" w:xAlign="left" w:yAlign="inline"/>
                    <w:jc w:val="right"/>
                    <w:rPr>
                      <w:rFonts w:ascii="Times New Roman" w:eastAsia="宋体" w:hint="default"/>
                      <w:b/>
                      <w:w w:val="130"/>
                      <w:kern w:val="0"/>
                    </w:rPr>
                  </w:pPr>
                  <w:r>
                    <w:rPr>
                      <w:rFonts w:ascii="Times New Roman" w:eastAsia="宋体"/>
                      <w:b/>
                      <w:w w:val="130"/>
                      <w:kern w:val="0"/>
                    </w:rPr>
                    <w:t xml:space="preserve"> </w:t>
                  </w:r>
                </w:p>
              </w:tc>
            </w:tr>
          </w:tbl>
          <w:p w:rsidR="003B4969" w:rsidRDefault="003B4969">
            <w:pPr>
              <w:pStyle w:val="affff0"/>
              <w:framePr w:w="9639" w:wrap="around"/>
              <w:rPr>
                <w:rFonts w:hint="default"/>
              </w:rPr>
            </w:pPr>
          </w:p>
        </w:tc>
      </w:tr>
    </w:tbl>
    <w:p w:rsidR="003B4969" w:rsidRDefault="003B4969">
      <w:pPr>
        <w:pStyle w:val="affff0"/>
        <w:framePr w:w="9639" w:wrap="around"/>
        <w:rPr>
          <w:rFonts w:hint="default"/>
        </w:rPr>
        <w:sectPr w:rsidR="003B4969">
          <w:pgSz w:w="11906" w:h="16838"/>
          <w:pgMar w:top="-340" w:right="1134" w:bottom="1021" w:left="1134" w:header="0" w:footer="0" w:gutter="284"/>
          <w:pgNumType w:start="1"/>
          <w:cols w:space="425"/>
          <w:titlePg/>
          <w:docGrid w:type="lines" w:linePitch="312"/>
        </w:sectPr>
      </w:pPr>
    </w:p>
    <w:p w:rsidR="003B4969" w:rsidRDefault="00000000">
      <w:pPr>
        <w:pStyle w:val="affff1"/>
        <w:spacing w:after="468"/>
        <w:rPr>
          <w:rFonts w:hint="default"/>
        </w:rPr>
      </w:pPr>
      <w:r>
        <w:rPr>
          <w:spacing w:val="317"/>
        </w:rPr>
        <w:lastRenderedPageBreak/>
        <w:t>目</w:t>
      </w:r>
      <w:bookmarkStart w:id="17" w:name="BKML"/>
      <w:r>
        <w:t>次</w:t>
      </w:r>
      <w:bookmarkEnd w:id="17"/>
    </w:p>
    <w:p w:rsidR="00A2688F" w:rsidRDefault="00000000">
      <w:pPr>
        <w:pStyle w:val="TOC1"/>
        <w:tabs>
          <w:tab w:val="right" w:leader="dot" w:pos="9344"/>
        </w:tabs>
        <w:rPr>
          <w:rFonts w:asciiTheme="minorHAnsi" w:eastAsiaTheme="minorEastAsia" w:hAnsiTheme="minorHAnsi" w:cstheme="minorBidi"/>
          <w:noProof/>
          <w:sz w:val="22"/>
          <w14:ligatures w14:val="standardContextual"/>
        </w:rPr>
      </w:pPr>
      <w:r>
        <w:fldChar w:fldCharType="begin"/>
      </w:r>
      <w:r>
        <w:instrText>TOC \t "标准文件_前言、引言标题,1,标准文件_章标题,1,标准文件_附录标识,1,标准文件_参考文献标题,1,标准文件_索引标题,1" \h</w:instrText>
      </w:r>
      <w:r>
        <w:fldChar w:fldCharType="separate"/>
      </w:r>
      <w:hyperlink w:anchor="_Toc192237711" w:history="1">
        <w:r w:rsidR="00A2688F" w:rsidRPr="009355C8">
          <w:rPr>
            <w:rStyle w:val="affffff0"/>
            <w:noProof/>
            <w:spacing w:val="317"/>
          </w:rPr>
          <w:t>前</w:t>
        </w:r>
        <w:r w:rsidR="00A2688F" w:rsidRPr="009355C8">
          <w:rPr>
            <w:rStyle w:val="affffff0"/>
            <w:noProof/>
          </w:rPr>
          <w:t>言</w:t>
        </w:r>
        <w:r w:rsidR="00A2688F">
          <w:rPr>
            <w:noProof/>
          </w:rPr>
          <w:tab/>
        </w:r>
        <w:r w:rsidR="00A2688F">
          <w:rPr>
            <w:noProof/>
          </w:rPr>
          <w:fldChar w:fldCharType="begin"/>
        </w:r>
        <w:r w:rsidR="00A2688F">
          <w:rPr>
            <w:noProof/>
          </w:rPr>
          <w:instrText xml:space="preserve"> PAGEREF _Toc192237711 \h </w:instrText>
        </w:r>
        <w:r w:rsidR="00A2688F">
          <w:rPr>
            <w:noProof/>
          </w:rPr>
        </w:r>
        <w:r w:rsidR="00A2688F">
          <w:rPr>
            <w:noProof/>
          </w:rPr>
          <w:fldChar w:fldCharType="separate"/>
        </w:r>
        <w:r w:rsidR="00A2688F">
          <w:rPr>
            <w:noProof/>
          </w:rPr>
          <w:t>II</w:t>
        </w:r>
        <w:r w:rsidR="00A2688F">
          <w:rPr>
            <w:noProof/>
          </w:rPr>
          <w:fldChar w:fldCharType="end"/>
        </w:r>
      </w:hyperlink>
    </w:p>
    <w:p w:rsidR="00A2688F" w:rsidRDefault="00A2688F">
      <w:pPr>
        <w:pStyle w:val="TOC1"/>
        <w:tabs>
          <w:tab w:val="right" w:leader="dot" w:pos="9344"/>
        </w:tabs>
        <w:rPr>
          <w:rFonts w:asciiTheme="minorHAnsi" w:eastAsiaTheme="minorEastAsia" w:hAnsiTheme="minorHAnsi" w:cstheme="minorBidi"/>
          <w:noProof/>
          <w:sz w:val="22"/>
          <w14:ligatures w14:val="standardContextual"/>
        </w:rPr>
      </w:pPr>
      <w:hyperlink w:anchor="_Toc192237712" w:history="1">
        <w:r w:rsidRPr="009355C8">
          <w:rPr>
            <w:rStyle w:val="affffff0"/>
            <w:rFonts w:hAnsi="黑体"/>
            <w:noProof/>
          </w:rPr>
          <w:t>1</w:t>
        </w:r>
        <w:r w:rsidRPr="009355C8">
          <w:rPr>
            <w:rStyle w:val="affffff0"/>
            <w:noProof/>
          </w:rPr>
          <w:t xml:space="preserve"> 范围</w:t>
        </w:r>
        <w:r>
          <w:rPr>
            <w:noProof/>
          </w:rPr>
          <w:tab/>
        </w:r>
        <w:r>
          <w:rPr>
            <w:noProof/>
          </w:rPr>
          <w:fldChar w:fldCharType="begin"/>
        </w:r>
        <w:r>
          <w:rPr>
            <w:noProof/>
          </w:rPr>
          <w:instrText xml:space="preserve"> PAGEREF _Toc192237712 \h </w:instrText>
        </w:r>
        <w:r>
          <w:rPr>
            <w:noProof/>
          </w:rPr>
        </w:r>
        <w:r>
          <w:rPr>
            <w:noProof/>
          </w:rPr>
          <w:fldChar w:fldCharType="separate"/>
        </w:r>
        <w:r>
          <w:rPr>
            <w:noProof/>
          </w:rPr>
          <w:t>1</w:t>
        </w:r>
        <w:r>
          <w:rPr>
            <w:noProof/>
          </w:rPr>
          <w:fldChar w:fldCharType="end"/>
        </w:r>
      </w:hyperlink>
    </w:p>
    <w:p w:rsidR="00A2688F" w:rsidRDefault="00A2688F">
      <w:pPr>
        <w:pStyle w:val="TOC1"/>
        <w:tabs>
          <w:tab w:val="right" w:leader="dot" w:pos="9344"/>
        </w:tabs>
        <w:rPr>
          <w:rFonts w:asciiTheme="minorHAnsi" w:eastAsiaTheme="minorEastAsia" w:hAnsiTheme="minorHAnsi" w:cstheme="minorBidi"/>
          <w:noProof/>
          <w:sz w:val="22"/>
          <w14:ligatures w14:val="standardContextual"/>
        </w:rPr>
      </w:pPr>
      <w:hyperlink w:anchor="_Toc192237713" w:history="1">
        <w:r w:rsidRPr="009355C8">
          <w:rPr>
            <w:rStyle w:val="affffff0"/>
            <w:rFonts w:hAnsi="黑体"/>
            <w:noProof/>
          </w:rPr>
          <w:t>2</w:t>
        </w:r>
        <w:r w:rsidRPr="009355C8">
          <w:rPr>
            <w:rStyle w:val="affffff0"/>
            <w:noProof/>
          </w:rPr>
          <w:t xml:space="preserve"> 规范性引用文件</w:t>
        </w:r>
        <w:r>
          <w:rPr>
            <w:noProof/>
          </w:rPr>
          <w:tab/>
        </w:r>
        <w:r>
          <w:rPr>
            <w:noProof/>
          </w:rPr>
          <w:fldChar w:fldCharType="begin"/>
        </w:r>
        <w:r>
          <w:rPr>
            <w:noProof/>
          </w:rPr>
          <w:instrText xml:space="preserve"> PAGEREF _Toc192237713 \h </w:instrText>
        </w:r>
        <w:r>
          <w:rPr>
            <w:noProof/>
          </w:rPr>
        </w:r>
        <w:r>
          <w:rPr>
            <w:noProof/>
          </w:rPr>
          <w:fldChar w:fldCharType="separate"/>
        </w:r>
        <w:r>
          <w:rPr>
            <w:noProof/>
          </w:rPr>
          <w:t>1</w:t>
        </w:r>
        <w:r>
          <w:rPr>
            <w:noProof/>
          </w:rPr>
          <w:fldChar w:fldCharType="end"/>
        </w:r>
      </w:hyperlink>
    </w:p>
    <w:p w:rsidR="00A2688F" w:rsidRDefault="00A2688F">
      <w:pPr>
        <w:pStyle w:val="TOC1"/>
        <w:tabs>
          <w:tab w:val="right" w:leader="dot" w:pos="9344"/>
        </w:tabs>
        <w:rPr>
          <w:rFonts w:asciiTheme="minorHAnsi" w:eastAsiaTheme="minorEastAsia" w:hAnsiTheme="minorHAnsi" w:cstheme="minorBidi"/>
          <w:noProof/>
          <w:sz w:val="22"/>
          <w14:ligatures w14:val="standardContextual"/>
        </w:rPr>
      </w:pPr>
      <w:hyperlink w:anchor="_Toc192237714" w:history="1">
        <w:r w:rsidRPr="009355C8">
          <w:rPr>
            <w:rStyle w:val="affffff0"/>
            <w:rFonts w:hAnsi="黑体"/>
            <w:noProof/>
          </w:rPr>
          <w:t>3</w:t>
        </w:r>
        <w:r w:rsidRPr="009355C8">
          <w:rPr>
            <w:rStyle w:val="affffff0"/>
            <w:noProof/>
          </w:rPr>
          <w:t xml:space="preserve"> 术语和定义</w:t>
        </w:r>
        <w:r>
          <w:rPr>
            <w:noProof/>
          </w:rPr>
          <w:tab/>
        </w:r>
        <w:r>
          <w:rPr>
            <w:noProof/>
          </w:rPr>
          <w:fldChar w:fldCharType="begin"/>
        </w:r>
        <w:r>
          <w:rPr>
            <w:noProof/>
          </w:rPr>
          <w:instrText xml:space="preserve"> PAGEREF _Toc192237714 \h </w:instrText>
        </w:r>
        <w:r>
          <w:rPr>
            <w:noProof/>
          </w:rPr>
        </w:r>
        <w:r>
          <w:rPr>
            <w:noProof/>
          </w:rPr>
          <w:fldChar w:fldCharType="separate"/>
        </w:r>
        <w:r>
          <w:rPr>
            <w:noProof/>
          </w:rPr>
          <w:t>1</w:t>
        </w:r>
        <w:r>
          <w:rPr>
            <w:noProof/>
          </w:rPr>
          <w:fldChar w:fldCharType="end"/>
        </w:r>
      </w:hyperlink>
    </w:p>
    <w:p w:rsidR="00A2688F" w:rsidRDefault="00A2688F">
      <w:pPr>
        <w:pStyle w:val="TOC1"/>
        <w:tabs>
          <w:tab w:val="right" w:leader="dot" w:pos="9344"/>
        </w:tabs>
        <w:rPr>
          <w:rFonts w:asciiTheme="minorHAnsi" w:eastAsiaTheme="minorEastAsia" w:hAnsiTheme="minorHAnsi" w:cstheme="minorBidi"/>
          <w:noProof/>
          <w:sz w:val="22"/>
          <w14:ligatures w14:val="standardContextual"/>
        </w:rPr>
      </w:pPr>
      <w:hyperlink w:anchor="_Toc192237715" w:history="1">
        <w:r w:rsidRPr="009355C8">
          <w:rPr>
            <w:rStyle w:val="affffff0"/>
            <w:rFonts w:hAnsi="黑体"/>
            <w:noProof/>
          </w:rPr>
          <w:t>4</w:t>
        </w:r>
        <w:r w:rsidRPr="009355C8">
          <w:rPr>
            <w:rStyle w:val="affffff0"/>
            <w:noProof/>
          </w:rPr>
          <w:t xml:space="preserve"> 总则</w:t>
        </w:r>
        <w:r>
          <w:rPr>
            <w:noProof/>
          </w:rPr>
          <w:tab/>
        </w:r>
        <w:r>
          <w:rPr>
            <w:noProof/>
          </w:rPr>
          <w:fldChar w:fldCharType="begin"/>
        </w:r>
        <w:r>
          <w:rPr>
            <w:noProof/>
          </w:rPr>
          <w:instrText xml:space="preserve"> PAGEREF _Toc192237715 \h </w:instrText>
        </w:r>
        <w:r>
          <w:rPr>
            <w:noProof/>
          </w:rPr>
        </w:r>
        <w:r>
          <w:rPr>
            <w:noProof/>
          </w:rPr>
          <w:fldChar w:fldCharType="separate"/>
        </w:r>
        <w:r>
          <w:rPr>
            <w:noProof/>
          </w:rPr>
          <w:t>2</w:t>
        </w:r>
        <w:r>
          <w:rPr>
            <w:noProof/>
          </w:rPr>
          <w:fldChar w:fldCharType="end"/>
        </w:r>
      </w:hyperlink>
    </w:p>
    <w:p w:rsidR="00A2688F" w:rsidRDefault="00A2688F">
      <w:pPr>
        <w:pStyle w:val="TOC1"/>
        <w:tabs>
          <w:tab w:val="right" w:leader="dot" w:pos="9344"/>
        </w:tabs>
        <w:rPr>
          <w:rFonts w:asciiTheme="minorHAnsi" w:eastAsiaTheme="minorEastAsia" w:hAnsiTheme="minorHAnsi" w:cstheme="minorBidi"/>
          <w:noProof/>
          <w:sz w:val="22"/>
          <w14:ligatures w14:val="standardContextual"/>
        </w:rPr>
      </w:pPr>
      <w:hyperlink w:anchor="_Toc192237716" w:history="1">
        <w:r w:rsidRPr="009355C8">
          <w:rPr>
            <w:rStyle w:val="affffff0"/>
            <w:rFonts w:hAnsi="黑体"/>
            <w:noProof/>
          </w:rPr>
          <w:t>5</w:t>
        </w:r>
        <w:r w:rsidRPr="009355C8">
          <w:rPr>
            <w:rStyle w:val="affffff0"/>
            <w:noProof/>
          </w:rPr>
          <w:t xml:space="preserve"> 基本要求</w:t>
        </w:r>
        <w:r>
          <w:rPr>
            <w:noProof/>
          </w:rPr>
          <w:tab/>
        </w:r>
        <w:r>
          <w:rPr>
            <w:noProof/>
          </w:rPr>
          <w:fldChar w:fldCharType="begin"/>
        </w:r>
        <w:r>
          <w:rPr>
            <w:noProof/>
          </w:rPr>
          <w:instrText xml:space="preserve"> PAGEREF _Toc192237716 \h </w:instrText>
        </w:r>
        <w:r>
          <w:rPr>
            <w:noProof/>
          </w:rPr>
        </w:r>
        <w:r>
          <w:rPr>
            <w:noProof/>
          </w:rPr>
          <w:fldChar w:fldCharType="separate"/>
        </w:r>
        <w:r>
          <w:rPr>
            <w:noProof/>
          </w:rPr>
          <w:t>2</w:t>
        </w:r>
        <w:r>
          <w:rPr>
            <w:noProof/>
          </w:rPr>
          <w:fldChar w:fldCharType="end"/>
        </w:r>
      </w:hyperlink>
    </w:p>
    <w:p w:rsidR="00A2688F" w:rsidRDefault="00A2688F">
      <w:pPr>
        <w:pStyle w:val="TOC1"/>
        <w:tabs>
          <w:tab w:val="right" w:leader="dot" w:pos="9344"/>
        </w:tabs>
        <w:rPr>
          <w:rFonts w:asciiTheme="minorHAnsi" w:eastAsiaTheme="minorEastAsia" w:hAnsiTheme="minorHAnsi" w:cstheme="minorBidi"/>
          <w:noProof/>
          <w:sz w:val="22"/>
          <w14:ligatures w14:val="standardContextual"/>
        </w:rPr>
      </w:pPr>
      <w:hyperlink w:anchor="_Toc192237717" w:history="1">
        <w:r w:rsidRPr="009355C8">
          <w:rPr>
            <w:rStyle w:val="affffff0"/>
            <w:rFonts w:hAnsi="黑体"/>
            <w:noProof/>
          </w:rPr>
          <w:t>6</w:t>
        </w:r>
        <w:r w:rsidRPr="009355C8">
          <w:rPr>
            <w:rStyle w:val="affffff0"/>
            <w:noProof/>
          </w:rPr>
          <w:t xml:space="preserve"> 服务内容</w:t>
        </w:r>
        <w:r>
          <w:rPr>
            <w:noProof/>
          </w:rPr>
          <w:tab/>
        </w:r>
        <w:r>
          <w:rPr>
            <w:noProof/>
          </w:rPr>
          <w:fldChar w:fldCharType="begin"/>
        </w:r>
        <w:r>
          <w:rPr>
            <w:noProof/>
          </w:rPr>
          <w:instrText xml:space="preserve"> PAGEREF _Toc192237717 \h </w:instrText>
        </w:r>
        <w:r>
          <w:rPr>
            <w:noProof/>
          </w:rPr>
        </w:r>
        <w:r>
          <w:rPr>
            <w:noProof/>
          </w:rPr>
          <w:fldChar w:fldCharType="separate"/>
        </w:r>
        <w:r>
          <w:rPr>
            <w:noProof/>
          </w:rPr>
          <w:t>3</w:t>
        </w:r>
        <w:r>
          <w:rPr>
            <w:noProof/>
          </w:rPr>
          <w:fldChar w:fldCharType="end"/>
        </w:r>
      </w:hyperlink>
    </w:p>
    <w:p w:rsidR="00A2688F" w:rsidRDefault="00A2688F">
      <w:pPr>
        <w:pStyle w:val="TOC1"/>
        <w:tabs>
          <w:tab w:val="right" w:leader="dot" w:pos="9344"/>
        </w:tabs>
        <w:rPr>
          <w:rFonts w:asciiTheme="minorHAnsi" w:eastAsiaTheme="minorEastAsia" w:hAnsiTheme="minorHAnsi" w:cstheme="minorBidi"/>
          <w:noProof/>
          <w:sz w:val="22"/>
          <w14:ligatures w14:val="standardContextual"/>
        </w:rPr>
      </w:pPr>
      <w:hyperlink w:anchor="_Toc192237718" w:history="1">
        <w:r w:rsidRPr="009355C8">
          <w:rPr>
            <w:rStyle w:val="affffff0"/>
            <w:rFonts w:hAnsi="黑体"/>
            <w:noProof/>
          </w:rPr>
          <w:t>7</w:t>
        </w:r>
        <w:r w:rsidRPr="009355C8">
          <w:rPr>
            <w:rStyle w:val="affffff0"/>
            <w:noProof/>
          </w:rPr>
          <w:t xml:space="preserve"> 服务流程</w:t>
        </w:r>
        <w:r>
          <w:rPr>
            <w:noProof/>
          </w:rPr>
          <w:tab/>
        </w:r>
        <w:r>
          <w:rPr>
            <w:noProof/>
          </w:rPr>
          <w:fldChar w:fldCharType="begin"/>
        </w:r>
        <w:r>
          <w:rPr>
            <w:noProof/>
          </w:rPr>
          <w:instrText xml:space="preserve"> PAGEREF _Toc192237718 \h </w:instrText>
        </w:r>
        <w:r>
          <w:rPr>
            <w:noProof/>
          </w:rPr>
        </w:r>
        <w:r>
          <w:rPr>
            <w:noProof/>
          </w:rPr>
          <w:fldChar w:fldCharType="separate"/>
        </w:r>
        <w:r>
          <w:rPr>
            <w:noProof/>
          </w:rPr>
          <w:t>6</w:t>
        </w:r>
        <w:r>
          <w:rPr>
            <w:noProof/>
          </w:rPr>
          <w:fldChar w:fldCharType="end"/>
        </w:r>
      </w:hyperlink>
    </w:p>
    <w:p w:rsidR="00A2688F" w:rsidRDefault="00A2688F">
      <w:pPr>
        <w:pStyle w:val="TOC1"/>
        <w:tabs>
          <w:tab w:val="right" w:leader="dot" w:pos="9344"/>
        </w:tabs>
        <w:rPr>
          <w:rFonts w:asciiTheme="minorHAnsi" w:eastAsiaTheme="minorEastAsia" w:hAnsiTheme="minorHAnsi" w:cstheme="minorBidi"/>
          <w:noProof/>
          <w:sz w:val="22"/>
          <w14:ligatures w14:val="standardContextual"/>
        </w:rPr>
      </w:pPr>
      <w:hyperlink w:anchor="_Toc192237719" w:history="1">
        <w:r w:rsidRPr="009355C8">
          <w:rPr>
            <w:rStyle w:val="affffff0"/>
            <w:rFonts w:hAnsi="黑体"/>
            <w:noProof/>
          </w:rPr>
          <w:t>8</w:t>
        </w:r>
        <w:r w:rsidRPr="009355C8">
          <w:rPr>
            <w:rStyle w:val="affffff0"/>
            <w:noProof/>
          </w:rPr>
          <w:t xml:space="preserve"> 运输碳汇计算</w:t>
        </w:r>
        <w:r>
          <w:rPr>
            <w:noProof/>
          </w:rPr>
          <w:tab/>
        </w:r>
        <w:r>
          <w:rPr>
            <w:noProof/>
          </w:rPr>
          <w:fldChar w:fldCharType="begin"/>
        </w:r>
        <w:r>
          <w:rPr>
            <w:noProof/>
          </w:rPr>
          <w:instrText xml:space="preserve"> PAGEREF _Toc192237719 \h </w:instrText>
        </w:r>
        <w:r>
          <w:rPr>
            <w:noProof/>
          </w:rPr>
        </w:r>
        <w:r>
          <w:rPr>
            <w:noProof/>
          </w:rPr>
          <w:fldChar w:fldCharType="separate"/>
        </w:r>
        <w:r>
          <w:rPr>
            <w:noProof/>
          </w:rPr>
          <w:t>7</w:t>
        </w:r>
        <w:r>
          <w:rPr>
            <w:noProof/>
          </w:rPr>
          <w:fldChar w:fldCharType="end"/>
        </w:r>
      </w:hyperlink>
    </w:p>
    <w:p w:rsidR="00A2688F" w:rsidRDefault="00A2688F">
      <w:pPr>
        <w:pStyle w:val="TOC1"/>
        <w:tabs>
          <w:tab w:val="right" w:leader="dot" w:pos="9344"/>
        </w:tabs>
        <w:rPr>
          <w:rFonts w:asciiTheme="minorHAnsi" w:eastAsiaTheme="minorEastAsia" w:hAnsiTheme="minorHAnsi" w:cstheme="minorBidi"/>
          <w:noProof/>
          <w:sz w:val="22"/>
          <w14:ligatures w14:val="standardContextual"/>
        </w:rPr>
      </w:pPr>
      <w:hyperlink w:anchor="_Toc192237720" w:history="1">
        <w:r w:rsidRPr="009355C8">
          <w:rPr>
            <w:rStyle w:val="affffff0"/>
            <w:rFonts w:hAnsi="黑体"/>
            <w:noProof/>
          </w:rPr>
          <w:t>9</w:t>
        </w:r>
        <w:r w:rsidRPr="009355C8">
          <w:rPr>
            <w:rStyle w:val="affffff0"/>
            <w:noProof/>
          </w:rPr>
          <w:t xml:space="preserve"> 评价与改进</w:t>
        </w:r>
        <w:r>
          <w:rPr>
            <w:noProof/>
          </w:rPr>
          <w:tab/>
        </w:r>
        <w:r>
          <w:rPr>
            <w:noProof/>
          </w:rPr>
          <w:fldChar w:fldCharType="begin"/>
        </w:r>
        <w:r>
          <w:rPr>
            <w:noProof/>
          </w:rPr>
          <w:instrText xml:space="preserve"> PAGEREF _Toc192237720 \h </w:instrText>
        </w:r>
        <w:r>
          <w:rPr>
            <w:noProof/>
          </w:rPr>
        </w:r>
        <w:r>
          <w:rPr>
            <w:noProof/>
          </w:rPr>
          <w:fldChar w:fldCharType="separate"/>
        </w:r>
        <w:r>
          <w:rPr>
            <w:noProof/>
          </w:rPr>
          <w:t>8</w:t>
        </w:r>
        <w:r>
          <w:rPr>
            <w:noProof/>
          </w:rPr>
          <w:fldChar w:fldCharType="end"/>
        </w:r>
      </w:hyperlink>
    </w:p>
    <w:p w:rsidR="00A2688F" w:rsidRDefault="00A2688F">
      <w:pPr>
        <w:pStyle w:val="TOC1"/>
        <w:tabs>
          <w:tab w:val="right" w:leader="dot" w:pos="9344"/>
        </w:tabs>
        <w:rPr>
          <w:rFonts w:asciiTheme="minorHAnsi" w:eastAsiaTheme="minorEastAsia" w:hAnsiTheme="minorHAnsi" w:cstheme="minorBidi"/>
          <w:noProof/>
          <w:sz w:val="22"/>
          <w14:ligatures w14:val="standardContextual"/>
        </w:rPr>
      </w:pPr>
      <w:hyperlink w:anchor="_Toc192237721" w:history="1">
        <w:r w:rsidRPr="009355C8">
          <w:rPr>
            <w:rStyle w:val="affffff0"/>
            <w:noProof/>
          </w:rPr>
          <w:t>参考文献</w:t>
        </w:r>
        <w:r>
          <w:rPr>
            <w:noProof/>
          </w:rPr>
          <w:tab/>
        </w:r>
        <w:r>
          <w:rPr>
            <w:noProof/>
          </w:rPr>
          <w:fldChar w:fldCharType="begin"/>
        </w:r>
        <w:r>
          <w:rPr>
            <w:noProof/>
          </w:rPr>
          <w:instrText xml:space="preserve"> PAGEREF _Toc192237721 \h </w:instrText>
        </w:r>
        <w:r>
          <w:rPr>
            <w:noProof/>
          </w:rPr>
        </w:r>
        <w:r>
          <w:rPr>
            <w:noProof/>
          </w:rPr>
          <w:fldChar w:fldCharType="separate"/>
        </w:r>
        <w:r>
          <w:rPr>
            <w:noProof/>
          </w:rPr>
          <w:t>10</w:t>
        </w:r>
        <w:r>
          <w:rPr>
            <w:noProof/>
          </w:rPr>
          <w:fldChar w:fldCharType="end"/>
        </w:r>
      </w:hyperlink>
    </w:p>
    <w:p w:rsidR="003B4969" w:rsidRDefault="00000000">
      <w:pPr>
        <w:rPr>
          <w:rFonts w:hint="default"/>
        </w:rPr>
      </w:pPr>
      <w:r>
        <w:rPr>
          <w:rFonts w:hAnsi="宋体"/>
        </w:rPr>
        <w:fldChar w:fldCharType="end"/>
      </w:r>
    </w:p>
    <w:p w:rsidR="003B4969" w:rsidRDefault="00000000">
      <w:pPr>
        <w:pStyle w:val="affff1"/>
        <w:spacing w:after="468"/>
        <w:rPr>
          <w:rFonts w:hint="default"/>
        </w:rPr>
      </w:pPr>
      <w:r>
        <w:br w:type="page"/>
      </w:r>
    </w:p>
    <w:p w:rsidR="003B4969" w:rsidRDefault="00000000">
      <w:pPr>
        <w:pStyle w:val="af4"/>
        <w:spacing w:after="468"/>
        <w:rPr>
          <w:rFonts w:hint="default"/>
        </w:rPr>
      </w:pPr>
      <w:bookmarkStart w:id="18" w:name="_Toc27389"/>
      <w:bookmarkStart w:id="19" w:name="_Toc192237711"/>
      <w:r>
        <w:rPr>
          <w:spacing w:val="317"/>
        </w:rPr>
        <w:lastRenderedPageBreak/>
        <w:t>前</w:t>
      </w:r>
      <w:bookmarkStart w:id="20" w:name="BKQY"/>
      <w:r>
        <w:t>言</w:t>
      </w:r>
      <w:bookmarkEnd w:id="18"/>
      <w:bookmarkEnd w:id="19"/>
    </w:p>
    <w:p w:rsidR="003B4969" w:rsidRDefault="00000000">
      <w:pPr>
        <w:pStyle w:val="affa"/>
        <w:ind w:firstLine="420"/>
        <w:rPr>
          <w:rFonts w:hint="default"/>
        </w:rPr>
      </w:pPr>
      <w:r>
        <w:t>本文件按照GB/T 1.1—2020《标准化工作导则  第1部分：标准化文件的结构和起草规则》的规定起草。</w:t>
      </w:r>
    </w:p>
    <w:p w:rsidR="003B4969" w:rsidRDefault="00000000">
      <w:pPr>
        <w:pStyle w:val="affa"/>
        <w:ind w:firstLine="420"/>
        <w:rPr>
          <w:rFonts w:hint="default"/>
        </w:rPr>
      </w:pPr>
      <w:r>
        <w:t>请注意本文件的某些内容可能涉及专利。本文件的发布机构不承担识别专利的责任。</w:t>
      </w:r>
    </w:p>
    <w:p w:rsidR="003B4969" w:rsidRDefault="00000000">
      <w:pPr>
        <w:pStyle w:val="affa"/>
        <w:ind w:firstLine="420"/>
        <w:rPr>
          <w:rFonts w:hint="default"/>
        </w:rPr>
      </w:pPr>
      <w:r>
        <w:t>本文件由中国国际贸易促进委员会商业行业委员会提出并归口。</w:t>
      </w:r>
    </w:p>
    <w:p w:rsidR="003B4969" w:rsidRDefault="00000000">
      <w:pPr>
        <w:pStyle w:val="affa"/>
        <w:ind w:firstLine="420"/>
        <w:rPr>
          <w:rFonts w:hint="default"/>
        </w:rPr>
      </w:pPr>
      <w:r>
        <w:t>本文件起草单位：</w:t>
      </w:r>
    </w:p>
    <w:p w:rsidR="003B4969" w:rsidRDefault="00000000">
      <w:pPr>
        <w:pStyle w:val="affa"/>
        <w:ind w:firstLine="420"/>
        <w:rPr>
          <w:rFonts w:hint="default"/>
        </w:rPr>
      </w:pPr>
      <w:r>
        <w:t>本文件主要起草人：</w:t>
      </w:r>
    </w:p>
    <w:p w:rsidR="003B4969" w:rsidRDefault="003B4969">
      <w:pPr>
        <w:pStyle w:val="affa"/>
        <w:ind w:firstLine="420"/>
        <w:rPr>
          <w:rFonts w:hint="default"/>
        </w:rPr>
      </w:pPr>
    </w:p>
    <w:bookmarkEnd w:id="20"/>
    <w:p w:rsidR="003B4969" w:rsidRDefault="003B4969">
      <w:pPr>
        <w:rPr>
          <w:rFonts w:hint="default"/>
        </w:rPr>
      </w:pPr>
    </w:p>
    <w:p w:rsidR="003B4969" w:rsidRDefault="003B4969">
      <w:pPr>
        <w:rPr>
          <w:rFonts w:hint="default"/>
        </w:rPr>
      </w:pPr>
    </w:p>
    <w:p w:rsidR="003B4969" w:rsidRDefault="00000000">
      <w:pPr>
        <w:rPr>
          <w:rFonts w:hint="default"/>
        </w:rPr>
      </w:pPr>
      <w:r>
        <w:br w:type="page"/>
      </w:r>
    </w:p>
    <w:p w:rsidR="003B4969" w:rsidRDefault="003B4969">
      <w:pPr>
        <w:rPr>
          <w:rFonts w:hint="default"/>
        </w:rPr>
        <w:sectPr w:rsidR="003B4969">
          <w:headerReference w:type="default" r:id="rId8"/>
          <w:footerReference w:type="default" r:id="rId9"/>
          <w:pgSz w:w="11906" w:h="16838"/>
          <w:pgMar w:top="2410" w:right="1134" w:bottom="1134" w:left="1134" w:header="1418" w:footer="1134" w:gutter="284"/>
          <w:pgNumType w:fmt="upperRoman" w:start="1"/>
          <w:cols w:space="425"/>
          <w:docGrid w:type="lines" w:linePitch="312"/>
        </w:sectPr>
      </w:pPr>
    </w:p>
    <w:bookmarkStart w:id="21" w:name="StandardName" w:displacedByCustomXml="next"/>
    <w:sdt>
      <w:sdtPr>
        <w:rPr>
          <w:rStyle w:val="Char"/>
        </w:rPr>
        <w:tag w:val="StandardName"/>
        <w:id w:val="147467531"/>
        <w:lock w:val="sdtLocked"/>
        <w:placeholder>
          <w:docPart w:val="{0ecda0aa-0824-44f5-ba95-5812d495ef0b}"/>
        </w:placeholder>
      </w:sdtPr>
      <w:sdtContent>
        <w:p w:rsidR="003B4969" w:rsidRDefault="00000000">
          <w:pPr>
            <w:pStyle w:val="affff2"/>
            <w:spacing w:after="0"/>
            <w:rPr>
              <w:rStyle w:val="Char"/>
            </w:rPr>
          </w:pPr>
          <w:r>
            <w:rPr>
              <w:rStyle w:val="Char"/>
            </w:rPr>
            <w:t>基于绿色</w:t>
          </w:r>
          <w:proofErr w:type="gramStart"/>
          <w:r>
            <w:rPr>
              <w:rStyle w:val="Char"/>
            </w:rPr>
            <w:t>碳汇高效</w:t>
          </w:r>
          <w:proofErr w:type="gramEnd"/>
          <w:r>
            <w:rPr>
              <w:rStyle w:val="Char"/>
            </w:rPr>
            <w:t>运营的散水液态标准化工品（标品）</w:t>
          </w:r>
        </w:p>
        <w:bookmarkEnd w:id="21" w:displacedByCustomXml="next"/>
      </w:sdtContent>
    </w:sdt>
    <w:p w:rsidR="003B4969" w:rsidRDefault="00000000">
      <w:pPr>
        <w:pStyle w:val="affff2"/>
        <w:rPr>
          <w:rStyle w:val="Char"/>
        </w:rPr>
      </w:pPr>
      <w:r>
        <w:rPr>
          <w:rStyle w:val="Char"/>
        </w:rPr>
        <w:t>物流管理服务规范</w:t>
      </w:r>
    </w:p>
    <w:p w:rsidR="003B4969" w:rsidRDefault="00000000">
      <w:pPr>
        <w:pStyle w:val="afc"/>
        <w:spacing w:before="312" w:after="312"/>
        <w:rPr>
          <w:rStyle w:val="Char"/>
        </w:rPr>
      </w:pPr>
      <w:bookmarkStart w:id="22" w:name="_Toc926"/>
      <w:bookmarkStart w:id="23" w:name="_Toc192237712"/>
      <w:r>
        <w:t>范围</w:t>
      </w:r>
      <w:bookmarkEnd w:id="22"/>
      <w:bookmarkEnd w:id="23"/>
    </w:p>
    <w:p w:rsidR="003B4969" w:rsidRDefault="00000000">
      <w:pPr>
        <w:pStyle w:val="affa"/>
        <w:ind w:firstLine="420"/>
        <w:rPr>
          <w:rFonts w:hint="default"/>
        </w:rPr>
      </w:pPr>
      <w:r>
        <w:t>本文件规定了基于绿色</w:t>
      </w:r>
      <w:proofErr w:type="gramStart"/>
      <w:r>
        <w:t>碳汇高效</w:t>
      </w:r>
      <w:proofErr w:type="gramEnd"/>
      <w:r>
        <w:t>运营的散水液态标准化工品（标品）物流管理服务的术语和定义、总则、基本要求、服务内容、服务流程、</w:t>
      </w:r>
      <w:proofErr w:type="gramStart"/>
      <w:r>
        <w:t>运输碳汇计算</w:t>
      </w:r>
      <w:proofErr w:type="gramEnd"/>
      <w:r>
        <w:t>、评价与改进等内容。</w:t>
      </w:r>
    </w:p>
    <w:p w:rsidR="003B4969" w:rsidRDefault="00000000">
      <w:pPr>
        <w:pStyle w:val="affa"/>
        <w:ind w:firstLine="420"/>
        <w:rPr>
          <w:rFonts w:hint="default"/>
        </w:rPr>
      </w:pPr>
      <w:r>
        <w:t>本文件适用于规范散水液态标准化工品（标品）的物流管理。</w:t>
      </w:r>
    </w:p>
    <w:p w:rsidR="003B4969" w:rsidRDefault="00000000">
      <w:pPr>
        <w:pStyle w:val="afc"/>
        <w:spacing w:before="312" w:after="312"/>
        <w:rPr>
          <w:rFonts w:hint="default"/>
        </w:rPr>
      </w:pPr>
      <w:bookmarkStart w:id="24" w:name="_Toc24383"/>
      <w:bookmarkStart w:id="25" w:name="_Toc192237713"/>
      <w:r>
        <w:t>规范性引用文件</w:t>
      </w:r>
      <w:bookmarkEnd w:id="24"/>
      <w:bookmarkEnd w:id="25"/>
    </w:p>
    <w:sdt>
      <w:sdtPr>
        <w:tag w:val="StandNameFile"/>
        <w:id w:val="147474643"/>
        <w:placeholder>
          <w:docPart w:val="{7ee98f93-f94c-4ed3-9c3f-3c9f9c870972}"/>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Content>
        <w:p w:rsidR="003B4969" w:rsidRDefault="00000000">
          <w:pPr>
            <w:pStyle w:val="affa"/>
            <w:ind w:firstLine="420"/>
            <w:rPr>
              <w:rFonts w:hint="default"/>
            </w:rPr>
          </w:pPr>
          <w: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3B4969" w:rsidRDefault="00000000">
      <w:pPr>
        <w:pStyle w:val="affa"/>
        <w:ind w:firstLine="420"/>
        <w:rPr>
          <w:rFonts w:hint="default"/>
        </w:rPr>
      </w:pPr>
      <w:r>
        <w:t>GB 2894  安全标志及其使用导则</w:t>
      </w:r>
    </w:p>
    <w:p w:rsidR="003B4969" w:rsidRDefault="00000000">
      <w:pPr>
        <w:pStyle w:val="affa"/>
        <w:ind w:firstLine="420"/>
        <w:rPr>
          <w:rFonts w:hint="default"/>
        </w:rPr>
      </w:pPr>
      <w:r>
        <w:t>GB/T 15098  危险货物运输包装类别划分方法</w:t>
      </w:r>
    </w:p>
    <w:p w:rsidR="003B4969" w:rsidRDefault="00000000">
      <w:pPr>
        <w:pStyle w:val="affa"/>
        <w:ind w:firstLine="420"/>
        <w:rPr>
          <w:rFonts w:hint="default"/>
        </w:rPr>
      </w:pPr>
      <w:r>
        <w:t>GB 15258  化学品安全标签编写规定</w:t>
      </w:r>
    </w:p>
    <w:p w:rsidR="003B4969" w:rsidRDefault="00000000">
      <w:pPr>
        <w:pStyle w:val="affa"/>
        <w:ind w:firstLine="420"/>
        <w:rPr>
          <w:rFonts w:hint="default"/>
        </w:rPr>
      </w:pPr>
      <w:r>
        <w:t>GB/T 18354-2021  物流术语</w:t>
      </w:r>
    </w:p>
    <w:p w:rsidR="003B4969" w:rsidRDefault="00000000">
      <w:pPr>
        <w:pStyle w:val="affa"/>
        <w:ind w:firstLine="420"/>
        <w:rPr>
          <w:rFonts w:hint="default"/>
        </w:rPr>
      </w:pPr>
      <w:r>
        <w:t>GB/T 19012  质量管理 顾客满意 组织投诉处理指南</w:t>
      </w:r>
    </w:p>
    <w:p w:rsidR="003B4969" w:rsidRDefault="00000000">
      <w:pPr>
        <w:pStyle w:val="afc"/>
        <w:spacing w:before="312" w:after="312"/>
        <w:rPr>
          <w:rFonts w:ascii="宋体" w:eastAsia="宋体" w:cs="宋体" w:hint="default"/>
        </w:rPr>
      </w:pPr>
      <w:bookmarkStart w:id="26" w:name="_Toc8893"/>
      <w:bookmarkStart w:id="27" w:name="_Toc192237714"/>
      <w:r>
        <w:t>术语和定义</w:t>
      </w:r>
      <w:bookmarkEnd w:id="26"/>
      <w:bookmarkEnd w:id="27"/>
    </w:p>
    <w:sdt>
      <w:sdtPr>
        <w:tag w:val="TermContent"/>
        <w:id w:val="1897391290"/>
        <w:placeholder>
          <w:docPart w:val="{10120060-b18c-42b4-bc65-f79f3357c70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3B4969" w:rsidRDefault="00000000">
          <w:pPr>
            <w:pStyle w:val="affa"/>
            <w:ind w:firstLine="420"/>
            <w:rPr>
              <w:rFonts w:hint="default"/>
            </w:rPr>
          </w:pPr>
          <w:r>
            <w:t>GB/T 18354-2021界定的以及下列术语和定义适用于本文件。</w:t>
          </w:r>
        </w:p>
      </w:sdtContent>
    </w:sdt>
    <w:p w:rsidR="003B4969" w:rsidRDefault="00000000">
      <w:pPr>
        <w:pStyle w:val="affffd"/>
        <w:spacing w:before="3" w:afterLines="0" w:after="0"/>
        <w:ind w:left="420" w:hanging="420"/>
      </w:pPr>
      <w:r>
        <w:br/>
        <w:t>散水液态标准化工品  bulk liquid standardized chemical products</w:t>
      </w:r>
    </w:p>
    <w:p w:rsidR="003B4969" w:rsidRDefault="00000000">
      <w:pPr>
        <w:pStyle w:val="affa"/>
        <w:ind w:firstLine="420"/>
        <w:rPr>
          <w:rFonts w:hint="default"/>
        </w:rPr>
      </w:pPr>
      <w:r>
        <w:t>指以液体形式存在并符合特定标准的化学产品。</w:t>
      </w:r>
    </w:p>
    <w:p w:rsidR="003B4969" w:rsidRDefault="00000000">
      <w:pPr>
        <w:pStyle w:val="affffd"/>
        <w:spacing w:before="3" w:afterLines="0" w:after="0"/>
        <w:ind w:left="420" w:hanging="420"/>
      </w:pPr>
      <w:r>
        <w:br/>
        <w:t>标准货单  standard bill of lading</w:t>
      </w:r>
    </w:p>
    <w:p w:rsidR="003B4969" w:rsidRDefault="00000000">
      <w:pPr>
        <w:pStyle w:val="affa"/>
        <w:ind w:firstLine="420"/>
        <w:rPr>
          <w:rFonts w:hint="default"/>
        </w:rPr>
      </w:pPr>
      <w:r>
        <w:t>指在商业交易中使用的一种文件，用于详细描述货物的名称、数量、价格、质量标准以及交付方式等信息。作为供应商和买方之间确立和确认交易细节的重要依据。</w:t>
      </w:r>
    </w:p>
    <w:p w:rsidR="003B4969" w:rsidRDefault="00000000">
      <w:pPr>
        <w:pStyle w:val="affffd"/>
        <w:spacing w:before="3" w:afterLines="0" w:after="0"/>
        <w:ind w:left="420" w:hanging="420"/>
      </w:pPr>
      <w:r>
        <w:br/>
        <w:t>共享货单  shared bill of lading</w:t>
      </w:r>
    </w:p>
    <w:p w:rsidR="003B4969" w:rsidRDefault="00000000">
      <w:pPr>
        <w:pStyle w:val="affa"/>
        <w:ind w:firstLine="420"/>
        <w:rPr>
          <w:rFonts w:hint="default"/>
        </w:rPr>
      </w:pPr>
      <w:r>
        <w:t>指将货单信息在供应链中的各个环节进行实时共享，以便供应链参与者能够及时获取和更新货物的相关信息，便于其通过数字化的手段进行买入、卖出和置换交易。</w:t>
      </w:r>
    </w:p>
    <w:p w:rsidR="003B4969" w:rsidRDefault="00000000">
      <w:pPr>
        <w:pStyle w:val="affffd"/>
        <w:spacing w:before="3" w:afterLines="0" w:after="0"/>
        <w:ind w:left="420" w:hanging="420"/>
      </w:pPr>
      <w:r>
        <w:br/>
        <w:t>货单交换  transaction on bill-of-lading</w:t>
      </w:r>
    </w:p>
    <w:p w:rsidR="003B4969" w:rsidRDefault="00000000">
      <w:pPr>
        <w:pStyle w:val="affa"/>
        <w:ind w:firstLine="420"/>
        <w:rPr>
          <w:rFonts w:hint="default"/>
        </w:rPr>
      </w:pPr>
      <w:r>
        <w:t>指在供应</w:t>
      </w:r>
      <w:proofErr w:type="gramStart"/>
      <w:r>
        <w:t>链流通</w:t>
      </w:r>
      <w:proofErr w:type="gramEnd"/>
      <w:r>
        <w:t>中的一种交换方式。通过货主或供应商将已经产生或将要产生的货物的货单（也称为委托物权凭证）分别转让给</w:t>
      </w:r>
      <w:proofErr w:type="gramStart"/>
      <w:r>
        <w:t>其他第三</w:t>
      </w:r>
      <w:proofErr w:type="gramEnd"/>
      <w:r>
        <w:t>方，以获取交换式的流通支持。</w:t>
      </w:r>
    </w:p>
    <w:p w:rsidR="003B4969" w:rsidRDefault="00000000">
      <w:pPr>
        <w:pStyle w:val="affffd"/>
        <w:spacing w:before="3" w:afterLines="0" w:after="0"/>
        <w:ind w:left="420" w:hanging="420"/>
      </w:pPr>
      <w:r>
        <w:br/>
        <w:t>综合物流服务  integrated logistics service</w:t>
      </w:r>
    </w:p>
    <w:p w:rsidR="003B4969" w:rsidRDefault="00000000">
      <w:pPr>
        <w:pStyle w:val="affa"/>
        <w:ind w:firstLine="420"/>
        <w:rPr>
          <w:rFonts w:hint="default"/>
        </w:rPr>
      </w:pPr>
      <w:r>
        <w:lastRenderedPageBreak/>
        <w:t>为客户制定整体性的物流方案，并对活动要素进行规划、组织、实施和系统化运作。</w:t>
      </w:r>
    </w:p>
    <w:p w:rsidR="003B4969" w:rsidRDefault="00000000">
      <w:pPr>
        <w:pStyle w:val="affa"/>
        <w:ind w:firstLine="420"/>
        <w:rPr>
          <w:rFonts w:hint="default"/>
        </w:rPr>
      </w:pPr>
      <w:r>
        <w:t>[来源：GB/T19680-2005，定义3.3]</w:t>
      </w:r>
    </w:p>
    <w:p w:rsidR="003B4969" w:rsidRDefault="00000000">
      <w:pPr>
        <w:pStyle w:val="affffd"/>
        <w:spacing w:before="3" w:afterLines="0" w:after="0"/>
        <w:ind w:left="420" w:hanging="420"/>
      </w:pPr>
      <w:r>
        <w:br/>
        <w:t>物流信息管理  logistics information management</w:t>
      </w:r>
    </w:p>
    <w:p w:rsidR="003B4969" w:rsidRDefault="00000000">
      <w:pPr>
        <w:pStyle w:val="affa"/>
        <w:ind w:firstLine="420"/>
        <w:rPr>
          <w:rFonts w:hint="default"/>
        </w:rPr>
      </w:pPr>
      <w:r>
        <w:t>运用现代信息技术和手段完成物流过程中信息的采集、处理、存储、传输和交换，实现物流信息电子化、数字化、网络化。</w:t>
      </w:r>
    </w:p>
    <w:p w:rsidR="003B4969" w:rsidRDefault="00000000">
      <w:pPr>
        <w:pStyle w:val="affffd"/>
        <w:spacing w:before="3" w:afterLines="0" w:after="0"/>
        <w:ind w:left="420" w:hanging="420"/>
      </w:pPr>
      <w:r>
        <w:br/>
      </w:r>
      <w:proofErr w:type="gramStart"/>
      <w:r>
        <w:t>运输碳汇</w:t>
      </w:r>
      <w:proofErr w:type="gramEnd"/>
      <w:r>
        <w:t xml:space="preserve">  transporting carbon credits</w:t>
      </w:r>
    </w:p>
    <w:p w:rsidR="003B4969" w:rsidRDefault="00000000">
      <w:pPr>
        <w:pStyle w:val="affa"/>
        <w:ind w:firstLine="420"/>
        <w:rPr>
          <w:rFonts w:hint="default"/>
        </w:rPr>
      </w:pPr>
      <w:r>
        <w:t>指将货物从一个地点运输到另一个地点所产生的温室气体排放量的估算指标。</w:t>
      </w:r>
    </w:p>
    <w:p w:rsidR="003B4969" w:rsidRDefault="00000000">
      <w:pPr>
        <w:pStyle w:val="afc"/>
        <w:spacing w:before="312" w:after="312"/>
        <w:rPr>
          <w:rFonts w:hint="default"/>
        </w:rPr>
      </w:pPr>
      <w:bookmarkStart w:id="28" w:name="_Toc16465"/>
      <w:bookmarkStart w:id="29" w:name="_Toc192237715"/>
      <w:r>
        <w:t>总则</w:t>
      </w:r>
      <w:bookmarkEnd w:id="28"/>
      <w:bookmarkEnd w:id="29"/>
    </w:p>
    <w:p w:rsidR="003B4969" w:rsidRDefault="00000000">
      <w:pPr>
        <w:pStyle w:val="afd"/>
        <w:spacing w:before="156" w:after="156"/>
        <w:rPr>
          <w:rFonts w:hint="default"/>
        </w:rPr>
      </w:pPr>
      <w:r>
        <w:t>环境友好</w:t>
      </w:r>
    </w:p>
    <w:p w:rsidR="003B4969" w:rsidRDefault="00000000">
      <w:pPr>
        <w:pStyle w:val="affa"/>
        <w:ind w:firstLine="420"/>
        <w:rPr>
          <w:rFonts w:hint="default"/>
        </w:rPr>
      </w:pPr>
      <w:r>
        <w:t>推动散水液态标准化工品的综合物流服务在运输、仓储和装卸过程中采取优化运输路线、优化承运散水液态标准化工品的环保措施，降低对环境的负面影响。</w:t>
      </w:r>
    </w:p>
    <w:p w:rsidR="003B4969" w:rsidRDefault="00000000">
      <w:pPr>
        <w:pStyle w:val="afd"/>
        <w:spacing w:before="156" w:after="156"/>
        <w:rPr>
          <w:rFonts w:hint="default"/>
        </w:rPr>
      </w:pPr>
      <w:r>
        <w:t>资源节约</w:t>
      </w:r>
    </w:p>
    <w:p w:rsidR="003B4969" w:rsidRDefault="00000000">
      <w:pPr>
        <w:pStyle w:val="affa"/>
        <w:ind w:firstLine="420"/>
        <w:rPr>
          <w:rFonts w:hint="default"/>
        </w:rPr>
      </w:pPr>
      <w:r>
        <w:t>优化散水液态标准化工品物流信息管理网络设计和运营，最大限度地利用参与相关方的资源，减少空载运输和货物滞留时间，避免资源浪费。</w:t>
      </w:r>
    </w:p>
    <w:p w:rsidR="003B4969" w:rsidRDefault="00000000">
      <w:pPr>
        <w:pStyle w:val="afd"/>
        <w:spacing w:before="156" w:after="156"/>
        <w:rPr>
          <w:rFonts w:hint="default"/>
        </w:rPr>
      </w:pPr>
      <w:r>
        <w:t>温室气体减排</w:t>
      </w:r>
    </w:p>
    <w:p w:rsidR="003B4969" w:rsidRDefault="00000000">
      <w:pPr>
        <w:pStyle w:val="affa"/>
        <w:ind w:firstLine="420"/>
        <w:rPr>
          <w:rFonts w:hint="default"/>
        </w:rPr>
      </w:pPr>
      <w:r>
        <w:t>促进碳中和</w:t>
      </w:r>
      <w:proofErr w:type="gramStart"/>
      <w:r>
        <w:t>和碳减</w:t>
      </w:r>
      <w:proofErr w:type="gramEnd"/>
      <w:r>
        <w:t>排措施，通过平台推算优化运输碳排放，降低散水液态标准化工</w:t>
      </w:r>
      <w:proofErr w:type="gramStart"/>
      <w:r>
        <w:t>品综合</w:t>
      </w:r>
      <w:proofErr w:type="gramEnd"/>
      <w:r>
        <w:t>物流服务活动的温室气体排放量。</w:t>
      </w:r>
    </w:p>
    <w:p w:rsidR="003B4969" w:rsidRDefault="00000000">
      <w:pPr>
        <w:pStyle w:val="afd"/>
        <w:spacing w:before="156" w:after="156"/>
        <w:rPr>
          <w:rFonts w:hint="default"/>
        </w:rPr>
      </w:pPr>
      <w:r>
        <w:t>循环经济</w:t>
      </w:r>
    </w:p>
    <w:p w:rsidR="003B4969" w:rsidRDefault="00000000">
      <w:pPr>
        <w:pStyle w:val="affa"/>
        <w:ind w:firstLine="420"/>
        <w:rPr>
          <w:rFonts w:hint="default"/>
        </w:rPr>
      </w:pPr>
      <w:r>
        <w:t>鼓励散水液态标准化工</w:t>
      </w:r>
      <w:proofErr w:type="gramStart"/>
      <w:r>
        <w:t>品相关方减少</w:t>
      </w:r>
      <w:proofErr w:type="gramEnd"/>
      <w:r>
        <w:t>一次性包装材料的使用，减少废弃物产生和资源消耗，以减量化、再利用、资源化为原则，节约资源，促进可持续发展。</w:t>
      </w:r>
    </w:p>
    <w:p w:rsidR="003B4969" w:rsidRDefault="00000000">
      <w:pPr>
        <w:pStyle w:val="afd"/>
        <w:spacing w:before="156" w:after="156"/>
        <w:rPr>
          <w:rFonts w:hint="default"/>
        </w:rPr>
      </w:pPr>
      <w:r>
        <w:t>供应链合作</w:t>
      </w:r>
    </w:p>
    <w:p w:rsidR="003B4969" w:rsidRDefault="00000000">
      <w:pPr>
        <w:pStyle w:val="affa"/>
        <w:ind w:firstLine="420"/>
        <w:rPr>
          <w:rFonts w:hint="default"/>
        </w:rPr>
      </w:pPr>
      <w:r>
        <w:t>加强散水液态标准化工</w:t>
      </w:r>
      <w:proofErr w:type="gramStart"/>
      <w:r>
        <w:t>品综合</w:t>
      </w:r>
      <w:proofErr w:type="gramEnd"/>
      <w:r>
        <w:t>物流服务</w:t>
      </w:r>
      <w:proofErr w:type="gramStart"/>
      <w:r>
        <w:t>供应链各环节</w:t>
      </w:r>
      <w:proofErr w:type="gramEnd"/>
      <w:r>
        <w:t>之间的协作与合作，共同推动</w:t>
      </w:r>
      <w:proofErr w:type="gramStart"/>
      <w:r>
        <w:t>绿色碳汇和可</w:t>
      </w:r>
      <w:proofErr w:type="gramEnd"/>
      <w:r>
        <w:t>持续物流的发展，共享散水液态标准化工品物流操作管理的最佳实践，促进供应</w:t>
      </w:r>
      <w:proofErr w:type="gramStart"/>
      <w:r>
        <w:t>链各方</w:t>
      </w:r>
      <w:proofErr w:type="gramEnd"/>
      <w:r>
        <w:t>共同努力实现可持续发展目标。</w:t>
      </w:r>
    </w:p>
    <w:p w:rsidR="003B4969" w:rsidRDefault="00000000">
      <w:pPr>
        <w:pStyle w:val="afc"/>
        <w:spacing w:before="312" w:after="312"/>
        <w:rPr>
          <w:rFonts w:hint="default"/>
        </w:rPr>
      </w:pPr>
      <w:bookmarkStart w:id="30" w:name="_Toc11742"/>
      <w:bookmarkStart w:id="31" w:name="_Toc192237716"/>
      <w:r>
        <w:t>基本要求</w:t>
      </w:r>
      <w:bookmarkEnd w:id="30"/>
      <w:bookmarkEnd w:id="31"/>
    </w:p>
    <w:p w:rsidR="003B4969" w:rsidRDefault="00000000">
      <w:pPr>
        <w:pStyle w:val="afd"/>
        <w:spacing w:before="156" w:after="156"/>
        <w:rPr>
          <w:rFonts w:hint="default"/>
        </w:rPr>
      </w:pPr>
      <w:r>
        <w:t>碳排放管理</w:t>
      </w:r>
    </w:p>
    <w:p w:rsidR="003B4969" w:rsidRDefault="00000000">
      <w:pPr>
        <w:pStyle w:val="affa"/>
        <w:ind w:firstLine="420"/>
        <w:rPr>
          <w:rFonts w:hint="default"/>
        </w:rPr>
      </w:pPr>
      <w:r>
        <w:t>建立和实施散水液态标准化工</w:t>
      </w:r>
      <w:proofErr w:type="gramStart"/>
      <w:r>
        <w:t>品综合</w:t>
      </w:r>
      <w:proofErr w:type="gramEnd"/>
      <w:r>
        <w:t>物流服务碳排放管理制度，对其综合物流服务活动的碳排放进行监测和评估。通过标准货单置换和共享货单，减少能源消耗、优化运输方案和使用低碳交通方式等措施，降低物流操作过程中的温室气体排放。</w:t>
      </w:r>
    </w:p>
    <w:p w:rsidR="003B4969" w:rsidRDefault="00000000">
      <w:pPr>
        <w:pStyle w:val="afd"/>
        <w:spacing w:before="156" w:after="156"/>
        <w:rPr>
          <w:rFonts w:hint="default"/>
        </w:rPr>
      </w:pPr>
      <w:r>
        <w:t>能源效率</w:t>
      </w:r>
    </w:p>
    <w:p w:rsidR="003B4969" w:rsidRDefault="00000000">
      <w:pPr>
        <w:pStyle w:val="affa"/>
        <w:ind w:firstLine="420"/>
        <w:rPr>
          <w:rFonts w:hint="default"/>
        </w:rPr>
      </w:pPr>
      <w:r>
        <w:lastRenderedPageBreak/>
        <w:t>采用高效的散水液态标准化工</w:t>
      </w:r>
      <w:proofErr w:type="gramStart"/>
      <w:r>
        <w:t>品运输</w:t>
      </w:r>
      <w:proofErr w:type="gramEnd"/>
      <w:r>
        <w:t>车辆，提高智能、节能仓库设备性能，并优化运输路线和技术，减少能源消耗。</w:t>
      </w:r>
    </w:p>
    <w:p w:rsidR="003B4969" w:rsidRDefault="00000000">
      <w:pPr>
        <w:pStyle w:val="afd"/>
        <w:spacing w:before="156" w:after="156"/>
        <w:rPr>
          <w:rFonts w:hint="default"/>
        </w:rPr>
      </w:pPr>
      <w:r>
        <w:t>运输优化</w:t>
      </w:r>
    </w:p>
    <w:p w:rsidR="003B4969" w:rsidRDefault="00000000">
      <w:pPr>
        <w:pStyle w:val="affa"/>
        <w:ind w:firstLine="420"/>
        <w:rPr>
          <w:rFonts w:hint="default"/>
        </w:rPr>
      </w:pPr>
      <w:r>
        <w:t>通过运输路线优化、配送合并和货物置换等方式，减少运输里程和空载率，提高运输效率，减少货物损耗和</w:t>
      </w:r>
      <w:proofErr w:type="gramStart"/>
      <w:r>
        <w:t>碳排放</w:t>
      </w:r>
      <w:proofErr w:type="gramEnd"/>
      <w:r>
        <w:t>。</w:t>
      </w:r>
    </w:p>
    <w:p w:rsidR="003B4969" w:rsidRDefault="00000000">
      <w:pPr>
        <w:pStyle w:val="afd"/>
        <w:spacing w:before="156" w:after="156"/>
        <w:rPr>
          <w:rFonts w:hint="default"/>
        </w:rPr>
      </w:pPr>
      <w:r>
        <w:t>绿色仓储</w:t>
      </w:r>
    </w:p>
    <w:p w:rsidR="003B4969" w:rsidRDefault="00000000">
      <w:pPr>
        <w:pStyle w:val="affa"/>
        <w:ind w:firstLine="420"/>
        <w:rPr>
          <w:rFonts w:hint="default"/>
        </w:rPr>
      </w:pPr>
      <w:r>
        <w:t>优化仓库布局和储存管理，提高空间利用效率，并采取节能环保的仓储设备和技术，减少仓库操作中的能源消耗和废弃物产生。</w:t>
      </w:r>
    </w:p>
    <w:p w:rsidR="003B4969" w:rsidRDefault="00000000">
      <w:pPr>
        <w:pStyle w:val="afd"/>
        <w:spacing w:before="156" w:after="156"/>
        <w:rPr>
          <w:rFonts w:hint="default"/>
        </w:rPr>
      </w:pPr>
      <w:r>
        <w:t>可追溯性与信息共享</w:t>
      </w:r>
    </w:p>
    <w:p w:rsidR="003B4969" w:rsidRDefault="00000000">
      <w:pPr>
        <w:pStyle w:val="affa"/>
        <w:ind w:firstLine="420"/>
        <w:rPr>
          <w:rFonts w:hint="default"/>
        </w:rPr>
      </w:pPr>
      <w:r>
        <w:t>建立散水液态标准化工</w:t>
      </w:r>
      <w:proofErr w:type="gramStart"/>
      <w:r>
        <w:t>品综合</w:t>
      </w:r>
      <w:proofErr w:type="gramEnd"/>
      <w:r>
        <w:t>物流服务信息平台，实现货物运输过程的物流信息记录可追溯性、物流信息管理的全程电子化和与监管平台的信息共享，宜通过卫星定位系统等方式实时记录并跟踪在途状况，确保运输过程中的安全性和可控性。同时协同各个环节的参与者，共同优化物流运作，提高物流效率和</w:t>
      </w:r>
      <w:proofErr w:type="gramStart"/>
      <w:r>
        <w:t>可</w:t>
      </w:r>
      <w:proofErr w:type="gramEnd"/>
      <w:r>
        <w:t>持续性。</w:t>
      </w:r>
    </w:p>
    <w:p w:rsidR="003B4969" w:rsidRDefault="00000000">
      <w:pPr>
        <w:pStyle w:val="afd"/>
        <w:spacing w:before="156" w:after="156"/>
        <w:rPr>
          <w:rFonts w:hint="default"/>
        </w:rPr>
      </w:pPr>
      <w:r>
        <w:t>合</w:t>
      </w:r>
      <w:proofErr w:type="gramStart"/>
      <w:r>
        <w:t>规</w:t>
      </w:r>
      <w:proofErr w:type="gramEnd"/>
      <w:r>
        <w:t>性与安全性</w:t>
      </w:r>
    </w:p>
    <w:p w:rsidR="003B4969" w:rsidRDefault="00000000">
      <w:pPr>
        <w:pStyle w:val="affa"/>
        <w:ind w:firstLine="420"/>
        <w:rPr>
          <w:rFonts w:hint="default"/>
        </w:rPr>
      </w:pPr>
      <w:r>
        <w:t>企业应具备合法的经营资质和相应的许可证件，应具有石油化工产品物流服务质量、安全、环保、职业健康管理体系，应具有消防、防盗、交通和预防灾害性天气等相关管理制度，确保散水液态标准化工</w:t>
      </w:r>
      <w:proofErr w:type="gramStart"/>
      <w:r>
        <w:t>品综合</w:t>
      </w:r>
      <w:proofErr w:type="gramEnd"/>
      <w:r>
        <w:t>物流服务符合环境相关法律法规和标准要求。建立应急响应程序和应急预案，对可能发生的事故和泄漏进行分级响应，加强应急响应培训和演练，具备快速应急响应能力。</w:t>
      </w:r>
    </w:p>
    <w:p w:rsidR="003B4969" w:rsidRDefault="00000000">
      <w:pPr>
        <w:pStyle w:val="afc"/>
        <w:spacing w:before="312" w:after="312"/>
        <w:rPr>
          <w:rFonts w:hint="default"/>
        </w:rPr>
      </w:pPr>
      <w:bookmarkStart w:id="32" w:name="_Toc22284"/>
      <w:bookmarkStart w:id="33" w:name="_Toc192237717"/>
      <w:r>
        <w:t>服务内容</w:t>
      </w:r>
      <w:bookmarkEnd w:id="32"/>
      <w:bookmarkEnd w:id="33"/>
    </w:p>
    <w:p w:rsidR="003B4969" w:rsidRDefault="00000000">
      <w:pPr>
        <w:pStyle w:val="afd"/>
        <w:spacing w:before="156" w:after="156"/>
        <w:rPr>
          <w:rFonts w:hint="default"/>
        </w:rPr>
      </w:pPr>
      <w:r>
        <w:t>方案设计</w:t>
      </w:r>
    </w:p>
    <w:p w:rsidR="003B4969" w:rsidRDefault="00000000">
      <w:pPr>
        <w:pStyle w:val="affff9"/>
        <w:spacing w:beforeLines="0" w:before="0" w:afterLines="0" w:after="0"/>
      </w:pPr>
      <w:r>
        <w:t>物流服务方案应包括信息服务、作业服务、质量、安全和环境风险管理、可追溯性管理、应急响应管理等方面的内容。</w:t>
      </w:r>
    </w:p>
    <w:p w:rsidR="003B4969" w:rsidRDefault="00000000">
      <w:pPr>
        <w:pStyle w:val="affff9"/>
        <w:spacing w:beforeLines="0" w:before="0" w:afterLines="0" w:after="0"/>
      </w:pPr>
      <w:r>
        <w:t>应对潜在的质量、安全和环境风险进行识别、评估，制定不同风险类型的物流服务解决方案，以对风险进行有效管理和控制。</w:t>
      </w:r>
    </w:p>
    <w:p w:rsidR="003B4969" w:rsidRDefault="00000000">
      <w:pPr>
        <w:pStyle w:val="affff9"/>
        <w:spacing w:beforeLines="0" w:before="0" w:afterLines="0" w:after="0"/>
      </w:pPr>
      <w:r>
        <w:t>应制定监控和追溯环节的物流服务方案。</w:t>
      </w:r>
    </w:p>
    <w:p w:rsidR="003B4969" w:rsidRDefault="00000000">
      <w:pPr>
        <w:pStyle w:val="affff9"/>
        <w:spacing w:beforeLines="0" w:before="0" w:afterLines="0" w:after="0"/>
      </w:pPr>
      <w:r>
        <w:t>应制定物流服务质量、安全、环保的绩效考核方案。</w:t>
      </w:r>
    </w:p>
    <w:p w:rsidR="003B4969" w:rsidRDefault="00000000">
      <w:pPr>
        <w:pStyle w:val="afd"/>
        <w:spacing w:before="156" w:after="156"/>
        <w:rPr>
          <w:rFonts w:hint="default"/>
        </w:rPr>
      </w:pPr>
      <w:r>
        <w:t>信息服务</w:t>
      </w:r>
    </w:p>
    <w:p w:rsidR="003B4969" w:rsidRDefault="00000000">
      <w:pPr>
        <w:pStyle w:val="affff9"/>
        <w:spacing w:beforeLines="0" w:before="0" w:afterLines="0" w:after="0"/>
      </w:pPr>
      <w:r>
        <w:t>建立物流信息管理系统，满足共享货单、货单置换的数据信息采集、记录、核实、保存、共享等要求，确保综合物流服务信息更新的及时性、准确性、有效性，达到可视化和信息化水平。</w:t>
      </w:r>
    </w:p>
    <w:p w:rsidR="003B4969" w:rsidRDefault="00000000">
      <w:pPr>
        <w:pStyle w:val="affff9"/>
        <w:spacing w:beforeLines="0" w:before="0" w:afterLines="0" w:after="0"/>
      </w:pPr>
      <w:r>
        <w:t>应根据散水化工产品的种类和特点，按照国家有关规定和技术标准中包含的产品分类、成分信息、危害性、急救和消防措施、个人防护、物理化学特性、废弃处理和运输等基础信息数据库建立信息系统。</w:t>
      </w:r>
    </w:p>
    <w:p w:rsidR="003B4969" w:rsidRDefault="00000000">
      <w:pPr>
        <w:pStyle w:val="affff9"/>
        <w:spacing w:beforeLines="0" w:before="0" w:afterLines="0" w:after="0"/>
      </w:pPr>
      <w:r>
        <w:t>信息系统应对散水化工产品逆向物流的仓储、包装、装卸、搬运及其流向和时间进行跟踪监控，并与客户共享，提供相应部分数据方案与交流。</w:t>
      </w:r>
    </w:p>
    <w:p w:rsidR="003B4969" w:rsidRDefault="00000000">
      <w:pPr>
        <w:pStyle w:val="affff9"/>
        <w:spacing w:beforeLines="0" w:before="0" w:afterLines="0" w:after="0"/>
      </w:pPr>
      <w:r>
        <w:lastRenderedPageBreak/>
        <w:t>对于与散水化工产品物流操作相关的作业计划、执行过程及监控的信息应予以记录，以书面或电子的形式形成可追溯文件，并予以妥善保管。</w:t>
      </w:r>
    </w:p>
    <w:p w:rsidR="003B4969" w:rsidRDefault="00000000">
      <w:pPr>
        <w:pStyle w:val="affff9"/>
        <w:spacing w:beforeLines="0" w:before="0" w:afterLines="0" w:after="0"/>
      </w:pPr>
      <w:r>
        <w:t>建立与客户沟通、投诉处理和售后服务等方面的要求，以提供满足客户需求的优质服务。</w:t>
      </w:r>
    </w:p>
    <w:p w:rsidR="003B4969" w:rsidRDefault="00000000">
      <w:pPr>
        <w:pStyle w:val="affff9"/>
        <w:spacing w:beforeLines="0" w:before="0" w:afterLines="0" w:after="0"/>
      </w:pPr>
      <w:r>
        <w:t>涉及进出口贸易的物流服务，物流追溯信息采集应包含英语信息或进口国/出口国语言信息。</w:t>
      </w:r>
    </w:p>
    <w:p w:rsidR="003B4969" w:rsidRDefault="00000000">
      <w:pPr>
        <w:pStyle w:val="affff9"/>
        <w:spacing w:beforeLines="0" w:before="0" w:afterLines="0" w:after="0"/>
      </w:pPr>
      <w:r>
        <w:t>书面或电子形式的记录或档案资料应保留不少于两年，满足可追溯性要求。</w:t>
      </w:r>
    </w:p>
    <w:p w:rsidR="003B4969" w:rsidRDefault="00000000">
      <w:pPr>
        <w:pStyle w:val="afd"/>
        <w:spacing w:before="156" w:after="156"/>
        <w:rPr>
          <w:rFonts w:hint="default"/>
        </w:rPr>
      </w:pPr>
      <w:r>
        <w:t>作业服务</w:t>
      </w:r>
    </w:p>
    <w:p w:rsidR="003B4969" w:rsidRDefault="00000000">
      <w:pPr>
        <w:pStyle w:val="affff9"/>
        <w:spacing w:beforeLines="0" w:before="0" w:afterLines="0" w:after="0"/>
      </w:pPr>
      <w:r>
        <w:t>建立运输车辆设备安全管理制度并定期检测和维护，包括但不限于下列要求：</w:t>
      </w:r>
    </w:p>
    <w:p w:rsidR="003B4969" w:rsidRDefault="00000000">
      <w:pPr>
        <w:pStyle w:val="af"/>
        <w:rPr>
          <w:rFonts w:hint="default"/>
        </w:rPr>
      </w:pPr>
      <w:r>
        <w:t>应</w:t>
      </w:r>
      <w:proofErr w:type="gramStart"/>
      <w:r>
        <w:t>配备配备</w:t>
      </w:r>
      <w:proofErr w:type="gramEnd"/>
      <w:r>
        <w:t>有效的通讯工具；</w:t>
      </w:r>
    </w:p>
    <w:p w:rsidR="003B4969" w:rsidRDefault="00000000">
      <w:pPr>
        <w:pStyle w:val="af"/>
        <w:rPr>
          <w:rFonts w:hint="default"/>
        </w:rPr>
      </w:pPr>
      <w:r>
        <w:t>应配备具有行车记录仪功能的卫星定位装置；</w:t>
      </w:r>
    </w:p>
    <w:p w:rsidR="003B4969" w:rsidRDefault="00000000">
      <w:pPr>
        <w:pStyle w:val="af"/>
        <w:rPr>
          <w:rFonts w:hint="default"/>
        </w:rPr>
      </w:pPr>
      <w:r>
        <w:t>应配备安全防护设备、作业环境和消防设施；</w:t>
      </w:r>
    </w:p>
    <w:p w:rsidR="003B4969" w:rsidRDefault="00000000">
      <w:pPr>
        <w:pStyle w:val="af"/>
        <w:rPr>
          <w:rFonts w:hint="default"/>
        </w:rPr>
      </w:pPr>
      <w:r>
        <w:t>确保运输车辆及槽罐的安全附件和技术状况符合装运产品要求；</w:t>
      </w:r>
    </w:p>
    <w:p w:rsidR="003B4969" w:rsidRDefault="00000000">
      <w:pPr>
        <w:pStyle w:val="af"/>
        <w:rPr>
          <w:rFonts w:hint="default"/>
        </w:rPr>
      </w:pPr>
      <w:r>
        <w:t>槽罐装卸附件应符合装卸要求，防止泄漏等事故发生。</w:t>
      </w:r>
    </w:p>
    <w:p w:rsidR="003B4969" w:rsidRDefault="00000000">
      <w:pPr>
        <w:pStyle w:val="affff9"/>
        <w:spacing w:beforeLines="0" w:before="0" w:afterLines="0" w:after="0"/>
      </w:pPr>
      <w:r>
        <w:t>建立散水液态标准化工品的物流服务方案选择、运输计划编制、运输执行和运输跟踪等方面的要求，以确保货物能够按时、安全地到达目的地，确保货物在运输过程中的安全性和完整性，包括但不限于下列要求：</w:t>
      </w:r>
    </w:p>
    <w:p w:rsidR="003B4969" w:rsidRDefault="00000000">
      <w:pPr>
        <w:pStyle w:val="af"/>
        <w:rPr>
          <w:rFonts w:hint="default"/>
        </w:rPr>
      </w:pPr>
      <w:r>
        <w:t>应对发运车辆以及箱体、槽罐的货品清洁性进行检查，若存在污染，未经清洗置换，不应继续使用；</w:t>
      </w:r>
    </w:p>
    <w:p w:rsidR="003B4969" w:rsidRDefault="00000000">
      <w:pPr>
        <w:pStyle w:val="af"/>
        <w:rPr>
          <w:rFonts w:hint="default"/>
        </w:rPr>
      </w:pPr>
      <w:r>
        <w:t>车厢或槽罐内不应有与所装货物性质相抵触的残留物；</w:t>
      </w:r>
    </w:p>
    <w:p w:rsidR="003B4969" w:rsidRDefault="00000000">
      <w:pPr>
        <w:pStyle w:val="af"/>
        <w:rPr>
          <w:rFonts w:hint="default"/>
        </w:rPr>
      </w:pPr>
      <w:r>
        <w:t>运输车辆槽罐标识应正确标记和标识危险品的类别、标志、警示语和危险品编号等信息，安全标志及其使用遵循GB 2894的原则；</w:t>
      </w:r>
    </w:p>
    <w:p w:rsidR="003B4969" w:rsidRDefault="00000000">
      <w:pPr>
        <w:pStyle w:val="af"/>
        <w:rPr>
          <w:rFonts w:hint="default"/>
        </w:rPr>
      </w:pPr>
      <w:r>
        <w:t>应根据物流服务方案指示的运达地点、时间和具体条件编制行程计划和运达地点之间的路线图安排运输；</w:t>
      </w:r>
    </w:p>
    <w:p w:rsidR="003B4969" w:rsidRDefault="00000000">
      <w:pPr>
        <w:pStyle w:val="af"/>
        <w:rPr>
          <w:rFonts w:hint="default"/>
        </w:rPr>
      </w:pPr>
      <w:r>
        <w:t>运输途中遇天气变化，应根据货物特性及时采取相应防护措施；</w:t>
      </w:r>
    </w:p>
    <w:p w:rsidR="003B4969" w:rsidRDefault="00000000">
      <w:pPr>
        <w:pStyle w:val="af"/>
        <w:rPr>
          <w:rFonts w:hint="default"/>
        </w:rPr>
      </w:pPr>
      <w:r>
        <w:t>应对运输出车前、途中和收车后车辆技术状态进行检查，发现问题及时补救。途中应对车辆及槽罐附件作检查。中途临时停车应与其他车辆、高压线、人口聚集地等保持一定的安全距离，应停放在有利于安全防护的地方；</w:t>
      </w:r>
    </w:p>
    <w:p w:rsidR="003B4969" w:rsidRDefault="00000000">
      <w:pPr>
        <w:pStyle w:val="af"/>
        <w:rPr>
          <w:rFonts w:hint="default"/>
        </w:rPr>
      </w:pPr>
      <w:r>
        <w:t>运输过程中，应在车辆指定位置设置明确信号标志。</w:t>
      </w:r>
    </w:p>
    <w:p w:rsidR="003B4969" w:rsidRDefault="00000000">
      <w:pPr>
        <w:pStyle w:val="affff9"/>
        <w:spacing w:beforeLines="0" w:before="0" w:afterLines="0" w:after="0"/>
      </w:pPr>
      <w:r>
        <w:t>散水化工品槽罐车</w:t>
      </w:r>
      <w:proofErr w:type="gramStart"/>
      <w:r>
        <w:t>清洗场</w:t>
      </w:r>
      <w:proofErr w:type="gramEnd"/>
      <w:r>
        <w:t>(点)的清洗工艺流程应符合有关规范要求。对清洗的种类、时间、车号等，应做好记录，建立清洗</w:t>
      </w:r>
      <w:proofErr w:type="gramStart"/>
      <w:r>
        <w:t>档案台</w:t>
      </w:r>
      <w:proofErr w:type="gramEnd"/>
      <w:r>
        <w:t>账。</w:t>
      </w:r>
    </w:p>
    <w:p w:rsidR="003B4969" w:rsidRDefault="00000000">
      <w:pPr>
        <w:pStyle w:val="affff9"/>
        <w:spacing w:beforeLines="0" w:before="0" w:afterLines="0" w:after="0"/>
      </w:pPr>
      <w:r>
        <w:t>建立车辆驾驶员、装卸人员管理制度，包括但不限于下列要求：</w:t>
      </w:r>
    </w:p>
    <w:p w:rsidR="003B4969" w:rsidRDefault="00000000">
      <w:pPr>
        <w:pStyle w:val="af"/>
        <w:rPr>
          <w:rFonts w:hint="default"/>
        </w:rPr>
      </w:pPr>
      <w:r>
        <w:t>从业人员应经过安全生产教育和专业技术培训；</w:t>
      </w:r>
    </w:p>
    <w:p w:rsidR="003B4969" w:rsidRDefault="00000000">
      <w:pPr>
        <w:pStyle w:val="af"/>
        <w:rPr>
          <w:rFonts w:hint="default"/>
        </w:rPr>
      </w:pPr>
      <w:r>
        <w:t>国家要求具备职业资格的人员应具有相应的证书。</w:t>
      </w:r>
    </w:p>
    <w:p w:rsidR="003B4969" w:rsidRDefault="00000000">
      <w:pPr>
        <w:pStyle w:val="affff9"/>
        <w:spacing w:beforeLines="0" w:before="0" w:afterLines="0" w:after="0"/>
      </w:pPr>
      <w:r>
        <w:t>建立散水液态标准化工品在仓库中的储存、分类、管理和出入库等方面的制度，化工</w:t>
      </w:r>
      <w:proofErr w:type="gramStart"/>
      <w:r>
        <w:t>品安全</w:t>
      </w:r>
      <w:proofErr w:type="gramEnd"/>
      <w:r>
        <w:t>标签编写符合GB 15258的规定，危险货物运输包装类别划分符合GB/T 15098的规定。建立散水液态标准化工品出入库及库存状况台账，并</w:t>
      </w:r>
      <w:proofErr w:type="gramStart"/>
      <w:r>
        <w:t>与返货订单</w:t>
      </w:r>
      <w:proofErr w:type="gramEnd"/>
      <w:r>
        <w:t>建立关联对应。</w:t>
      </w:r>
    </w:p>
    <w:p w:rsidR="003B4969" w:rsidRDefault="00000000">
      <w:pPr>
        <w:pStyle w:val="affff9"/>
        <w:spacing w:beforeLines="0" w:before="0" w:afterLines="0" w:after="0"/>
      </w:pPr>
      <w:r>
        <w:t>根据散水液态标准化工品的性质和特点，合理安排货物的装载和贮存，避免不同种类的危险品混装和交叉污染，确保仓库操作的高效性和准确性。</w:t>
      </w:r>
    </w:p>
    <w:p w:rsidR="003B4969" w:rsidRDefault="00000000">
      <w:pPr>
        <w:pStyle w:val="affff9"/>
        <w:spacing w:beforeLines="0" w:before="0" w:afterLines="0" w:after="0"/>
      </w:pPr>
      <w:r>
        <w:t>在装卸危险液态化工产品时，确保操作人员穿着适当的防护装备，并按照规定的程序和操作要求进行操作，以降低事故风险。</w:t>
      </w:r>
    </w:p>
    <w:p w:rsidR="003B4969" w:rsidRDefault="00000000">
      <w:pPr>
        <w:pStyle w:val="afd"/>
        <w:spacing w:before="156" w:after="156"/>
        <w:rPr>
          <w:rFonts w:hint="default"/>
        </w:rPr>
      </w:pPr>
      <w:r>
        <w:t>风险防范</w:t>
      </w:r>
    </w:p>
    <w:p w:rsidR="003B4969" w:rsidRDefault="00000000">
      <w:pPr>
        <w:pStyle w:val="affff9"/>
        <w:spacing w:beforeLines="0" w:before="0" w:afterLines="0" w:after="0"/>
      </w:pPr>
      <w:r>
        <w:lastRenderedPageBreak/>
        <w:t>存放散水液态标准化工品的槽罐应有明显标识并记录。</w:t>
      </w:r>
    </w:p>
    <w:p w:rsidR="003B4969" w:rsidRDefault="00000000">
      <w:pPr>
        <w:pStyle w:val="affff9"/>
        <w:spacing w:beforeLines="0" w:before="0" w:afterLines="0" w:after="0"/>
      </w:pPr>
      <w:r>
        <w:t>应具有保障储存、装卸、运输各环节的应急预案并定期演练，并进行不定期的检查、核查。</w:t>
      </w:r>
    </w:p>
    <w:p w:rsidR="003B4969" w:rsidRDefault="00000000">
      <w:pPr>
        <w:pStyle w:val="affff9"/>
        <w:spacing w:beforeLines="0" w:before="0" w:afterLines="0" w:after="0"/>
      </w:pPr>
      <w:r>
        <w:t>宜采取存货保险、财产保险、运输保险等降低风险的措施。</w:t>
      </w:r>
    </w:p>
    <w:p w:rsidR="003B4969" w:rsidRDefault="00000000">
      <w:pPr>
        <w:pStyle w:val="affff9"/>
        <w:spacing w:beforeLines="0" w:before="0" w:afterLines="0" w:after="0"/>
      </w:pPr>
      <w:r>
        <w:t>综合物流服务过程中的应急事件应当立即向委托方、受托方和国家相关管理部门报告。</w:t>
      </w:r>
    </w:p>
    <w:p w:rsidR="003B4969" w:rsidRDefault="00000000">
      <w:pPr>
        <w:pStyle w:val="affff9"/>
        <w:spacing w:beforeLines="0" w:before="0" w:afterLines="0" w:after="0"/>
      </w:pPr>
      <w:r>
        <w:t>应建立医疗救护和卫生防疫以及其他保障措施。</w:t>
      </w:r>
    </w:p>
    <w:p w:rsidR="003B4969" w:rsidRDefault="00000000">
      <w:pPr>
        <w:pStyle w:val="afd"/>
        <w:spacing w:before="156" w:after="156"/>
        <w:rPr>
          <w:rFonts w:hint="default"/>
        </w:rPr>
      </w:pPr>
      <w:r>
        <w:t>可追溯性管理</w:t>
      </w:r>
    </w:p>
    <w:p w:rsidR="003B4969" w:rsidRDefault="00000000">
      <w:pPr>
        <w:pStyle w:val="affff9"/>
        <w:spacing w:beforeLines="0" w:before="0" w:afterLines="0" w:after="0"/>
      </w:pPr>
      <w:r>
        <w:t>应确保在服务过程的环节内及时、准确、有效地采集信息，动态反映物流进程，实现可追溯管理。</w:t>
      </w:r>
    </w:p>
    <w:p w:rsidR="003B4969" w:rsidRDefault="00000000">
      <w:pPr>
        <w:pStyle w:val="affff9"/>
        <w:spacing w:beforeLines="0" w:before="0" w:afterLines="0" w:after="0"/>
      </w:pPr>
      <w:r>
        <w:t>物流服务的追溯管理应符合国家强制性标准中对液态化工产品安全管理的要求。</w:t>
      </w:r>
    </w:p>
    <w:p w:rsidR="003B4969" w:rsidRDefault="00000000">
      <w:pPr>
        <w:pStyle w:val="affff9"/>
        <w:spacing w:beforeLines="0" w:before="0" w:afterLines="0" w:after="0"/>
      </w:pPr>
      <w:r>
        <w:t>物流服务各追溯参与方应具备全过程环节内和环节间追溯能力，从而保证整个散水液态化工物流产品在安全、污染控制各环节的可追溯性。</w:t>
      </w:r>
    </w:p>
    <w:p w:rsidR="003B4969" w:rsidRDefault="00000000">
      <w:pPr>
        <w:pStyle w:val="affff9"/>
        <w:spacing w:beforeLines="0" w:before="0" w:afterLines="0" w:after="0"/>
      </w:pPr>
      <w:r>
        <w:t>应保留相关可追溯性信息，积极响应客户的追溯请求并实现追溯，并作为服务合同文件。</w:t>
      </w:r>
    </w:p>
    <w:p w:rsidR="003B4969" w:rsidRDefault="00000000">
      <w:pPr>
        <w:pStyle w:val="affff9"/>
        <w:spacing w:beforeLines="0" w:before="0" w:afterLines="0" w:after="0"/>
      </w:pPr>
      <w:r>
        <w:t>各物流服务提供方应确保产品追溯标识的清晰完整，不应涂改，物流环节如发生追溯标识丢失、损坏等情况，应在物流上下游交接过程中增加追溯标识或采用其他方式记录追溯标识信息，追溯标识宜具备防伪、防复制功能。</w:t>
      </w:r>
    </w:p>
    <w:p w:rsidR="003B4969" w:rsidRDefault="00000000">
      <w:pPr>
        <w:pStyle w:val="afd"/>
        <w:spacing w:before="156" w:after="156"/>
        <w:rPr>
          <w:rFonts w:hint="default"/>
        </w:rPr>
      </w:pPr>
      <w:r>
        <w:t>应急响应</w:t>
      </w:r>
    </w:p>
    <w:p w:rsidR="003B4969" w:rsidRDefault="00000000">
      <w:pPr>
        <w:pStyle w:val="affff9"/>
        <w:spacing w:beforeLines="0" w:before="0" w:afterLines="0" w:after="0"/>
      </w:pPr>
      <w:r>
        <w:t>应建立应急响应程序和应急预案，对运输、储存和装卸过程发生的事故进行分级响应。</w:t>
      </w:r>
    </w:p>
    <w:p w:rsidR="003B4969" w:rsidRDefault="00000000">
      <w:pPr>
        <w:pStyle w:val="affff9"/>
        <w:spacing w:beforeLines="0" w:before="0" w:afterLines="0" w:after="0"/>
      </w:pPr>
      <w:r>
        <w:t>在可能存在对人有危害的情况下，应积极自救、互救，保证人的生命安全为第一优先考虑。</w:t>
      </w:r>
    </w:p>
    <w:p w:rsidR="003B4969" w:rsidRDefault="00000000">
      <w:pPr>
        <w:pStyle w:val="affff9"/>
        <w:spacing w:beforeLines="0" w:before="0" w:afterLines="0" w:after="0"/>
      </w:pPr>
      <w:r>
        <w:t>应采取保护措施和相应的应急处理措施，尽可能降低腐蚀性、毒害性物品对人的伤害，尽量减少损失。</w:t>
      </w:r>
    </w:p>
    <w:p w:rsidR="003B4969" w:rsidRDefault="00000000">
      <w:pPr>
        <w:pStyle w:val="affff9"/>
        <w:spacing w:beforeLines="0" w:before="0" w:afterLines="0" w:after="0"/>
      </w:pPr>
      <w:r>
        <w:t>按突发事件的危害种类，散水化工产品物流常见应急事件分为：</w:t>
      </w:r>
    </w:p>
    <w:p w:rsidR="003B4969" w:rsidRDefault="00000000">
      <w:pPr>
        <w:pStyle w:val="af"/>
        <w:rPr>
          <w:rFonts w:hint="default"/>
        </w:rPr>
      </w:pPr>
      <w:r>
        <w:t>危液态化工产品火灾；</w:t>
      </w:r>
    </w:p>
    <w:p w:rsidR="003B4969" w:rsidRDefault="00000000">
      <w:pPr>
        <w:pStyle w:val="af"/>
        <w:rPr>
          <w:rFonts w:hint="default"/>
        </w:rPr>
      </w:pPr>
      <w:r>
        <w:t>非危液态化工产品包装泄漏；</w:t>
      </w:r>
    </w:p>
    <w:p w:rsidR="003B4969" w:rsidRDefault="00000000">
      <w:pPr>
        <w:pStyle w:val="af"/>
        <w:rPr>
          <w:rFonts w:hint="default"/>
        </w:rPr>
      </w:pPr>
      <w:r>
        <w:t>污染；</w:t>
      </w:r>
    </w:p>
    <w:p w:rsidR="003B4969" w:rsidRDefault="00000000">
      <w:pPr>
        <w:pStyle w:val="af"/>
        <w:rPr>
          <w:rFonts w:hint="default"/>
        </w:rPr>
      </w:pPr>
      <w:r>
        <w:t>其他危害公共和社会安全的事件。</w:t>
      </w:r>
    </w:p>
    <w:p w:rsidR="003B4969" w:rsidRDefault="00000000">
      <w:pPr>
        <w:pStyle w:val="affff9"/>
        <w:spacing w:beforeLines="0" w:before="0" w:afterLines="0" w:after="0"/>
      </w:pPr>
      <w:r>
        <w:t>企业应定期对员工和物流服务商进行应急培训和应急演练。</w:t>
      </w:r>
    </w:p>
    <w:p w:rsidR="003B4969" w:rsidRDefault="00000000">
      <w:pPr>
        <w:pStyle w:val="affff9"/>
        <w:spacing w:beforeLines="0" w:before="0" w:afterLines="0" w:after="0"/>
      </w:pPr>
      <w:r>
        <w:t>企业应建立物流过程中发生应急事件管理信息系统，公开应急报警流程和应急电话，并与事故发生地有关政府部门保持良好对接关系。</w:t>
      </w:r>
    </w:p>
    <w:p w:rsidR="003B4969" w:rsidRDefault="00000000">
      <w:pPr>
        <w:pStyle w:val="affff9"/>
        <w:spacing w:beforeLines="0" w:before="0" w:afterLines="0" w:after="0"/>
      </w:pPr>
      <w:r>
        <w:t>在物流过程中应保持完整的产品信息文件，信息文件应当跟随货物运动，包括但不限于以下内容：</w:t>
      </w:r>
    </w:p>
    <w:p w:rsidR="003B4969" w:rsidRDefault="00000000">
      <w:pPr>
        <w:pStyle w:val="af"/>
        <w:rPr>
          <w:rFonts w:hint="default"/>
        </w:rPr>
      </w:pPr>
      <w:r>
        <w:t>分类和标签信息；</w:t>
      </w:r>
    </w:p>
    <w:p w:rsidR="003B4969" w:rsidRDefault="00000000">
      <w:pPr>
        <w:pStyle w:val="af"/>
        <w:rPr>
          <w:rFonts w:hint="default"/>
        </w:rPr>
      </w:pPr>
      <w:r>
        <w:t>物理、化学性质；</w:t>
      </w:r>
    </w:p>
    <w:p w:rsidR="003B4969" w:rsidRDefault="00000000">
      <w:pPr>
        <w:pStyle w:val="af"/>
        <w:rPr>
          <w:rFonts w:hint="default"/>
        </w:rPr>
      </w:pPr>
      <w:r>
        <w:t>危害特性；</w:t>
      </w:r>
    </w:p>
    <w:p w:rsidR="003B4969" w:rsidRDefault="00000000">
      <w:pPr>
        <w:pStyle w:val="af"/>
        <w:rPr>
          <w:rFonts w:hint="default"/>
        </w:rPr>
      </w:pPr>
      <w:r>
        <w:t>储存、使用、运输的安全要求；</w:t>
      </w:r>
    </w:p>
    <w:p w:rsidR="003B4969" w:rsidRDefault="00000000">
      <w:pPr>
        <w:pStyle w:val="af"/>
        <w:rPr>
          <w:rFonts w:hint="default"/>
        </w:rPr>
      </w:pPr>
      <w:r>
        <w:t>出现危害情况的应急处置措施。</w:t>
      </w:r>
    </w:p>
    <w:p w:rsidR="003B4969" w:rsidRDefault="00000000">
      <w:pPr>
        <w:pStyle w:val="affff9"/>
        <w:spacing w:beforeLines="0" w:before="0" w:afterLines="0" w:after="0"/>
      </w:pPr>
      <w:r>
        <w:t>宜根据非危液态化工产品的种类和特点，完善监测网络，划分监测区域，确定监测点，明确监测项目，采用必要的设备、设施，配备相应的工作人员，并进行实时或定期监测。</w:t>
      </w:r>
    </w:p>
    <w:p w:rsidR="003B4969" w:rsidRDefault="00000000">
      <w:pPr>
        <w:pStyle w:val="affff9"/>
        <w:spacing w:beforeLines="0" w:before="0" w:afterLines="0" w:after="0"/>
      </w:pPr>
      <w:r>
        <w:t>企业应要求物流服务供应商应配备必要的应急物资和装备，并进行经常性维护和保养；并宜为其他物流服务供应商提供应急物资和装备共享互用，提供资源利用效率。</w:t>
      </w:r>
    </w:p>
    <w:p w:rsidR="003B4969" w:rsidRDefault="00000000">
      <w:pPr>
        <w:pStyle w:val="affff9"/>
        <w:spacing w:beforeLines="0" w:before="0" w:afterLines="0" w:after="0"/>
      </w:pPr>
      <w:r>
        <w:lastRenderedPageBreak/>
        <w:t>企业可要求物流服务商建立应急响应队伍，或与运输线路上同行业物流服务商签到应急救援互助协议，提高资源利用率。</w:t>
      </w:r>
    </w:p>
    <w:p w:rsidR="003B4969" w:rsidRDefault="00000000">
      <w:pPr>
        <w:pStyle w:val="affff9"/>
        <w:spacing w:beforeLines="0" w:before="0" w:afterLines="0" w:after="0"/>
      </w:pPr>
      <w:r>
        <w:t>企业应建立物流事故报告、调查、分析和处理程序。对物流操作过程应急事件发生的原因和责任的认定，应坚持调查研究，厘清事实，根据国家法律和行政法规的有关规定进行处理。法律、行政法规、国家相关主管部门另有规定的，按相关规定执行。</w:t>
      </w:r>
    </w:p>
    <w:p w:rsidR="003B4969" w:rsidRDefault="00000000">
      <w:pPr>
        <w:pStyle w:val="afc"/>
        <w:spacing w:before="312" w:after="312"/>
        <w:rPr>
          <w:rFonts w:hint="default"/>
        </w:rPr>
      </w:pPr>
      <w:bookmarkStart w:id="34" w:name="_Toc30710"/>
      <w:bookmarkStart w:id="35" w:name="_Toc192237718"/>
      <w:r>
        <w:t>服务流程</w:t>
      </w:r>
      <w:bookmarkEnd w:id="34"/>
      <w:bookmarkEnd w:id="35"/>
    </w:p>
    <w:p w:rsidR="003B4969" w:rsidRDefault="00000000">
      <w:pPr>
        <w:pStyle w:val="afd"/>
        <w:spacing w:before="156" w:after="156"/>
        <w:rPr>
          <w:rFonts w:hint="default"/>
        </w:rPr>
      </w:pPr>
      <w:r>
        <w:t>服务流程图</w:t>
      </w:r>
    </w:p>
    <w:p w:rsidR="003B4969" w:rsidRDefault="00000000">
      <w:pPr>
        <w:pStyle w:val="affa"/>
        <w:ind w:firstLine="420"/>
        <w:jc w:val="left"/>
        <w:rPr>
          <w:rFonts w:hint="default"/>
        </w:rPr>
      </w:pPr>
      <w:r>
        <w:t>需求方、综合物流服务提供方、要约邀请方参与服务流程，符合图1的要求。</w:t>
      </w:r>
    </w:p>
    <w:p w:rsidR="003B4969" w:rsidRDefault="003B4969">
      <w:pPr>
        <w:pStyle w:val="affa"/>
        <w:ind w:firstLine="420"/>
        <w:jc w:val="center"/>
        <w:rPr>
          <w:rFonts w:hint="default"/>
        </w:rPr>
      </w:pPr>
    </w:p>
    <w:p w:rsidR="003B4969" w:rsidRDefault="00000000">
      <w:pPr>
        <w:pStyle w:val="affa"/>
        <w:ind w:firstLine="420"/>
        <w:jc w:val="center"/>
        <w:rPr>
          <w:rFonts w:hint="default"/>
        </w:rPr>
      </w:pPr>
      <w:r>
        <w:rPr>
          <w:rFonts w:hint="default"/>
          <w:noProof/>
        </w:rPr>
        <w:drawing>
          <wp:inline distT="0" distB="0" distL="114935" distR="114935">
            <wp:extent cx="4960620" cy="4708525"/>
            <wp:effectExtent l="0" t="0" r="11430" b="15875"/>
            <wp:docPr id="1" name="图片 1" descr="大数据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大数据流程图"/>
                    <pic:cNvPicPr>
                      <a:picLocks noChangeAspect="1"/>
                    </pic:cNvPicPr>
                  </pic:nvPicPr>
                  <pic:blipFill>
                    <a:blip r:embed="rId10"/>
                    <a:stretch>
                      <a:fillRect/>
                    </a:stretch>
                  </pic:blipFill>
                  <pic:spPr>
                    <a:xfrm>
                      <a:off x="0" y="0"/>
                      <a:ext cx="4960620" cy="4708525"/>
                    </a:xfrm>
                    <a:prstGeom prst="rect">
                      <a:avLst/>
                    </a:prstGeom>
                  </pic:spPr>
                </pic:pic>
              </a:graphicData>
            </a:graphic>
          </wp:inline>
        </w:drawing>
      </w:r>
    </w:p>
    <w:p w:rsidR="003B4969" w:rsidRDefault="00000000">
      <w:pPr>
        <w:pStyle w:val="a7"/>
        <w:spacing w:before="156" w:after="156"/>
      </w:pPr>
      <w:r>
        <w:t>服务流程图</w:t>
      </w:r>
    </w:p>
    <w:p w:rsidR="003B4969" w:rsidRDefault="00000000">
      <w:pPr>
        <w:pStyle w:val="afd"/>
        <w:spacing w:before="156" w:after="156"/>
        <w:rPr>
          <w:rFonts w:hint="default"/>
        </w:rPr>
      </w:pPr>
      <w:r>
        <w:rPr>
          <w:rFonts w:hint="default"/>
        </w:rPr>
        <w:t>共享货单</w:t>
      </w:r>
    </w:p>
    <w:p w:rsidR="003B4969" w:rsidRDefault="00000000">
      <w:pPr>
        <w:pStyle w:val="affff9"/>
        <w:spacing w:beforeLines="0" w:before="0" w:afterLines="0" w:after="0"/>
      </w:pPr>
      <w:r>
        <w:rPr>
          <w:rFonts w:hint="default"/>
        </w:rPr>
        <w:t>由需求方向综合物流服务提供方提出散水液态标准化工品的明确需求，包括但不限于散水液态标准化工品名称、数量、价格、质量标准、交付方式、收货地址、联系方式。</w:t>
      </w:r>
    </w:p>
    <w:p w:rsidR="003B4969" w:rsidRDefault="00000000">
      <w:pPr>
        <w:pStyle w:val="affff9"/>
        <w:spacing w:beforeLines="0" w:before="0" w:afterLines="0" w:after="0"/>
      </w:pPr>
      <w:r>
        <w:rPr>
          <w:rFonts w:hint="default"/>
        </w:rPr>
        <w:lastRenderedPageBreak/>
        <w:t>综合物流服务提供方对需求</w:t>
      </w:r>
      <w:proofErr w:type="gramStart"/>
      <w:r>
        <w:rPr>
          <w:rFonts w:hint="default"/>
        </w:rPr>
        <w:t>方需求</w:t>
      </w:r>
      <w:proofErr w:type="gramEnd"/>
      <w:r>
        <w:rPr>
          <w:rFonts w:hint="default"/>
        </w:rPr>
        <w:t>信息进行权限控制，对敏感信息、涉及商业秘密等信息采用匿名化等方式处理，使用安全加密的通信渠道，确保货单信息在传输过程中不被未授权的人员获取。</w:t>
      </w:r>
    </w:p>
    <w:p w:rsidR="003B4969" w:rsidRDefault="00000000">
      <w:pPr>
        <w:pStyle w:val="affff9"/>
        <w:spacing w:beforeLines="0" w:before="0" w:afterLines="0" w:after="0"/>
      </w:pPr>
      <w:r>
        <w:rPr>
          <w:rFonts w:hint="default"/>
        </w:rPr>
        <w:t>发布散水液态标准化工品名称、数量、收货区域的需求，即产生共享货单需求。</w:t>
      </w:r>
    </w:p>
    <w:p w:rsidR="003B4969" w:rsidRDefault="00000000">
      <w:pPr>
        <w:pStyle w:val="afd"/>
        <w:spacing w:before="156" w:after="156"/>
        <w:rPr>
          <w:rFonts w:hint="default"/>
        </w:rPr>
      </w:pPr>
      <w:r>
        <w:rPr>
          <w:rFonts w:hint="default"/>
        </w:rPr>
        <w:t>响应货单</w:t>
      </w:r>
    </w:p>
    <w:p w:rsidR="003B4969" w:rsidRDefault="00000000">
      <w:pPr>
        <w:pStyle w:val="affff9"/>
        <w:spacing w:beforeLines="0" w:before="0" w:afterLines="0" w:after="0"/>
      </w:pPr>
      <w:r>
        <w:rPr>
          <w:rFonts w:hint="default"/>
        </w:rPr>
        <w:t>由具有标准货单方提出响应货单的要约邀请，向综合物流服务提供方提供包括但不限于散水液态标准化工品名称、数量、价格、质量标准、交付方式、发货地址、联系方式。</w:t>
      </w:r>
    </w:p>
    <w:p w:rsidR="003B4969" w:rsidRDefault="00000000">
      <w:pPr>
        <w:pStyle w:val="affff9"/>
        <w:spacing w:beforeLines="0" w:before="0" w:afterLines="0" w:after="0"/>
      </w:pPr>
      <w:r>
        <w:rPr>
          <w:rFonts w:hint="default"/>
        </w:rPr>
        <w:t>综合物流服务提供方对响应方信息进行权限控制，对敏感信息、涉及商业秘密等信息采用匿名化等方式处理，使用安全加密的通信渠道，储存响应方信息，确保响应方信息在存储过程中不被未授权的人员获取。</w:t>
      </w:r>
    </w:p>
    <w:p w:rsidR="003B4969" w:rsidRDefault="00000000">
      <w:pPr>
        <w:pStyle w:val="afd"/>
        <w:spacing w:before="156" w:after="156"/>
        <w:rPr>
          <w:rFonts w:hint="default"/>
        </w:rPr>
      </w:pPr>
      <w:r>
        <w:rPr>
          <w:rFonts w:hint="default"/>
        </w:rPr>
        <w:t>撮合</w:t>
      </w:r>
    </w:p>
    <w:p w:rsidR="003B4969" w:rsidRDefault="00000000">
      <w:pPr>
        <w:pStyle w:val="affff9"/>
        <w:spacing w:beforeLines="0" w:before="0" w:afterLines="0" w:after="0"/>
      </w:pPr>
      <w:r>
        <w:rPr>
          <w:rFonts w:hint="default"/>
        </w:rPr>
        <w:t>综合物流服务提供方应对委托方双方提供的单据和委托人身份信息进行审核，审核其合法性、有效性及内容的准确、完整性。通过审核后，撮合双方进行货单置换。</w:t>
      </w:r>
    </w:p>
    <w:p w:rsidR="003B4969" w:rsidRDefault="00000000">
      <w:pPr>
        <w:pStyle w:val="affff9"/>
        <w:spacing w:beforeLines="0" w:before="0" w:afterLines="0" w:after="0"/>
      </w:pPr>
      <w:r>
        <w:rPr>
          <w:rFonts w:hint="default"/>
        </w:rPr>
        <w:t>根据委托方双方要求，应准确、完整地向委托方双方提供物流服务合同标的，包括散水化工</w:t>
      </w:r>
      <w:proofErr w:type="gramStart"/>
      <w:r>
        <w:rPr>
          <w:rFonts w:hint="default"/>
        </w:rPr>
        <w:t>产品产品</w:t>
      </w:r>
      <w:proofErr w:type="gramEnd"/>
      <w:r>
        <w:rPr>
          <w:rFonts w:hint="default"/>
        </w:rPr>
        <w:t>信息、物流过程数据，并及时通报各种意外事件的相关信息。</w:t>
      </w:r>
    </w:p>
    <w:p w:rsidR="003B4969" w:rsidRDefault="00000000">
      <w:pPr>
        <w:pStyle w:val="affff9"/>
        <w:spacing w:beforeLines="0" w:before="0" w:afterLines="0" w:after="0"/>
      </w:pPr>
      <w:r>
        <w:rPr>
          <w:rFonts w:hint="default"/>
        </w:rPr>
        <w:t>撮合成功后，签订货单置换合同。合同内容应填写规范、完整、准确、清晰，按时存档，并保证合同、信息、资料的保密和安全，内容包括但不限于：</w:t>
      </w:r>
    </w:p>
    <w:p w:rsidR="003B4969" w:rsidRDefault="00000000">
      <w:pPr>
        <w:pStyle w:val="af"/>
        <w:rPr>
          <w:rFonts w:hint="default"/>
        </w:rPr>
      </w:pPr>
      <w:r>
        <w:rPr>
          <w:rFonts w:hint="default"/>
        </w:rPr>
        <w:t>物流服务合同的订立、生效、履行、变更和转让、权利义务终止和违约责任等，应严格遵守《中华人民共和国合同法》的规定，并应遵守合同内容所涉的我国其他有关法律、法规、规章等规范性法律文件。物流服务合同的订立和履行应遵循平等、自愿、公平、诚实信用、协商一致的原则，尊重社会公德，维护经济秩序，保护社会公共利益；</w:t>
      </w:r>
    </w:p>
    <w:p w:rsidR="003B4969" w:rsidRDefault="00000000">
      <w:pPr>
        <w:pStyle w:val="af"/>
        <w:rPr>
          <w:rFonts w:hint="default"/>
        </w:rPr>
      </w:pPr>
      <w:r>
        <w:rPr>
          <w:rFonts w:hint="default"/>
        </w:rPr>
        <w:t>物流服务合同应优先采用书面形式，以合同书、信件和数据电文(包括电报、电传、传真、电子数据交换和电子邮件)等可以有形地并可被证明地表现所载内容的形式订立，有法律特殊规定的从其规定；</w:t>
      </w:r>
    </w:p>
    <w:p w:rsidR="003B4969" w:rsidRDefault="00000000">
      <w:pPr>
        <w:pStyle w:val="af"/>
        <w:rPr>
          <w:rFonts w:hint="default"/>
        </w:rPr>
      </w:pPr>
      <w:r>
        <w:rPr>
          <w:rFonts w:hint="default"/>
        </w:rPr>
        <w:t>物流服务合同各签订方应树立依法委托、守法经营、风险控制等法律意识，</w:t>
      </w:r>
      <w:proofErr w:type="gramStart"/>
      <w:r>
        <w:rPr>
          <w:rFonts w:hint="default"/>
        </w:rPr>
        <w:t>宜建立</w:t>
      </w:r>
      <w:proofErr w:type="gramEnd"/>
      <w:r>
        <w:rPr>
          <w:rFonts w:hint="default"/>
        </w:rPr>
        <w:t>合同风险评估、合同谈判、合同和单证保管、合同履行过程监控等合同管理制度。</w:t>
      </w:r>
    </w:p>
    <w:p w:rsidR="003B4969" w:rsidRDefault="00000000">
      <w:pPr>
        <w:pStyle w:val="affff9"/>
        <w:spacing w:beforeLines="0" w:before="0" w:afterLines="0" w:after="0"/>
      </w:pPr>
      <w:r>
        <w:rPr>
          <w:rFonts w:hint="default"/>
        </w:rPr>
        <w:t>双方确认后，综合物流服务提供方安排装载和运输，履行合同。</w:t>
      </w:r>
    </w:p>
    <w:p w:rsidR="003B4969" w:rsidRDefault="00000000">
      <w:pPr>
        <w:pStyle w:val="affff9"/>
        <w:spacing w:beforeLines="0" w:before="0" w:afterLines="0" w:after="0"/>
      </w:pPr>
      <w:r>
        <w:rPr>
          <w:rFonts w:hint="default"/>
        </w:rPr>
        <w:t>撮合不成功，该信息返回共享货单。</w:t>
      </w:r>
    </w:p>
    <w:p w:rsidR="003B4969" w:rsidRDefault="00000000">
      <w:pPr>
        <w:pStyle w:val="affff9"/>
        <w:spacing w:beforeLines="0" w:before="0" w:afterLines="0" w:after="0"/>
      </w:pPr>
      <w:r>
        <w:rPr>
          <w:rFonts w:hint="default"/>
        </w:rPr>
        <w:t>需求方和响应方信息可能是大量信息，综合物流服务提供方运营大数据进行运算配对，产生撮合服务或潜在撮合机会。</w:t>
      </w:r>
    </w:p>
    <w:p w:rsidR="003B4969" w:rsidRDefault="00000000">
      <w:pPr>
        <w:pStyle w:val="afd"/>
        <w:spacing w:before="156" w:after="156"/>
        <w:rPr>
          <w:rFonts w:hint="default"/>
        </w:rPr>
      </w:pPr>
      <w:r>
        <w:rPr>
          <w:rFonts w:hint="default"/>
        </w:rPr>
        <w:t>信息留存</w:t>
      </w:r>
    </w:p>
    <w:p w:rsidR="003B4969" w:rsidRDefault="00000000">
      <w:pPr>
        <w:pStyle w:val="affff9"/>
        <w:spacing w:beforeLines="0" w:before="0" w:afterLines="0" w:after="0"/>
      </w:pPr>
      <w:r>
        <w:rPr>
          <w:rFonts w:hint="default"/>
        </w:rPr>
        <w:t>散水化工产品物流服务过程中采集、处理、存储、交换的信息应符合国家对其物流的管理规定，并应能满足监管要求。</w:t>
      </w:r>
    </w:p>
    <w:p w:rsidR="003B4969" w:rsidRDefault="00000000">
      <w:pPr>
        <w:pStyle w:val="affff9"/>
        <w:spacing w:beforeLines="0" w:before="0" w:afterLines="0" w:after="0"/>
      </w:pPr>
      <w:r>
        <w:rPr>
          <w:rFonts w:hint="default"/>
        </w:rPr>
        <w:t>散水化工产品物流合同和货物交接等各</w:t>
      </w:r>
      <w:proofErr w:type="gramStart"/>
      <w:r>
        <w:rPr>
          <w:rFonts w:hint="default"/>
        </w:rPr>
        <w:t>类记录</w:t>
      </w:r>
      <w:proofErr w:type="gramEnd"/>
      <w:r>
        <w:rPr>
          <w:rFonts w:hint="default"/>
        </w:rPr>
        <w:t>应至少保留 2 年。</w:t>
      </w:r>
    </w:p>
    <w:p w:rsidR="003B4969" w:rsidRDefault="00000000">
      <w:pPr>
        <w:pStyle w:val="afc"/>
        <w:spacing w:before="312" w:after="312"/>
        <w:rPr>
          <w:rFonts w:hint="default"/>
        </w:rPr>
      </w:pPr>
      <w:bookmarkStart w:id="36" w:name="_Toc10760"/>
      <w:bookmarkStart w:id="37" w:name="_Toc192237719"/>
      <w:proofErr w:type="gramStart"/>
      <w:r>
        <w:rPr>
          <w:rFonts w:hint="default"/>
        </w:rPr>
        <w:t>运输碳汇计算</w:t>
      </w:r>
      <w:bookmarkEnd w:id="36"/>
      <w:bookmarkEnd w:id="37"/>
      <w:proofErr w:type="gramEnd"/>
    </w:p>
    <w:p w:rsidR="003B4969" w:rsidRDefault="00000000">
      <w:pPr>
        <w:pStyle w:val="afd"/>
        <w:spacing w:before="156" w:after="156"/>
        <w:rPr>
          <w:rFonts w:hint="default"/>
        </w:rPr>
      </w:pPr>
      <w:r>
        <w:rPr>
          <w:rFonts w:hint="default"/>
        </w:rPr>
        <w:t>确定运输距离</w:t>
      </w:r>
    </w:p>
    <w:p w:rsidR="003B4969" w:rsidRDefault="00000000">
      <w:pPr>
        <w:pStyle w:val="affa"/>
        <w:ind w:firstLine="420"/>
        <w:rPr>
          <w:rFonts w:hint="default"/>
        </w:rPr>
      </w:pPr>
      <w:r>
        <w:rPr>
          <w:rFonts w:hint="default"/>
        </w:rPr>
        <w:lastRenderedPageBreak/>
        <w:t>首先需要确定</w:t>
      </w:r>
      <w:proofErr w:type="gramStart"/>
      <w:r>
        <w:rPr>
          <w:rFonts w:hint="default"/>
        </w:rPr>
        <w:t>从碳汇</w:t>
      </w:r>
      <w:proofErr w:type="gramEnd"/>
      <w:r>
        <w:rPr>
          <w:rFonts w:hint="default"/>
        </w:rPr>
        <w:t>来源地到目标地点的运输距离。通过使用地理信息系统（GIS）等工具进行估算。</w:t>
      </w:r>
    </w:p>
    <w:p w:rsidR="003B4969" w:rsidRDefault="00000000">
      <w:pPr>
        <w:pStyle w:val="afd"/>
        <w:spacing w:before="156" w:after="156"/>
        <w:rPr>
          <w:rFonts w:hint="default"/>
        </w:rPr>
      </w:pPr>
      <w:r>
        <w:rPr>
          <w:rFonts w:hint="default"/>
        </w:rPr>
        <w:t>计算运输排放</w:t>
      </w:r>
    </w:p>
    <w:p w:rsidR="003B4969" w:rsidRDefault="00000000">
      <w:pPr>
        <w:pStyle w:val="affa"/>
        <w:ind w:firstLine="420"/>
        <w:rPr>
          <w:rFonts w:hint="default"/>
        </w:rPr>
      </w:pPr>
      <w:r>
        <w:rPr>
          <w:rFonts w:hint="default"/>
        </w:rPr>
        <w:t>根据实际运输距离和使用的运输方式，计算运输过程中产生的温室气体排放，公路运输优化后</w:t>
      </w:r>
      <w:proofErr w:type="gramStart"/>
      <w:r>
        <w:rPr>
          <w:rFonts w:hint="default"/>
        </w:rPr>
        <w:t>实际碳汇的</w:t>
      </w:r>
      <w:proofErr w:type="gramEnd"/>
      <w:r>
        <w:rPr>
          <w:rFonts w:hint="default"/>
        </w:rPr>
        <w:t>计算符合公式1的规定：</w:t>
      </w:r>
    </w:p>
    <w:p w:rsidR="003B4969" w:rsidRDefault="00000000">
      <w:pPr>
        <w:ind w:firstLineChars="200" w:firstLine="420"/>
        <w:jc w:val="right"/>
        <w:rPr>
          <w:rFonts w:hint="default"/>
        </w:rPr>
      </w:pPr>
      <w:r>
        <w:rPr>
          <w:rFonts w:ascii="Times New Roman" w:cs="Times New Roman" w:hint="default"/>
        </w:rPr>
        <w:t>A</w:t>
      </w:r>
      <w:r>
        <w:rPr>
          <w:rFonts w:ascii="Times New Roman" w:cs="Times New Roman" w:hint="default"/>
          <w:vertAlign w:val="subscript"/>
        </w:rPr>
        <w:t>1</w:t>
      </w:r>
      <w:r>
        <w:rPr>
          <w:rFonts w:ascii="Times New Roman" w:cs="Times New Roman" w:hint="default"/>
        </w:rPr>
        <w:t>=</w:t>
      </w:r>
      <w:r>
        <w:rPr>
          <w:rFonts w:ascii="Times New Roman"/>
        </w:rPr>
        <w:t>S</w:t>
      </w:r>
      <w:r>
        <w:rPr>
          <w:rFonts w:ascii="Times New Roman"/>
          <w:vertAlign w:val="subscript"/>
        </w:rPr>
        <w:t>1</w:t>
      </w:r>
      <w:r>
        <w:rPr>
          <w:rFonts w:ascii="微软雅黑" w:eastAsia="微软雅黑" w:hAnsi="微软雅黑" w:cs="微软雅黑"/>
        </w:rPr>
        <w:t>×</w:t>
      </w:r>
      <w:r>
        <w:rPr>
          <w:rFonts w:ascii="Times New Roman"/>
        </w:rPr>
        <w:t xml:space="preserve">a                         </w:t>
      </w:r>
      <w:r>
        <w:rPr>
          <w:rFonts w:ascii="Times New Roman"/>
        </w:rPr>
        <w:t>……</w:t>
      </w:r>
      <w:proofErr w:type="gramStart"/>
      <w:r>
        <w:rPr>
          <w:rFonts w:ascii="Times New Roman"/>
        </w:rPr>
        <w:t>……………………</w:t>
      </w:r>
      <w:proofErr w:type="gramEnd"/>
      <w:r>
        <w:rPr>
          <w:rFonts w:ascii="Times New Roman"/>
        </w:rPr>
        <w:t>（</w:t>
      </w:r>
      <w:r>
        <w:rPr>
          <w:rFonts w:ascii="Times New Roman"/>
        </w:rPr>
        <w:t>1</w:t>
      </w:r>
      <w:r>
        <w:rPr>
          <w:rFonts w:ascii="Times New Roman"/>
        </w:rPr>
        <w:t>）</w:t>
      </w:r>
    </w:p>
    <w:p w:rsidR="003B4969" w:rsidRDefault="00000000">
      <w:pPr>
        <w:pStyle w:val="affa"/>
        <w:ind w:firstLine="420"/>
        <w:rPr>
          <w:rFonts w:hint="default"/>
        </w:rPr>
      </w:pPr>
      <w:r>
        <w:rPr>
          <w:rFonts w:hint="default"/>
        </w:rPr>
        <w:t>式中：</w:t>
      </w:r>
    </w:p>
    <w:p w:rsidR="003B4969" w:rsidRDefault="00000000">
      <w:pPr>
        <w:pStyle w:val="affa"/>
        <w:ind w:firstLine="420"/>
        <w:rPr>
          <w:rFonts w:hint="default"/>
        </w:rPr>
      </w:pPr>
      <w:r>
        <w:rPr>
          <w:rFonts w:ascii="Times New Roman" w:cs="Times New Roman" w:hint="default"/>
        </w:rPr>
        <w:t>A</w:t>
      </w:r>
      <w:r>
        <w:rPr>
          <w:rFonts w:ascii="Times New Roman" w:cs="Times New Roman" w:hint="default"/>
          <w:vertAlign w:val="subscript"/>
        </w:rPr>
        <w:t>1</w:t>
      </w:r>
      <w:r>
        <w:rPr>
          <w:rFonts w:hint="default"/>
        </w:rPr>
        <w:t>——</w:t>
      </w:r>
      <w:r>
        <w:rPr>
          <w:rFonts w:hint="default"/>
        </w:rPr>
        <w:t>实际运输碳排放；</w:t>
      </w:r>
    </w:p>
    <w:p w:rsidR="003B4969" w:rsidRDefault="00000000">
      <w:pPr>
        <w:pStyle w:val="affa"/>
        <w:ind w:firstLine="420"/>
        <w:rPr>
          <w:rFonts w:hint="default"/>
        </w:rPr>
      </w:pPr>
      <w:r>
        <w:rPr>
          <w:rFonts w:ascii="Times New Roman"/>
        </w:rPr>
        <w:t>S</w:t>
      </w:r>
      <w:r>
        <w:rPr>
          <w:rFonts w:ascii="Times New Roman"/>
          <w:vertAlign w:val="subscript"/>
        </w:rPr>
        <w:t xml:space="preserve">1 </w:t>
      </w:r>
      <w:r>
        <w:rPr>
          <w:rFonts w:hint="default"/>
        </w:rPr>
        <w:t>——</w:t>
      </w:r>
      <w:r>
        <w:rPr>
          <w:rFonts w:hint="default"/>
        </w:rPr>
        <w:t>实际运输距离；</w:t>
      </w:r>
    </w:p>
    <w:p w:rsidR="003B4969" w:rsidRDefault="00000000">
      <w:pPr>
        <w:pStyle w:val="affa"/>
        <w:ind w:firstLine="420"/>
        <w:rPr>
          <w:rFonts w:hint="default"/>
        </w:rPr>
      </w:pPr>
      <w:r>
        <w:rPr>
          <w:rFonts w:ascii="Times New Roman"/>
        </w:rPr>
        <w:t>a</w:t>
      </w:r>
      <w:r>
        <w:rPr>
          <w:rFonts w:ascii="Times New Roman"/>
          <w:sz w:val="48"/>
          <w:szCs w:val="44"/>
        </w:rPr>
        <w:t xml:space="preserve"> </w:t>
      </w:r>
      <w:r>
        <w:rPr>
          <w:rFonts w:hint="default"/>
        </w:rPr>
        <w:t>——</w:t>
      </w:r>
      <w:r>
        <w:rPr>
          <w:rFonts w:hint="default"/>
        </w:rPr>
        <w:t>每公里碳排放量（CO</w:t>
      </w:r>
      <w:r>
        <w:rPr>
          <w:rFonts w:hint="default"/>
          <w:vertAlign w:val="subscript"/>
        </w:rPr>
        <w:t>2</w:t>
      </w:r>
      <w:r>
        <w:rPr>
          <w:rFonts w:hint="default"/>
        </w:rPr>
        <w:t>）。</w:t>
      </w:r>
    </w:p>
    <w:p w:rsidR="003B4969" w:rsidRDefault="00000000">
      <w:pPr>
        <w:pStyle w:val="a2"/>
      </w:pPr>
      <w:r>
        <w:rPr>
          <w:rFonts w:hint="default"/>
        </w:rPr>
        <w:t>根据IPCC联合国政府间气候变化专门委员会发布的碳排放因子计算，载重30t的重型柴油运输车的碳排放因子为0.07269 kg CO</w:t>
      </w:r>
      <w:r>
        <w:rPr>
          <w:rFonts w:hint="default"/>
          <w:vertAlign w:val="subscript"/>
        </w:rPr>
        <w:t>2</w:t>
      </w:r>
      <w:bookmarkStart w:id="38" w:name="OLE_LINK1"/>
      <w:r>
        <w:rPr>
          <w:rFonts w:hint="default"/>
        </w:rPr>
        <w:t>eq/</w:t>
      </w:r>
      <w:proofErr w:type="spellStart"/>
      <w:r>
        <w:rPr>
          <w:rFonts w:hint="default"/>
        </w:rPr>
        <w:t>tkm</w:t>
      </w:r>
      <w:bookmarkEnd w:id="38"/>
      <w:proofErr w:type="spellEnd"/>
      <w:r>
        <w:t>。</w:t>
      </w:r>
    </w:p>
    <w:p w:rsidR="003B4969" w:rsidRDefault="00000000">
      <w:pPr>
        <w:pStyle w:val="affa"/>
        <w:ind w:firstLine="420"/>
        <w:rPr>
          <w:rFonts w:hint="default"/>
        </w:rPr>
      </w:pPr>
      <w:r>
        <w:rPr>
          <w:rFonts w:hint="default"/>
        </w:rPr>
        <w:t>根据原运输距离和使用的运输方式，计算运输过程中产生的温室气体排放，公路运输优化前</w:t>
      </w:r>
      <w:proofErr w:type="gramStart"/>
      <w:r>
        <w:rPr>
          <w:rFonts w:hint="default"/>
        </w:rPr>
        <w:t>原距离碳汇</w:t>
      </w:r>
      <w:proofErr w:type="gramEnd"/>
      <w:r>
        <w:rPr>
          <w:rFonts w:hint="default"/>
        </w:rPr>
        <w:t>的计算符合公式2的规定：</w:t>
      </w:r>
    </w:p>
    <w:p w:rsidR="003B4969" w:rsidRDefault="00000000">
      <w:pPr>
        <w:ind w:firstLineChars="200" w:firstLine="420"/>
        <w:jc w:val="right"/>
        <w:rPr>
          <w:rFonts w:hint="default"/>
        </w:rPr>
      </w:pPr>
      <w:bookmarkStart w:id="39" w:name="OLE_LINK24"/>
      <w:r>
        <w:rPr>
          <w:rFonts w:ascii="Times New Roman" w:cs="Times New Roman" w:hint="default"/>
        </w:rPr>
        <w:t>A</w:t>
      </w:r>
      <w:r>
        <w:rPr>
          <w:rFonts w:ascii="Times New Roman" w:cs="Times New Roman" w:hint="default"/>
          <w:vertAlign w:val="subscript"/>
        </w:rPr>
        <w:t>2</w:t>
      </w:r>
      <w:r>
        <w:rPr>
          <w:rFonts w:ascii="Times New Roman" w:cs="Times New Roman" w:hint="default"/>
        </w:rPr>
        <w:t>=</w:t>
      </w:r>
      <w:r>
        <w:rPr>
          <w:rFonts w:ascii="Times New Roman"/>
        </w:rPr>
        <w:t>S</w:t>
      </w:r>
      <w:r>
        <w:rPr>
          <w:rFonts w:ascii="Times New Roman"/>
          <w:vertAlign w:val="subscript"/>
        </w:rPr>
        <w:t>2</w:t>
      </w:r>
      <w:r>
        <w:rPr>
          <w:rFonts w:ascii="微软雅黑" w:eastAsia="微软雅黑" w:hAnsi="微软雅黑" w:cs="微软雅黑"/>
        </w:rPr>
        <w:t>×</w:t>
      </w:r>
      <w:r>
        <w:rPr>
          <w:rFonts w:ascii="Times New Roman"/>
        </w:rPr>
        <w:t xml:space="preserve">a                          </w:t>
      </w:r>
      <w:r>
        <w:rPr>
          <w:rFonts w:ascii="Times New Roman"/>
        </w:rPr>
        <w:t>……</w:t>
      </w:r>
      <w:proofErr w:type="gramStart"/>
      <w:r>
        <w:rPr>
          <w:rFonts w:ascii="Times New Roman"/>
        </w:rPr>
        <w:t>……………………</w:t>
      </w:r>
      <w:proofErr w:type="gramEnd"/>
      <w:r>
        <w:rPr>
          <w:rFonts w:ascii="Times New Roman"/>
        </w:rPr>
        <w:t>（</w:t>
      </w:r>
      <w:r>
        <w:rPr>
          <w:rFonts w:ascii="Times New Roman"/>
        </w:rPr>
        <w:t>2</w:t>
      </w:r>
      <w:r>
        <w:rPr>
          <w:rFonts w:ascii="Times New Roman"/>
        </w:rPr>
        <w:t>）</w:t>
      </w:r>
    </w:p>
    <w:bookmarkEnd w:id="39"/>
    <w:p w:rsidR="003B4969" w:rsidRDefault="00000000">
      <w:pPr>
        <w:pStyle w:val="affa"/>
        <w:ind w:firstLine="420"/>
        <w:rPr>
          <w:rFonts w:hint="default"/>
        </w:rPr>
      </w:pPr>
      <w:r>
        <w:rPr>
          <w:rFonts w:hint="default"/>
        </w:rPr>
        <w:t>式中：</w:t>
      </w:r>
    </w:p>
    <w:p w:rsidR="003B4969" w:rsidRDefault="00000000">
      <w:pPr>
        <w:pStyle w:val="affa"/>
        <w:ind w:firstLine="420"/>
        <w:rPr>
          <w:rFonts w:hint="default"/>
        </w:rPr>
      </w:pPr>
      <w:r>
        <w:rPr>
          <w:rFonts w:ascii="Times New Roman" w:cs="Times New Roman" w:hint="default"/>
        </w:rPr>
        <w:t>A</w:t>
      </w:r>
      <w:r>
        <w:rPr>
          <w:rFonts w:ascii="Times New Roman" w:cs="Times New Roman" w:hint="default"/>
          <w:vertAlign w:val="subscript"/>
        </w:rPr>
        <w:t>2</w:t>
      </w:r>
      <w:r>
        <w:rPr>
          <w:rFonts w:hint="default"/>
        </w:rPr>
        <w:t>——</w:t>
      </w:r>
      <w:proofErr w:type="gramStart"/>
      <w:r>
        <w:rPr>
          <w:rFonts w:hint="default"/>
        </w:rPr>
        <w:t>原距离</w:t>
      </w:r>
      <w:proofErr w:type="gramEnd"/>
      <w:r>
        <w:rPr>
          <w:rFonts w:hint="default"/>
        </w:rPr>
        <w:t>运输碳排放；</w:t>
      </w:r>
    </w:p>
    <w:p w:rsidR="003B4969" w:rsidRDefault="00000000">
      <w:pPr>
        <w:pStyle w:val="affa"/>
        <w:ind w:firstLine="420"/>
        <w:rPr>
          <w:rFonts w:hint="default"/>
        </w:rPr>
      </w:pPr>
      <w:r>
        <w:rPr>
          <w:rFonts w:ascii="Times New Roman"/>
        </w:rPr>
        <w:t>S</w:t>
      </w:r>
      <w:r>
        <w:rPr>
          <w:rFonts w:ascii="Times New Roman"/>
          <w:vertAlign w:val="subscript"/>
        </w:rPr>
        <w:t xml:space="preserve">2 </w:t>
      </w:r>
      <w:r>
        <w:rPr>
          <w:rFonts w:hint="default"/>
        </w:rPr>
        <w:t>——</w:t>
      </w:r>
      <w:r>
        <w:rPr>
          <w:rFonts w:hint="default"/>
        </w:rPr>
        <w:t>原运输距离；</w:t>
      </w:r>
    </w:p>
    <w:p w:rsidR="003B4969" w:rsidRDefault="00000000">
      <w:pPr>
        <w:pStyle w:val="affa"/>
        <w:ind w:firstLine="420"/>
        <w:rPr>
          <w:rFonts w:hint="default"/>
        </w:rPr>
      </w:pPr>
      <w:r>
        <w:rPr>
          <w:rFonts w:ascii="Times New Roman"/>
        </w:rPr>
        <w:t>a</w:t>
      </w:r>
      <w:r>
        <w:rPr>
          <w:rFonts w:hint="default"/>
          <w:sz w:val="24"/>
          <w:szCs w:val="22"/>
        </w:rPr>
        <w:t xml:space="preserve"> </w:t>
      </w:r>
      <w:r>
        <w:rPr>
          <w:rFonts w:hint="default"/>
        </w:rPr>
        <w:t>——</w:t>
      </w:r>
      <w:r>
        <w:rPr>
          <w:rFonts w:hint="default"/>
        </w:rPr>
        <w:t>每公里碳排放量（CO</w:t>
      </w:r>
      <w:r>
        <w:rPr>
          <w:rFonts w:hint="default"/>
          <w:vertAlign w:val="subscript"/>
        </w:rPr>
        <w:t>2</w:t>
      </w:r>
      <w:r>
        <w:rPr>
          <w:rFonts w:hint="default"/>
        </w:rPr>
        <w:t>）。</w:t>
      </w:r>
    </w:p>
    <w:p w:rsidR="003B4969" w:rsidRDefault="00000000">
      <w:pPr>
        <w:pStyle w:val="affa"/>
        <w:ind w:firstLine="420"/>
        <w:rPr>
          <w:rFonts w:hint="default"/>
        </w:rPr>
      </w:pPr>
      <w:r>
        <w:rPr>
          <w:rFonts w:hint="default"/>
        </w:rPr>
        <w:t>通过撮合，</w:t>
      </w:r>
      <w:proofErr w:type="gramStart"/>
      <w:r>
        <w:rPr>
          <w:rFonts w:hint="default"/>
        </w:rPr>
        <w:t>减少碳汇的</w:t>
      </w:r>
      <w:proofErr w:type="gramEnd"/>
      <w:r>
        <w:rPr>
          <w:rFonts w:hint="default"/>
        </w:rPr>
        <w:t>计算符合公式3的规定：</w:t>
      </w:r>
    </w:p>
    <w:p w:rsidR="003B4969" w:rsidRDefault="00000000">
      <w:pPr>
        <w:pStyle w:val="affa"/>
        <w:ind w:firstLine="420"/>
        <w:jc w:val="right"/>
        <w:rPr>
          <w:rFonts w:hint="default"/>
        </w:rPr>
      </w:pPr>
      <w:r>
        <w:rPr>
          <w:rFonts w:ascii="Times New Roman" w:cs="Times New Roman" w:hint="default"/>
        </w:rPr>
        <w:t>A</w:t>
      </w:r>
      <w:r>
        <w:rPr>
          <w:rFonts w:ascii="Times New Roman" w:cs="Times New Roman" w:hint="default"/>
          <w:vertAlign w:val="subscript"/>
        </w:rPr>
        <w:t>3</w:t>
      </w:r>
      <w:r>
        <w:rPr>
          <w:rFonts w:ascii="Times New Roman" w:cs="Times New Roman" w:hint="default"/>
        </w:rPr>
        <w:t>=A</w:t>
      </w:r>
      <w:r>
        <w:rPr>
          <w:rFonts w:ascii="Times New Roman" w:cs="Times New Roman" w:hint="default"/>
          <w:vertAlign w:val="subscript"/>
        </w:rPr>
        <w:t>2</w:t>
      </w:r>
      <w:r>
        <w:rPr>
          <w:rFonts w:ascii="Times New Roman" w:cs="Times New Roman"/>
          <w:vertAlign w:val="subscript"/>
        </w:rPr>
        <w:t xml:space="preserve"> </w:t>
      </w:r>
      <w:r>
        <w:rPr>
          <w:rFonts w:ascii="Times New Roman" w:cs="Times New Roman" w:hint="default"/>
        </w:rPr>
        <w:t>-</w:t>
      </w:r>
      <w:r>
        <w:rPr>
          <w:rFonts w:ascii="Times New Roman" w:cs="Times New Roman"/>
        </w:rPr>
        <w:t xml:space="preserve"> </w:t>
      </w:r>
      <w:r>
        <w:rPr>
          <w:rFonts w:ascii="Times New Roman" w:cs="Times New Roman" w:hint="default"/>
        </w:rPr>
        <w:t>A</w:t>
      </w:r>
      <w:r>
        <w:rPr>
          <w:rFonts w:ascii="Times New Roman" w:cs="Times New Roman" w:hint="default"/>
          <w:vertAlign w:val="subscript"/>
        </w:rPr>
        <w:t>1</w:t>
      </w:r>
      <w:r>
        <w:rPr>
          <w:rFonts w:hAnsi="宋体"/>
        </w:rPr>
        <w:t xml:space="preserve"> </w:t>
      </w:r>
      <w:r>
        <w:rPr>
          <w:rFonts w:ascii="Times New Roman"/>
        </w:rPr>
        <w:t xml:space="preserve">                        </w:t>
      </w:r>
      <w:r>
        <w:rPr>
          <w:rFonts w:ascii="Times New Roman"/>
        </w:rPr>
        <w:t>……</w:t>
      </w:r>
      <w:proofErr w:type="gramStart"/>
      <w:r>
        <w:rPr>
          <w:rFonts w:ascii="Times New Roman"/>
        </w:rPr>
        <w:t>……………………</w:t>
      </w:r>
      <w:proofErr w:type="gramEnd"/>
      <w:r>
        <w:rPr>
          <w:rFonts w:ascii="Times New Roman"/>
        </w:rPr>
        <w:t>（</w:t>
      </w:r>
      <w:r>
        <w:rPr>
          <w:rFonts w:ascii="Times New Roman"/>
        </w:rPr>
        <w:t>3</w:t>
      </w:r>
      <w:r>
        <w:rPr>
          <w:rFonts w:ascii="Times New Roman"/>
        </w:rPr>
        <w:t>）</w:t>
      </w:r>
    </w:p>
    <w:p w:rsidR="003B4969" w:rsidRDefault="00000000">
      <w:pPr>
        <w:pStyle w:val="affa"/>
        <w:ind w:firstLine="420"/>
        <w:rPr>
          <w:rFonts w:hint="default"/>
        </w:rPr>
      </w:pPr>
      <w:r>
        <w:rPr>
          <w:rFonts w:hint="default"/>
        </w:rPr>
        <w:t>式中：</w:t>
      </w:r>
    </w:p>
    <w:p w:rsidR="003B4969" w:rsidRDefault="00000000">
      <w:pPr>
        <w:pStyle w:val="affa"/>
        <w:ind w:firstLine="420"/>
        <w:rPr>
          <w:rFonts w:hint="default"/>
        </w:rPr>
      </w:pPr>
      <w:r>
        <w:rPr>
          <w:rFonts w:ascii="Times New Roman" w:cs="Times New Roman" w:hint="default"/>
        </w:rPr>
        <w:t>A</w:t>
      </w:r>
      <w:r>
        <w:rPr>
          <w:rFonts w:ascii="Times New Roman" w:cs="Times New Roman" w:hint="default"/>
          <w:vertAlign w:val="subscript"/>
        </w:rPr>
        <w:t>3</w:t>
      </w:r>
      <w:r>
        <w:rPr>
          <w:rFonts w:hint="default"/>
        </w:rPr>
        <w:t>——</w:t>
      </w:r>
      <w:r>
        <w:rPr>
          <w:rFonts w:hint="default"/>
        </w:rPr>
        <w:t>减少运输碳排放；</w:t>
      </w:r>
    </w:p>
    <w:p w:rsidR="003B4969" w:rsidRDefault="00000000">
      <w:pPr>
        <w:pStyle w:val="affa"/>
        <w:ind w:firstLine="420"/>
        <w:rPr>
          <w:rFonts w:hint="default"/>
        </w:rPr>
      </w:pPr>
      <w:r>
        <w:rPr>
          <w:rFonts w:ascii="Times New Roman" w:cs="Times New Roman" w:hint="default"/>
        </w:rPr>
        <w:t>A</w:t>
      </w:r>
      <w:r>
        <w:rPr>
          <w:rFonts w:ascii="Times New Roman" w:cs="Times New Roman" w:hint="default"/>
          <w:vertAlign w:val="subscript"/>
        </w:rPr>
        <w:t>2</w:t>
      </w:r>
      <w:r>
        <w:rPr>
          <w:rFonts w:hint="default"/>
        </w:rPr>
        <w:t>——</w:t>
      </w:r>
      <w:proofErr w:type="gramStart"/>
      <w:r>
        <w:rPr>
          <w:rFonts w:hint="default"/>
        </w:rPr>
        <w:t>原距离</w:t>
      </w:r>
      <w:proofErr w:type="gramEnd"/>
      <w:r>
        <w:rPr>
          <w:rFonts w:hint="default"/>
        </w:rPr>
        <w:t>运输碳排放；</w:t>
      </w:r>
    </w:p>
    <w:p w:rsidR="003B4969" w:rsidRDefault="00000000">
      <w:pPr>
        <w:pStyle w:val="affa"/>
        <w:ind w:firstLine="420"/>
        <w:rPr>
          <w:rFonts w:hint="default"/>
        </w:rPr>
      </w:pPr>
      <w:r>
        <w:rPr>
          <w:rFonts w:ascii="Times New Roman" w:cs="Times New Roman" w:hint="default"/>
        </w:rPr>
        <w:t>A</w:t>
      </w:r>
      <w:r>
        <w:rPr>
          <w:rFonts w:ascii="Times New Roman" w:cs="Times New Roman" w:hint="default"/>
          <w:vertAlign w:val="subscript"/>
        </w:rPr>
        <w:t>1</w:t>
      </w:r>
      <w:r>
        <w:rPr>
          <w:rFonts w:hint="default"/>
        </w:rPr>
        <w:t>——</w:t>
      </w:r>
      <w:r>
        <w:rPr>
          <w:rFonts w:hint="default"/>
        </w:rPr>
        <w:t>实际运输碳排放。</w:t>
      </w:r>
    </w:p>
    <w:p w:rsidR="003B4969" w:rsidRDefault="00000000">
      <w:pPr>
        <w:pStyle w:val="afc"/>
        <w:spacing w:before="312" w:after="312"/>
        <w:rPr>
          <w:rFonts w:hint="default"/>
        </w:rPr>
      </w:pPr>
      <w:bookmarkStart w:id="40" w:name="_Toc22221"/>
      <w:bookmarkStart w:id="41" w:name="_Toc192237720"/>
      <w:r>
        <w:rPr>
          <w:rFonts w:hint="default"/>
        </w:rPr>
        <w:t>评价与改进</w:t>
      </w:r>
      <w:bookmarkEnd w:id="40"/>
      <w:bookmarkEnd w:id="41"/>
    </w:p>
    <w:p w:rsidR="003B4969" w:rsidRDefault="00000000">
      <w:pPr>
        <w:pStyle w:val="affff8"/>
        <w:spacing w:beforeLines="0" w:before="0" w:afterLines="0" w:after="0"/>
      </w:pPr>
      <w:r>
        <w:rPr>
          <w:rFonts w:hint="default"/>
        </w:rPr>
        <w:t>建立综合物流服务过程中的质量控制、问题解决和持续改进等方面的制度，及时、准确、有效地采集信息，动态反映物流进程，实现可追溯管理，确保提供稳定可靠的物流服务。</w:t>
      </w:r>
    </w:p>
    <w:p w:rsidR="003B4969" w:rsidRDefault="00000000">
      <w:pPr>
        <w:pStyle w:val="affff8"/>
        <w:spacing w:beforeLines="0" w:before="0" w:afterLines="0" w:after="0"/>
      </w:pPr>
      <w:r>
        <w:rPr>
          <w:rFonts w:hint="default"/>
        </w:rPr>
        <w:t>对于处理被投诉的从事散水化工产品物流服务的企业，应以顾客为关注焦点，提供电话、邮件、网络、电子邮件、直接访问等方便、可靠的顾客投诉渠道，并在合同规定的有效期限内有效地处理顾客投诉，及时地将投诉处理结果和纠正措施反馈给客户。所有投诉信息应予以记录并进行统计分析，并采取预防措施防止类似事件的再次发生，投诉处理应符合 GB/T 19012 的规定。</w:t>
      </w:r>
    </w:p>
    <w:p w:rsidR="003B4969" w:rsidRDefault="00000000">
      <w:pPr>
        <w:pStyle w:val="affff8"/>
        <w:spacing w:beforeLines="0" w:before="0" w:afterLines="0" w:after="0"/>
      </w:pPr>
      <w:r>
        <w:rPr>
          <w:rFonts w:hint="default"/>
        </w:rPr>
        <w:t>从事散水化工品物流服务的企业的服务改进，应始终以顾客为关注焦点，以持续改进为目标，制定适宜的考核指标，对其服务质量予以定期评定，及时处理客户投诉，不断提高其逆向物流服务的有效性和效率，从而满足并争取超过客户的要求和期望。</w:t>
      </w:r>
    </w:p>
    <w:p w:rsidR="003B4969" w:rsidRDefault="00000000">
      <w:pPr>
        <w:pStyle w:val="affff8"/>
        <w:spacing w:beforeLines="0" w:before="0" w:afterLines="0" w:after="0"/>
      </w:pPr>
      <w:r>
        <w:rPr>
          <w:rFonts w:hint="default"/>
        </w:rPr>
        <w:lastRenderedPageBreak/>
        <w:t>从事散水化工产品物流服务的企业应定期对企业的服务质量进行评估，并采取改进措施。服务的改进应：</w:t>
      </w:r>
    </w:p>
    <w:p w:rsidR="003B4969" w:rsidRDefault="00000000">
      <w:pPr>
        <w:pStyle w:val="af"/>
        <w:rPr>
          <w:rFonts w:hint="default"/>
        </w:rPr>
      </w:pPr>
      <w:r>
        <w:rPr>
          <w:rFonts w:hint="default"/>
        </w:rPr>
        <w:t>形成持续进行服务改进的理念；</w:t>
      </w:r>
    </w:p>
    <w:p w:rsidR="003B4969" w:rsidRDefault="00000000">
      <w:pPr>
        <w:pStyle w:val="af"/>
        <w:rPr>
          <w:rFonts w:hint="default"/>
        </w:rPr>
      </w:pPr>
      <w:r>
        <w:rPr>
          <w:rFonts w:hint="default"/>
        </w:rPr>
        <w:t>规定内部人员的职责和权限，以识别服务改进的机会；</w:t>
      </w:r>
    </w:p>
    <w:p w:rsidR="003B4969" w:rsidRDefault="00000000">
      <w:pPr>
        <w:pStyle w:val="af"/>
        <w:rPr>
          <w:rFonts w:hint="default"/>
        </w:rPr>
      </w:pPr>
      <w:r>
        <w:rPr>
          <w:rFonts w:hint="default"/>
        </w:rPr>
        <w:t>确保改进过程的有效性和效率；</w:t>
      </w:r>
    </w:p>
    <w:p w:rsidR="003B4969" w:rsidRDefault="00000000">
      <w:pPr>
        <w:pStyle w:val="af"/>
        <w:rPr>
          <w:rFonts w:hint="default"/>
        </w:rPr>
      </w:pPr>
      <w:r>
        <w:rPr>
          <w:rFonts w:hint="default"/>
        </w:rPr>
        <w:t>由管理者对改进过程给予大力支持。</w:t>
      </w:r>
    </w:p>
    <w:p w:rsidR="003B4969" w:rsidRDefault="00000000">
      <w:pPr>
        <w:rPr>
          <w:rFonts w:hint="default"/>
        </w:rPr>
      </w:pPr>
      <w:r>
        <w:rPr>
          <w:rFonts w:hint="default"/>
        </w:rPr>
        <w:br w:type="page"/>
      </w:r>
    </w:p>
    <w:p w:rsidR="003B4969" w:rsidRPr="0064115C" w:rsidRDefault="00000000">
      <w:pPr>
        <w:pStyle w:val="afff0"/>
        <w:spacing w:before="124" w:after="156"/>
        <w:rPr>
          <w:rFonts w:hint="default"/>
        </w:rPr>
      </w:pPr>
      <w:bookmarkStart w:id="42" w:name="_Toc17214"/>
      <w:bookmarkStart w:id="43" w:name="_Toc192237721"/>
      <w:r w:rsidRPr="0064115C">
        <w:lastRenderedPageBreak/>
        <w:t>参</w:t>
      </w:r>
      <w:bookmarkStart w:id="44" w:name="BKCKWX"/>
      <w:r w:rsidRPr="0064115C">
        <w:t>考文献</w:t>
      </w:r>
      <w:bookmarkEnd w:id="42"/>
      <w:bookmarkEnd w:id="43"/>
    </w:p>
    <w:p w:rsidR="003B4969" w:rsidRDefault="00000000">
      <w:pPr>
        <w:pStyle w:val="af0"/>
        <w:rPr>
          <w:rFonts w:hint="default"/>
        </w:rPr>
      </w:pPr>
      <w:r>
        <w:t>GB 15603-2022  危险化学品仓库储存通则</w:t>
      </w:r>
    </w:p>
    <w:p w:rsidR="003B4969" w:rsidRDefault="00000000">
      <w:pPr>
        <w:pStyle w:val="af0"/>
        <w:rPr>
          <w:rFonts w:hint="default"/>
        </w:rPr>
      </w:pPr>
      <w:r>
        <w:t>GB 18218-2018  危险化学品重大危险源辨识</w:t>
      </w:r>
      <w:r>
        <w:tab/>
      </w:r>
    </w:p>
    <w:p w:rsidR="003B4969" w:rsidRDefault="00000000">
      <w:pPr>
        <w:pStyle w:val="af0"/>
        <w:rPr>
          <w:rFonts w:hint="default"/>
        </w:rPr>
      </w:pPr>
      <w:r>
        <w:t>GB 18265-2019  危险化学品经营企业安全技术基本要求</w:t>
      </w:r>
    </w:p>
    <w:p w:rsidR="003B4969" w:rsidRDefault="00000000">
      <w:pPr>
        <w:pStyle w:val="af0"/>
        <w:rPr>
          <w:rFonts w:hint="default"/>
        </w:rPr>
      </w:pPr>
      <w:r>
        <w:t>GB/T 19680-2013  物流企业分类与评估指标</w:t>
      </w:r>
      <w:r>
        <w:tab/>
      </w:r>
    </w:p>
    <w:p w:rsidR="003B4969" w:rsidRDefault="00000000">
      <w:pPr>
        <w:pStyle w:val="af0"/>
        <w:rPr>
          <w:rFonts w:hint="default"/>
        </w:rPr>
      </w:pPr>
      <w:r>
        <w:t>GB/T 21279-2007  危险化学品包装液压试验方法</w:t>
      </w:r>
    </w:p>
    <w:p w:rsidR="003B4969" w:rsidRDefault="00000000">
      <w:pPr>
        <w:pStyle w:val="af0"/>
        <w:rPr>
          <w:rFonts w:hint="default"/>
        </w:rPr>
      </w:pPr>
      <w:r>
        <w:t>GB/T 21535-2008  危险化学品　爆炸品名词术语</w:t>
      </w:r>
      <w:r>
        <w:tab/>
      </w:r>
    </w:p>
    <w:p w:rsidR="003B4969" w:rsidRDefault="00000000">
      <w:pPr>
        <w:pStyle w:val="af0"/>
        <w:rPr>
          <w:rFonts w:hint="default"/>
        </w:rPr>
      </w:pPr>
      <w:r>
        <w:t>GB 27834-2011  危险化学品</w:t>
      </w:r>
      <w:proofErr w:type="gramStart"/>
      <w:r>
        <w:t>自反应</w:t>
      </w:r>
      <w:proofErr w:type="gramEnd"/>
      <w:r>
        <w:t>物质包装规范</w:t>
      </w:r>
    </w:p>
    <w:p w:rsidR="003B4969" w:rsidRDefault="00000000">
      <w:pPr>
        <w:pStyle w:val="af0"/>
        <w:rPr>
          <w:rFonts w:hint="default"/>
        </w:rPr>
      </w:pPr>
      <w:r>
        <w:t>GB/T 41394-2022  爆炸危险化学品储罐防溢系统功能安全要求</w:t>
      </w:r>
      <w:r>
        <w:tab/>
      </w:r>
    </w:p>
    <w:p w:rsidR="003B4969" w:rsidRDefault="00000000">
      <w:pPr>
        <w:pStyle w:val="af0"/>
        <w:rPr>
          <w:rFonts w:hint="default"/>
        </w:rPr>
      </w:pPr>
      <w:r>
        <w:t>GB/T 41800-2022  信息技术  传感器网络  爆炸危险化学品贮存安全监测系统技术要求</w:t>
      </w:r>
      <w:r>
        <w:tab/>
      </w:r>
    </w:p>
    <w:p w:rsidR="003B4969" w:rsidRDefault="00000000">
      <w:pPr>
        <w:pStyle w:val="af0"/>
        <w:rPr>
          <w:rFonts w:hint="default"/>
        </w:rPr>
      </w:pPr>
      <w:r>
        <w:t>GB/T 42474.1-2023  爆炸危险化学品汽车运输安全监控系统  第1部分：通用技术要求</w:t>
      </w:r>
    </w:p>
    <w:p w:rsidR="003B4969" w:rsidRDefault="00000000">
      <w:pPr>
        <w:pStyle w:val="af0"/>
        <w:rPr>
          <w:rFonts w:hint="default"/>
        </w:rPr>
      </w:pPr>
      <w:r>
        <w:t>GB/T 42474.2-2023  爆炸危险化学品汽车运输安全监控系统  第2部分：车载装置</w:t>
      </w:r>
    </w:p>
    <w:p w:rsidR="003B4969" w:rsidRDefault="00000000">
      <w:pPr>
        <w:pStyle w:val="af0"/>
        <w:rPr>
          <w:rFonts w:hint="default"/>
        </w:rPr>
      </w:pPr>
      <w:r>
        <w:t>GB/T 42474.3-2023  爆炸危险化学品汽车运输安全监控系统  第3部分：车载装置安装</w:t>
      </w:r>
      <w:r>
        <w:tab/>
      </w:r>
    </w:p>
    <w:p w:rsidR="003B4969" w:rsidRDefault="00000000">
      <w:pPr>
        <w:pStyle w:val="af0"/>
        <w:rPr>
          <w:rFonts w:hint="default"/>
        </w:rPr>
      </w:pPr>
      <w:r>
        <w:t>GB/T 42474.4-2023  爆炸危险化学品汽车运输安全监控系统  第4部分：监控客户端</w:t>
      </w:r>
    </w:p>
    <w:p w:rsidR="003B4969" w:rsidRDefault="00000000">
      <w:pPr>
        <w:pStyle w:val="af0"/>
        <w:rPr>
          <w:rFonts w:hint="default"/>
        </w:rPr>
      </w:pPr>
      <w:r>
        <w:t>GB/T</w:t>
      </w:r>
      <w:r>
        <w:rPr>
          <w:sz w:val="30"/>
          <w:szCs w:val="30"/>
        </w:rPr>
        <w:t xml:space="preserve"> </w:t>
      </w:r>
      <w:r>
        <w:t>42474.5-2023  爆炸危险化学品汽车运输安全监控系统  第5部分：车载装置与通信中心间数据接口</w:t>
      </w:r>
      <w:r>
        <w:tab/>
      </w:r>
    </w:p>
    <w:p w:rsidR="003B4969" w:rsidRDefault="00000000">
      <w:pPr>
        <w:pStyle w:val="af0"/>
        <w:rPr>
          <w:rFonts w:hint="default"/>
        </w:rPr>
      </w:pPr>
      <w:r>
        <w:t>GB/T</w:t>
      </w:r>
      <w:r>
        <w:rPr>
          <w:sz w:val="28"/>
          <w:szCs w:val="24"/>
        </w:rPr>
        <w:t xml:space="preserve"> </w:t>
      </w:r>
      <w:r>
        <w:t>42474.6-2023  爆炸危险化学品汽车运输安全监控系统  第6部分：通信中心与监控客户端</w:t>
      </w:r>
      <w:proofErr w:type="gramStart"/>
      <w:r>
        <w:t>间数据</w:t>
      </w:r>
      <w:proofErr w:type="gramEnd"/>
      <w:r>
        <w:t>接口</w:t>
      </w:r>
    </w:p>
    <w:p w:rsidR="003B4969" w:rsidRDefault="00000000">
      <w:pPr>
        <w:pStyle w:val="af0"/>
        <w:rPr>
          <w:rFonts w:hint="default"/>
        </w:rPr>
      </w:pPr>
      <w:r>
        <w:t>XF/T 970-2011  危险化学品泄露事故处置行动要则</w:t>
      </w:r>
      <w:r>
        <w:tab/>
      </w:r>
    </w:p>
    <w:p w:rsidR="003B4969" w:rsidRDefault="00000000">
      <w:pPr>
        <w:pStyle w:val="af0"/>
        <w:rPr>
          <w:rFonts w:hint="default"/>
        </w:rPr>
      </w:pPr>
      <w:r>
        <w:t>AQ/T 3031-2010  危险化学品经营单位主要负责人安全生产培训大纲及考核标准</w:t>
      </w:r>
    </w:p>
    <w:p w:rsidR="003B4969" w:rsidRDefault="00000000">
      <w:pPr>
        <w:pStyle w:val="af0"/>
        <w:rPr>
          <w:rFonts w:hint="default"/>
        </w:rPr>
      </w:pPr>
      <w:r>
        <w:t>AQ/T 3032-2010  危险化学品经营单位安全生产管理人员安全生产培训大纲及考核标准</w:t>
      </w:r>
    </w:p>
    <w:p w:rsidR="003B4969" w:rsidRDefault="003B4969">
      <w:pPr>
        <w:pStyle w:val="affa"/>
        <w:ind w:firstLine="420"/>
        <w:rPr>
          <w:rFonts w:hint="default"/>
        </w:rPr>
      </w:pPr>
    </w:p>
    <w:p w:rsidR="003B4969" w:rsidRDefault="003B4969">
      <w:pPr>
        <w:pStyle w:val="affa"/>
        <w:ind w:firstLine="420"/>
        <w:rPr>
          <w:rFonts w:hint="default"/>
        </w:rPr>
      </w:pPr>
    </w:p>
    <w:bookmarkEnd w:id="44"/>
    <w:p w:rsidR="003B4969" w:rsidRDefault="003B4969">
      <w:pPr>
        <w:pStyle w:val="affa"/>
        <w:ind w:firstLine="420"/>
        <w:rPr>
          <w:rFonts w:hint="default"/>
        </w:rPr>
      </w:pPr>
    </w:p>
    <w:p w:rsidR="003B4969" w:rsidRDefault="003B4969">
      <w:pPr>
        <w:pStyle w:val="affa"/>
        <w:ind w:firstLine="420"/>
        <w:rPr>
          <w:rFonts w:hint="default"/>
        </w:rPr>
      </w:pPr>
    </w:p>
    <w:p w:rsidR="003B4969" w:rsidRDefault="00000000">
      <w:pPr>
        <w:pStyle w:val="afffffb"/>
        <w:framePr w:wrap="around"/>
        <w:rPr>
          <w:rFonts w:hint="default"/>
        </w:rPr>
      </w:pPr>
      <w:bookmarkStart w:id="45" w:name="EndLine"/>
      <w:r>
        <w:rPr>
          <w:rFonts w:hint="default"/>
          <w:noProof/>
        </w:rPr>
        <w:drawing>
          <wp:inline distT="0" distB="0" distL="114300" distR="114300">
            <wp:extent cx="1485900" cy="317500"/>
            <wp:effectExtent l="0" t="0" r="0" b="6350"/>
            <wp:docPr id="2" name="图片 2" descr="EndLine"/>
            <wp:cNvGraphicFramePr/>
            <a:graphic xmlns:a="http://schemas.openxmlformats.org/drawingml/2006/main">
              <a:graphicData uri="http://schemas.openxmlformats.org/drawingml/2006/picture">
                <pic:pic xmlns:pic="http://schemas.openxmlformats.org/drawingml/2006/picture">
                  <pic:nvPicPr>
                    <pic:cNvPr id="2" name="图片 2" descr="EndLine"/>
                    <pic:cNvPicPr/>
                  </pic:nvPicPr>
                  <pic:blipFill>
                    <a:blip r:embed="rId11"/>
                    <a:stretch>
                      <a:fillRect/>
                    </a:stretch>
                  </pic:blipFill>
                  <pic:spPr>
                    <a:xfrm>
                      <a:off x="0" y="0"/>
                      <a:ext cx="1485900" cy="317500"/>
                    </a:xfrm>
                    <a:prstGeom prst="rect">
                      <a:avLst/>
                    </a:prstGeom>
                  </pic:spPr>
                </pic:pic>
              </a:graphicData>
            </a:graphic>
          </wp:inline>
        </w:drawing>
      </w:r>
      <w:bookmarkEnd w:id="45"/>
    </w:p>
    <w:sectPr w:rsidR="003B4969">
      <w:pgSz w:w="11906" w:h="16838"/>
      <w:pgMar w:top="2410" w:right="1134" w:bottom="1134" w:left="1134" w:header="1418" w:footer="1134" w:gutter="284"/>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006E" w:rsidRDefault="0083006E">
      <w:pPr>
        <w:rPr>
          <w:rFonts w:hint="default"/>
        </w:rPr>
      </w:pPr>
      <w:r>
        <w:separator/>
      </w:r>
    </w:p>
  </w:endnote>
  <w:endnote w:type="continuationSeparator" w:id="0">
    <w:p w:rsidR="0083006E" w:rsidRDefault="0083006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969" w:rsidRDefault="00000000">
    <w:pPr>
      <w:pStyle w:val="affd"/>
      <w:rPr>
        <w:rFonts w:hint="default"/>
      </w:rP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006E" w:rsidRDefault="0083006E">
      <w:pPr>
        <w:rPr>
          <w:rFonts w:hint="default"/>
        </w:rPr>
      </w:pPr>
      <w:r>
        <w:separator/>
      </w:r>
    </w:p>
  </w:footnote>
  <w:footnote w:type="continuationSeparator" w:id="0">
    <w:p w:rsidR="0083006E" w:rsidRDefault="0083006E">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969" w:rsidRDefault="00000000">
    <w:pPr>
      <w:pStyle w:val="affe"/>
      <w:rPr>
        <w:rFonts w:hint="default"/>
      </w:rPr>
    </w:pPr>
    <w:r>
      <w:t>T/CCPITCSC 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D372E1"/>
    <w:multiLevelType w:val="multilevel"/>
    <w:tmpl w:val="88D372E1"/>
    <w:lvl w:ilvl="0">
      <w:start w:val="1"/>
      <w:numFmt w:val="decimal"/>
      <w:pStyle w:val="a"/>
      <w:suff w:val="nothing"/>
      <w:lvlText w:val="表%1  "/>
      <w:lvlJc w:val="left"/>
      <w:pPr>
        <w:tabs>
          <w:tab w:val="left" w:pos="539"/>
        </w:tabs>
        <w:ind w:left="0" w:firstLine="0"/>
      </w:pPr>
      <w:rPr>
        <w:rFonts w:ascii="黑体" w:eastAsia="黑体" w:hAnsi="黑体" w:cs="黑体" w:hint="eastAsia"/>
        <w:sz w:val="21"/>
        <w:vertAlign w:val="baseline"/>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15:restartNumberingAfterBreak="0">
    <w:nsid w:val="9B39279E"/>
    <w:multiLevelType w:val="multilevel"/>
    <w:tmpl w:val="9B39279E"/>
    <w:lvl w:ilvl="0">
      <w:start w:val="1"/>
      <w:numFmt w:val="upperLetter"/>
      <w:lvlText w:val="%1"/>
      <w:lvlJc w:val="left"/>
      <w:pPr>
        <w:tabs>
          <w:tab w:val="left" w:pos="0"/>
        </w:tabs>
        <w:ind w:left="0" w:firstLine="0"/>
      </w:pPr>
      <w:rPr>
        <w:rFonts w:hint="default"/>
      </w:rPr>
    </w:lvl>
    <w:lvl w:ilvl="1">
      <w:start w:val="1"/>
      <w:numFmt w:val="decimal"/>
      <w:pStyle w:val="2"/>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2" w15:restartNumberingAfterBreak="0">
    <w:nsid w:val="9D73DD7F"/>
    <w:multiLevelType w:val="multilevel"/>
    <w:tmpl w:val="9D73DD7F"/>
    <w:lvl w:ilvl="0">
      <w:start w:val="1"/>
      <w:numFmt w:val="decimal"/>
      <w:pStyle w:val="a0"/>
      <w:suff w:val="nothing"/>
      <w:lvlText w:val="示例%1："/>
      <w:lvlJc w:val="left"/>
      <w:pPr>
        <w:tabs>
          <w:tab w:val="left" w:pos="539"/>
        </w:tabs>
        <w:ind w:left="0" w:firstLine="363"/>
      </w:pPr>
      <w:rPr>
        <w:rFonts w:ascii="黑体" w:eastAsia="黑体" w:hAnsi="黑体" w:cs="黑体" w:hint="eastAsia"/>
        <w:sz w:val="18"/>
        <w:vertAlign w:val="baseline"/>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3" w15:restartNumberingAfterBreak="0">
    <w:nsid w:val="A1CB8336"/>
    <w:multiLevelType w:val="multilevel"/>
    <w:tmpl w:val="A1CB8336"/>
    <w:lvl w:ilvl="0">
      <w:start w:val="1"/>
      <w:numFmt w:val="lowerLetter"/>
      <w:pStyle w:val="a1"/>
      <w:lvlText w:val="%1"/>
      <w:lvlJc w:val="left"/>
      <w:pPr>
        <w:tabs>
          <w:tab w:val="left" w:pos="539"/>
        </w:tabs>
        <w:ind w:left="539" w:hanging="119"/>
      </w:pPr>
      <w:rPr>
        <w:rFonts w:ascii="宋体" w:eastAsia="宋体" w:hAnsi="宋体" w:cs="宋体" w:hint="eastAsia"/>
        <w:sz w:val="15"/>
        <w:vertAlign w:val="superscript"/>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4" w15:restartNumberingAfterBreak="0">
    <w:nsid w:val="A2508BBE"/>
    <w:multiLevelType w:val="multilevel"/>
    <w:tmpl w:val="A2508BBE"/>
    <w:lvl w:ilvl="0">
      <w:start w:val="1"/>
      <w:numFmt w:val="none"/>
      <w:pStyle w:val="a2"/>
      <w:suff w:val="nothing"/>
      <w:lvlText w:val="注："/>
      <w:lvlJc w:val="left"/>
      <w:pPr>
        <w:tabs>
          <w:tab w:val="left" w:pos="539"/>
        </w:tabs>
        <w:ind w:left="737" w:hanging="374"/>
      </w:pPr>
      <w:rPr>
        <w:rFonts w:ascii="黑体" w:eastAsia="黑体" w:hAnsi="黑体" w:cs="黑体" w:hint="eastAsia"/>
        <w:sz w:val="18"/>
        <w:vertAlign w:val="baseline"/>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5" w15:restartNumberingAfterBreak="0">
    <w:nsid w:val="A4A7563E"/>
    <w:multiLevelType w:val="multilevel"/>
    <w:tmpl w:val="A4A7563E"/>
    <w:lvl w:ilvl="0">
      <w:start w:val="1"/>
      <w:numFmt w:val="lowerLetter"/>
      <w:pStyle w:val="a3"/>
      <w:lvlText w:val="%1)"/>
      <w:lvlJc w:val="left"/>
      <w:pPr>
        <w:tabs>
          <w:tab w:val="left" w:pos="851"/>
        </w:tabs>
        <w:ind w:left="851" w:hanging="426"/>
      </w:pPr>
      <w:rPr>
        <w:rFonts w:ascii="宋体" w:eastAsia="宋体" w:hAnsi="宋体" w:cs="宋体" w:hint="default"/>
        <w:sz w:val="20"/>
      </w:rPr>
    </w:lvl>
    <w:lvl w:ilvl="1">
      <w:start w:val="1"/>
      <w:numFmt w:val="decimal"/>
      <w:pStyle w:val="a4"/>
      <w:lvlText w:val="%2)"/>
      <w:lvlJc w:val="left"/>
      <w:pPr>
        <w:tabs>
          <w:tab w:val="left" w:pos="1276"/>
        </w:tabs>
        <w:ind w:left="1276" w:hanging="425"/>
      </w:pPr>
      <w:rPr>
        <w:rFonts w:ascii="宋体" w:eastAsia="宋体" w:hAnsi="Times New Roman" w:cs="Times New Roman" w:hint="default"/>
        <w:sz w:val="21"/>
      </w:rPr>
    </w:lvl>
    <w:lvl w:ilvl="2">
      <w:start w:val="1"/>
      <w:numFmt w:val="bullet"/>
      <w:pStyle w:val="a5"/>
      <w:lvlText w:val=""/>
      <w:lvlJc w:val="left"/>
      <w:pPr>
        <w:tabs>
          <w:tab w:val="left" w:pos="1678"/>
        </w:tabs>
        <w:ind w:left="1678" w:hanging="414"/>
      </w:pPr>
      <w:rPr>
        <w:rFonts w:ascii="Symbol" w:hAnsi="Symbol" w:cs="Symbol" w:hint="default"/>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upp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6" w15:restartNumberingAfterBreak="0">
    <w:nsid w:val="B0592EB0"/>
    <w:multiLevelType w:val="multilevel"/>
    <w:tmpl w:val="B0592EB0"/>
    <w:lvl w:ilvl="0">
      <w:start w:val="1"/>
      <w:numFmt w:val="none"/>
      <w:pStyle w:val="a6"/>
      <w:suff w:val="nothing"/>
      <w:lvlText w:val="示例："/>
      <w:lvlJc w:val="left"/>
      <w:pPr>
        <w:tabs>
          <w:tab w:val="left" w:pos="539"/>
        </w:tabs>
        <w:ind w:left="0" w:firstLine="363"/>
      </w:pPr>
      <w:rPr>
        <w:rFonts w:ascii="黑体" w:eastAsia="黑体" w:hAnsi="黑体" w:cs="黑体" w:hint="eastAsia"/>
        <w:sz w:val="18"/>
        <w:vertAlign w:val="baseline"/>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7" w15:restartNumberingAfterBreak="0">
    <w:nsid w:val="C75F4581"/>
    <w:multiLevelType w:val="multilevel"/>
    <w:tmpl w:val="C75F4581"/>
    <w:lvl w:ilvl="0">
      <w:start w:val="1"/>
      <w:numFmt w:val="decimal"/>
      <w:pStyle w:val="a7"/>
      <w:suff w:val="nothing"/>
      <w:lvlText w:val="图%1  "/>
      <w:lvlJc w:val="left"/>
      <w:pPr>
        <w:tabs>
          <w:tab w:val="left" w:pos="539"/>
        </w:tabs>
        <w:ind w:left="0" w:firstLine="0"/>
      </w:pPr>
      <w:rPr>
        <w:rFonts w:ascii="黑体" w:eastAsia="黑体" w:hAnsi="黑体" w:cs="黑体" w:hint="eastAsia"/>
        <w:sz w:val="21"/>
        <w:vertAlign w:val="baseline"/>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8" w15:restartNumberingAfterBreak="0">
    <w:nsid w:val="CCBD83E0"/>
    <w:multiLevelType w:val="multilevel"/>
    <w:tmpl w:val="CCBD83E0"/>
    <w:lvl w:ilvl="0">
      <w:start w:val="1"/>
      <w:numFmt w:val="upperLetter"/>
      <w:pStyle w:val="a8"/>
      <w:suff w:val="nothing"/>
      <w:lvlText w:val="附录%1"/>
      <w:lvlJc w:val="left"/>
      <w:pPr>
        <w:ind w:left="0" w:firstLine="0"/>
      </w:pPr>
      <w:rPr>
        <w:rFonts w:hint="default"/>
        <w:spacing w:val="102"/>
      </w:rPr>
    </w:lvl>
    <w:lvl w:ilvl="1">
      <w:start w:val="1"/>
      <w:numFmt w:val="decimal"/>
      <w:pStyle w:val="a9"/>
      <w:suff w:val="nothing"/>
      <w:lvlText w:val="%1.%2　"/>
      <w:lvlJc w:val="left"/>
      <w:pPr>
        <w:ind w:left="0" w:firstLine="0"/>
      </w:pPr>
      <w:rPr>
        <w:rFonts w:ascii="黑体" w:eastAsia="黑体" w:hAnsi="黑体" w:cs="黑体" w:hint="default"/>
        <w:sz w:val="20"/>
      </w:rPr>
    </w:lvl>
    <w:lvl w:ilvl="2">
      <w:start w:val="1"/>
      <w:numFmt w:val="decimal"/>
      <w:pStyle w:val="aa"/>
      <w:suff w:val="nothing"/>
      <w:lvlText w:val="%1.%2.%3　"/>
      <w:lvlJc w:val="left"/>
      <w:pPr>
        <w:ind w:left="0" w:firstLine="0"/>
      </w:pPr>
      <w:rPr>
        <w:rFonts w:ascii="黑体" w:eastAsia="黑体" w:hAnsi="黑体" w:cs="黑体" w:hint="default"/>
        <w:sz w:val="20"/>
      </w:rPr>
    </w:lvl>
    <w:lvl w:ilvl="3">
      <w:start w:val="1"/>
      <w:numFmt w:val="decimal"/>
      <w:pStyle w:val="ab"/>
      <w:suff w:val="nothing"/>
      <w:lvlText w:val="%1.%2.%3.%4　"/>
      <w:lvlJc w:val="left"/>
      <w:pPr>
        <w:ind w:left="0" w:firstLine="0"/>
      </w:pPr>
      <w:rPr>
        <w:rFonts w:ascii="黑体" w:eastAsia="黑体" w:hAnsi="黑体" w:cs="黑体" w:hint="default"/>
        <w:sz w:val="20"/>
      </w:rPr>
    </w:lvl>
    <w:lvl w:ilvl="4">
      <w:start w:val="1"/>
      <w:numFmt w:val="decimal"/>
      <w:pStyle w:val="ac"/>
      <w:suff w:val="nothing"/>
      <w:lvlText w:val="%1.%2.%3.%4.%5　"/>
      <w:lvlJc w:val="left"/>
      <w:pPr>
        <w:ind w:left="0" w:firstLine="0"/>
      </w:pPr>
      <w:rPr>
        <w:rFonts w:ascii="黑体" w:eastAsia="黑体" w:hAnsi="黑体" w:cs="黑体" w:hint="default"/>
        <w:sz w:val="20"/>
      </w:rPr>
    </w:lvl>
    <w:lvl w:ilvl="5">
      <w:start w:val="1"/>
      <w:numFmt w:val="decimal"/>
      <w:pStyle w:val="ad"/>
      <w:suff w:val="nothing"/>
      <w:lvlText w:val="%1.%2.%3.%4.%5.%6　"/>
      <w:lvlJc w:val="left"/>
      <w:pPr>
        <w:ind w:left="0" w:firstLine="0"/>
      </w:pPr>
      <w:rPr>
        <w:rFonts w:ascii="黑体" w:eastAsia="黑体" w:hAnsi="黑体" w:cs="黑体" w:hint="default"/>
        <w:sz w:val="20"/>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9" w15:restartNumberingAfterBreak="0">
    <w:nsid w:val="E36A3F77"/>
    <w:multiLevelType w:val="multilevel"/>
    <w:tmpl w:val="E36A3F77"/>
    <w:lvl w:ilvl="0">
      <w:start w:val="1"/>
      <w:numFmt w:val="decimal"/>
      <w:pStyle w:val="ae"/>
      <w:lvlText w:val="%1)"/>
      <w:lvlJc w:val="left"/>
      <w:pPr>
        <w:tabs>
          <w:tab w:val="left" w:pos="0"/>
        </w:tabs>
        <w:ind w:left="720" w:hanging="357"/>
      </w:pPr>
      <w:rPr>
        <w:rFonts w:ascii="宋体" w:eastAsia="宋体" w:hAnsi="宋体" w:cs="宋体" w:hint="eastAsia"/>
        <w:sz w:val="15"/>
        <w:vertAlign w:val="baseline"/>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0" w15:restartNumberingAfterBreak="0">
    <w:nsid w:val="F76A342D"/>
    <w:multiLevelType w:val="multilevel"/>
    <w:tmpl w:val="F76A342D"/>
    <w:lvl w:ilvl="0">
      <w:start w:val="1"/>
      <w:numFmt w:val="none"/>
      <w:pStyle w:val="af"/>
      <w:lvlText w:val="%1——"/>
      <w:lvlJc w:val="left"/>
      <w:pPr>
        <w:tabs>
          <w:tab w:val="left" w:pos="851"/>
        </w:tabs>
        <w:ind w:left="851" w:hanging="426"/>
      </w:pPr>
      <w:rPr>
        <w:rFonts w:ascii="Times New Roman" w:eastAsia="宋体" w:hAnsi="Times New Roman" w:cs="Times New Roman" w:hint="default"/>
        <w:sz w:val="20"/>
      </w:rPr>
    </w:lvl>
    <w:lvl w:ilvl="1">
      <w:start w:val="1"/>
      <w:numFmt w:val="bullet"/>
      <w:pStyle w:val="20"/>
      <w:lvlText w:val=""/>
      <w:lvlJc w:val="left"/>
      <w:pPr>
        <w:tabs>
          <w:tab w:val="left" w:pos="851"/>
        </w:tabs>
        <w:ind w:left="1270" w:hanging="419"/>
      </w:pPr>
      <w:rPr>
        <w:rFonts w:ascii="Symbol" w:eastAsia="宋体" w:hAnsi="Symbol" w:cs="Symbol" w:hint="default"/>
        <w:sz w:val="21"/>
      </w:rPr>
    </w:lvl>
    <w:lvl w:ilvl="2">
      <w:start w:val="1"/>
      <w:numFmt w:val="bullet"/>
      <w:lvlText w:val=""/>
      <w:lvlJc w:val="left"/>
      <w:pPr>
        <w:tabs>
          <w:tab w:val="left" w:pos="1678"/>
        </w:tabs>
        <w:ind w:left="1678" w:hanging="414"/>
      </w:pPr>
      <w:rPr>
        <w:rFonts w:ascii="Symbol" w:hAnsi="Symbol" w:cs="Symbol" w:hint="default"/>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upp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11" w15:restartNumberingAfterBreak="0">
    <w:nsid w:val="04FA63BE"/>
    <w:multiLevelType w:val="multilevel"/>
    <w:tmpl w:val="04FA63BE"/>
    <w:lvl w:ilvl="0">
      <w:start w:val="1"/>
      <w:numFmt w:val="decimal"/>
      <w:pStyle w:val="af0"/>
      <w:suff w:val="nothing"/>
      <w:lvlText w:val="[%1]  "/>
      <w:lvlJc w:val="left"/>
      <w:pPr>
        <w:ind w:left="0" w:firstLine="363"/>
      </w:pPr>
      <w:rPr>
        <w:rFonts w:ascii="黑体" w:eastAsia="黑体" w:hAnsi="黑体" w:cs="黑体" w:hint="eastAsia"/>
        <w:sz w:val="18"/>
      </w:rPr>
    </w:lvl>
    <w:lvl w:ilvl="1">
      <w:start w:val="1"/>
      <w:numFmt w:val="chineseCounting"/>
      <w:suff w:val="nothing"/>
      <w:lvlText w:val="第%2节　"/>
      <w:lvlJc w:val="left"/>
      <w:pPr>
        <w:ind w:left="0" w:firstLine="402"/>
      </w:pPr>
      <w:rPr>
        <w:rFonts w:hint="eastAsia"/>
      </w:rPr>
    </w:lvl>
    <w:lvl w:ilvl="2">
      <w:start w:val="1"/>
      <w:numFmt w:val="chineseCounting"/>
      <w:suff w:val="nothing"/>
      <w:lvlText w:val="第%3条　"/>
      <w:lvlJc w:val="left"/>
      <w:pPr>
        <w:ind w:left="0" w:firstLine="402"/>
      </w:pPr>
      <w:rPr>
        <w:rFonts w:hint="eastAsia"/>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abstractNum w:abstractNumId="12" w15:restartNumberingAfterBreak="0">
    <w:nsid w:val="0EF94A1A"/>
    <w:multiLevelType w:val="multilevel"/>
    <w:tmpl w:val="0EF94A1A"/>
    <w:lvl w:ilvl="0">
      <w:start w:val="1"/>
      <w:numFmt w:val="decimal"/>
      <w:pStyle w:val="af1"/>
      <w:suff w:val="nothing"/>
      <w:lvlText w:val="注%1："/>
      <w:lvlJc w:val="left"/>
      <w:pPr>
        <w:tabs>
          <w:tab w:val="left" w:pos="539"/>
        </w:tabs>
        <w:ind w:left="811" w:hanging="448"/>
      </w:pPr>
      <w:rPr>
        <w:rFonts w:ascii="黑体" w:eastAsia="黑体" w:hAnsi="黑体" w:cs="黑体" w:hint="eastAsia"/>
        <w:sz w:val="18"/>
        <w:vertAlign w:val="baseline"/>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3" w15:restartNumberingAfterBreak="0">
    <w:nsid w:val="14AB9A68"/>
    <w:multiLevelType w:val="multilevel"/>
    <w:tmpl w:val="14AB9A68"/>
    <w:lvl w:ilvl="0">
      <w:start w:val="1"/>
      <w:numFmt w:val="upperLetter"/>
      <w:pStyle w:val="af2"/>
      <w:lvlText w:val="%1"/>
      <w:lvlJc w:val="left"/>
      <w:pPr>
        <w:tabs>
          <w:tab w:val="left" w:pos="0"/>
        </w:tabs>
        <w:ind w:left="0" w:firstLine="0"/>
      </w:pPr>
      <w:rPr>
        <w:rFonts w:hint="default"/>
      </w:rPr>
    </w:lvl>
    <w:lvl w:ilvl="1">
      <w:start w:val="1"/>
      <w:numFmt w:val="decimal"/>
      <w:pStyle w:val="af3"/>
      <w:suff w:val="nothing"/>
      <w:lvlText w:val="表%1.%2　"/>
      <w:lvlJc w:val="left"/>
      <w:pPr>
        <w:ind w:left="0" w:firstLine="0"/>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4" w15:restartNumberingAfterBreak="0">
    <w:nsid w:val="2B42FBAA"/>
    <w:multiLevelType w:val="multilevel"/>
    <w:tmpl w:val="2B42FBAA"/>
    <w:lvl w:ilvl="0">
      <w:start w:val="1"/>
      <w:numFmt w:val="none"/>
      <w:pStyle w:val="af4"/>
      <w:suff w:val="nothing"/>
      <w:lvlText w:val="%1"/>
      <w:lvlJc w:val="left"/>
      <w:pPr>
        <w:ind w:left="425" w:hanging="425"/>
      </w:pPr>
      <w:rPr>
        <w:rFonts w:hint="default"/>
      </w:rPr>
    </w:lvl>
    <w:lvl w:ilvl="1">
      <w:start w:val="1"/>
      <w:numFmt w:val="decimal"/>
      <w:pStyle w:val="af5"/>
      <w:suff w:val="nothing"/>
      <w:lvlText w:val="%10.%2 "/>
      <w:lvlJc w:val="left"/>
      <w:pPr>
        <w:ind w:left="0" w:firstLine="0"/>
      </w:pPr>
      <w:rPr>
        <w:rFonts w:ascii="黑体" w:eastAsia="黑体" w:hAnsi="黑体" w:cs="黑体" w:hint="default"/>
        <w:sz w:val="20"/>
      </w:rPr>
    </w:lvl>
    <w:lvl w:ilvl="2">
      <w:start w:val="1"/>
      <w:numFmt w:val="decimal"/>
      <w:pStyle w:val="af6"/>
      <w:suff w:val="nothing"/>
      <w:lvlText w:val="%10.%2.%3 "/>
      <w:lvlJc w:val="left"/>
      <w:pPr>
        <w:ind w:left="0" w:firstLine="0"/>
      </w:pPr>
      <w:rPr>
        <w:rFonts w:ascii="黑体" w:eastAsia="黑体" w:hAnsi="黑体" w:cs="黑体" w:hint="default"/>
        <w:sz w:val="20"/>
      </w:rPr>
    </w:lvl>
    <w:lvl w:ilvl="3">
      <w:start w:val="1"/>
      <w:numFmt w:val="decimal"/>
      <w:pStyle w:val="af7"/>
      <w:suff w:val="nothing"/>
      <w:lvlText w:val="%10.%2.%3.%4 "/>
      <w:lvlJc w:val="left"/>
      <w:pPr>
        <w:ind w:left="0" w:firstLine="0"/>
      </w:pPr>
      <w:rPr>
        <w:rFonts w:ascii="黑体" w:eastAsia="黑体" w:hAnsi="黑体" w:cs="黑体" w:hint="default"/>
        <w:sz w:val="20"/>
      </w:rPr>
    </w:lvl>
    <w:lvl w:ilvl="4">
      <w:start w:val="1"/>
      <w:numFmt w:val="decimal"/>
      <w:pStyle w:val="af8"/>
      <w:suff w:val="nothing"/>
      <w:lvlText w:val="%10.%2.%3.%4.%5 "/>
      <w:lvlJc w:val="left"/>
      <w:pPr>
        <w:ind w:left="0" w:firstLine="0"/>
      </w:pPr>
      <w:rPr>
        <w:rFonts w:ascii="黑体" w:eastAsia="黑体" w:hAnsi="黑体" w:cs="黑体" w:hint="default"/>
        <w:sz w:val="20"/>
      </w:rPr>
    </w:lvl>
    <w:lvl w:ilvl="5">
      <w:start w:val="1"/>
      <w:numFmt w:val="decimal"/>
      <w:pStyle w:val="af9"/>
      <w:suff w:val="nothing"/>
      <w:lvlText w:val="%10.%2.%3.%4.%5.%6 "/>
      <w:lvlJc w:val="left"/>
      <w:pPr>
        <w:ind w:left="0" w:firstLine="0"/>
      </w:pPr>
      <w:rPr>
        <w:rFonts w:ascii="黑体" w:eastAsia="黑体" w:hAnsi="黑体" w:cs="黑体" w:hint="default"/>
        <w:sz w:val="20"/>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5" w15:restartNumberingAfterBreak="0">
    <w:nsid w:val="2FD9089F"/>
    <w:multiLevelType w:val="multilevel"/>
    <w:tmpl w:val="2FD9089F"/>
    <w:lvl w:ilvl="0">
      <w:start w:val="1"/>
      <w:numFmt w:val="upperLetter"/>
      <w:pStyle w:val="afa"/>
      <w:lvlText w:val="%1"/>
      <w:lvlJc w:val="left"/>
      <w:pPr>
        <w:tabs>
          <w:tab w:val="left" w:pos="0"/>
        </w:tabs>
        <w:ind w:left="0" w:firstLine="0"/>
      </w:pPr>
      <w:rPr>
        <w:rFonts w:hint="default"/>
      </w:rPr>
    </w:lvl>
    <w:lvl w:ilvl="1">
      <w:start w:val="1"/>
      <w:numFmt w:val="decimal"/>
      <w:pStyle w:val="afb"/>
      <w:suff w:val="nothing"/>
      <w:lvlText w:val="图%1.%2　"/>
      <w:lvlJc w:val="left"/>
      <w:pPr>
        <w:ind w:left="0" w:firstLine="0"/>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6" w15:restartNumberingAfterBreak="0">
    <w:nsid w:val="7D8E2E5F"/>
    <w:multiLevelType w:val="multilevel"/>
    <w:tmpl w:val="7D8E2E5F"/>
    <w:lvl w:ilvl="0">
      <w:start w:val="1"/>
      <w:numFmt w:val="decimal"/>
      <w:pStyle w:val="afc"/>
      <w:suff w:val="nothing"/>
      <w:lvlText w:val="%1　"/>
      <w:lvlJc w:val="left"/>
      <w:pPr>
        <w:ind w:left="0" w:firstLine="0"/>
      </w:pPr>
      <w:rPr>
        <w:rFonts w:ascii="黑体" w:eastAsia="黑体" w:hAnsi="黑体" w:cs="黑体" w:hint="default"/>
        <w:sz w:val="20"/>
      </w:rPr>
    </w:lvl>
    <w:lvl w:ilvl="1">
      <w:start w:val="1"/>
      <w:numFmt w:val="decimal"/>
      <w:pStyle w:val="afd"/>
      <w:suff w:val="nothing"/>
      <w:lvlText w:val="%1.%2　"/>
      <w:lvlJc w:val="left"/>
      <w:pPr>
        <w:ind w:left="0" w:firstLine="0"/>
      </w:pPr>
      <w:rPr>
        <w:rFonts w:ascii="黑体" w:eastAsia="黑体" w:hAnsi="黑体" w:cs="黑体" w:hint="default"/>
        <w:sz w:val="20"/>
      </w:rPr>
    </w:lvl>
    <w:lvl w:ilvl="2">
      <w:start w:val="1"/>
      <w:numFmt w:val="decimal"/>
      <w:pStyle w:val="afe"/>
      <w:suff w:val="nothing"/>
      <w:lvlText w:val="%1.%2.%3　"/>
      <w:lvlJc w:val="left"/>
      <w:pPr>
        <w:ind w:left="0" w:firstLine="0"/>
      </w:pPr>
      <w:rPr>
        <w:rFonts w:ascii="黑体" w:eastAsia="黑体" w:hAnsi="黑体" w:cs="黑体" w:hint="default"/>
        <w:sz w:val="20"/>
      </w:rPr>
    </w:lvl>
    <w:lvl w:ilvl="3">
      <w:start w:val="1"/>
      <w:numFmt w:val="decimal"/>
      <w:pStyle w:val="aff"/>
      <w:suff w:val="nothing"/>
      <w:lvlText w:val="%1.%2.%3.%4　"/>
      <w:lvlJc w:val="left"/>
      <w:pPr>
        <w:ind w:left="0" w:firstLine="0"/>
      </w:pPr>
      <w:rPr>
        <w:rFonts w:ascii="黑体" w:eastAsia="黑体" w:hAnsi="黑体" w:cs="黑体" w:hint="default"/>
        <w:sz w:val="20"/>
      </w:rPr>
    </w:lvl>
    <w:lvl w:ilvl="4">
      <w:start w:val="1"/>
      <w:numFmt w:val="decimal"/>
      <w:pStyle w:val="aff0"/>
      <w:suff w:val="nothing"/>
      <w:lvlText w:val="%1.%2.%3.%4.%5　"/>
      <w:lvlJc w:val="left"/>
      <w:pPr>
        <w:ind w:left="0" w:firstLine="0"/>
      </w:pPr>
      <w:rPr>
        <w:rFonts w:ascii="黑体" w:eastAsia="黑体" w:hAnsi="黑体" w:cs="黑体" w:hint="default"/>
        <w:sz w:val="20"/>
      </w:rPr>
    </w:lvl>
    <w:lvl w:ilvl="5">
      <w:start w:val="1"/>
      <w:numFmt w:val="decimal"/>
      <w:pStyle w:val="aff1"/>
      <w:suff w:val="nothing"/>
      <w:lvlText w:val="%1.%2.%3.%4.%5.%6　"/>
      <w:lvlJc w:val="left"/>
      <w:pPr>
        <w:ind w:left="0" w:firstLine="0"/>
      </w:pPr>
      <w:rPr>
        <w:rFonts w:ascii="黑体" w:eastAsia="黑体" w:hAnsi="黑体" w:cs="黑体" w:hint="default"/>
        <w:sz w:val="20"/>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num w:numId="1" w16cid:durableId="1425420634">
    <w:abstractNumId w:val="1"/>
  </w:num>
  <w:num w:numId="2" w16cid:durableId="1537306132">
    <w:abstractNumId w:val="15"/>
  </w:num>
  <w:num w:numId="3" w16cid:durableId="1442841778">
    <w:abstractNumId w:val="9"/>
  </w:num>
  <w:num w:numId="4" w16cid:durableId="1626931746">
    <w:abstractNumId w:val="14"/>
  </w:num>
  <w:num w:numId="5" w16cid:durableId="844629169">
    <w:abstractNumId w:val="10"/>
  </w:num>
  <w:num w:numId="6" w16cid:durableId="1474953657">
    <w:abstractNumId w:val="5"/>
  </w:num>
  <w:num w:numId="7" w16cid:durableId="1197741194">
    <w:abstractNumId w:val="16"/>
  </w:num>
  <w:num w:numId="8" w16cid:durableId="1218123720">
    <w:abstractNumId w:val="8"/>
  </w:num>
  <w:num w:numId="9" w16cid:durableId="1687441148">
    <w:abstractNumId w:val="13"/>
  </w:num>
  <w:num w:numId="10" w16cid:durableId="906957474">
    <w:abstractNumId w:val="6"/>
  </w:num>
  <w:num w:numId="11" w16cid:durableId="769081585">
    <w:abstractNumId w:val="2"/>
  </w:num>
  <w:num w:numId="12" w16cid:durableId="1978141624">
    <w:abstractNumId w:val="4"/>
  </w:num>
  <w:num w:numId="13" w16cid:durableId="1538589121">
    <w:abstractNumId w:val="12"/>
  </w:num>
  <w:num w:numId="14" w16cid:durableId="1515221663">
    <w:abstractNumId w:val="3"/>
  </w:num>
  <w:num w:numId="15" w16cid:durableId="1842353181">
    <w:abstractNumId w:val="0"/>
  </w:num>
  <w:num w:numId="16" w16cid:durableId="1231382416">
    <w:abstractNumId w:val="7"/>
  </w:num>
  <w:num w:numId="17" w16cid:durableId="3029320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M5NWRmZTRmZDc5MDM2NTBiOGNmN2MxZGNkMGEzZDkifQ=="/>
  </w:docVars>
  <w:rsids>
    <w:rsidRoot w:val="07C714B8"/>
    <w:rsid w:val="003B4969"/>
    <w:rsid w:val="0064115C"/>
    <w:rsid w:val="0083006E"/>
    <w:rsid w:val="00A2688F"/>
    <w:rsid w:val="00B33852"/>
    <w:rsid w:val="00B72A57"/>
    <w:rsid w:val="00FA17AE"/>
    <w:rsid w:val="07C714B8"/>
    <w:rsid w:val="0A6A39DC"/>
    <w:rsid w:val="0AC75FED"/>
    <w:rsid w:val="1A693E78"/>
    <w:rsid w:val="455811BE"/>
    <w:rsid w:val="499E6DEB"/>
    <w:rsid w:val="4B182C41"/>
    <w:rsid w:val="529D7752"/>
    <w:rsid w:val="585D77CB"/>
    <w:rsid w:val="69211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A1E77"/>
  <w15:docId w15:val="{20495427-2541-485E-93FE-E098537C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toc 3" w:qFormat="1"/>
    <w:lsdException w:name="toc 4" w:qFormat="1"/>
    <w:lsdException w:name="toc 5" w:qFormat="1"/>
    <w:lsdException w:name="toc 6"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rFonts w:ascii="宋体" w:cs="宋体" w:hint="eastAsia"/>
      <w:kern w:val="2"/>
      <w:sz w:val="21"/>
      <w:szCs w:val="24"/>
    </w:rPr>
  </w:style>
  <w:style w:type="paragraph" w:styleId="2">
    <w:name w:val="heading 2"/>
    <w:basedOn w:val="aff2"/>
    <w:next w:val="aff2"/>
    <w:semiHidden/>
    <w:unhideWhenUsed/>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ff2"/>
    <w:next w:val="aff2"/>
    <w:semiHidden/>
    <w:unhideWhenUsed/>
    <w:qFormat/>
    <w:pPr>
      <w:keepNext/>
      <w:keepLines/>
      <w:numPr>
        <w:ilvl w:val="2"/>
        <w:numId w:val="2"/>
      </w:numPr>
      <w:spacing w:before="260" w:after="260" w:line="413" w:lineRule="auto"/>
      <w:outlineLvl w:val="2"/>
    </w:pPr>
    <w:rPr>
      <w:b/>
      <w:sz w:val="32"/>
    </w:rPr>
  </w:style>
  <w:style w:type="paragraph" w:styleId="4">
    <w:name w:val="heading 4"/>
    <w:basedOn w:val="aff2"/>
    <w:next w:val="aff2"/>
    <w:semiHidden/>
    <w:unhideWhenUsed/>
    <w:qFormat/>
    <w:pPr>
      <w:keepNext/>
      <w:keepLines/>
      <w:numPr>
        <w:ilvl w:val="3"/>
        <w:numId w:val="2"/>
      </w:numPr>
      <w:spacing w:before="280" w:after="290" w:line="372" w:lineRule="auto"/>
      <w:outlineLvl w:val="3"/>
    </w:pPr>
    <w:rPr>
      <w:rFonts w:ascii="Arial" w:eastAsia="黑体" w:hAnsi="Arial"/>
      <w:b/>
      <w:sz w:val="28"/>
    </w:rPr>
  </w:style>
  <w:style w:type="paragraph" w:styleId="5">
    <w:name w:val="heading 5"/>
    <w:basedOn w:val="aff2"/>
    <w:next w:val="aff2"/>
    <w:semiHidden/>
    <w:unhideWhenUsed/>
    <w:qFormat/>
    <w:pPr>
      <w:keepNext/>
      <w:keepLines/>
      <w:numPr>
        <w:ilvl w:val="4"/>
        <w:numId w:val="2"/>
      </w:numPr>
      <w:spacing w:before="280" w:after="290" w:line="372" w:lineRule="auto"/>
      <w:outlineLvl w:val="4"/>
    </w:pPr>
    <w:rPr>
      <w:b/>
      <w:sz w:val="28"/>
    </w:rPr>
  </w:style>
  <w:style w:type="paragraph" w:styleId="6">
    <w:name w:val="heading 6"/>
    <w:basedOn w:val="aff2"/>
    <w:next w:val="aff2"/>
    <w:semiHidden/>
    <w:unhideWhenUsed/>
    <w:qFormat/>
    <w:pPr>
      <w:keepNext/>
      <w:keepLines/>
      <w:numPr>
        <w:ilvl w:val="5"/>
        <w:numId w:val="2"/>
      </w:numPr>
      <w:spacing w:before="240" w:after="64" w:line="317" w:lineRule="auto"/>
      <w:outlineLvl w:val="5"/>
    </w:pPr>
    <w:rPr>
      <w:rFonts w:ascii="Arial" w:eastAsia="黑体" w:hAnsi="Arial"/>
      <w:b/>
      <w:sz w:val="24"/>
    </w:rPr>
  </w:style>
  <w:style w:type="paragraph" w:styleId="7">
    <w:name w:val="heading 7"/>
    <w:basedOn w:val="aff2"/>
    <w:next w:val="aff2"/>
    <w:semiHidden/>
    <w:unhideWhenUsed/>
    <w:qFormat/>
    <w:pPr>
      <w:keepNext/>
      <w:keepLines/>
      <w:numPr>
        <w:ilvl w:val="6"/>
        <w:numId w:val="2"/>
      </w:numPr>
      <w:spacing w:before="240" w:after="64" w:line="317" w:lineRule="auto"/>
      <w:outlineLvl w:val="6"/>
    </w:pPr>
    <w:rPr>
      <w:b/>
      <w:sz w:val="24"/>
    </w:rPr>
  </w:style>
  <w:style w:type="paragraph" w:styleId="8">
    <w:name w:val="heading 8"/>
    <w:basedOn w:val="aff2"/>
    <w:next w:val="aff2"/>
    <w:semiHidden/>
    <w:unhideWhenUsed/>
    <w:qFormat/>
    <w:pPr>
      <w:keepNext/>
      <w:keepLines/>
      <w:numPr>
        <w:ilvl w:val="7"/>
        <w:numId w:val="2"/>
      </w:numPr>
      <w:spacing w:before="240" w:after="64" w:line="317" w:lineRule="auto"/>
      <w:outlineLvl w:val="7"/>
    </w:pPr>
    <w:rPr>
      <w:rFonts w:ascii="Arial" w:eastAsia="黑体" w:hAnsi="Arial"/>
      <w:sz w:val="24"/>
    </w:rPr>
  </w:style>
  <w:style w:type="paragraph" w:styleId="9">
    <w:name w:val="heading 9"/>
    <w:basedOn w:val="aff2"/>
    <w:next w:val="aff2"/>
    <w:semiHidden/>
    <w:unhideWhenUsed/>
    <w:qFormat/>
    <w:pPr>
      <w:keepNext/>
      <w:keepLines/>
      <w:numPr>
        <w:ilvl w:val="8"/>
        <w:numId w:val="2"/>
      </w:numPr>
      <w:spacing w:before="240" w:after="64" w:line="317" w:lineRule="auto"/>
      <w:outlineLvl w:val="8"/>
    </w:pPr>
    <w:rPr>
      <w:rFonts w:ascii="Arial" w:eastAsia="黑体" w:hAnsi="Arial"/>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5">
    <w:name w:val="toc 5"/>
    <w:basedOn w:val="aff2"/>
    <w:next w:val="aff2"/>
    <w:qFormat/>
    <w:pPr>
      <w:spacing w:line="300" w:lineRule="exact"/>
      <w:ind w:leftChars="800" w:left="1680"/>
    </w:pPr>
    <w:rPr>
      <w:rFonts w:hAnsi="宋体"/>
    </w:rPr>
  </w:style>
  <w:style w:type="paragraph" w:styleId="TOC3">
    <w:name w:val="toc 3"/>
    <w:basedOn w:val="aff2"/>
    <w:next w:val="aff2"/>
    <w:qFormat/>
    <w:pPr>
      <w:spacing w:line="300" w:lineRule="exact"/>
      <w:ind w:leftChars="400" w:left="840"/>
    </w:pPr>
    <w:rPr>
      <w:rFonts w:hAnsi="宋体"/>
    </w:rPr>
  </w:style>
  <w:style w:type="paragraph" w:styleId="aff6">
    <w:name w:val="footer"/>
    <w:basedOn w:val="aff2"/>
    <w:qFormat/>
    <w:pPr>
      <w:tabs>
        <w:tab w:val="center" w:pos="4153"/>
        <w:tab w:val="right" w:pos="8306"/>
      </w:tabs>
      <w:snapToGrid w:val="0"/>
      <w:jc w:val="left"/>
    </w:pPr>
    <w:rPr>
      <w:sz w:val="18"/>
    </w:rPr>
  </w:style>
  <w:style w:type="paragraph" w:styleId="aff7">
    <w:name w:val="header"/>
    <w:basedOn w:val="aff2"/>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ff2"/>
    <w:next w:val="aff2"/>
    <w:uiPriority w:val="39"/>
    <w:qFormat/>
    <w:pPr>
      <w:spacing w:line="400" w:lineRule="exact"/>
    </w:pPr>
    <w:rPr>
      <w:rFonts w:hAnsi="宋体"/>
    </w:rPr>
  </w:style>
  <w:style w:type="paragraph" w:styleId="TOC4">
    <w:name w:val="toc 4"/>
    <w:basedOn w:val="aff2"/>
    <w:next w:val="aff2"/>
    <w:qFormat/>
    <w:pPr>
      <w:spacing w:line="300" w:lineRule="exact"/>
      <w:ind w:leftChars="600" w:left="1260"/>
    </w:pPr>
    <w:rPr>
      <w:rFonts w:hAnsi="宋体"/>
    </w:rPr>
  </w:style>
  <w:style w:type="paragraph" w:styleId="ae">
    <w:name w:val="footnote text"/>
    <w:basedOn w:val="aff2"/>
    <w:qFormat/>
    <w:pPr>
      <w:widowControl/>
      <w:numPr>
        <w:numId w:val="3"/>
      </w:numPr>
      <w:autoSpaceDE w:val="0"/>
      <w:autoSpaceDN w:val="0"/>
      <w:ind w:leftChars="200" w:left="1380" w:hangingChars="200" w:hanging="960"/>
    </w:pPr>
    <w:rPr>
      <w:rFonts w:hAnsi="宋体"/>
      <w:sz w:val="15"/>
    </w:rPr>
  </w:style>
  <w:style w:type="paragraph" w:styleId="TOC6">
    <w:name w:val="toc 6"/>
    <w:basedOn w:val="aff2"/>
    <w:next w:val="aff2"/>
    <w:qFormat/>
    <w:pPr>
      <w:spacing w:line="300" w:lineRule="exact"/>
      <w:ind w:leftChars="1000" w:left="2100"/>
    </w:pPr>
    <w:rPr>
      <w:rFonts w:hAnsi="宋体"/>
    </w:rPr>
  </w:style>
  <w:style w:type="paragraph" w:styleId="TOC2">
    <w:name w:val="toc 2"/>
    <w:basedOn w:val="aff2"/>
    <w:next w:val="aff2"/>
    <w:qFormat/>
    <w:pPr>
      <w:spacing w:line="300" w:lineRule="exact"/>
      <w:ind w:leftChars="200" w:left="420"/>
    </w:pPr>
    <w:rPr>
      <w:rFonts w:hAnsi="宋体"/>
    </w:rPr>
  </w:style>
  <w:style w:type="table" w:styleId="aff8">
    <w:name w:val="Table Grid"/>
    <w:basedOn w:val="aff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otnote reference"/>
    <w:basedOn w:val="aff3"/>
    <w:qFormat/>
    <w:rPr>
      <w:rFonts w:hAnsi="宋体" w:cs="宋体"/>
      <w:sz w:val="18"/>
      <w:vertAlign w:val="superscript"/>
    </w:rPr>
  </w:style>
  <w:style w:type="paragraph" w:customStyle="1" w:styleId="affa">
    <w:name w:val="标准文件_段"/>
    <w:qFormat/>
    <w:pPr>
      <w:ind w:firstLineChars="200" w:firstLine="960"/>
      <w:jc w:val="both"/>
    </w:pPr>
    <w:rPr>
      <w:rFonts w:ascii="宋体" w:cs="宋体" w:hint="eastAsia"/>
      <w:sz w:val="21"/>
    </w:rPr>
  </w:style>
  <w:style w:type="paragraph" w:customStyle="1" w:styleId="affb">
    <w:name w:val="标准标志"/>
    <w:next w:val="aff2"/>
    <w:qFormat/>
    <w:pPr>
      <w:framePr w:w="2546" w:h="1134" w:hRule="exact" w:hSpace="181" w:wrap="around" w:hAnchor="margin" w:x="6521" w:y="421" w:anchorLock="1"/>
      <w:shd w:val="clear" w:color="auto" w:fill="FFFFFF"/>
      <w:spacing w:line="0" w:lineRule="atLeast"/>
      <w:jc w:val="right"/>
    </w:pPr>
    <w:rPr>
      <w:rFonts w:hint="eastAsia"/>
      <w:b/>
      <w:w w:val="170"/>
      <w:sz w:val="96"/>
    </w:rPr>
  </w:style>
  <w:style w:type="paragraph" w:customStyle="1" w:styleId="21">
    <w:name w:val="标准标志2"/>
    <w:next w:val="aff2"/>
    <w:qFormat/>
    <w:pPr>
      <w:framePr w:wrap="around" w:hAnchor="margin" w:x="5614" w:y="398" w:anchorLock="1"/>
      <w:spacing w:line="0" w:lineRule="atLeast"/>
      <w:jc w:val="right"/>
    </w:pPr>
    <w:rPr>
      <w:rFonts w:hint="eastAsia"/>
      <w:b/>
      <w:w w:val="130"/>
      <w:sz w:val="96"/>
    </w:rPr>
  </w:style>
  <w:style w:type="paragraph" w:customStyle="1" w:styleId="affc">
    <w:name w:val="标准称谓"/>
    <w:next w:val="aff2"/>
    <w:qFormat/>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ascii="宋体" w:hint="eastAsia"/>
      <w:b/>
      <w:w w:val="148"/>
      <w:sz w:val="48"/>
    </w:rPr>
  </w:style>
  <w:style w:type="paragraph" w:customStyle="1" w:styleId="22">
    <w:name w:val="标准称谓2"/>
    <w:next w:val="aff2"/>
    <w:qFormat/>
    <w:pPr>
      <w:framePr w:w="6781" w:h="907" w:hRule="exact" w:hSpace="181" w:vSpace="181" w:wrap="around" w:vAnchor="page" w:hAnchor="page" w:xAlign="center" w:y="2269" w:anchorLock="1"/>
      <w:widowControl w:val="0"/>
      <w:kinsoku w:val="0"/>
      <w:overflowPunct w:val="0"/>
      <w:autoSpaceDE w:val="0"/>
      <w:autoSpaceDN w:val="0"/>
      <w:spacing w:line="0" w:lineRule="atLeast"/>
      <w:jc w:val="distribute"/>
    </w:pPr>
    <w:rPr>
      <w:rFonts w:eastAsia="黑体" w:hint="eastAsia"/>
      <w:spacing w:val="-40"/>
      <w:kern w:val="2"/>
      <w:sz w:val="72"/>
      <w:szCs w:val="72"/>
    </w:rPr>
  </w:style>
  <w:style w:type="paragraph" w:customStyle="1" w:styleId="30">
    <w:name w:val="标准称谓3"/>
    <w:next w:val="aff2"/>
    <w:qFormat/>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ascii="黑体" w:eastAsia="黑体" w:hint="eastAsia"/>
      <w:sz w:val="48"/>
    </w:rPr>
  </w:style>
  <w:style w:type="paragraph" w:customStyle="1" w:styleId="affd">
    <w:name w:val="标准书脚_奇数页"/>
    <w:qFormat/>
    <w:pPr>
      <w:ind w:right="227"/>
      <w:jc w:val="right"/>
    </w:pPr>
    <w:rPr>
      <w:rFonts w:ascii="宋体" w:cs="宋体" w:hint="eastAsia"/>
      <w:sz w:val="18"/>
    </w:rPr>
  </w:style>
  <w:style w:type="paragraph" w:customStyle="1" w:styleId="affe">
    <w:name w:val="标准书眉_奇数页"/>
    <w:next w:val="aff2"/>
    <w:qFormat/>
    <w:pPr>
      <w:tabs>
        <w:tab w:val="center" w:pos="4153"/>
        <w:tab w:val="right" w:pos="8306"/>
      </w:tabs>
      <w:spacing w:after="120"/>
      <w:jc w:val="right"/>
    </w:pPr>
    <w:rPr>
      <w:rFonts w:ascii="黑体" w:eastAsia="黑体" w:cs="黑体" w:hint="eastAsia"/>
      <w:sz w:val="21"/>
    </w:rPr>
  </w:style>
  <w:style w:type="paragraph" w:customStyle="1" w:styleId="afff">
    <w:name w:val="标准书眉_偶数页"/>
    <w:next w:val="aff2"/>
    <w:qFormat/>
    <w:pPr>
      <w:spacing w:after="120"/>
    </w:pPr>
    <w:rPr>
      <w:rFonts w:ascii="黑体" w:eastAsia="黑体" w:cs="黑体" w:hint="eastAsia"/>
      <w:sz w:val="21"/>
    </w:rPr>
  </w:style>
  <w:style w:type="paragraph" w:customStyle="1" w:styleId="afff0">
    <w:name w:val="标准文件_参考文献标题"/>
    <w:basedOn w:val="aff2"/>
    <w:next w:val="aff2"/>
    <w:qFormat/>
    <w:pPr>
      <w:widowControl/>
      <w:spacing w:beforeLines="40" w:before="126" w:afterLines="50" w:after="157"/>
      <w:jc w:val="center"/>
      <w:outlineLvl w:val="0"/>
    </w:pPr>
    <w:rPr>
      <w:rFonts w:ascii="黑体" w:eastAsia="黑体" w:cs="黑体"/>
      <w:kern w:val="0"/>
    </w:rPr>
  </w:style>
  <w:style w:type="paragraph" w:customStyle="1" w:styleId="afff1">
    <w:name w:val="封面标准顶部线"/>
    <w:qFormat/>
    <w:pPr>
      <w:framePr w:w="9673" w:hSpace="181" w:wrap="around" w:vAnchor="page" w:hAnchor="page" w:x="1390" w:y="4242"/>
      <w:spacing w:line="0" w:lineRule="atLeast"/>
    </w:pPr>
    <w:rPr>
      <w:rFonts w:ascii="宋体" w:hint="eastAsia"/>
      <w:sz w:val="21"/>
    </w:rPr>
  </w:style>
  <w:style w:type="paragraph" w:customStyle="1" w:styleId="afff2">
    <w:name w:val="发布部门"/>
    <w:next w:val="affa"/>
    <w:qFormat/>
    <w:pPr>
      <w:framePr w:w="7938" w:h="1134" w:hRule="exact" w:hSpace="125" w:vSpace="181" w:wrap="around" w:vAnchor="page" w:hAnchor="page" w:x="2150" w:y="14630" w:anchorLock="1"/>
      <w:spacing w:before="100"/>
      <w:jc w:val="center"/>
    </w:pPr>
    <w:rPr>
      <w:rFonts w:ascii="宋体" w:hint="eastAsia"/>
      <w:spacing w:val="20"/>
      <w:w w:val="135"/>
      <w:sz w:val="28"/>
    </w:rPr>
  </w:style>
  <w:style w:type="paragraph" w:customStyle="1" w:styleId="afff3">
    <w:name w:val="发布日期"/>
    <w:qFormat/>
    <w:pPr>
      <w:framePr w:w="3997" w:h="471" w:hRule="exact" w:hSpace="181" w:vSpace="181" w:wrap="around" w:hAnchor="page" w:y="14080" w:anchorLock="1"/>
      <w:spacing w:line="360" w:lineRule="exact"/>
    </w:pPr>
    <w:rPr>
      <w:rFonts w:ascii="黑体" w:eastAsia="黑体" w:hint="eastAsia"/>
      <w:sz w:val="28"/>
    </w:rPr>
  </w:style>
  <w:style w:type="paragraph" w:customStyle="1" w:styleId="afff4">
    <w:name w:val="实施日期"/>
    <w:basedOn w:val="afff3"/>
    <w:qFormat/>
    <w:pPr>
      <w:framePr w:hSpace="0" w:wrap="around" w:vAnchor="page" w:x="7089" w:y="14176"/>
      <w:jc w:val="right"/>
    </w:pPr>
  </w:style>
  <w:style w:type="paragraph" w:customStyle="1" w:styleId="afff5">
    <w:name w:val="封面日期"/>
    <w:qFormat/>
    <w:pPr>
      <w:framePr w:w="9673" w:vSpace="181" w:wrap="around" w:vAnchor="page" w:hAnchor="page" w:x="1419" w:y="14176" w:anchorLock="1"/>
      <w:spacing w:line="360" w:lineRule="exact"/>
    </w:pPr>
    <w:rPr>
      <w:rFonts w:ascii="黑体" w:eastAsia="黑体" w:hint="eastAsia"/>
      <w:sz w:val="28"/>
    </w:rPr>
  </w:style>
  <w:style w:type="paragraph" w:customStyle="1" w:styleId="afff6">
    <w:name w:val="封面标准代替信息"/>
    <w:qFormat/>
    <w:pPr>
      <w:framePr w:w="9355" w:h="624" w:hRule="exact" w:hSpace="181" w:vSpace="181" w:wrap="around" w:vAnchor="page" w:hAnchor="page" w:x="1419" w:y="3284"/>
      <w:spacing w:before="57" w:line="280" w:lineRule="exact"/>
      <w:jc w:val="right"/>
    </w:pPr>
    <w:rPr>
      <w:rFonts w:ascii="黑体" w:eastAsia="黑体" w:hint="eastAsia"/>
      <w:sz w:val="21"/>
    </w:rPr>
  </w:style>
  <w:style w:type="paragraph" w:customStyle="1" w:styleId="23">
    <w:name w:val="封面标准号2"/>
    <w:qFormat/>
    <w:pPr>
      <w:framePr w:w="9355" w:h="624" w:hRule="exact" w:hSpace="181" w:vSpace="181" w:wrap="around" w:vAnchor="page" w:hAnchor="page" w:x="1419" w:y="3284"/>
      <w:spacing w:line="280" w:lineRule="exact"/>
      <w:jc w:val="right"/>
    </w:pPr>
    <w:rPr>
      <w:rFonts w:ascii="黑体" w:eastAsia="黑体" w:hint="eastAsia"/>
      <w:sz w:val="28"/>
    </w:rPr>
  </w:style>
  <w:style w:type="paragraph" w:customStyle="1" w:styleId="afff7">
    <w:name w:val="封面标准名称"/>
    <w:qFormat/>
    <w:pPr>
      <w:framePr w:w="9639" w:h="6974" w:hRule="exact" w:wrap="around" w:vAnchor="page" w:hAnchor="page" w:x="1419" w:y="6408"/>
      <w:spacing w:line="700" w:lineRule="exact"/>
      <w:jc w:val="center"/>
    </w:pPr>
    <w:rPr>
      <w:rFonts w:ascii="黑体" w:eastAsia="黑体" w:hint="eastAsia"/>
      <w:sz w:val="52"/>
    </w:rPr>
  </w:style>
  <w:style w:type="paragraph" w:customStyle="1" w:styleId="afff8">
    <w:name w:val="封面标准英文名称"/>
    <w:basedOn w:val="afff7"/>
    <w:qFormat/>
    <w:pPr>
      <w:framePr w:wrap="around"/>
      <w:widowControl w:val="0"/>
      <w:spacing w:before="410" w:line="360" w:lineRule="exact"/>
      <w:textAlignment w:val="bottom"/>
    </w:pPr>
    <w:rPr>
      <w:rFonts w:ascii="Times New Roman"/>
      <w:sz w:val="28"/>
    </w:rPr>
  </w:style>
  <w:style w:type="paragraph" w:customStyle="1" w:styleId="afff9">
    <w:name w:val="封面一致性程度标识"/>
    <w:basedOn w:val="afff8"/>
    <w:pPr>
      <w:framePr w:wrap="around"/>
      <w:spacing w:before="760"/>
    </w:pPr>
  </w:style>
  <w:style w:type="paragraph" w:customStyle="1" w:styleId="afffa">
    <w:name w:val="封面标准文稿类别"/>
    <w:basedOn w:val="afff9"/>
    <w:qFormat/>
    <w:pPr>
      <w:framePr w:wrap="around"/>
      <w:spacing w:before="440" w:after="160"/>
    </w:pPr>
    <w:rPr>
      <w:rFonts w:ascii="黑体" w:hAnsi="黑体" w:cs="黑体"/>
      <w:sz w:val="24"/>
    </w:rPr>
  </w:style>
  <w:style w:type="paragraph" w:customStyle="1" w:styleId="afffb">
    <w:name w:val="封面标准文稿编辑信息"/>
    <w:basedOn w:val="afffa"/>
    <w:qFormat/>
    <w:pPr>
      <w:framePr w:wrap="around"/>
      <w:spacing w:before="180" w:line="240" w:lineRule="atLeast"/>
    </w:pPr>
    <w:rPr>
      <w:sz w:val="21"/>
    </w:rPr>
  </w:style>
  <w:style w:type="paragraph" w:customStyle="1" w:styleId="afffc">
    <w:name w:val="封面标准文稿附件"/>
    <w:basedOn w:val="afffa"/>
    <w:qFormat/>
    <w:pPr>
      <w:framePr w:wrap="around"/>
      <w:spacing w:beforeLines="300" w:before="937" w:afterLines="30" w:line="240" w:lineRule="auto"/>
    </w:pPr>
    <w:rPr>
      <w:rFonts w:ascii="Times New Roman" w:hAnsi="Times New Roman" w:cs="Times New Roman"/>
      <w:b/>
      <w:sz w:val="21"/>
    </w:rPr>
  </w:style>
  <w:style w:type="paragraph" w:customStyle="1" w:styleId="afffd">
    <w:name w:val="其他发布部门"/>
    <w:basedOn w:val="afff2"/>
    <w:qFormat/>
    <w:pPr>
      <w:framePr w:wrap="around" w:y="15310"/>
      <w:spacing w:line="0" w:lineRule="atLeast"/>
    </w:pPr>
    <w:rPr>
      <w:rFonts w:ascii="黑体" w:eastAsia="黑体" w:hAnsi="黑体" w:cs="黑体"/>
    </w:rPr>
  </w:style>
  <w:style w:type="paragraph" w:customStyle="1" w:styleId="24">
    <w:name w:val="其他发布部门2"/>
    <w:basedOn w:val="afff2"/>
    <w:qFormat/>
    <w:pPr>
      <w:framePr w:w="7433" w:h="584" w:hRule="exact" w:hSpace="181" w:wrap="around" w:vAnchor="margin" w:hAnchor="margin" w:xAlign="center" w:y="15027"/>
      <w:spacing w:line="0" w:lineRule="atLeast"/>
    </w:pPr>
    <w:rPr>
      <w:rFonts w:ascii="黑体" w:eastAsia="黑体" w:hAnsi="黑体"/>
      <w:spacing w:val="0"/>
      <w:w w:val="100"/>
    </w:rPr>
  </w:style>
  <w:style w:type="paragraph" w:customStyle="1" w:styleId="31">
    <w:name w:val="其他发布部门3"/>
    <w:qFormat/>
    <w:pPr>
      <w:framePr w:w="9248" w:h="1259" w:hRule="exact" w:hSpace="181" w:vSpace="181" w:wrap="auto" w:hAnchor="margin" w:xAlign="center" w:y="14545"/>
      <w:spacing w:line="0" w:lineRule="atLeast"/>
      <w:jc w:val="center"/>
    </w:pPr>
    <w:rPr>
      <w:rFonts w:ascii="黑体" w:eastAsia="黑体" w:hint="eastAsia"/>
      <w:sz w:val="28"/>
    </w:rPr>
  </w:style>
  <w:style w:type="paragraph" w:customStyle="1" w:styleId="afffe">
    <w:name w:val="其他发布日期"/>
    <w:basedOn w:val="afff3"/>
    <w:qFormat/>
    <w:pPr>
      <w:framePr w:hSpace="0" w:wrap="around" w:vAnchor="page" w:x="1419" w:y="14176"/>
    </w:pPr>
  </w:style>
  <w:style w:type="paragraph" w:customStyle="1" w:styleId="affff">
    <w:name w:val="其他实施日期"/>
    <w:basedOn w:val="afff4"/>
    <w:qFormat/>
    <w:pPr>
      <w:framePr w:wrap="around"/>
    </w:pPr>
  </w:style>
  <w:style w:type="paragraph" w:customStyle="1" w:styleId="affff0">
    <w:name w:val="文献分类号"/>
    <w:qFormat/>
    <w:pPr>
      <w:framePr w:wrap="around" w:vAnchor="page" w:hAnchor="page" w:x="1373" w:y="568"/>
      <w:widowControl w:val="0"/>
      <w:textAlignment w:val="center"/>
    </w:pPr>
    <w:rPr>
      <w:rFonts w:ascii="黑体" w:eastAsia="黑体" w:hint="eastAsia"/>
      <w:kern w:val="21"/>
      <w:sz w:val="21"/>
    </w:rPr>
  </w:style>
  <w:style w:type="paragraph" w:customStyle="1" w:styleId="affff1">
    <w:name w:val="标准文件_目录标题"/>
    <w:basedOn w:val="aff2"/>
    <w:qFormat/>
    <w:pPr>
      <w:shd w:val="clear" w:color="auto" w:fill="FFFFFF"/>
      <w:spacing w:afterLines="150" w:after="469"/>
      <w:jc w:val="center"/>
    </w:pPr>
    <w:rPr>
      <w:rFonts w:ascii="黑体" w:eastAsia="黑体" w:cs="黑体"/>
      <w:kern w:val="0"/>
      <w:sz w:val="32"/>
    </w:rPr>
  </w:style>
  <w:style w:type="paragraph" w:customStyle="1" w:styleId="af4">
    <w:name w:val="标准文件_前言、引言标题"/>
    <w:next w:val="aff2"/>
    <w:qFormat/>
    <w:pPr>
      <w:numPr>
        <w:numId w:val="4"/>
      </w:numPr>
      <w:spacing w:afterLines="150" w:after="469"/>
      <w:jc w:val="center"/>
      <w:outlineLvl w:val="0"/>
    </w:pPr>
    <w:rPr>
      <w:rFonts w:ascii="黑体" w:eastAsia="黑体" w:cs="黑体" w:hint="eastAsia"/>
      <w:sz w:val="32"/>
    </w:rPr>
  </w:style>
  <w:style w:type="paragraph" w:customStyle="1" w:styleId="affff2">
    <w:name w:val="标准文件_正文标准名称"/>
    <w:basedOn w:val="aff2"/>
    <w:link w:val="Char"/>
    <w:qFormat/>
    <w:pPr>
      <w:widowControl/>
      <w:spacing w:after="640" w:line="400" w:lineRule="exact"/>
      <w:jc w:val="center"/>
    </w:pPr>
    <w:rPr>
      <w:rFonts w:ascii="黑体" w:eastAsia="黑体" w:hAnsi="黑体" w:cs="黑体"/>
      <w:sz w:val="32"/>
    </w:rPr>
  </w:style>
  <w:style w:type="paragraph" w:customStyle="1" w:styleId="af">
    <w:name w:val="标准文件_一级项"/>
    <w:next w:val="affa"/>
    <w:pPr>
      <w:numPr>
        <w:numId w:val="5"/>
      </w:numPr>
    </w:pPr>
    <w:rPr>
      <w:rFonts w:ascii="宋体" w:cs="宋体" w:hint="eastAsia"/>
      <w:sz w:val="21"/>
    </w:rPr>
  </w:style>
  <w:style w:type="paragraph" w:customStyle="1" w:styleId="20">
    <w:name w:val="标准文件_二级项2"/>
    <w:basedOn w:val="affa"/>
    <w:next w:val="affa"/>
    <w:qFormat/>
    <w:pPr>
      <w:numPr>
        <w:ilvl w:val="1"/>
        <w:numId w:val="5"/>
      </w:numPr>
    </w:pPr>
  </w:style>
  <w:style w:type="paragraph" w:customStyle="1" w:styleId="a5">
    <w:name w:val="标准文件_三级项"/>
    <w:basedOn w:val="aff2"/>
    <w:next w:val="affa"/>
    <w:qFormat/>
    <w:pPr>
      <w:numPr>
        <w:ilvl w:val="2"/>
        <w:numId w:val="6"/>
      </w:numPr>
      <w:spacing w:line="300" w:lineRule="exact"/>
    </w:pPr>
    <w:rPr>
      <w:rFonts w:hAnsi="Calibri"/>
    </w:rPr>
  </w:style>
  <w:style w:type="paragraph" w:customStyle="1" w:styleId="a3">
    <w:name w:val="标准文件_字母编号列项（一级）"/>
    <w:next w:val="affa"/>
    <w:qFormat/>
    <w:pPr>
      <w:numPr>
        <w:numId w:val="6"/>
      </w:numPr>
      <w:tabs>
        <w:tab w:val="clear" w:pos="851"/>
        <w:tab w:val="left" w:pos="839"/>
      </w:tabs>
      <w:jc w:val="both"/>
    </w:pPr>
    <w:rPr>
      <w:rFonts w:ascii="宋体" w:cs="宋体" w:hint="eastAsia"/>
      <w:sz w:val="21"/>
    </w:rPr>
  </w:style>
  <w:style w:type="paragraph" w:customStyle="1" w:styleId="a4">
    <w:name w:val="标准文件_数字编号列项（二级）"/>
    <w:next w:val="affa"/>
    <w:pPr>
      <w:numPr>
        <w:ilvl w:val="1"/>
        <w:numId w:val="6"/>
      </w:numPr>
      <w:tabs>
        <w:tab w:val="clear" w:pos="1276"/>
        <w:tab w:val="left" w:pos="1259"/>
      </w:tabs>
      <w:ind w:left="1259" w:hanging="419"/>
      <w:jc w:val="both"/>
    </w:pPr>
    <w:rPr>
      <w:rFonts w:ascii="宋体" w:hint="eastAsia"/>
      <w:sz w:val="21"/>
    </w:rPr>
  </w:style>
  <w:style w:type="paragraph" w:customStyle="1" w:styleId="af5">
    <w:name w:val="标准文件_引言一级条标题"/>
    <w:basedOn w:val="affa"/>
    <w:next w:val="affa"/>
    <w:qFormat/>
    <w:pPr>
      <w:numPr>
        <w:ilvl w:val="1"/>
        <w:numId w:val="4"/>
      </w:numPr>
      <w:spacing w:beforeLines="50" w:before="157" w:afterLines="50" w:after="157"/>
    </w:pPr>
    <w:rPr>
      <w:rFonts w:ascii="黑体" w:eastAsia="黑体" w:hAnsi="黑体" w:cs="黑体"/>
    </w:rPr>
  </w:style>
  <w:style w:type="paragraph" w:customStyle="1" w:styleId="af6">
    <w:name w:val="标准文件_引言二级条标题"/>
    <w:basedOn w:val="affa"/>
    <w:next w:val="affa"/>
    <w:pPr>
      <w:numPr>
        <w:ilvl w:val="2"/>
        <w:numId w:val="4"/>
      </w:numPr>
      <w:spacing w:beforeLines="50" w:before="157" w:afterLines="50" w:after="157"/>
    </w:pPr>
    <w:rPr>
      <w:rFonts w:ascii="黑体" w:eastAsia="黑体" w:hAnsi="黑体" w:cs="黑体"/>
    </w:rPr>
  </w:style>
  <w:style w:type="paragraph" w:customStyle="1" w:styleId="af7">
    <w:name w:val="标准文件_引言三级条标题"/>
    <w:basedOn w:val="affa"/>
    <w:next w:val="affa"/>
    <w:qFormat/>
    <w:pPr>
      <w:numPr>
        <w:ilvl w:val="3"/>
        <w:numId w:val="4"/>
      </w:numPr>
      <w:spacing w:beforeLines="50" w:before="157" w:afterLines="50" w:after="157"/>
    </w:pPr>
    <w:rPr>
      <w:rFonts w:ascii="黑体" w:eastAsia="黑体" w:hAnsi="黑体" w:cs="黑体"/>
    </w:rPr>
  </w:style>
  <w:style w:type="paragraph" w:customStyle="1" w:styleId="af8">
    <w:name w:val="标准文件_引言四级条标题"/>
    <w:basedOn w:val="affa"/>
    <w:next w:val="affa"/>
    <w:qFormat/>
    <w:pPr>
      <w:numPr>
        <w:ilvl w:val="4"/>
        <w:numId w:val="4"/>
      </w:numPr>
      <w:spacing w:beforeLines="50" w:before="157" w:afterLines="50" w:after="157"/>
    </w:pPr>
    <w:rPr>
      <w:rFonts w:ascii="黑体" w:eastAsia="黑体" w:hAnsi="黑体" w:cs="黑体"/>
    </w:rPr>
  </w:style>
  <w:style w:type="paragraph" w:customStyle="1" w:styleId="af9">
    <w:name w:val="标准文件_引言五级条标题"/>
    <w:basedOn w:val="affa"/>
    <w:next w:val="affa"/>
    <w:qFormat/>
    <w:pPr>
      <w:numPr>
        <w:ilvl w:val="5"/>
        <w:numId w:val="4"/>
      </w:numPr>
      <w:spacing w:beforeLines="50" w:before="157" w:afterLines="50" w:after="157"/>
    </w:pPr>
    <w:rPr>
      <w:rFonts w:ascii="黑体" w:eastAsia="黑体" w:hAnsi="黑体" w:cs="黑体"/>
    </w:rPr>
  </w:style>
  <w:style w:type="paragraph" w:customStyle="1" w:styleId="affff3">
    <w:name w:val="标准文件_引言一级无标题"/>
    <w:basedOn w:val="af5"/>
    <w:next w:val="affa"/>
    <w:pPr>
      <w:spacing w:beforeLines="1" w:before="4" w:afterLines="1" w:after="4" w:line="276" w:lineRule="auto"/>
    </w:pPr>
    <w:rPr>
      <w:rFonts w:ascii="宋体" w:eastAsia="宋体" w:hAnsi="宋体" w:cs="宋体"/>
    </w:rPr>
  </w:style>
  <w:style w:type="paragraph" w:customStyle="1" w:styleId="affff4">
    <w:name w:val="标准文件_引言二级无标题"/>
    <w:basedOn w:val="af6"/>
    <w:next w:val="affa"/>
    <w:pPr>
      <w:spacing w:beforeLines="1" w:before="4" w:afterLines="1" w:after="4" w:line="276" w:lineRule="auto"/>
    </w:pPr>
    <w:rPr>
      <w:rFonts w:ascii="宋体" w:eastAsia="宋体" w:hAnsi="宋体" w:cs="宋体"/>
    </w:rPr>
  </w:style>
  <w:style w:type="paragraph" w:customStyle="1" w:styleId="affff5">
    <w:name w:val="标准文件_引言三级无标题"/>
    <w:basedOn w:val="af7"/>
    <w:next w:val="affa"/>
    <w:qFormat/>
    <w:pPr>
      <w:spacing w:beforeLines="1" w:before="4" w:afterLines="1" w:after="4" w:line="276" w:lineRule="auto"/>
    </w:pPr>
    <w:rPr>
      <w:rFonts w:ascii="宋体" w:eastAsia="宋体" w:hAnsi="宋体" w:cs="宋体"/>
    </w:rPr>
  </w:style>
  <w:style w:type="paragraph" w:customStyle="1" w:styleId="affff6">
    <w:name w:val="标准文件_引言四级无标题"/>
    <w:basedOn w:val="af8"/>
    <w:next w:val="affa"/>
    <w:pPr>
      <w:spacing w:beforeLines="1" w:before="4" w:afterLines="1" w:after="4" w:line="276" w:lineRule="auto"/>
    </w:pPr>
    <w:rPr>
      <w:rFonts w:ascii="宋体" w:eastAsia="宋体" w:hAnsi="宋体" w:cs="宋体"/>
    </w:rPr>
  </w:style>
  <w:style w:type="paragraph" w:customStyle="1" w:styleId="affff7">
    <w:name w:val="标准文件_引言五级无标题"/>
    <w:basedOn w:val="af9"/>
    <w:next w:val="affa"/>
    <w:qFormat/>
    <w:pPr>
      <w:spacing w:beforeLines="1" w:before="4" w:afterLines="1" w:after="4" w:line="276" w:lineRule="auto"/>
    </w:pPr>
    <w:rPr>
      <w:rFonts w:ascii="宋体" w:eastAsia="宋体" w:hAnsi="宋体" w:cs="宋体"/>
    </w:rPr>
  </w:style>
  <w:style w:type="paragraph" w:customStyle="1" w:styleId="afc">
    <w:name w:val="标准文件_章标题"/>
    <w:next w:val="affa"/>
    <w:qFormat/>
    <w:pPr>
      <w:numPr>
        <w:numId w:val="7"/>
      </w:numPr>
      <w:spacing w:beforeLines="100" w:before="313" w:afterLines="100" w:after="313"/>
      <w:jc w:val="both"/>
      <w:outlineLvl w:val="0"/>
    </w:pPr>
    <w:rPr>
      <w:rFonts w:ascii="黑体" w:eastAsia="黑体" w:cs="黑体" w:hint="eastAsia"/>
      <w:sz w:val="21"/>
    </w:rPr>
  </w:style>
  <w:style w:type="paragraph" w:customStyle="1" w:styleId="afd">
    <w:name w:val="标准文件_一级条标题"/>
    <w:basedOn w:val="afc"/>
    <w:next w:val="affa"/>
    <w:qFormat/>
    <w:pPr>
      <w:numPr>
        <w:ilvl w:val="1"/>
      </w:numPr>
      <w:spacing w:beforeLines="50" w:before="157" w:afterLines="50" w:after="157"/>
      <w:outlineLvl w:val="1"/>
    </w:pPr>
  </w:style>
  <w:style w:type="paragraph" w:customStyle="1" w:styleId="afe">
    <w:name w:val="标准文件_二级条标题"/>
    <w:next w:val="affa"/>
    <w:qFormat/>
    <w:pPr>
      <w:numPr>
        <w:ilvl w:val="2"/>
        <w:numId w:val="7"/>
      </w:numPr>
      <w:spacing w:beforeLines="50" w:before="157" w:afterLines="50" w:after="157"/>
      <w:jc w:val="both"/>
      <w:outlineLvl w:val="2"/>
    </w:pPr>
    <w:rPr>
      <w:rFonts w:ascii="黑体" w:eastAsia="黑体" w:hAnsi="黑体" w:cs="黑体" w:hint="eastAsia"/>
      <w:sz w:val="21"/>
    </w:rPr>
  </w:style>
  <w:style w:type="paragraph" w:customStyle="1" w:styleId="aff">
    <w:name w:val="标准文件_三级条标题"/>
    <w:basedOn w:val="afe"/>
    <w:next w:val="affa"/>
    <w:qFormat/>
    <w:pPr>
      <w:numPr>
        <w:ilvl w:val="3"/>
      </w:numPr>
      <w:outlineLvl w:val="3"/>
    </w:pPr>
  </w:style>
  <w:style w:type="paragraph" w:customStyle="1" w:styleId="aff0">
    <w:name w:val="标准文件_四级条标题"/>
    <w:next w:val="affa"/>
    <w:qFormat/>
    <w:pPr>
      <w:numPr>
        <w:ilvl w:val="4"/>
        <w:numId w:val="7"/>
      </w:numPr>
      <w:spacing w:beforeLines="50" w:before="157" w:afterLines="50" w:after="157"/>
      <w:jc w:val="both"/>
      <w:outlineLvl w:val="4"/>
    </w:pPr>
    <w:rPr>
      <w:rFonts w:ascii="黑体" w:eastAsia="黑体" w:hAnsi="黑体" w:cs="黑体" w:hint="eastAsia"/>
      <w:sz w:val="21"/>
    </w:rPr>
  </w:style>
  <w:style w:type="paragraph" w:customStyle="1" w:styleId="aff1">
    <w:name w:val="标准文件_五级条标题"/>
    <w:next w:val="affa"/>
    <w:pPr>
      <w:numPr>
        <w:ilvl w:val="5"/>
        <w:numId w:val="7"/>
      </w:numPr>
      <w:spacing w:beforeLines="50" w:before="157" w:afterLines="50" w:after="157"/>
      <w:jc w:val="both"/>
      <w:outlineLvl w:val="4"/>
    </w:pPr>
    <w:rPr>
      <w:rFonts w:ascii="黑体" w:eastAsia="黑体" w:hAnsi="黑体" w:cs="黑体" w:hint="eastAsia"/>
      <w:sz w:val="21"/>
    </w:rPr>
  </w:style>
  <w:style w:type="paragraph" w:customStyle="1" w:styleId="affff8">
    <w:name w:val="标准文件_一级无标题"/>
    <w:basedOn w:val="afd"/>
    <w:qFormat/>
    <w:pPr>
      <w:spacing w:beforeLines="1" w:before="4" w:afterLines="1" w:after="4"/>
      <w:outlineLvl w:val="9"/>
    </w:pPr>
    <w:rPr>
      <w:rFonts w:ascii="宋体" w:eastAsia="宋体" w:hAnsi="宋体" w:cs="宋体"/>
    </w:rPr>
  </w:style>
  <w:style w:type="paragraph" w:customStyle="1" w:styleId="affff9">
    <w:name w:val="标准文件_二级无标题"/>
    <w:basedOn w:val="afe"/>
    <w:qFormat/>
    <w:pPr>
      <w:spacing w:beforeLines="1" w:before="4" w:afterLines="1" w:after="4"/>
      <w:outlineLvl w:val="9"/>
    </w:pPr>
    <w:rPr>
      <w:rFonts w:ascii="宋体" w:eastAsia="宋体" w:hAnsi="宋体" w:cs="宋体"/>
    </w:rPr>
  </w:style>
  <w:style w:type="paragraph" w:customStyle="1" w:styleId="affffa">
    <w:name w:val="标准文件_三级无标题"/>
    <w:basedOn w:val="aff"/>
    <w:qFormat/>
    <w:pPr>
      <w:spacing w:beforeLines="1" w:before="4" w:afterLines="1" w:after="4"/>
      <w:outlineLvl w:val="9"/>
    </w:pPr>
    <w:rPr>
      <w:rFonts w:ascii="宋体" w:eastAsia="宋体" w:hAnsi="宋体" w:cs="宋体"/>
    </w:rPr>
  </w:style>
  <w:style w:type="paragraph" w:customStyle="1" w:styleId="affffb">
    <w:name w:val="标准文件_四级无标题"/>
    <w:basedOn w:val="aff0"/>
    <w:qFormat/>
    <w:pPr>
      <w:spacing w:beforeLines="1" w:before="4" w:afterLines="1" w:after="4"/>
      <w:outlineLvl w:val="9"/>
    </w:pPr>
    <w:rPr>
      <w:rFonts w:ascii="宋体" w:eastAsia="宋体" w:hAnsi="宋体" w:cs="宋体"/>
    </w:rPr>
  </w:style>
  <w:style w:type="paragraph" w:customStyle="1" w:styleId="affffc">
    <w:name w:val="标准文件_五级无标题"/>
    <w:basedOn w:val="aff1"/>
    <w:qFormat/>
    <w:pPr>
      <w:spacing w:beforeLines="1" w:before="4" w:afterLines="1" w:after="4"/>
      <w:outlineLvl w:val="9"/>
    </w:pPr>
    <w:rPr>
      <w:rFonts w:ascii="宋体" w:eastAsia="宋体" w:hAnsi="宋体" w:cs="宋体"/>
    </w:rPr>
  </w:style>
  <w:style w:type="paragraph" w:customStyle="1" w:styleId="affffd">
    <w:name w:val="标准文件_术语条一"/>
    <w:basedOn w:val="affff8"/>
    <w:next w:val="affa"/>
    <w:qFormat/>
    <w:pPr>
      <w:ind w:left="960" w:hangingChars="200" w:hanging="960"/>
    </w:pPr>
    <w:rPr>
      <w:rFonts w:ascii="黑体" w:eastAsia="黑体" w:hAnsi="黑体" w:cs="黑体"/>
    </w:rPr>
  </w:style>
  <w:style w:type="paragraph" w:customStyle="1" w:styleId="affffe">
    <w:name w:val="标准文件_术语条二"/>
    <w:basedOn w:val="affff9"/>
    <w:next w:val="affa"/>
    <w:qFormat/>
    <w:pPr>
      <w:ind w:left="960" w:hangingChars="200" w:hanging="960"/>
    </w:pPr>
    <w:rPr>
      <w:rFonts w:ascii="黑体" w:eastAsia="黑体" w:hAnsi="黑体" w:cs="黑体"/>
    </w:rPr>
  </w:style>
  <w:style w:type="paragraph" w:customStyle="1" w:styleId="afffff">
    <w:name w:val="标准文件_术语条三"/>
    <w:basedOn w:val="affffa"/>
    <w:next w:val="affa"/>
    <w:pPr>
      <w:ind w:left="960" w:hangingChars="200" w:hanging="960"/>
    </w:pPr>
    <w:rPr>
      <w:rFonts w:ascii="黑体" w:eastAsia="黑体" w:hAnsi="黑体" w:cs="黑体"/>
    </w:rPr>
  </w:style>
  <w:style w:type="paragraph" w:customStyle="1" w:styleId="afffff0">
    <w:name w:val="标准文件_术语条四"/>
    <w:basedOn w:val="affffb"/>
    <w:next w:val="affa"/>
    <w:pPr>
      <w:ind w:left="960" w:hangingChars="200" w:hanging="960"/>
    </w:pPr>
    <w:rPr>
      <w:rFonts w:ascii="黑体" w:eastAsia="黑体" w:hAnsi="黑体" w:cs="黑体"/>
    </w:rPr>
  </w:style>
  <w:style w:type="paragraph" w:customStyle="1" w:styleId="afffff1">
    <w:name w:val="标准文件_术语条五"/>
    <w:basedOn w:val="affffc"/>
    <w:next w:val="affa"/>
    <w:qFormat/>
    <w:pPr>
      <w:ind w:left="960" w:hangingChars="200" w:hanging="960"/>
    </w:pPr>
    <w:rPr>
      <w:rFonts w:ascii="黑体" w:eastAsia="黑体" w:hAnsi="黑体" w:cs="黑体"/>
    </w:rPr>
  </w:style>
  <w:style w:type="paragraph" w:customStyle="1" w:styleId="a8">
    <w:name w:val="标准文件_附录标识"/>
    <w:basedOn w:val="aff2"/>
    <w:next w:val="affa"/>
    <w:qFormat/>
    <w:pPr>
      <w:widowControl/>
      <w:numPr>
        <w:numId w:val="8"/>
      </w:numPr>
      <w:spacing w:beforeLines="25" w:before="79" w:afterLines="50" w:after="157"/>
      <w:jc w:val="center"/>
      <w:outlineLvl w:val="0"/>
    </w:pPr>
    <w:rPr>
      <w:rFonts w:ascii="黑体" w:eastAsia="黑体" w:hAnsi="黑体" w:cs="黑体"/>
    </w:rPr>
  </w:style>
  <w:style w:type="paragraph" w:customStyle="1" w:styleId="a9">
    <w:name w:val="标准文件_附录一级条标题"/>
    <w:next w:val="affa"/>
    <w:qFormat/>
    <w:pPr>
      <w:numPr>
        <w:ilvl w:val="1"/>
        <w:numId w:val="8"/>
      </w:numPr>
      <w:spacing w:beforeLines="50" w:before="157" w:afterLines="50" w:after="157"/>
      <w:jc w:val="both"/>
      <w:outlineLvl w:val="2"/>
    </w:pPr>
    <w:rPr>
      <w:rFonts w:ascii="黑体" w:eastAsia="黑体" w:hAnsi="黑体" w:cs="黑体" w:hint="eastAsia"/>
      <w:sz w:val="21"/>
    </w:rPr>
  </w:style>
  <w:style w:type="paragraph" w:customStyle="1" w:styleId="aa">
    <w:name w:val="标准文件_附录二级条标题"/>
    <w:next w:val="affa"/>
    <w:pPr>
      <w:numPr>
        <w:ilvl w:val="2"/>
        <w:numId w:val="8"/>
      </w:numPr>
      <w:spacing w:beforeLines="50" w:before="157" w:afterLines="50" w:after="157"/>
      <w:jc w:val="both"/>
      <w:outlineLvl w:val="2"/>
    </w:pPr>
    <w:rPr>
      <w:rFonts w:ascii="黑体" w:eastAsia="黑体" w:hAnsi="黑体" w:cs="黑体" w:hint="eastAsia"/>
      <w:sz w:val="21"/>
    </w:rPr>
  </w:style>
  <w:style w:type="paragraph" w:customStyle="1" w:styleId="ab">
    <w:name w:val="标准文件_附录三级条标题"/>
    <w:next w:val="affa"/>
    <w:pPr>
      <w:numPr>
        <w:ilvl w:val="3"/>
        <w:numId w:val="8"/>
      </w:numPr>
      <w:spacing w:beforeLines="50" w:before="157" w:afterLines="50" w:after="157"/>
      <w:jc w:val="both"/>
      <w:outlineLvl w:val="2"/>
    </w:pPr>
    <w:rPr>
      <w:rFonts w:ascii="黑体" w:eastAsia="黑体" w:hAnsi="黑体" w:cs="黑体" w:hint="eastAsia"/>
      <w:sz w:val="21"/>
    </w:rPr>
  </w:style>
  <w:style w:type="paragraph" w:customStyle="1" w:styleId="ac">
    <w:name w:val="标准文件_附录四级条标题"/>
    <w:next w:val="affa"/>
    <w:qFormat/>
    <w:pPr>
      <w:numPr>
        <w:ilvl w:val="4"/>
        <w:numId w:val="8"/>
      </w:numPr>
      <w:spacing w:beforeLines="50" w:before="157" w:afterLines="50" w:after="157"/>
      <w:jc w:val="both"/>
      <w:outlineLvl w:val="2"/>
    </w:pPr>
    <w:rPr>
      <w:rFonts w:ascii="黑体" w:eastAsia="黑体" w:hAnsi="黑体" w:cs="黑体" w:hint="eastAsia"/>
      <w:sz w:val="21"/>
    </w:rPr>
  </w:style>
  <w:style w:type="paragraph" w:customStyle="1" w:styleId="ad">
    <w:name w:val="标准文件_附录五级条标题"/>
    <w:next w:val="affa"/>
    <w:qFormat/>
    <w:pPr>
      <w:numPr>
        <w:ilvl w:val="5"/>
        <w:numId w:val="8"/>
      </w:numPr>
      <w:spacing w:beforeLines="50" w:before="157" w:afterLines="50" w:after="157"/>
      <w:jc w:val="both"/>
      <w:outlineLvl w:val="2"/>
    </w:pPr>
    <w:rPr>
      <w:rFonts w:ascii="黑体" w:eastAsia="黑体" w:hAnsi="黑体" w:cs="黑体" w:hint="eastAsia"/>
      <w:sz w:val="21"/>
    </w:rPr>
  </w:style>
  <w:style w:type="paragraph" w:customStyle="1" w:styleId="afffff2">
    <w:name w:val="标准文件_附录一级无标题"/>
    <w:basedOn w:val="a9"/>
    <w:pPr>
      <w:spacing w:beforeLines="1" w:before="4" w:afterLines="1" w:after="4" w:line="276" w:lineRule="auto"/>
    </w:pPr>
    <w:rPr>
      <w:rFonts w:ascii="宋体" w:eastAsia="宋体" w:hAnsi="宋体" w:cs="宋体"/>
    </w:rPr>
  </w:style>
  <w:style w:type="paragraph" w:customStyle="1" w:styleId="afffff3">
    <w:name w:val="标准文件_附录二级无标题"/>
    <w:basedOn w:val="aa"/>
    <w:pPr>
      <w:spacing w:beforeLines="1" w:before="4" w:afterLines="1" w:after="4" w:line="276" w:lineRule="auto"/>
    </w:pPr>
    <w:rPr>
      <w:rFonts w:ascii="宋体" w:eastAsia="宋体" w:hAnsi="宋体" w:cs="宋体"/>
    </w:rPr>
  </w:style>
  <w:style w:type="paragraph" w:customStyle="1" w:styleId="afffff4">
    <w:name w:val="标准文件_附录三级无标题"/>
    <w:basedOn w:val="ab"/>
    <w:qFormat/>
    <w:pPr>
      <w:spacing w:beforeLines="1" w:before="4" w:afterLines="1" w:after="4" w:line="276" w:lineRule="auto"/>
    </w:pPr>
    <w:rPr>
      <w:rFonts w:ascii="宋体" w:eastAsia="宋体" w:hAnsi="宋体" w:cs="宋体"/>
    </w:rPr>
  </w:style>
  <w:style w:type="paragraph" w:customStyle="1" w:styleId="afffff5">
    <w:name w:val="标准文件_附录四级无标题"/>
    <w:basedOn w:val="ac"/>
    <w:qFormat/>
    <w:pPr>
      <w:spacing w:beforeLines="1" w:before="4" w:afterLines="1" w:after="4" w:line="276" w:lineRule="auto"/>
    </w:pPr>
    <w:rPr>
      <w:rFonts w:ascii="宋体" w:eastAsia="宋体" w:hAnsi="宋体" w:cs="宋体"/>
    </w:rPr>
  </w:style>
  <w:style w:type="paragraph" w:customStyle="1" w:styleId="afffff6">
    <w:name w:val="标准文件_附录五级无标题"/>
    <w:basedOn w:val="ad"/>
    <w:qFormat/>
    <w:pPr>
      <w:spacing w:beforeLines="1" w:before="4" w:afterLines="1" w:after="4" w:line="276" w:lineRule="auto"/>
    </w:pPr>
    <w:rPr>
      <w:rFonts w:ascii="宋体" w:eastAsia="宋体" w:hAnsi="宋体" w:cs="宋体"/>
    </w:rPr>
  </w:style>
  <w:style w:type="paragraph" w:customStyle="1" w:styleId="afa">
    <w:name w:val="附录图标号"/>
    <w:basedOn w:val="affa"/>
    <w:next w:val="affa"/>
    <w:qFormat/>
    <w:pPr>
      <w:numPr>
        <w:numId w:val="2"/>
      </w:numPr>
      <w:spacing w:line="14" w:lineRule="exact"/>
      <w:jc w:val="center"/>
    </w:pPr>
    <w:rPr>
      <w:sz w:val="2"/>
    </w:rPr>
  </w:style>
  <w:style w:type="paragraph" w:customStyle="1" w:styleId="afb">
    <w:name w:val="附录图标题"/>
    <w:next w:val="affa"/>
    <w:qFormat/>
    <w:pPr>
      <w:numPr>
        <w:ilvl w:val="1"/>
        <w:numId w:val="2"/>
      </w:numPr>
      <w:spacing w:beforeLines="50" w:before="157" w:afterLines="50" w:after="157"/>
      <w:jc w:val="center"/>
    </w:pPr>
    <w:rPr>
      <w:rFonts w:ascii="黑体" w:eastAsia="黑体" w:hAnsi="黑体" w:cs="黑体" w:hint="eastAsia"/>
      <w:sz w:val="21"/>
    </w:rPr>
  </w:style>
  <w:style w:type="paragraph" w:customStyle="1" w:styleId="af2">
    <w:name w:val="附录表标号"/>
    <w:basedOn w:val="affa"/>
    <w:next w:val="affa"/>
    <w:qFormat/>
    <w:pPr>
      <w:numPr>
        <w:numId w:val="9"/>
      </w:numPr>
      <w:spacing w:line="14" w:lineRule="exact"/>
      <w:jc w:val="center"/>
    </w:pPr>
    <w:rPr>
      <w:sz w:val="2"/>
    </w:rPr>
  </w:style>
  <w:style w:type="paragraph" w:customStyle="1" w:styleId="af3">
    <w:name w:val="附录表标题"/>
    <w:next w:val="affa"/>
    <w:qFormat/>
    <w:pPr>
      <w:numPr>
        <w:ilvl w:val="1"/>
        <w:numId w:val="9"/>
      </w:numPr>
      <w:spacing w:beforeLines="50" w:before="157" w:afterLines="50" w:after="157"/>
      <w:jc w:val="center"/>
    </w:pPr>
    <w:rPr>
      <w:rFonts w:ascii="黑体" w:eastAsia="黑体" w:hAnsi="黑体" w:cs="黑体" w:hint="eastAsia"/>
      <w:sz w:val="21"/>
    </w:rPr>
  </w:style>
  <w:style w:type="paragraph" w:customStyle="1" w:styleId="afffff7">
    <w:name w:val="标准文件_示例内容"/>
    <w:basedOn w:val="affa"/>
    <w:rPr>
      <w:rFonts w:hAnsi="宋体"/>
      <w:sz w:val="18"/>
    </w:rPr>
  </w:style>
  <w:style w:type="paragraph" w:customStyle="1" w:styleId="a6">
    <w:name w:val="标准文件_示例"/>
    <w:next w:val="afffff7"/>
    <w:qFormat/>
    <w:pPr>
      <w:numPr>
        <w:numId w:val="10"/>
      </w:numPr>
      <w:jc w:val="both"/>
    </w:pPr>
    <w:rPr>
      <w:rFonts w:ascii="宋体" w:hAnsi="宋体" w:cs="宋体" w:hint="eastAsia"/>
      <w:sz w:val="18"/>
    </w:rPr>
  </w:style>
  <w:style w:type="paragraph" w:customStyle="1" w:styleId="a0">
    <w:name w:val="标准文件_示例×"/>
    <w:basedOn w:val="aff2"/>
    <w:next w:val="afffff7"/>
    <w:qFormat/>
    <w:pPr>
      <w:widowControl/>
      <w:numPr>
        <w:numId w:val="11"/>
      </w:numPr>
    </w:pPr>
    <w:rPr>
      <w:sz w:val="18"/>
    </w:rPr>
  </w:style>
  <w:style w:type="paragraph" w:customStyle="1" w:styleId="a2">
    <w:name w:val="标准文件_注"/>
    <w:next w:val="affa"/>
    <w:qFormat/>
    <w:pPr>
      <w:numPr>
        <w:numId w:val="12"/>
      </w:numPr>
      <w:autoSpaceDE w:val="0"/>
      <w:autoSpaceDN w:val="0"/>
      <w:jc w:val="both"/>
    </w:pPr>
    <w:rPr>
      <w:rFonts w:ascii="宋体" w:hAnsi="宋体" w:cs="宋体" w:hint="eastAsia"/>
      <w:sz w:val="18"/>
    </w:rPr>
  </w:style>
  <w:style w:type="paragraph" w:customStyle="1" w:styleId="af1">
    <w:name w:val="标准文件_注×"/>
    <w:next w:val="affa"/>
    <w:qFormat/>
    <w:pPr>
      <w:numPr>
        <w:numId w:val="13"/>
      </w:numPr>
      <w:jc w:val="both"/>
    </w:pPr>
    <w:rPr>
      <w:rFonts w:ascii="宋体" w:hAnsi="宋体" w:cs="宋体" w:hint="eastAsia"/>
      <w:sz w:val="18"/>
    </w:rPr>
  </w:style>
  <w:style w:type="paragraph" w:customStyle="1" w:styleId="a1">
    <w:name w:val="标准文件_图表脚注"/>
    <w:basedOn w:val="aff2"/>
    <w:next w:val="affa"/>
    <w:pPr>
      <w:numPr>
        <w:numId w:val="14"/>
      </w:numPr>
      <w:adjustRightInd w:val="0"/>
      <w:jc w:val="left"/>
    </w:pPr>
    <w:rPr>
      <w:rFonts w:hAnsi="宋体"/>
      <w:sz w:val="18"/>
    </w:rPr>
  </w:style>
  <w:style w:type="paragraph" w:customStyle="1" w:styleId="afffff8">
    <w:name w:val="标准文件_标准正文"/>
    <w:basedOn w:val="aff2"/>
    <w:next w:val="affa"/>
    <w:qFormat/>
    <w:pPr>
      <w:ind w:firstLineChars="200" w:firstLine="960"/>
    </w:pPr>
  </w:style>
  <w:style w:type="paragraph" w:customStyle="1" w:styleId="afffff9">
    <w:name w:val="标准文件_正文公式"/>
    <w:basedOn w:val="aff2"/>
    <w:next w:val="afffff8"/>
    <w:qFormat/>
    <w:pPr>
      <w:tabs>
        <w:tab w:val="center" w:pos="4678"/>
        <w:tab w:val="right" w:leader="middleDot" w:pos="9355"/>
      </w:tabs>
    </w:pPr>
  </w:style>
  <w:style w:type="paragraph" w:customStyle="1" w:styleId="afffffa">
    <w:name w:val="标准文件_表格"/>
    <w:basedOn w:val="affa"/>
    <w:qFormat/>
    <w:pPr>
      <w:jc w:val="center"/>
    </w:pPr>
    <w:rPr>
      <w:sz w:val="18"/>
    </w:rPr>
  </w:style>
  <w:style w:type="paragraph" w:customStyle="1" w:styleId="afffffb">
    <w:name w:val="终结线"/>
    <w:basedOn w:val="aff2"/>
    <w:pPr>
      <w:framePr w:hSpace="181" w:vSpace="181" w:wrap="around" w:vAnchor="text" w:hAnchor="margin" w:xAlign="center" w:y="285"/>
    </w:pPr>
    <w:rPr>
      <w:rFonts w:ascii="Times New Roman" w:cs="Times New Roman"/>
      <w:b/>
      <w:sz w:val="34"/>
    </w:rPr>
  </w:style>
  <w:style w:type="paragraph" w:customStyle="1" w:styleId="a">
    <w:name w:val="标准文件_正文表标题"/>
    <w:next w:val="affa"/>
    <w:qFormat/>
    <w:pPr>
      <w:numPr>
        <w:numId w:val="15"/>
      </w:numPr>
      <w:spacing w:beforeLines="50" w:before="157" w:afterLines="50" w:after="157"/>
      <w:jc w:val="center"/>
    </w:pPr>
    <w:rPr>
      <w:rFonts w:ascii="黑体" w:eastAsia="黑体" w:hAnsi="黑体" w:cs="黑体" w:hint="eastAsia"/>
      <w:sz w:val="21"/>
    </w:rPr>
  </w:style>
  <w:style w:type="paragraph" w:customStyle="1" w:styleId="a7">
    <w:name w:val="标准文件_正文图标题"/>
    <w:next w:val="affa"/>
    <w:pPr>
      <w:numPr>
        <w:numId w:val="16"/>
      </w:numPr>
      <w:spacing w:beforeLines="50" w:before="157" w:afterLines="50" w:after="157"/>
      <w:jc w:val="center"/>
    </w:pPr>
    <w:rPr>
      <w:rFonts w:ascii="黑体" w:eastAsia="黑体" w:hAnsi="黑体" w:cs="黑体" w:hint="eastAsia"/>
      <w:sz w:val="21"/>
    </w:rPr>
  </w:style>
  <w:style w:type="paragraph" w:customStyle="1" w:styleId="afffffc">
    <w:name w:val="标准文件_索引标题"/>
    <w:basedOn w:val="afff0"/>
    <w:next w:val="affa"/>
    <w:qFormat/>
    <w:rPr>
      <w:rFonts w:hAnsi="黑体"/>
    </w:rPr>
  </w:style>
  <w:style w:type="paragraph" w:customStyle="1" w:styleId="afffffd">
    <w:name w:val="标准文件_索引项"/>
    <w:basedOn w:val="affa"/>
    <w:next w:val="affa"/>
    <w:qFormat/>
    <w:pPr>
      <w:tabs>
        <w:tab w:val="right" w:leader="dot" w:pos="9355"/>
      </w:tabs>
      <w:autoSpaceDE w:val="0"/>
      <w:autoSpaceDN w:val="0"/>
      <w:ind w:left="177" w:hangingChars="37" w:hanging="177"/>
      <w:jc w:val="left"/>
    </w:pPr>
  </w:style>
  <w:style w:type="paragraph" w:customStyle="1" w:styleId="afffffe">
    <w:name w:val="标准文件_索引字母"/>
    <w:next w:val="affa"/>
    <w:pPr>
      <w:jc w:val="center"/>
    </w:pPr>
    <w:rPr>
      <w:rFonts w:ascii="宋体" w:hAnsi="宋体" w:cs="宋体" w:hint="eastAsia"/>
      <w:b/>
      <w:kern w:val="2"/>
      <w:sz w:val="21"/>
    </w:rPr>
  </w:style>
  <w:style w:type="paragraph" w:customStyle="1" w:styleId="affffff">
    <w:name w:val="标准文件_提示"/>
    <w:basedOn w:val="aff2"/>
    <w:qFormat/>
    <w:pPr>
      <w:ind w:firstLineChars="200" w:firstLine="960"/>
    </w:pPr>
    <w:rPr>
      <w:rFonts w:ascii="黑体" w:eastAsia="黑体" w:hAnsi="黑体" w:cs="黑体"/>
    </w:rPr>
  </w:style>
  <w:style w:type="paragraph" w:customStyle="1" w:styleId="af0">
    <w:name w:val="标准文件_参考文献编号"/>
    <w:basedOn w:val="affa"/>
    <w:qFormat/>
    <w:pPr>
      <w:numPr>
        <w:numId w:val="17"/>
      </w:numPr>
    </w:pPr>
  </w:style>
  <w:style w:type="character" w:customStyle="1" w:styleId="Char">
    <w:name w:val="标准文件_正文标准名称 Char"/>
    <w:link w:val="affff2"/>
    <w:qFormat/>
    <w:rPr>
      <w:rFonts w:ascii="黑体" w:eastAsia="黑体" w:hAnsi="黑体" w:cs="黑体"/>
      <w:sz w:val="32"/>
    </w:rPr>
  </w:style>
  <w:style w:type="character" w:styleId="affffff0">
    <w:name w:val="Hyperlink"/>
    <w:basedOn w:val="aff3"/>
    <w:uiPriority w:val="99"/>
    <w:unhideWhenUsed/>
    <w:rsid w:val="00B72A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e98f93-f94c-4ed3-9c3f-3c9f9c870972}"/>
        <w:category>
          <w:name w:val="常规"/>
          <w:gallery w:val="placeholder"/>
        </w:category>
        <w:types>
          <w:type w:val="bbPlcHdr"/>
        </w:types>
        <w:behaviors>
          <w:behavior w:val="content"/>
        </w:behaviors>
        <w:guid w:val="{7EE98F93-F94C-4ED3-9C3F-3C9F9C870972}"/>
      </w:docPartPr>
      <w:docPartBody>
        <w:p w:rsidR="00FA399B" w:rsidRDefault="00000000">
          <w:pPr>
            <w:rPr>
              <w:rFonts w:hint="eastAsia"/>
            </w:rPr>
          </w:pPr>
          <w:r>
            <w:rPr>
              <w:color w:val="808080"/>
            </w:rPr>
            <w:t>选择一项。</w:t>
          </w:r>
        </w:p>
      </w:docPartBody>
    </w:docPart>
    <w:docPart>
      <w:docPartPr>
        <w:name w:val="{10120060-b18c-42b4-bc65-f79f3357c705}"/>
        <w:category>
          <w:name w:val="常规"/>
          <w:gallery w:val="placeholder"/>
        </w:category>
        <w:types>
          <w:type w:val="bbPlcHdr"/>
        </w:types>
        <w:behaviors>
          <w:behavior w:val="content"/>
        </w:behaviors>
        <w:guid w:val="{10120060-B18C-42B4-BC65-F79F3357C705}"/>
      </w:docPartPr>
      <w:docPartBody>
        <w:p w:rsidR="00FA399B" w:rsidRDefault="00000000">
          <w:pPr>
            <w:rPr>
              <w:rFonts w:hint="eastAsia"/>
            </w:rPr>
          </w:pPr>
          <w:r>
            <w:rPr>
              <w:color w:val="808080"/>
            </w:rPr>
            <w:t>选择一项。</w:t>
          </w:r>
        </w:p>
      </w:docPartBody>
    </w:docPart>
    <w:docPart>
      <w:docPartPr>
        <w:name w:val="{0ecda0aa-0824-44f5-ba95-5812d495ef0b}"/>
        <w:category>
          <w:name w:val="常规"/>
          <w:gallery w:val="placeholder"/>
        </w:category>
        <w:types>
          <w:type w:val="bbPlcHdr"/>
        </w:types>
        <w:behaviors>
          <w:behavior w:val="content"/>
        </w:behaviors>
        <w:guid w:val="{0ECDA0AA-0824-44F5-BA95-5812D495EF0B}"/>
      </w:docPartPr>
      <w:docPartBody>
        <w:p w:rsidR="00FA399B" w:rsidRDefault="00000000">
          <w:pPr>
            <w:rPr>
              <w:rFonts w:hint="eastAsia"/>
            </w:rPr>
          </w:pPr>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characterSpacingControl w:val="doNotCompress"/>
  <w:compat>
    <w:useFELayout/>
    <w:splitPgBreakAndParaMark/>
    <w:compatSetting w:name="compatibilityMode" w:uri="http://schemas.microsoft.com/office/word" w:val="14"/>
    <w:compatSetting w:name="useWord2013TrackBottomHyphenation" w:uri="http://schemas.microsoft.com/office/word" w:val="1"/>
  </w:compat>
  <w:rsids>
    <w:rsidRoot w:val="00FA399B"/>
    <w:rsid w:val="008C7727"/>
    <w:rsid w:val="00FA17AE"/>
    <w:rsid w:val="00FA3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1388</Words>
  <Characters>7913</Characters>
  <Application>Microsoft Office Word</Application>
  <DocSecurity>0</DocSecurity>
  <Lines>65</Lines>
  <Paragraphs>18</Paragraphs>
  <ScaleCrop>false</ScaleCrop>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jiao </dc:creator>
  <cp:lastModifiedBy>Will Wang</cp:lastModifiedBy>
  <cp:revision>5</cp:revision>
  <dcterms:created xsi:type="dcterms:W3CDTF">2023-08-14T01:29:00Z</dcterms:created>
  <dcterms:modified xsi:type="dcterms:W3CDTF">2025-03-07T03:01:00Z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5ED3AEB06B654BC3B3DE08CEA80C9ED1_13</vt:lpwstr>
  </property>
</Properties>
</file>