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964A7A">
      <w:pPr>
        <w:spacing w:line="240" w:lineRule="auto"/>
        <w:rPr>
          <w:rFonts w:ascii="黑体" w:hAnsi="黑体" w:eastAsia="黑体"/>
          <w:kern w:val="0"/>
          <w:sz w:val="10"/>
          <w:szCs w:val="10"/>
        </w:rPr>
      </w:pPr>
      <w:r>
        <w:drawing>
          <wp:anchor distT="0" distB="0" distL="114300" distR="114300" simplePos="0" relativeHeight="251665408" behindDoc="0" locked="0" layoutInCell="1" allowOverlap="1">
            <wp:simplePos x="0" y="0"/>
            <wp:positionH relativeFrom="column">
              <wp:posOffset>4764405</wp:posOffset>
            </wp:positionH>
            <wp:positionV relativeFrom="paragraph">
              <wp:posOffset>-229870</wp:posOffset>
            </wp:positionV>
            <wp:extent cx="1079500" cy="1083310"/>
            <wp:effectExtent l="0" t="0" r="6350" b="254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79500" cy="1083310"/>
                    </a:xfrm>
                    <a:prstGeom prst="rect">
                      <a:avLst/>
                    </a:prstGeom>
                    <a:noFill/>
                    <a:ln>
                      <a:noFill/>
                    </a:ln>
                  </pic:spPr>
                </pic:pic>
              </a:graphicData>
            </a:graphic>
          </wp:anchor>
        </w:drawing>
      </w:r>
    </w:p>
    <w:p w14:paraId="6FC2304C">
      <w:pPr>
        <w:pStyle w:val="52"/>
        <w:framePr w:w="9639" w:h="6976" w:hRule="exact" w:hSpace="0" w:vSpace="0" w:wrap="around" w:hAnchor="page" w:y="6408"/>
        <w:jc w:val="center"/>
        <w:rPr>
          <w:rFonts w:ascii="黑体" w:hAnsi="黑体" w:eastAsia="黑体"/>
          <w:b w:val="0"/>
          <w:bCs w:val="0"/>
          <w:w w:val="100"/>
        </w:rPr>
      </w:pPr>
    </w:p>
    <w:p w14:paraId="118234A9">
      <w:pPr>
        <w:pStyle w:val="199"/>
        <w:framePr w:h="6974" w:hRule="exact" w:wrap="around" w:x="1419" w:anchorLock="1"/>
      </w:pPr>
      <w:r>
        <w:rPr>
          <w:rFonts w:hint="eastAsia"/>
          <w:lang w:val="en-US" w:eastAsia="zh-CN"/>
        </w:rPr>
        <w:t>中医</w:t>
      </w:r>
      <w:r>
        <w:rPr>
          <w:rFonts w:hint="eastAsia"/>
        </w:rPr>
        <w:t>技术规范</w:t>
      </w:r>
      <w:r>
        <w:rPr>
          <w:rFonts w:hint="eastAsia"/>
          <w:lang w:val="en-US" w:eastAsia="zh-CN"/>
        </w:rPr>
        <w:t xml:space="preserve">  </w:t>
      </w:r>
      <w:r>
        <w:rPr>
          <w:rFonts w:hint="eastAsia"/>
        </w:rPr>
        <w:t xml:space="preserve">动正整脊手法治疗脊柱疾病腰椎关节错位（紊乱） </w:t>
      </w:r>
    </w:p>
    <w:p w14:paraId="35CDAD3C">
      <w:pPr>
        <w:framePr w:w="9639" w:h="6974" w:hRule="exact" w:wrap="around" w:vAnchor="page" w:hAnchor="page" w:x="1419" w:y="6408" w:anchorLock="1"/>
        <w:ind w:left="-1418"/>
        <w:rPr>
          <w:color w:val="FF0000"/>
        </w:rPr>
      </w:pPr>
    </w:p>
    <w:p w14:paraId="36DD9375">
      <w:pPr>
        <w:pStyle w:val="127"/>
        <w:framePr w:w="9639" w:h="6974" w:hRule="exact" w:wrap="around" w:vAnchor="page" w:hAnchor="page" w:x="1419" w:y="6408" w:anchorLock="1"/>
        <w:textAlignment w:val="bottom"/>
        <w:rPr>
          <w:rFonts w:eastAsia="黑体"/>
          <w:color w:val="auto"/>
          <w:szCs w:val="28"/>
        </w:rPr>
      </w:pPr>
      <w:r>
        <w:rPr>
          <w:rFonts w:eastAsia="黑体"/>
          <w:color w:val="auto"/>
          <w:szCs w:val="28"/>
        </w:rPr>
        <w:fldChar w:fldCharType="begin">
          <w:ffData>
            <w:name w:val="ESTD_NAME"/>
            <w:enabled/>
            <w:calcOnExit w:val="0"/>
            <w:textInput>
              <w:default w:val="English name of standard(标准名称的英文译名)"/>
              <w:format w:val="第一个字母大写"/>
            </w:textInput>
          </w:ffData>
        </w:fldChar>
      </w:r>
      <w:bookmarkStart w:id="0" w:name="ESTD_NAME"/>
      <w:r>
        <w:rPr>
          <w:rFonts w:eastAsia="黑体"/>
          <w:color w:val="auto"/>
          <w:szCs w:val="28"/>
        </w:rPr>
        <w:instrText xml:space="preserve"> FORMTEXT </w:instrText>
      </w:r>
      <w:r>
        <w:rPr>
          <w:rFonts w:eastAsia="黑体"/>
          <w:color w:val="auto"/>
          <w:szCs w:val="28"/>
        </w:rPr>
        <w:fldChar w:fldCharType="separate"/>
      </w:r>
      <w:r>
        <w:rPr>
          <w:rFonts w:hint="eastAsia" w:eastAsia="黑体"/>
          <w:color w:val="auto"/>
          <w:szCs w:val="28"/>
        </w:rPr>
        <w:t>Technical specification for treatment of lumbar joint dislocation (disorder) in spinal diseases with Long's chiropractic manipulation</w:t>
      </w:r>
      <w:r>
        <w:rPr>
          <w:rFonts w:eastAsia="黑体"/>
          <w:color w:val="auto"/>
          <w:szCs w:val="28"/>
        </w:rPr>
        <w:fldChar w:fldCharType="end"/>
      </w:r>
      <w:bookmarkEnd w:id="0"/>
    </w:p>
    <w:p w14:paraId="6135A7F7">
      <w:pPr>
        <w:framePr w:w="9639" w:h="6974" w:hRule="exact" w:wrap="around" w:vAnchor="page" w:hAnchor="page" w:x="1419" w:y="6408" w:anchorLock="1"/>
        <w:spacing w:line="760" w:lineRule="exact"/>
        <w:ind w:left="-1418"/>
      </w:pPr>
    </w:p>
    <w:p w14:paraId="10EBBF85">
      <w:pPr>
        <w:pStyle w:val="127"/>
        <w:framePr w:w="9639" w:h="6974" w:hRule="exact" w:wrap="around" w:vAnchor="page" w:hAnchor="page" w:x="1419" w:y="6408" w:anchorLock="1"/>
        <w:textAlignment w:val="bottom"/>
        <w:rPr>
          <w:rFonts w:eastAsia="黑体"/>
          <w:szCs w:val="28"/>
        </w:rPr>
      </w:pPr>
    </w:p>
    <w:p w14:paraId="1CEC1BFB">
      <w:pPr>
        <w:pStyle w:val="127"/>
        <w:framePr w:w="9639" w:h="6974" w:hRule="exact" w:wrap="around" w:vAnchor="page" w:hAnchor="page" w:x="1419" w:y="6408" w:anchorLock="1"/>
        <w:spacing w:before="440" w:after="160"/>
        <w:textAlignment w:val="bottom"/>
        <w:rPr>
          <w:sz w:val="24"/>
          <w:szCs w:val="28"/>
        </w:rPr>
      </w:pPr>
      <w:r>
        <w:rPr>
          <w:rFonts w:hint="eastAsia"/>
          <w:sz w:val="24"/>
          <w:szCs w:val="28"/>
        </w:rPr>
        <w:t>（工作组讨论稿/征求意见稿/送审稿/报批稿）</w:t>
      </w:r>
    </w:p>
    <w:p w14:paraId="6D31C908">
      <w:pPr>
        <w:pStyle w:val="127"/>
        <w:framePr w:w="9639" w:h="6974" w:hRule="exact" w:wrap="around" w:vAnchor="page" w:hAnchor="page" w:x="1419" w:y="6408" w:anchorLock="1"/>
        <w:spacing w:before="180" w:line="240" w:lineRule="atLeast"/>
        <w:textAlignment w:val="bottom"/>
        <w:rPr>
          <w:sz w:val="21"/>
          <w:szCs w:val="28"/>
        </w:rPr>
      </w:pPr>
      <w:r>
        <w:rPr>
          <w:rFonts w:hint="eastAsia"/>
          <w:sz w:val="21"/>
          <w:szCs w:val="28"/>
        </w:rPr>
        <w:t>（本稿完成时间：</w:t>
      </w:r>
      <w:r>
        <w:rPr>
          <w:rFonts w:hint="eastAsia"/>
          <w:sz w:val="21"/>
          <w:szCs w:val="28"/>
          <w:lang w:val="en-US" w:eastAsia="zh-CN"/>
        </w:rPr>
        <w:t>2024年01月21日</w:t>
      </w:r>
      <w:r>
        <w:rPr>
          <w:rFonts w:hint="eastAsia"/>
          <w:sz w:val="21"/>
          <w:szCs w:val="28"/>
        </w:rPr>
        <w:t>）</w:t>
      </w:r>
    </w:p>
    <w:p w14:paraId="2D01F080">
      <w:pPr>
        <w:pStyle w:val="127"/>
        <w:framePr w:w="9639" w:h="6974" w:hRule="exact" w:wrap="around" w:vAnchor="page" w:hAnchor="page" w:x="1419" w:y="6408" w:anchorLock="1"/>
        <w:spacing w:before="720" w:beforeLines="300" w:after="72" w:afterLines="30" w:line="240" w:lineRule="auto"/>
        <w:textAlignment w:val="bottom"/>
        <w:rPr>
          <w:b/>
          <w:sz w:val="21"/>
          <w:szCs w:val="28"/>
        </w:rPr>
      </w:pPr>
    </w:p>
    <w:p w14:paraId="0DE0229C">
      <w:pPr>
        <w:pStyle w:val="195"/>
        <w:framePr w:wrap="around" w:y="14176"/>
      </w:pPr>
      <w:r>
        <w:rPr>
          <w:rFonts w:ascii="黑体"/>
        </w:rPr>
        <w:fldChar w:fldCharType="begin">
          <w:ffData>
            <w:name w:val="PLSH_DATE_Y"/>
            <w:enabled/>
            <w:calcOnExit w:val="0"/>
            <w:textInput>
              <w:default w:val="20XX"/>
              <w:maxLength w:val="4"/>
            </w:textInput>
          </w:ffData>
        </w:fldChar>
      </w:r>
      <w:bookmarkStart w:id="1" w:name="PLSH_DATE_Y"/>
      <w:r>
        <w:rPr>
          <w:rFonts w:ascii="黑体"/>
        </w:rPr>
        <w:instrText xml:space="preserve"> FORMTEXT </w:instrText>
      </w:r>
      <w:r>
        <w:rPr>
          <w:rFonts w:ascii="黑体"/>
        </w:rPr>
        <w:fldChar w:fldCharType="separate"/>
      </w:r>
      <w:r>
        <w:rPr>
          <w:rFonts w:ascii="黑体"/>
        </w:rPr>
        <w:t>20XX</w:t>
      </w:r>
      <w:r>
        <w:rPr>
          <w:rFonts w:ascii="黑体"/>
        </w:rPr>
        <w:fldChar w:fldCharType="end"/>
      </w:r>
      <w:bookmarkEnd w:id="1"/>
      <w:r>
        <w:rPr>
          <w:rFonts w:ascii="黑体"/>
        </w:rPr>
        <w:t>-</w:t>
      </w:r>
      <w:r>
        <w:rPr>
          <w:rFonts w:ascii="黑体"/>
        </w:rPr>
        <w:fldChar w:fldCharType="begin">
          <w:ffData>
            <w:name w:val="PLSH_DATE_M"/>
            <w:enabled/>
            <w:calcOnExit w:val="0"/>
            <w:textInput>
              <w:default w:val="XX"/>
              <w:maxLength w:val="2"/>
            </w:textInput>
          </w:ffData>
        </w:fldChar>
      </w:r>
      <w:bookmarkStart w:id="2"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2"/>
      <w:r>
        <w:rPr>
          <w:rFonts w:ascii="黑体"/>
        </w:rPr>
        <w:t>-</w:t>
      </w:r>
      <w:r>
        <w:rPr>
          <w:rFonts w:ascii="黑体"/>
        </w:rPr>
        <w:fldChar w:fldCharType="begin">
          <w:ffData>
            <w:name w:val="PLSH_DATE_D"/>
            <w:enabled/>
            <w:calcOnExit w:val="0"/>
            <w:textInput>
              <w:default w:val="XX"/>
              <w:maxLength w:val="2"/>
            </w:textInput>
          </w:ffData>
        </w:fldChar>
      </w:r>
      <w:bookmarkStart w:id="3"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3"/>
      <w:r>
        <w:rPr>
          <w:rFonts w:ascii="黑体"/>
        </w:rPr>
        <w:t xml:space="preserve"> </w:t>
      </w:r>
      <w:r>
        <w:rPr>
          <w:rFonts w:hint="eastAsia"/>
        </w:rPr>
        <w:t>发布</w:t>
      </w:r>
    </w:p>
    <w:p w14:paraId="081688F6">
      <w:pPr>
        <w:pStyle w:val="196"/>
        <w:framePr w:wrap="around" w:y="14176"/>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ascii="黑体"/>
        </w:rPr>
        <w:fldChar w:fldCharType="begin">
          <w:ffData>
            <w:name w:val="CROT_DATE_Y"/>
            <w:enabled/>
            <w:calcOnExit w:val="0"/>
            <w:textInput>
              <w:default w:val="20XX"/>
              <w:maxLength w:val="4"/>
            </w:textInput>
          </w:ffData>
        </w:fldChar>
      </w:r>
      <w:bookmarkStart w:id="4" w:name="CROT_DATE_Y"/>
      <w:r>
        <w:rPr>
          <w:rFonts w:ascii="黑体"/>
        </w:rPr>
        <w:instrText xml:space="preserve"> FORMTEXT </w:instrText>
      </w:r>
      <w:r>
        <w:rPr>
          <w:rFonts w:ascii="黑体"/>
        </w:rPr>
        <w:fldChar w:fldCharType="separate"/>
      </w:r>
      <w:r>
        <w:rPr>
          <w:rFonts w:ascii="黑体"/>
        </w:rPr>
        <w:t>20XX</w:t>
      </w:r>
      <w:r>
        <w:rPr>
          <w:rFonts w:ascii="黑体"/>
        </w:rPr>
        <w:fldChar w:fldCharType="end"/>
      </w:r>
      <w:bookmarkEnd w:id="4"/>
      <w:r>
        <w:rPr>
          <w:rFonts w:ascii="黑体"/>
        </w:rPr>
        <w:t>-</w:t>
      </w:r>
      <w:r>
        <w:rPr>
          <w:rFonts w:ascii="黑体"/>
        </w:rPr>
        <w:fldChar w:fldCharType="begin">
          <w:ffData>
            <w:name w:val="CROT_DATE_M"/>
            <w:enabled/>
            <w:calcOnExit w:val="0"/>
            <w:textInput>
              <w:default w:val="XX"/>
              <w:maxLength w:val="2"/>
            </w:textInput>
          </w:ffData>
        </w:fldChar>
      </w:r>
      <w:bookmarkStart w:id="5"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5"/>
      <w:r>
        <w:rPr>
          <w:rFonts w:ascii="黑体"/>
        </w:rPr>
        <w:t>-</w:t>
      </w:r>
      <w:r>
        <w:rPr>
          <w:rFonts w:ascii="黑体"/>
        </w:rPr>
        <w:fldChar w:fldCharType="begin">
          <w:ffData>
            <w:name w:val="CROT_DATE_D"/>
            <w:enabled/>
            <w:calcOnExit w:val="0"/>
            <w:textInput>
              <w:default w:val="XX"/>
              <w:maxLength w:val="2"/>
            </w:textInput>
          </w:ffData>
        </w:fldChar>
      </w:r>
      <w:bookmarkStart w:id="6"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6"/>
      <w:r>
        <w:rPr>
          <w:rFonts w:ascii="黑体"/>
        </w:rPr>
        <w:t xml:space="preserve"> </w:t>
      </w:r>
      <w:r>
        <w:rPr>
          <w:rFonts w:hint="eastAsia"/>
        </w:rPr>
        <w:t>实施</w:t>
      </w:r>
      <w:r>
        <w:rPr>
          <w:rFonts w:hAnsi="宋体" w:cs="宋体"/>
          <w:sz w:val="24"/>
          <w:szCs w:val="24"/>
        </w:rPr>
        <mc:AlternateContent>
          <mc:Choice Requires="wps">
            <w:drawing>
              <wp:anchor distT="0" distB="0" distL="114300" distR="114300" simplePos="0" relativeHeight="251667456" behindDoc="0" locked="1" layoutInCell="1" allowOverlap="1">
                <wp:simplePos x="0" y="0"/>
                <wp:positionH relativeFrom="margin">
                  <wp:align>center</wp:align>
                </wp:positionH>
                <wp:positionV relativeFrom="margin">
                  <wp:align>bottom</wp:align>
                </wp:positionV>
                <wp:extent cx="5760085" cy="36385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760085" cy="363855"/>
                        </a:xfrm>
                        <a:prstGeom prst="rect">
                          <a:avLst/>
                        </a:prstGeom>
                        <a:solidFill>
                          <a:srgbClr val="FFFFFF"/>
                        </a:solidFill>
                        <a:ln>
                          <a:noFill/>
                        </a:ln>
                      </wps:spPr>
                      <wps:txbx>
                        <w:txbxContent>
                          <w:p w14:paraId="5BA22515">
                            <w:pPr>
                              <w:spacing w:line="300" w:lineRule="auto"/>
                              <w:jc w:val="center"/>
                              <w:rPr>
                                <w:rFonts w:hAnsi="黑体"/>
                                <w:spacing w:val="20"/>
                              </w:rPr>
                            </w:pPr>
                            <w:r>
                              <w:rPr>
                                <w:rFonts w:hint="eastAsia" w:ascii="黑体" w:hAnsi="黑体" w:eastAsia="黑体"/>
                                <w:b/>
                                <w:bCs/>
                                <w:spacing w:val="85"/>
                                <w:sz w:val="40"/>
                                <w:szCs w:val="40"/>
                              </w:rPr>
                              <w:t>广东省中医药学会</w:t>
                            </w:r>
                            <w:r>
                              <w:rPr>
                                <w:rFonts w:hint="eastAsia" w:ascii="黑体" w:hAnsi="黑体" w:eastAsia="黑体"/>
                                <w:b/>
                                <w:bCs/>
                                <w:spacing w:val="85"/>
                                <w:position w:val="3"/>
                                <w:sz w:val="40"/>
                                <w:szCs w:val="40"/>
                              </w:rPr>
                              <w:t xml:space="preserve"> </w:t>
                            </w:r>
                            <w:r>
                              <w:rPr>
                                <w:rFonts w:hint="eastAsia" w:ascii="黑体" w:eastAsia="黑体"/>
                                <w:spacing w:val="85"/>
                                <w:position w:val="3"/>
                                <w:sz w:val="28"/>
                                <w:szCs w:val="28"/>
                              </w:rPr>
                              <w:t>发布</w:t>
                            </w:r>
                          </w:p>
                          <w:p w14:paraId="53C146CD">
                            <w:pPr>
                              <w:jc w:val="center"/>
                              <w:rPr>
                                <w:rFonts w:hAnsi="黑体"/>
                                <w:spacing w:val="20"/>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height:28.65pt;width:453.55pt;mso-position-horizontal:center;mso-position-horizontal-relative:margin;mso-position-vertical:bottom;mso-position-vertical-relative:margin;z-index:251667456;mso-width-relative:page;mso-height-relative:page;" fillcolor="#FFFFFF" filled="t" stroked="f" coordsize="21600,21600" o:gfxdata="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qWGU1QAA&#10;AAQBAAAPAAAAAAAAAAEAIAAAACIAAABkcnMvZG93bnJldi54bWxQSwECFAAUAAAACACHTuJAy28q&#10;DyECAAAwBAAADgAAAAAAAAABACAAAAAkAQAAZHJzL2Uyb0RvYy54bWxQSwUGAAAAAAYABgBZAQAA&#10;twUAAAAA&#10;">
                <v:fill on="t" focussize="0,0"/>
                <v:stroke on="f"/>
                <v:imagedata o:title=""/>
                <o:lock v:ext="edit" aspectratio="f"/>
                <v:textbox inset="0mm,0mm,0mm,0mm">
                  <w:txbxContent>
                    <w:p w14:paraId="5BA22515">
                      <w:pPr>
                        <w:spacing w:line="300" w:lineRule="auto"/>
                        <w:jc w:val="center"/>
                        <w:rPr>
                          <w:rFonts w:hAnsi="黑体"/>
                          <w:spacing w:val="20"/>
                        </w:rPr>
                      </w:pPr>
                      <w:r>
                        <w:rPr>
                          <w:rFonts w:hint="eastAsia" w:ascii="黑体" w:hAnsi="黑体" w:eastAsia="黑体"/>
                          <w:b/>
                          <w:bCs/>
                          <w:spacing w:val="85"/>
                          <w:sz w:val="40"/>
                          <w:szCs w:val="40"/>
                        </w:rPr>
                        <w:t>广东省中医药学会</w:t>
                      </w:r>
                      <w:r>
                        <w:rPr>
                          <w:rFonts w:hint="eastAsia" w:ascii="黑体" w:hAnsi="黑体" w:eastAsia="黑体"/>
                          <w:b/>
                          <w:bCs/>
                          <w:spacing w:val="85"/>
                          <w:position w:val="3"/>
                          <w:sz w:val="40"/>
                          <w:szCs w:val="40"/>
                        </w:rPr>
                        <w:t xml:space="preserve"> </w:t>
                      </w:r>
                      <w:r>
                        <w:rPr>
                          <w:rFonts w:hint="eastAsia" w:ascii="黑体" w:eastAsia="黑体"/>
                          <w:spacing w:val="85"/>
                          <w:position w:val="3"/>
                          <w:sz w:val="28"/>
                          <w:szCs w:val="28"/>
                        </w:rPr>
                        <w:t>发布</w:t>
                      </w:r>
                    </w:p>
                    <w:p w14:paraId="53C146CD">
                      <w:pPr>
                        <w:jc w:val="center"/>
                        <w:rPr>
                          <w:rFonts w:hAnsi="黑体"/>
                          <w:spacing w:val="20"/>
                        </w:rPr>
                      </w:pPr>
                    </w:p>
                  </w:txbxContent>
                </v:textbox>
                <w10:anchorlock/>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1943100</wp:posOffset>
                </wp:positionV>
                <wp:extent cx="5759450" cy="0"/>
                <wp:effectExtent l="0" t="0" r="0" b="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top:153pt;height:0pt;width:453.5pt;mso-position-horizontal:left;mso-position-horizontal-relative:margin;z-index:251666432;mso-width-relative:page;mso-height-relative:page;" filled="f" stroked="t" coordsize="21600,21600" o:gfxdata="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tqECtYA&#10;AAAIAQAADwAAAAAAAAABACAAAAAiAAAAZHJzL2Rvd25yZXYueG1sUEsBAhQAFAAAAAgAh07iQA/G&#10;6eboAQAArQMAAA4AAAAAAAAAAQAgAAAAJQEAAGRycy9lMm9Eb2MueG1sUEsFBgAAAAAGAAYAWQEA&#10;AH8FAAAAAA==&#10;">
                <v:fill on="f" focussize="0,0"/>
                <v:stroke weight="1pt" color="#080000" joinstyle="round"/>
                <v:imagedata o:title=""/>
                <o:lock v:ext="edit" aspectratio="f"/>
              </v:line>
            </w:pict>
          </mc:Fallback>
        </mc:AlternateContent>
      </w:r>
      <w:r>
        <w:rPr>
          <w:rFonts w:ascii="宋体" w:hAnsi="宋体" w:cs="宋体"/>
          <w:kern w:val="0"/>
          <w:sz w:val="24"/>
          <w:szCs w:val="24"/>
        </w:rP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margin">
                  <wp:posOffset>1000760</wp:posOffset>
                </wp:positionV>
                <wp:extent cx="5759450" cy="391160"/>
                <wp:effectExtent l="0" t="0" r="0" b="8890"/>
                <wp:wrapNone/>
                <wp:docPr id="1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59450" cy="391160"/>
                        </a:xfrm>
                        <a:prstGeom prst="rect">
                          <a:avLst/>
                        </a:prstGeom>
                        <a:solidFill>
                          <a:srgbClr val="FFFFFF"/>
                        </a:solidFill>
                        <a:ln>
                          <a:noFill/>
                        </a:ln>
                      </wps:spPr>
                      <wps:txbx>
                        <w:txbxContent>
                          <w:p w14:paraId="3D0A773A">
                            <w:pPr>
                              <w:pStyle w:val="152"/>
                              <w:ind w:right="99" w:rightChars="47"/>
                            </w:pPr>
                            <w:r>
                              <w:rPr>
                                <w:rFonts w:hint="eastAsia"/>
                              </w:rPr>
                              <w:t>团体标准</w:t>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top:78.8pt;height:30.8pt;width:453.5pt;mso-position-horizontal:left;mso-position-horizontal-relative:margin;mso-position-vertical-relative:margin;z-index:251661312;mso-width-relative:page;mso-height-relative:page;" fillcolor="#FFFFFF" filled="t" stroked="f" coordsize="21600,21600" o:gfxdata="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sWkWrX&#10;AAAACAEAAA8AAAAAAAAAAQAgAAAAIgAAAGRycy9kb3ducmV2LnhtbFBLAQIUABQAAAAIAIdO4kAv&#10;FNt9IQIAAC8EAAAOAAAAAAAAAAEAIAAAACYBAABkcnMvZTJvRG9jLnhtbFBLBQYAAAAABgAGAFkB&#10;AAC5BQAAAAA=&#10;">
                <v:fill on="t" focussize="0,0"/>
                <v:stroke on="f"/>
                <v:imagedata o:title=""/>
                <o:lock v:ext="edit" aspectratio="f"/>
                <v:textbox inset="0mm,0mm,0mm,0mm">
                  <w:txbxContent>
                    <w:p w14:paraId="3D0A773A">
                      <w:pPr>
                        <w:pStyle w:val="152"/>
                        <w:ind w:right="99" w:rightChars="47"/>
                      </w:pPr>
                      <w:r>
                        <w:rPr>
                          <w:rFonts w:hint="eastAsia"/>
                        </w:rPr>
                        <w:t>团体标准</w:t>
                      </w:r>
                    </w:p>
                  </w:txbxContent>
                </v:textbox>
                <w10:anchorlock/>
              </v:shape>
            </w:pict>
          </mc:Fallback>
        </mc:AlternateContent>
      </w:r>
      <w:r>
        <w:rPr>
          <w:rFonts w:ascii="宋体" w:hAnsi="宋体" w:cs="宋体"/>
          <w:kern w:val="0"/>
          <w:sz w:val="24"/>
          <w:szCs w:val="24"/>
        </w:rPr>
        <w:drawing>
          <wp:anchor distT="0" distB="0" distL="114300" distR="114300" simplePos="0" relativeHeight="251663360" behindDoc="0" locked="0" layoutInCell="1" allowOverlap="1">
            <wp:simplePos x="0" y="0"/>
            <wp:positionH relativeFrom="margin">
              <wp:posOffset>9348470</wp:posOffset>
            </wp:positionH>
            <wp:positionV relativeFrom="topMargin">
              <wp:posOffset>990600</wp:posOffset>
            </wp:positionV>
            <wp:extent cx="1079500" cy="1083310"/>
            <wp:effectExtent l="0" t="0" r="6350" b="254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79500" cy="1083310"/>
                    </a:xfrm>
                    <a:prstGeom prst="rect">
                      <a:avLst/>
                    </a:prstGeom>
                    <a:noFill/>
                  </pic:spPr>
                </pic:pic>
              </a:graphicData>
            </a:graphic>
          </wp:anchor>
        </w:drawing>
      </w:r>
      <w:r>
        <w:rPr>
          <w:rFonts w:ascii="宋体" w:hAnsi="宋体" w:cs="宋体"/>
          <w:kern w:val="0"/>
          <w:sz w:val="24"/>
          <w:szCs w:val="24"/>
        </w:rP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topMargin">
                  <wp:posOffset>850900</wp:posOffset>
                </wp:positionV>
                <wp:extent cx="942975" cy="489585"/>
                <wp:effectExtent l="0" t="0" r="9525" b="5715"/>
                <wp:wrapNone/>
                <wp:docPr id="7"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42975" cy="489585"/>
                        </a:xfrm>
                        <a:prstGeom prst="rect">
                          <a:avLst/>
                        </a:prstGeom>
                        <a:solidFill>
                          <a:srgbClr val="FFFFFF"/>
                        </a:solidFill>
                        <a:ln>
                          <a:noFill/>
                        </a:ln>
                      </wps:spPr>
                      <wps:txbx>
                        <w:txbxContent>
                          <w:p w14:paraId="236080D5">
                            <w:pPr>
                              <w:rPr>
                                <w:rFonts w:ascii="Times New Roman"/>
                              </w:rPr>
                            </w:pPr>
                            <w:r>
                              <w:rPr>
                                <w:rFonts w:ascii="Times New Roman"/>
                                <w:b/>
                                <w:bCs/>
                              </w:rPr>
                              <w:t xml:space="preserve">ICS </w:t>
                            </w:r>
                            <w:r>
                              <w:rPr>
                                <w:rFonts w:hint="eastAsia" w:ascii="MS Gothic" w:hAnsi="MS Gothic" w:eastAsia="MS Gothic"/>
                              </w:rPr>
                              <w:t>11.020</w:t>
                            </w:r>
                          </w:p>
                          <w:p w14:paraId="0688F2D4">
                            <w:pPr>
                              <w:rPr>
                                <w:rFonts w:ascii="Times New Roman"/>
                              </w:rPr>
                            </w:pPr>
                            <w:r>
                              <w:rPr>
                                <w:rFonts w:ascii="Times New Roman"/>
                                <w:b/>
                                <w:bCs/>
                              </w:rPr>
                              <w:t>C</w:t>
                            </w:r>
                            <w:r>
                              <w:rPr>
                                <w:rFonts w:ascii="Times New Roman"/>
                              </w:rPr>
                              <w:t xml:space="preserve"> </w:t>
                            </w:r>
                            <w:r>
                              <w:rPr>
                                <w:rFonts w:hint="eastAsia" w:ascii="MS Gothic" w:hAnsi="MS Gothic" w:eastAsia="MS Gothic"/>
                              </w:rPr>
                              <w:t>05</w:t>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left:70.9pt;margin-top:67pt;height:38.55pt;width:74.25pt;mso-position-horizontal-relative:page;mso-position-vertical-relative:page;z-index:251664384;mso-width-relative:page;mso-height-relative:page;" fillcolor="#FFFFFF" filled="t" stroked="f" coordsize="21600,21600" o:gfxdata="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4IFQzX&#10;AAAACAEAAA8AAAAAAAAAAQAgAAAAIgAAAGRycy9kb3ducmV2LnhtbFBLAQIUABQAAAAIAIdO4kDa&#10;Rz/uIQIAAC0EAAAOAAAAAAAAAAEAIAAAACYBAABkcnMvZTJvRG9jLnhtbFBLBQYAAAAABgAGAFkB&#10;AAC5BQAAAAA=&#10;">
                <v:fill on="t" focussize="0,0"/>
                <v:stroke on="f"/>
                <v:imagedata o:title=""/>
                <o:lock v:ext="edit" aspectratio="f"/>
                <v:textbox inset="0mm,0mm,0mm,0mm">
                  <w:txbxContent>
                    <w:p w14:paraId="236080D5">
                      <w:pPr>
                        <w:rPr>
                          <w:rFonts w:ascii="Times New Roman"/>
                        </w:rPr>
                      </w:pPr>
                      <w:r>
                        <w:rPr>
                          <w:rFonts w:ascii="Times New Roman"/>
                          <w:b/>
                          <w:bCs/>
                        </w:rPr>
                        <w:t xml:space="preserve">ICS </w:t>
                      </w:r>
                      <w:r>
                        <w:rPr>
                          <w:rFonts w:hint="eastAsia" w:ascii="MS Gothic" w:hAnsi="MS Gothic" w:eastAsia="MS Gothic"/>
                        </w:rPr>
                        <w:t>11.020</w:t>
                      </w:r>
                    </w:p>
                    <w:p w14:paraId="0688F2D4">
                      <w:pPr>
                        <w:rPr>
                          <w:rFonts w:ascii="Times New Roman"/>
                        </w:rPr>
                      </w:pPr>
                      <w:r>
                        <w:rPr>
                          <w:rFonts w:ascii="Times New Roman"/>
                          <w:b/>
                          <w:bCs/>
                        </w:rPr>
                        <w:t>C</w:t>
                      </w:r>
                      <w:r>
                        <w:rPr>
                          <w:rFonts w:ascii="Times New Roman"/>
                        </w:rPr>
                        <w:t xml:space="preserve"> </w:t>
                      </w:r>
                      <w:r>
                        <w:rPr>
                          <w:rFonts w:hint="eastAsia" w:ascii="MS Gothic" w:hAnsi="MS Gothic" w:eastAsia="MS Gothic"/>
                        </w:rPr>
                        <w:t>05</w:t>
                      </w:r>
                    </w:p>
                  </w:txbxContent>
                </v:textbox>
                <w10:anchorlock/>
              </v:shape>
            </w:pict>
          </mc:Fallback>
        </mc:AlternateContent>
      </w:r>
      <w:r>
        <w:rPr>
          <w:rFonts w:ascii="宋体" w:hAnsi="宋体" w:cs="宋体"/>
          <w:kern w:val="0"/>
          <w:sz w:val="24"/>
          <w:szCs w:val="24"/>
        </w:rP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margin">
                  <wp:posOffset>1481455</wp:posOffset>
                </wp:positionV>
                <wp:extent cx="5759450" cy="42735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759450" cy="427355"/>
                        </a:xfrm>
                        <a:prstGeom prst="rect">
                          <a:avLst/>
                        </a:prstGeom>
                        <a:solidFill>
                          <a:srgbClr val="FFFFFF"/>
                        </a:solidFill>
                        <a:ln>
                          <a:noFill/>
                        </a:ln>
                      </wps:spPr>
                      <wps:txbx>
                        <w:txbxContent>
                          <w:p w14:paraId="2010C60A">
                            <w:pPr>
                              <w:pStyle w:val="235"/>
                            </w:pPr>
                            <w:r>
                              <w:rPr>
                                <w:rFonts w:hint="eastAsia"/>
                              </w:rPr>
                              <w:t>T/GDACM XXXX—20XX</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116.65pt;height:33.65pt;width:453.5pt;mso-position-horizontal:left;mso-position-horizontal-relative:margin;mso-position-vertical-relative:margin;z-index:251662336;mso-width-relative:page;mso-height-relative:page;" fillcolor="#FFFFFF" filled="t" stroked="f" coordsize="21600,21600" o:gfxdata="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ciXxDX&#10;AAAACAEAAA8AAAAAAAAAAQAgAAAAIgAAAGRycy9kb3ducmV2LnhtbFBLAQIUABQAAAAIAIdO4kDE&#10;b7Z2IQIAAC4EAAAOAAAAAAAAAAEAIAAAACYBAABkcnMvZTJvRG9jLnhtbFBLBQYAAAAABgAGAFkB&#10;AAC5BQAAAAA=&#10;">
                <v:fill on="t" focussize="0,0"/>
                <v:stroke on="f"/>
                <v:imagedata o:title=""/>
                <o:lock v:ext="edit" aspectratio="f"/>
                <v:textbox inset="0mm,0mm,0mm,0mm">
                  <w:txbxContent>
                    <w:p w14:paraId="2010C60A">
                      <w:pPr>
                        <w:pStyle w:val="235"/>
                      </w:pPr>
                      <w:r>
                        <w:rPr>
                          <w:rFonts w:hint="eastAsia"/>
                        </w:rPr>
                        <w:t>T/GDACM XXXX—20XX</w:t>
                      </w:r>
                    </w:p>
                  </w:txbxContent>
                </v:textbox>
                <w10:anchorlock/>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1189355</wp:posOffset>
                </wp:positionV>
                <wp:extent cx="5759450"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top:93.65pt;height:0pt;width:453.5pt;mso-position-horizontal:left;mso-position-horizontal-relative:margin;z-index:251660288;mso-width-relative:page;mso-height-relative:page;" filled="f" stroked="t" coordsize="21600,21600" o:gfxdata="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RDdjNUAAAAI&#10;AQAADwAAAAAAAAABACAAAAAiAAAAZHJzL2Rvd25yZXYueG1sUEsBAhQAFAAAAAgAh07iQCaXCvbm&#10;AQAAqwMAAA4AAAAAAAAAAQAgAAAAJAEAAGRycy9lMm9Eb2MueG1sUEsFBgAAAAAGAAYAWQEAAHwF&#10;AAAAAA==&#10;">
                <v:fill on="f" focussize="0,0"/>
                <v:stroke weight="1pt" color="#080000" joinstyle="round"/>
                <v:imagedata o:title=""/>
                <o:lock v:ext="edit" aspectratio="f"/>
              </v:line>
            </w:pict>
          </mc:Fallback>
        </mc:AlternateContent>
      </w:r>
      <w:r>
        <w:rPr>
          <w:rFonts w:hint="eastAsia" w:ascii="宋体" w:hAnsi="宋体"/>
          <w:sz w:val="28"/>
          <w:szCs w:val="28"/>
        </w:rPr>
        <mc:AlternateContent>
          <mc:Choice Requires="wps">
            <w:drawing>
              <wp:anchor distT="0" distB="0" distL="114300" distR="114300" simplePos="0" relativeHeight="251659264"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59264;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1CF01513">
      <w:pPr>
        <w:pStyle w:val="93"/>
        <w:spacing w:after="360"/>
        <w:jc w:val="both"/>
        <w:rPr>
          <w:spacing w:val="320"/>
        </w:rPr>
        <w:sectPr>
          <w:headerReference r:id="rId9" w:type="default"/>
          <w:footerReference r:id="rId11" w:type="default"/>
          <w:headerReference r:id="rId10" w:type="even"/>
          <w:pgSz w:w="11906" w:h="16838"/>
          <w:pgMar w:top="2410" w:right="1134" w:bottom="1134" w:left="1134" w:header="1418" w:footer="1134" w:gutter="284"/>
          <w:pgNumType w:fmt="upperRoman" w:start="1"/>
          <w:cols w:space="425" w:num="1"/>
          <w:formProt w:val="0"/>
          <w:docGrid w:linePitch="312" w:charSpace="0"/>
        </w:sectPr>
      </w:pPr>
      <w:bookmarkStart w:id="7" w:name="BookMark1"/>
      <w:bookmarkStart w:id="8" w:name="_Toc91516491"/>
      <w:bookmarkStart w:id="9" w:name="_Toc91513415"/>
      <w:bookmarkStart w:id="10" w:name="_Toc91513478"/>
      <w:bookmarkStart w:id="11" w:name="_Toc91513403"/>
    </w:p>
    <w:p w14:paraId="20015203">
      <w:pPr>
        <w:pStyle w:val="93"/>
        <w:spacing w:after="360"/>
      </w:pPr>
      <w:bookmarkStart w:id="12" w:name="_Hlk97499017"/>
      <w:r>
        <w:rPr>
          <w:rFonts w:hint="eastAsia"/>
          <w:spacing w:val="320"/>
        </w:rPr>
        <w:t>目录</w:t>
      </w:r>
    </w:p>
    <w:bookmarkEnd w:id="12"/>
    <w:p w14:paraId="78E05B88">
      <w:pPr>
        <w:pStyle w:val="20"/>
        <w:tabs>
          <w:tab w:val="right" w:leader="dot" w:pos="9354"/>
        </w:tabs>
      </w:pPr>
      <w:bookmarkStart w:id="13" w:name="muci"/>
      <w:bookmarkEnd w:id="13"/>
      <w:r>
        <w:fldChar w:fldCharType="begin"/>
      </w:r>
      <w:r>
        <w:instrText xml:space="preserve">TOC \o "1-2" \h \u </w:instrText>
      </w:r>
      <w:r>
        <w:fldChar w:fldCharType="separate"/>
      </w:r>
      <w:r>
        <w:fldChar w:fldCharType="begin"/>
      </w:r>
      <w:r>
        <w:instrText xml:space="preserve"> HYPERLINK \l _Toc19790 </w:instrText>
      </w:r>
      <w:r>
        <w:fldChar w:fldCharType="separate"/>
      </w:r>
      <w:r>
        <w:t>前言</w:t>
      </w:r>
      <w:r>
        <w:tab/>
      </w:r>
      <w:r>
        <w:fldChar w:fldCharType="begin"/>
      </w:r>
      <w:r>
        <w:instrText xml:space="preserve"> PAGEREF _Toc19790 \h </w:instrText>
      </w:r>
      <w:r>
        <w:fldChar w:fldCharType="separate"/>
      </w:r>
      <w:r>
        <w:t>III</w:t>
      </w:r>
      <w:r>
        <w:fldChar w:fldCharType="end"/>
      </w:r>
      <w:r>
        <w:fldChar w:fldCharType="end"/>
      </w:r>
    </w:p>
    <w:p w14:paraId="4D2FC883">
      <w:pPr>
        <w:pStyle w:val="20"/>
        <w:tabs>
          <w:tab w:val="right" w:leader="dot" w:pos="9354"/>
        </w:tabs>
      </w:pPr>
      <w:r>
        <w:fldChar w:fldCharType="begin"/>
      </w:r>
      <w:r>
        <w:instrText xml:space="preserve"> HYPERLINK \l _Toc17511 </w:instrText>
      </w:r>
      <w:r>
        <w:fldChar w:fldCharType="separate"/>
      </w:r>
      <w:r>
        <w:t>引言</w:t>
      </w:r>
      <w:r>
        <w:tab/>
      </w:r>
      <w:r>
        <w:fldChar w:fldCharType="begin"/>
      </w:r>
      <w:r>
        <w:instrText xml:space="preserve"> PAGEREF _Toc17511 \h </w:instrText>
      </w:r>
      <w:r>
        <w:fldChar w:fldCharType="separate"/>
      </w:r>
      <w:r>
        <w:t>IV</w:t>
      </w:r>
      <w:r>
        <w:fldChar w:fldCharType="end"/>
      </w:r>
      <w:r>
        <w:fldChar w:fldCharType="end"/>
      </w:r>
    </w:p>
    <w:p w14:paraId="40E83DE4">
      <w:pPr>
        <w:pStyle w:val="20"/>
        <w:tabs>
          <w:tab w:val="right" w:leader="dot" w:pos="9354"/>
        </w:tabs>
      </w:pPr>
      <w:r>
        <w:fldChar w:fldCharType="begin"/>
      </w:r>
      <w:r>
        <w:instrText xml:space="preserve"> HYPERLINK \l _Toc19252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_Toc19252 \h </w:instrText>
      </w:r>
      <w:r>
        <w:fldChar w:fldCharType="separate"/>
      </w:r>
      <w:r>
        <w:t>1</w:t>
      </w:r>
      <w:r>
        <w:fldChar w:fldCharType="end"/>
      </w:r>
      <w:r>
        <w:fldChar w:fldCharType="end"/>
      </w:r>
    </w:p>
    <w:p w14:paraId="3A8886E9">
      <w:pPr>
        <w:pStyle w:val="20"/>
        <w:tabs>
          <w:tab w:val="right" w:leader="dot" w:pos="9354"/>
        </w:tabs>
      </w:pPr>
      <w:r>
        <w:fldChar w:fldCharType="begin"/>
      </w:r>
      <w:r>
        <w:instrText xml:space="preserve"> HYPERLINK \l _Toc9078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_Toc9078 \h </w:instrText>
      </w:r>
      <w:r>
        <w:fldChar w:fldCharType="separate"/>
      </w:r>
      <w:r>
        <w:t>1</w:t>
      </w:r>
      <w:r>
        <w:fldChar w:fldCharType="end"/>
      </w:r>
      <w:r>
        <w:fldChar w:fldCharType="end"/>
      </w:r>
    </w:p>
    <w:p w14:paraId="7B681C24">
      <w:pPr>
        <w:pStyle w:val="20"/>
        <w:tabs>
          <w:tab w:val="right" w:leader="dot" w:pos="9354"/>
        </w:tabs>
      </w:pPr>
      <w:r>
        <w:fldChar w:fldCharType="begin"/>
      </w:r>
      <w:r>
        <w:instrText xml:space="preserve"> HYPERLINK \l _Toc483 </w:instrText>
      </w:r>
      <w:r>
        <w:fldChar w:fldCharType="separate"/>
      </w:r>
      <w:r>
        <w:rPr>
          <w:rFonts w:hint="eastAsia" w:ascii="黑体" w:eastAsia="黑体"/>
          <w:i w:val="0"/>
        </w:rPr>
        <w:t xml:space="preserve">3 </w:t>
      </w:r>
      <w:r>
        <w:rPr>
          <w:rFonts w:hint="eastAsia"/>
          <w:szCs w:val="21"/>
        </w:rPr>
        <w:t>术语和定义</w:t>
      </w:r>
      <w:r>
        <w:tab/>
      </w:r>
      <w:r>
        <w:fldChar w:fldCharType="begin"/>
      </w:r>
      <w:r>
        <w:instrText xml:space="preserve"> PAGEREF _Toc483 \h </w:instrText>
      </w:r>
      <w:r>
        <w:fldChar w:fldCharType="separate"/>
      </w:r>
      <w:r>
        <w:t>1</w:t>
      </w:r>
      <w:r>
        <w:fldChar w:fldCharType="end"/>
      </w:r>
      <w:r>
        <w:fldChar w:fldCharType="end"/>
      </w:r>
    </w:p>
    <w:p w14:paraId="4D6BEAB5">
      <w:pPr>
        <w:pStyle w:val="20"/>
        <w:tabs>
          <w:tab w:val="right" w:leader="dot" w:pos="9354"/>
        </w:tabs>
      </w:pPr>
      <w:r>
        <w:fldChar w:fldCharType="begin"/>
      </w:r>
      <w:r>
        <w:instrText xml:space="preserve"> HYPERLINK \l _Toc26994 </w:instrText>
      </w:r>
      <w:r>
        <w:fldChar w:fldCharType="separate"/>
      </w:r>
      <w:r>
        <w:rPr>
          <w:rFonts w:hint="eastAsia" w:ascii="黑体" w:eastAsia="黑体"/>
          <w:i w:val="0"/>
        </w:rPr>
        <w:t xml:space="preserve">4 </w:t>
      </w:r>
      <w:r>
        <w:rPr>
          <w:rFonts w:hint="eastAsia"/>
          <w:lang w:val="en-US" w:eastAsia="zh-CN"/>
        </w:rPr>
        <w:t>诊断</w:t>
      </w:r>
      <w:r>
        <w:tab/>
      </w:r>
      <w:r>
        <w:fldChar w:fldCharType="begin"/>
      </w:r>
      <w:r>
        <w:instrText xml:space="preserve"> PAGEREF _Toc26994 \h </w:instrText>
      </w:r>
      <w:r>
        <w:fldChar w:fldCharType="separate"/>
      </w:r>
      <w:r>
        <w:t>1</w:t>
      </w:r>
      <w:r>
        <w:fldChar w:fldCharType="end"/>
      </w:r>
      <w:r>
        <w:fldChar w:fldCharType="end"/>
      </w:r>
    </w:p>
    <w:p w14:paraId="3D6C0E72">
      <w:pPr>
        <w:pStyle w:val="25"/>
        <w:tabs>
          <w:tab w:val="right" w:leader="dot" w:pos="9354"/>
          <w:tab w:val="clear" w:pos="9344"/>
        </w:tabs>
      </w:pPr>
      <w:r>
        <w:fldChar w:fldCharType="begin"/>
      </w:r>
      <w:r>
        <w:instrText xml:space="preserve"> HYPERLINK \l _Toc16627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rPr>
        <w:t>三步定位诊断</w:t>
      </w:r>
      <w:r>
        <w:tab/>
      </w:r>
      <w:r>
        <w:fldChar w:fldCharType="begin"/>
      </w:r>
      <w:r>
        <w:instrText xml:space="preserve"> PAGEREF _Toc16627 \h </w:instrText>
      </w:r>
      <w:r>
        <w:fldChar w:fldCharType="separate"/>
      </w:r>
      <w:r>
        <w:t>1</w:t>
      </w:r>
      <w:r>
        <w:fldChar w:fldCharType="end"/>
      </w:r>
      <w:r>
        <w:fldChar w:fldCharType="end"/>
      </w:r>
    </w:p>
    <w:p w14:paraId="2C2A8CBA">
      <w:pPr>
        <w:pStyle w:val="25"/>
        <w:tabs>
          <w:tab w:val="right" w:leader="dot" w:pos="9354"/>
          <w:tab w:val="clear" w:pos="9344"/>
        </w:tabs>
      </w:pPr>
      <w:r>
        <w:fldChar w:fldCharType="begin"/>
      </w:r>
      <w:r>
        <w:instrText xml:space="preserve"> HYPERLINK \l _Toc3028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rPr>
        <w:t>量表评估</w:t>
      </w:r>
      <w:r>
        <w:tab/>
      </w:r>
      <w:r>
        <w:fldChar w:fldCharType="begin"/>
      </w:r>
      <w:r>
        <w:instrText xml:space="preserve"> PAGEREF _Toc3028 \h </w:instrText>
      </w:r>
      <w:r>
        <w:fldChar w:fldCharType="separate"/>
      </w:r>
      <w:r>
        <w:t>10</w:t>
      </w:r>
      <w:r>
        <w:fldChar w:fldCharType="end"/>
      </w:r>
      <w:r>
        <w:fldChar w:fldCharType="end"/>
      </w:r>
    </w:p>
    <w:p w14:paraId="3784E85A">
      <w:pPr>
        <w:pStyle w:val="25"/>
        <w:tabs>
          <w:tab w:val="right" w:leader="dot" w:pos="9354"/>
          <w:tab w:val="clear" w:pos="9344"/>
        </w:tabs>
      </w:pPr>
      <w:r>
        <w:fldChar w:fldCharType="begin"/>
      </w:r>
      <w:r>
        <w:instrText xml:space="preserve"> HYPERLINK \l _Toc819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rPr>
        <w:t>鉴别诊断</w:t>
      </w:r>
      <w:r>
        <w:tab/>
      </w:r>
      <w:r>
        <w:fldChar w:fldCharType="begin"/>
      </w:r>
      <w:r>
        <w:instrText xml:space="preserve"> PAGEREF _Toc819 \h </w:instrText>
      </w:r>
      <w:r>
        <w:fldChar w:fldCharType="separate"/>
      </w:r>
      <w:r>
        <w:t>11</w:t>
      </w:r>
      <w:r>
        <w:fldChar w:fldCharType="end"/>
      </w:r>
      <w:r>
        <w:fldChar w:fldCharType="end"/>
      </w:r>
    </w:p>
    <w:p w14:paraId="1F6766AF">
      <w:pPr>
        <w:pStyle w:val="20"/>
        <w:tabs>
          <w:tab w:val="right" w:leader="dot" w:pos="9354"/>
        </w:tabs>
      </w:pPr>
      <w:r>
        <w:fldChar w:fldCharType="begin"/>
      </w:r>
      <w:r>
        <w:instrText xml:space="preserve"> HYPERLINK \l _Toc28806 </w:instrText>
      </w:r>
      <w:r>
        <w:fldChar w:fldCharType="separate"/>
      </w:r>
      <w:r>
        <w:rPr>
          <w:rFonts w:hint="eastAsia" w:ascii="黑体" w:eastAsia="黑体"/>
          <w:i w:val="0"/>
        </w:rPr>
        <w:t xml:space="preserve">5 </w:t>
      </w:r>
      <w:r>
        <w:rPr>
          <w:rFonts w:hint="eastAsia"/>
        </w:rPr>
        <w:t>操作步骤与要求：四步十法</w:t>
      </w:r>
      <w:r>
        <w:tab/>
      </w:r>
      <w:r>
        <w:fldChar w:fldCharType="begin"/>
      </w:r>
      <w:r>
        <w:instrText xml:space="preserve"> PAGEREF _Toc28806 \h </w:instrText>
      </w:r>
      <w:r>
        <w:fldChar w:fldCharType="separate"/>
      </w:r>
      <w:r>
        <w:t>12</w:t>
      </w:r>
      <w:r>
        <w:fldChar w:fldCharType="end"/>
      </w:r>
      <w:r>
        <w:fldChar w:fldCharType="end"/>
      </w:r>
    </w:p>
    <w:p w14:paraId="0FC335C8">
      <w:pPr>
        <w:pStyle w:val="25"/>
        <w:tabs>
          <w:tab w:val="right" w:leader="dot" w:pos="9354"/>
          <w:tab w:val="clear" w:pos="9344"/>
        </w:tabs>
      </w:pPr>
      <w:r>
        <w:fldChar w:fldCharType="begin"/>
      </w:r>
      <w:r>
        <w:instrText xml:space="preserve"> HYPERLINK \l _Toc23534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rPr>
        <w:t>第一步放松手法</w:t>
      </w:r>
      <w:r>
        <w:tab/>
      </w:r>
      <w:r>
        <w:fldChar w:fldCharType="begin"/>
      </w:r>
      <w:r>
        <w:instrText xml:space="preserve"> PAGEREF _Toc23534 \h </w:instrText>
      </w:r>
      <w:r>
        <w:fldChar w:fldCharType="separate"/>
      </w:r>
      <w:r>
        <w:t>12</w:t>
      </w:r>
      <w:r>
        <w:fldChar w:fldCharType="end"/>
      </w:r>
      <w:r>
        <w:fldChar w:fldCharType="end"/>
      </w:r>
    </w:p>
    <w:p w14:paraId="4D839242">
      <w:pPr>
        <w:pStyle w:val="25"/>
        <w:tabs>
          <w:tab w:val="right" w:leader="dot" w:pos="9354"/>
          <w:tab w:val="clear" w:pos="9344"/>
        </w:tabs>
      </w:pPr>
      <w:r>
        <w:fldChar w:fldCharType="begin"/>
      </w:r>
      <w:r>
        <w:instrText xml:space="preserve"> HYPERLINK \l _Toc13955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rPr>
        <w:t>第二步正骨手法</w:t>
      </w:r>
      <w:r>
        <w:tab/>
      </w:r>
      <w:r>
        <w:fldChar w:fldCharType="begin"/>
      </w:r>
      <w:r>
        <w:instrText xml:space="preserve"> PAGEREF _Toc13955 \h </w:instrText>
      </w:r>
      <w:r>
        <w:fldChar w:fldCharType="separate"/>
      </w:r>
      <w:r>
        <w:t>12</w:t>
      </w:r>
      <w:r>
        <w:fldChar w:fldCharType="end"/>
      </w:r>
      <w:r>
        <w:fldChar w:fldCharType="end"/>
      </w:r>
    </w:p>
    <w:p w14:paraId="360948DD">
      <w:pPr>
        <w:pStyle w:val="25"/>
        <w:tabs>
          <w:tab w:val="right" w:leader="dot" w:pos="9354"/>
          <w:tab w:val="clear" w:pos="9344"/>
        </w:tabs>
      </w:pPr>
      <w:r>
        <w:fldChar w:fldCharType="begin"/>
      </w:r>
      <w:r>
        <w:instrText xml:space="preserve"> HYPERLINK \l _Toc27531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rPr>
        <w:t>第三步强壮手法</w:t>
      </w:r>
      <w:r>
        <w:tab/>
      </w:r>
      <w:r>
        <w:fldChar w:fldCharType="begin"/>
      </w:r>
      <w:r>
        <w:instrText xml:space="preserve"> PAGEREF _Toc27531 \h </w:instrText>
      </w:r>
      <w:r>
        <w:fldChar w:fldCharType="separate"/>
      </w:r>
      <w:r>
        <w:t>25</w:t>
      </w:r>
      <w:r>
        <w:fldChar w:fldCharType="end"/>
      </w:r>
      <w:r>
        <w:fldChar w:fldCharType="end"/>
      </w:r>
    </w:p>
    <w:p w14:paraId="74D73EAE">
      <w:pPr>
        <w:pStyle w:val="25"/>
        <w:tabs>
          <w:tab w:val="right" w:leader="dot" w:pos="9354"/>
          <w:tab w:val="clear" w:pos="9344"/>
        </w:tabs>
      </w:pPr>
      <w:r>
        <w:fldChar w:fldCharType="begin"/>
      </w:r>
      <w:r>
        <w:instrText xml:space="preserve"> HYPERLINK \l _Toc27784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rPr>
        <w:t>第四部痛区手法</w:t>
      </w:r>
      <w:r>
        <w:tab/>
      </w:r>
      <w:r>
        <w:fldChar w:fldCharType="begin"/>
      </w:r>
      <w:r>
        <w:instrText xml:space="preserve"> PAGEREF _Toc27784 \h </w:instrText>
      </w:r>
      <w:r>
        <w:fldChar w:fldCharType="separate"/>
      </w:r>
      <w:r>
        <w:t>25</w:t>
      </w:r>
      <w:r>
        <w:fldChar w:fldCharType="end"/>
      </w:r>
      <w:r>
        <w:fldChar w:fldCharType="end"/>
      </w:r>
    </w:p>
    <w:p w14:paraId="222657E4">
      <w:pPr>
        <w:pStyle w:val="20"/>
        <w:tabs>
          <w:tab w:val="right" w:leader="dot" w:pos="9354"/>
        </w:tabs>
      </w:pPr>
      <w:r>
        <w:fldChar w:fldCharType="begin"/>
      </w:r>
      <w:r>
        <w:instrText xml:space="preserve"> HYPERLINK \l _Toc32258 </w:instrText>
      </w:r>
      <w:r>
        <w:fldChar w:fldCharType="separate"/>
      </w:r>
      <w:r>
        <w:rPr>
          <w:rFonts w:hint="eastAsia" w:ascii="黑体" w:eastAsia="黑体"/>
          <w:i w:val="0"/>
        </w:rPr>
        <w:t xml:space="preserve">6 </w:t>
      </w:r>
      <w:r>
        <w:rPr>
          <w:rFonts w:hint="eastAsia"/>
        </w:rPr>
        <w:t>治疗疗程</w:t>
      </w:r>
      <w:r>
        <w:tab/>
      </w:r>
      <w:r>
        <w:fldChar w:fldCharType="begin"/>
      </w:r>
      <w:r>
        <w:instrText xml:space="preserve"> PAGEREF _Toc32258 \h </w:instrText>
      </w:r>
      <w:r>
        <w:fldChar w:fldCharType="separate"/>
      </w:r>
      <w:r>
        <w:t>26</w:t>
      </w:r>
      <w:r>
        <w:fldChar w:fldCharType="end"/>
      </w:r>
      <w:r>
        <w:fldChar w:fldCharType="end"/>
      </w:r>
    </w:p>
    <w:p w14:paraId="6FE7754B">
      <w:pPr>
        <w:pStyle w:val="20"/>
        <w:tabs>
          <w:tab w:val="right" w:leader="dot" w:pos="9354"/>
        </w:tabs>
      </w:pPr>
      <w:r>
        <w:fldChar w:fldCharType="begin"/>
      </w:r>
      <w:r>
        <w:instrText xml:space="preserve"> HYPERLINK \l _Toc28212 </w:instrText>
      </w:r>
      <w:r>
        <w:fldChar w:fldCharType="separate"/>
      </w:r>
      <w:r>
        <w:rPr>
          <w:rFonts w:hint="eastAsia" w:ascii="黑体" w:eastAsia="黑体"/>
          <w:i w:val="0"/>
        </w:rPr>
        <w:t xml:space="preserve">7 </w:t>
      </w:r>
      <w:r>
        <w:rPr>
          <w:rFonts w:hint="eastAsia"/>
        </w:rPr>
        <w:t>注意事项</w:t>
      </w:r>
      <w:r>
        <w:tab/>
      </w:r>
      <w:r>
        <w:fldChar w:fldCharType="begin"/>
      </w:r>
      <w:r>
        <w:instrText xml:space="preserve"> PAGEREF _Toc28212 \h </w:instrText>
      </w:r>
      <w:r>
        <w:fldChar w:fldCharType="separate"/>
      </w:r>
      <w:r>
        <w:t>26</w:t>
      </w:r>
      <w:r>
        <w:fldChar w:fldCharType="end"/>
      </w:r>
      <w:r>
        <w:fldChar w:fldCharType="end"/>
      </w:r>
    </w:p>
    <w:p w14:paraId="573FD11D">
      <w:pPr>
        <w:pStyle w:val="20"/>
        <w:tabs>
          <w:tab w:val="right" w:leader="dot" w:pos="9354"/>
        </w:tabs>
      </w:pPr>
      <w:r>
        <w:fldChar w:fldCharType="begin"/>
      </w:r>
      <w:r>
        <w:instrText xml:space="preserve"> HYPERLINK \l _Toc18923 </w:instrText>
      </w:r>
      <w:r>
        <w:fldChar w:fldCharType="separate"/>
      </w:r>
      <w:r>
        <w:rPr>
          <w:rFonts w:hint="eastAsia" w:ascii="黑体" w:eastAsia="黑体"/>
          <w:i w:val="0"/>
        </w:rPr>
        <w:t xml:space="preserve">8 </w:t>
      </w:r>
      <w:r>
        <w:rPr>
          <w:rFonts w:hint="eastAsia"/>
        </w:rPr>
        <w:t>适应症</w:t>
      </w:r>
      <w:r>
        <w:tab/>
      </w:r>
      <w:r>
        <w:fldChar w:fldCharType="begin"/>
      </w:r>
      <w:r>
        <w:instrText xml:space="preserve"> PAGEREF _Toc18923 \h </w:instrText>
      </w:r>
      <w:r>
        <w:fldChar w:fldCharType="separate"/>
      </w:r>
      <w:r>
        <w:t>26</w:t>
      </w:r>
      <w:r>
        <w:fldChar w:fldCharType="end"/>
      </w:r>
      <w:r>
        <w:fldChar w:fldCharType="end"/>
      </w:r>
    </w:p>
    <w:p w14:paraId="6DADFD28">
      <w:pPr>
        <w:pStyle w:val="20"/>
        <w:tabs>
          <w:tab w:val="right" w:leader="dot" w:pos="9354"/>
        </w:tabs>
      </w:pPr>
      <w:r>
        <w:fldChar w:fldCharType="begin"/>
      </w:r>
      <w:r>
        <w:instrText xml:space="preserve"> HYPERLINK \l _Toc9037 </w:instrText>
      </w:r>
      <w:r>
        <w:fldChar w:fldCharType="separate"/>
      </w:r>
      <w:r>
        <w:rPr>
          <w:rFonts w:hint="eastAsia" w:ascii="黑体" w:eastAsia="黑体"/>
          <w:i w:val="0"/>
        </w:rPr>
        <w:t xml:space="preserve">9 </w:t>
      </w:r>
      <w:r>
        <w:rPr>
          <w:rFonts w:hint="eastAsia"/>
        </w:rPr>
        <w:t>禁忌症</w:t>
      </w:r>
      <w:r>
        <w:tab/>
      </w:r>
      <w:r>
        <w:fldChar w:fldCharType="begin"/>
      </w:r>
      <w:r>
        <w:instrText xml:space="preserve"> PAGEREF _Toc9037 \h </w:instrText>
      </w:r>
      <w:r>
        <w:fldChar w:fldCharType="separate"/>
      </w:r>
      <w:r>
        <w:t>26</w:t>
      </w:r>
      <w:r>
        <w:fldChar w:fldCharType="end"/>
      </w:r>
      <w:r>
        <w:fldChar w:fldCharType="end"/>
      </w:r>
    </w:p>
    <w:p w14:paraId="041248C8">
      <w:pPr>
        <w:pStyle w:val="25"/>
        <w:tabs>
          <w:tab w:val="right" w:leader="dot" w:pos="9354"/>
          <w:tab w:val="clear" w:pos="9344"/>
        </w:tabs>
      </w:pPr>
      <w:r>
        <w:fldChar w:fldCharType="begin"/>
      </w:r>
      <w:r>
        <w:instrText xml:space="preserve"> HYPERLINK \l _Toc15683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9.1 </w:t>
      </w:r>
      <w:r>
        <w:rPr>
          <w:rFonts w:hint="eastAsia"/>
        </w:rPr>
        <w:t>绝对禁忌症</w:t>
      </w:r>
      <w:r>
        <w:tab/>
      </w:r>
      <w:r>
        <w:fldChar w:fldCharType="begin"/>
      </w:r>
      <w:r>
        <w:instrText xml:space="preserve"> PAGEREF _Toc15683 \h </w:instrText>
      </w:r>
      <w:r>
        <w:fldChar w:fldCharType="separate"/>
      </w:r>
      <w:r>
        <w:t>26</w:t>
      </w:r>
      <w:r>
        <w:fldChar w:fldCharType="end"/>
      </w:r>
      <w:r>
        <w:fldChar w:fldCharType="end"/>
      </w:r>
    </w:p>
    <w:p w14:paraId="73D1C731">
      <w:pPr>
        <w:pStyle w:val="25"/>
        <w:tabs>
          <w:tab w:val="right" w:leader="dot" w:pos="9354"/>
          <w:tab w:val="clear" w:pos="9344"/>
        </w:tabs>
      </w:pPr>
      <w:r>
        <w:fldChar w:fldCharType="begin"/>
      </w:r>
      <w:r>
        <w:instrText xml:space="preserve"> HYPERLINK \l _Toc31233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9.2 </w:t>
      </w:r>
      <w:r>
        <w:rPr>
          <w:rFonts w:hint="eastAsia"/>
        </w:rPr>
        <w:t>相对禁忌症</w:t>
      </w:r>
      <w:r>
        <w:tab/>
      </w:r>
      <w:r>
        <w:fldChar w:fldCharType="begin"/>
      </w:r>
      <w:r>
        <w:instrText xml:space="preserve"> PAGEREF _Toc31233 \h </w:instrText>
      </w:r>
      <w:r>
        <w:fldChar w:fldCharType="separate"/>
      </w:r>
      <w:r>
        <w:t>26</w:t>
      </w:r>
      <w:r>
        <w:fldChar w:fldCharType="end"/>
      </w:r>
      <w:r>
        <w:fldChar w:fldCharType="end"/>
      </w:r>
    </w:p>
    <w:p w14:paraId="6F54B023">
      <w:pPr>
        <w:pStyle w:val="20"/>
        <w:tabs>
          <w:tab w:val="right" w:leader="dot" w:pos="9354"/>
        </w:tabs>
      </w:pPr>
      <w:r>
        <w:fldChar w:fldCharType="begin"/>
      </w:r>
      <w:r>
        <w:instrText xml:space="preserve"> HYPERLINK \l _Toc27926 </w:instrText>
      </w:r>
      <w:r>
        <w:fldChar w:fldCharType="separate"/>
      </w:r>
      <w:r>
        <w:rPr>
          <w:rFonts w:hint="eastAsia" w:ascii="黑体" w:eastAsia="黑体"/>
          <w:i w:val="0"/>
        </w:rPr>
        <w:t xml:space="preserve">10 </w:t>
      </w:r>
      <w:r>
        <w:rPr>
          <w:rFonts w:hint="eastAsia"/>
        </w:rPr>
        <w:t>相关风险的预评估及处置预案</w:t>
      </w:r>
      <w:r>
        <w:tab/>
      </w:r>
      <w:r>
        <w:fldChar w:fldCharType="begin"/>
      </w:r>
      <w:r>
        <w:instrText xml:space="preserve"> PAGEREF _Toc27926 \h </w:instrText>
      </w:r>
      <w:r>
        <w:fldChar w:fldCharType="separate"/>
      </w:r>
      <w:r>
        <w:t>26</w:t>
      </w:r>
      <w:r>
        <w:fldChar w:fldCharType="end"/>
      </w:r>
      <w:r>
        <w:fldChar w:fldCharType="end"/>
      </w:r>
    </w:p>
    <w:p w14:paraId="44FDCD76">
      <w:pPr>
        <w:pStyle w:val="25"/>
        <w:tabs>
          <w:tab w:val="right" w:leader="dot" w:pos="9354"/>
          <w:tab w:val="clear" w:pos="9344"/>
        </w:tabs>
      </w:pPr>
      <w:r>
        <w:fldChar w:fldCharType="begin"/>
      </w:r>
      <w:r>
        <w:instrText xml:space="preserve"> HYPERLINK \l _Toc31837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10.1 </w:t>
      </w:r>
      <w:r>
        <w:rPr>
          <w:rFonts w:hint="eastAsia"/>
        </w:rPr>
        <w:t>昏厥</w:t>
      </w:r>
      <w:r>
        <w:tab/>
      </w:r>
      <w:r>
        <w:fldChar w:fldCharType="begin"/>
      </w:r>
      <w:r>
        <w:instrText xml:space="preserve"> PAGEREF _Toc31837 \h </w:instrText>
      </w:r>
      <w:r>
        <w:fldChar w:fldCharType="separate"/>
      </w:r>
      <w:r>
        <w:t>26</w:t>
      </w:r>
      <w:r>
        <w:fldChar w:fldCharType="end"/>
      </w:r>
      <w:r>
        <w:fldChar w:fldCharType="end"/>
      </w:r>
    </w:p>
    <w:p w14:paraId="677B23C6">
      <w:pPr>
        <w:pStyle w:val="25"/>
        <w:tabs>
          <w:tab w:val="right" w:leader="dot" w:pos="9354"/>
          <w:tab w:val="clear" w:pos="9344"/>
        </w:tabs>
      </w:pPr>
      <w:r>
        <w:fldChar w:fldCharType="begin"/>
      </w:r>
      <w:r>
        <w:instrText xml:space="preserve"> HYPERLINK \l _Toc10153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10.2 </w:t>
      </w:r>
      <w:r>
        <w:rPr>
          <w:rFonts w:hint="eastAsia"/>
        </w:rPr>
        <w:t>急性疼痛</w:t>
      </w:r>
      <w:r>
        <w:tab/>
      </w:r>
      <w:r>
        <w:fldChar w:fldCharType="begin"/>
      </w:r>
      <w:r>
        <w:instrText xml:space="preserve"> PAGEREF _Toc10153 \h </w:instrText>
      </w:r>
      <w:r>
        <w:fldChar w:fldCharType="separate"/>
      </w:r>
      <w:r>
        <w:t>26</w:t>
      </w:r>
      <w:r>
        <w:fldChar w:fldCharType="end"/>
      </w:r>
      <w:r>
        <w:fldChar w:fldCharType="end"/>
      </w:r>
    </w:p>
    <w:p w14:paraId="53456FF9">
      <w:pPr>
        <w:pStyle w:val="25"/>
        <w:tabs>
          <w:tab w:val="right" w:leader="dot" w:pos="9354"/>
          <w:tab w:val="clear" w:pos="9344"/>
        </w:tabs>
      </w:pPr>
      <w:r>
        <w:fldChar w:fldCharType="begin"/>
      </w:r>
      <w:r>
        <w:instrText xml:space="preserve"> HYPERLINK \l _Toc8784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10.3 </w:t>
      </w:r>
      <w:r>
        <w:rPr>
          <w:rFonts w:hint="eastAsia"/>
        </w:rPr>
        <w:t>伤筋或骨折</w:t>
      </w:r>
      <w:r>
        <w:tab/>
      </w:r>
      <w:r>
        <w:fldChar w:fldCharType="begin"/>
      </w:r>
      <w:r>
        <w:instrText xml:space="preserve"> PAGEREF _Toc8784 \h </w:instrText>
      </w:r>
      <w:r>
        <w:fldChar w:fldCharType="separate"/>
      </w:r>
      <w:r>
        <w:t>27</w:t>
      </w:r>
      <w:r>
        <w:fldChar w:fldCharType="end"/>
      </w:r>
      <w:r>
        <w:fldChar w:fldCharType="end"/>
      </w:r>
    </w:p>
    <w:p w14:paraId="6C3FF9E2">
      <w:pPr>
        <w:pStyle w:val="20"/>
        <w:tabs>
          <w:tab w:val="right" w:leader="dot" w:pos="9354"/>
        </w:tabs>
      </w:pPr>
      <w:r>
        <w:fldChar w:fldCharType="begin"/>
      </w:r>
      <w:r>
        <w:instrText xml:space="preserve"> HYPERLINK \l _Toc25829 </w:instrText>
      </w:r>
      <w:r>
        <w:fldChar w:fldCharType="separate"/>
      </w:r>
      <w:r>
        <w:rPr>
          <w:rFonts w:hint="eastAsia"/>
          <w:spacing w:val="0"/>
          <w:w w:val="100"/>
          <w:kern w:val="0"/>
        </w:rPr>
        <w:t xml:space="preserve">附　录　A </w:t>
      </w:r>
      <w:r>
        <w:t xml:space="preserve"> </w:t>
      </w:r>
      <w:r>
        <w:rPr>
          <w:rFonts w:hint="eastAsia"/>
        </w:rPr>
        <w:t>（资料性）</w:t>
      </w:r>
      <w:r>
        <w:rPr>
          <w:rFonts w:hint="eastAsia" w:ascii="Calibri" w:hAnsi="Calibri" w:eastAsia="宋体"/>
          <w:bCs/>
          <w:kern w:val="2"/>
          <w:szCs w:val="22"/>
        </w:rPr>
        <w:t>视觉模拟法疼痛评分（VAS）</w:t>
      </w:r>
      <w:r>
        <w:tab/>
      </w:r>
      <w:r>
        <w:fldChar w:fldCharType="begin"/>
      </w:r>
      <w:r>
        <w:instrText xml:space="preserve"> PAGEREF _Toc25829 \h </w:instrText>
      </w:r>
      <w:r>
        <w:fldChar w:fldCharType="separate"/>
      </w:r>
      <w:r>
        <w:t>28</w:t>
      </w:r>
      <w:r>
        <w:fldChar w:fldCharType="end"/>
      </w:r>
      <w:r>
        <w:fldChar w:fldCharType="end"/>
      </w:r>
    </w:p>
    <w:p w14:paraId="74CB4E7E">
      <w:pPr>
        <w:pStyle w:val="20"/>
        <w:tabs>
          <w:tab w:val="right" w:leader="dot" w:pos="9354"/>
        </w:tabs>
      </w:pPr>
      <w:r>
        <w:fldChar w:fldCharType="begin"/>
      </w:r>
      <w:r>
        <w:instrText xml:space="preserve"> HYPERLINK \l _Toc19702 </w:instrText>
      </w:r>
      <w:r>
        <w:fldChar w:fldCharType="separate"/>
      </w:r>
      <w:r>
        <w:rPr>
          <w:rFonts w:hint="eastAsia"/>
          <w:spacing w:val="0"/>
          <w:w w:val="100"/>
          <w:kern w:val="0"/>
        </w:rPr>
        <w:t xml:space="preserve">附　录　B </w:t>
      </w:r>
      <w:r>
        <w:t xml:space="preserve"> </w:t>
      </w:r>
      <w:r>
        <w:rPr>
          <w:rFonts w:hint="eastAsia"/>
        </w:rPr>
        <w:t>（资料性）</w:t>
      </w:r>
      <w:r>
        <w:t xml:space="preserve"> </w:t>
      </w:r>
      <w:r>
        <w:rPr>
          <w:rFonts w:hint="eastAsia" w:ascii="Calibri" w:hAnsi="Calibri" w:eastAsia="宋体"/>
          <w:bCs/>
          <w:kern w:val="2"/>
          <w:szCs w:val="22"/>
        </w:rPr>
        <w:t>JOA评分量表</w:t>
      </w:r>
      <w:r>
        <w:tab/>
      </w:r>
      <w:r>
        <w:fldChar w:fldCharType="begin"/>
      </w:r>
      <w:r>
        <w:instrText xml:space="preserve"> PAGEREF _Toc19702 \h </w:instrText>
      </w:r>
      <w:r>
        <w:fldChar w:fldCharType="separate"/>
      </w:r>
      <w:r>
        <w:t>29</w:t>
      </w:r>
      <w:r>
        <w:fldChar w:fldCharType="end"/>
      </w:r>
      <w:r>
        <w:fldChar w:fldCharType="end"/>
      </w:r>
    </w:p>
    <w:p w14:paraId="5B3F2C73">
      <w:pPr>
        <w:pStyle w:val="20"/>
        <w:tabs>
          <w:tab w:val="right" w:leader="dot" w:pos="9354"/>
        </w:tabs>
      </w:pPr>
      <w:r>
        <w:fldChar w:fldCharType="begin"/>
      </w:r>
      <w:r>
        <w:instrText xml:space="preserve"> HYPERLINK \l _Toc28422 </w:instrText>
      </w:r>
      <w:r>
        <w:fldChar w:fldCharType="separate"/>
      </w:r>
      <w:r>
        <w:rPr>
          <w:rFonts w:hint="eastAsia"/>
          <w:spacing w:val="0"/>
          <w:w w:val="100"/>
          <w:kern w:val="0"/>
        </w:rPr>
        <w:t xml:space="preserve">附　录　C </w:t>
      </w:r>
      <w:r>
        <w:t xml:space="preserve"> </w:t>
      </w:r>
      <w:r>
        <w:rPr>
          <w:rFonts w:hint="eastAsia"/>
        </w:rPr>
        <w:t>（资料性）</w:t>
      </w:r>
      <w:r>
        <w:rPr>
          <w:rFonts w:hint="default" w:ascii="Calibri" w:hAnsi="Calibri" w:cs="Calibri"/>
        </w:rPr>
        <w:t>ODI</w:t>
      </w:r>
      <w:r>
        <w:rPr>
          <w:rFonts w:hint="eastAsia"/>
        </w:rPr>
        <w:t>评分量表</w:t>
      </w:r>
      <w:r>
        <w:tab/>
      </w:r>
      <w:r>
        <w:fldChar w:fldCharType="begin"/>
      </w:r>
      <w:r>
        <w:instrText xml:space="preserve"> PAGEREF _Toc28422 \h </w:instrText>
      </w:r>
      <w:r>
        <w:fldChar w:fldCharType="separate"/>
      </w:r>
      <w:r>
        <w:t>32</w:t>
      </w:r>
      <w:r>
        <w:fldChar w:fldCharType="end"/>
      </w:r>
      <w:r>
        <w:fldChar w:fldCharType="end"/>
      </w:r>
    </w:p>
    <w:p w14:paraId="7F4E8D43">
      <w:pPr>
        <w:pStyle w:val="58"/>
        <w:spacing w:line="300" w:lineRule="exact"/>
        <w:ind w:firstLine="420"/>
      </w:pPr>
      <w:r>
        <w:fldChar w:fldCharType="end"/>
      </w:r>
    </w:p>
    <w:p w14:paraId="05BA8EB9">
      <w:pPr>
        <w:pStyle w:val="58"/>
        <w:spacing w:line="300" w:lineRule="exact"/>
        <w:ind w:firstLine="420"/>
        <w:sectPr>
          <w:headerReference r:id="rId12" w:type="default"/>
          <w:footerReference r:id="rId13" w:type="default"/>
          <w:type w:val="oddPage"/>
          <w:pgSz w:w="11906" w:h="16838"/>
          <w:pgMar w:top="2410" w:right="1134" w:bottom="1134" w:left="1134" w:header="1418" w:footer="1134" w:gutter="284"/>
          <w:pgNumType w:fmt="upperRoman" w:start="1"/>
          <w:cols w:space="425" w:num="1"/>
          <w:formProt w:val="0"/>
          <w:docGrid w:linePitch="312" w:charSpace="0"/>
        </w:sectPr>
      </w:pPr>
    </w:p>
    <w:bookmarkEnd w:id="7"/>
    <w:p w14:paraId="04A08CE1">
      <w:pPr>
        <w:pStyle w:val="91"/>
        <w:spacing w:after="360"/>
        <w:rPr>
          <w:spacing w:val="320"/>
        </w:rPr>
        <w:sectPr>
          <w:headerReference r:id="rId14" w:type="even"/>
          <w:footerReference r:id="rId15" w:type="even"/>
          <w:pgSz w:w="11906" w:h="16838"/>
          <w:pgMar w:top="2410" w:right="1134" w:bottom="1134" w:left="1134" w:header="1418" w:footer="1134" w:gutter="284"/>
          <w:pgNumType w:fmt="upperRoman"/>
          <w:cols w:space="425" w:num="1"/>
          <w:formProt w:val="0"/>
          <w:docGrid w:linePitch="312" w:charSpace="0"/>
        </w:sectPr>
      </w:pPr>
      <w:bookmarkStart w:id="14" w:name="BookMark2"/>
      <w:bookmarkStart w:id="134" w:name="_GoBack"/>
      <w:bookmarkEnd w:id="134"/>
    </w:p>
    <w:p w14:paraId="53BE1A22">
      <w:pPr>
        <w:pStyle w:val="91"/>
        <w:spacing w:after="360"/>
        <w:ind w:left="3826" w:leftChars="1822" w:right="4250" w:rightChars="2024" w:firstLine="0"/>
        <w:jc w:val="distribute"/>
      </w:pPr>
      <w:bookmarkStart w:id="15" w:name="_Toc6337"/>
      <w:bookmarkStart w:id="16" w:name="_Toc19790"/>
      <w:r>
        <w:t>前言</w:t>
      </w:r>
      <w:bookmarkEnd w:id="8"/>
      <w:bookmarkEnd w:id="9"/>
      <w:bookmarkEnd w:id="10"/>
      <w:bookmarkEnd w:id="11"/>
      <w:bookmarkEnd w:id="15"/>
      <w:bookmarkEnd w:id="16"/>
    </w:p>
    <w:p w14:paraId="2B76FBFA">
      <w:pPr>
        <w:pStyle w:val="58"/>
        <w:spacing w:line="300" w:lineRule="auto"/>
        <w:ind w:firstLine="420"/>
        <w:rPr>
          <w:rFonts w:hint="eastAsia"/>
        </w:rPr>
      </w:pPr>
      <w:r>
        <w:rPr>
          <w:rFonts w:hint="eastAsia"/>
        </w:rPr>
        <w:t>本文件按照GB/T 1.1—2020《标准化工作导则  第1部分：标准化文件的结构和起草规则》的规定起草。</w:t>
      </w:r>
    </w:p>
    <w:p w14:paraId="169F7ED8">
      <w:pPr>
        <w:pStyle w:val="58"/>
        <w:spacing w:line="300" w:lineRule="auto"/>
        <w:ind w:firstLine="420"/>
        <w:rPr>
          <w:rFonts w:hint="eastAsia"/>
          <w:lang w:val="en-US" w:eastAsia="zh-CN"/>
        </w:rPr>
      </w:pPr>
      <w:r>
        <w:rPr>
          <w:rFonts w:hint="eastAsia"/>
          <w:lang w:val="en-US" w:eastAsia="zh-CN"/>
        </w:rPr>
        <w:t xml:space="preserve">本文件由广东省第二中医院（广东省中医药工程技术研究院）提出。 </w:t>
      </w:r>
    </w:p>
    <w:p w14:paraId="24259295">
      <w:pPr>
        <w:pStyle w:val="58"/>
        <w:spacing w:line="300" w:lineRule="auto"/>
        <w:ind w:firstLine="420"/>
        <w:rPr>
          <w:rFonts w:hint="eastAsia"/>
          <w:lang w:val="en-US" w:eastAsia="zh-CN"/>
        </w:rPr>
      </w:pPr>
      <w:r>
        <w:rPr>
          <w:rFonts w:hint="eastAsia"/>
          <w:lang w:val="en-US" w:eastAsia="zh-CN"/>
        </w:rPr>
        <w:t>本文件由广东省中医药学会归口。</w:t>
      </w:r>
    </w:p>
    <w:p w14:paraId="231124E9">
      <w:pPr>
        <w:pStyle w:val="58"/>
        <w:spacing w:line="300" w:lineRule="auto"/>
        <w:ind w:firstLine="420"/>
        <w:rPr>
          <w:rFonts w:hint="eastAsia"/>
          <w:lang w:val="en-US" w:eastAsia="zh-CN"/>
        </w:rPr>
      </w:pPr>
      <w:r>
        <w:rPr>
          <w:rFonts w:hint="eastAsia"/>
          <w:lang w:val="en-US" w:eastAsia="zh-CN"/>
        </w:rPr>
        <w:t>本文件起草单位：广东省第二中医院、南部战区总医院、广州中医药大学第一附属医院、广州中医药大学第三附属医院、佛山市中医院、香港苏安莎中医诊所、澳门医思医疗中心。</w:t>
      </w:r>
    </w:p>
    <w:p w14:paraId="3C5DF8BF">
      <w:pPr>
        <w:pStyle w:val="58"/>
        <w:spacing w:line="300" w:lineRule="auto"/>
        <w:ind w:firstLine="420"/>
        <w:rPr>
          <w:rFonts w:hint="eastAsia"/>
          <w:lang w:val="en-US" w:eastAsia="zh-CN"/>
        </w:rPr>
      </w:pPr>
      <w:r>
        <w:rPr>
          <w:rFonts w:hint="eastAsia"/>
          <w:lang w:val="en-US" w:eastAsia="zh-CN"/>
        </w:rPr>
        <w:t>本文件主要起草人：范德辉、林颖、苏美意、廖军锋、罗孟西、欧志文、李明明、袁智先、张振宁、杨淑荃、梁满光、钟毅恒、黎子轩、何泳芝。</w:t>
      </w:r>
    </w:p>
    <w:p w14:paraId="5E69A467">
      <w:pPr>
        <w:pStyle w:val="58"/>
        <w:ind w:firstLine="420"/>
        <w:rPr>
          <w:rFonts w:hint="eastAsia" w:ascii="宋体" w:hAnsi="Times New Roman" w:eastAsia="宋体" w:cs="Times New Roman"/>
          <w:kern w:val="0"/>
          <w:sz w:val="21"/>
          <w:szCs w:val="20"/>
          <w:lang w:val="en-US" w:eastAsia="zh-CN" w:bidi="ar-SA"/>
        </w:rPr>
      </w:pPr>
    </w:p>
    <w:p w14:paraId="6DD096CB">
      <w:pPr>
        <w:pStyle w:val="58"/>
        <w:ind w:firstLine="0" w:firstLineChars="0"/>
        <w:rPr>
          <w:rFonts w:hint="eastAsia" w:ascii="宋体" w:hAnsi="Times New Roman" w:eastAsia="宋体" w:cs="Times New Roman"/>
          <w:kern w:val="0"/>
          <w:sz w:val="21"/>
          <w:szCs w:val="20"/>
          <w:lang w:val="en-US" w:eastAsia="zh-CN" w:bidi="ar-SA"/>
        </w:rPr>
        <w:sectPr>
          <w:headerReference r:id="rId16" w:type="default"/>
          <w:type w:val="oddPage"/>
          <w:pgSz w:w="11906" w:h="16838"/>
          <w:pgMar w:top="2410" w:right="1134" w:bottom="1134" w:left="1134" w:header="1418" w:footer="1134" w:gutter="284"/>
          <w:pgNumType w:fmt="upperRoman"/>
          <w:cols w:space="425" w:num="1"/>
          <w:formProt w:val="0"/>
          <w:docGrid w:linePitch="312" w:charSpace="0"/>
        </w:sectPr>
      </w:pPr>
    </w:p>
    <w:bookmarkEnd w:id="14"/>
    <w:p w14:paraId="6828414D">
      <w:pPr>
        <w:pStyle w:val="91"/>
        <w:spacing w:after="360"/>
        <w:ind w:left="3826" w:leftChars="1822" w:right="4250" w:rightChars="2024" w:firstLine="0"/>
        <w:jc w:val="distribute"/>
      </w:pPr>
      <w:bookmarkStart w:id="17" w:name="_Toc91513416"/>
      <w:bookmarkStart w:id="18" w:name="_Toc91513404"/>
      <w:bookmarkStart w:id="19" w:name="_Toc28469"/>
      <w:bookmarkStart w:id="20" w:name="_Toc91516492"/>
      <w:bookmarkStart w:id="21" w:name="_Toc91513479"/>
      <w:bookmarkStart w:id="22" w:name="_Toc17511"/>
      <w:bookmarkStart w:id="23" w:name="BookMark3"/>
      <w:r>
        <w:t>引言</w:t>
      </w:r>
      <w:bookmarkEnd w:id="17"/>
      <w:bookmarkEnd w:id="18"/>
      <w:bookmarkEnd w:id="19"/>
      <w:bookmarkEnd w:id="20"/>
      <w:bookmarkEnd w:id="21"/>
      <w:bookmarkEnd w:id="22"/>
    </w:p>
    <w:p w14:paraId="3CC422F3">
      <w:pPr>
        <w:pStyle w:val="58"/>
        <w:spacing w:line="300" w:lineRule="auto"/>
        <w:ind w:firstLine="420"/>
      </w:pPr>
      <w:r>
        <w:rPr>
          <w:rFonts w:hint="eastAsia"/>
        </w:rPr>
        <w:t>动正整脊手法，也称龙氏治脊疗法、龙氏正骨手法，由广州军区广州总医院龙层花教授与魏征教授在传承与发展的基础上创立，以传统的中医推拿正骨为基础，结合现代脊柱生理解剖学、生物力学，进行革新形成的一套治疗脊柱相关性疾病的手法。动正整脊手法已被广泛运用于临床，经临床研究证实其稳准、轻巧、安全有效，治疗颈、腰疼痛的疗效尤其显著。动正整脊手法主要针对脊柱周围软组织劳损、椎间小关节功能紊乱、关节错位、脊椎椎间盘突出等疾病进行有效的治疗。</w:t>
      </w:r>
    </w:p>
    <w:p w14:paraId="0CEAB8E0">
      <w:pPr>
        <w:pStyle w:val="58"/>
        <w:spacing w:line="300" w:lineRule="auto"/>
        <w:ind w:firstLine="420"/>
        <w:sectPr>
          <w:headerReference r:id="rId17" w:type="even"/>
          <w:pgSz w:w="11906" w:h="16838"/>
          <w:pgMar w:top="2410" w:right="1134" w:bottom="1134" w:left="1134" w:header="1418" w:footer="1134" w:gutter="284"/>
          <w:pgNumType w:fmt="upperRoman"/>
          <w:cols w:space="425" w:num="1"/>
          <w:formProt w:val="0"/>
          <w:docGrid w:linePitch="312" w:charSpace="0"/>
        </w:sectPr>
      </w:pPr>
      <w:r>
        <w:rPr>
          <w:rFonts w:hint="eastAsia"/>
        </w:rPr>
        <w:t>本文件的制定规范了针灸推拿及中西医康复专业领域医师、治疗师等专业技术人员的诊疗行为，形成了科学、规范、统一的“动正整脊手法治疗脊柱疾病关节错位（腰椎）技术规范”操作标准，以便统一教学和临床推广应用和科学研究，保障推拿医疗安全和学科健康发展，使之更加系统化、科学化，为中医推拿的国际教育及诊疗市场的竞争力提供坚实的保障，有利于该技术在临</w:t>
      </w:r>
      <w:r>
        <w:t>床合理实施以及在全国范围内的推广应用，提高科学和实用价值，促进该技术的良性发展。</w:t>
      </w:r>
    </w:p>
    <w:bookmarkEnd w:id="23"/>
    <w:p w14:paraId="1F8471A6">
      <w:pPr>
        <w:spacing w:line="20" w:lineRule="exact"/>
        <w:jc w:val="center"/>
        <w:rPr>
          <w:rFonts w:ascii="黑体" w:hAnsi="黑体" w:eastAsia="黑体"/>
          <w:sz w:val="32"/>
          <w:szCs w:val="32"/>
        </w:rPr>
      </w:pPr>
      <w:bookmarkStart w:id="24" w:name="BookMark4"/>
    </w:p>
    <w:p w14:paraId="03C7B2BC">
      <w:pPr>
        <w:spacing w:line="20" w:lineRule="exact"/>
        <w:jc w:val="center"/>
        <w:rPr>
          <w:rFonts w:ascii="黑体" w:hAnsi="黑体" w:eastAsia="黑体"/>
          <w:sz w:val="32"/>
          <w:szCs w:val="32"/>
        </w:rPr>
      </w:pPr>
    </w:p>
    <w:sdt>
      <w:sdtPr>
        <w:tag w:val="NEW_STAND_NAME"/>
        <w:id w:val="595910757"/>
        <w:lock w:val="sdtLocked"/>
        <w:placeholder>
          <w:docPart w:val="4C4821467A3B4DB589874826D41FF7B1"/>
        </w:placeholder>
      </w:sdtPr>
      <w:sdtContent>
        <w:p w14:paraId="25EBC281">
          <w:pPr>
            <w:pStyle w:val="179"/>
            <w:spacing w:before="2" w:beforeLines="1" w:after="528" w:afterLines="220"/>
          </w:pPr>
          <w:bookmarkStart w:id="25" w:name="NEW_STAND_NAME"/>
          <w:r>
            <w:rPr>
              <w:rFonts w:hint="eastAsia"/>
            </w:rPr>
            <w:t>标准名称</w:t>
          </w:r>
        </w:p>
      </w:sdtContent>
    </w:sdt>
    <w:bookmarkEnd w:id="25"/>
    <w:p w14:paraId="555BBF1C">
      <w:pPr>
        <w:pStyle w:val="106"/>
        <w:spacing w:before="240" w:after="240"/>
      </w:pPr>
      <w:bookmarkStart w:id="26" w:name="_Toc17233325"/>
      <w:bookmarkStart w:id="27" w:name="_Toc24884218"/>
      <w:bookmarkStart w:id="28" w:name="_Toc91513417"/>
      <w:bookmarkStart w:id="29" w:name="_Toc24884211"/>
      <w:bookmarkStart w:id="30" w:name="_Toc17878"/>
      <w:bookmarkStart w:id="31" w:name="_Toc26718930"/>
      <w:bookmarkStart w:id="32" w:name="_Toc91516493"/>
      <w:bookmarkStart w:id="33" w:name="_Toc26986771"/>
      <w:bookmarkStart w:id="34" w:name="_Toc91496116"/>
      <w:bookmarkStart w:id="35" w:name="_Toc91513480"/>
      <w:bookmarkStart w:id="36" w:name="_Toc91513405"/>
      <w:bookmarkStart w:id="37" w:name="_Toc26648465"/>
      <w:bookmarkStart w:id="38" w:name="_Toc17233333"/>
      <w:bookmarkStart w:id="39" w:name="_Toc26986530"/>
      <w:bookmarkStart w:id="40" w:name="_Toc19252"/>
      <w:r>
        <w:rPr>
          <w:rFonts w:hint="eastAsia"/>
        </w:rPr>
        <w:t>范围</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667A309">
      <w:pPr>
        <w:pStyle w:val="58"/>
        <w:spacing w:line="300" w:lineRule="auto"/>
        <w:ind w:firstLine="420"/>
      </w:pPr>
      <w:bookmarkStart w:id="41" w:name="_Toc24884219"/>
      <w:bookmarkStart w:id="42" w:name="_Toc17233334"/>
      <w:bookmarkStart w:id="43" w:name="_Toc17233326"/>
      <w:bookmarkStart w:id="44" w:name="_Toc24884212"/>
      <w:bookmarkStart w:id="45" w:name="_Toc26648466"/>
      <w:r>
        <w:rPr>
          <w:rFonts w:hint="eastAsia"/>
        </w:rPr>
        <w:t>本文件规定了动正整脊手法治疗脊柱疾病关节错位（腰椎）技术操作的</w:t>
      </w:r>
      <w:r>
        <w:rPr>
          <w:rFonts w:hint="eastAsia"/>
          <w:lang w:eastAsia="zh-CN"/>
        </w:rPr>
        <w:t>适应症</w:t>
      </w:r>
      <w:r>
        <w:rPr>
          <w:rFonts w:hint="eastAsia"/>
        </w:rPr>
        <w:t>、禁忌证、功能评估、操作步骤与要求、治疗疗程、相关风险的预评估及处理预案等内容。</w:t>
      </w:r>
    </w:p>
    <w:p w14:paraId="1DC14C03">
      <w:pPr>
        <w:pStyle w:val="58"/>
        <w:spacing w:line="300" w:lineRule="auto"/>
        <w:ind w:firstLine="420"/>
      </w:pPr>
      <w:r>
        <w:rPr>
          <w:rFonts w:hint="eastAsia"/>
        </w:rPr>
        <w:t>本文件适用于针灸推拿及中西医康复专业领域医师、治疗师等专业技术人员开展“动正整脊手法”技术。</w:t>
      </w:r>
    </w:p>
    <w:p w14:paraId="6F3669F1">
      <w:pPr>
        <w:pStyle w:val="106"/>
        <w:spacing w:before="240" w:after="240"/>
      </w:pPr>
      <w:bookmarkStart w:id="46" w:name="_Toc23276"/>
      <w:bookmarkStart w:id="47" w:name="_Toc26718931"/>
      <w:bookmarkStart w:id="48" w:name="_Toc91516494"/>
      <w:bookmarkStart w:id="49" w:name="_Toc91513418"/>
      <w:bookmarkStart w:id="50" w:name="_Toc26986772"/>
      <w:bookmarkStart w:id="51" w:name="_Toc26986531"/>
      <w:bookmarkStart w:id="52" w:name="_Toc91496117"/>
      <w:bookmarkStart w:id="53" w:name="_Toc91513406"/>
      <w:bookmarkStart w:id="54" w:name="_Toc91513481"/>
      <w:bookmarkStart w:id="55" w:name="_Toc9078"/>
      <w:r>
        <w:rPr>
          <w:rFonts w:hint="eastAsia"/>
        </w:rPr>
        <w:t>规范性引用文件</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sdt>
      <w:sdtPr>
        <w:rPr>
          <w:rFonts w:hint="eastAsia"/>
        </w:rPr>
        <w:id w:val="715848253"/>
        <w:placeholder>
          <w:docPart w:val="5B1FC8F8F15B4B5A8F0A1EDDDBC0C35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680D59D6">
          <w:pPr>
            <w:pStyle w:val="58"/>
            <w:spacing w:line="300" w:lineRule="auto"/>
            <w:ind w:firstLine="420"/>
          </w:pPr>
          <w:bookmarkStart w:id="56" w:name="_Hlk97498406"/>
          <w:r>
            <w:rPr>
              <w:rFonts w:hint="eastAsia"/>
            </w:rPr>
            <w:t>本文件没有规范性引用文件。</w:t>
          </w:r>
        </w:p>
      </w:sdtContent>
    </w:sdt>
    <w:bookmarkEnd w:id="56"/>
    <w:p w14:paraId="25D068B8">
      <w:pPr>
        <w:pStyle w:val="106"/>
        <w:spacing w:before="240" w:after="240"/>
      </w:pPr>
      <w:bookmarkStart w:id="57" w:name="_Toc91513482"/>
      <w:bookmarkStart w:id="58" w:name="_Toc91513407"/>
      <w:bookmarkStart w:id="59" w:name="_Toc91513419"/>
      <w:bookmarkStart w:id="60" w:name="_Toc91496118"/>
      <w:bookmarkStart w:id="61" w:name="_Toc91516495"/>
      <w:bookmarkStart w:id="62" w:name="_Toc7150"/>
      <w:bookmarkStart w:id="63" w:name="_Toc483"/>
      <w:r>
        <w:rPr>
          <w:rFonts w:hint="eastAsia"/>
          <w:szCs w:val="21"/>
        </w:rPr>
        <w:t>术语和定义</w:t>
      </w:r>
      <w:bookmarkEnd w:id="57"/>
      <w:bookmarkEnd w:id="58"/>
      <w:bookmarkEnd w:id="59"/>
      <w:bookmarkEnd w:id="60"/>
      <w:bookmarkEnd w:id="61"/>
      <w:bookmarkEnd w:id="62"/>
      <w:bookmarkEnd w:id="63"/>
    </w:p>
    <w:p w14:paraId="37D70A3F">
      <w:pPr>
        <w:pStyle w:val="58"/>
        <w:spacing w:line="300" w:lineRule="auto"/>
        <w:ind w:firstLine="420"/>
      </w:pPr>
      <w:sdt>
        <w:sdtPr>
          <w:id w:val="-1909835108"/>
          <w:placeholder>
            <w:docPart w:val="8991A396561441D297A413D4AC68AAB5"/>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bookmarkStart w:id="64" w:name="_Toc26986532"/>
          <w:bookmarkEnd w:id="64"/>
          <w:r>
            <w:t>下列术语和定义适用于本文件。</w:t>
          </w:r>
        </w:sdtContent>
      </w:sdt>
    </w:p>
    <w:p w14:paraId="4B308512">
      <w:pPr>
        <w:pStyle w:val="58"/>
        <w:spacing w:line="300" w:lineRule="auto"/>
        <w:ind w:firstLine="420"/>
        <w:rPr>
          <w:rFonts w:ascii="Times New Roman" w:eastAsia="黑体"/>
          <w:b/>
          <w:bCs/>
          <w:color w:val="000000" w:themeColor="text1"/>
          <w14:textFill>
            <w14:solidFill>
              <w14:schemeClr w14:val="tx1"/>
            </w14:solidFill>
          </w14:textFill>
        </w:rPr>
      </w:pPr>
      <w:r>
        <w:rPr>
          <w:rFonts w:hint="eastAsia" w:ascii="黑体" w:hAnsi="黑体" w:eastAsia="黑体"/>
        </w:rPr>
        <w:t>动正整脊手法　</w:t>
      </w:r>
      <w:r>
        <w:rPr>
          <w:rFonts w:hint="eastAsia" w:ascii="Times New Roman" w:eastAsia="黑体"/>
          <w:b/>
          <w:bCs/>
          <w:color w:val="000000" w:themeColor="text1"/>
          <w14:textFill>
            <w14:solidFill>
              <w14:schemeClr w14:val="tx1"/>
            </w14:solidFill>
          </w14:textFill>
        </w:rPr>
        <w:t>Long's chiropractic manipulation</w:t>
      </w:r>
    </w:p>
    <w:p w14:paraId="36122236">
      <w:pPr>
        <w:pStyle w:val="225"/>
        <w:numPr>
          <w:ilvl w:val="0"/>
          <w:numId w:val="0"/>
        </w:numPr>
        <w:spacing w:line="300" w:lineRule="auto"/>
        <w:ind w:left="420"/>
        <w:rPr>
          <w:rFonts w:ascii="黑体" w:hAnsi="黑体" w:eastAsia="黑体"/>
        </w:rPr>
      </w:pPr>
      <w:r>
        <w:rPr>
          <w:rFonts w:hint="eastAsia" w:ascii="黑体" w:hAnsi="黑体" w:eastAsia="黑体"/>
        </w:rPr>
        <w:t>同义词 龙氏治脊疗法、龙氏正骨手法</w:t>
      </w:r>
    </w:p>
    <w:p w14:paraId="7483464D">
      <w:pPr>
        <w:pStyle w:val="58"/>
        <w:spacing w:line="300" w:lineRule="auto"/>
        <w:ind w:firstLine="420"/>
      </w:pPr>
      <w:r>
        <w:rPr>
          <w:rFonts w:hint="eastAsia"/>
        </w:rPr>
        <w:t>动正整脊手法，也称龙氏治脊疗法、龙氏正骨手法，由广州军区广州总医院龙层花教授与魏征教授在传承与发展的基础上创立，以传统的中医推拿正骨为基础，结合现代脊柱生理解剖学、生物力学，进行革新形成的一套治疗脊柱相关性疾病的手法。</w:t>
      </w:r>
    </w:p>
    <w:p w14:paraId="38C00887">
      <w:pPr>
        <w:pStyle w:val="106"/>
        <w:spacing w:before="240" w:after="240"/>
      </w:pPr>
      <w:bookmarkStart w:id="65" w:name="_Toc26994"/>
      <w:r>
        <w:rPr>
          <w:rFonts w:hint="eastAsia"/>
          <w:lang w:val="en-US" w:eastAsia="zh-CN"/>
        </w:rPr>
        <w:t>诊断</w:t>
      </w:r>
      <w:bookmarkEnd w:id="65"/>
    </w:p>
    <w:p w14:paraId="009C0211">
      <w:pPr>
        <w:pStyle w:val="107"/>
        <w:spacing w:before="120" w:after="120" w:line="360" w:lineRule="auto"/>
      </w:pPr>
      <w:bookmarkStart w:id="66" w:name="_Toc29402"/>
      <w:bookmarkStart w:id="67" w:name="_Toc16627"/>
      <w:r>
        <w:rPr>
          <w:rFonts w:hint="eastAsia"/>
        </w:rPr>
        <w:t>三步定位诊断</w:t>
      </w:r>
      <w:bookmarkEnd w:id="66"/>
      <w:bookmarkEnd w:id="67"/>
    </w:p>
    <w:p w14:paraId="7FB75885">
      <w:pPr>
        <w:pStyle w:val="67"/>
        <w:spacing w:before="120" w:after="120" w:line="360" w:lineRule="auto"/>
      </w:pPr>
      <w:bookmarkStart w:id="68" w:name="_Toc26877"/>
      <w:r>
        <w:rPr>
          <w:rFonts w:hint="eastAsia"/>
        </w:rPr>
        <w:t>第一步：神经症状定位诊断</w:t>
      </w:r>
      <w:bookmarkEnd w:id="68"/>
    </w:p>
    <w:p w14:paraId="7F599351">
      <w:pPr>
        <w:pStyle w:val="58"/>
        <w:spacing w:line="300" w:lineRule="auto"/>
        <w:ind w:firstLine="420"/>
        <w:rPr>
          <w:rFonts w:hint="eastAsia"/>
        </w:rPr>
      </w:pPr>
      <w:r>
        <w:rPr>
          <w:rFonts w:hint="eastAsia"/>
        </w:rPr>
        <w:t>对患者进行问诊时，根据其疼痛、麻木的部位（无疼痛、麻木症状者， 根据主要症状的器官部位），按照神经症状定位诊断分析脊神经根损害部位，初步判定发病的脊椎或关节。</w:t>
      </w:r>
    </w:p>
    <w:p w14:paraId="1882C2D5">
      <w:pPr>
        <w:pStyle w:val="58"/>
        <w:spacing w:line="300" w:lineRule="auto"/>
        <w:ind w:firstLine="420"/>
        <w:rPr>
          <w:rFonts w:hint="eastAsia"/>
        </w:rPr>
      </w:pPr>
      <w:r>
        <w:rPr>
          <w:rFonts w:hint="eastAsia"/>
        </w:rPr>
        <w:t>a)询问疼痛的性质：是酸痛、麻痛、钝痛、烧灼性痛或放射性痛？是持续性痛或间歇性痛？</w:t>
      </w:r>
    </w:p>
    <w:p w14:paraId="248B3697">
      <w:pPr>
        <w:pStyle w:val="58"/>
        <w:spacing w:line="300" w:lineRule="auto"/>
        <w:ind w:firstLine="420"/>
        <w:rPr>
          <w:rFonts w:hint="eastAsia"/>
        </w:rPr>
      </w:pPr>
      <w:r>
        <w:rPr>
          <w:rFonts w:hint="eastAsia"/>
        </w:rPr>
        <w:t>b）影</w:t>
      </w:r>
      <w:r>
        <w:rPr>
          <w:rFonts w:hint="eastAsia"/>
          <w:lang w:val="en-US" w:eastAsia="zh-CN"/>
        </w:rPr>
        <w:t>响</w:t>
      </w:r>
      <w:r>
        <w:rPr>
          <w:rFonts w:hint="eastAsia"/>
        </w:rPr>
        <w:t>疼痛的因素：体位改变时对疼痛的影响是加重、减轻还是不变？</w:t>
      </w:r>
    </w:p>
    <w:p w14:paraId="058DB132">
      <w:pPr>
        <w:pStyle w:val="58"/>
        <w:spacing w:line="300" w:lineRule="auto"/>
        <w:ind w:firstLine="420"/>
        <w:rPr>
          <w:rFonts w:hint="eastAsia"/>
        </w:rPr>
      </w:pPr>
      <w:r>
        <w:rPr>
          <w:rFonts w:hint="eastAsia"/>
        </w:rPr>
        <w:t>c）</w:t>
      </w:r>
      <w:r>
        <w:rPr>
          <w:rFonts w:hint="eastAsia"/>
          <w:lang w:val="en-US" w:eastAsia="zh-CN"/>
        </w:rPr>
        <w:t>询问</w:t>
      </w:r>
      <w:r>
        <w:rPr>
          <w:rFonts w:hint="eastAsia"/>
        </w:rPr>
        <w:t>疼痛的部位：在腰背、臀部及四肢的哪一范围内？</w:t>
      </w:r>
    </w:p>
    <w:p w14:paraId="4F4069B2">
      <w:pPr>
        <w:pStyle w:val="58"/>
        <w:spacing w:line="300" w:lineRule="auto"/>
        <w:ind w:firstLine="420"/>
        <w:rPr>
          <w:rFonts w:hint="eastAsia"/>
        </w:rPr>
      </w:pPr>
      <w:r>
        <w:rPr>
          <w:rFonts w:hint="eastAsia"/>
        </w:rPr>
        <w:t>d)询问其他异常感觉：感觉有无异常？如有异常，要了解是麻木感、针刺感、肿胀感、冷厥感还是灼热感？感觉有无减退或消失？下肢有无僵硬、踩棉花感？</w:t>
      </w:r>
    </w:p>
    <w:p w14:paraId="16F51E14">
      <w:pPr>
        <w:pStyle w:val="58"/>
        <w:spacing w:line="300" w:lineRule="auto"/>
        <w:ind w:firstLine="420"/>
        <w:rPr>
          <w:rFonts w:hint="eastAsia"/>
        </w:rPr>
      </w:pPr>
      <w:r>
        <w:rPr>
          <w:rFonts w:hint="eastAsia"/>
        </w:rPr>
        <w:t>e)观察是否有异常：有无运动功能障碍？达到什么程度？肌肉有无萎缩或代偿性肥大？</w:t>
      </w:r>
    </w:p>
    <w:p w14:paraId="2B1704FA">
      <w:pPr>
        <w:pStyle w:val="58"/>
        <w:spacing w:line="300" w:lineRule="auto"/>
        <w:ind w:firstLine="420"/>
      </w:pPr>
      <w:r>
        <w:rPr>
          <w:rFonts w:hint="eastAsia"/>
        </w:rPr>
        <w:t>询问病情时，除了解周围神经损害的情况外，应同时了解该节段交感神经所支配的内脏或器官有无病理性症状。</w:t>
      </w:r>
      <w:r>
        <w:rPr>
          <w:rFonts w:hint="eastAsia"/>
          <w:lang w:eastAsia="zh-CN"/>
        </w:rPr>
        <w:t>（</w:t>
      </w:r>
      <w:r>
        <w:rPr>
          <w:rFonts w:hint="eastAsia"/>
          <w:lang w:val="en-US" w:eastAsia="zh-CN"/>
        </w:rPr>
        <w:t>见图1</w:t>
      </w:r>
      <w:r>
        <w:rPr>
          <w:rFonts w:hint="eastAsia"/>
          <w:lang w:eastAsia="zh-CN"/>
        </w:rPr>
        <w:t>）</w:t>
      </w:r>
      <w:r>
        <w:rPr>
          <w:rFonts w:hint="eastAsia"/>
        </w:rPr>
        <w:t>腰背部疼痛不适的患者有无上腹（肝区或胃脘区）疼痛，反酸嗳气，腹胀肠鸣，大便稀溏或便秘等症状；有无尿频、尿痛、</w:t>
      </w:r>
      <w:r>
        <w:rPr>
          <w:rFonts w:hint="eastAsia"/>
          <w:lang w:eastAsia="zh-CN"/>
        </w:rPr>
        <w:t>早泄</w:t>
      </w:r>
      <w:r>
        <w:rPr>
          <w:rFonts w:hint="eastAsia"/>
        </w:rPr>
        <w:t>、阳痿或痛经等症状。</w:t>
      </w:r>
    </w:p>
    <w:tbl>
      <w:tblPr>
        <w:tblStyle w:val="29"/>
        <w:tblW w:w="0" w:type="auto"/>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80"/>
        <w:gridCol w:w="3168"/>
        <w:gridCol w:w="2796"/>
      </w:tblGrid>
      <w:tr w14:paraId="689D9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80" w:type="dxa"/>
          </w:tcPr>
          <w:p w14:paraId="1868A0E7">
            <w:pPr>
              <w:pStyle w:val="58"/>
              <w:spacing w:line="300" w:lineRule="auto"/>
              <w:ind w:firstLine="420"/>
            </w:pPr>
            <w:r>
              <w:rPr>
                <w:rFonts w:hint="eastAsia"/>
              </w:rPr>
              <w:drawing>
                <wp:inline distT="0" distB="0" distL="114300" distR="114300">
                  <wp:extent cx="1344295" cy="2520315"/>
                  <wp:effectExtent l="0" t="0" r="12065" b="9525"/>
                  <wp:docPr id="24" name="图片 2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3"/>
                          <pic:cNvPicPr>
                            <a:picLocks noChangeAspect="1"/>
                          </pic:cNvPicPr>
                        </pic:nvPicPr>
                        <pic:blipFill>
                          <a:blip r:embed="rId20"/>
                          <a:stretch>
                            <a:fillRect/>
                          </a:stretch>
                        </pic:blipFill>
                        <pic:spPr>
                          <a:xfrm>
                            <a:off x="0" y="0"/>
                            <a:ext cx="1344295" cy="2520315"/>
                          </a:xfrm>
                          <a:prstGeom prst="rect">
                            <a:avLst/>
                          </a:prstGeom>
                        </pic:spPr>
                      </pic:pic>
                    </a:graphicData>
                  </a:graphic>
                </wp:inline>
              </w:drawing>
            </w:r>
          </w:p>
        </w:tc>
        <w:tc>
          <w:tcPr>
            <w:tcW w:w="3168" w:type="dxa"/>
          </w:tcPr>
          <w:p w14:paraId="017491A4">
            <w:pPr>
              <w:pStyle w:val="58"/>
              <w:spacing w:line="300" w:lineRule="auto"/>
              <w:ind w:firstLine="420"/>
            </w:pPr>
            <w:r>
              <w:rPr>
                <w:rFonts w:hint="eastAsia"/>
              </w:rPr>
              <w:drawing>
                <wp:inline distT="0" distB="0" distL="114300" distR="114300">
                  <wp:extent cx="1536700" cy="2520315"/>
                  <wp:effectExtent l="0" t="0" r="2540" b="9525"/>
                  <wp:docPr id="25" name="图片 2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4"/>
                          <pic:cNvPicPr>
                            <a:picLocks noChangeAspect="1"/>
                          </pic:cNvPicPr>
                        </pic:nvPicPr>
                        <pic:blipFill>
                          <a:blip r:embed="rId21"/>
                          <a:stretch>
                            <a:fillRect/>
                          </a:stretch>
                        </pic:blipFill>
                        <pic:spPr>
                          <a:xfrm>
                            <a:off x="0" y="0"/>
                            <a:ext cx="1536700" cy="2520315"/>
                          </a:xfrm>
                          <a:prstGeom prst="rect">
                            <a:avLst/>
                          </a:prstGeom>
                        </pic:spPr>
                      </pic:pic>
                    </a:graphicData>
                  </a:graphic>
                </wp:inline>
              </w:drawing>
            </w:r>
          </w:p>
        </w:tc>
        <w:tc>
          <w:tcPr>
            <w:tcW w:w="2796" w:type="dxa"/>
          </w:tcPr>
          <w:p w14:paraId="48976EFC">
            <w:pPr>
              <w:pStyle w:val="58"/>
              <w:spacing w:line="300" w:lineRule="auto"/>
              <w:ind w:firstLine="420"/>
            </w:pPr>
            <w:r>
              <w:rPr>
                <w:rFonts w:hint="eastAsia"/>
              </w:rPr>
              <w:drawing>
                <wp:inline distT="0" distB="0" distL="114300" distR="114300">
                  <wp:extent cx="1440180" cy="2520315"/>
                  <wp:effectExtent l="0" t="0" r="7620" b="9525"/>
                  <wp:docPr id="26" name="图片 2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5"/>
                          <pic:cNvPicPr>
                            <a:picLocks noChangeAspect="1"/>
                          </pic:cNvPicPr>
                        </pic:nvPicPr>
                        <pic:blipFill>
                          <a:blip r:embed="rId22"/>
                          <a:stretch>
                            <a:fillRect/>
                          </a:stretch>
                        </pic:blipFill>
                        <pic:spPr>
                          <a:xfrm>
                            <a:off x="0" y="0"/>
                            <a:ext cx="1440180" cy="2520315"/>
                          </a:xfrm>
                          <a:prstGeom prst="rect">
                            <a:avLst/>
                          </a:prstGeom>
                        </pic:spPr>
                      </pic:pic>
                    </a:graphicData>
                  </a:graphic>
                </wp:inline>
              </w:drawing>
            </w:r>
          </w:p>
        </w:tc>
      </w:tr>
      <w:tr w14:paraId="5CFCB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44" w:type="dxa"/>
            <w:gridSpan w:val="3"/>
          </w:tcPr>
          <w:p w14:paraId="5F0734FE">
            <w:pPr>
              <w:pStyle w:val="58"/>
              <w:spacing w:line="300" w:lineRule="auto"/>
              <w:ind w:firstLine="420"/>
              <w:jc w:val="center"/>
            </w:pPr>
            <w:r>
              <w:rPr>
                <w:rFonts w:hint="eastAsia"/>
              </w:rPr>
              <w:t>图1 腰椎神经节段分布图</w:t>
            </w:r>
          </w:p>
        </w:tc>
      </w:tr>
    </w:tbl>
    <w:p w14:paraId="31B2DE7B">
      <w:pPr>
        <w:pStyle w:val="58"/>
        <w:spacing w:line="300" w:lineRule="auto"/>
        <w:ind w:firstLine="420"/>
      </w:pPr>
    </w:p>
    <w:p w14:paraId="414C7F15">
      <w:pPr>
        <w:pStyle w:val="67"/>
        <w:spacing w:before="120" w:after="120" w:line="360" w:lineRule="auto"/>
      </w:pPr>
      <w:bookmarkStart w:id="69" w:name="_Toc13534"/>
      <w:r>
        <w:rPr>
          <w:rFonts w:hint="eastAsia"/>
        </w:rPr>
        <w:t>第二步：触诊定位诊断</w:t>
      </w:r>
      <w:bookmarkEnd w:id="69"/>
    </w:p>
    <w:p w14:paraId="10564717">
      <w:pPr>
        <w:pStyle w:val="58"/>
        <w:spacing w:line="300" w:lineRule="auto"/>
        <w:ind w:firstLine="420"/>
      </w:pPr>
      <w:r>
        <w:rPr>
          <w:rFonts w:hint="eastAsia"/>
        </w:rPr>
        <w:t>根据检查者进行脊椎触诊的检查结果，包括发现患者横突、棘突及关节突偏歪、椎旁压痛、病理性阳性反应物，或各项试验、神经系统检查结果，结合第一步定位诊断结果，进行第二步定位诊断，进一步确定发病的脊椎、关节及分型。包括：</w:t>
      </w:r>
    </w:p>
    <w:p w14:paraId="41CBDBE3">
      <w:pPr>
        <w:pStyle w:val="176"/>
        <w:numPr>
          <w:ilvl w:val="0"/>
          <w:numId w:val="32"/>
        </w:numPr>
        <w:spacing w:line="300" w:lineRule="auto"/>
      </w:pPr>
      <w:r>
        <w:rPr>
          <w:rFonts w:hint="eastAsia"/>
        </w:rPr>
        <w:t>压痛点检查：</w:t>
      </w:r>
    </w:p>
    <w:p w14:paraId="2BCD84F3">
      <w:pPr>
        <w:pStyle w:val="111"/>
        <w:numPr>
          <w:ilvl w:val="1"/>
          <w:numId w:val="0"/>
        </w:numPr>
        <w:spacing w:line="300" w:lineRule="auto"/>
        <w:ind w:left="851" w:firstLine="420" w:firstLineChars="200"/>
      </w:pPr>
      <w:r>
        <w:rPr>
          <w:rFonts w:hint="eastAsia"/>
        </w:rPr>
        <w:t>在病变部位可有棘突、关节突和横突旁压痛；棘突间韧带有压痛；腰背肌有压痛；棘突两旁某点有压痛（关节突关节处），有神经根炎症时，深压会出现沿神经放射痛，提示可能有椎间盘突出症；在L5/S1间压痛，可能有腰骶关节错位、劳损、游离棘突、杵臼棘突或骨盆旋移症等。</w:t>
      </w:r>
    </w:p>
    <w:p w14:paraId="3C61958F">
      <w:pPr>
        <w:pStyle w:val="176"/>
        <w:numPr>
          <w:ilvl w:val="0"/>
          <w:numId w:val="32"/>
        </w:numPr>
        <w:spacing w:line="300" w:lineRule="auto"/>
      </w:pPr>
      <w:r>
        <w:rPr>
          <w:rFonts w:hint="eastAsia"/>
        </w:rPr>
        <w:t>触诊检查：</w:t>
      </w:r>
    </w:p>
    <w:p w14:paraId="28EDA5B1">
      <w:pPr>
        <w:pStyle w:val="176"/>
        <w:numPr>
          <w:ilvl w:val="1"/>
          <w:numId w:val="32"/>
        </w:numPr>
        <w:tabs>
          <w:tab w:val="left" w:pos="1276"/>
        </w:tabs>
        <w:spacing w:line="300" w:lineRule="auto"/>
      </w:pPr>
      <w:r>
        <w:rPr>
          <w:rFonts w:hint="eastAsia"/>
        </w:rPr>
        <w:t>棘突触诊法</w:t>
      </w:r>
    </w:p>
    <w:p w14:paraId="23DFBB8F">
      <w:pPr>
        <w:pStyle w:val="176"/>
        <w:numPr>
          <w:ilvl w:val="0"/>
          <w:numId w:val="0"/>
        </w:numPr>
        <w:spacing w:line="300" w:lineRule="auto"/>
        <w:ind w:left="851" w:firstLine="420" w:firstLineChars="200"/>
      </w:pPr>
      <w:r>
        <w:rPr>
          <w:rFonts w:hint="eastAsia"/>
        </w:rPr>
        <w:t>检查者用右手食、中二指（或用双手拇指）并拢置于棘突两旁（指间距约 5 mm），在棘突上做上下推摩触诊对比，前后滑脱式错位时，可触及在同一椎的左右两个后关节均向后隆凸、有压痛；侧弯侧摆式错位时，一侧指腹触及侧凸的后关节，另一侧指腹有凹陷感，单椎为侧摆，多椎为侧弯；左右旋转式错位者，指腹触到向后隆凸的后关节与滑脱式类似，但均是单侧出现，上下两椎一椎偏左另一椎偏右，或两者发生在距离多个椎间（大旋转）；倾仰式错位时，指腹触及两棘突间距离增宽或凹陷感时，注意在其上一棘间和下一棘间触诊比较，找出变窄的棘间，若增宽的棘间在上，变窄的棘间在下，说明其间的椎体呈仰位式错位（该椎仰位即椎体前部向上移，其棘突下移），若增宽的棘间在下，变窄的棘间在上，说明其间的椎体呈倾位式错位（该椎倾位即椎体前部向下移，其棘突向上移）；混合式错位者，兼有两种以上体征。生理性和病理性的偏歪需要鉴别。凡是与症状定位相吻合，且椎旁有压痛者属病变，只有棘突偏歪，症状定位不符又无椎旁压痛者属棘突畸形变异。</w:t>
      </w:r>
      <w:r>
        <w:rPr>
          <w:rFonts w:hint="eastAsia"/>
          <w:lang w:eastAsia="zh-CN"/>
        </w:rPr>
        <w:t>（</w:t>
      </w:r>
      <w:r>
        <w:rPr>
          <w:rFonts w:hint="eastAsia"/>
          <w:lang w:val="en-US" w:eastAsia="zh-CN"/>
        </w:rPr>
        <w:t>见图2、3</w:t>
      </w:r>
      <w:r>
        <w:rPr>
          <w:rFonts w:hint="eastAsia"/>
          <w:lang w:eastAsia="zh-CN"/>
        </w:rPr>
        <w:t>）</w:t>
      </w:r>
    </w:p>
    <w:tbl>
      <w:tblPr>
        <w:tblStyle w:val="29"/>
        <w:tblW w:w="0" w:type="auto"/>
        <w:tblInd w:w="8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0"/>
        <w:gridCol w:w="4502"/>
      </w:tblGrid>
      <w:tr w14:paraId="1C8F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7" w:type="dxa"/>
          </w:tcPr>
          <w:p w14:paraId="1392883E">
            <w:pPr>
              <w:pStyle w:val="176"/>
              <w:numPr>
                <w:ilvl w:val="0"/>
                <w:numId w:val="0"/>
              </w:numPr>
              <w:spacing w:line="300" w:lineRule="auto"/>
              <w:jc w:val="center"/>
            </w:pPr>
            <w:r>
              <w:rPr>
                <w:rFonts w:hint="eastAsia"/>
              </w:rPr>
              <w:drawing>
                <wp:inline distT="0" distB="0" distL="114300" distR="114300">
                  <wp:extent cx="2520315" cy="1800225"/>
                  <wp:effectExtent l="0" t="0" r="9525" b="13335"/>
                  <wp:docPr id="21" name="图片 21" descr="图片1"/>
                  <wp:cNvGraphicFramePr/>
                  <a:graphic xmlns:a="http://schemas.openxmlformats.org/drawingml/2006/main">
                    <a:graphicData uri="http://schemas.openxmlformats.org/drawingml/2006/picture">
                      <pic:pic xmlns:pic="http://schemas.openxmlformats.org/drawingml/2006/picture">
                        <pic:nvPicPr>
                          <pic:cNvPr id="21" name="图片 21" descr="图片1"/>
                          <pic:cNvPicPr/>
                        </pic:nvPicPr>
                        <pic:blipFill>
                          <a:blip r:embed="rId23"/>
                          <a:stretch>
                            <a:fillRect/>
                          </a:stretch>
                        </pic:blipFill>
                        <pic:spPr>
                          <a:xfrm>
                            <a:off x="0" y="0"/>
                            <a:ext cx="2520315" cy="1800225"/>
                          </a:xfrm>
                          <a:prstGeom prst="rect">
                            <a:avLst/>
                          </a:prstGeom>
                        </pic:spPr>
                      </pic:pic>
                    </a:graphicData>
                  </a:graphic>
                </wp:inline>
              </w:drawing>
            </w:r>
          </w:p>
        </w:tc>
        <w:tc>
          <w:tcPr>
            <w:tcW w:w="4687" w:type="dxa"/>
          </w:tcPr>
          <w:p w14:paraId="21705291">
            <w:pPr>
              <w:pStyle w:val="176"/>
              <w:numPr>
                <w:ilvl w:val="0"/>
                <w:numId w:val="0"/>
              </w:numPr>
              <w:spacing w:line="300" w:lineRule="auto"/>
              <w:jc w:val="center"/>
            </w:pPr>
            <w:r>
              <w:rPr>
                <w:rFonts w:hint="eastAsia"/>
              </w:rPr>
              <w:drawing>
                <wp:inline distT="0" distB="0" distL="114300" distR="114300">
                  <wp:extent cx="2520315" cy="1800225"/>
                  <wp:effectExtent l="0" t="0" r="9525" b="13335"/>
                  <wp:docPr id="22" name="图片 22" descr="图片2"/>
                  <wp:cNvGraphicFramePr/>
                  <a:graphic xmlns:a="http://schemas.openxmlformats.org/drawingml/2006/main">
                    <a:graphicData uri="http://schemas.openxmlformats.org/drawingml/2006/picture">
                      <pic:pic xmlns:pic="http://schemas.openxmlformats.org/drawingml/2006/picture">
                        <pic:nvPicPr>
                          <pic:cNvPr id="22" name="图片 22" descr="图片2"/>
                          <pic:cNvPicPr/>
                        </pic:nvPicPr>
                        <pic:blipFill>
                          <a:blip r:embed="rId24"/>
                          <a:stretch>
                            <a:fillRect/>
                          </a:stretch>
                        </pic:blipFill>
                        <pic:spPr>
                          <a:xfrm>
                            <a:off x="0" y="0"/>
                            <a:ext cx="2520315" cy="1800225"/>
                          </a:xfrm>
                          <a:prstGeom prst="rect">
                            <a:avLst/>
                          </a:prstGeom>
                        </pic:spPr>
                      </pic:pic>
                    </a:graphicData>
                  </a:graphic>
                </wp:inline>
              </w:drawing>
            </w:r>
          </w:p>
        </w:tc>
      </w:tr>
      <w:tr w14:paraId="20DCA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17" w:type="dxa"/>
          </w:tcPr>
          <w:p w14:paraId="1C9F1DE8">
            <w:pPr>
              <w:pStyle w:val="176"/>
              <w:numPr>
                <w:ilvl w:val="0"/>
                <w:numId w:val="0"/>
              </w:numPr>
              <w:spacing w:line="300" w:lineRule="auto"/>
              <w:jc w:val="center"/>
            </w:pPr>
            <w:r>
              <w:rPr>
                <w:rFonts w:hint="eastAsia"/>
              </w:rPr>
              <w:t>图2棘突触诊示意图</w:t>
            </w:r>
          </w:p>
        </w:tc>
        <w:tc>
          <w:tcPr>
            <w:tcW w:w="4687" w:type="dxa"/>
          </w:tcPr>
          <w:p w14:paraId="2A2D7A77">
            <w:pPr>
              <w:pStyle w:val="176"/>
              <w:numPr>
                <w:ilvl w:val="0"/>
                <w:numId w:val="0"/>
              </w:numPr>
              <w:spacing w:line="300" w:lineRule="auto"/>
              <w:jc w:val="center"/>
            </w:pPr>
            <w:r>
              <w:rPr>
                <w:rFonts w:hint="eastAsia"/>
              </w:rPr>
              <w:t>图3 棘突触诊</w:t>
            </w:r>
          </w:p>
        </w:tc>
      </w:tr>
    </w:tbl>
    <w:p w14:paraId="0274EA4D">
      <w:pPr>
        <w:pStyle w:val="176"/>
        <w:numPr>
          <w:ilvl w:val="0"/>
          <w:numId w:val="0"/>
        </w:numPr>
        <w:spacing w:line="300" w:lineRule="auto"/>
      </w:pPr>
      <w:r>
        <w:drawing>
          <wp:anchor distT="0" distB="0" distL="0" distR="0" simplePos="0" relativeHeight="251670528" behindDoc="0" locked="0" layoutInCell="0" allowOverlap="1">
            <wp:simplePos x="0" y="0"/>
            <wp:positionH relativeFrom="page">
              <wp:posOffset>10351770</wp:posOffset>
            </wp:positionH>
            <wp:positionV relativeFrom="page">
              <wp:posOffset>6737985</wp:posOffset>
            </wp:positionV>
            <wp:extent cx="2376170" cy="1997710"/>
            <wp:effectExtent l="0" t="0" r="1270" b="13970"/>
            <wp:wrapNone/>
            <wp:docPr id="18" name="IM 328"/>
            <wp:cNvGraphicFramePr/>
            <a:graphic xmlns:a="http://schemas.openxmlformats.org/drawingml/2006/main">
              <a:graphicData uri="http://schemas.openxmlformats.org/drawingml/2006/picture">
                <pic:pic xmlns:pic="http://schemas.openxmlformats.org/drawingml/2006/picture">
                  <pic:nvPicPr>
                    <pic:cNvPr id="18" name="IM 328"/>
                    <pic:cNvPicPr/>
                  </pic:nvPicPr>
                  <pic:blipFill>
                    <a:blip r:embed="rId24"/>
                    <a:stretch>
                      <a:fillRect/>
                    </a:stretch>
                  </pic:blipFill>
                  <pic:spPr>
                    <a:xfrm>
                      <a:off x="0" y="0"/>
                      <a:ext cx="2376170" cy="1997710"/>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10199370</wp:posOffset>
            </wp:positionH>
            <wp:positionV relativeFrom="page">
              <wp:posOffset>6585585</wp:posOffset>
            </wp:positionV>
            <wp:extent cx="2376170" cy="1997710"/>
            <wp:effectExtent l="0" t="0" r="1270" b="13970"/>
            <wp:wrapNone/>
            <wp:docPr id="16" name="IM 328"/>
            <wp:cNvGraphicFramePr/>
            <a:graphic xmlns:a="http://schemas.openxmlformats.org/drawingml/2006/main">
              <a:graphicData uri="http://schemas.openxmlformats.org/drawingml/2006/picture">
                <pic:pic xmlns:pic="http://schemas.openxmlformats.org/drawingml/2006/picture">
                  <pic:nvPicPr>
                    <pic:cNvPr id="16" name="IM 328"/>
                    <pic:cNvPicPr/>
                  </pic:nvPicPr>
                  <pic:blipFill>
                    <a:blip r:embed="rId24"/>
                    <a:stretch>
                      <a:fillRect/>
                    </a:stretch>
                  </pic:blipFill>
                  <pic:spPr>
                    <a:xfrm>
                      <a:off x="0" y="0"/>
                      <a:ext cx="2376170" cy="1997710"/>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10046970</wp:posOffset>
            </wp:positionH>
            <wp:positionV relativeFrom="page">
              <wp:posOffset>6433185</wp:posOffset>
            </wp:positionV>
            <wp:extent cx="2376170" cy="1997710"/>
            <wp:effectExtent l="0" t="0" r="1270" b="1397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4"/>
                    <a:stretch>
                      <a:fillRect/>
                    </a:stretch>
                  </pic:blipFill>
                  <pic:spPr>
                    <a:xfrm>
                      <a:off x="0" y="0"/>
                      <a:ext cx="2376170" cy="1997710"/>
                    </a:xfrm>
                    <a:prstGeom prst="rect">
                      <a:avLst/>
                    </a:prstGeom>
                  </pic:spPr>
                </pic:pic>
              </a:graphicData>
            </a:graphic>
          </wp:anchor>
        </w:drawing>
      </w:r>
    </w:p>
    <w:p w14:paraId="162AA0E2">
      <w:pPr>
        <w:pStyle w:val="176"/>
        <w:numPr>
          <w:ilvl w:val="1"/>
          <w:numId w:val="32"/>
        </w:numPr>
        <w:tabs>
          <w:tab w:val="left" w:pos="1276"/>
        </w:tabs>
        <w:spacing w:line="300" w:lineRule="auto"/>
      </w:pPr>
      <w:r>
        <w:rPr>
          <w:rFonts w:hint="eastAsia"/>
        </w:rPr>
        <w:t>病理阳性反应物触诊法</w:t>
      </w:r>
    </w:p>
    <w:p w14:paraId="7674AD15">
      <w:pPr>
        <w:pStyle w:val="176"/>
        <w:numPr>
          <w:ilvl w:val="0"/>
          <w:numId w:val="0"/>
        </w:numPr>
        <w:spacing w:line="300" w:lineRule="auto"/>
        <w:ind w:left="851" w:firstLine="420" w:firstLineChars="200"/>
      </w:pPr>
      <w:r>
        <w:rPr>
          <w:rFonts w:hint="eastAsia"/>
        </w:rPr>
        <w:t>软组织劳损是脊椎病的病理基础，而脊椎病发病期症状较重时，或病程较长者，由于脊椎力学失衡，又将引起椎周软组织或受损神经支配的软组织（韧带、关节囊、肌肉、肌腱、深浅筋膜、皮肤、脂肪等），发生继发性的病理变化，临床上俗称阳性反应物。检查者用拇指在患椎棘突旁至横突、关节突之间，做上下揉按触摸，检查与患椎相连的韧带、肌肉是否紧张有压痛（椎关节错位引起的保护性肌紧张），有无代偿性肌肥大，注意其远端附着点有无摩擦音（感）、压痛或硬结（软组织慢性劳损点），若有，即为劳损或神经损害的反应物（无菌性炎症、脂肪疝）。脊椎病属神经根型者，其神经根无菌性炎症时，相对应的周围神经所支配的肌肉会疼痛或肿胀，是为神经损害性肌痉挛或肌筋膜挛缩，要分析阳性反应物是原发性还是继发性的。治疗软组织损害，对提高疗效和预防复发有重要作用。</w:t>
      </w:r>
    </w:p>
    <w:p w14:paraId="66E9221A">
      <w:pPr>
        <w:pStyle w:val="176"/>
        <w:numPr>
          <w:ilvl w:val="1"/>
          <w:numId w:val="32"/>
        </w:numPr>
        <w:tabs>
          <w:tab w:val="left" w:pos="1276"/>
        </w:tabs>
        <w:spacing w:line="300" w:lineRule="auto"/>
      </w:pPr>
      <w:r>
        <w:rPr>
          <w:rFonts w:hint="eastAsia"/>
        </w:rPr>
        <w:t>骨科的特殊试验检查</w:t>
      </w:r>
    </w:p>
    <w:p w14:paraId="50EE1F2E">
      <w:pPr>
        <w:pStyle w:val="176"/>
        <w:numPr>
          <w:ilvl w:val="0"/>
          <w:numId w:val="0"/>
        </w:numPr>
        <w:spacing w:line="300" w:lineRule="auto"/>
        <w:ind w:left="851" w:firstLine="420" w:firstLineChars="200"/>
        <w:rPr>
          <w:rFonts w:hint="eastAsia"/>
          <w:lang w:val="en-US" w:eastAsia="zh-CN"/>
        </w:rPr>
      </w:pPr>
      <w:r>
        <w:rPr>
          <w:rFonts w:hint="eastAsia"/>
          <w:lang w:val="en-US" w:eastAsia="zh-CN"/>
        </w:rPr>
        <w:t>骨科特殊试验检查进一步鉴别病变部位以及排除禁忌症。诸如</w:t>
      </w:r>
      <w:r>
        <w:rPr>
          <w:rFonts w:hint="eastAsia"/>
        </w:rPr>
        <w:t>直腿抬高试验及加强试验用以鉴别是神经受压还是下肢肌肉等原因引起的抬腿疼痛</w:t>
      </w:r>
      <w:r>
        <w:rPr>
          <w:rFonts w:hint="eastAsia"/>
          <w:lang w:eastAsia="zh-CN"/>
        </w:rPr>
        <w:t>；</w:t>
      </w:r>
      <w:r>
        <w:rPr>
          <w:rFonts w:hint="eastAsia"/>
        </w:rPr>
        <w:t>骨盆分离与挤压试验用</w:t>
      </w:r>
      <w:r>
        <w:rPr>
          <w:rFonts w:hint="eastAsia"/>
          <w:lang w:val="en-US" w:eastAsia="zh-CN"/>
        </w:rPr>
        <w:t>以判断</w:t>
      </w:r>
      <w:r>
        <w:rPr>
          <w:rFonts w:hint="eastAsia"/>
        </w:rPr>
        <w:t>骨盆部是否有骨折</w:t>
      </w:r>
      <w:r>
        <w:rPr>
          <w:rFonts w:hint="eastAsia"/>
          <w:lang w:eastAsia="zh-CN"/>
        </w:rPr>
        <w:t>；</w:t>
      </w:r>
      <w:r>
        <w:rPr>
          <w:rFonts w:hint="eastAsia"/>
        </w:rPr>
        <w:t>“4”字试验</w:t>
      </w:r>
      <w:r>
        <w:rPr>
          <w:rFonts w:hint="eastAsia"/>
          <w:lang w:val="en-US" w:eastAsia="zh-CN"/>
        </w:rPr>
        <w:t>用以判断是否合并骶髂关节病变等。</w:t>
      </w:r>
    </w:p>
    <w:p w14:paraId="06801DA9">
      <w:pPr>
        <w:pStyle w:val="176"/>
        <w:numPr>
          <w:ilvl w:val="0"/>
          <w:numId w:val="0"/>
        </w:numPr>
        <w:spacing w:line="300" w:lineRule="auto"/>
        <w:ind w:left="1276" w:leftChars="0"/>
        <w:rPr>
          <w:rFonts w:hAnsi="宋体" w:cs="宋体"/>
          <w:szCs w:val="21"/>
        </w:rPr>
      </w:pPr>
    </w:p>
    <w:p w14:paraId="24C9BC61">
      <w:pPr>
        <w:pStyle w:val="67"/>
        <w:spacing w:before="120" w:after="120" w:line="360" w:lineRule="auto"/>
      </w:pPr>
      <w:bookmarkStart w:id="70" w:name="_Toc6859"/>
      <w:r>
        <w:rPr>
          <w:rFonts w:hint="eastAsia"/>
        </w:rPr>
        <w:t>第三步：影像学定位诊断</w:t>
      </w:r>
      <w:bookmarkEnd w:id="70"/>
    </w:p>
    <w:p w14:paraId="4FC0D3DF">
      <w:pPr>
        <w:pStyle w:val="176"/>
        <w:numPr>
          <w:ilvl w:val="0"/>
          <w:numId w:val="33"/>
        </w:numPr>
        <w:spacing w:line="300" w:lineRule="auto"/>
      </w:pPr>
      <w:r>
        <w:rPr>
          <w:rFonts w:hint="eastAsia"/>
        </w:rPr>
        <w:t>X线检查：</w:t>
      </w:r>
    </w:p>
    <w:p w14:paraId="4CFB218A">
      <w:pPr>
        <w:pStyle w:val="111"/>
        <w:numPr>
          <w:ilvl w:val="1"/>
          <w:numId w:val="0"/>
        </w:numPr>
        <w:spacing w:line="300" w:lineRule="auto"/>
        <w:ind w:left="851" w:firstLine="420" w:firstLineChars="200"/>
        <w:rPr>
          <w:rFonts w:hint="eastAsia"/>
        </w:rPr>
      </w:pPr>
      <w:r>
        <w:rPr>
          <w:rFonts w:hint="eastAsia"/>
        </w:rPr>
        <w:t>诊断椎间关节错位，临床仍以 X 线为主。通过 X 线片可观察到各椎间关系的变化，脊椎轴线变异情况，椎体后缘连线变异情况。观察各椎间盘变性、椎间关节骨质增生，各韧带钙化的部位、程度等，并与第一步、第二步定位诊断结合分析，做出最后定位诊断结果。</w:t>
      </w:r>
    </w:p>
    <w:p w14:paraId="5CA651CF">
      <w:pPr>
        <w:pStyle w:val="111"/>
        <w:numPr>
          <w:ilvl w:val="1"/>
          <w:numId w:val="0"/>
        </w:numPr>
        <w:spacing w:line="300" w:lineRule="auto"/>
        <w:ind w:left="851" w:firstLine="420" w:firstLineChars="200"/>
      </w:pPr>
      <w:r>
        <w:rPr>
          <w:rFonts w:hint="eastAsia"/>
        </w:rPr>
        <w:t>影像学定位诊断在脊椎病的诊断中发挥着重要作用，具体表现在以下方面：①排除正骨推拿的禁忌证，包括骨折、脱位、结核、肿瘤、嗜伊红细胞肉芽肿、化脓性炎症等。观察骨质疏松程度，正骨推拿时选择快速复位法或缓慢复位法。②仔细观察和分折有无椎间关节错位，错位的类型（错位方向）、部位，正、侧位片的各椎间关系的变化。③观察脊椎退变的程度，分析退变是否为本次发病的主因。各椎间盘变性（膨出）、椎体关节骨质增生、各韧带钙化的部位、程度等。临床检诊有脊髓损害体征者，应做 MRI 或 CT 检查，以便确定选用手术或非手术疗法。</w:t>
      </w:r>
    </w:p>
    <w:p w14:paraId="0B1C8D7B">
      <w:pPr>
        <w:pStyle w:val="176"/>
        <w:numPr>
          <w:ilvl w:val="1"/>
          <w:numId w:val="33"/>
        </w:numPr>
        <w:tabs>
          <w:tab w:val="left" w:pos="1276"/>
        </w:tabs>
        <w:spacing w:line="300" w:lineRule="auto"/>
      </w:pPr>
      <w:r>
        <w:rPr>
          <w:rFonts w:hint="eastAsia"/>
        </w:rPr>
        <w:t>腰椎侧弯、侧摆、旋转式错位</w:t>
      </w:r>
    </w:p>
    <w:p w14:paraId="3A81E6CF">
      <w:pPr>
        <w:pStyle w:val="176"/>
        <w:numPr>
          <w:ilvl w:val="0"/>
          <w:numId w:val="0"/>
        </w:numPr>
        <w:spacing w:line="300" w:lineRule="auto"/>
        <w:ind w:left="851" w:firstLine="420" w:firstLineChars="200"/>
      </w:pPr>
      <w:r>
        <w:rPr>
          <w:rFonts w:hint="eastAsia"/>
        </w:rPr>
        <w:t>椎弓根移位，如凸侧椎弓根离开椎体边缘，凹侧椎弓根靠近椎体边缘，为Ⅰ度；凸侧椎弓根靠近中线，另一侧位于椎体边缘上，为Ⅱ度；凸侧椎弓根位于中线，而对侧椎弓根消失，为Ⅲ度；凸侧椎弓根越过中线，为Ⅳ度。除此之外，亦可以根据棘突位置测量，将椎体分为 6 等份，棘突移位1个宽度为Ⅰ度，2个宽度为Ⅱ度，3个宽度为Ⅲ度，棘突移位消失为Ⅳ度；或移位达椎体1/6者为有旋转，达2/6者为极度严重旋转。</w:t>
      </w:r>
      <w:r>
        <w:rPr>
          <w:rFonts w:hint="eastAsia"/>
          <w:lang w:eastAsia="zh-CN"/>
        </w:rPr>
        <w:t>（</w:t>
      </w:r>
      <w:r>
        <w:rPr>
          <w:rFonts w:hint="eastAsia"/>
          <w:lang w:val="en-US" w:eastAsia="zh-CN"/>
        </w:rPr>
        <w:t>见图4</w:t>
      </w:r>
      <w:r>
        <w:rPr>
          <w:rFonts w:hint="eastAsia"/>
          <w:lang w:eastAsia="zh-CN"/>
        </w:rPr>
        <w:t>）</w:t>
      </w:r>
      <w:r>
        <w:rPr>
          <w:rFonts w:hint="eastAsia"/>
        </w:rPr>
        <w:t>X线正位片可有侧弯，后关节左右不对称，侧位片见椎间孔变窄，上关节突进入椎间孔，出现双边征、双突征、双凹征。</w:t>
      </w:r>
      <w:r>
        <w:rPr>
          <w:rFonts w:hint="eastAsia"/>
          <w:lang w:eastAsia="zh-CN"/>
        </w:rPr>
        <w:t>（</w:t>
      </w:r>
      <w:r>
        <w:rPr>
          <w:rFonts w:hint="eastAsia"/>
          <w:lang w:val="en-US" w:eastAsia="zh-CN"/>
        </w:rPr>
        <w:t>见图5</w:t>
      </w:r>
      <w:r>
        <w:rPr>
          <w:rFonts w:hint="eastAsia"/>
          <w:lang w:eastAsia="zh-CN"/>
        </w:rPr>
        <w:t>）</w:t>
      </w:r>
    </w:p>
    <w:tbl>
      <w:tblPr>
        <w:tblStyle w:val="29"/>
        <w:tblW w:w="0" w:type="auto"/>
        <w:tblInd w:w="9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2"/>
        <w:gridCol w:w="3915"/>
      </w:tblGrid>
      <w:tr w14:paraId="0F84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2" w:type="dxa"/>
            <w:tcBorders>
              <w:top w:val="nil"/>
              <w:left w:val="nil"/>
              <w:bottom w:val="nil"/>
              <w:right w:val="nil"/>
            </w:tcBorders>
          </w:tcPr>
          <w:p w14:paraId="0B23AF59">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879725" cy="1919605"/>
                  <wp:effectExtent l="0" t="0" r="635" b="635"/>
                  <wp:docPr id="57" name="图片 57" descr="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片28"/>
                          <pic:cNvPicPr>
                            <a:picLocks noChangeAspect="1"/>
                          </pic:cNvPicPr>
                        </pic:nvPicPr>
                        <pic:blipFill>
                          <a:blip r:embed="rId25"/>
                          <a:stretch>
                            <a:fillRect/>
                          </a:stretch>
                        </pic:blipFill>
                        <pic:spPr>
                          <a:xfrm>
                            <a:off x="0" y="0"/>
                            <a:ext cx="2879725" cy="1919605"/>
                          </a:xfrm>
                          <a:prstGeom prst="rect">
                            <a:avLst/>
                          </a:prstGeom>
                        </pic:spPr>
                      </pic:pic>
                    </a:graphicData>
                  </a:graphic>
                </wp:inline>
              </w:drawing>
            </w:r>
          </w:p>
        </w:tc>
        <w:tc>
          <w:tcPr>
            <w:tcW w:w="4785" w:type="dxa"/>
            <w:tcBorders>
              <w:top w:val="nil"/>
              <w:left w:val="nil"/>
              <w:bottom w:val="nil"/>
              <w:right w:val="nil"/>
            </w:tcBorders>
          </w:tcPr>
          <w:p w14:paraId="57DCF757">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160270" cy="2520315"/>
                  <wp:effectExtent l="0" t="0" r="3810" b="9525"/>
                  <wp:docPr id="58" name="图片 58" descr="图片29"/>
                  <wp:cNvGraphicFramePr/>
                  <a:graphic xmlns:a="http://schemas.openxmlformats.org/drawingml/2006/main">
                    <a:graphicData uri="http://schemas.openxmlformats.org/drawingml/2006/picture">
                      <pic:pic xmlns:pic="http://schemas.openxmlformats.org/drawingml/2006/picture">
                        <pic:nvPicPr>
                          <pic:cNvPr id="58" name="图片 58" descr="图片29"/>
                          <pic:cNvPicPr/>
                        </pic:nvPicPr>
                        <pic:blipFill>
                          <a:blip r:embed="rId26"/>
                          <a:stretch>
                            <a:fillRect/>
                          </a:stretch>
                        </pic:blipFill>
                        <pic:spPr>
                          <a:xfrm>
                            <a:off x="0" y="0"/>
                            <a:ext cx="2160270" cy="2520315"/>
                          </a:xfrm>
                          <a:prstGeom prst="rect">
                            <a:avLst/>
                          </a:prstGeom>
                        </pic:spPr>
                      </pic:pic>
                    </a:graphicData>
                  </a:graphic>
                </wp:inline>
              </w:drawing>
            </w:r>
          </w:p>
        </w:tc>
      </w:tr>
      <w:tr w14:paraId="51FA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2" w:type="dxa"/>
            <w:tcBorders>
              <w:top w:val="nil"/>
              <w:left w:val="nil"/>
              <w:bottom w:val="nil"/>
              <w:right w:val="nil"/>
            </w:tcBorders>
          </w:tcPr>
          <w:p w14:paraId="2A6D32E1">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4</w:t>
            </w:r>
            <w:r>
              <w:rPr>
                <w:rFonts w:hint="eastAsia" w:hAnsi="宋体" w:cs="宋体"/>
                <w:szCs w:val="21"/>
              </w:rPr>
              <w:t xml:space="preserve"> 腰椎极度旋转示意图</w:t>
            </w:r>
          </w:p>
        </w:tc>
        <w:tc>
          <w:tcPr>
            <w:tcW w:w="4785" w:type="dxa"/>
            <w:tcBorders>
              <w:top w:val="nil"/>
              <w:left w:val="nil"/>
              <w:bottom w:val="nil"/>
              <w:right w:val="nil"/>
            </w:tcBorders>
          </w:tcPr>
          <w:p w14:paraId="34DB32AC">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5</w:t>
            </w:r>
            <w:r>
              <w:rPr>
                <w:rFonts w:hint="eastAsia" w:hAnsi="宋体" w:cs="宋体"/>
                <w:szCs w:val="21"/>
              </w:rPr>
              <w:t xml:space="preserve"> 腰椎侧弯X线片</w:t>
            </w:r>
          </w:p>
        </w:tc>
      </w:tr>
    </w:tbl>
    <w:p w14:paraId="7D4C7DD9">
      <w:pPr>
        <w:pStyle w:val="176"/>
        <w:numPr>
          <w:ilvl w:val="0"/>
          <w:numId w:val="0"/>
        </w:numPr>
        <w:spacing w:line="300" w:lineRule="auto"/>
        <w:ind w:left="851" w:firstLine="420" w:firstLineChars="200"/>
      </w:pPr>
    </w:p>
    <w:p w14:paraId="457D42A6">
      <w:pPr>
        <w:pStyle w:val="176"/>
        <w:numPr>
          <w:ilvl w:val="1"/>
          <w:numId w:val="33"/>
        </w:numPr>
        <w:tabs>
          <w:tab w:val="left" w:pos="1276"/>
        </w:tabs>
        <w:spacing w:line="300" w:lineRule="auto"/>
      </w:pPr>
      <w:r>
        <w:rPr>
          <w:rFonts w:hint="eastAsia"/>
        </w:rPr>
        <w:t>腰椎变直、反张</w:t>
      </w:r>
    </w:p>
    <w:p w14:paraId="242C11D2">
      <w:pPr>
        <w:pStyle w:val="176"/>
        <w:numPr>
          <w:ilvl w:val="0"/>
          <w:numId w:val="0"/>
        </w:numPr>
        <w:spacing w:line="300" w:lineRule="auto"/>
        <w:ind w:left="851" w:firstLine="420" w:firstLineChars="200"/>
      </w:pPr>
      <w:r>
        <w:rPr>
          <w:rFonts w:hint="eastAsia"/>
        </w:rPr>
        <w:t>腰椎曲线的正常弧弦距为 18-25 mm。间距缩小提示腰椎强直或反张，多见于腰肌劳损、椎骨错位或腰椎间盘突出症。通过 T12 后下缘的纵轴线正常应位于 S1 后上方 25 mm 以内，否则为异常。正常腰椎间隙为前宽后窄，若变为前窄后宽时，即为腰椎反张。X 线正位片可有侧弯，后关节左右不对称，侧位片见椎间孔变窄，上关节突进入椎间孔，出现双边征、双突征。</w:t>
      </w:r>
      <w:r>
        <w:rPr>
          <w:rFonts w:hint="eastAsia"/>
          <w:lang w:eastAsia="zh-CN"/>
        </w:rPr>
        <w:t>（</w:t>
      </w:r>
      <w:r>
        <w:rPr>
          <w:rFonts w:hint="eastAsia"/>
          <w:lang w:val="en-US" w:eastAsia="zh-CN"/>
        </w:rPr>
        <w:t>见图6</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04CDE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3CB79412">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2160270" cy="2520315"/>
                  <wp:effectExtent l="0" t="0" r="3810" b="9525"/>
                  <wp:docPr id="60" name="图片 60" descr="图片30"/>
                  <wp:cNvGraphicFramePr/>
                  <a:graphic xmlns:a="http://schemas.openxmlformats.org/drawingml/2006/main">
                    <a:graphicData uri="http://schemas.openxmlformats.org/drawingml/2006/picture">
                      <pic:pic xmlns:pic="http://schemas.openxmlformats.org/drawingml/2006/picture">
                        <pic:nvPicPr>
                          <pic:cNvPr id="60" name="图片 60" descr="图片30"/>
                          <pic:cNvPicPr/>
                        </pic:nvPicPr>
                        <pic:blipFill>
                          <a:blip r:embed="rId27"/>
                          <a:stretch>
                            <a:fillRect/>
                          </a:stretch>
                        </pic:blipFill>
                        <pic:spPr>
                          <a:xfrm>
                            <a:off x="0" y="0"/>
                            <a:ext cx="2160270" cy="2520315"/>
                          </a:xfrm>
                          <a:prstGeom prst="rect">
                            <a:avLst/>
                          </a:prstGeom>
                        </pic:spPr>
                      </pic:pic>
                    </a:graphicData>
                  </a:graphic>
                </wp:inline>
              </w:drawing>
            </w:r>
          </w:p>
        </w:tc>
      </w:tr>
      <w:tr w14:paraId="48F34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112BE60A">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6</w:t>
            </w:r>
            <w:r>
              <w:rPr>
                <w:rFonts w:hint="eastAsia"/>
                <w:color w:val="231F20"/>
                <w:spacing w:val="-1"/>
              </w:rPr>
              <w:t xml:space="preserve"> 腰椎反张X线片</w:t>
            </w:r>
          </w:p>
          <w:p w14:paraId="34421652">
            <w:pPr>
              <w:pStyle w:val="176"/>
              <w:numPr>
                <w:ilvl w:val="0"/>
                <w:numId w:val="0"/>
              </w:numPr>
              <w:spacing w:line="300" w:lineRule="auto"/>
              <w:jc w:val="center"/>
              <w:rPr>
                <w:color w:val="231F20"/>
                <w:spacing w:val="-1"/>
              </w:rPr>
            </w:pPr>
            <w:r>
              <w:rPr>
                <w:rFonts w:hint="eastAsia"/>
                <w:color w:val="231F20"/>
                <w:spacing w:val="-1"/>
                <w:sz w:val="15"/>
                <w:szCs w:val="15"/>
              </w:rPr>
              <w:t>注：</w:t>
            </w:r>
            <w:r>
              <w:rPr>
                <w:color w:val="231F20"/>
                <w:spacing w:val="-1"/>
                <w:sz w:val="15"/>
                <w:szCs w:val="15"/>
              </w:rPr>
              <w:t>L2 、L3 和 L3 、L4  间隙为前宽后窄，L4 、L5  间隙为前窄后宽，即腰椎反张</w:t>
            </w:r>
          </w:p>
        </w:tc>
      </w:tr>
    </w:tbl>
    <w:p w14:paraId="047B8B25">
      <w:pPr>
        <w:pStyle w:val="176"/>
        <w:numPr>
          <w:ilvl w:val="0"/>
          <w:numId w:val="0"/>
        </w:numPr>
        <w:spacing w:line="300" w:lineRule="auto"/>
        <w:ind w:left="851" w:firstLine="420" w:firstLineChars="200"/>
      </w:pPr>
    </w:p>
    <w:p w14:paraId="29F8CFBB">
      <w:pPr>
        <w:pStyle w:val="176"/>
        <w:numPr>
          <w:ilvl w:val="1"/>
          <w:numId w:val="33"/>
        </w:numPr>
        <w:tabs>
          <w:tab w:val="left" w:pos="1276"/>
        </w:tabs>
        <w:spacing w:line="300" w:lineRule="auto"/>
      </w:pPr>
      <w:r>
        <w:rPr>
          <w:rFonts w:hint="eastAsia"/>
        </w:rPr>
        <w:t>腰椎前后移位（滑脱）式错位</w:t>
      </w:r>
    </w:p>
    <w:p w14:paraId="72897A5B">
      <w:pPr>
        <w:pStyle w:val="176"/>
        <w:numPr>
          <w:ilvl w:val="2"/>
          <w:numId w:val="32"/>
        </w:numPr>
        <w:spacing w:line="300" w:lineRule="auto"/>
        <w:rPr>
          <w:rFonts w:hAnsi="宋体" w:cs="宋体"/>
          <w:szCs w:val="21"/>
        </w:rPr>
      </w:pPr>
      <w:r>
        <w:rPr>
          <w:rFonts w:hint="eastAsia" w:hAnsi="宋体" w:cs="宋体"/>
          <w:szCs w:val="21"/>
        </w:rPr>
        <w:t>椎体前连线（过伸和过屈位）</w:t>
      </w:r>
    </w:p>
    <w:p w14:paraId="2AAF9780">
      <w:pPr>
        <w:pStyle w:val="176"/>
        <w:numPr>
          <w:ilvl w:val="0"/>
          <w:numId w:val="0"/>
        </w:numPr>
        <w:spacing w:line="300" w:lineRule="auto"/>
        <w:ind w:left="840" w:leftChars="400" w:firstLine="420" w:firstLineChars="200"/>
        <w:rPr>
          <w:rFonts w:hAnsi="宋体" w:cs="宋体"/>
          <w:szCs w:val="21"/>
        </w:rPr>
      </w:pPr>
      <w:r>
        <w:rPr>
          <w:rFonts w:hint="eastAsia" w:hAnsi="宋体" w:cs="宋体"/>
          <w:szCs w:val="21"/>
        </w:rPr>
        <w:t>沿 L4 椎体前缘画线，正常者通过或贴近邻近椎体的上缘、下缘。腰椎后移常见于椎间盘脱出，在过伸侧位或直立侧位片，均可见上位滑脱的椎体向后移位，测其毫米数。但在过屈位片也可以恢复原位。</w:t>
      </w:r>
      <w:r>
        <w:rPr>
          <w:rFonts w:hint="eastAsia"/>
          <w:lang w:eastAsia="zh-CN"/>
        </w:rPr>
        <w:t>（</w:t>
      </w:r>
      <w:r>
        <w:rPr>
          <w:rFonts w:hint="eastAsia"/>
          <w:lang w:val="en-US" w:eastAsia="zh-CN"/>
        </w:rPr>
        <w:t>见图7-10</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90"/>
        <w:gridCol w:w="3190"/>
        <w:gridCol w:w="3190"/>
      </w:tblGrid>
      <w:tr w14:paraId="67BFE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0" w:type="dxa"/>
          </w:tcPr>
          <w:p w14:paraId="2B8A4F94">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1440180" cy="2520315"/>
                  <wp:effectExtent l="0" t="0" r="7620" b="9525"/>
                  <wp:docPr id="61" name="图片 61" descr="图片31"/>
                  <wp:cNvGraphicFramePr/>
                  <a:graphic xmlns:a="http://schemas.openxmlformats.org/drawingml/2006/main">
                    <a:graphicData uri="http://schemas.openxmlformats.org/drawingml/2006/picture">
                      <pic:pic xmlns:pic="http://schemas.openxmlformats.org/drawingml/2006/picture">
                        <pic:nvPicPr>
                          <pic:cNvPr id="61" name="图片 61" descr="图片31"/>
                          <pic:cNvPicPr/>
                        </pic:nvPicPr>
                        <pic:blipFill>
                          <a:blip r:embed="rId28"/>
                          <a:stretch>
                            <a:fillRect/>
                          </a:stretch>
                        </pic:blipFill>
                        <pic:spPr>
                          <a:xfrm>
                            <a:off x="0" y="0"/>
                            <a:ext cx="1440180" cy="2520315"/>
                          </a:xfrm>
                          <a:prstGeom prst="rect">
                            <a:avLst/>
                          </a:prstGeom>
                        </pic:spPr>
                      </pic:pic>
                    </a:graphicData>
                  </a:graphic>
                </wp:inline>
              </w:drawing>
            </w:r>
          </w:p>
        </w:tc>
        <w:tc>
          <w:tcPr>
            <w:tcW w:w="3190" w:type="dxa"/>
          </w:tcPr>
          <w:p w14:paraId="108038AE">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1440180" cy="2520315"/>
                  <wp:effectExtent l="0" t="0" r="7620" b="9525"/>
                  <wp:docPr id="62" name="图片 62" descr="图片32"/>
                  <wp:cNvGraphicFramePr/>
                  <a:graphic xmlns:a="http://schemas.openxmlformats.org/drawingml/2006/main">
                    <a:graphicData uri="http://schemas.openxmlformats.org/drawingml/2006/picture">
                      <pic:pic xmlns:pic="http://schemas.openxmlformats.org/drawingml/2006/picture">
                        <pic:nvPicPr>
                          <pic:cNvPr id="62" name="图片 62" descr="图片32"/>
                          <pic:cNvPicPr/>
                        </pic:nvPicPr>
                        <pic:blipFill>
                          <a:blip r:embed="rId29"/>
                          <a:stretch>
                            <a:fillRect/>
                          </a:stretch>
                        </pic:blipFill>
                        <pic:spPr>
                          <a:xfrm>
                            <a:off x="0" y="0"/>
                            <a:ext cx="1440180" cy="2520315"/>
                          </a:xfrm>
                          <a:prstGeom prst="rect">
                            <a:avLst/>
                          </a:prstGeom>
                        </pic:spPr>
                      </pic:pic>
                    </a:graphicData>
                  </a:graphic>
                </wp:inline>
              </w:drawing>
            </w:r>
          </w:p>
        </w:tc>
        <w:tc>
          <w:tcPr>
            <w:tcW w:w="3190" w:type="dxa"/>
          </w:tcPr>
          <w:p w14:paraId="2D93F85E">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1440180" cy="2520315"/>
                  <wp:effectExtent l="0" t="0" r="7620" b="9525"/>
                  <wp:docPr id="63" name="图片 63" descr="图片33"/>
                  <wp:cNvGraphicFramePr/>
                  <a:graphic xmlns:a="http://schemas.openxmlformats.org/drawingml/2006/main">
                    <a:graphicData uri="http://schemas.openxmlformats.org/drawingml/2006/picture">
                      <pic:pic xmlns:pic="http://schemas.openxmlformats.org/drawingml/2006/picture">
                        <pic:nvPicPr>
                          <pic:cNvPr id="63" name="图片 63" descr="图片33"/>
                          <pic:cNvPicPr/>
                        </pic:nvPicPr>
                        <pic:blipFill>
                          <a:blip r:embed="rId30"/>
                          <a:stretch>
                            <a:fillRect/>
                          </a:stretch>
                        </pic:blipFill>
                        <pic:spPr>
                          <a:xfrm>
                            <a:off x="0" y="0"/>
                            <a:ext cx="1440180" cy="2520315"/>
                          </a:xfrm>
                          <a:prstGeom prst="rect">
                            <a:avLst/>
                          </a:prstGeom>
                        </pic:spPr>
                      </pic:pic>
                    </a:graphicData>
                  </a:graphic>
                </wp:inline>
              </w:drawing>
            </w:r>
          </w:p>
        </w:tc>
      </w:tr>
      <w:tr w14:paraId="079CC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90" w:type="dxa"/>
          </w:tcPr>
          <w:p w14:paraId="30BCDC3F">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7</w:t>
            </w:r>
            <w:r>
              <w:rPr>
                <w:rFonts w:hint="eastAsia" w:hAnsi="宋体" w:cs="宋体"/>
                <w:szCs w:val="21"/>
              </w:rPr>
              <w:t xml:space="preserve"> 腰椎正常过伸位示意图</w:t>
            </w:r>
          </w:p>
        </w:tc>
        <w:tc>
          <w:tcPr>
            <w:tcW w:w="3190" w:type="dxa"/>
          </w:tcPr>
          <w:p w14:paraId="4589A238">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8</w:t>
            </w:r>
            <w:r>
              <w:rPr>
                <w:rFonts w:hint="eastAsia" w:hAnsi="宋体" w:cs="宋体"/>
                <w:szCs w:val="21"/>
              </w:rPr>
              <w:t xml:space="preserve"> 腰椎正常过屈位示意图</w:t>
            </w:r>
          </w:p>
        </w:tc>
        <w:tc>
          <w:tcPr>
            <w:tcW w:w="3190" w:type="dxa"/>
          </w:tcPr>
          <w:p w14:paraId="194632AA">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9</w:t>
            </w:r>
            <w:r>
              <w:rPr>
                <w:rFonts w:hint="eastAsia" w:hAnsi="宋体" w:cs="宋体"/>
                <w:szCs w:val="21"/>
              </w:rPr>
              <w:t xml:space="preserve"> 腰椎不稳过伸位示意图</w:t>
            </w:r>
          </w:p>
        </w:tc>
      </w:tr>
      <w:tr w14:paraId="32C30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gridSpan w:val="3"/>
          </w:tcPr>
          <w:p w14:paraId="152C3137">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2160270" cy="2520315"/>
                  <wp:effectExtent l="0" t="0" r="3810" b="9525"/>
                  <wp:docPr id="64" name="图片 64" descr="F:/图片34.png图片34"/>
                  <wp:cNvGraphicFramePr/>
                  <a:graphic xmlns:a="http://schemas.openxmlformats.org/drawingml/2006/main">
                    <a:graphicData uri="http://schemas.openxmlformats.org/drawingml/2006/picture">
                      <pic:pic xmlns:pic="http://schemas.openxmlformats.org/drawingml/2006/picture">
                        <pic:nvPicPr>
                          <pic:cNvPr id="64" name="图片 64" descr="F:/图片34.png图片34"/>
                          <pic:cNvPicPr/>
                        </pic:nvPicPr>
                        <pic:blipFill>
                          <a:blip r:embed="rId31"/>
                          <a:srcRect l="4903" r="4903"/>
                          <a:stretch>
                            <a:fillRect/>
                          </a:stretch>
                        </pic:blipFill>
                        <pic:spPr>
                          <a:xfrm>
                            <a:off x="0" y="0"/>
                            <a:ext cx="2160270" cy="2520315"/>
                          </a:xfrm>
                          <a:prstGeom prst="rect">
                            <a:avLst/>
                          </a:prstGeom>
                        </pic:spPr>
                      </pic:pic>
                    </a:graphicData>
                  </a:graphic>
                </wp:inline>
              </w:drawing>
            </w:r>
          </w:p>
        </w:tc>
      </w:tr>
      <w:tr w14:paraId="19588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gridSpan w:val="3"/>
          </w:tcPr>
          <w:p w14:paraId="67B7AB12">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10</w:t>
            </w:r>
            <w:r>
              <w:rPr>
                <w:rFonts w:hint="eastAsia"/>
                <w:color w:val="231F20"/>
                <w:spacing w:val="-1"/>
              </w:rPr>
              <w:t xml:space="preserve"> 腰椎后滑脱X线片</w:t>
            </w:r>
          </w:p>
        </w:tc>
      </w:tr>
    </w:tbl>
    <w:p w14:paraId="01D800C6">
      <w:pPr>
        <w:pStyle w:val="176"/>
        <w:numPr>
          <w:ilvl w:val="0"/>
          <w:numId w:val="0"/>
        </w:numPr>
        <w:spacing w:line="300" w:lineRule="auto"/>
        <w:ind w:left="1276" w:firstLine="420" w:firstLineChars="200"/>
        <w:rPr>
          <w:rFonts w:hAnsi="宋体" w:cs="宋体"/>
          <w:szCs w:val="21"/>
        </w:rPr>
      </w:pPr>
    </w:p>
    <w:p w14:paraId="0D7535BD">
      <w:pPr>
        <w:pStyle w:val="176"/>
        <w:numPr>
          <w:ilvl w:val="2"/>
          <w:numId w:val="32"/>
        </w:numPr>
        <w:spacing w:line="300" w:lineRule="auto"/>
        <w:rPr>
          <w:rFonts w:hAnsi="宋体" w:cs="宋体"/>
          <w:szCs w:val="21"/>
        </w:rPr>
      </w:pPr>
      <w:r>
        <w:rPr>
          <w:rFonts w:hint="eastAsia" w:hAnsi="宋体" w:cs="宋体"/>
          <w:szCs w:val="21"/>
        </w:rPr>
        <w:t>圆周试验</w:t>
      </w:r>
    </w:p>
    <w:p w14:paraId="657E7E70">
      <w:pPr>
        <w:pStyle w:val="176"/>
        <w:numPr>
          <w:ilvl w:val="0"/>
          <w:numId w:val="0"/>
        </w:numPr>
        <w:spacing w:line="300" w:lineRule="auto"/>
        <w:ind w:left="840" w:leftChars="400" w:firstLine="420" w:firstLineChars="200"/>
        <w:rPr>
          <w:rFonts w:hAnsi="宋体" w:cs="宋体"/>
          <w:szCs w:val="21"/>
        </w:rPr>
      </w:pPr>
      <w:r>
        <w:rPr>
          <w:rFonts w:hint="eastAsia" w:hAnsi="宋体" w:cs="宋体"/>
          <w:szCs w:val="21"/>
        </w:rPr>
        <w:t>沿 L5 椎体下缘和 S1 上缘各画一直线，二线交叉于骨突关节的中心，以此为圆心画一圆弧，正常者经过 L5 与 S1 的前缘。当过伸位时，L5 在 S1上面前移 2-4 mm，后缘轮廓不动，有时可因照片不清而误诊，用圆周试验可得以纠正。</w:t>
      </w:r>
      <w:r>
        <w:rPr>
          <w:rFonts w:hint="eastAsia"/>
          <w:lang w:eastAsia="zh-CN"/>
        </w:rPr>
        <w:t>（</w:t>
      </w:r>
      <w:r>
        <w:rPr>
          <w:rFonts w:hint="eastAsia"/>
          <w:lang w:val="en-US" w:eastAsia="zh-CN"/>
        </w:rPr>
        <w:t>见图11、12</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32AAA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58A7A527">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1800225" cy="2520315"/>
                  <wp:effectExtent l="0" t="0" r="13335" b="9525"/>
                  <wp:docPr id="66" name="图片 66" descr="图片35"/>
                  <wp:cNvGraphicFramePr/>
                  <a:graphic xmlns:a="http://schemas.openxmlformats.org/drawingml/2006/main">
                    <a:graphicData uri="http://schemas.openxmlformats.org/drawingml/2006/picture">
                      <pic:pic xmlns:pic="http://schemas.openxmlformats.org/drawingml/2006/picture">
                        <pic:nvPicPr>
                          <pic:cNvPr id="66" name="图片 66" descr="图片35"/>
                          <pic:cNvPicPr/>
                        </pic:nvPicPr>
                        <pic:blipFill>
                          <a:blip r:embed="rId32"/>
                          <a:stretch>
                            <a:fillRect/>
                          </a:stretch>
                        </pic:blipFill>
                        <pic:spPr>
                          <a:xfrm>
                            <a:off x="0" y="0"/>
                            <a:ext cx="1800225" cy="2520315"/>
                          </a:xfrm>
                          <a:prstGeom prst="rect">
                            <a:avLst/>
                          </a:prstGeom>
                        </pic:spPr>
                      </pic:pic>
                    </a:graphicData>
                  </a:graphic>
                </wp:inline>
              </w:drawing>
            </w:r>
          </w:p>
        </w:tc>
      </w:tr>
      <w:tr w14:paraId="1911B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0F437341">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11</w:t>
            </w:r>
            <w:r>
              <w:rPr>
                <w:rFonts w:hint="eastAsia"/>
                <w:color w:val="231F20"/>
                <w:spacing w:val="-1"/>
              </w:rPr>
              <w:t xml:space="preserve"> 腰骶部圆周试验示意图</w:t>
            </w:r>
          </w:p>
        </w:tc>
      </w:tr>
    </w:tbl>
    <w:p w14:paraId="1E9F464B">
      <w:pPr>
        <w:pStyle w:val="176"/>
        <w:numPr>
          <w:ilvl w:val="0"/>
          <w:numId w:val="0"/>
        </w:numPr>
        <w:spacing w:line="300" w:lineRule="auto"/>
        <w:ind w:left="1276"/>
        <w:rPr>
          <w:rFonts w:hAnsi="宋体" w:cs="宋体"/>
          <w:szCs w:val="21"/>
        </w:rPr>
      </w:pPr>
    </w:p>
    <w:p w14:paraId="67C4E6A9">
      <w:pPr>
        <w:pStyle w:val="176"/>
        <w:numPr>
          <w:ilvl w:val="2"/>
          <w:numId w:val="32"/>
        </w:numPr>
        <w:spacing w:line="300" w:lineRule="auto"/>
        <w:rPr>
          <w:rFonts w:hAnsi="宋体" w:cs="宋体"/>
          <w:szCs w:val="21"/>
        </w:rPr>
      </w:pPr>
      <w:r>
        <w:rPr>
          <w:rFonts w:hint="eastAsia" w:hAnsi="宋体" w:cs="宋体"/>
          <w:szCs w:val="21"/>
        </w:rPr>
        <w:t>腰骶部不稳的几种改变</w:t>
      </w:r>
      <w:r>
        <w:rPr>
          <w:rFonts w:hint="eastAsia"/>
          <w:lang w:eastAsia="zh-CN"/>
        </w:rPr>
        <w:t>（</w:t>
      </w:r>
      <w:r>
        <w:rPr>
          <w:rFonts w:hint="eastAsia"/>
          <w:lang w:val="en-US" w:eastAsia="zh-CN"/>
        </w:rPr>
        <w:t>见图33</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0A847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3BC5DC86">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4679950" cy="5163185"/>
                  <wp:effectExtent l="0" t="0" r="13970" b="3175"/>
                  <wp:docPr id="69" name="图片 69" descr="图片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36"/>
                          <pic:cNvPicPr>
                            <a:picLocks noChangeAspect="1"/>
                          </pic:cNvPicPr>
                        </pic:nvPicPr>
                        <pic:blipFill>
                          <a:blip r:embed="rId33"/>
                          <a:stretch>
                            <a:fillRect/>
                          </a:stretch>
                        </pic:blipFill>
                        <pic:spPr>
                          <a:xfrm>
                            <a:off x="0" y="0"/>
                            <a:ext cx="4679950" cy="5163185"/>
                          </a:xfrm>
                          <a:prstGeom prst="rect">
                            <a:avLst/>
                          </a:prstGeom>
                        </pic:spPr>
                      </pic:pic>
                    </a:graphicData>
                  </a:graphic>
                </wp:inline>
              </w:drawing>
            </w:r>
          </w:p>
        </w:tc>
      </w:tr>
      <w:tr w14:paraId="6654D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689CB920">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12</w:t>
            </w:r>
            <w:r>
              <w:rPr>
                <w:rFonts w:hint="eastAsia"/>
                <w:color w:val="231F20"/>
                <w:spacing w:val="-1"/>
              </w:rPr>
              <w:t xml:space="preserve"> 腰骶部不稳的几种改变示意图</w:t>
            </w:r>
          </w:p>
          <w:p w14:paraId="6441E2C3">
            <w:pPr>
              <w:pStyle w:val="176"/>
              <w:keepNext w:val="0"/>
              <w:keepLines w:val="0"/>
              <w:pageBreakBefore w:val="0"/>
              <w:widowControl/>
              <w:numPr>
                <w:ilvl w:val="0"/>
                <w:numId w:val="0"/>
              </w:numPr>
              <w:kinsoku/>
              <w:wordWrap/>
              <w:overflowPunct/>
              <w:topLinePunct w:val="0"/>
              <w:autoSpaceDE/>
              <w:autoSpaceDN/>
              <w:bidi w:val="0"/>
              <w:adjustRightInd/>
              <w:snapToGrid/>
              <w:spacing w:line="300" w:lineRule="auto"/>
              <w:ind w:firstLine="356" w:firstLineChars="200"/>
              <w:jc w:val="center"/>
              <w:textAlignment w:val="auto"/>
              <w:rPr>
                <w:color w:val="231F20"/>
                <w:spacing w:val="-1"/>
              </w:rPr>
            </w:pPr>
            <w:r>
              <w:rPr>
                <w:rFonts w:hint="eastAsia"/>
                <w:color w:val="231F20"/>
                <w:spacing w:val="-1"/>
                <w:sz w:val="18"/>
                <w:szCs w:val="18"/>
              </w:rPr>
              <w:t>注：持重线为自 L3 椎体中心向下的延长垂线</w:t>
            </w:r>
          </w:p>
        </w:tc>
      </w:tr>
    </w:tbl>
    <w:p w14:paraId="040BA81B">
      <w:pPr>
        <w:pStyle w:val="176"/>
        <w:numPr>
          <w:ilvl w:val="0"/>
          <w:numId w:val="0"/>
        </w:numPr>
        <w:spacing w:line="300" w:lineRule="auto"/>
        <w:ind w:left="1276"/>
        <w:rPr>
          <w:rFonts w:hAnsi="宋体" w:cs="宋体"/>
          <w:szCs w:val="21"/>
        </w:rPr>
      </w:pPr>
    </w:p>
    <w:p w14:paraId="7AC32EF1">
      <w:pPr>
        <w:pStyle w:val="176"/>
        <w:numPr>
          <w:ilvl w:val="2"/>
          <w:numId w:val="32"/>
        </w:numPr>
        <w:spacing w:line="300" w:lineRule="auto"/>
        <w:rPr>
          <w:rFonts w:hAnsi="宋体" w:cs="宋体"/>
          <w:szCs w:val="21"/>
        </w:rPr>
      </w:pPr>
      <w:r>
        <w:rPr>
          <w:rFonts w:hint="eastAsia" w:hAnsi="宋体" w:cs="宋体"/>
          <w:szCs w:val="21"/>
        </w:rPr>
        <w:t>椎体滑脱与椎板峡部裂</w:t>
      </w:r>
    </w:p>
    <w:p w14:paraId="5F69D472">
      <w:pPr>
        <w:pStyle w:val="176"/>
        <w:numPr>
          <w:ilvl w:val="0"/>
          <w:numId w:val="0"/>
        </w:numPr>
        <w:spacing w:line="300" w:lineRule="auto"/>
        <w:ind w:left="840" w:firstLine="428" w:firstLineChars="200"/>
        <w:rPr>
          <w:rFonts w:hAnsi="宋体" w:cs="宋体"/>
          <w:color w:val="231F20"/>
          <w:spacing w:val="2"/>
          <w:szCs w:val="21"/>
        </w:rPr>
      </w:pPr>
      <w:r>
        <w:rPr>
          <w:rFonts w:hint="eastAsia"/>
          <w:color w:val="231F20"/>
          <w:spacing w:val="2"/>
        </w:rPr>
        <w:t>侧位 X 线片上，在上、下关节突间见到由后上向前下的裂隙，其宽度随椎体滑脱的程度而异。但因双侧附件景象重叠不易确定是单侧或双侧。若存在椎体向前滑脱，可判断滑脱的程度，最常用且简单易行的测量方法是将 S1 椎体上缘均分成 4 等份，正常时 L5 与 S1 椎体缘构成连续的弧线，在滑脱时则 L5向前移位，移动距离在 1/4 以下为Ⅰ度滑脱， 1/4-1/2 为Ⅱ度滑脱，以此类推。</w:t>
      </w:r>
      <w:r>
        <w:rPr>
          <w:rFonts w:hint="eastAsia"/>
          <w:lang w:eastAsia="zh-CN"/>
        </w:rPr>
        <w:t>（</w:t>
      </w:r>
      <w:r>
        <w:rPr>
          <w:rFonts w:hint="eastAsia"/>
          <w:lang w:val="en-US" w:eastAsia="zh-CN"/>
        </w:rPr>
        <w:t>见图13、14</w:t>
      </w:r>
      <w:r>
        <w:rPr>
          <w:rFonts w:hint="eastAsia"/>
          <w:lang w:eastAsia="zh-CN"/>
        </w:rPr>
        <w:t>）</w:t>
      </w:r>
    </w:p>
    <w:tbl>
      <w:tblPr>
        <w:tblStyle w:val="29"/>
        <w:tblW w:w="0" w:type="auto"/>
        <w:tblInd w:w="9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2"/>
        <w:gridCol w:w="4785"/>
      </w:tblGrid>
      <w:tr w14:paraId="48EE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2" w:type="dxa"/>
            <w:tcBorders>
              <w:top w:val="nil"/>
              <w:left w:val="nil"/>
              <w:bottom w:val="nil"/>
              <w:right w:val="nil"/>
            </w:tcBorders>
          </w:tcPr>
          <w:p w14:paraId="07386526">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160270" cy="2520315"/>
                  <wp:effectExtent l="0" t="0" r="3810" b="9525"/>
                  <wp:docPr id="72" name="图片 72" descr="图片37"/>
                  <wp:cNvGraphicFramePr/>
                  <a:graphic xmlns:a="http://schemas.openxmlformats.org/drawingml/2006/main">
                    <a:graphicData uri="http://schemas.openxmlformats.org/drawingml/2006/picture">
                      <pic:pic xmlns:pic="http://schemas.openxmlformats.org/drawingml/2006/picture">
                        <pic:nvPicPr>
                          <pic:cNvPr id="72" name="图片 72" descr="图片37"/>
                          <pic:cNvPicPr/>
                        </pic:nvPicPr>
                        <pic:blipFill>
                          <a:blip r:embed="rId34"/>
                          <a:stretch>
                            <a:fillRect/>
                          </a:stretch>
                        </pic:blipFill>
                        <pic:spPr>
                          <a:xfrm>
                            <a:off x="0" y="0"/>
                            <a:ext cx="2160270" cy="2520315"/>
                          </a:xfrm>
                          <a:prstGeom prst="rect">
                            <a:avLst/>
                          </a:prstGeom>
                        </pic:spPr>
                      </pic:pic>
                    </a:graphicData>
                  </a:graphic>
                </wp:inline>
              </w:drawing>
            </w:r>
          </w:p>
        </w:tc>
        <w:tc>
          <w:tcPr>
            <w:tcW w:w="4785" w:type="dxa"/>
            <w:tcBorders>
              <w:top w:val="nil"/>
              <w:left w:val="nil"/>
              <w:bottom w:val="nil"/>
              <w:right w:val="nil"/>
            </w:tcBorders>
          </w:tcPr>
          <w:p w14:paraId="5A29704A">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1800225" cy="2520315"/>
                  <wp:effectExtent l="0" t="0" r="13335" b="9525"/>
                  <wp:docPr id="73" name="图片 73" descr="图片38"/>
                  <wp:cNvGraphicFramePr/>
                  <a:graphic xmlns:a="http://schemas.openxmlformats.org/drawingml/2006/main">
                    <a:graphicData uri="http://schemas.openxmlformats.org/drawingml/2006/picture">
                      <pic:pic xmlns:pic="http://schemas.openxmlformats.org/drawingml/2006/picture">
                        <pic:nvPicPr>
                          <pic:cNvPr id="73" name="图片 73" descr="图片38"/>
                          <pic:cNvPicPr/>
                        </pic:nvPicPr>
                        <pic:blipFill>
                          <a:blip r:embed="rId35"/>
                          <a:stretch>
                            <a:fillRect/>
                          </a:stretch>
                        </pic:blipFill>
                        <pic:spPr>
                          <a:xfrm>
                            <a:off x="0" y="0"/>
                            <a:ext cx="1800225" cy="2520315"/>
                          </a:xfrm>
                          <a:prstGeom prst="rect">
                            <a:avLst/>
                          </a:prstGeom>
                        </pic:spPr>
                      </pic:pic>
                    </a:graphicData>
                  </a:graphic>
                </wp:inline>
              </w:drawing>
            </w:r>
          </w:p>
        </w:tc>
      </w:tr>
      <w:tr w14:paraId="3253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2" w:type="dxa"/>
            <w:tcBorders>
              <w:top w:val="nil"/>
              <w:left w:val="nil"/>
              <w:bottom w:val="nil"/>
              <w:right w:val="nil"/>
            </w:tcBorders>
          </w:tcPr>
          <w:p w14:paraId="3042C585">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13</w:t>
            </w:r>
            <w:r>
              <w:rPr>
                <w:rFonts w:hint="eastAsia" w:hAnsi="宋体" w:cs="宋体"/>
                <w:szCs w:val="21"/>
              </w:rPr>
              <w:t xml:space="preserve"> 腰椎滑脱分度示意图</w:t>
            </w:r>
          </w:p>
        </w:tc>
        <w:tc>
          <w:tcPr>
            <w:tcW w:w="4785" w:type="dxa"/>
            <w:tcBorders>
              <w:top w:val="nil"/>
              <w:left w:val="nil"/>
              <w:bottom w:val="nil"/>
              <w:right w:val="nil"/>
            </w:tcBorders>
          </w:tcPr>
          <w:p w14:paraId="63BC6F88">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14</w:t>
            </w:r>
            <w:r>
              <w:rPr>
                <w:rFonts w:hint="eastAsia" w:hAnsi="宋体" w:cs="宋体"/>
                <w:szCs w:val="21"/>
              </w:rPr>
              <w:t xml:space="preserve"> 腰椎II度滑脱X线片</w:t>
            </w:r>
          </w:p>
        </w:tc>
      </w:tr>
    </w:tbl>
    <w:p w14:paraId="03C900F9">
      <w:pPr>
        <w:pStyle w:val="176"/>
        <w:numPr>
          <w:ilvl w:val="0"/>
          <w:numId w:val="0"/>
        </w:numPr>
        <w:spacing w:line="300" w:lineRule="auto"/>
        <w:ind w:left="851"/>
      </w:pPr>
    </w:p>
    <w:p w14:paraId="53B5E94B">
      <w:pPr>
        <w:pStyle w:val="176"/>
        <w:numPr>
          <w:ilvl w:val="0"/>
          <w:numId w:val="0"/>
        </w:numPr>
        <w:spacing w:line="300" w:lineRule="auto"/>
        <w:ind w:left="851" w:firstLine="420" w:firstLineChars="200"/>
      </w:pPr>
      <w:r>
        <w:rPr>
          <w:rFonts w:hint="eastAsia"/>
        </w:rPr>
        <w:t>腰椎 45°斜位 X 线片可清晰显示椎体上下关节突、椎弓和峡部的骨质，观察峡部的形态或缺损的距离（图 3-60）。由于峡部断裂，使椎体、椎弓根、上下关节突于下位椎体上面向前滑脱，即真性滑脱。仅有椎体向前滑脱，而椎弓完整者，为假性滑脱。</w:t>
      </w:r>
      <w:r>
        <w:rPr>
          <w:rFonts w:hint="eastAsia"/>
          <w:lang w:eastAsia="zh-CN"/>
        </w:rPr>
        <w:t>（</w:t>
      </w:r>
      <w:r>
        <w:rPr>
          <w:rFonts w:hint="eastAsia"/>
          <w:lang w:val="en-US" w:eastAsia="zh-CN"/>
        </w:rPr>
        <w:t>见图15</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6D18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146C7F93">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1800225" cy="2520315"/>
                  <wp:effectExtent l="0" t="0" r="13335" b="9525"/>
                  <wp:docPr id="74" name="图片 74" descr="F:/图片39.png图片39"/>
                  <wp:cNvGraphicFramePr/>
                  <a:graphic xmlns:a="http://schemas.openxmlformats.org/drawingml/2006/main">
                    <a:graphicData uri="http://schemas.openxmlformats.org/drawingml/2006/picture">
                      <pic:pic xmlns:pic="http://schemas.openxmlformats.org/drawingml/2006/picture">
                        <pic:nvPicPr>
                          <pic:cNvPr id="74" name="图片 74" descr="F:/图片39.png图片39"/>
                          <pic:cNvPicPr/>
                        </pic:nvPicPr>
                        <pic:blipFill>
                          <a:blip r:embed="rId36"/>
                          <a:srcRect l="7778" r="7778"/>
                          <a:stretch>
                            <a:fillRect/>
                          </a:stretch>
                        </pic:blipFill>
                        <pic:spPr>
                          <a:xfrm>
                            <a:off x="0" y="0"/>
                            <a:ext cx="1800225" cy="2520315"/>
                          </a:xfrm>
                          <a:prstGeom prst="rect">
                            <a:avLst/>
                          </a:prstGeom>
                        </pic:spPr>
                      </pic:pic>
                    </a:graphicData>
                  </a:graphic>
                </wp:inline>
              </w:drawing>
            </w:r>
          </w:p>
        </w:tc>
      </w:tr>
      <w:tr w14:paraId="5D46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02548E41">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15</w:t>
            </w:r>
            <w:r>
              <w:rPr>
                <w:rFonts w:hint="eastAsia"/>
                <w:color w:val="231F20"/>
                <w:spacing w:val="-1"/>
              </w:rPr>
              <w:t xml:space="preserve"> 椎弓峡部断裂示意图</w:t>
            </w:r>
          </w:p>
        </w:tc>
      </w:tr>
    </w:tbl>
    <w:p w14:paraId="3080082B">
      <w:pPr>
        <w:pStyle w:val="176"/>
        <w:numPr>
          <w:ilvl w:val="0"/>
          <w:numId w:val="0"/>
        </w:numPr>
        <w:spacing w:line="300" w:lineRule="auto"/>
        <w:ind w:left="851" w:firstLine="420" w:firstLineChars="200"/>
      </w:pPr>
    </w:p>
    <w:p w14:paraId="07B7DE28">
      <w:pPr>
        <w:pStyle w:val="176"/>
        <w:numPr>
          <w:ilvl w:val="1"/>
          <w:numId w:val="33"/>
        </w:numPr>
        <w:tabs>
          <w:tab w:val="left" w:pos="1276"/>
        </w:tabs>
        <w:spacing w:line="300" w:lineRule="auto"/>
      </w:pPr>
      <w:r>
        <w:rPr>
          <w:rFonts w:hint="eastAsia"/>
        </w:rPr>
        <w:t>倾位式或仰位式错位</w:t>
      </w:r>
    </w:p>
    <w:p w14:paraId="7A59F03B">
      <w:pPr>
        <w:pStyle w:val="176"/>
        <w:numPr>
          <w:ilvl w:val="0"/>
          <w:numId w:val="0"/>
        </w:numPr>
        <w:spacing w:line="300" w:lineRule="auto"/>
        <w:ind w:left="851" w:firstLine="420" w:firstLineChars="200"/>
      </w:pPr>
      <w:r>
        <w:rPr>
          <w:rFonts w:hint="eastAsia"/>
        </w:rPr>
        <w:t>倾位式或仰位式错位：侧位片见椎体棘突间距不等，上宽下窄为仰位式错位，而下宽上窄为倾位式错位。正位片见倾位式错位椎的棘突与上椎棘突之距离变窄，与下椎棘突的距离变宽；而仰位式错位时棘突变化则相反。倾位式错位时错位椎体与下位椎体的椎间隙由正常的前宽后窄变为前后等宽，甚至是前窄后宽。如果有椎体后缘后翘或增生，椎体上、下端椎间盘压迹后移，椎间隙后方椎管内有碎骨片，椎体上、下端有向椎体内凹陷（许莫氏结节），其边缘密度增高的杯状影时，要考虑腰椎间盘突出。</w:t>
      </w:r>
    </w:p>
    <w:p w14:paraId="5A622655">
      <w:pPr>
        <w:pStyle w:val="176"/>
        <w:numPr>
          <w:ilvl w:val="1"/>
          <w:numId w:val="33"/>
        </w:numPr>
        <w:tabs>
          <w:tab w:val="left" w:pos="1276"/>
        </w:tabs>
        <w:spacing w:line="300" w:lineRule="auto"/>
      </w:pPr>
      <w:r>
        <w:rPr>
          <w:rFonts w:hint="eastAsia"/>
        </w:rPr>
        <w:t>混合式错位</w:t>
      </w:r>
    </w:p>
    <w:p w14:paraId="534561E1">
      <w:pPr>
        <w:pStyle w:val="176"/>
        <w:numPr>
          <w:ilvl w:val="0"/>
          <w:numId w:val="0"/>
        </w:numPr>
        <w:spacing w:line="300" w:lineRule="auto"/>
        <w:ind w:left="851" w:firstLine="420" w:firstLineChars="200"/>
      </w:pPr>
      <w:r>
        <w:rPr>
          <w:rFonts w:hint="eastAsia"/>
        </w:rPr>
        <w:t>兼有上述各型 2 型或 2 型以上者。</w:t>
      </w:r>
    </w:p>
    <w:p w14:paraId="6A6C8DED">
      <w:pPr>
        <w:pStyle w:val="176"/>
        <w:numPr>
          <w:ilvl w:val="1"/>
          <w:numId w:val="33"/>
        </w:numPr>
        <w:tabs>
          <w:tab w:val="left" w:pos="1276"/>
        </w:tabs>
        <w:spacing w:line="300" w:lineRule="auto"/>
      </w:pPr>
      <w:r>
        <w:rPr>
          <w:rFonts w:hint="eastAsia"/>
        </w:rPr>
        <w:t>椎间隙变窄</w:t>
      </w:r>
    </w:p>
    <w:p w14:paraId="33736DF5">
      <w:pPr>
        <w:pStyle w:val="176"/>
        <w:numPr>
          <w:ilvl w:val="0"/>
          <w:numId w:val="0"/>
        </w:numPr>
        <w:spacing w:line="300" w:lineRule="auto"/>
        <w:ind w:left="851" w:firstLine="420" w:firstLineChars="200"/>
      </w:pPr>
      <w:r>
        <w:rPr>
          <w:rFonts w:hint="eastAsia"/>
        </w:rPr>
        <w:t>与相邻的椎体比较，椎间隙变窄，这是椎间盘变性的表现。</w:t>
      </w:r>
    </w:p>
    <w:p w14:paraId="4F6339C6">
      <w:pPr>
        <w:pStyle w:val="176"/>
        <w:numPr>
          <w:ilvl w:val="1"/>
          <w:numId w:val="33"/>
        </w:numPr>
        <w:tabs>
          <w:tab w:val="left" w:pos="1276"/>
        </w:tabs>
        <w:spacing w:line="300" w:lineRule="auto"/>
      </w:pPr>
      <w:r>
        <w:rPr>
          <w:rFonts w:hint="eastAsia"/>
        </w:rPr>
        <w:t>骨质增生</w:t>
      </w:r>
    </w:p>
    <w:p w14:paraId="1347BEC8">
      <w:pPr>
        <w:pStyle w:val="176"/>
        <w:numPr>
          <w:ilvl w:val="0"/>
          <w:numId w:val="0"/>
        </w:numPr>
        <w:spacing w:line="300" w:lineRule="auto"/>
        <w:ind w:left="851" w:firstLine="420" w:firstLineChars="200"/>
      </w:pPr>
      <w:r>
        <w:rPr>
          <w:rFonts w:hint="eastAsia"/>
        </w:rPr>
        <w:t>椎体前缘、后缘或上关节突、椎小关节骨质增生呈唇样、鸟嘴样、变尖变长或成骨桥。当骨刺位于椎体的前方或侧方，呈水平方向突起，基底部距椎间盘外缘 1cm，为牵张性骨刺，提示腰椎失稳（常见的有创伤、肿瘤、退行性变、腰椎间盘膨出或突出以及各种减压性手术均可导致腰椎失稳）。</w:t>
      </w:r>
      <w:r>
        <w:rPr>
          <w:rFonts w:hint="eastAsia"/>
          <w:lang w:eastAsia="zh-CN"/>
        </w:rPr>
        <w:t>（</w:t>
      </w:r>
      <w:r>
        <w:rPr>
          <w:rFonts w:hint="eastAsia"/>
          <w:lang w:val="en-US" w:eastAsia="zh-CN"/>
        </w:rPr>
        <w:t>见图16</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52629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374D35A3">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1800225" cy="2520315"/>
                  <wp:effectExtent l="0" t="0" r="13335" b="9525"/>
                  <wp:docPr id="75" name="图片 75" descr="F:/图片40.png图片40"/>
                  <wp:cNvGraphicFramePr/>
                  <a:graphic xmlns:a="http://schemas.openxmlformats.org/drawingml/2006/main">
                    <a:graphicData uri="http://schemas.openxmlformats.org/drawingml/2006/picture">
                      <pic:pic xmlns:pic="http://schemas.openxmlformats.org/drawingml/2006/picture">
                        <pic:nvPicPr>
                          <pic:cNvPr id="75" name="图片 75" descr="F:/图片40.png图片40"/>
                          <pic:cNvPicPr/>
                        </pic:nvPicPr>
                        <pic:blipFill>
                          <a:blip r:embed="rId37"/>
                          <a:srcRect l="9101" r="9101"/>
                          <a:stretch>
                            <a:fillRect/>
                          </a:stretch>
                        </pic:blipFill>
                        <pic:spPr>
                          <a:xfrm>
                            <a:off x="0" y="0"/>
                            <a:ext cx="1800225" cy="2520315"/>
                          </a:xfrm>
                          <a:prstGeom prst="rect">
                            <a:avLst/>
                          </a:prstGeom>
                        </pic:spPr>
                      </pic:pic>
                    </a:graphicData>
                  </a:graphic>
                </wp:inline>
              </w:drawing>
            </w:r>
          </w:p>
        </w:tc>
      </w:tr>
      <w:tr w14:paraId="02B99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654B9B89">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16</w:t>
            </w:r>
            <w:r>
              <w:rPr>
                <w:rFonts w:hint="eastAsia"/>
                <w:color w:val="231F20"/>
                <w:spacing w:val="-1"/>
              </w:rPr>
              <w:t xml:space="preserve"> 严重骨质增生X线片</w:t>
            </w:r>
          </w:p>
        </w:tc>
      </w:tr>
    </w:tbl>
    <w:p w14:paraId="20BAB008">
      <w:pPr>
        <w:pStyle w:val="176"/>
        <w:numPr>
          <w:ilvl w:val="0"/>
          <w:numId w:val="0"/>
        </w:numPr>
        <w:spacing w:line="300" w:lineRule="auto"/>
        <w:ind w:left="851"/>
      </w:pPr>
    </w:p>
    <w:p w14:paraId="191DAA56">
      <w:pPr>
        <w:pStyle w:val="176"/>
        <w:numPr>
          <w:ilvl w:val="1"/>
          <w:numId w:val="33"/>
        </w:numPr>
        <w:tabs>
          <w:tab w:val="left" w:pos="1276"/>
        </w:tabs>
        <w:spacing w:line="300" w:lineRule="auto"/>
      </w:pPr>
      <w:r>
        <w:rPr>
          <w:rFonts w:hint="eastAsia"/>
        </w:rPr>
        <w:t>后关节紊乱</w:t>
      </w:r>
    </w:p>
    <w:p w14:paraId="55B08081">
      <w:pPr>
        <w:pStyle w:val="176"/>
        <w:numPr>
          <w:ilvl w:val="0"/>
          <w:numId w:val="0"/>
        </w:numPr>
        <w:spacing w:line="300" w:lineRule="auto"/>
        <w:ind w:left="851" w:firstLine="420" w:firstLineChars="200"/>
      </w:pPr>
      <w:r>
        <w:rPr>
          <w:rFonts w:hint="eastAsia"/>
        </w:rPr>
        <w:t>病程短者做 X 线检查无特殊表现；病程较长的慢性病者，患椎前缘可有骨增生等 X 线征；如属椎体后移、棘突隆起者，可出现椎体后移的不稳或假性滑脱的改变。</w:t>
      </w:r>
    </w:p>
    <w:p w14:paraId="2F9F5239">
      <w:pPr>
        <w:pStyle w:val="176"/>
        <w:numPr>
          <w:ilvl w:val="0"/>
          <w:numId w:val="0"/>
        </w:numPr>
        <w:spacing w:line="300" w:lineRule="auto"/>
        <w:ind w:left="851" w:firstLine="420" w:firstLineChars="200"/>
      </w:pPr>
    </w:p>
    <w:p w14:paraId="48164554">
      <w:pPr>
        <w:pStyle w:val="176"/>
        <w:numPr>
          <w:ilvl w:val="0"/>
          <w:numId w:val="33"/>
        </w:numPr>
        <w:spacing w:line="300" w:lineRule="auto"/>
      </w:pPr>
      <w:r>
        <w:rPr>
          <w:rFonts w:hint="eastAsia"/>
        </w:rPr>
        <w:t>DIERS formetric 3D 评估系统检查：</w:t>
      </w:r>
    </w:p>
    <w:p w14:paraId="0124840A">
      <w:pPr>
        <w:pStyle w:val="58"/>
        <w:spacing w:line="300" w:lineRule="auto"/>
        <w:ind w:firstLine="420"/>
      </w:pPr>
      <w:r>
        <w:rPr>
          <w:rFonts w:hint="eastAsia"/>
        </w:rPr>
        <w:t>DIERS formetric 3D评估系统全称为DIERS formetric 3D三维脊柱测量及姿势评估系统，引进自德国，利用摩尔纹地形和光学三角测量的物理原，将可见光通过光栅板投射到测试者的背部，形成平行等距的光谱，自动检测测试者的脊柱解剖标志点，根据受试者背部的光谱进行三维扫描重建，结合内置生物力学模型生成脊柱的3D实时图像（见图</w:t>
      </w:r>
      <w:r>
        <w:rPr>
          <w:rFonts w:hint="eastAsia"/>
          <w:lang w:val="en-US" w:eastAsia="zh-CN"/>
        </w:rPr>
        <w:t>17</w:t>
      </w:r>
      <w:r>
        <w:rPr>
          <w:rFonts w:hint="eastAsia"/>
        </w:rPr>
        <w:t>），对脊柱侧弯、椎体旋转、骨盆旋移等脊柱错位情况提供躯干矢状面倾斜距离、躯干冠状面倾斜距离、腰曲最大角度、椎体旋转角度等精确的数据，并进行前后可视化对比（见图</w:t>
      </w:r>
      <w:r>
        <w:rPr>
          <w:rFonts w:hint="eastAsia"/>
          <w:lang w:val="en-US" w:eastAsia="zh-CN"/>
        </w:rPr>
        <w:t>18</w:t>
      </w:r>
      <w:r>
        <w:rPr>
          <w:rFonts w:hint="eastAsia"/>
        </w:rPr>
        <w:t>）。</w:t>
      </w:r>
    </w:p>
    <w:p w14:paraId="6037AEA2">
      <w:pPr>
        <w:pStyle w:val="58"/>
        <w:spacing w:line="300" w:lineRule="auto"/>
        <w:ind w:firstLine="420"/>
      </w:pPr>
      <w:r>
        <w:rPr>
          <w:rFonts w:hint="eastAsia"/>
        </w:rPr>
        <w:t>通过“视频-光栅-立体画法”，使用无辐射、无标志点的表面形貌学扫描方法进行脊柱-骨盆三维动态重建，可以客观而精确地说明在时间曲线下，不同脊柱疾病造成的躯干-骨盆-下肢运动功能影响的特点，为脊柱疾病运动功能评价体系提供客观评价依据，同时与传统影像学检查功能互补，可动态测量，具有无辐射、安全性高的优点，对脊柱及骨盆相关疾病的诊疗提供了直观的证据。</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54AA9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5518F77E">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5219700" cy="3239770"/>
                  <wp:effectExtent l="0" t="0" r="7620" b="6350"/>
                  <wp:docPr id="79" name="图片 79" descr="图片41"/>
                  <wp:cNvGraphicFramePr/>
                  <a:graphic xmlns:a="http://schemas.openxmlformats.org/drawingml/2006/main">
                    <a:graphicData uri="http://schemas.openxmlformats.org/drawingml/2006/picture">
                      <pic:pic xmlns:pic="http://schemas.openxmlformats.org/drawingml/2006/picture">
                        <pic:nvPicPr>
                          <pic:cNvPr id="79" name="图片 79" descr="图片41"/>
                          <pic:cNvPicPr/>
                        </pic:nvPicPr>
                        <pic:blipFill>
                          <a:blip r:embed="rId38"/>
                          <a:stretch>
                            <a:fillRect/>
                          </a:stretch>
                        </pic:blipFill>
                        <pic:spPr>
                          <a:xfrm>
                            <a:off x="0" y="0"/>
                            <a:ext cx="5219700" cy="3239770"/>
                          </a:xfrm>
                          <a:prstGeom prst="rect">
                            <a:avLst/>
                          </a:prstGeom>
                        </pic:spPr>
                      </pic:pic>
                    </a:graphicData>
                  </a:graphic>
                </wp:inline>
              </w:drawing>
            </w:r>
          </w:p>
        </w:tc>
      </w:tr>
      <w:tr w14:paraId="71A80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7C1E7AA7">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17</w:t>
            </w:r>
            <w:r>
              <w:rPr>
                <w:rFonts w:hint="eastAsia"/>
                <w:color w:val="231F20"/>
                <w:spacing w:val="-1"/>
              </w:rPr>
              <w:t xml:space="preserve"> DIERS formetric 3D评估系统成像原理示意图</w:t>
            </w:r>
          </w:p>
        </w:tc>
      </w:tr>
    </w:tbl>
    <w:p w14:paraId="38467B94">
      <w:pPr>
        <w:pStyle w:val="58"/>
        <w:spacing w:line="300" w:lineRule="auto"/>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7C107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5FEE8CA1">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5219700" cy="3239770"/>
                  <wp:effectExtent l="0" t="0" r="7620" b="6350"/>
                  <wp:docPr id="81" name="图片 81" descr="F:/图片42.png图片42"/>
                  <wp:cNvGraphicFramePr/>
                  <a:graphic xmlns:a="http://schemas.openxmlformats.org/drawingml/2006/main">
                    <a:graphicData uri="http://schemas.openxmlformats.org/drawingml/2006/picture">
                      <pic:pic xmlns:pic="http://schemas.openxmlformats.org/drawingml/2006/picture">
                        <pic:nvPicPr>
                          <pic:cNvPr id="81" name="图片 81" descr="F:/图片42.png图片42"/>
                          <pic:cNvPicPr/>
                        </pic:nvPicPr>
                        <pic:blipFill>
                          <a:blip r:embed="rId39"/>
                          <a:srcRect t="10896" b="10896"/>
                          <a:stretch>
                            <a:fillRect/>
                          </a:stretch>
                        </pic:blipFill>
                        <pic:spPr>
                          <a:xfrm>
                            <a:off x="0" y="0"/>
                            <a:ext cx="5219700" cy="3239770"/>
                          </a:xfrm>
                          <a:prstGeom prst="rect">
                            <a:avLst/>
                          </a:prstGeom>
                        </pic:spPr>
                      </pic:pic>
                    </a:graphicData>
                  </a:graphic>
                </wp:inline>
              </w:drawing>
            </w:r>
          </w:p>
        </w:tc>
      </w:tr>
      <w:tr w14:paraId="16FF2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08FF6602">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18</w:t>
            </w:r>
            <w:r>
              <w:rPr>
                <w:rFonts w:hint="eastAsia"/>
                <w:color w:val="231F20"/>
                <w:spacing w:val="-1"/>
              </w:rPr>
              <w:t xml:space="preserve"> DIERS formetric 3D评估系统两次测试结果对比</w:t>
            </w:r>
          </w:p>
        </w:tc>
      </w:tr>
    </w:tbl>
    <w:p w14:paraId="73FC1CE0">
      <w:pPr>
        <w:pStyle w:val="176"/>
        <w:numPr>
          <w:ilvl w:val="0"/>
          <w:numId w:val="0"/>
        </w:numPr>
        <w:spacing w:line="300" w:lineRule="auto"/>
        <w:ind w:left="425"/>
      </w:pPr>
    </w:p>
    <w:p w14:paraId="7A1FC78F">
      <w:pPr>
        <w:pStyle w:val="107"/>
        <w:spacing w:before="120" w:after="120" w:line="360" w:lineRule="auto"/>
      </w:pPr>
      <w:bookmarkStart w:id="71" w:name="_Toc20227"/>
      <w:bookmarkStart w:id="72" w:name="_Toc3028"/>
      <w:r>
        <w:rPr>
          <w:rFonts w:hint="eastAsia"/>
        </w:rPr>
        <w:t>量表评估</w:t>
      </w:r>
      <w:bookmarkEnd w:id="71"/>
      <w:bookmarkEnd w:id="72"/>
    </w:p>
    <w:p w14:paraId="6AF75685">
      <w:pPr>
        <w:pStyle w:val="67"/>
        <w:spacing w:before="120" w:after="120" w:line="360" w:lineRule="auto"/>
      </w:pPr>
      <w:bookmarkStart w:id="73" w:name="_Toc30804"/>
      <w:r>
        <w:rPr>
          <w:rFonts w:hint="eastAsia"/>
        </w:rPr>
        <w:t>视觉模拟法疼痛评估（VAS）</w:t>
      </w:r>
      <w:bookmarkEnd w:id="73"/>
    </w:p>
    <w:p w14:paraId="7DD166B9">
      <w:pPr>
        <w:pStyle w:val="58"/>
        <w:ind w:firstLine="420"/>
        <w:rPr>
          <w:rFonts w:hint="eastAsia"/>
        </w:rPr>
      </w:pPr>
      <w:r>
        <w:rPr>
          <w:rFonts w:hint="eastAsia"/>
        </w:rPr>
        <w:t>使用视觉模拟疼痛量表VAS评分，记录为0</w:t>
      </w:r>
      <w:r>
        <w:rPr>
          <w:rFonts w:hint="eastAsia"/>
          <w:lang w:val="en-US" w:eastAsia="zh-CN"/>
        </w:rPr>
        <w:t>-</w:t>
      </w:r>
      <w:r>
        <w:rPr>
          <w:rFonts w:hint="eastAsia"/>
        </w:rPr>
        <w:t>10分，无疼痛记为0分、轻度疼痛记为1</w:t>
      </w:r>
      <w:r>
        <w:rPr>
          <w:rFonts w:hint="eastAsia"/>
          <w:lang w:val="en-US" w:eastAsia="zh-CN"/>
        </w:rPr>
        <w:t>-</w:t>
      </w:r>
      <w:r>
        <w:rPr>
          <w:rFonts w:hint="eastAsia"/>
        </w:rPr>
        <w:t>3分、中度疼痛记为4</w:t>
      </w:r>
      <w:r>
        <w:rPr>
          <w:rFonts w:hint="eastAsia"/>
          <w:lang w:val="en-US" w:eastAsia="zh-CN"/>
        </w:rPr>
        <w:t>-</w:t>
      </w:r>
      <w:r>
        <w:rPr>
          <w:rFonts w:hint="eastAsia"/>
        </w:rPr>
        <w:t>6分、重度疼痛记为7</w:t>
      </w:r>
      <w:r>
        <w:rPr>
          <w:rFonts w:hint="eastAsia"/>
          <w:lang w:val="en-US" w:eastAsia="zh-CN"/>
        </w:rPr>
        <w:t>-</w:t>
      </w:r>
      <w:r>
        <w:rPr>
          <w:rFonts w:hint="eastAsia"/>
        </w:rPr>
        <w:t>10分。</w:t>
      </w:r>
    </w:p>
    <w:p w14:paraId="331B6EFC">
      <w:pPr>
        <w:pStyle w:val="58"/>
        <w:ind w:firstLine="420"/>
        <w:rPr>
          <w:rFonts w:hint="eastAsia"/>
        </w:rPr>
      </w:pPr>
    </w:p>
    <w:p w14:paraId="1137363B">
      <w:pPr>
        <w:pStyle w:val="67"/>
        <w:spacing w:before="120" w:after="120" w:line="360" w:lineRule="auto"/>
      </w:pPr>
      <w:bookmarkStart w:id="74" w:name="_Toc679"/>
      <w:r>
        <w:rPr>
          <w:rFonts w:hint="eastAsia"/>
        </w:rPr>
        <w:t>下腰痛评分（JOA）</w:t>
      </w:r>
      <w:bookmarkEnd w:id="74"/>
    </w:p>
    <w:p w14:paraId="1DF431EA">
      <w:pPr>
        <w:pStyle w:val="58"/>
        <w:ind w:firstLine="480"/>
        <w:rPr>
          <w:rFonts w:hint="eastAsia" w:ascii="宋体" w:hAnsi="宋体" w:eastAsia="宋体" w:cs="宋体"/>
          <w:bCs/>
          <w:color w:val="000000"/>
          <w:sz w:val="24"/>
          <w:szCs w:val="24"/>
        </w:rPr>
      </w:pPr>
      <w:r>
        <w:rPr>
          <w:rFonts w:hint="eastAsia"/>
        </w:rPr>
        <w:t>采用及日本骨科学会下腰痛评分 (</w:t>
      </w:r>
      <w:r>
        <w:rPr>
          <w:rFonts w:hint="eastAsia" w:ascii="Times New Roman" w:hAnsi="Times New Roman" w:cs="Times New Roman"/>
        </w:rPr>
        <w:t>Japanese orthopaedic association low back pain score，JOA</w:t>
      </w:r>
      <w:r>
        <w:rPr>
          <w:rFonts w:hint="eastAsia"/>
        </w:rPr>
        <w:t>)。JOA评价量表总分29分，内容包括主观症状(0</w:t>
      </w:r>
      <w:r>
        <w:rPr>
          <w:rFonts w:hint="eastAsia"/>
          <w:lang w:val="en-US" w:eastAsia="zh-CN"/>
        </w:rPr>
        <w:t>-</w:t>
      </w:r>
      <w:r>
        <w:rPr>
          <w:rFonts w:hint="eastAsia"/>
        </w:rPr>
        <w:t>9分)、体征(0</w:t>
      </w:r>
      <w:r>
        <w:rPr>
          <w:rFonts w:hint="eastAsia"/>
          <w:lang w:val="en-US" w:eastAsia="zh-CN"/>
        </w:rPr>
        <w:t>-</w:t>
      </w:r>
      <w:r>
        <w:rPr>
          <w:rFonts w:hint="eastAsia"/>
        </w:rPr>
        <w:t>6分)、ADL评分(0</w:t>
      </w:r>
      <w:r>
        <w:rPr>
          <w:rFonts w:hint="eastAsia"/>
          <w:lang w:val="en-US" w:eastAsia="zh-CN"/>
        </w:rPr>
        <w:t>-1</w:t>
      </w:r>
      <w:r>
        <w:rPr>
          <w:rFonts w:hint="eastAsia"/>
        </w:rPr>
        <w:t>4分)、膀胱功能评分(-6</w:t>
      </w:r>
      <w:r>
        <w:rPr>
          <w:rFonts w:hint="eastAsia"/>
          <w:lang w:val="en-US" w:eastAsia="zh-CN"/>
        </w:rPr>
        <w:t>-</w:t>
      </w:r>
      <w:r>
        <w:rPr>
          <w:rFonts w:hint="eastAsia"/>
        </w:rPr>
        <w:t>0分)，分数越低表示功能障碍越明显。</w:t>
      </w:r>
    </w:p>
    <w:p w14:paraId="6DDA1945">
      <w:pPr>
        <w:pStyle w:val="67"/>
        <w:spacing w:before="120" w:after="120" w:line="360" w:lineRule="auto"/>
      </w:pPr>
      <w:bookmarkStart w:id="75" w:name="_Toc2120"/>
      <w:r>
        <w:rPr>
          <w:rFonts w:hint="eastAsia"/>
        </w:rPr>
        <w:t>腰部功能障碍指标：Oswestry功能障碍指数量表（ODI）</w:t>
      </w:r>
      <w:bookmarkEnd w:id="75"/>
    </w:p>
    <w:p w14:paraId="14C904B8">
      <w:pPr>
        <w:pStyle w:val="58"/>
        <w:ind w:firstLine="480"/>
        <w:rPr>
          <w:rFonts w:hint="eastAsia" w:ascii="仿宋" w:hAnsi="仿宋" w:eastAsia="仿宋" w:cs="仿宋"/>
          <w:bCs/>
          <w:color w:val="000000"/>
          <w:sz w:val="24"/>
          <w:szCs w:val="24"/>
        </w:rPr>
      </w:pPr>
      <w:r>
        <w:rPr>
          <w:rFonts w:hint="eastAsia"/>
        </w:rPr>
        <w:t>采用“</w:t>
      </w:r>
      <w:r>
        <w:rPr>
          <w:rFonts w:hint="eastAsia" w:ascii="Times New Roman" w:hAnsi="Times New Roman" w:cs="Times New Roman"/>
        </w:rPr>
        <w:t>Oswestry</w:t>
      </w:r>
      <w:r>
        <w:rPr>
          <w:rFonts w:hint="eastAsia"/>
        </w:rPr>
        <w:t>功能障碍指数量表（</w:t>
      </w:r>
      <w:r>
        <w:rPr>
          <w:rFonts w:hint="eastAsia" w:ascii="Times New Roman" w:hAnsi="Times New Roman" w:cs="Times New Roman"/>
        </w:rPr>
        <w:t>ODI</w:t>
      </w:r>
      <w:r>
        <w:rPr>
          <w:rFonts w:hint="eastAsia"/>
        </w:rPr>
        <w:t>）”分析评价腰痛功能障碍程度，采用问卷调查的方式对包括疼痛强度、生活自理、提物、步行、坐、站、睡眠、性生活、社会生活、旅游等10个方面的情况进行评价。</w:t>
      </w:r>
    </w:p>
    <w:p w14:paraId="135A0F03">
      <w:pPr>
        <w:pStyle w:val="107"/>
        <w:spacing w:before="120" w:after="120" w:line="360" w:lineRule="auto"/>
      </w:pPr>
      <w:bookmarkStart w:id="76" w:name="_Toc812"/>
      <w:bookmarkStart w:id="77" w:name="_Toc819"/>
      <w:r>
        <w:rPr>
          <w:rFonts w:hint="eastAsia"/>
        </w:rPr>
        <w:t>鉴别诊断</w:t>
      </w:r>
      <w:bookmarkEnd w:id="76"/>
      <w:bookmarkEnd w:id="77"/>
    </w:p>
    <w:p w14:paraId="7E7B4740">
      <w:pPr>
        <w:pStyle w:val="67"/>
        <w:spacing w:before="120" w:after="120"/>
      </w:pPr>
      <w:bookmarkStart w:id="78" w:name="_Toc32529"/>
      <w:r>
        <w:rPr>
          <w:rFonts w:hint="eastAsia"/>
        </w:rPr>
        <w:t>脊椎肿瘤、脊髓肿瘤</w:t>
      </w:r>
      <w:bookmarkEnd w:id="78"/>
    </w:p>
    <w:p w14:paraId="15887F6E">
      <w:pPr>
        <w:pStyle w:val="58"/>
        <w:spacing w:line="300" w:lineRule="auto"/>
        <w:ind w:firstLine="420"/>
      </w:pPr>
      <w:r>
        <w:rPr>
          <w:rFonts w:hint="eastAsia"/>
        </w:rPr>
        <w:t>脊椎肿瘤可发生骨质破坏，发展到一定程度后可对脊髓、神经根等造成压迫症状。脊髄肿瘤不论是髓内或髓外肿瘤均可造成压迫症状。本病多随肿瘤的发展而逐渐加重，不似脊椎综合征有时轻时重的改变。恶性肿瘤者血沉加快、贫血，全身情况可能日渐下降。部分脊椎肿瘤做 X 线片检查可见有骨质破坏，也可出现椎体病理性骨折，但椎间隙多能存在，需进一步行 CT、MRI 检查以明确诊断。</w:t>
      </w:r>
    </w:p>
    <w:p w14:paraId="05530423">
      <w:pPr>
        <w:pStyle w:val="67"/>
        <w:spacing w:before="120" w:after="120"/>
      </w:pPr>
      <w:bookmarkStart w:id="79" w:name="_Toc21126"/>
      <w:r>
        <w:rPr>
          <w:rFonts w:hint="eastAsia"/>
        </w:rPr>
        <w:t>脊椎结核</w:t>
      </w:r>
      <w:bookmarkEnd w:id="79"/>
    </w:p>
    <w:p w14:paraId="5C3425E2">
      <w:pPr>
        <w:pStyle w:val="58"/>
        <w:spacing w:line="300" w:lineRule="auto"/>
        <w:ind w:firstLine="420"/>
      </w:pPr>
      <w:r>
        <w:rPr>
          <w:rFonts w:hint="eastAsia"/>
        </w:rPr>
        <w:t>脊椎结核多继发于肺结核或淋巴结核，起病多为慢性进行性病程。常伴有低热、盗汗、食欲不振、消瘦、贫血等症状，检查可见脊椎运动障碍，椎旁肌肉痉挛，局部压痛，血沉加快。X 线片可见有骨质破坏，椎体边缘破坏明显，椎间隙狭窄，时有空洞形成，常发生椎体压缩后棘突向后突起，常合并有寒性脓肿，在颈椎好发成咽后壁脓肿、在胸椎为椎旁脓肿、在腰椎为腰大肌脓肿。</w:t>
      </w:r>
    </w:p>
    <w:p w14:paraId="1F35A9D0">
      <w:pPr>
        <w:pStyle w:val="67"/>
        <w:spacing w:before="120" w:after="120"/>
      </w:pPr>
      <w:bookmarkStart w:id="80" w:name="_Toc807"/>
      <w:r>
        <w:rPr>
          <w:rFonts w:hint="eastAsia"/>
        </w:rPr>
        <w:t>先天性畸形</w:t>
      </w:r>
      <w:bookmarkEnd w:id="80"/>
    </w:p>
    <w:p w14:paraId="0113C837">
      <w:pPr>
        <w:pStyle w:val="58"/>
        <w:spacing w:line="300" w:lineRule="auto"/>
        <w:ind w:firstLine="420"/>
      </w:pPr>
      <w:r>
        <w:rPr>
          <w:rFonts w:hint="eastAsia"/>
        </w:rPr>
        <w:t>脊椎的先天性畸形种类较多，有些病例也可有脊神经根或脊髓受压症状，出现肢体疼痛、无力或感觉异常。先天性畸形在腰椎以腰椎骶化、骶椎腰化、隐性脊椎裂等较常见。这些先天畸形有些有症状，有些无症状，诊断除依靠临床症状外，检査时望诊也可发现颈短、脊椎侧弯、局部压痛等体征，X 线片为诊断先天性畸形最为可靠的依据。但与脊椎综合征作鉴别诊断时，仍应坚持三步定位诊断法： 即临床症状所表现的范围；检查所见的压痛部位，引起运动及感觉障碍所支配的神经部位；是否与 X 线片所见的畸形部位相一致，如不一致，则不是由先天性畸形所致病，因为有不少先天性畸形并不引起症状，如腰椎隐性脊椎裂、完全性腰椎骶化和骶椎腰化，多不引起症状。而不完全移行椎因只有一侧横突与骶椎或髂骨形成假关节，由于活动时脊椎运动不对称，假关节部可形成创伤性关节炎而常疼，也常合并有椎间盘突出症，故在诊断时应做仔细检查鉴别。</w:t>
      </w:r>
    </w:p>
    <w:p w14:paraId="7F1B26A9">
      <w:pPr>
        <w:pStyle w:val="67"/>
        <w:spacing w:before="120" w:after="120"/>
      </w:pPr>
      <w:bookmarkStart w:id="81" w:name="_Toc12021"/>
      <w:r>
        <w:rPr>
          <w:rFonts w:hint="eastAsia"/>
        </w:rPr>
        <w:t>脊髓空洞症</w:t>
      </w:r>
      <w:bookmarkEnd w:id="81"/>
    </w:p>
    <w:p w14:paraId="7F5F9C9D">
      <w:pPr>
        <w:pStyle w:val="58"/>
        <w:spacing w:line="300" w:lineRule="auto"/>
        <w:ind w:firstLine="420"/>
      </w:pPr>
      <w:r>
        <w:rPr>
          <w:rFonts w:hint="eastAsia"/>
        </w:rPr>
        <w:t>本病进展缓慢，有一侧或两侧对称性、节段性、分离性感 觉障碍（痛觉、温觉消失，而触觉存在），或伴有上肢肌肉萎缩、麻痹，自主神 经障碍，夏科氏关节等。其诊断一般并不困难，对不典型的病例，必须做脑脊液、X 线片、CT 等检查，以排除其他疾病。</w:t>
      </w:r>
    </w:p>
    <w:p w14:paraId="2B24D46D">
      <w:pPr>
        <w:pStyle w:val="67"/>
        <w:spacing w:before="120" w:after="120"/>
      </w:pPr>
      <w:bookmarkStart w:id="82" w:name="_Toc30315"/>
      <w:r>
        <w:rPr>
          <w:rFonts w:hint="eastAsia"/>
        </w:rPr>
        <w:t>纤维肌痛综合征</w:t>
      </w:r>
      <w:bookmarkEnd w:id="82"/>
    </w:p>
    <w:p w14:paraId="47FD058C">
      <w:pPr>
        <w:pStyle w:val="58"/>
        <w:spacing w:line="300" w:lineRule="auto"/>
        <w:ind w:firstLine="420"/>
      </w:pPr>
      <w:r>
        <w:rPr>
          <w:rFonts w:hint="eastAsia"/>
        </w:rPr>
        <w:t>纤维肌痛综合征（</w:t>
      </w:r>
      <w:r>
        <w:rPr>
          <w:rFonts w:hint="default" w:ascii="Times New Roman" w:hAnsi="Times New Roman" w:cs="Times New Roman"/>
        </w:rPr>
        <w:t>fibromyalgia syndrome，FMS</w:t>
      </w:r>
      <w:r>
        <w:rPr>
          <w:rFonts w:hint="eastAsia"/>
        </w:rPr>
        <w:t>） 是一种病因不明的慢性疼痛性疾病，过去曾被称为纤维织炎、肌筋膜痛等。为了研究工作的方便， 1990 年美国风湿病学会制定了纤维肌痛综合征的诊断标准：持续 3 个月以上的广泛性的肌肉疼痛，用拇指按压（压力约为 4kg）全身 18 个压痛点中至少有 11 个疼痛。压痛点分别位于：枕骨下肌肉附着处、斜方肌上缘中点、C5~C7 横突间隙的前面、冈上肌起始部、肩胛棘上方近内侧缘、肱骨外上髁远端 2cm 处、第二肋骨与软骨交界处（在交界处外侧上缘）、臀外上象限（臀前皱襞处）、大粗隆后方、膝内侧脂肪垫关节折皱线的近侧。同时符合上述任何 2 个条件者，即可诊断为纤维肌痛综合征。其他的症状还有：肌强直、过度疲劳、睡眠障碍、肠激惹综合征、雷诺 氏现象、焦虑、抑郁、肢体肿胀麻木等。纤维肌痛综合征多在 25-45 岁发病，女性多于男性，多伴有焦虑和抑郁。</w:t>
      </w:r>
    </w:p>
    <w:p w14:paraId="42EB52B7">
      <w:pPr>
        <w:pStyle w:val="106"/>
        <w:spacing w:before="240" w:after="240" w:line="360" w:lineRule="auto"/>
      </w:pPr>
      <w:bookmarkStart w:id="83" w:name="_Toc29595"/>
      <w:bookmarkStart w:id="84" w:name="_Toc28806"/>
      <w:r>
        <w:rPr>
          <w:rFonts w:hint="eastAsia"/>
        </w:rPr>
        <w:t>操作步骤与要求：四步十法</w:t>
      </w:r>
      <w:bookmarkEnd w:id="83"/>
      <w:bookmarkEnd w:id="84"/>
    </w:p>
    <w:p w14:paraId="0BD9D222">
      <w:pPr>
        <w:pStyle w:val="107"/>
        <w:spacing w:before="120" w:after="120" w:line="360" w:lineRule="auto"/>
      </w:pPr>
      <w:bookmarkStart w:id="85" w:name="_Toc9413"/>
      <w:bookmarkStart w:id="86" w:name="_Toc23534"/>
      <w:r>
        <w:rPr>
          <w:rFonts w:hint="eastAsia"/>
        </w:rPr>
        <w:t>第一步放松手法</w:t>
      </w:r>
      <w:bookmarkEnd w:id="85"/>
      <w:bookmarkEnd w:id="86"/>
    </w:p>
    <w:p w14:paraId="45825CAE">
      <w:pPr>
        <w:pStyle w:val="58"/>
        <w:spacing w:line="300" w:lineRule="auto"/>
        <w:ind w:firstLine="420"/>
      </w:pPr>
      <w:r>
        <w:rPr>
          <w:rFonts w:hint="eastAsia"/>
        </w:rPr>
        <w:t>以患椎为中心，包括上下 6 个椎间以内的软组织，沿椎旁以线或片进行揉捏法，掌揉及拇指揉法交替，也可对棘突、横突附着的肌腱疼痛敏感区施以按法或震法，手法要柔和、轻巧。</w:t>
      </w:r>
    </w:p>
    <w:p w14:paraId="5B8D5224">
      <w:pPr>
        <w:pStyle w:val="107"/>
        <w:spacing w:before="120" w:after="120" w:line="360" w:lineRule="auto"/>
      </w:pPr>
      <w:bookmarkStart w:id="87" w:name="_Toc27848"/>
      <w:bookmarkStart w:id="88" w:name="_Toc13955"/>
      <w:r>
        <w:rPr>
          <w:rFonts w:hint="eastAsia"/>
        </w:rPr>
        <w:t>第二步正骨手法</w:t>
      </w:r>
      <w:bookmarkEnd w:id="87"/>
      <w:bookmarkEnd w:id="88"/>
    </w:p>
    <w:p w14:paraId="3C96884B">
      <w:pPr>
        <w:pStyle w:val="58"/>
        <w:spacing w:line="300" w:lineRule="auto"/>
        <w:ind w:firstLine="420"/>
      </w:pPr>
      <w:r>
        <w:rPr>
          <w:rFonts w:hint="eastAsia"/>
        </w:rPr>
        <w:t>正骨手法包括摇正法、推正法、扳正法、牵正法和反向运动法。按不同的错位部位、类型、方向，选用一种或多种正骨手法。正骨手法分为快速复位法和缓慢复位法。快速复位法用于青壮年和健壮的老年患者，缓慢复位法用于儿童、体弱的老年患者、体质十分虚弱或急性期疼痛剧烈不能接受快速复位手法者。缓慢复位法采用正骨手法的动作，只是不应有“闪动力”，使“定点”与“动点”之间的关节以多次生理性运动形式在“动中求正”而复位。正骨手法忌粗暴损伤患者，“闪动力”要轻巧，要选准“定点”与“动点”，关节开合要充分，于“动中求正”。如一次手法能完全复位，以后可不必再做正骨手法。如复位不完全或复位后再错位，可每日或隔日进行一次正骨手法。</w:t>
      </w:r>
    </w:p>
    <w:p w14:paraId="2DBD99AA">
      <w:pPr>
        <w:pStyle w:val="67"/>
        <w:spacing w:before="120" w:after="120" w:line="360" w:lineRule="auto"/>
      </w:pPr>
      <w:bookmarkStart w:id="89" w:name="_Toc16678"/>
      <w:r>
        <w:rPr>
          <w:rFonts w:hint="eastAsia"/>
        </w:rPr>
        <w:t>双手重叠直接冲压法</w:t>
      </w:r>
      <w:bookmarkEnd w:id="89"/>
    </w:p>
    <w:p w14:paraId="563850FF">
      <w:pPr>
        <w:pStyle w:val="58"/>
        <w:spacing w:line="300" w:lineRule="auto"/>
        <w:ind w:firstLine="420"/>
      </w:pPr>
      <w:r>
        <w:rPr>
          <w:rFonts w:hint="eastAsia"/>
        </w:rPr>
        <w:t>适用于腰椎后凸及侧弯者。手法操作与胸椎相同，亦可用两个枕头把冲压处悬空，腰部所需冲压力大些，术者双肘伸直，利用上身重量垂直按压，当患者腰肌放松时加上冲压闪动力，重复 2-4 次。</w:t>
      </w:r>
      <w:r>
        <w:rPr>
          <w:rFonts w:hint="eastAsia"/>
          <w:lang w:eastAsia="zh-CN"/>
        </w:rPr>
        <w:t>（</w:t>
      </w:r>
      <w:r>
        <w:rPr>
          <w:rFonts w:hint="eastAsia"/>
          <w:lang w:val="en-US" w:eastAsia="zh-CN"/>
        </w:rPr>
        <w:t>见图19</w:t>
      </w:r>
      <w:r>
        <w:rPr>
          <w:rFonts w:hint="eastAsia"/>
          <w:lang w:eastAsia="zh-CN"/>
        </w:rPr>
        <w:t>）</w:t>
      </w:r>
    </w:p>
    <w:p w14:paraId="63D41A07">
      <w:pPr>
        <w:pStyle w:val="58"/>
        <w:spacing w:line="300" w:lineRule="auto"/>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414CE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070B3EE0">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3060065" cy="2520315"/>
                  <wp:effectExtent l="0" t="0" r="3175" b="9525"/>
                  <wp:docPr id="83" name="图片 83" descr="图片43"/>
                  <wp:cNvGraphicFramePr/>
                  <a:graphic xmlns:a="http://schemas.openxmlformats.org/drawingml/2006/main">
                    <a:graphicData uri="http://schemas.openxmlformats.org/drawingml/2006/picture">
                      <pic:pic xmlns:pic="http://schemas.openxmlformats.org/drawingml/2006/picture">
                        <pic:nvPicPr>
                          <pic:cNvPr id="83" name="图片 83" descr="图片43"/>
                          <pic:cNvPicPr/>
                        </pic:nvPicPr>
                        <pic:blipFill>
                          <a:blip r:embed="rId40"/>
                          <a:stretch>
                            <a:fillRect/>
                          </a:stretch>
                        </pic:blipFill>
                        <pic:spPr>
                          <a:xfrm>
                            <a:off x="0" y="0"/>
                            <a:ext cx="3060065" cy="2520315"/>
                          </a:xfrm>
                          <a:prstGeom prst="rect">
                            <a:avLst/>
                          </a:prstGeom>
                        </pic:spPr>
                      </pic:pic>
                    </a:graphicData>
                  </a:graphic>
                </wp:inline>
              </w:drawing>
            </w:r>
          </w:p>
        </w:tc>
      </w:tr>
      <w:tr w14:paraId="25BB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51E8E980">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19</w:t>
            </w:r>
            <w:r>
              <w:rPr>
                <w:rFonts w:hint="eastAsia"/>
                <w:color w:val="231F20"/>
                <w:spacing w:val="-1"/>
              </w:rPr>
              <w:t xml:space="preserve"> 双手重叠直接冲压法</w:t>
            </w:r>
          </w:p>
        </w:tc>
      </w:tr>
    </w:tbl>
    <w:p w14:paraId="6EC17154">
      <w:pPr>
        <w:pStyle w:val="58"/>
        <w:ind w:firstLine="420"/>
      </w:pPr>
    </w:p>
    <w:p w14:paraId="133D2622">
      <w:pPr>
        <w:pStyle w:val="67"/>
        <w:spacing w:before="120" w:after="120" w:line="360" w:lineRule="auto"/>
      </w:pPr>
      <w:bookmarkStart w:id="90" w:name="_Toc16903"/>
      <w:r>
        <w:rPr>
          <w:rFonts w:hint="eastAsia"/>
        </w:rPr>
        <w:t>双手间接分压法</w:t>
      </w:r>
      <w:bookmarkEnd w:id="90"/>
    </w:p>
    <w:p w14:paraId="0B0A19EB">
      <w:pPr>
        <w:pStyle w:val="58"/>
        <w:spacing w:line="300" w:lineRule="auto"/>
        <w:ind w:firstLine="420"/>
      </w:pPr>
      <w:r>
        <w:rPr>
          <w:rFonts w:hint="eastAsia"/>
        </w:rPr>
        <w:t>适用于腰椎前滑脱或倾式错位、仰式错位者。患者俯卧，于腰椎棘突凹陷处的腹部垫一个 10-20cm 高的稍硬枕头。术者两手交叉掌根分置于凹陷棘突上方和下方稍隆起的棘突上，两手同时向下按压，由于交叉后，其力量方向相反，与垫枕上顶作用，可间接地迫使前凸的椎间关节向上还纳复位，故称间接分压法。</w:t>
      </w:r>
      <w:r>
        <w:rPr>
          <w:rFonts w:hint="eastAsia"/>
          <w:lang w:eastAsia="zh-CN"/>
        </w:rPr>
        <w:t>（</w:t>
      </w:r>
      <w:r>
        <w:rPr>
          <w:rFonts w:hint="eastAsia"/>
          <w:lang w:val="en-US" w:eastAsia="zh-CN"/>
        </w:rPr>
        <w:t>见图20</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2"/>
      </w:tblGrid>
      <w:tr w14:paraId="3F593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552" w:type="dxa"/>
          </w:tcPr>
          <w:p w14:paraId="21281A03">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6120130" cy="2520315"/>
                  <wp:effectExtent l="0" t="0" r="6350" b="9525"/>
                  <wp:docPr id="89" name="图片 89" descr="图片44"/>
                  <wp:cNvGraphicFramePr/>
                  <a:graphic xmlns:a="http://schemas.openxmlformats.org/drawingml/2006/main">
                    <a:graphicData uri="http://schemas.openxmlformats.org/drawingml/2006/picture">
                      <pic:pic xmlns:pic="http://schemas.openxmlformats.org/drawingml/2006/picture">
                        <pic:nvPicPr>
                          <pic:cNvPr id="89" name="图片 89" descr="图片44"/>
                          <pic:cNvPicPr/>
                        </pic:nvPicPr>
                        <pic:blipFill>
                          <a:blip r:embed="rId41"/>
                          <a:stretch>
                            <a:fillRect/>
                          </a:stretch>
                        </pic:blipFill>
                        <pic:spPr>
                          <a:xfrm>
                            <a:off x="0" y="0"/>
                            <a:ext cx="6120130" cy="2520315"/>
                          </a:xfrm>
                          <a:prstGeom prst="rect">
                            <a:avLst/>
                          </a:prstGeom>
                        </pic:spPr>
                      </pic:pic>
                    </a:graphicData>
                  </a:graphic>
                </wp:inline>
              </w:drawing>
            </w:r>
          </w:p>
        </w:tc>
      </w:tr>
      <w:tr w14:paraId="1F1AA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53A729E1">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060065" cy="2520315"/>
                  <wp:effectExtent l="0" t="0" r="3175" b="9525"/>
                  <wp:docPr id="90" name="图片 90" descr="图片45"/>
                  <wp:cNvGraphicFramePr/>
                  <a:graphic xmlns:a="http://schemas.openxmlformats.org/drawingml/2006/main">
                    <a:graphicData uri="http://schemas.openxmlformats.org/drawingml/2006/picture">
                      <pic:pic xmlns:pic="http://schemas.openxmlformats.org/drawingml/2006/picture">
                        <pic:nvPicPr>
                          <pic:cNvPr id="90" name="图片 90" descr="图片45"/>
                          <pic:cNvPicPr/>
                        </pic:nvPicPr>
                        <pic:blipFill>
                          <a:blip r:embed="rId42"/>
                          <a:stretch>
                            <a:fillRect/>
                          </a:stretch>
                        </pic:blipFill>
                        <pic:spPr>
                          <a:xfrm>
                            <a:off x="0" y="0"/>
                            <a:ext cx="3060065" cy="2520315"/>
                          </a:xfrm>
                          <a:prstGeom prst="rect">
                            <a:avLst/>
                          </a:prstGeom>
                        </pic:spPr>
                      </pic:pic>
                    </a:graphicData>
                  </a:graphic>
                </wp:inline>
              </w:drawing>
            </w:r>
          </w:p>
        </w:tc>
      </w:tr>
      <w:tr w14:paraId="7EDD1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7431AC15">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20</w:t>
            </w:r>
            <w:r>
              <w:rPr>
                <w:rFonts w:hint="eastAsia" w:hAnsi="宋体" w:cs="宋体"/>
                <w:szCs w:val="21"/>
              </w:rPr>
              <w:t xml:space="preserve"> 双手间接分压法</w:t>
            </w:r>
          </w:p>
        </w:tc>
      </w:tr>
    </w:tbl>
    <w:p w14:paraId="764F3A85">
      <w:pPr>
        <w:pStyle w:val="58"/>
        <w:ind w:firstLine="0" w:firstLineChars="0"/>
      </w:pPr>
    </w:p>
    <w:p w14:paraId="18A77F97">
      <w:pPr>
        <w:pStyle w:val="67"/>
        <w:spacing w:before="120" w:after="120" w:line="360" w:lineRule="auto"/>
      </w:pPr>
      <w:bookmarkStart w:id="91" w:name="_Toc31717"/>
      <w:r>
        <w:rPr>
          <w:rFonts w:hint="eastAsia"/>
        </w:rPr>
        <w:t>俯卧牵抖冲压法</w:t>
      </w:r>
      <w:bookmarkEnd w:id="91"/>
    </w:p>
    <w:p w14:paraId="036B59AA">
      <w:pPr>
        <w:pStyle w:val="58"/>
        <w:spacing w:line="300" w:lineRule="auto"/>
        <w:ind w:firstLine="420"/>
      </w:pPr>
      <w:r>
        <w:rPr>
          <w:rFonts w:hint="eastAsia"/>
        </w:rPr>
        <w:t>适用于胸、腰、骶椎的椎间关节各类型错位。属正骨手法与牵引相结合的方法，对新创伤引起的椎间盘突出症可促其还纳复位，对椎间盘退变、骨质增生、椎间盘突出（已硬化）、后纵韧带钙化、黄韧带皱褶等较重患者，并发各类型椎间错位的复位治疗，较单人施术效佳。实施时，术者根据病情，决定“定点”的方法。患者俯卧于治疗床的软枕上，嘱其双臂伸直上举（防止牵抖时胸肋骨因擦动而挫伤，引发胸痛），用手抓紧治疗床头边缘（因故不能双手抓床者， 由第二助手协助用手抓紧其双侧腋窝部），对 T3-T10 椎间复位者，术者术前指导患者配合做深呼吸（口令“1、2”时吸气，口令“3”时呼气），在纠正腰椎滑脱症者，指导他配合咳嗽（口令“1、2”时吸气，口令“3”时咳嗽）。助手站其下方，检查患者双足长度，做好牵抖准备。术者按复位主要病椎的棘突偏向，决定站其左侧或右侧，面向其对侧肩部站立，以靠床的手掌根部做冲压（棘突偏左站左侧，由右手冲压），另手为辅助：①直接冲压法时，重叠在主冲手背上。②间接分压法时，按于病椎下方后隆的椎体棘突上。③旋转分压法时， 与主冲手分置“定点”于对应的棘突或横突上。嘱患者腰肌放松，术者口令“1—2—3”。口令“1、2”时，第一助手将其下肢牵拉并上下抖动 1-2 下，当口令“3”发出的瞬间，3 人同时发出爆发力，术者双手向前上方冲压；第一助手向下用力牵引抖动；第二助手用力拉住患者。第一助手双手紧握患者踝关节上部，先牵抖“长脚”，轻力牵抖 2-3 下，以松解病椎错位的“交锁”，再牵抖“短脚”，以较重力牵抖 3-4 下，促使椎间“复位”完善（根据病情量力，用力宁轻勿重，先轻后重，切忌追求响声，以保安全），继而仍以稍重力牵抖双脚 2-3 下（滑脱式、倾仰式、混合式错位者 3-5 下）。手法完成后，再将患者双下肢进行比较，看其长短之差是否改善或已正常。</w:t>
      </w:r>
      <w:r>
        <w:rPr>
          <w:rFonts w:hint="eastAsia"/>
          <w:lang w:eastAsia="zh-CN"/>
        </w:rPr>
        <w:t>（</w:t>
      </w:r>
      <w:r>
        <w:rPr>
          <w:rFonts w:hint="eastAsia"/>
          <w:lang w:val="en-US" w:eastAsia="zh-CN"/>
        </w:rPr>
        <w:t>见图21</w:t>
      </w:r>
      <w:r>
        <w:rPr>
          <w:rFonts w:hint="eastAsia"/>
          <w:lang w:eastAsia="zh-CN"/>
        </w:rPr>
        <w:t>）</w:t>
      </w:r>
    </w:p>
    <w:p w14:paraId="1D4D65E8">
      <w:pPr>
        <w:pStyle w:val="58"/>
        <w:spacing w:line="300" w:lineRule="auto"/>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2"/>
      </w:tblGrid>
      <w:tr w14:paraId="7D70F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0A33A0F7">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6120130" cy="2520315"/>
                  <wp:effectExtent l="0" t="0" r="6350" b="9525"/>
                  <wp:docPr id="91" name="图片 91" descr="F:/图片46.png图片46"/>
                  <wp:cNvGraphicFramePr/>
                  <a:graphic xmlns:a="http://schemas.openxmlformats.org/drawingml/2006/main">
                    <a:graphicData uri="http://schemas.openxmlformats.org/drawingml/2006/picture">
                      <pic:pic xmlns:pic="http://schemas.openxmlformats.org/drawingml/2006/picture">
                        <pic:nvPicPr>
                          <pic:cNvPr id="91" name="图片 91" descr="F:/图片46.png图片46"/>
                          <pic:cNvPicPr/>
                        </pic:nvPicPr>
                        <pic:blipFill>
                          <a:blip r:embed="rId43"/>
                          <a:srcRect l="5688" r="5688"/>
                          <a:stretch>
                            <a:fillRect/>
                          </a:stretch>
                        </pic:blipFill>
                        <pic:spPr>
                          <a:xfrm>
                            <a:off x="0" y="0"/>
                            <a:ext cx="6120130" cy="2520315"/>
                          </a:xfrm>
                          <a:prstGeom prst="rect">
                            <a:avLst/>
                          </a:prstGeom>
                        </pic:spPr>
                      </pic:pic>
                    </a:graphicData>
                  </a:graphic>
                </wp:inline>
              </w:drawing>
            </w:r>
          </w:p>
        </w:tc>
      </w:tr>
      <w:tr w14:paraId="0F29F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2B93DCD9">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060065" cy="2520315"/>
                  <wp:effectExtent l="0" t="0" r="3175" b="9525"/>
                  <wp:docPr id="92" name="图片 92" descr="F:/图片47.png图片47"/>
                  <wp:cNvGraphicFramePr/>
                  <a:graphic xmlns:a="http://schemas.openxmlformats.org/drawingml/2006/main">
                    <a:graphicData uri="http://schemas.openxmlformats.org/drawingml/2006/picture">
                      <pic:pic xmlns:pic="http://schemas.openxmlformats.org/drawingml/2006/picture">
                        <pic:nvPicPr>
                          <pic:cNvPr id="92" name="图片 92" descr="F:/图片47.png图片47"/>
                          <pic:cNvPicPr/>
                        </pic:nvPicPr>
                        <pic:blipFill>
                          <a:blip r:embed="rId44"/>
                          <a:srcRect t="294" b="294"/>
                          <a:stretch>
                            <a:fillRect/>
                          </a:stretch>
                        </pic:blipFill>
                        <pic:spPr>
                          <a:xfrm>
                            <a:off x="0" y="0"/>
                            <a:ext cx="3060065" cy="2520315"/>
                          </a:xfrm>
                          <a:prstGeom prst="rect">
                            <a:avLst/>
                          </a:prstGeom>
                        </pic:spPr>
                      </pic:pic>
                    </a:graphicData>
                  </a:graphic>
                </wp:inline>
              </w:drawing>
            </w:r>
          </w:p>
        </w:tc>
      </w:tr>
      <w:tr w14:paraId="7B815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20D22CD7">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21</w:t>
            </w:r>
            <w:r>
              <w:rPr>
                <w:rFonts w:hint="eastAsia" w:hAnsi="宋体" w:cs="宋体"/>
                <w:szCs w:val="21"/>
              </w:rPr>
              <w:t xml:space="preserve"> 俯卧牵抖冲压法</w:t>
            </w:r>
          </w:p>
        </w:tc>
      </w:tr>
    </w:tbl>
    <w:p w14:paraId="4A646D57">
      <w:pPr>
        <w:pStyle w:val="58"/>
        <w:ind w:firstLine="420"/>
      </w:pPr>
    </w:p>
    <w:p w14:paraId="594EC11C">
      <w:pPr>
        <w:pStyle w:val="67"/>
        <w:spacing w:before="120" w:after="120" w:line="360" w:lineRule="auto"/>
      </w:pPr>
      <w:bookmarkStart w:id="92" w:name="_Toc13692"/>
      <w:r>
        <w:rPr>
          <w:rFonts w:hint="eastAsia"/>
        </w:rPr>
        <w:t>仰卧提臀撞正法</w:t>
      </w:r>
      <w:bookmarkEnd w:id="92"/>
    </w:p>
    <w:p w14:paraId="7BE80B9E">
      <w:pPr>
        <w:pStyle w:val="58"/>
        <w:ind w:firstLine="420"/>
      </w:pPr>
      <w:r>
        <w:rPr>
          <w:rFonts w:hint="eastAsia"/>
        </w:rPr>
        <w:t>适用于腰椎或骶椎的滑脱式错位者。患者仰卧，双下肢并拢伸直，术者站于其足部床上，双手握住其踝部，将其双髋屈曲 90°，从床上提起，使其臀部离床约 10 cm，急速放下，使腰、骶椎在床上发生撞击，先轻击，适应后可加大撞击力。此法不宜用于骨质疏松的老年患者。</w:t>
      </w:r>
      <w:r>
        <w:rPr>
          <w:rFonts w:hint="eastAsia"/>
          <w:lang w:eastAsia="zh-CN"/>
        </w:rPr>
        <w:t>（</w:t>
      </w:r>
      <w:r>
        <w:rPr>
          <w:rFonts w:hint="eastAsia"/>
          <w:lang w:val="en-US" w:eastAsia="zh-CN"/>
        </w:rPr>
        <w:t>见图22</w:t>
      </w:r>
      <w:r>
        <w:rPr>
          <w:rFonts w:hint="eastAsia"/>
          <w:lang w:eastAsia="zh-CN"/>
        </w:rPr>
        <w:t>）</w:t>
      </w:r>
    </w:p>
    <w:p w14:paraId="35AACBE3">
      <w:pPr>
        <w:pStyle w:val="58"/>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2"/>
      </w:tblGrid>
      <w:tr w14:paraId="188BB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4447B795">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5939790" cy="2520315"/>
                  <wp:effectExtent l="0" t="0" r="3810" b="9525"/>
                  <wp:docPr id="93" name="图片 93" descr="F:/图片48.png图片48"/>
                  <wp:cNvGraphicFramePr/>
                  <a:graphic xmlns:a="http://schemas.openxmlformats.org/drawingml/2006/main">
                    <a:graphicData uri="http://schemas.openxmlformats.org/drawingml/2006/picture">
                      <pic:pic xmlns:pic="http://schemas.openxmlformats.org/drawingml/2006/picture">
                        <pic:nvPicPr>
                          <pic:cNvPr id="93" name="图片 93" descr="F:/图片48.png图片48"/>
                          <pic:cNvPicPr/>
                        </pic:nvPicPr>
                        <pic:blipFill>
                          <a:blip r:embed="rId45"/>
                          <a:srcRect l="5776" r="5776"/>
                          <a:stretch>
                            <a:fillRect/>
                          </a:stretch>
                        </pic:blipFill>
                        <pic:spPr>
                          <a:xfrm>
                            <a:off x="0" y="0"/>
                            <a:ext cx="5939790" cy="2520315"/>
                          </a:xfrm>
                          <a:prstGeom prst="rect">
                            <a:avLst/>
                          </a:prstGeom>
                        </pic:spPr>
                      </pic:pic>
                    </a:graphicData>
                  </a:graphic>
                </wp:inline>
              </w:drawing>
            </w:r>
          </w:p>
        </w:tc>
      </w:tr>
      <w:tr w14:paraId="50B15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41BDF09F">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239770" cy="2520315"/>
                  <wp:effectExtent l="0" t="0" r="6350" b="9525"/>
                  <wp:docPr id="94" name="图片 94" descr="F:/图片49.png图片49"/>
                  <wp:cNvGraphicFramePr/>
                  <a:graphic xmlns:a="http://schemas.openxmlformats.org/drawingml/2006/main">
                    <a:graphicData uri="http://schemas.openxmlformats.org/drawingml/2006/picture">
                      <pic:pic xmlns:pic="http://schemas.openxmlformats.org/drawingml/2006/picture">
                        <pic:nvPicPr>
                          <pic:cNvPr id="94" name="图片 94" descr="F:/图片49.png图片49"/>
                          <pic:cNvPicPr/>
                        </pic:nvPicPr>
                        <pic:blipFill>
                          <a:blip r:embed="rId46"/>
                          <a:srcRect t="250" b="250"/>
                          <a:stretch>
                            <a:fillRect/>
                          </a:stretch>
                        </pic:blipFill>
                        <pic:spPr>
                          <a:xfrm>
                            <a:off x="0" y="0"/>
                            <a:ext cx="3239770" cy="2520315"/>
                          </a:xfrm>
                          <a:prstGeom prst="rect">
                            <a:avLst/>
                          </a:prstGeom>
                        </pic:spPr>
                      </pic:pic>
                    </a:graphicData>
                  </a:graphic>
                </wp:inline>
              </w:drawing>
            </w:r>
          </w:p>
        </w:tc>
      </w:tr>
      <w:tr w14:paraId="40C8F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7475728F">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22</w:t>
            </w:r>
            <w:r>
              <w:rPr>
                <w:rFonts w:hint="eastAsia" w:hAnsi="宋体" w:cs="宋体"/>
                <w:szCs w:val="21"/>
              </w:rPr>
              <w:t xml:space="preserve"> 仰卧提臀撞正法</w:t>
            </w:r>
          </w:p>
        </w:tc>
      </w:tr>
    </w:tbl>
    <w:p w14:paraId="031DB61F">
      <w:pPr>
        <w:pStyle w:val="58"/>
        <w:ind w:firstLine="420"/>
      </w:pPr>
    </w:p>
    <w:p w14:paraId="5D0EF5F5">
      <w:pPr>
        <w:pStyle w:val="67"/>
        <w:spacing w:before="120" w:after="120" w:line="360" w:lineRule="auto"/>
      </w:pPr>
      <w:bookmarkStart w:id="93" w:name="_Toc15634"/>
      <w:r>
        <w:rPr>
          <w:rFonts w:hint="eastAsia"/>
        </w:rPr>
        <w:t>俯卧摇腿揉腰法</w:t>
      </w:r>
      <w:bookmarkEnd w:id="93"/>
    </w:p>
    <w:p w14:paraId="11FEF6FC">
      <w:pPr>
        <w:pStyle w:val="58"/>
        <w:ind w:firstLine="420"/>
      </w:pPr>
      <w:r>
        <w:rPr>
          <w:rFonts w:hint="eastAsia"/>
        </w:rPr>
        <w:t>适用于全部胸腰椎病各骨关节损害者，是胸腰椎后关节左右旋转式错位的常规手法。尤其适用于胸、腰、骶椎的脊柱侧弯的调正，对老年人的肥大性脊柱炎，是个有效而安全的手法。此法用力柔和，胸腰椎后关节顺轴心摇动而逐渐复位。患者俯卧治疗床上，一助手马步，双手分别抓住患者双足部，将患者双小腿抬离床面 20°-30°，膝关节以上平置床上，嘱其腰腿部放松，同时将其双足向左  右方向成 “∞”形往返摆动，使其腰、臀、小腿成波浪式左右弧形摇摆，此时术者站于患椎棘突偏歪方向的床边， 以一手掌根部按压于患椎后旋的横突后侧，另一手以拇指按压于患椎棘突偏侧至椎板部作“定点”，与助手两人动作要协调， 用力相一致。如无助手时，用枕头将患者足踝部垫起，术者一手“定点”于横突或棘突部，另一手摇动其臀部使其左右摇摆活动。每次 5-8 min。此法还可作为放松手法，常配合其他正骨法进行复位。</w:t>
      </w:r>
      <w:r>
        <w:rPr>
          <w:rFonts w:hint="eastAsia"/>
          <w:lang w:eastAsia="zh-CN"/>
        </w:rPr>
        <w:t>（</w:t>
      </w:r>
      <w:r>
        <w:rPr>
          <w:rFonts w:hint="eastAsia"/>
          <w:lang w:val="en-US" w:eastAsia="zh-CN"/>
        </w:rPr>
        <w:t>见图23</w:t>
      </w:r>
      <w:r>
        <w:rPr>
          <w:rFonts w:hint="eastAsia"/>
          <w:lang w:eastAsia="zh-CN"/>
        </w:rPr>
        <w:t>）</w:t>
      </w:r>
    </w:p>
    <w:p w14:paraId="0B95B9EE">
      <w:pPr>
        <w:pStyle w:val="58"/>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79A2E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3B642EC3">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3060065" cy="2520315"/>
                  <wp:effectExtent l="0" t="0" r="3175" b="9525"/>
                  <wp:docPr id="95" name="图片 95" descr="F:/图片50.png图片50"/>
                  <wp:cNvGraphicFramePr/>
                  <a:graphic xmlns:a="http://schemas.openxmlformats.org/drawingml/2006/main">
                    <a:graphicData uri="http://schemas.openxmlformats.org/drawingml/2006/picture">
                      <pic:pic xmlns:pic="http://schemas.openxmlformats.org/drawingml/2006/picture">
                        <pic:nvPicPr>
                          <pic:cNvPr id="95" name="图片 95" descr="F:/图片50.png图片50"/>
                          <pic:cNvPicPr/>
                        </pic:nvPicPr>
                        <pic:blipFill>
                          <a:blip r:embed="rId47"/>
                          <a:srcRect l="6989" r="6989"/>
                          <a:stretch>
                            <a:fillRect/>
                          </a:stretch>
                        </pic:blipFill>
                        <pic:spPr>
                          <a:xfrm>
                            <a:off x="0" y="0"/>
                            <a:ext cx="3060065" cy="2520315"/>
                          </a:xfrm>
                          <a:prstGeom prst="rect">
                            <a:avLst/>
                          </a:prstGeom>
                        </pic:spPr>
                      </pic:pic>
                    </a:graphicData>
                  </a:graphic>
                </wp:inline>
              </w:drawing>
            </w:r>
          </w:p>
        </w:tc>
      </w:tr>
      <w:tr w14:paraId="76886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72CD5EF7">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23</w:t>
            </w:r>
            <w:r>
              <w:rPr>
                <w:rFonts w:hint="eastAsia"/>
                <w:color w:val="231F20"/>
                <w:spacing w:val="-1"/>
              </w:rPr>
              <w:t xml:space="preserve"> 俯卧摇腿揉腰法</w:t>
            </w:r>
          </w:p>
        </w:tc>
      </w:tr>
    </w:tbl>
    <w:p w14:paraId="604B9FC7">
      <w:pPr>
        <w:pStyle w:val="58"/>
        <w:ind w:firstLine="420"/>
      </w:pPr>
    </w:p>
    <w:p w14:paraId="1D1CBE95">
      <w:pPr>
        <w:pStyle w:val="67"/>
        <w:spacing w:before="120" w:after="120" w:line="360" w:lineRule="auto"/>
      </w:pPr>
      <w:bookmarkStart w:id="94" w:name="_Toc2927"/>
      <w:r>
        <w:rPr>
          <w:rFonts w:hint="eastAsia"/>
        </w:rPr>
        <w:t>坐式旋转摇扳法</w:t>
      </w:r>
      <w:bookmarkEnd w:id="94"/>
    </w:p>
    <w:p w14:paraId="70C08AD9">
      <w:pPr>
        <w:pStyle w:val="58"/>
        <w:ind w:firstLine="420"/>
      </w:pPr>
      <w:r>
        <w:rPr>
          <w:rFonts w:hint="eastAsia"/>
        </w:rPr>
        <w:t>适用于左右旋转式腰椎后关节错位者，腰椎其他错位类型作辅助手法。以 L3 棘突偏左、L4 棘突偏右为例。患者坐于方凳上，术者坐于患者背后，助手立于患者左前方，用双膝双手挟持患者左大腿，嘱患者双手互抱，术者右手从患者右肩侧伸出，抓住患者左肩颈部，左手扶按于患者左侧腰骶关节右侧，拇指按住 L4 棘突右旁，嘱患者腰背放松，徐徐将患者拉动向前弯腰并向右转，先左右摇  动 2~3 下，使患者适应后，将其转至右侧达最大角度时，再加一闪动力转动，左拇指“定点”处同时加力拨动棘突，促使 L4 复位。按如上方式做左转方向复位。助手固定患者右腿，术者右拇指“定点”于患者 L3 棘突左旁固定，其余操作同上述程序，将 L3 、L4 后关节复正。此法如无助手可令患者骑坐于床上或低靠背木椅上并将其下肢固定即可。</w:t>
      </w:r>
      <w:r>
        <w:rPr>
          <w:rFonts w:hint="eastAsia"/>
          <w:lang w:eastAsia="zh-CN"/>
        </w:rPr>
        <w:t>（</w:t>
      </w:r>
      <w:r>
        <w:rPr>
          <w:rFonts w:hint="eastAsia"/>
          <w:lang w:val="en-US" w:eastAsia="zh-CN"/>
        </w:rPr>
        <w:t>见图24</w:t>
      </w:r>
      <w:r>
        <w:rPr>
          <w:rFonts w:hint="eastAsia"/>
          <w:lang w:eastAsia="zh-CN"/>
        </w:rPr>
        <w:t>）</w:t>
      </w:r>
    </w:p>
    <w:p w14:paraId="52128AFF">
      <w:pPr>
        <w:pStyle w:val="58"/>
        <w:ind w:firstLine="420"/>
      </w:pPr>
    </w:p>
    <w:tbl>
      <w:tblPr>
        <w:tblStyle w:val="29"/>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6"/>
      </w:tblGrid>
      <w:tr w14:paraId="36BE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46C0E79C">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879725" cy="2520315"/>
                  <wp:effectExtent l="0" t="0" r="635" b="9525"/>
                  <wp:docPr id="98" name="图片 98" descr="图片51"/>
                  <wp:cNvGraphicFramePr/>
                  <a:graphic xmlns:a="http://schemas.openxmlformats.org/drawingml/2006/main">
                    <a:graphicData uri="http://schemas.openxmlformats.org/drawingml/2006/picture">
                      <pic:pic xmlns:pic="http://schemas.openxmlformats.org/drawingml/2006/picture">
                        <pic:nvPicPr>
                          <pic:cNvPr id="98" name="图片 98" descr="图片51"/>
                          <pic:cNvPicPr/>
                        </pic:nvPicPr>
                        <pic:blipFill>
                          <a:blip r:embed="rId48"/>
                          <a:stretch>
                            <a:fillRect/>
                          </a:stretch>
                        </pic:blipFill>
                        <pic:spPr>
                          <a:xfrm>
                            <a:off x="0" y="0"/>
                            <a:ext cx="2879725" cy="2520315"/>
                          </a:xfrm>
                          <a:prstGeom prst="rect">
                            <a:avLst/>
                          </a:prstGeom>
                        </pic:spPr>
                      </pic:pic>
                    </a:graphicData>
                  </a:graphic>
                </wp:inline>
              </w:drawing>
            </w:r>
            <w:r>
              <w:rPr>
                <w:rFonts w:hint="eastAsia" w:hAnsi="宋体" w:cs="宋体"/>
                <w:szCs w:val="21"/>
              </w:rPr>
              <w:drawing>
                <wp:inline distT="0" distB="0" distL="114300" distR="114300">
                  <wp:extent cx="2879725" cy="2520315"/>
                  <wp:effectExtent l="0" t="0" r="635" b="9525"/>
                  <wp:docPr id="99" name="图片 99" descr="图片52"/>
                  <wp:cNvGraphicFramePr/>
                  <a:graphic xmlns:a="http://schemas.openxmlformats.org/drawingml/2006/main">
                    <a:graphicData uri="http://schemas.openxmlformats.org/drawingml/2006/picture">
                      <pic:pic xmlns:pic="http://schemas.openxmlformats.org/drawingml/2006/picture">
                        <pic:nvPicPr>
                          <pic:cNvPr id="99" name="图片 99" descr="图片52"/>
                          <pic:cNvPicPr/>
                        </pic:nvPicPr>
                        <pic:blipFill>
                          <a:blip r:embed="rId49"/>
                          <a:stretch>
                            <a:fillRect/>
                          </a:stretch>
                        </pic:blipFill>
                        <pic:spPr>
                          <a:xfrm>
                            <a:off x="0" y="0"/>
                            <a:ext cx="2879725" cy="2520315"/>
                          </a:xfrm>
                          <a:prstGeom prst="rect">
                            <a:avLst/>
                          </a:prstGeom>
                        </pic:spPr>
                      </pic:pic>
                    </a:graphicData>
                  </a:graphic>
                </wp:inline>
              </w:drawing>
            </w:r>
          </w:p>
        </w:tc>
      </w:tr>
      <w:tr w14:paraId="1CFD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5F00AC80">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060065" cy="2520315"/>
                  <wp:effectExtent l="0" t="0" r="3175" b="9525"/>
                  <wp:docPr id="100" name="图片 100" descr="图片53"/>
                  <wp:cNvGraphicFramePr/>
                  <a:graphic xmlns:a="http://schemas.openxmlformats.org/drawingml/2006/main">
                    <a:graphicData uri="http://schemas.openxmlformats.org/drawingml/2006/picture">
                      <pic:pic xmlns:pic="http://schemas.openxmlformats.org/drawingml/2006/picture">
                        <pic:nvPicPr>
                          <pic:cNvPr id="100" name="图片 100" descr="图片53"/>
                          <pic:cNvPicPr/>
                        </pic:nvPicPr>
                        <pic:blipFill>
                          <a:blip r:embed="rId50"/>
                          <a:stretch>
                            <a:fillRect/>
                          </a:stretch>
                        </pic:blipFill>
                        <pic:spPr>
                          <a:xfrm>
                            <a:off x="0" y="0"/>
                            <a:ext cx="3060065" cy="2520315"/>
                          </a:xfrm>
                          <a:prstGeom prst="rect">
                            <a:avLst/>
                          </a:prstGeom>
                        </pic:spPr>
                      </pic:pic>
                    </a:graphicData>
                  </a:graphic>
                </wp:inline>
              </w:drawing>
            </w:r>
          </w:p>
        </w:tc>
      </w:tr>
      <w:tr w14:paraId="3295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71F383FB">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24</w:t>
            </w:r>
            <w:r>
              <w:rPr>
                <w:rFonts w:hint="eastAsia" w:hAnsi="宋体" w:cs="宋体"/>
                <w:szCs w:val="21"/>
              </w:rPr>
              <w:t xml:space="preserve"> 坐式旋转摇扳法</w:t>
            </w:r>
          </w:p>
        </w:tc>
      </w:tr>
    </w:tbl>
    <w:p w14:paraId="25C7D345">
      <w:pPr>
        <w:pStyle w:val="58"/>
        <w:ind w:firstLine="420"/>
      </w:pPr>
    </w:p>
    <w:p w14:paraId="6A20A313">
      <w:pPr>
        <w:pStyle w:val="67"/>
        <w:spacing w:before="120" w:after="120" w:line="360" w:lineRule="auto"/>
      </w:pPr>
      <w:bookmarkStart w:id="95" w:name="_Toc10857"/>
      <w:r>
        <w:rPr>
          <w:rFonts w:hint="eastAsia"/>
        </w:rPr>
        <w:t>侧卧摇按法</w:t>
      </w:r>
      <w:bookmarkEnd w:id="95"/>
    </w:p>
    <w:p w14:paraId="530AC017">
      <w:pPr>
        <w:pStyle w:val="58"/>
        <w:ind w:firstLine="420"/>
      </w:pPr>
      <w:r>
        <w:rPr>
          <w:rFonts w:hint="eastAsia"/>
        </w:rPr>
        <w:t>适用于胸腰椎左右旋转式和混合式错位。以 L4 棘突偏右为例（ L3 棘突左、L4 棘突右、L5 棘突左）。患者体位：右侧卧位（先做健侧），右下肢伸直，左下肢屈髋屈膝，放于右大腿内侧上，右手放于枕上，左手屈肘放于身旁，头略后仰。术者面对患者立于床边，左手伸直抓扶患者左肩锁部，右手掌按扶于患者 L3 、L4 棘突处，右肘稍屈按压于其左臀部，嘱其全身放松，术者双手同时轻松地将患者左肩、左臀部做前后扭转推摇 2-3 次，待感到患者已放松腰背部后，左手将其肩推向后固定，右肘用力将其臀部向前扳按至最大角度，术者紧收右肘，加上身按压  的闪动力，常可听到腰后关节“咯嘚”声响或在右手掌触及其 L3 、L4 后关节还纳时的弹跳感。患者转为左侧卧位，重复上述摇按法，此时术者以左手按扶其 L4、L5 棘突上，复位方法相同。</w:t>
      </w:r>
      <w:r>
        <w:rPr>
          <w:rFonts w:hint="eastAsia"/>
          <w:lang w:eastAsia="zh-CN"/>
        </w:rPr>
        <w:t>（</w:t>
      </w:r>
      <w:r>
        <w:rPr>
          <w:rFonts w:hint="eastAsia"/>
          <w:lang w:val="en-US" w:eastAsia="zh-CN"/>
        </w:rPr>
        <w:t>见图25</w:t>
      </w:r>
      <w:r>
        <w:rPr>
          <w:rFonts w:hint="eastAsia"/>
          <w:lang w:eastAsia="zh-CN"/>
        </w:rPr>
        <w:t>）</w:t>
      </w:r>
    </w:p>
    <w:p w14:paraId="49E123E1">
      <w:pPr>
        <w:pStyle w:val="58"/>
        <w:ind w:firstLine="420"/>
      </w:pPr>
    </w:p>
    <w:tbl>
      <w:tblPr>
        <w:tblStyle w:val="29"/>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6"/>
      </w:tblGrid>
      <w:tr w14:paraId="0A29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3F675432">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879725" cy="2520315"/>
                  <wp:effectExtent l="0" t="0" r="635" b="9525"/>
                  <wp:docPr id="101" name="图片 101" descr="F:/图片54.png图片54"/>
                  <wp:cNvGraphicFramePr/>
                  <a:graphic xmlns:a="http://schemas.openxmlformats.org/drawingml/2006/main">
                    <a:graphicData uri="http://schemas.openxmlformats.org/drawingml/2006/picture">
                      <pic:pic xmlns:pic="http://schemas.openxmlformats.org/drawingml/2006/picture">
                        <pic:nvPicPr>
                          <pic:cNvPr id="101" name="图片 101" descr="F:/图片54.png图片54"/>
                          <pic:cNvPicPr/>
                        </pic:nvPicPr>
                        <pic:blipFill>
                          <a:blip r:embed="rId51"/>
                          <a:srcRect l="10847" r="10847"/>
                          <a:stretch>
                            <a:fillRect/>
                          </a:stretch>
                        </pic:blipFill>
                        <pic:spPr>
                          <a:xfrm>
                            <a:off x="0" y="0"/>
                            <a:ext cx="2879725" cy="2520315"/>
                          </a:xfrm>
                          <a:prstGeom prst="rect">
                            <a:avLst/>
                          </a:prstGeom>
                        </pic:spPr>
                      </pic:pic>
                    </a:graphicData>
                  </a:graphic>
                </wp:inline>
              </w:drawing>
            </w:r>
            <w:r>
              <w:rPr>
                <w:rFonts w:hint="eastAsia" w:hAnsi="宋体" w:cs="宋体"/>
                <w:szCs w:val="21"/>
              </w:rPr>
              <w:drawing>
                <wp:inline distT="0" distB="0" distL="114300" distR="114300">
                  <wp:extent cx="2879725" cy="2520315"/>
                  <wp:effectExtent l="0" t="0" r="635" b="9525"/>
                  <wp:docPr id="102" name="图片 102" descr="F:/图片55.png图片55"/>
                  <wp:cNvGraphicFramePr/>
                  <a:graphic xmlns:a="http://schemas.openxmlformats.org/drawingml/2006/main">
                    <a:graphicData uri="http://schemas.openxmlformats.org/drawingml/2006/picture">
                      <pic:pic xmlns:pic="http://schemas.openxmlformats.org/drawingml/2006/picture">
                        <pic:nvPicPr>
                          <pic:cNvPr id="102" name="图片 102" descr="F:/图片55.png图片55"/>
                          <pic:cNvPicPr/>
                        </pic:nvPicPr>
                        <pic:blipFill>
                          <a:blip r:embed="rId52"/>
                          <a:srcRect l="13250" r="13250"/>
                          <a:stretch>
                            <a:fillRect/>
                          </a:stretch>
                        </pic:blipFill>
                        <pic:spPr>
                          <a:xfrm>
                            <a:off x="0" y="0"/>
                            <a:ext cx="2879725" cy="2520315"/>
                          </a:xfrm>
                          <a:prstGeom prst="rect">
                            <a:avLst/>
                          </a:prstGeom>
                        </pic:spPr>
                      </pic:pic>
                    </a:graphicData>
                  </a:graphic>
                </wp:inline>
              </w:drawing>
            </w:r>
          </w:p>
        </w:tc>
      </w:tr>
      <w:tr w14:paraId="4D6D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10B0273A">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060065" cy="2520315"/>
                  <wp:effectExtent l="0" t="0" r="3175" b="9525"/>
                  <wp:docPr id="103" name="图片 103" descr="F:/图片56.png图片56"/>
                  <wp:cNvGraphicFramePr/>
                  <a:graphic xmlns:a="http://schemas.openxmlformats.org/drawingml/2006/main">
                    <a:graphicData uri="http://schemas.openxmlformats.org/drawingml/2006/picture">
                      <pic:pic xmlns:pic="http://schemas.openxmlformats.org/drawingml/2006/picture">
                        <pic:nvPicPr>
                          <pic:cNvPr id="103" name="图片 103" descr="F:/图片56.png图片56"/>
                          <pic:cNvPicPr/>
                        </pic:nvPicPr>
                        <pic:blipFill>
                          <a:blip r:embed="rId53"/>
                          <a:srcRect l="13250" r="13250"/>
                          <a:stretch>
                            <a:fillRect/>
                          </a:stretch>
                        </pic:blipFill>
                        <pic:spPr>
                          <a:xfrm>
                            <a:off x="0" y="0"/>
                            <a:ext cx="3060065" cy="2520315"/>
                          </a:xfrm>
                          <a:prstGeom prst="rect">
                            <a:avLst/>
                          </a:prstGeom>
                        </pic:spPr>
                      </pic:pic>
                    </a:graphicData>
                  </a:graphic>
                </wp:inline>
              </w:drawing>
            </w:r>
          </w:p>
        </w:tc>
      </w:tr>
      <w:tr w14:paraId="37B7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23B0DF44">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25</w:t>
            </w:r>
            <w:r>
              <w:rPr>
                <w:rFonts w:hint="eastAsia" w:hAnsi="宋体" w:cs="宋体"/>
                <w:szCs w:val="21"/>
              </w:rPr>
              <w:t xml:space="preserve"> 侧卧摇按法</w:t>
            </w:r>
          </w:p>
        </w:tc>
      </w:tr>
    </w:tbl>
    <w:p w14:paraId="345411FE">
      <w:pPr>
        <w:pStyle w:val="58"/>
        <w:ind w:firstLine="420"/>
      </w:pPr>
    </w:p>
    <w:p w14:paraId="759FDF0F">
      <w:pPr>
        <w:pStyle w:val="67"/>
        <w:spacing w:before="120" w:after="120" w:line="360" w:lineRule="auto"/>
      </w:pPr>
      <w:bookmarkStart w:id="96" w:name="_Toc17144"/>
      <w:r>
        <w:rPr>
          <w:rFonts w:hint="eastAsia"/>
        </w:rPr>
        <w:t>俯卧按腰扳腿法</w:t>
      </w:r>
      <w:bookmarkEnd w:id="96"/>
    </w:p>
    <w:p w14:paraId="6C0F4506">
      <w:pPr>
        <w:pStyle w:val="58"/>
        <w:ind w:firstLine="420"/>
        <w:rPr>
          <w:rFonts w:hint="eastAsia" w:eastAsia="宋体"/>
          <w:lang w:eastAsia="zh-CN"/>
        </w:rPr>
      </w:pPr>
      <w:r>
        <w:rPr>
          <w:rFonts w:hint="eastAsia"/>
        </w:rPr>
        <w:t>一式适用于旋转并反张（后突）的腰后关节错位、腰椎间盘突出症。以 L4 棘突偏左后突为例（L3 棘突右、L4 棘突左后突、L5 棘突右）。患者俯卧，双下肢伸直，术者立其左侧，左手掌按于 L4 后突的棘突左旁，右手将患者右膝及大腿托起后伸，并渐扳向左后方，术者两手同时徐徐用力，并抬起放下往返 2-4 次，待其适应后，腰部放松后，将其右下肢扳至左后方最大角度时，左掌加大按压力，右前臂加“闪动力”将其右下肢再加大而有限制的扳动一下，复位动作完成。其余类型错位可参阅此法类推。</w:t>
      </w:r>
      <w:r>
        <w:rPr>
          <w:rFonts w:hint="eastAsia"/>
          <w:lang w:eastAsia="zh-CN"/>
        </w:rPr>
        <w:t>（</w:t>
      </w:r>
      <w:r>
        <w:rPr>
          <w:rFonts w:hint="eastAsia"/>
          <w:lang w:val="en-US" w:eastAsia="zh-CN"/>
        </w:rPr>
        <w:t>见图26</w:t>
      </w:r>
      <w:r>
        <w:rPr>
          <w:rFonts w:hint="eastAsia"/>
          <w:lang w:eastAsia="zh-CN"/>
        </w:rPr>
        <w:t>）</w:t>
      </w:r>
    </w:p>
    <w:p w14:paraId="6DDDC493">
      <w:pPr>
        <w:pStyle w:val="58"/>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52"/>
      </w:tblGrid>
      <w:tr w14:paraId="6E419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31A3DAB0">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6120130" cy="2520315"/>
                  <wp:effectExtent l="0" t="0" r="6350" b="9525"/>
                  <wp:docPr id="104" name="图片 104" descr="F:/图片57.png图片57"/>
                  <wp:cNvGraphicFramePr/>
                  <a:graphic xmlns:a="http://schemas.openxmlformats.org/drawingml/2006/main">
                    <a:graphicData uri="http://schemas.openxmlformats.org/drawingml/2006/picture">
                      <pic:pic xmlns:pic="http://schemas.openxmlformats.org/drawingml/2006/picture">
                        <pic:nvPicPr>
                          <pic:cNvPr id="104" name="图片 104" descr="F:/图片57.png图片57"/>
                          <pic:cNvPicPr/>
                        </pic:nvPicPr>
                        <pic:blipFill>
                          <a:blip r:embed="rId54"/>
                          <a:srcRect l="8333" r="8333"/>
                          <a:stretch>
                            <a:fillRect/>
                          </a:stretch>
                        </pic:blipFill>
                        <pic:spPr>
                          <a:xfrm>
                            <a:off x="0" y="0"/>
                            <a:ext cx="6120130" cy="2520315"/>
                          </a:xfrm>
                          <a:prstGeom prst="rect">
                            <a:avLst/>
                          </a:prstGeom>
                        </pic:spPr>
                      </pic:pic>
                    </a:graphicData>
                  </a:graphic>
                </wp:inline>
              </w:drawing>
            </w:r>
          </w:p>
        </w:tc>
      </w:tr>
      <w:tr w14:paraId="4DA71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30D93A4D">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060065" cy="2520315"/>
                  <wp:effectExtent l="0" t="0" r="3175" b="9525"/>
                  <wp:docPr id="105" name="图片 105" descr="F:/图片58.png图片58"/>
                  <wp:cNvGraphicFramePr/>
                  <a:graphic xmlns:a="http://schemas.openxmlformats.org/drawingml/2006/main">
                    <a:graphicData uri="http://schemas.openxmlformats.org/drawingml/2006/picture">
                      <pic:pic xmlns:pic="http://schemas.openxmlformats.org/drawingml/2006/picture">
                        <pic:nvPicPr>
                          <pic:cNvPr id="105" name="图片 105" descr="F:/图片58.png图片58"/>
                          <pic:cNvPicPr/>
                        </pic:nvPicPr>
                        <pic:blipFill>
                          <a:blip r:embed="rId55"/>
                          <a:srcRect l="3219" r="3219"/>
                          <a:stretch>
                            <a:fillRect/>
                          </a:stretch>
                        </pic:blipFill>
                        <pic:spPr>
                          <a:xfrm>
                            <a:off x="0" y="0"/>
                            <a:ext cx="3060065" cy="2520315"/>
                          </a:xfrm>
                          <a:prstGeom prst="rect">
                            <a:avLst/>
                          </a:prstGeom>
                        </pic:spPr>
                      </pic:pic>
                    </a:graphicData>
                  </a:graphic>
                </wp:inline>
              </w:drawing>
            </w:r>
          </w:p>
        </w:tc>
      </w:tr>
      <w:tr w14:paraId="6A495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52" w:type="dxa"/>
          </w:tcPr>
          <w:p w14:paraId="680C1B03">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26</w:t>
            </w:r>
            <w:r>
              <w:rPr>
                <w:rFonts w:hint="eastAsia" w:hAnsi="宋体" w:cs="宋体"/>
                <w:szCs w:val="21"/>
              </w:rPr>
              <w:t xml:space="preserve"> 俯卧按腰扳腿法（一式）</w:t>
            </w:r>
          </w:p>
        </w:tc>
      </w:tr>
    </w:tbl>
    <w:p w14:paraId="3DE795C5">
      <w:pPr>
        <w:pStyle w:val="58"/>
        <w:ind w:firstLine="420"/>
      </w:pPr>
    </w:p>
    <w:p w14:paraId="426629F7">
      <w:pPr>
        <w:pStyle w:val="58"/>
        <w:ind w:firstLine="420"/>
      </w:pPr>
      <w:r>
        <w:rPr>
          <w:rFonts w:hint="eastAsia"/>
        </w:rPr>
        <w:t>二式适用于腰骶椎侧弯侧摆式错位。例如顽固性腰痛者，伸屈、转体功能正常， 侧屈功能受限者，  触诊 L3  棘突轻度偏左，相关后关节有深压痛，其上下椎棘突序列正常。患者俯卧于治疗床上，术者站其右侧，以右手掌根部“定点”于 L2 棘突右旁，以左手前臂托住其双膝大腿部，顺床面将双下肢向左侧摆约 30°而将双下肢扳向右侧至侧屈角度≥ 45°与“定点”手同时发力，完成扳按动作，此为“解锁”。继而术者站到其左侧，用左手掌根部“定点”于 L3 棘突左旁，右手前臂托住其双膝大腿部，顺床面将双下肢向右侧摆约 30°，紧接托起双下肢向 左侧摆至最大角度 45°，与“定点”手做 1-2 下“闪动力”，完成侧向扳按复位手法。本手法完成后，要加双下肢牵抖法 2-3 下，作为手法的“整理”为佳。此法复位时应注意保持侧屈扳按动作，而不作向后抬腿的旋扳动作。</w:t>
      </w:r>
      <w:r>
        <w:rPr>
          <w:rFonts w:hint="eastAsia"/>
          <w:lang w:eastAsia="zh-CN"/>
        </w:rPr>
        <w:t>（</w:t>
      </w:r>
      <w:r>
        <w:rPr>
          <w:rFonts w:hint="eastAsia"/>
          <w:lang w:val="en-US" w:eastAsia="zh-CN"/>
        </w:rPr>
        <w:t>见图27</w:t>
      </w:r>
      <w:r>
        <w:rPr>
          <w:rFonts w:hint="eastAsia"/>
          <w:lang w:eastAsia="zh-CN"/>
        </w:rPr>
        <w:t>）</w:t>
      </w:r>
    </w:p>
    <w:tbl>
      <w:tblPr>
        <w:tblStyle w:val="29"/>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6"/>
      </w:tblGrid>
      <w:tr w14:paraId="0255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66" w:type="dxa"/>
            <w:tcBorders>
              <w:top w:val="nil"/>
              <w:left w:val="nil"/>
              <w:bottom w:val="nil"/>
              <w:right w:val="nil"/>
            </w:tcBorders>
          </w:tcPr>
          <w:p w14:paraId="739F6EC1">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879725" cy="2520315"/>
                  <wp:effectExtent l="0" t="0" r="635" b="9525"/>
                  <wp:docPr id="106" name="图片 106" descr="F:/图片59.png图片59"/>
                  <wp:cNvGraphicFramePr/>
                  <a:graphic xmlns:a="http://schemas.openxmlformats.org/drawingml/2006/main">
                    <a:graphicData uri="http://schemas.openxmlformats.org/drawingml/2006/picture">
                      <pic:pic xmlns:pic="http://schemas.openxmlformats.org/drawingml/2006/picture">
                        <pic:nvPicPr>
                          <pic:cNvPr id="106" name="图片 106" descr="F:/图片59.png图片59"/>
                          <pic:cNvPicPr/>
                        </pic:nvPicPr>
                        <pic:blipFill>
                          <a:blip r:embed="rId56"/>
                          <a:srcRect l="13294" r="13294"/>
                          <a:stretch>
                            <a:fillRect/>
                          </a:stretch>
                        </pic:blipFill>
                        <pic:spPr>
                          <a:xfrm>
                            <a:off x="0" y="0"/>
                            <a:ext cx="2879725" cy="2520315"/>
                          </a:xfrm>
                          <a:prstGeom prst="rect">
                            <a:avLst/>
                          </a:prstGeom>
                        </pic:spPr>
                      </pic:pic>
                    </a:graphicData>
                  </a:graphic>
                </wp:inline>
              </w:drawing>
            </w:r>
            <w:r>
              <w:rPr>
                <w:rFonts w:hint="eastAsia" w:hAnsi="宋体" w:cs="宋体"/>
                <w:szCs w:val="21"/>
              </w:rPr>
              <w:drawing>
                <wp:inline distT="0" distB="0" distL="114300" distR="114300">
                  <wp:extent cx="2879725" cy="2520315"/>
                  <wp:effectExtent l="0" t="0" r="635" b="9525"/>
                  <wp:docPr id="107" name="图片 107" descr="F:/图片60.png图片60"/>
                  <wp:cNvGraphicFramePr/>
                  <a:graphic xmlns:a="http://schemas.openxmlformats.org/drawingml/2006/main">
                    <a:graphicData uri="http://schemas.openxmlformats.org/drawingml/2006/picture">
                      <pic:pic xmlns:pic="http://schemas.openxmlformats.org/drawingml/2006/picture">
                        <pic:nvPicPr>
                          <pic:cNvPr id="107" name="图片 107" descr="F:/图片60.png图片60"/>
                          <pic:cNvPicPr/>
                        </pic:nvPicPr>
                        <pic:blipFill>
                          <a:blip r:embed="rId57"/>
                          <a:srcRect l="13294" r="13294"/>
                          <a:stretch>
                            <a:fillRect/>
                          </a:stretch>
                        </pic:blipFill>
                        <pic:spPr>
                          <a:xfrm>
                            <a:off x="0" y="0"/>
                            <a:ext cx="2879725" cy="2520315"/>
                          </a:xfrm>
                          <a:prstGeom prst="rect">
                            <a:avLst/>
                          </a:prstGeom>
                        </pic:spPr>
                      </pic:pic>
                    </a:graphicData>
                  </a:graphic>
                </wp:inline>
              </w:drawing>
            </w:r>
          </w:p>
        </w:tc>
      </w:tr>
      <w:tr w14:paraId="384E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0FE678EF">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3060065" cy="2520315"/>
                  <wp:effectExtent l="0" t="0" r="3175" b="9525"/>
                  <wp:docPr id="108" name="图片 108" descr="F:/图片61.png图片61"/>
                  <wp:cNvGraphicFramePr/>
                  <a:graphic xmlns:a="http://schemas.openxmlformats.org/drawingml/2006/main">
                    <a:graphicData uri="http://schemas.openxmlformats.org/drawingml/2006/picture">
                      <pic:pic xmlns:pic="http://schemas.openxmlformats.org/drawingml/2006/picture">
                        <pic:nvPicPr>
                          <pic:cNvPr id="108" name="图片 108" descr="F:/图片61.png图片61"/>
                          <pic:cNvPicPr/>
                        </pic:nvPicPr>
                        <pic:blipFill>
                          <a:blip r:embed="rId58"/>
                          <a:srcRect l="13095" r="13095"/>
                          <a:stretch>
                            <a:fillRect/>
                          </a:stretch>
                        </pic:blipFill>
                        <pic:spPr>
                          <a:xfrm>
                            <a:off x="0" y="0"/>
                            <a:ext cx="3060065" cy="2520315"/>
                          </a:xfrm>
                          <a:prstGeom prst="rect">
                            <a:avLst/>
                          </a:prstGeom>
                        </pic:spPr>
                      </pic:pic>
                    </a:graphicData>
                  </a:graphic>
                </wp:inline>
              </w:drawing>
            </w:r>
          </w:p>
        </w:tc>
      </w:tr>
      <w:tr w14:paraId="63C2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6" w:type="dxa"/>
            <w:tcBorders>
              <w:top w:val="nil"/>
              <w:left w:val="nil"/>
              <w:bottom w:val="nil"/>
              <w:right w:val="nil"/>
            </w:tcBorders>
          </w:tcPr>
          <w:p w14:paraId="4B04BF32">
            <w:pPr>
              <w:pStyle w:val="176"/>
              <w:numPr>
                <w:ilvl w:val="0"/>
                <w:numId w:val="0"/>
              </w:numPr>
              <w:spacing w:line="300" w:lineRule="auto"/>
              <w:jc w:val="center"/>
              <w:rPr>
                <w:rFonts w:hint="eastAsia" w:hAnsi="宋体" w:cs="宋体"/>
                <w:szCs w:val="21"/>
              </w:rPr>
            </w:pPr>
            <w:r>
              <w:rPr>
                <w:rFonts w:hint="eastAsia" w:hAnsi="宋体" w:cs="宋体"/>
                <w:szCs w:val="21"/>
              </w:rPr>
              <w:t>图</w:t>
            </w:r>
            <w:r>
              <w:rPr>
                <w:rFonts w:hint="eastAsia" w:hAnsi="宋体" w:cs="宋体"/>
                <w:szCs w:val="21"/>
                <w:lang w:val="en-US" w:eastAsia="zh-CN"/>
              </w:rPr>
              <w:t>27</w:t>
            </w:r>
            <w:r>
              <w:rPr>
                <w:rFonts w:hint="eastAsia" w:hAnsi="宋体" w:cs="宋体"/>
                <w:szCs w:val="21"/>
              </w:rPr>
              <w:t xml:space="preserve"> 俯卧按腰扳腿法（二式）</w:t>
            </w:r>
          </w:p>
        </w:tc>
      </w:tr>
    </w:tbl>
    <w:p w14:paraId="4B5C4B24">
      <w:pPr>
        <w:pStyle w:val="58"/>
        <w:ind w:firstLine="420"/>
      </w:pPr>
    </w:p>
    <w:p w14:paraId="0D8E46A1">
      <w:pPr>
        <w:pStyle w:val="67"/>
        <w:spacing w:before="120" w:after="120" w:line="360" w:lineRule="auto"/>
      </w:pPr>
      <w:bookmarkStart w:id="97" w:name="_Toc7622"/>
      <w:r>
        <w:rPr>
          <w:rFonts w:hint="eastAsia"/>
        </w:rPr>
        <w:t>抱膝滚动法</w:t>
      </w:r>
      <w:bookmarkEnd w:id="97"/>
    </w:p>
    <w:p w14:paraId="36A48E7D">
      <w:pPr>
        <w:pStyle w:val="58"/>
        <w:ind w:firstLine="420"/>
      </w:pPr>
      <w:r>
        <w:rPr>
          <w:rFonts w:hint="eastAsia"/>
        </w:rPr>
        <w:t>一式适用于胸、腰、骶椎向前滑脱式错位，脊轴过伸者。患者仰卧，以软枕护头部，双手交叉将双膝紧抱（屈髋屈膝），术者站其右侧，左手托其颈部，右手抱其双膝，使患者做仰卧起坐，坐后而又卧下，往返滚动，且每次卧下时将患者用力抬起臀部，臀部一次比一次抬得更高些，使过伸成角的胸腰骶椎间在运动中渐次复位。</w:t>
      </w:r>
      <w:r>
        <w:rPr>
          <w:rFonts w:hint="eastAsia"/>
          <w:lang w:eastAsia="zh-CN"/>
        </w:rPr>
        <w:t>（</w:t>
      </w:r>
      <w:r>
        <w:rPr>
          <w:rFonts w:hint="eastAsia"/>
          <w:lang w:val="en-US" w:eastAsia="zh-CN"/>
        </w:rPr>
        <w:t>见图28</w:t>
      </w:r>
      <w:r>
        <w:rPr>
          <w:rFonts w:hint="eastAsia"/>
          <w:lang w:eastAsia="zh-CN"/>
        </w:rPr>
        <w:t>）</w:t>
      </w:r>
    </w:p>
    <w:p w14:paraId="48DDB8F7">
      <w:pPr>
        <w:pStyle w:val="58"/>
        <w:ind w:firstLine="420"/>
      </w:pPr>
      <w:r>
        <w:rPr>
          <w:rFonts w:hint="eastAsia"/>
        </w:rPr>
        <w:t>二式适用于骶椎点头导致腰骶成角者。患者预备姿势同一式，术者右（左手）及前臂抓按在其紧抱的膝部，左（右）手托住其臀下部（骶尾椎部），施术时，只让腰骶椎间做过屈滚动。</w:t>
      </w:r>
      <w:r>
        <w:rPr>
          <w:rFonts w:hint="eastAsia"/>
          <w:lang w:eastAsia="zh-CN"/>
        </w:rPr>
        <w:t>（</w:t>
      </w:r>
      <w:r>
        <w:rPr>
          <w:rFonts w:hint="eastAsia"/>
          <w:lang w:val="en-US" w:eastAsia="zh-CN"/>
        </w:rPr>
        <w:t>见图29</w:t>
      </w:r>
      <w:r>
        <w:rPr>
          <w:rFonts w:hint="eastAsia"/>
          <w:lang w:eastAsia="zh-CN"/>
        </w:rPr>
        <w:t>）</w:t>
      </w:r>
    </w:p>
    <w:p w14:paraId="73E1D652">
      <w:pPr>
        <w:pStyle w:val="58"/>
        <w:ind w:firstLine="420"/>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3024A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37E79CFB">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5737860" cy="2520315"/>
                  <wp:effectExtent l="0" t="0" r="7620" b="9525"/>
                  <wp:docPr id="116" name="图片 116" descr="图片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图片62"/>
                          <pic:cNvPicPr>
                            <a:picLocks noChangeAspect="1"/>
                          </pic:cNvPicPr>
                        </pic:nvPicPr>
                        <pic:blipFill>
                          <a:blip r:embed="rId59"/>
                          <a:stretch>
                            <a:fillRect/>
                          </a:stretch>
                        </pic:blipFill>
                        <pic:spPr>
                          <a:xfrm>
                            <a:off x="0" y="0"/>
                            <a:ext cx="5737860" cy="2520315"/>
                          </a:xfrm>
                          <a:prstGeom prst="rect">
                            <a:avLst/>
                          </a:prstGeom>
                        </pic:spPr>
                      </pic:pic>
                    </a:graphicData>
                  </a:graphic>
                </wp:inline>
              </w:drawing>
            </w:r>
          </w:p>
        </w:tc>
      </w:tr>
      <w:tr w14:paraId="25AA8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1FF946E7">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28</w:t>
            </w:r>
            <w:r>
              <w:rPr>
                <w:rFonts w:hint="eastAsia"/>
                <w:color w:val="231F20"/>
                <w:spacing w:val="-1"/>
              </w:rPr>
              <w:t xml:space="preserve"> 抱膝滚动法（一式）</w:t>
            </w:r>
          </w:p>
        </w:tc>
      </w:tr>
      <w:tr w14:paraId="1144C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285D408B">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5761355" cy="2520315"/>
                  <wp:effectExtent l="0" t="0" r="14605" b="9525"/>
                  <wp:docPr id="117" name="图片 117" descr="图片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图片63"/>
                          <pic:cNvPicPr>
                            <a:picLocks noChangeAspect="1"/>
                          </pic:cNvPicPr>
                        </pic:nvPicPr>
                        <pic:blipFill>
                          <a:blip r:embed="rId60"/>
                          <a:stretch>
                            <a:fillRect/>
                          </a:stretch>
                        </pic:blipFill>
                        <pic:spPr>
                          <a:xfrm>
                            <a:off x="0" y="0"/>
                            <a:ext cx="5761355" cy="2520315"/>
                          </a:xfrm>
                          <a:prstGeom prst="rect">
                            <a:avLst/>
                          </a:prstGeom>
                        </pic:spPr>
                      </pic:pic>
                    </a:graphicData>
                  </a:graphic>
                </wp:inline>
              </w:drawing>
            </w:r>
          </w:p>
        </w:tc>
      </w:tr>
      <w:tr w14:paraId="0F139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265EF7F3">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29</w:t>
            </w:r>
            <w:r>
              <w:rPr>
                <w:rFonts w:hint="eastAsia"/>
                <w:color w:val="231F20"/>
                <w:spacing w:val="-1"/>
              </w:rPr>
              <w:t xml:space="preserve"> 抱膝滚动法（二式）</w:t>
            </w:r>
          </w:p>
        </w:tc>
      </w:tr>
    </w:tbl>
    <w:p w14:paraId="34842FB9">
      <w:pPr>
        <w:pStyle w:val="58"/>
        <w:ind w:firstLine="420"/>
      </w:pPr>
    </w:p>
    <w:p w14:paraId="19BA378D">
      <w:pPr>
        <w:pStyle w:val="67"/>
        <w:spacing w:before="120" w:after="120" w:line="360" w:lineRule="auto"/>
      </w:pPr>
      <w:bookmarkStart w:id="98" w:name="_Toc20765"/>
      <w:r>
        <w:rPr>
          <w:rFonts w:hint="eastAsia"/>
        </w:rPr>
        <w:t>倒悬牵引下正骨法</w:t>
      </w:r>
      <w:bookmarkEnd w:id="98"/>
    </w:p>
    <w:p w14:paraId="6B41155E">
      <w:pPr>
        <w:pStyle w:val="58"/>
        <w:ind w:firstLine="420"/>
      </w:pPr>
      <w:r>
        <w:rPr>
          <w:rFonts w:hint="eastAsia"/>
        </w:rPr>
        <w:t>运用于腰椎间盘突出、椎间盘变性并发椎体及小关节功能紊乱。倒悬牵引完全是利用人体自身的重量进行牵引，安全性较高，操作简单实用。对于腰椎疾病患者，往往会肌肉紧张，痉挛疼痛，可用手触及条索状或块状的结节，倒悬牵引可有效地缓解肌肉痉挛，早期可以增大腰椎椎间隙，从而减少神经压迫，也可使椎间盘内的压力明显降低。倒悬牵引时，自身的体重使椎间隙打开，小关节之间松动，这时配合轻微的手法或摇扳， 即可使紊乱的小关节复位，达到纠正的目的。腰椎曲度的改变直接导致脊柱受力不均，如果治疗不及时，则会因力学平衡紊乱进一步引起脊柱内外骨骼、肌肉、关节等组织的变化，倒悬牵引下，肌肉放松情况下进行抖动、摇摆可较有效地纠正腰椎曲度。对于椎间盘突出的患者，可使椎间隙增大，有利于髓核的还纳，有较好的整复作用。</w:t>
      </w:r>
    </w:p>
    <w:p w14:paraId="7365B337">
      <w:pPr>
        <w:pStyle w:val="58"/>
        <w:ind w:firstLine="420"/>
      </w:pPr>
      <w:r>
        <w:rPr>
          <w:rFonts w:hint="eastAsia"/>
        </w:rPr>
        <w:t>倒悬牵引时患者仰卧位或俯卧位于倒悬牵引治疗床（</w:t>
      </w:r>
      <w:r>
        <w:rPr>
          <w:rFonts w:hint="eastAsia"/>
          <w:lang w:val="en-US" w:eastAsia="zh-CN"/>
        </w:rPr>
        <w:t>见</w:t>
      </w:r>
      <w:r>
        <w:rPr>
          <w:rFonts w:hint="eastAsia"/>
        </w:rPr>
        <w:t xml:space="preserve">图 </w:t>
      </w:r>
      <w:r>
        <w:rPr>
          <w:rFonts w:hint="eastAsia"/>
          <w:lang w:val="en-US" w:eastAsia="zh-CN"/>
        </w:rPr>
        <w:t>30</w:t>
      </w:r>
      <w:r>
        <w:rPr>
          <w:rFonts w:hint="eastAsia"/>
        </w:rPr>
        <w:t>）上，双下肢 利用牵引带捆绑固定（</w:t>
      </w:r>
      <w:r>
        <w:rPr>
          <w:rFonts w:hint="eastAsia"/>
          <w:lang w:val="en-US" w:eastAsia="zh-CN"/>
        </w:rPr>
        <w:t>见</w:t>
      </w:r>
      <w:r>
        <w:rPr>
          <w:rFonts w:hint="eastAsia"/>
        </w:rPr>
        <w:t xml:space="preserve">图 </w:t>
      </w:r>
      <w:r>
        <w:rPr>
          <w:rFonts w:hint="eastAsia"/>
          <w:lang w:val="en-US" w:eastAsia="zh-CN"/>
        </w:rPr>
        <w:t>31</w:t>
      </w:r>
      <w:r>
        <w:rPr>
          <w:rFonts w:hint="eastAsia"/>
        </w:rPr>
        <w:t>），将倒悬牵引治疗床逐渐升起，术者可先将倒悬牵引治疗床尾缓慢上升至 30°-45°，稍作停顿 3-5min，让患者缓慢适应，尤其是第一次牵引的患者；再缓慢将倒悬牵引治疗床尾上升至60°，停顿 1-2 min（</w:t>
      </w:r>
      <w:r>
        <w:rPr>
          <w:rFonts w:hint="eastAsia"/>
          <w:lang w:val="en-US" w:eastAsia="zh-CN"/>
        </w:rPr>
        <w:t>见</w:t>
      </w:r>
      <w:r>
        <w:rPr>
          <w:rFonts w:hint="eastAsia"/>
        </w:rPr>
        <w:t xml:space="preserve">图 </w:t>
      </w:r>
      <w:r>
        <w:rPr>
          <w:rFonts w:hint="eastAsia"/>
          <w:lang w:val="en-US" w:eastAsia="zh-CN"/>
        </w:rPr>
        <w:t>32</w:t>
      </w:r>
      <w:r>
        <w:rPr>
          <w:rFonts w:hint="eastAsia"/>
        </w:rPr>
        <w:t>），让患者缓慢适应，并密切观察患者表情变化，如有不适，及时处理；如无不适，再将倒悬牵引治疗床尾升至 90°（</w:t>
      </w:r>
      <w:r>
        <w:rPr>
          <w:rFonts w:hint="eastAsia"/>
          <w:lang w:val="en-US" w:eastAsia="zh-CN"/>
        </w:rPr>
        <w:t>见</w:t>
      </w:r>
      <w:r>
        <w:rPr>
          <w:rFonts w:hint="eastAsia"/>
        </w:rPr>
        <w:t>图</w:t>
      </w:r>
      <w:r>
        <w:rPr>
          <w:rFonts w:hint="eastAsia"/>
          <w:lang w:val="en-US" w:eastAsia="zh-CN"/>
        </w:rPr>
        <w:t>33</w:t>
      </w:r>
      <w:r>
        <w:rPr>
          <w:rFonts w:hint="eastAsia"/>
        </w:rPr>
        <w:t>），使患者最终呈头下脚上的体位，从而行正骨手法。</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30284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14452B83">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4679950" cy="2520315"/>
                  <wp:effectExtent l="0" t="0" r="13970" b="9525"/>
                  <wp:docPr id="118" name="图片 118" descr="F:/图片64.png图片64"/>
                  <wp:cNvGraphicFramePr/>
                  <a:graphic xmlns:a="http://schemas.openxmlformats.org/drawingml/2006/main">
                    <a:graphicData uri="http://schemas.openxmlformats.org/drawingml/2006/picture">
                      <pic:pic xmlns:pic="http://schemas.openxmlformats.org/drawingml/2006/picture">
                        <pic:nvPicPr>
                          <pic:cNvPr id="118" name="图片 118" descr="F:/图片64.png图片64"/>
                          <pic:cNvPicPr/>
                        </pic:nvPicPr>
                        <pic:blipFill>
                          <a:blip r:embed="rId61"/>
                          <a:srcRect t="5098" b="5098"/>
                          <a:stretch>
                            <a:fillRect/>
                          </a:stretch>
                        </pic:blipFill>
                        <pic:spPr>
                          <a:xfrm>
                            <a:off x="0" y="0"/>
                            <a:ext cx="4679950" cy="2520315"/>
                          </a:xfrm>
                          <a:prstGeom prst="rect">
                            <a:avLst/>
                          </a:prstGeom>
                        </pic:spPr>
                      </pic:pic>
                    </a:graphicData>
                  </a:graphic>
                </wp:inline>
              </w:drawing>
            </w:r>
          </w:p>
        </w:tc>
      </w:tr>
      <w:tr w14:paraId="104CE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21AFFE1E">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30</w:t>
            </w:r>
            <w:r>
              <w:rPr>
                <w:rFonts w:hint="eastAsia"/>
                <w:color w:val="231F20"/>
                <w:spacing w:val="-1"/>
              </w:rPr>
              <w:t xml:space="preserve"> 倒悬牵引治疗床</w:t>
            </w:r>
          </w:p>
        </w:tc>
      </w:tr>
      <w:tr w14:paraId="70A83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vAlign w:val="top"/>
          </w:tcPr>
          <w:p w14:paraId="0C99FEA3">
            <w:pPr>
              <w:pStyle w:val="176"/>
              <w:numPr>
                <w:ilvl w:val="0"/>
                <w:numId w:val="0"/>
              </w:numPr>
              <w:spacing w:line="300" w:lineRule="auto"/>
              <w:ind w:left="0" w:leftChars="0" w:firstLine="0" w:firstLineChars="0"/>
              <w:jc w:val="center"/>
              <w:rPr>
                <w:rFonts w:hint="eastAsia"/>
                <w:color w:val="231F20"/>
                <w:spacing w:val="-1"/>
              </w:rPr>
            </w:pPr>
            <w:r>
              <w:rPr>
                <w:rFonts w:hint="eastAsia"/>
                <w:color w:val="231F20"/>
                <w:spacing w:val="-1"/>
              </w:rPr>
              <w:drawing>
                <wp:inline distT="0" distB="0" distL="114300" distR="114300">
                  <wp:extent cx="3358515" cy="2520315"/>
                  <wp:effectExtent l="0" t="0" r="9525" b="9525"/>
                  <wp:docPr id="3" name="图片 3" descr="图片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65"/>
                          <pic:cNvPicPr>
                            <a:picLocks noChangeAspect="1"/>
                          </pic:cNvPicPr>
                        </pic:nvPicPr>
                        <pic:blipFill>
                          <a:blip r:embed="rId62"/>
                          <a:stretch>
                            <a:fillRect/>
                          </a:stretch>
                        </pic:blipFill>
                        <pic:spPr>
                          <a:xfrm>
                            <a:off x="0" y="0"/>
                            <a:ext cx="3358515" cy="2520315"/>
                          </a:xfrm>
                          <a:prstGeom prst="rect">
                            <a:avLst/>
                          </a:prstGeom>
                        </pic:spPr>
                      </pic:pic>
                    </a:graphicData>
                  </a:graphic>
                </wp:inline>
              </w:drawing>
            </w:r>
          </w:p>
        </w:tc>
      </w:tr>
      <w:tr w14:paraId="45C0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vAlign w:val="top"/>
          </w:tcPr>
          <w:p w14:paraId="7EE8FDDF">
            <w:pPr>
              <w:pStyle w:val="176"/>
              <w:numPr>
                <w:ilvl w:val="0"/>
                <w:numId w:val="0"/>
              </w:numPr>
              <w:spacing w:line="300" w:lineRule="auto"/>
              <w:ind w:left="0" w:leftChars="0" w:firstLine="0" w:firstLineChars="0"/>
              <w:jc w:val="center"/>
              <w:rPr>
                <w:rFonts w:hint="eastAsia"/>
                <w:color w:val="231F20"/>
                <w:spacing w:val="-1"/>
              </w:rPr>
            </w:pPr>
            <w:r>
              <w:rPr>
                <w:rFonts w:hint="eastAsia"/>
                <w:color w:val="231F20"/>
                <w:spacing w:val="-1"/>
              </w:rPr>
              <w:t>图</w:t>
            </w:r>
            <w:r>
              <w:rPr>
                <w:rFonts w:hint="eastAsia"/>
                <w:color w:val="231F20"/>
                <w:spacing w:val="-1"/>
                <w:lang w:val="en-US" w:eastAsia="zh-CN"/>
              </w:rPr>
              <w:t>31</w:t>
            </w:r>
            <w:r>
              <w:rPr>
                <w:rFonts w:hint="eastAsia"/>
                <w:color w:val="231F20"/>
                <w:spacing w:val="-1"/>
              </w:rPr>
              <w:t xml:space="preserve"> 牵引带的捆绑固定</w:t>
            </w:r>
          </w:p>
        </w:tc>
      </w:tr>
    </w:tbl>
    <w:p w14:paraId="0E3470BF">
      <w:pPr>
        <w:pStyle w:val="58"/>
        <w:ind w:firstLine="420"/>
      </w:pPr>
    </w:p>
    <w:tbl>
      <w:tblPr>
        <w:tblStyle w:val="29"/>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7"/>
        <w:gridCol w:w="4785"/>
      </w:tblGrid>
      <w:tr w14:paraId="2881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7" w:type="dxa"/>
            <w:tcBorders>
              <w:top w:val="nil"/>
              <w:left w:val="nil"/>
              <w:bottom w:val="nil"/>
              <w:right w:val="nil"/>
            </w:tcBorders>
          </w:tcPr>
          <w:p w14:paraId="33651AFD">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520315" cy="3239770"/>
                  <wp:effectExtent l="0" t="0" r="9525" b="6350"/>
                  <wp:docPr id="124" name="图片 124" descr="F:/图片66.png图片66"/>
                  <wp:cNvGraphicFramePr/>
                  <a:graphic xmlns:a="http://schemas.openxmlformats.org/drawingml/2006/main">
                    <a:graphicData uri="http://schemas.openxmlformats.org/drawingml/2006/picture">
                      <pic:pic xmlns:pic="http://schemas.openxmlformats.org/drawingml/2006/picture">
                        <pic:nvPicPr>
                          <pic:cNvPr id="124" name="图片 124" descr="F:/图片66.png图片66"/>
                          <pic:cNvPicPr/>
                        </pic:nvPicPr>
                        <pic:blipFill>
                          <a:blip r:embed="rId63"/>
                          <a:srcRect t="3175" b="3175"/>
                          <a:stretch>
                            <a:fillRect/>
                          </a:stretch>
                        </pic:blipFill>
                        <pic:spPr>
                          <a:xfrm>
                            <a:off x="0" y="0"/>
                            <a:ext cx="2520315" cy="3239770"/>
                          </a:xfrm>
                          <a:prstGeom prst="rect">
                            <a:avLst/>
                          </a:prstGeom>
                        </pic:spPr>
                      </pic:pic>
                    </a:graphicData>
                  </a:graphic>
                </wp:inline>
              </w:drawing>
            </w:r>
          </w:p>
        </w:tc>
        <w:tc>
          <w:tcPr>
            <w:tcW w:w="4785" w:type="dxa"/>
            <w:tcBorders>
              <w:top w:val="nil"/>
              <w:left w:val="nil"/>
              <w:bottom w:val="nil"/>
              <w:right w:val="nil"/>
            </w:tcBorders>
          </w:tcPr>
          <w:p w14:paraId="22402792">
            <w:pPr>
              <w:pStyle w:val="176"/>
              <w:numPr>
                <w:ilvl w:val="0"/>
                <w:numId w:val="0"/>
              </w:numPr>
              <w:spacing w:line="300" w:lineRule="auto"/>
              <w:jc w:val="center"/>
              <w:rPr>
                <w:rFonts w:hAnsi="宋体" w:cs="宋体"/>
                <w:szCs w:val="21"/>
              </w:rPr>
            </w:pPr>
            <w:r>
              <w:rPr>
                <w:rFonts w:hint="eastAsia" w:hAnsi="宋体" w:cs="宋体"/>
                <w:szCs w:val="21"/>
              </w:rPr>
              <w:drawing>
                <wp:inline distT="0" distB="0" distL="114300" distR="114300">
                  <wp:extent cx="2520315" cy="3239770"/>
                  <wp:effectExtent l="0" t="0" r="9525" b="6350"/>
                  <wp:docPr id="125" name="图片 125" descr="F:/图片67.png图片67"/>
                  <wp:cNvGraphicFramePr/>
                  <a:graphic xmlns:a="http://schemas.openxmlformats.org/drawingml/2006/main">
                    <a:graphicData uri="http://schemas.openxmlformats.org/drawingml/2006/picture">
                      <pic:pic xmlns:pic="http://schemas.openxmlformats.org/drawingml/2006/picture">
                        <pic:nvPicPr>
                          <pic:cNvPr id="125" name="图片 125" descr="F:/图片67.png图片67"/>
                          <pic:cNvPicPr/>
                        </pic:nvPicPr>
                        <pic:blipFill>
                          <a:blip r:embed="rId64"/>
                          <a:srcRect t="3131" b="3131"/>
                          <a:stretch>
                            <a:fillRect/>
                          </a:stretch>
                        </pic:blipFill>
                        <pic:spPr>
                          <a:xfrm>
                            <a:off x="0" y="0"/>
                            <a:ext cx="2520315" cy="3239770"/>
                          </a:xfrm>
                          <a:prstGeom prst="rect">
                            <a:avLst/>
                          </a:prstGeom>
                        </pic:spPr>
                      </pic:pic>
                    </a:graphicData>
                  </a:graphic>
                </wp:inline>
              </w:drawing>
            </w:r>
          </w:p>
        </w:tc>
      </w:tr>
      <w:tr w14:paraId="095B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7" w:type="dxa"/>
            <w:tcBorders>
              <w:top w:val="nil"/>
              <w:left w:val="nil"/>
              <w:bottom w:val="nil"/>
              <w:right w:val="nil"/>
            </w:tcBorders>
          </w:tcPr>
          <w:p w14:paraId="6C887DF9">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32</w:t>
            </w:r>
            <w:r>
              <w:rPr>
                <w:rFonts w:hint="eastAsia" w:hAnsi="宋体" w:cs="宋体"/>
                <w:szCs w:val="21"/>
              </w:rPr>
              <w:t xml:space="preserve"> 倒悬牵引治疗床升至60°示意图</w:t>
            </w:r>
          </w:p>
        </w:tc>
        <w:tc>
          <w:tcPr>
            <w:tcW w:w="4785" w:type="dxa"/>
            <w:tcBorders>
              <w:top w:val="nil"/>
              <w:left w:val="nil"/>
              <w:bottom w:val="nil"/>
              <w:right w:val="nil"/>
            </w:tcBorders>
          </w:tcPr>
          <w:p w14:paraId="75DBBF6E">
            <w:pPr>
              <w:pStyle w:val="176"/>
              <w:numPr>
                <w:ilvl w:val="0"/>
                <w:numId w:val="0"/>
              </w:numPr>
              <w:spacing w:line="300" w:lineRule="auto"/>
              <w:jc w:val="center"/>
              <w:rPr>
                <w:rFonts w:hAnsi="宋体" w:cs="宋体"/>
                <w:szCs w:val="21"/>
              </w:rPr>
            </w:pPr>
            <w:r>
              <w:rPr>
                <w:rFonts w:hint="eastAsia" w:hAnsi="宋体" w:cs="宋体"/>
                <w:szCs w:val="21"/>
              </w:rPr>
              <w:t>图</w:t>
            </w:r>
            <w:r>
              <w:rPr>
                <w:rFonts w:hint="eastAsia" w:hAnsi="宋体" w:cs="宋体"/>
                <w:szCs w:val="21"/>
                <w:lang w:val="en-US" w:eastAsia="zh-CN"/>
              </w:rPr>
              <w:t>33</w:t>
            </w:r>
            <w:r>
              <w:rPr>
                <w:rFonts w:hint="eastAsia" w:hAnsi="宋体" w:cs="宋体"/>
                <w:szCs w:val="21"/>
              </w:rPr>
              <w:t xml:space="preserve"> 倒悬牵引治疗床升至90°示意图</w:t>
            </w:r>
          </w:p>
        </w:tc>
      </w:tr>
    </w:tbl>
    <w:p w14:paraId="065FC33F">
      <w:pPr>
        <w:pStyle w:val="176"/>
        <w:numPr>
          <w:ilvl w:val="0"/>
          <w:numId w:val="34"/>
        </w:numPr>
        <w:spacing w:line="300" w:lineRule="auto"/>
      </w:pPr>
      <w:r>
        <w:rPr>
          <w:rFonts w:hint="eastAsia"/>
        </w:rPr>
        <w:t>放松手法</w:t>
      </w:r>
    </w:p>
    <w:p w14:paraId="7DC2E858">
      <w:pPr>
        <w:pStyle w:val="176"/>
        <w:numPr>
          <w:ilvl w:val="0"/>
          <w:numId w:val="0"/>
        </w:numPr>
        <w:spacing w:line="300" w:lineRule="auto"/>
        <w:ind w:left="425" w:firstLine="420" w:firstLineChars="200"/>
      </w:pPr>
      <w:r>
        <w:rPr>
          <w:rFonts w:hint="eastAsia"/>
        </w:rPr>
        <w:t>用滚、揉、推、按、震、点、一指禅推等手法放松，一般以患椎为中心，沿椎旁、棘突、横突附着的肌腱、肌肉及双下肢等疼痛敏感区进行放松，手法要柔和、轻松。取穴：委中、环跳、秩边、八髎、大肠俞、肾俞、阿  是穴。①循经点穴法：由腿到腰，从委中至肾俞，施以点按的手法，每个穴位 0.5-1 min。②分推挤压法：由腰部至臀部，由脊旁向两边施以长手推法及分推法， 然后挤压痛点。③滚揉松腰法：用滚法和推法放松腰臀部软组织。</w:t>
      </w:r>
    </w:p>
    <w:p w14:paraId="7F538404">
      <w:pPr>
        <w:pStyle w:val="176"/>
        <w:numPr>
          <w:ilvl w:val="0"/>
          <w:numId w:val="34"/>
        </w:numPr>
        <w:spacing w:line="300" w:lineRule="auto"/>
      </w:pPr>
      <w:r>
        <w:rPr>
          <w:rFonts w:hint="eastAsia"/>
        </w:rPr>
        <w:t>前后推正法</w:t>
      </w:r>
    </w:p>
    <w:p w14:paraId="3FE2068D">
      <w:pPr>
        <w:pStyle w:val="176"/>
        <w:numPr>
          <w:ilvl w:val="0"/>
          <w:numId w:val="0"/>
        </w:numPr>
        <w:spacing w:line="300" w:lineRule="auto"/>
        <w:ind w:left="425" w:firstLine="420" w:firstLineChars="200"/>
      </w:pPr>
      <w:r>
        <w:rPr>
          <w:rFonts w:hint="eastAsia"/>
        </w:rPr>
        <w:t>此法可用于腰椎前后滑脱式错位。腰椎后滑脱患者，术者将拇指按于后凸的棘突两侧作“定点”，手法由轻到重，幅度由小到大，慢慢还原。对于前滑脱患者，拇指按于滑脱的上一棘突或下一棘突两侧作“定点”，切勿直接按于滑脱的棘突两侧，以免加重病情。</w:t>
      </w:r>
      <w:r>
        <w:rPr>
          <w:rFonts w:hint="eastAsia"/>
          <w:lang w:eastAsia="zh-CN"/>
        </w:rPr>
        <w:t>（</w:t>
      </w:r>
      <w:r>
        <w:rPr>
          <w:rFonts w:hint="eastAsia"/>
          <w:lang w:val="en-US" w:eastAsia="zh-CN"/>
        </w:rPr>
        <w:t>见图34</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0A81F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570" w:type="dxa"/>
          </w:tcPr>
          <w:p w14:paraId="4A053EDC">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2520315" cy="3239770"/>
                  <wp:effectExtent l="0" t="0" r="9525" b="6350"/>
                  <wp:docPr id="127" name="图片 127" descr="F:/图片68.png图片68"/>
                  <wp:cNvGraphicFramePr/>
                  <a:graphic xmlns:a="http://schemas.openxmlformats.org/drawingml/2006/main">
                    <a:graphicData uri="http://schemas.openxmlformats.org/drawingml/2006/picture">
                      <pic:pic xmlns:pic="http://schemas.openxmlformats.org/drawingml/2006/picture">
                        <pic:nvPicPr>
                          <pic:cNvPr id="127" name="图片 127" descr="F:/图片68.png图片68"/>
                          <pic:cNvPicPr/>
                        </pic:nvPicPr>
                        <pic:blipFill>
                          <a:blip r:embed="rId65"/>
                          <a:srcRect t="5467" b="5467"/>
                          <a:stretch>
                            <a:fillRect/>
                          </a:stretch>
                        </pic:blipFill>
                        <pic:spPr>
                          <a:xfrm>
                            <a:off x="0" y="0"/>
                            <a:ext cx="2520315" cy="3239770"/>
                          </a:xfrm>
                          <a:prstGeom prst="rect">
                            <a:avLst/>
                          </a:prstGeom>
                        </pic:spPr>
                      </pic:pic>
                    </a:graphicData>
                  </a:graphic>
                </wp:inline>
              </w:drawing>
            </w:r>
          </w:p>
        </w:tc>
      </w:tr>
      <w:tr w14:paraId="1E878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183771D6">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34</w:t>
            </w:r>
            <w:r>
              <w:rPr>
                <w:rFonts w:hint="eastAsia"/>
                <w:color w:val="231F20"/>
                <w:spacing w:val="-1"/>
              </w:rPr>
              <w:t xml:space="preserve"> 前后推正法</w:t>
            </w:r>
          </w:p>
        </w:tc>
      </w:tr>
    </w:tbl>
    <w:p w14:paraId="4AC73BFB">
      <w:pPr>
        <w:pStyle w:val="176"/>
        <w:numPr>
          <w:ilvl w:val="0"/>
          <w:numId w:val="0"/>
        </w:numPr>
        <w:spacing w:line="300" w:lineRule="auto"/>
        <w:ind w:left="425"/>
      </w:pPr>
    </w:p>
    <w:p w14:paraId="0C601EA9">
      <w:pPr>
        <w:pStyle w:val="176"/>
        <w:numPr>
          <w:ilvl w:val="0"/>
          <w:numId w:val="34"/>
        </w:numPr>
        <w:spacing w:line="300" w:lineRule="auto"/>
      </w:pPr>
      <w:r>
        <w:rPr>
          <w:rFonts w:hint="eastAsia"/>
        </w:rPr>
        <w:t>左右摇摆法</w:t>
      </w:r>
    </w:p>
    <w:p w14:paraId="24AADB3E">
      <w:pPr>
        <w:pStyle w:val="176"/>
        <w:numPr>
          <w:ilvl w:val="0"/>
          <w:numId w:val="0"/>
        </w:numPr>
        <w:spacing w:line="300" w:lineRule="auto"/>
        <w:ind w:left="425" w:firstLine="420" w:firstLineChars="200"/>
      </w:pPr>
      <w:r>
        <w:rPr>
          <w:rFonts w:hint="eastAsia"/>
        </w:rPr>
        <w:t>此法可用于纠正腰椎侧弯。医者双手托住患者腰部，左右推动，幅度由小到大，由大转小，慢慢还原。</w:t>
      </w:r>
      <w:r>
        <w:rPr>
          <w:rFonts w:hint="eastAsia"/>
          <w:lang w:eastAsia="zh-CN"/>
        </w:rPr>
        <w:t>（</w:t>
      </w:r>
      <w:r>
        <w:rPr>
          <w:rFonts w:hint="eastAsia"/>
          <w:lang w:val="en-US" w:eastAsia="zh-CN"/>
        </w:rPr>
        <w:t>见图35</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29B6E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613B66A2">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2520315" cy="3239770"/>
                  <wp:effectExtent l="0" t="0" r="9525" b="6350"/>
                  <wp:docPr id="128" name="图片 128" descr="F:/图片69.png图片69"/>
                  <wp:cNvGraphicFramePr/>
                  <a:graphic xmlns:a="http://schemas.openxmlformats.org/drawingml/2006/main">
                    <a:graphicData uri="http://schemas.openxmlformats.org/drawingml/2006/picture">
                      <pic:pic xmlns:pic="http://schemas.openxmlformats.org/drawingml/2006/picture">
                        <pic:nvPicPr>
                          <pic:cNvPr id="128" name="图片 128" descr="F:/图片69.png图片69"/>
                          <pic:cNvPicPr/>
                        </pic:nvPicPr>
                        <pic:blipFill>
                          <a:blip r:embed="rId66"/>
                          <a:srcRect t="5467" b="5467"/>
                          <a:stretch>
                            <a:fillRect/>
                          </a:stretch>
                        </pic:blipFill>
                        <pic:spPr>
                          <a:xfrm>
                            <a:off x="0" y="0"/>
                            <a:ext cx="2520315" cy="3239770"/>
                          </a:xfrm>
                          <a:prstGeom prst="rect">
                            <a:avLst/>
                          </a:prstGeom>
                        </pic:spPr>
                      </pic:pic>
                    </a:graphicData>
                  </a:graphic>
                </wp:inline>
              </w:drawing>
            </w:r>
          </w:p>
        </w:tc>
      </w:tr>
      <w:tr w14:paraId="4FAC2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155AD7E9">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35</w:t>
            </w:r>
            <w:r>
              <w:rPr>
                <w:rFonts w:hint="eastAsia"/>
                <w:color w:val="231F20"/>
                <w:spacing w:val="-1"/>
              </w:rPr>
              <w:t xml:space="preserve"> 左右摇摆法</w:t>
            </w:r>
          </w:p>
        </w:tc>
      </w:tr>
    </w:tbl>
    <w:p w14:paraId="3D35D7E4">
      <w:pPr>
        <w:pStyle w:val="176"/>
        <w:numPr>
          <w:ilvl w:val="0"/>
          <w:numId w:val="0"/>
        </w:numPr>
        <w:spacing w:line="300" w:lineRule="auto"/>
        <w:ind w:left="425"/>
      </w:pPr>
    </w:p>
    <w:p w14:paraId="29B00FBE">
      <w:pPr>
        <w:pStyle w:val="176"/>
        <w:numPr>
          <w:ilvl w:val="0"/>
          <w:numId w:val="34"/>
        </w:numPr>
        <w:spacing w:line="300" w:lineRule="auto"/>
      </w:pPr>
      <w:r>
        <w:rPr>
          <w:rFonts w:hint="eastAsia"/>
        </w:rPr>
        <w:t>旋转扳腰法</w:t>
      </w:r>
    </w:p>
    <w:p w14:paraId="515E2756">
      <w:pPr>
        <w:pStyle w:val="176"/>
        <w:numPr>
          <w:ilvl w:val="0"/>
          <w:numId w:val="0"/>
        </w:numPr>
        <w:spacing w:line="300" w:lineRule="auto"/>
        <w:ind w:left="425" w:firstLine="420" w:firstLineChars="200"/>
      </w:pPr>
      <w:r>
        <w:rPr>
          <w:rFonts w:hint="eastAsia"/>
        </w:rPr>
        <w:t>此法可用于腰椎旋转式错位。助手固定腰于正位，术者环抱患者的肩背部，先后分两侧进行左右旋扳法，听到腰部“咔嗒”响声即可停止。</w:t>
      </w:r>
      <w:r>
        <w:rPr>
          <w:rFonts w:hint="eastAsia"/>
          <w:lang w:eastAsia="zh-CN"/>
        </w:rPr>
        <w:t>（</w:t>
      </w:r>
      <w:r>
        <w:rPr>
          <w:rFonts w:hint="eastAsia"/>
          <w:lang w:val="en-US" w:eastAsia="zh-CN"/>
        </w:rPr>
        <w:t>见图36</w:t>
      </w:r>
      <w:r>
        <w:rPr>
          <w:rFonts w:hint="eastAsia"/>
          <w:lang w:eastAsia="zh-CN"/>
        </w:rPr>
        <w:t>）</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0"/>
      </w:tblGrid>
      <w:tr w14:paraId="0BB13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297BE827">
            <w:pPr>
              <w:pStyle w:val="176"/>
              <w:numPr>
                <w:ilvl w:val="0"/>
                <w:numId w:val="0"/>
              </w:numPr>
              <w:spacing w:line="300" w:lineRule="auto"/>
              <w:jc w:val="center"/>
              <w:rPr>
                <w:color w:val="231F20"/>
                <w:spacing w:val="-1"/>
              </w:rPr>
            </w:pPr>
            <w:r>
              <w:rPr>
                <w:rFonts w:hint="eastAsia"/>
                <w:color w:val="231F20"/>
                <w:spacing w:val="-1"/>
              </w:rPr>
              <w:drawing>
                <wp:inline distT="0" distB="0" distL="114300" distR="114300">
                  <wp:extent cx="2520315" cy="3239770"/>
                  <wp:effectExtent l="0" t="0" r="9525" b="6350"/>
                  <wp:docPr id="129" name="图片 129" descr="F:/图片68.png图片68"/>
                  <wp:cNvGraphicFramePr/>
                  <a:graphic xmlns:a="http://schemas.openxmlformats.org/drawingml/2006/main">
                    <a:graphicData uri="http://schemas.openxmlformats.org/drawingml/2006/picture">
                      <pic:pic xmlns:pic="http://schemas.openxmlformats.org/drawingml/2006/picture">
                        <pic:nvPicPr>
                          <pic:cNvPr id="129" name="图片 129" descr="F:/图片68.png图片68"/>
                          <pic:cNvPicPr/>
                        </pic:nvPicPr>
                        <pic:blipFill>
                          <a:blip r:embed="rId65"/>
                          <a:srcRect t="5467" b="5467"/>
                          <a:stretch>
                            <a:fillRect/>
                          </a:stretch>
                        </pic:blipFill>
                        <pic:spPr>
                          <a:xfrm>
                            <a:off x="0" y="0"/>
                            <a:ext cx="2520315" cy="3239770"/>
                          </a:xfrm>
                          <a:prstGeom prst="rect">
                            <a:avLst/>
                          </a:prstGeom>
                        </pic:spPr>
                      </pic:pic>
                    </a:graphicData>
                  </a:graphic>
                </wp:inline>
              </w:drawing>
            </w:r>
          </w:p>
        </w:tc>
      </w:tr>
      <w:tr w14:paraId="4D425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70" w:type="dxa"/>
          </w:tcPr>
          <w:p w14:paraId="5E002516">
            <w:pPr>
              <w:pStyle w:val="176"/>
              <w:numPr>
                <w:ilvl w:val="0"/>
                <w:numId w:val="0"/>
              </w:numPr>
              <w:spacing w:line="300" w:lineRule="auto"/>
              <w:jc w:val="center"/>
              <w:rPr>
                <w:color w:val="231F20"/>
                <w:spacing w:val="-1"/>
              </w:rPr>
            </w:pPr>
            <w:r>
              <w:rPr>
                <w:rFonts w:hint="eastAsia"/>
                <w:color w:val="231F20"/>
                <w:spacing w:val="-1"/>
              </w:rPr>
              <w:t>图</w:t>
            </w:r>
            <w:r>
              <w:rPr>
                <w:rFonts w:hint="eastAsia"/>
                <w:color w:val="231F20"/>
                <w:spacing w:val="-1"/>
                <w:lang w:val="en-US" w:eastAsia="zh-CN"/>
              </w:rPr>
              <w:t>36</w:t>
            </w:r>
            <w:r>
              <w:rPr>
                <w:rFonts w:hint="eastAsia"/>
                <w:color w:val="231F20"/>
                <w:spacing w:val="-1"/>
              </w:rPr>
              <w:t xml:space="preserve"> 旋转扳腰法（旋转摇正法）</w:t>
            </w:r>
          </w:p>
        </w:tc>
      </w:tr>
    </w:tbl>
    <w:p w14:paraId="651128D5">
      <w:pPr>
        <w:pStyle w:val="176"/>
        <w:numPr>
          <w:ilvl w:val="0"/>
          <w:numId w:val="0"/>
        </w:numPr>
        <w:spacing w:line="300" w:lineRule="auto"/>
        <w:ind w:left="425"/>
      </w:pPr>
    </w:p>
    <w:p w14:paraId="6048FBAB">
      <w:pPr>
        <w:pStyle w:val="176"/>
        <w:numPr>
          <w:ilvl w:val="0"/>
          <w:numId w:val="34"/>
        </w:numPr>
        <w:spacing w:line="300" w:lineRule="auto"/>
      </w:pPr>
      <w:r>
        <w:rPr>
          <w:rFonts w:hint="eastAsia"/>
        </w:rPr>
        <w:t>整理手法</w:t>
      </w:r>
    </w:p>
    <w:p w14:paraId="40B9B72F">
      <w:pPr>
        <w:pStyle w:val="176"/>
        <w:numPr>
          <w:ilvl w:val="0"/>
          <w:numId w:val="0"/>
        </w:numPr>
        <w:spacing w:line="300" w:lineRule="auto"/>
        <w:ind w:left="425" w:firstLine="420" w:firstLineChars="200"/>
      </w:pPr>
      <w:r>
        <w:rPr>
          <w:rFonts w:hint="eastAsia"/>
        </w:rPr>
        <w:t>①拍打固定法：用空拳拍击腰骶部及腰部，反复多次，轻而深透。②推搓平整法：双手拇指由腰骶部至腰背部，进行分推手法，再分别在两侧 进行揉搓法。③揉捏顺筋法：施以揉捏的手法， 由大腿、臀部、腰骶部至腰背部 进行顺筋放松的手法，作为结束手法。</w:t>
      </w:r>
    </w:p>
    <w:p w14:paraId="3A62F3BF">
      <w:pPr>
        <w:pStyle w:val="58"/>
        <w:ind w:firstLine="420"/>
      </w:pPr>
    </w:p>
    <w:p w14:paraId="46247CC7">
      <w:pPr>
        <w:pStyle w:val="107"/>
        <w:spacing w:before="120" w:after="120" w:line="360" w:lineRule="auto"/>
      </w:pPr>
      <w:bookmarkStart w:id="99" w:name="_Toc6215"/>
      <w:bookmarkStart w:id="100" w:name="_Toc27531"/>
      <w:r>
        <w:rPr>
          <w:rFonts w:hint="eastAsia"/>
        </w:rPr>
        <w:t>第三步强壮手法</w:t>
      </w:r>
      <w:bookmarkEnd w:id="99"/>
      <w:bookmarkEnd w:id="100"/>
    </w:p>
    <w:p w14:paraId="4C43DBFA">
      <w:pPr>
        <w:pStyle w:val="58"/>
        <w:spacing w:line="300" w:lineRule="auto"/>
        <w:ind w:firstLine="420"/>
      </w:pPr>
      <w:r>
        <w:rPr>
          <w:rFonts w:hint="eastAsia"/>
        </w:rPr>
        <w:t>强壮手法包括弹拨法、拿捏法、拍打法和点按法等。拿捏法、弹拨法主要作用于正骨后患椎旁仍存在的条索状、结节状软组织硬结。拍打法作用于深部软组织，尤其是椎体前方的深肌及韧带筋膜等一般手法难以起作用的组织，且有一定的正骨作用。可根据部位和作用深度，选用拳叩、掌叩、 掌缘叩或指叩法，以深透、轻松为原则。点按法以经络腧穴理论为基础，可局部、痛点、循经取穴，可指揉、点压交替使用。</w:t>
      </w:r>
    </w:p>
    <w:p w14:paraId="00367767">
      <w:pPr>
        <w:pStyle w:val="107"/>
        <w:spacing w:before="120" w:after="120" w:line="360" w:lineRule="auto"/>
      </w:pPr>
      <w:bookmarkStart w:id="101" w:name="_Toc23019"/>
      <w:bookmarkStart w:id="102" w:name="_Toc27784"/>
      <w:r>
        <w:rPr>
          <w:rFonts w:hint="eastAsia"/>
        </w:rPr>
        <w:t>第四部痛区手法</w:t>
      </w:r>
      <w:bookmarkEnd w:id="101"/>
      <w:bookmarkEnd w:id="102"/>
    </w:p>
    <w:p w14:paraId="6F5022E5">
      <w:pPr>
        <w:pStyle w:val="58"/>
        <w:spacing w:line="300" w:lineRule="auto"/>
        <w:ind w:firstLine="420"/>
      </w:pPr>
      <w:r>
        <w:rPr>
          <w:rFonts w:hint="eastAsia"/>
        </w:rPr>
        <w:t>痛区手法主要采用传统的推拿手法，为正骨推拿的结束手法。痛区手法选择病症的表现部位，根据不同病症选用兴奋或镇静手法。痛、晕、胀、兴奋过度等病 症采用镇静手法，酸、麻、功能低下等病症采用兴奋手法。镇静手法包括抚摩、揉 捏、按压、震颤、叩打等。兴奋手法包括弹拨、拿捏、搓捻、捶拍、重力点穴等。</w:t>
      </w:r>
    </w:p>
    <w:p w14:paraId="39FC8CF7">
      <w:pPr>
        <w:pStyle w:val="106"/>
        <w:spacing w:before="240" w:after="240" w:line="360" w:lineRule="auto"/>
      </w:pPr>
      <w:bookmarkStart w:id="103" w:name="_Toc24455"/>
      <w:bookmarkStart w:id="104" w:name="_Toc32258"/>
      <w:r>
        <w:rPr>
          <w:rFonts w:hint="eastAsia"/>
        </w:rPr>
        <w:t>治疗疗程</w:t>
      </w:r>
      <w:bookmarkEnd w:id="103"/>
      <w:bookmarkEnd w:id="104"/>
    </w:p>
    <w:p w14:paraId="3D63DA97">
      <w:pPr>
        <w:pStyle w:val="58"/>
        <w:ind w:firstLine="420"/>
      </w:pPr>
      <w:r>
        <w:rPr>
          <w:rFonts w:hint="eastAsia"/>
        </w:rPr>
        <w:t>40 min/次，1 次/d，5 次/周，2 周为1个治疗周期</w:t>
      </w:r>
      <w:r>
        <w:rPr>
          <w:rFonts w:hint="eastAsia"/>
          <w:lang w:eastAsia="zh-CN"/>
        </w:rPr>
        <w:t>，</w:t>
      </w:r>
      <w:r>
        <w:rPr>
          <w:rFonts w:hint="eastAsia"/>
          <w:lang w:val="en-US" w:eastAsia="zh-CN"/>
        </w:rPr>
        <w:t>视疗效情况可适当调整治疗周期</w:t>
      </w:r>
      <w:r>
        <w:rPr>
          <w:rFonts w:hint="eastAsia"/>
        </w:rPr>
        <w:t>。</w:t>
      </w:r>
    </w:p>
    <w:p w14:paraId="06362483">
      <w:pPr>
        <w:pStyle w:val="106"/>
        <w:spacing w:before="240" w:after="240" w:line="360" w:lineRule="auto"/>
      </w:pPr>
      <w:bookmarkStart w:id="105" w:name="_Toc32592"/>
      <w:bookmarkStart w:id="106" w:name="_Toc28212"/>
      <w:r>
        <w:rPr>
          <w:rFonts w:hint="eastAsia"/>
        </w:rPr>
        <w:t>注意事项</w:t>
      </w:r>
      <w:bookmarkEnd w:id="105"/>
      <w:bookmarkEnd w:id="106"/>
    </w:p>
    <w:p w14:paraId="31AEE3B2">
      <w:pPr>
        <w:pStyle w:val="58"/>
        <w:spacing w:line="300" w:lineRule="auto"/>
        <w:ind w:firstLine="420"/>
        <w:rPr>
          <w:rFonts w:hint="eastAsia"/>
          <w:lang w:val="en-US" w:eastAsia="zh-CN"/>
        </w:rPr>
      </w:pPr>
      <w:r>
        <w:rPr>
          <w:rFonts w:hint="eastAsia"/>
        </w:rPr>
        <w:t>①局部皮肤破损应注意规避；②告知受术者应穿宽松衣服，去除随身携带硬物，放松心情；③局部青紫不必处理，可自行消退；若局部肿胀疼痛较剧，青紫面积大时，先冷敷止血，再做热敷或在局部轻轻揉按，以促使局部瘀血消散吸收；</w:t>
      </w:r>
      <w:r>
        <w:rPr>
          <w:rFonts w:hint="eastAsia" w:ascii="微软雅黑" w:hAnsi="微软雅黑" w:eastAsia="微软雅黑" w:cs="微软雅黑"/>
        </w:rPr>
        <w:t>④</w:t>
      </w:r>
      <w:r>
        <w:rPr>
          <w:rFonts w:hint="eastAsia"/>
        </w:rPr>
        <w:t>受术者在治疗过程中可能出现疼痛加重等情况，应根据受术者的实际情况采取减轻治疗强度，甚至停止治疗等针对性处理。</w:t>
      </w:r>
      <w:r>
        <w:rPr>
          <w:rFonts w:hint="eastAsia" w:ascii="微软雅黑" w:hAnsi="微软雅黑" w:eastAsia="微软雅黑" w:cs="微软雅黑"/>
        </w:rPr>
        <w:t>⑤</w:t>
      </w:r>
      <w:r>
        <w:rPr>
          <w:rFonts w:hint="eastAsia"/>
          <w:lang w:val="en-US" w:eastAsia="zh-CN"/>
        </w:rPr>
        <w:t>进行手法操作时，用力宁轻勿重，施以有限度的“闪动力”。</w:t>
      </w:r>
      <w:r>
        <w:rPr>
          <w:rFonts w:hint="eastAsia" w:ascii="微软雅黑" w:hAnsi="微软雅黑" w:eastAsia="微软雅黑" w:cs="微软雅黑"/>
          <w:lang w:val="en-US" w:eastAsia="zh-CN"/>
        </w:rPr>
        <w:t>⑥</w:t>
      </w:r>
      <w:r>
        <w:rPr>
          <w:rFonts w:hint="eastAsia"/>
          <w:lang w:val="en-US" w:eastAsia="zh-CN"/>
        </w:rPr>
        <w:t>进行倒悬牵引下正骨法前，牵引带捆绑固定时，需要绑至最大极限位避免手法操作时牵引带松动，同时，牵引带金属卡扣需旋至胫骨外侧肌肉丰厚处避免卡压胫骨。</w:t>
      </w:r>
    </w:p>
    <w:p w14:paraId="7F154777">
      <w:pPr>
        <w:pStyle w:val="106"/>
        <w:spacing w:before="240" w:after="240"/>
      </w:pPr>
      <w:bookmarkStart w:id="107" w:name="_Toc13961"/>
      <w:bookmarkStart w:id="108" w:name="_Toc18923"/>
      <w:r>
        <w:rPr>
          <w:rFonts w:hint="eastAsia"/>
        </w:rPr>
        <w:t>适应症</w:t>
      </w:r>
      <w:bookmarkEnd w:id="107"/>
      <w:bookmarkEnd w:id="108"/>
    </w:p>
    <w:p w14:paraId="55EA8FAC">
      <w:pPr>
        <w:pStyle w:val="167"/>
        <w:numPr>
          <w:ilvl w:val="3"/>
          <w:numId w:val="0"/>
        </w:numPr>
        <w:spacing w:line="300" w:lineRule="auto"/>
        <w:ind w:firstLine="420" w:firstLineChars="200"/>
      </w:pPr>
      <w:r>
        <w:rPr>
          <w:rFonts w:hint="eastAsia"/>
        </w:rPr>
        <w:t>适用于腰椎关节错位，椎体因滑移和横突位移而导致牵张、挤压、刺激椎旁神经节（干、支）而导致腰痛、腿痛及自主神经功能紊乱等病症。包括但不限于腰椎间盘突出症、腰椎椎管狭窄、</w:t>
      </w:r>
      <w:r>
        <w:rPr>
          <w:rFonts w:hint="eastAsia"/>
          <w:lang w:val="en-US" w:eastAsia="zh-CN"/>
        </w:rPr>
        <w:t>I-II度</w:t>
      </w:r>
      <w:r>
        <w:rPr>
          <w:rFonts w:hint="eastAsia"/>
        </w:rPr>
        <w:t>腰椎滑脱、肠痉挛、肠麻痹、习惯性便秘、肠功能紊乱、排尿障碍及痛经等。</w:t>
      </w:r>
    </w:p>
    <w:p w14:paraId="79F6D37E">
      <w:pPr>
        <w:pStyle w:val="106"/>
        <w:spacing w:before="240" w:after="240"/>
      </w:pPr>
      <w:bookmarkStart w:id="109" w:name="_Toc29316"/>
      <w:bookmarkStart w:id="110" w:name="_Toc9037"/>
      <w:r>
        <w:rPr>
          <w:rFonts w:hint="eastAsia"/>
        </w:rPr>
        <w:t>禁忌症</w:t>
      </w:r>
      <w:bookmarkEnd w:id="109"/>
      <w:bookmarkEnd w:id="110"/>
    </w:p>
    <w:p w14:paraId="60107D2B">
      <w:pPr>
        <w:pStyle w:val="107"/>
        <w:spacing w:before="120" w:after="120" w:line="360" w:lineRule="auto"/>
      </w:pPr>
      <w:bookmarkStart w:id="111" w:name="_Toc27934"/>
      <w:bookmarkStart w:id="112" w:name="_Toc15683"/>
      <w:r>
        <w:rPr>
          <w:rFonts w:hint="eastAsia"/>
        </w:rPr>
        <w:t>绝对禁忌症</w:t>
      </w:r>
      <w:bookmarkEnd w:id="111"/>
      <w:bookmarkEnd w:id="112"/>
    </w:p>
    <w:p w14:paraId="44FA04FD">
      <w:pPr>
        <w:pStyle w:val="58"/>
        <w:spacing w:line="300" w:lineRule="auto"/>
        <w:ind w:firstLine="420"/>
      </w:pPr>
      <w:r>
        <w:rPr>
          <w:rFonts w:hint="eastAsia"/>
        </w:rPr>
        <w:t>重度骨质疏松症、严重认知功能障碍、高血压危象和高血压急症、恶性肿瘤、急性传染病、开放性软组织损伤、血小板减少者、心功能 4 级等。</w:t>
      </w:r>
    </w:p>
    <w:p w14:paraId="57AD1E89">
      <w:pPr>
        <w:pStyle w:val="107"/>
        <w:spacing w:before="120" w:after="120" w:line="360" w:lineRule="auto"/>
      </w:pPr>
      <w:bookmarkStart w:id="113" w:name="_Toc15323"/>
      <w:bookmarkStart w:id="114" w:name="_Toc31233"/>
      <w:r>
        <w:rPr>
          <w:rFonts w:hint="eastAsia"/>
        </w:rPr>
        <w:t>相对禁忌症</w:t>
      </w:r>
      <w:bookmarkEnd w:id="113"/>
      <w:bookmarkEnd w:id="114"/>
    </w:p>
    <w:p w14:paraId="508DAFDF">
      <w:pPr>
        <w:pStyle w:val="58"/>
        <w:spacing w:line="300" w:lineRule="auto"/>
        <w:ind w:firstLine="420"/>
        <w:rPr>
          <w:rFonts w:hint="default"/>
          <w:lang w:val="en-US" w:eastAsia="zh-CN"/>
        </w:rPr>
      </w:pPr>
      <w:r>
        <w:rPr>
          <w:rFonts w:hint="eastAsia"/>
        </w:rPr>
        <w:t>年老体弱者</w:t>
      </w:r>
      <w:r>
        <w:rPr>
          <w:rFonts w:hint="eastAsia"/>
          <w:lang w:eastAsia="zh-CN"/>
        </w:rPr>
        <w:t>、</w:t>
      </w:r>
      <w:r>
        <w:rPr>
          <w:rFonts w:hint="eastAsia"/>
        </w:rPr>
        <w:t>妇女妊娠</w:t>
      </w:r>
      <w:r>
        <w:rPr>
          <w:rFonts w:hint="eastAsia"/>
          <w:lang w:eastAsia="zh-CN"/>
        </w:rPr>
        <w:t>、</w:t>
      </w:r>
      <w:r>
        <w:rPr>
          <w:rFonts w:hint="eastAsia"/>
        </w:rPr>
        <w:t>严重糖尿病有皮肤瘀斑者</w:t>
      </w:r>
      <w:r>
        <w:rPr>
          <w:rFonts w:hint="eastAsia"/>
          <w:lang w:eastAsia="zh-CN"/>
        </w:rPr>
        <w:t>、</w:t>
      </w:r>
      <w:r>
        <w:rPr>
          <w:rFonts w:hint="eastAsia"/>
        </w:rPr>
        <w:t>皮肤病患者</w:t>
      </w:r>
      <w:r>
        <w:rPr>
          <w:rFonts w:hint="eastAsia"/>
          <w:lang w:eastAsia="zh-CN"/>
        </w:rPr>
        <w:t>、</w:t>
      </w:r>
      <w:r>
        <w:rPr>
          <w:rFonts w:hint="eastAsia"/>
        </w:rPr>
        <w:t>脊柱手术后</w:t>
      </w:r>
      <w:r>
        <w:rPr>
          <w:rFonts w:hint="eastAsia"/>
          <w:lang w:eastAsia="zh-CN"/>
        </w:rPr>
        <w:t>、</w:t>
      </w:r>
      <w:r>
        <w:rPr>
          <w:rFonts w:hint="eastAsia"/>
          <w:lang w:val="en-US" w:eastAsia="zh-CN"/>
        </w:rPr>
        <w:t>III-IV度腰椎滑脱、</w:t>
      </w:r>
      <w:r>
        <w:rPr>
          <w:rFonts w:hint="eastAsia"/>
        </w:rPr>
        <w:t>先天畸形、椎弓裂等。</w:t>
      </w:r>
    </w:p>
    <w:p w14:paraId="1AA423F1">
      <w:pPr>
        <w:pStyle w:val="106"/>
        <w:spacing w:before="240" w:after="240" w:line="360" w:lineRule="auto"/>
      </w:pPr>
      <w:bookmarkStart w:id="115" w:name="_Toc7565"/>
      <w:bookmarkStart w:id="116" w:name="_Toc27926"/>
      <w:r>
        <w:rPr>
          <w:rFonts w:hint="eastAsia"/>
        </w:rPr>
        <w:t>相关风险的预评估及处置预案</w:t>
      </w:r>
      <w:bookmarkEnd w:id="115"/>
      <w:bookmarkEnd w:id="116"/>
    </w:p>
    <w:p w14:paraId="3A997A8A">
      <w:pPr>
        <w:pStyle w:val="107"/>
        <w:spacing w:before="120" w:after="120"/>
      </w:pPr>
      <w:bookmarkStart w:id="117" w:name="_Toc23485"/>
      <w:bookmarkStart w:id="118" w:name="_Toc31837"/>
      <w:r>
        <w:rPr>
          <w:rFonts w:hint="eastAsia"/>
        </w:rPr>
        <w:t>昏厥</w:t>
      </w:r>
      <w:bookmarkEnd w:id="117"/>
      <w:bookmarkEnd w:id="118"/>
    </w:p>
    <w:p w14:paraId="6979B0DA">
      <w:pPr>
        <w:pStyle w:val="58"/>
        <w:spacing w:line="300" w:lineRule="auto"/>
        <w:ind w:firstLine="420"/>
      </w:pPr>
      <w:r>
        <w:rPr>
          <w:rFonts w:hint="eastAsia"/>
        </w:rPr>
        <w:t>受试者可能在进行推拿治疗中出现昏厥现象，操作者应立即停止推拿操作，立即查清原因，做出及时、正确的处理。若因点穴或其他刺激而出现的晕厥现象，需将受试者采取平卧位，松开衣带，注意保暖，予以饮用温开水或葡萄糖液；若病情危重或出现休克者，应及时配合采用其他治疗或采用急救措施。</w:t>
      </w:r>
    </w:p>
    <w:p w14:paraId="237ADD4B">
      <w:pPr>
        <w:pStyle w:val="107"/>
        <w:spacing w:before="120" w:after="120"/>
      </w:pPr>
      <w:bookmarkStart w:id="119" w:name="_Toc24939"/>
      <w:bookmarkStart w:id="120" w:name="_Toc10153"/>
      <w:r>
        <w:rPr>
          <w:rFonts w:hint="eastAsia"/>
        </w:rPr>
        <w:t>急性疼痛</w:t>
      </w:r>
      <w:bookmarkEnd w:id="119"/>
      <w:bookmarkEnd w:id="120"/>
    </w:p>
    <w:p w14:paraId="3563A4BF">
      <w:pPr>
        <w:pStyle w:val="58"/>
        <w:spacing w:line="300" w:lineRule="auto"/>
        <w:ind w:firstLine="420"/>
      </w:pPr>
      <w:r>
        <w:rPr>
          <w:rFonts w:hint="eastAsia"/>
        </w:rPr>
        <w:t>有些受试者在进行初次推拿治疗时易出现腰部推拿操作处皮肤触痛,应及时告知患者，皮肤疼痛与手法过重或患者皮肤过于敏感有关，只需经过几天休息或热敷后，症状就会消除，避免产生不必要的医患纠纷。</w:t>
      </w:r>
    </w:p>
    <w:p w14:paraId="51FE6978">
      <w:pPr>
        <w:pStyle w:val="107"/>
        <w:spacing w:before="120" w:after="120"/>
      </w:pPr>
      <w:bookmarkStart w:id="121" w:name="_Toc11990"/>
      <w:bookmarkStart w:id="122" w:name="_Toc8784"/>
      <w:r>
        <w:rPr>
          <w:rFonts w:hint="eastAsia"/>
        </w:rPr>
        <w:t>伤筋或骨折</w:t>
      </w:r>
      <w:bookmarkEnd w:id="121"/>
      <w:bookmarkEnd w:id="122"/>
    </w:p>
    <w:p w14:paraId="6EB5EC51">
      <w:pPr>
        <w:pStyle w:val="58"/>
        <w:spacing w:line="300" w:lineRule="auto"/>
        <w:ind w:firstLine="420"/>
      </w:pPr>
      <w:r>
        <w:rPr>
          <w:rFonts w:hint="eastAsia"/>
        </w:rPr>
        <w:t>如若因为操作者操作不规范而出现的伤筋或骨折等严重不良事件应及时予以对症治疗，需及时请求专科医生进行会诊治疗。</w:t>
      </w:r>
    </w:p>
    <w:p w14:paraId="36F7B4B7">
      <w:pPr>
        <w:pStyle w:val="58"/>
        <w:ind w:firstLine="420"/>
      </w:pPr>
    </w:p>
    <w:p w14:paraId="56BF1B76">
      <w:pPr>
        <w:pStyle w:val="58"/>
        <w:ind w:firstLine="420"/>
      </w:pPr>
    </w:p>
    <w:p w14:paraId="6EFD820D">
      <w:pPr>
        <w:pStyle w:val="58"/>
        <w:ind w:left="0" w:leftChars="0" w:firstLine="0" w:firstLineChars="0"/>
        <w:sectPr>
          <w:pgSz w:w="11906" w:h="16838"/>
          <w:pgMar w:top="2127" w:right="1134" w:bottom="1134" w:left="1134" w:header="1418" w:footer="1134" w:gutter="284"/>
          <w:pgNumType w:start="1"/>
          <w:cols w:space="425" w:num="1"/>
          <w:formProt w:val="0"/>
          <w:docGrid w:linePitch="312" w:charSpace="0"/>
        </w:sectPr>
      </w:pPr>
    </w:p>
    <w:bookmarkEnd w:id="24"/>
    <w:p w14:paraId="6F3E936F">
      <w:pPr>
        <w:pStyle w:val="200"/>
      </w:pPr>
      <w:bookmarkStart w:id="123" w:name="BookMark5"/>
    </w:p>
    <w:p w14:paraId="06618FD5">
      <w:pPr>
        <w:pStyle w:val="201"/>
      </w:pPr>
    </w:p>
    <w:p w14:paraId="0BE4F6B0">
      <w:pPr>
        <w:pStyle w:val="78"/>
        <w:spacing w:before="60" w:after="120"/>
      </w:pPr>
      <w:bookmarkStart w:id="124" w:name="_Toc3490"/>
      <w:bookmarkStart w:id="125" w:name="_Toc25829"/>
      <w:r>
        <w:br w:type="textWrapping"/>
      </w:r>
      <w:bookmarkStart w:id="126" w:name="_Toc91516509"/>
      <w:r>
        <w:rPr>
          <w:rFonts w:hint="eastAsia"/>
        </w:rPr>
        <w:t>（资料性）</w:t>
      </w:r>
      <w:bookmarkEnd w:id="124"/>
      <w:bookmarkEnd w:id="125"/>
      <w:bookmarkEnd w:id="126"/>
    </w:p>
    <w:p w14:paraId="7837F23B">
      <w:pPr>
        <w:pStyle w:val="230"/>
        <w:jc w:val="center"/>
        <w:rPr>
          <w:rFonts w:ascii="Calibri" w:cs="Times New Roman"/>
          <w:b/>
          <w:bCs/>
          <w:color w:val="auto"/>
          <w:kern w:val="2"/>
          <w:sz w:val="30"/>
          <w:szCs w:val="22"/>
        </w:rPr>
      </w:pPr>
      <w:r>
        <w:rPr>
          <w:rFonts w:hint="eastAsia" w:ascii="Calibri" w:cs="Times New Roman"/>
          <w:b/>
          <w:bCs/>
          <w:color w:val="auto"/>
          <w:kern w:val="2"/>
          <w:sz w:val="30"/>
          <w:szCs w:val="22"/>
        </w:rPr>
        <w:t>视觉模拟法疼痛评分（VAS）</w:t>
      </w:r>
    </w:p>
    <w:p w14:paraId="2085CD6B">
      <w:pPr>
        <w:ind w:firstLine="6160" w:firstLineChars="2200"/>
        <w:jc w:val="left"/>
        <w:rPr>
          <w:sz w:val="28"/>
          <w:u w:val="single"/>
        </w:rPr>
      </w:pPr>
      <w:r>
        <w:rPr>
          <w:rFonts w:hint="eastAsia"/>
          <w:sz w:val="28"/>
        </w:rPr>
        <w:t xml:space="preserve">  分数：</w:t>
      </w:r>
      <w:r>
        <w:rPr>
          <w:rFonts w:hint="eastAsia"/>
          <w:sz w:val="28"/>
          <w:u w:val="single"/>
        </w:rPr>
        <w:t xml:space="preserve">          </w:t>
      </w:r>
      <w:r>
        <w:rPr>
          <w:rFonts w:hint="eastAsia"/>
          <w:sz w:val="28"/>
        </w:rPr>
        <w:t xml:space="preserve">     </w:t>
      </w:r>
    </w:p>
    <w:p w14:paraId="7F3898CD"/>
    <w:p w14:paraId="30C73E35">
      <w:pPr>
        <w:adjustRightInd/>
        <w:spacing w:line="300" w:lineRule="auto"/>
        <w:ind w:firstLine="480" w:firstLineChars="200"/>
        <w:jc w:val="left"/>
        <w:rPr>
          <w:rFonts w:ascii="Times New Roman" w:hAnsi="Times New Roman"/>
          <w:sz w:val="24"/>
        </w:rPr>
      </w:pPr>
      <w:r>
        <w:rPr>
          <w:rFonts w:hint="eastAsia" w:ascii="Times New Roman" w:hAnsi="Times New Roman"/>
          <w:sz w:val="24"/>
        </w:rPr>
        <w:t>无痛/剧痛之间划一条长线(一般长为 100mm),线上不作标记、数字或词语,以免影响评估结果。一端代表无痛，另一端代表剧痛,让患者在线上最能反应自己疼痛程度之处划一交叉线。</w:t>
      </w:r>
    </w:p>
    <w:p w14:paraId="3F8F080D">
      <w:pPr>
        <w:adjustRightInd/>
        <w:spacing w:line="300" w:lineRule="auto"/>
        <w:ind w:firstLine="480" w:firstLineChars="200"/>
        <w:jc w:val="left"/>
        <w:rPr>
          <w:rFonts w:ascii="Times New Roman" w:hAnsi="Times New Roman"/>
          <w:sz w:val="24"/>
        </w:rPr>
      </w:pPr>
    </w:p>
    <w:p w14:paraId="05495988">
      <w:r>
        <w:drawing>
          <wp:anchor distT="0" distB="0" distL="114300" distR="114300" simplePos="0" relativeHeight="251671552" behindDoc="0" locked="0" layoutInCell="1" allowOverlap="1">
            <wp:simplePos x="0" y="0"/>
            <wp:positionH relativeFrom="column">
              <wp:posOffset>1069975</wp:posOffset>
            </wp:positionH>
            <wp:positionV relativeFrom="paragraph">
              <wp:posOffset>69850</wp:posOffset>
            </wp:positionV>
            <wp:extent cx="4122420" cy="745490"/>
            <wp:effectExtent l="0" t="0" r="11430" b="16510"/>
            <wp:wrapTopAndBottom/>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
                    <pic:cNvPicPr>
                      <a:picLocks noChangeAspect="1"/>
                    </pic:cNvPicPr>
                  </pic:nvPicPr>
                  <pic:blipFill>
                    <a:blip r:embed="rId67"/>
                    <a:stretch>
                      <a:fillRect/>
                    </a:stretch>
                  </pic:blipFill>
                  <pic:spPr>
                    <a:xfrm>
                      <a:off x="0" y="0"/>
                      <a:ext cx="4122420" cy="745490"/>
                    </a:xfrm>
                    <a:prstGeom prst="rect">
                      <a:avLst/>
                    </a:prstGeom>
                    <a:noFill/>
                    <a:ln>
                      <a:noFill/>
                    </a:ln>
                  </pic:spPr>
                </pic:pic>
              </a:graphicData>
            </a:graphic>
          </wp:anchor>
        </w:drawing>
      </w:r>
    </w:p>
    <w:p w14:paraId="56605AF8">
      <w:pPr>
        <w:adjustRightInd/>
        <w:spacing w:line="300" w:lineRule="auto"/>
        <w:ind w:firstLine="480" w:firstLineChars="200"/>
        <w:jc w:val="left"/>
        <w:rPr>
          <w:rFonts w:ascii="Times New Roman" w:hAnsi="Times New Roman"/>
          <w:sz w:val="24"/>
        </w:rPr>
      </w:pPr>
      <w:r>
        <w:rPr>
          <w:rFonts w:hint="eastAsia" w:ascii="Times New Roman" w:hAnsi="Times New Roman"/>
          <w:sz w:val="24"/>
        </w:rPr>
        <w:t>VAS 疼痛评分标准(0分-10分)</w:t>
      </w:r>
    </w:p>
    <w:p w14:paraId="06361ED7">
      <w:pPr>
        <w:adjustRightInd/>
        <w:spacing w:line="300" w:lineRule="auto"/>
        <w:ind w:firstLine="480" w:firstLineChars="200"/>
        <w:jc w:val="left"/>
        <w:rPr>
          <w:rFonts w:ascii="Times New Roman" w:hAnsi="Times New Roman"/>
          <w:sz w:val="24"/>
        </w:rPr>
      </w:pPr>
      <w:r>
        <w:rPr>
          <w:rFonts w:hint="eastAsia" w:ascii="Times New Roman" w:hAnsi="Times New Roman"/>
          <w:sz w:val="24"/>
        </w:rPr>
        <w:t>0分:无痛;</w:t>
      </w:r>
    </w:p>
    <w:p w14:paraId="70297AF1">
      <w:pPr>
        <w:adjustRightInd/>
        <w:spacing w:line="300" w:lineRule="auto"/>
        <w:ind w:firstLine="480" w:firstLineChars="200"/>
        <w:jc w:val="left"/>
        <w:rPr>
          <w:rFonts w:ascii="Times New Roman" w:hAnsi="Times New Roman"/>
          <w:sz w:val="24"/>
        </w:rPr>
      </w:pPr>
      <w:r>
        <w:rPr>
          <w:rFonts w:hint="eastAsia" w:ascii="Times New Roman" w:hAnsi="Times New Roman"/>
          <w:sz w:val="24"/>
          <w:lang w:val="en-US" w:eastAsia="zh-CN"/>
        </w:rPr>
        <w:t>1-4</w:t>
      </w:r>
      <w:r>
        <w:rPr>
          <w:rFonts w:hint="eastAsia" w:ascii="Times New Roman" w:hAnsi="Times New Roman"/>
          <w:sz w:val="24"/>
        </w:rPr>
        <w:t>分:有轻微的疼痛，能忍受:</w:t>
      </w:r>
    </w:p>
    <w:p w14:paraId="03B9EA59">
      <w:pPr>
        <w:adjustRightInd/>
        <w:spacing w:line="300" w:lineRule="auto"/>
        <w:ind w:firstLine="480" w:firstLineChars="200"/>
        <w:jc w:val="left"/>
        <w:rPr>
          <w:rFonts w:ascii="Times New Roman" w:hAnsi="Times New Roman"/>
          <w:sz w:val="24"/>
        </w:rPr>
      </w:pPr>
      <w:r>
        <w:rPr>
          <w:rFonts w:hint="eastAsia" w:ascii="Times New Roman" w:hAnsi="Times New Roman"/>
          <w:sz w:val="24"/>
          <w:lang w:val="en-US" w:eastAsia="zh-CN"/>
        </w:rPr>
        <w:t>5-7</w:t>
      </w:r>
      <w:r>
        <w:rPr>
          <w:rFonts w:hint="eastAsia" w:ascii="Times New Roman" w:hAnsi="Times New Roman"/>
          <w:sz w:val="24"/>
        </w:rPr>
        <w:t>分:患者疼痛并影响睡眠,尚能忍受;</w:t>
      </w:r>
    </w:p>
    <w:p w14:paraId="495E35E6">
      <w:pPr>
        <w:adjustRightInd/>
        <w:spacing w:line="300" w:lineRule="auto"/>
        <w:ind w:firstLine="480" w:firstLineChars="200"/>
        <w:jc w:val="left"/>
        <w:rPr>
          <w:rFonts w:ascii="Times New Roman" w:hAnsi="Times New Roman"/>
          <w:sz w:val="24"/>
        </w:rPr>
      </w:pPr>
      <w:r>
        <w:rPr>
          <w:rFonts w:hint="eastAsia" w:ascii="Times New Roman" w:hAnsi="Times New Roman"/>
          <w:sz w:val="24"/>
          <w:lang w:val="en-US" w:eastAsia="zh-CN"/>
        </w:rPr>
        <w:t>8-10</w:t>
      </w:r>
      <w:r>
        <w:rPr>
          <w:rFonts w:hint="eastAsia" w:ascii="Times New Roman" w:hAnsi="Times New Roman"/>
          <w:sz w:val="24"/>
        </w:rPr>
        <w:t>分:患者有渐强烈的疼痛,疼痛难忍，影响食欲,影响睡眠。</w:t>
      </w:r>
    </w:p>
    <w:p w14:paraId="377BA80D">
      <w:pPr>
        <w:pStyle w:val="58"/>
        <w:ind w:firstLine="420"/>
      </w:pPr>
    </w:p>
    <w:p w14:paraId="3F42E619">
      <w:pPr>
        <w:pStyle w:val="58"/>
        <w:ind w:firstLine="420"/>
      </w:pPr>
    </w:p>
    <w:p w14:paraId="04A7595A">
      <w:pPr>
        <w:pStyle w:val="58"/>
        <w:ind w:firstLine="420"/>
      </w:pPr>
    </w:p>
    <w:p w14:paraId="58882D90">
      <w:pPr>
        <w:pStyle w:val="58"/>
        <w:ind w:firstLine="420"/>
      </w:pPr>
    </w:p>
    <w:p w14:paraId="51FF5ABF">
      <w:pPr>
        <w:pStyle w:val="58"/>
        <w:ind w:firstLine="420"/>
      </w:pPr>
    </w:p>
    <w:p w14:paraId="193164E3">
      <w:pPr>
        <w:pStyle w:val="58"/>
        <w:ind w:firstLine="420"/>
      </w:pPr>
    </w:p>
    <w:p w14:paraId="1F54D481">
      <w:pPr>
        <w:pStyle w:val="58"/>
        <w:ind w:firstLine="420"/>
        <w:sectPr>
          <w:pgSz w:w="11906" w:h="16838"/>
          <w:pgMar w:top="2410" w:right="1134" w:bottom="1134" w:left="1134" w:header="1418" w:footer="1134" w:gutter="284"/>
          <w:cols w:space="425" w:num="1"/>
          <w:formProt w:val="0"/>
          <w:docGrid w:linePitch="312" w:charSpace="0"/>
        </w:sectPr>
      </w:pPr>
    </w:p>
    <w:p w14:paraId="18DC6F98">
      <w:pPr>
        <w:pStyle w:val="200"/>
      </w:pPr>
    </w:p>
    <w:p w14:paraId="6287986F">
      <w:pPr>
        <w:pStyle w:val="201"/>
      </w:pPr>
    </w:p>
    <w:p w14:paraId="7DD4C7BB">
      <w:pPr>
        <w:pStyle w:val="78"/>
        <w:spacing w:before="60" w:after="120"/>
      </w:pPr>
      <w:bookmarkStart w:id="127" w:name="_Toc13509"/>
      <w:bookmarkStart w:id="128" w:name="_Toc19702"/>
      <w:r>
        <w:br w:type="textWrapping"/>
      </w:r>
      <w:bookmarkStart w:id="129" w:name="_Toc91516510"/>
      <w:r>
        <w:rPr>
          <w:rFonts w:hint="eastAsia"/>
        </w:rPr>
        <w:t>（资料性）</w:t>
      </w:r>
      <w:r>
        <w:br w:type="textWrapping"/>
      </w:r>
      <w:bookmarkEnd w:id="129"/>
      <w:r>
        <w:rPr>
          <w:rFonts w:hint="eastAsia" w:ascii="Calibri" w:hAnsi="Calibri" w:eastAsia="宋体"/>
          <w:b/>
          <w:bCs/>
          <w:kern w:val="2"/>
          <w:sz w:val="30"/>
          <w:szCs w:val="22"/>
        </w:rPr>
        <w:t>JOA评分量表</w:t>
      </w:r>
      <w:bookmarkEnd w:id="127"/>
      <w:bookmarkEnd w:id="128"/>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01"/>
        <w:gridCol w:w="4383"/>
        <w:gridCol w:w="391"/>
        <w:gridCol w:w="1573"/>
      </w:tblGrid>
      <w:tr w14:paraId="2BE9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414" w:type="dxa"/>
            <w:gridSpan w:val="5"/>
          </w:tcPr>
          <w:p w14:paraId="3EFB1733">
            <w:pPr>
              <w:ind w:firstLine="140" w:firstLineChars="50"/>
              <w:jc w:val="center"/>
              <w:rPr>
                <w:rFonts w:ascii="宋体" w:hAnsi="宋体" w:cs="宋体"/>
                <w:sz w:val="28"/>
                <w:szCs w:val="28"/>
              </w:rPr>
            </w:pPr>
            <w:r>
              <w:rPr>
                <w:rFonts w:hint="eastAsia" w:ascii="宋体" w:hAnsi="宋体" w:cs="宋体"/>
                <w:sz w:val="28"/>
                <w:szCs w:val="28"/>
              </w:rPr>
              <w:t>腰椎JOA评分</w:t>
            </w:r>
          </w:p>
        </w:tc>
      </w:tr>
      <w:tr w14:paraId="7177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50" w:type="dxa"/>
            <w:gridSpan w:val="3"/>
          </w:tcPr>
          <w:p w14:paraId="37905845">
            <w:pPr>
              <w:rPr>
                <w:rFonts w:ascii="宋体" w:hAnsi="宋体" w:cs="宋体"/>
              </w:rPr>
            </w:pPr>
            <w:r>
              <w:rPr>
                <w:rFonts w:hint="eastAsia" w:ascii="宋体" w:hAnsi="宋体" w:cs="宋体"/>
              </w:rPr>
              <w:t>1．主观症状（9分）</w:t>
            </w:r>
          </w:p>
        </w:tc>
        <w:tc>
          <w:tcPr>
            <w:tcW w:w="1964" w:type="dxa"/>
            <w:gridSpan w:val="2"/>
          </w:tcPr>
          <w:p w14:paraId="6F109492">
            <w:pPr>
              <w:rPr>
                <w:rFonts w:ascii="宋体" w:hAnsi="宋体" w:cs="宋体"/>
              </w:rPr>
            </w:pPr>
            <w:r>
              <w:rPr>
                <w:rFonts w:hint="eastAsia" w:ascii="宋体" w:hAnsi="宋体" w:cs="宋体"/>
              </w:rPr>
              <w:t>评分</w:t>
            </w:r>
          </w:p>
        </w:tc>
      </w:tr>
      <w:tr w14:paraId="728F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66" w:type="dxa"/>
          </w:tcPr>
          <w:p w14:paraId="16E6FF4B">
            <w:pPr>
              <w:rPr>
                <w:rFonts w:ascii="宋体" w:hAnsi="宋体" w:cs="宋体"/>
              </w:rPr>
            </w:pPr>
          </w:p>
        </w:tc>
        <w:tc>
          <w:tcPr>
            <w:tcW w:w="5384" w:type="dxa"/>
            <w:gridSpan w:val="2"/>
          </w:tcPr>
          <w:p w14:paraId="59268FA0">
            <w:pPr>
              <w:rPr>
                <w:rFonts w:hint="eastAsia" w:ascii="宋体" w:hAnsi="宋体" w:eastAsia="宋体" w:cs="宋体"/>
                <w:lang w:val="en-US" w:eastAsia="zh-CN"/>
              </w:rPr>
            </w:pPr>
            <w:r>
              <w:rPr>
                <w:rFonts w:hint="eastAsia" w:ascii="宋体" w:hAnsi="宋体" w:cs="宋体"/>
              </w:rPr>
              <w:t>A.下</w:t>
            </w:r>
            <w:r>
              <w:rPr>
                <w:rFonts w:hint="eastAsia" w:ascii="宋体" w:hAnsi="宋体" w:cs="宋体"/>
                <w:lang w:val="en-US" w:eastAsia="zh-CN"/>
              </w:rPr>
              <w:t>腰痛</w:t>
            </w:r>
          </w:p>
        </w:tc>
        <w:tc>
          <w:tcPr>
            <w:tcW w:w="1964" w:type="dxa"/>
            <w:gridSpan w:val="2"/>
          </w:tcPr>
          <w:p w14:paraId="25013C5A">
            <w:pPr>
              <w:rPr>
                <w:rFonts w:ascii="宋体" w:hAnsi="宋体" w:cs="宋体"/>
              </w:rPr>
            </w:pPr>
          </w:p>
        </w:tc>
      </w:tr>
      <w:tr w14:paraId="527C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66" w:type="dxa"/>
          </w:tcPr>
          <w:p w14:paraId="46A7E980">
            <w:pPr>
              <w:rPr>
                <w:rFonts w:ascii="宋体" w:hAnsi="宋体" w:cs="宋体"/>
              </w:rPr>
            </w:pPr>
          </w:p>
        </w:tc>
        <w:tc>
          <w:tcPr>
            <w:tcW w:w="1001" w:type="dxa"/>
          </w:tcPr>
          <w:p w14:paraId="0D355ABA">
            <w:pPr>
              <w:rPr>
                <w:rFonts w:ascii="宋体" w:hAnsi="宋体" w:cs="宋体"/>
              </w:rPr>
            </w:pPr>
          </w:p>
        </w:tc>
        <w:tc>
          <w:tcPr>
            <w:tcW w:w="4383" w:type="dxa"/>
          </w:tcPr>
          <w:p w14:paraId="0BC90160">
            <w:pPr>
              <w:rPr>
                <w:rFonts w:ascii="宋体" w:hAnsi="宋体" w:cs="宋体"/>
              </w:rPr>
            </w:pPr>
            <w:r>
              <w:rPr>
                <w:rFonts w:hint="eastAsia" w:ascii="宋体" w:hAnsi="宋体" w:cs="宋体"/>
              </w:rPr>
              <w:t>a无任何</w:t>
            </w:r>
          </w:p>
          <w:p w14:paraId="7BF1A649">
            <w:pPr>
              <w:rPr>
                <w:rFonts w:ascii="宋体" w:hAnsi="宋体" w:cs="宋体"/>
              </w:rPr>
            </w:pPr>
            <w:r>
              <w:rPr>
                <w:rFonts w:hint="eastAsia" w:ascii="宋体" w:hAnsi="宋体" w:cs="宋体"/>
              </w:rPr>
              <w:t>b偶尔轻</w:t>
            </w:r>
          </w:p>
          <w:p w14:paraId="5E64FC2F">
            <w:pPr>
              <w:rPr>
                <w:rFonts w:ascii="宋体" w:hAnsi="宋体" w:cs="宋体"/>
              </w:rPr>
            </w:pPr>
            <w:r>
              <w:rPr>
                <w:rFonts w:hint="eastAsia" w:ascii="宋体" w:hAnsi="宋体" w:cs="宋体"/>
              </w:rPr>
              <w:t>c频发的轻或偶发严重</w:t>
            </w:r>
          </w:p>
          <w:p w14:paraId="68BAE297">
            <w:pPr>
              <w:rPr>
                <w:rFonts w:ascii="宋体" w:hAnsi="宋体" w:cs="宋体"/>
              </w:rPr>
            </w:pPr>
            <w:r>
              <w:rPr>
                <w:rFonts w:hint="eastAsia" w:ascii="宋体" w:hAnsi="宋体" w:cs="宋体"/>
              </w:rPr>
              <w:t>d频发或持续的严重</w:t>
            </w:r>
          </w:p>
        </w:tc>
        <w:tc>
          <w:tcPr>
            <w:tcW w:w="391" w:type="dxa"/>
          </w:tcPr>
          <w:p w14:paraId="345B31C8">
            <w:pPr>
              <w:rPr>
                <w:rFonts w:ascii="宋体" w:hAnsi="宋体" w:cs="宋体"/>
              </w:rPr>
            </w:pPr>
            <w:r>
              <w:rPr>
                <w:rFonts w:hint="eastAsia" w:ascii="宋体" w:hAnsi="宋体" w:cs="宋体"/>
              </w:rPr>
              <w:t>3</w:t>
            </w:r>
          </w:p>
          <w:p w14:paraId="583488DE">
            <w:pPr>
              <w:rPr>
                <w:rFonts w:ascii="宋体" w:hAnsi="宋体" w:cs="宋体"/>
              </w:rPr>
            </w:pPr>
            <w:r>
              <w:rPr>
                <w:rFonts w:hint="eastAsia" w:ascii="宋体" w:hAnsi="宋体" w:cs="宋体"/>
              </w:rPr>
              <w:t>2</w:t>
            </w:r>
          </w:p>
          <w:p w14:paraId="1C3FBE8A">
            <w:pPr>
              <w:rPr>
                <w:rFonts w:ascii="宋体" w:hAnsi="宋体" w:cs="宋体"/>
              </w:rPr>
            </w:pPr>
            <w:r>
              <w:rPr>
                <w:rFonts w:hint="eastAsia" w:ascii="宋体" w:hAnsi="宋体" w:cs="宋体"/>
              </w:rPr>
              <w:t>1</w:t>
            </w:r>
          </w:p>
          <w:p w14:paraId="78FEE093">
            <w:pPr>
              <w:rPr>
                <w:rFonts w:ascii="宋体" w:hAnsi="宋体" w:cs="宋体"/>
              </w:rPr>
            </w:pPr>
            <w:r>
              <w:rPr>
                <w:rFonts w:hint="eastAsia" w:ascii="宋体" w:hAnsi="宋体" w:cs="宋体"/>
              </w:rPr>
              <w:t>0</w:t>
            </w:r>
          </w:p>
        </w:tc>
        <w:tc>
          <w:tcPr>
            <w:tcW w:w="1573" w:type="dxa"/>
          </w:tcPr>
          <w:p w14:paraId="0DBC4496">
            <w:pPr>
              <w:widowControl/>
              <w:jc w:val="left"/>
              <w:rPr>
                <w:rFonts w:ascii="宋体" w:hAnsi="宋体" w:cs="宋体"/>
              </w:rPr>
            </w:pPr>
          </w:p>
          <w:p w14:paraId="5F091B7F">
            <w:pPr>
              <w:widowControl/>
              <w:jc w:val="left"/>
              <w:rPr>
                <w:rFonts w:ascii="宋体" w:hAnsi="宋体" w:cs="宋体"/>
              </w:rPr>
            </w:pPr>
          </w:p>
          <w:p w14:paraId="11CDDB44">
            <w:pPr>
              <w:widowControl/>
              <w:jc w:val="left"/>
              <w:rPr>
                <w:rFonts w:ascii="宋体" w:hAnsi="宋体" w:cs="宋体"/>
              </w:rPr>
            </w:pPr>
          </w:p>
          <w:p w14:paraId="7C681153">
            <w:pPr>
              <w:rPr>
                <w:rFonts w:ascii="宋体" w:hAnsi="宋体" w:cs="宋体"/>
              </w:rPr>
            </w:pPr>
          </w:p>
        </w:tc>
      </w:tr>
      <w:tr w14:paraId="75CE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6" w:type="dxa"/>
          </w:tcPr>
          <w:p w14:paraId="2B9CB44B">
            <w:pPr>
              <w:rPr>
                <w:rFonts w:ascii="宋体" w:hAnsi="宋体" w:cs="宋体"/>
              </w:rPr>
            </w:pPr>
          </w:p>
        </w:tc>
        <w:tc>
          <w:tcPr>
            <w:tcW w:w="5384" w:type="dxa"/>
            <w:gridSpan w:val="2"/>
          </w:tcPr>
          <w:p w14:paraId="13621091">
            <w:pPr>
              <w:rPr>
                <w:rFonts w:ascii="宋体" w:hAnsi="宋体" w:cs="宋体"/>
              </w:rPr>
            </w:pPr>
            <w:r>
              <w:rPr>
                <w:rFonts w:hint="eastAsia" w:ascii="宋体" w:hAnsi="宋体" w:cs="宋体"/>
              </w:rPr>
              <w:t>B.腿痛兼/或麻刺痛</w:t>
            </w:r>
          </w:p>
        </w:tc>
        <w:tc>
          <w:tcPr>
            <w:tcW w:w="1964" w:type="dxa"/>
            <w:gridSpan w:val="2"/>
          </w:tcPr>
          <w:p w14:paraId="56D49525">
            <w:pPr>
              <w:rPr>
                <w:rFonts w:ascii="宋体" w:hAnsi="宋体" w:cs="宋体"/>
              </w:rPr>
            </w:pPr>
          </w:p>
        </w:tc>
      </w:tr>
      <w:tr w14:paraId="4AD7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066" w:type="dxa"/>
          </w:tcPr>
          <w:p w14:paraId="1960FA7B">
            <w:pPr>
              <w:rPr>
                <w:rFonts w:ascii="宋体" w:hAnsi="宋体" w:cs="宋体"/>
              </w:rPr>
            </w:pPr>
          </w:p>
        </w:tc>
        <w:tc>
          <w:tcPr>
            <w:tcW w:w="1001" w:type="dxa"/>
          </w:tcPr>
          <w:p w14:paraId="7A2C6858">
            <w:pPr>
              <w:rPr>
                <w:rFonts w:ascii="宋体" w:hAnsi="宋体" w:cs="宋体"/>
              </w:rPr>
            </w:pPr>
          </w:p>
        </w:tc>
        <w:tc>
          <w:tcPr>
            <w:tcW w:w="4383" w:type="dxa"/>
          </w:tcPr>
          <w:p w14:paraId="5FEAABB3">
            <w:pPr>
              <w:rPr>
                <w:rFonts w:ascii="宋体" w:hAnsi="宋体" w:cs="宋体"/>
              </w:rPr>
            </w:pPr>
            <w:r>
              <w:rPr>
                <w:rFonts w:hint="eastAsia" w:ascii="宋体" w:hAnsi="宋体" w:cs="宋体"/>
              </w:rPr>
              <w:t>a无任何</w:t>
            </w:r>
          </w:p>
          <w:p w14:paraId="1944E46C">
            <w:pPr>
              <w:rPr>
                <w:rFonts w:ascii="宋体" w:hAnsi="宋体" w:cs="宋体"/>
              </w:rPr>
            </w:pPr>
            <w:r>
              <w:rPr>
                <w:rFonts w:hint="eastAsia" w:ascii="宋体" w:hAnsi="宋体" w:cs="宋体"/>
              </w:rPr>
              <w:t>b偶尔的轻</w:t>
            </w:r>
          </w:p>
          <w:p w14:paraId="4E935693">
            <w:pPr>
              <w:rPr>
                <w:rFonts w:ascii="宋体" w:hAnsi="宋体" w:cs="宋体"/>
              </w:rPr>
            </w:pPr>
            <w:r>
              <w:rPr>
                <w:rFonts w:hint="eastAsia" w:ascii="宋体" w:hAnsi="宋体" w:cs="宋体"/>
              </w:rPr>
              <w:t>c偶尔的轻或偶发严重</w:t>
            </w:r>
          </w:p>
          <w:p w14:paraId="152DAD87">
            <w:pPr>
              <w:rPr>
                <w:rFonts w:ascii="宋体" w:hAnsi="宋体" w:cs="宋体"/>
              </w:rPr>
            </w:pPr>
            <w:r>
              <w:rPr>
                <w:rFonts w:hint="eastAsia" w:ascii="宋体" w:hAnsi="宋体" w:cs="宋体"/>
              </w:rPr>
              <w:t>d 频发或持续的严重</w:t>
            </w:r>
          </w:p>
        </w:tc>
        <w:tc>
          <w:tcPr>
            <w:tcW w:w="391" w:type="dxa"/>
          </w:tcPr>
          <w:p w14:paraId="50EB4BD9">
            <w:pPr>
              <w:rPr>
                <w:rFonts w:ascii="宋体" w:hAnsi="宋体" w:cs="宋体"/>
              </w:rPr>
            </w:pPr>
            <w:r>
              <w:rPr>
                <w:rFonts w:hint="eastAsia" w:ascii="宋体" w:hAnsi="宋体" w:cs="宋体"/>
              </w:rPr>
              <w:t>3</w:t>
            </w:r>
          </w:p>
          <w:p w14:paraId="2329DA12">
            <w:pPr>
              <w:rPr>
                <w:rFonts w:ascii="宋体" w:hAnsi="宋体" w:cs="宋体"/>
              </w:rPr>
            </w:pPr>
            <w:r>
              <w:rPr>
                <w:rFonts w:hint="eastAsia" w:ascii="宋体" w:hAnsi="宋体" w:cs="宋体"/>
              </w:rPr>
              <w:t>2</w:t>
            </w:r>
          </w:p>
          <w:p w14:paraId="274C05D7">
            <w:pPr>
              <w:rPr>
                <w:rFonts w:ascii="宋体" w:hAnsi="宋体" w:cs="宋体"/>
              </w:rPr>
            </w:pPr>
            <w:r>
              <w:rPr>
                <w:rFonts w:hint="eastAsia" w:ascii="宋体" w:hAnsi="宋体" w:cs="宋体"/>
              </w:rPr>
              <w:t>1</w:t>
            </w:r>
          </w:p>
          <w:p w14:paraId="5A3EE5B1">
            <w:pPr>
              <w:rPr>
                <w:rFonts w:ascii="宋体" w:hAnsi="宋体" w:cs="宋体"/>
              </w:rPr>
            </w:pPr>
            <w:r>
              <w:rPr>
                <w:rFonts w:hint="eastAsia" w:ascii="宋体" w:hAnsi="宋体" w:cs="宋体"/>
              </w:rPr>
              <w:t>0</w:t>
            </w:r>
          </w:p>
        </w:tc>
        <w:tc>
          <w:tcPr>
            <w:tcW w:w="1573" w:type="dxa"/>
          </w:tcPr>
          <w:p w14:paraId="21FA0C66">
            <w:pPr>
              <w:widowControl/>
              <w:jc w:val="left"/>
              <w:rPr>
                <w:rFonts w:ascii="宋体" w:hAnsi="宋体" w:cs="宋体"/>
              </w:rPr>
            </w:pPr>
          </w:p>
          <w:p w14:paraId="2E27E48C">
            <w:pPr>
              <w:widowControl/>
              <w:jc w:val="left"/>
              <w:rPr>
                <w:rFonts w:ascii="宋体" w:hAnsi="宋体" w:cs="宋体"/>
              </w:rPr>
            </w:pPr>
          </w:p>
          <w:p w14:paraId="6269EE79">
            <w:pPr>
              <w:widowControl/>
              <w:jc w:val="left"/>
              <w:rPr>
                <w:rFonts w:ascii="宋体" w:hAnsi="宋体" w:cs="宋体"/>
              </w:rPr>
            </w:pPr>
          </w:p>
          <w:p w14:paraId="1F655E93">
            <w:pPr>
              <w:rPr>
                <w:rFonts w:ascii="宋体" w:hAnsi="宋体" w:cs="宋体"/>
              </w:rPr>
            </w:pPr>
          </w:p>
        </w:tc>
      </w:tr>
      <w:tr w14:paraId="6CDF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66" w:type="dxa"/>
          </w:tcPr>
          <w:p w14:paraId="1DB48D33">
            <w:pPr>
              <w:rPr>
                <w:rFonts w:ascii="宋体" w:hAnsi="宋体" w:cs="宋体"/>
              </w:rPr>
            </w:pPr>
          </w:p>
        </w:tc>
        <w:tc>
          <w:tcPr>
            <w:tcW w:w="5384" w:type="dxa"/>
            <w:gridSpan w:val="2"/>
          </w:tcPr>
          <w:p w14:paraId="66921137">
            <w:pPr>
              <w:rPr>
                <w:rFonts w:ascii="宋体" w:hAnsi="宋体" w:cs="宋体"/>
              </w:rPr>
            </w:pPr>
            <w:r>
              <w:rPr>
                <w:rFonts w:hint="eastAsia" w:ascii="宋体" w:hAnsi="宋体" w:cs="宋体"/>
              </w:rPr>
              <w:t>C.步态</w:t>
            </w:r>
          </w:p>
        </w:tc>
        <w:tc>
          <w:tcPr>
            <w:tcW w:w="1964" w:type="dxa"/>
            <w:gridSpan w:val="2"/>
          </w:tcPr>
          <w:p w14:paraId="0781CE3A">
            <w:pPr>
              <w:rPr>
                <w:rFonts w:ascii="宋体" w:hAnsi="宋体" w:cs="宋体"/>
              </w:rPr>
            </w:pPr>
          </w:p>
        </w:tc>
      </w:tr>
      <w:tr w14:paraId="0FDC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066" w:type="dxa"/>
          </w:tcPr>
          <w:p w14:paraId="6C79A10A">
            <w:pPr>
              <w:rPr>
                <w:rFonts w:ascii="宋体" w:hAnsi="宋体" w:cs="宋体"/>
              </w:rPr>
            </w:pPr>
          </w:p>
        </w:tc>
        <w:tc>
          <w:tcPr>
            <w:tcW w:w="1001" w:type="dxa"/>
          </w:tcPr>
          <w:p w14:paraId="39811344">
            <w:pPr>
              <w:rPr>
                <w:rFonts w:ascii="宋体" w:hAnsi="宋体" w:cs="宋体"/>
              </w:rPr>
            </w:pPr>
          </w:p>
        </w:tc>
        <w:tc>
          <w:tcPr>
            <w:tcW w:w="4383" w:type="dxa"/>
          </w:tcPr>
          <w:p w14:paraId="0E5935E1">
            <w:pPr>
              <w:rPr>
                <w:rFonts w:ascii="宋体" w:hAnsi="宋体" w:cs="宋体"/>
              </w:rPr>
            </w:pPr>
            <w:r>
              <w:rPr>
                <w:rFonts w:hint="eastAsia" w:ascii="宋体" w:hAnsi="宋体" w:cs="宋体"/>
              </w:rPr>
              <w:t>a正常</w:t>
            </w:r>
          </w:p>
          <w:p w14:paraId="6506F885">
            <w:pPr>
              <w:rPr>
                <w:rFonts w:ascii="宋体" w:hAnsi="宋体" w:cs="宋体"/>
              </w:rPr>
            </w:pPr>
            <w:r>
              <w:rPr>
                <w:rFonts w:hint="eastAsia" w:ascii="宋体" w:hAnsi="宋体" w:cs="宋体"/>
              </w:rPr>
              <w:t>b即使感肌肉无力，也可步行超过500米</w:t>
            </w:r>
          </w:p>
          <w:p w14:paraId="3368DB9F">
            <w:pPr>
              <w:rPr>
                <w:rFonts w:ascii="宋体" w:hAnsi="宋体" w:cs="宋体"/>
              </w:rPr>
            </w:pPr>
            <w:r>
              <w:rPr>
                <w:rFonts w:hint="eastAsia" w:ascii="宋体" w:hAnsi="宋体" w:cs="宋体"/>
              </w:rPr>
              <w:t>c步行小于500米，即出现腿痛，刺痛，无力</w:t>
            </w:r>
          </w:p>
          <w:p w14:paraId="03DE8B72">
            <w:pPr>
              <w:rPr>
                <w:rFonts w:ascii="宋体" w:hAnsi="宋体" w:cs="宋体"/>
              </w:rPr>
            </w:pPr>
            <w:r>
              <w:rPr>
                <w:rFonts w:hint="eastAsia" w:ascii="宋体" w:hAnsi="宋体" w:cs="宋体"/>
              </w:rPr>
              <w:t>d步行小于100米，即出现腿痛，刺痛，无力</w:t>
            </w:r>
          </w:p>
        </w:tc>
        <w:tc>
          <w:tcPr>
            <w:tcW w:w="391" w:type="dxa"/>
          </w:tcPr>
          <w:p w14:paraId="2BE7E803">
            <w:pPr>
              <w:rPr>
                <w:rFonts w:ascii="宋体" w:hAnsi="宋体" w:cs="宋体"/>
              </w:rPr>
            </w:pPr>
            <w:r>
              <w:rPr>
                <w:rFonts w:hint="eastAsia" w:ascii="宋体" w:hAnsi="宋体" w:cs="宋体"/>
              </w:rPr>
              <w:t>3</w:t>
            </w:r>
          </w:p>
          <w:p w14:paraId="3F6F0CC1">
            <w:pPr>
              <w:rPr>
                <w:rFonts w:ascii="宋体" w:hAnsi="宋体" w:cs="宋体"/>
              </w:rPr>
            </w:pPr>
            <w:r>
              <w:rPr>
                <w:rFonts w:hint="eastAsia" w:ascii="宋体" w:hAnsi="宋体" w:cs="宋体"/>
              </w:rPr>
              <w:t>2</w:t>
            </w:r>
          </w:p>
          <w:p w14:paraId="46C8C2CD">
            <w:pPr>
              <w:rPr>
                <w:rFonts w:ascii="宋体" w:hAnsi="宋体" w:cs="宋体"/>
              </w:rPr>
            </w:pPr>
            <w:r>
              <w:rPr>
                <w:rFonts w:hint="eastAsia" w:ascii="宋体" w:hAnsi="宋体" w:cs="宋体"/>
              </w:rPr>
              <w:t>1</w:t>
            </w:r>
          </w:p>
          <w:p w14:paraId="4D362D9D">
            <w:pPr>
              <w:rPr>
                <w:rFonts w:ascii="宋体" w:hAnsi="宋体" w:cs="宋体"/>
              </w:rPr>
            </w:pPr>
            <w:r>
              <w:rPr>
                <w:rFonts w:hint="eastAsia" w:ascii="宋体" w:hAnsi="宋体" w:cs="宋体"/>
              </w:rPr>
              <w:t>0</w:t>
            </w:r>
          </w:p>
        </w:tc>
        <w:tc>
          <w:tcPr>
            <w:tcW w:w="1573" w:type="dxa"/>
          </w:tcPr>
          <w:p w14:paraId="02419152">
            <w:pPr>
              <w:widowControl/>
              <w:jc w:val="left"/>
              <w:rPr>
                <w:rFonts w:ascii="宋体" w:hAnsi="宋体" w:cs="宋体"/>
              </w:rPr>
            </w:pPr>
          </w:p>
          <w:p w14:paraId="63697E18">
            <w:pPr>
              <w:widowControl/>
              <w:jc w:val="left"/>
              <w:rPr>
                <w:rFonts w:ascii="宋体" w:hAnsi="宋体" w:cs="宋体"/>
              </w:rPr>
            </w:pPr>
          </w:p>
          <w:p w14:paraId="3C9540B6">
            <w:pPr>
              <w:widowControl/>
              <w:jc w:val="left"/>
              <w:rPr>
                <w:rFonts w:ascii="宋体" w:hAnsi="宋体" w:cs="宋体"/>
              </w:rPr>
            </w:pPr>
          </w:p>
          <w:p w14:paraId="1B3A518C">
            <w:pPr>
              <w:rPr>
                <w:rFonts w:ascii="宋体" w:hAnsi="宋体" w:cs="宋体"/>
              </w:rPr>
            </w:pPr>
          </w:p>
        </w:tc>
      </w:tr>
      <w:tr w14:paraId="3AB5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450" w:type="dxa"/>
            <w:gridSpan w:val="3"/>
          </w:tcPr>
          <w:p w14:paraId="49B423C1">
            <w:pPr>
              <w:rPr>
                <w:rFonts w:ascii="宋体" w:hAnsi="宋体" w:cs="宋体"/>
              </w:rPr>
            </w:pPr>
            <w:r>
              <w:rPr>
                <w:rFonts w:hint="eastAsia" w:ascii="宋体" w:hAnsi="宋体" w:cs="宋体"/>
              </w:rPr>
              <w:t>2.临床体征(6分)</w:t>
            </w:r>
          </w:p>
        </w:tc>
        <w:tc>
          <w:tcPr>
            <w:tcW w:w="1964" w:type="dxa"/>
            <w:gridSpan w:val="2"/>
          </w:tcPr>
          <w:p w14:paraId="55AA53BC">
            <w:pPr>
              <w:rPr>
                <w:rFonts w:ascii="宋体" w:hAnsi="宋体" w:cs="宋体"/>
              </w:rPr>
            </w:pPr>
          </w:p>
        </w:tc>
      </w:tr>
      <w:tr w14:paraId="7C75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6" w:type="dxa"/>
          </w:tcPr>
          <w:p w14:paraId="5122AA69">
            <w:pPr>
              <w:rPr>
                <w:rFonts w:ascii="宋体" w:hAnsi="宋体" w:cs="宋体"/>
              </w:rPr>
            </w:pPr>
            <w:r>
              <w:rPr>
                <w:rFonts w:hint="eastAsia" w:ascii="宋体" w:hAnsi="宋体" w:cs="宋体"/>
              </w:rPr>
              <w:t xml:space="preserve"> </w:t>
            </w:r>
          </w:p>
        </w:tc>
        <w:tc>
          <w:tcPr>
            <w:tcW w:w="5384" w:type="dxa"/>
            <w:gridSpan w:val="2"/>
          </w:tcPr>
          <w:p w14:paraId="6E554501">
            <w:pPr>
              <w:rPr>
                <w:rFonts w:ascii="宋体" w:hAnsi="宋体" w:cs="宋体"/>
              </w:rPr>
            </w:pPr>
            <w:r>
              <w:rPr>
                <w:rFonts w:hint="eastAsia" w:ascii="宋体" w:hAnsi="宋体" w:cs="宋体"/>
              </w:rPr>
              <w:t>A.直腿抬高试验（包括加强实验）</w:t>
            </w:r>
          </w:p>
        </w:tc>
        <w:tc>
          <w:tcPr>
            <w:tcW w:w="1964" w:type="dxa"/>
            <w:gridSpan w:val="2"/>
          </w:tcPr>
          <w:p w14:paraId="53C5DF81">
            <w:pPr>
              <w:rPr>
                <w:rFonts w:ascii="宋体" w:hAnsi="宋体" w:cs="宋体"/>
              </w:rPr>
            </w:pPr>
          </w:p>
        </w:tc>
      </w:tr>
      <w:tr w14:paraId="0496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66" w:type="dxa"/>
          </w:tcPr>
          <w:p w14:paraId="08D1E2A4">
            <w:pPr>
              <w:rPr>
                <w:rFonts w:ascii="宋体" w:hAnsi="宋体" w:cs="宋体"/>
              </w:rPr>
            </w:pPr>
            <w:r>
              <w:rPr>
                <w:rFonts w:hint="eastAsia" w:ascii="宋体" w:hAnsi="宋体" w:cs="宋体"/>
              </w:rPr>
              <w:t xml:space="preserve"> </w:t>
            </w:r>
          </w:p>
        </w:tc>
        <w:tc>
          <w:tcPr>
            <w:tcW w:w="1001" w:type="dxa"/>
          </w:tcPr>
          <w:p w14:paraId="296E6486">
            <w:pPr>
              <w:rPr>
                <w:rFonts w:ascii="宋体" w:hAnsi="宋体" w:cs="宋体"/>
              </w:rPr>
            </w:pPr>
          </w:p>
        </w:tc>
        <w:tc>
          <w:tcPr>
            <w:tcW w:w="4383" w:type="dxa"/>
          </w:tcPr>
          <w:p w14:paraId="19F87E7F">
            <w:pPr>
              <w:rPr>
                <w:rFonts w:ascii="宋体" w:hAnsi="宋体" w:cs="宋体"/>
              </w:rPr>
            </w:pPr>
            <w:r>
              <w:rPr>
                <w:rFonts w:hint="eastAsia" w:ascii="宋体" w:hAnsi="宋体" w:cs="宋体"/>
              </w:rPr>
              <w:t>a正常</w:t>
            </w:r>
          </w:p>
          <w:p w14:paraId="7F0E626A">
            <w:pPr>
              <w:rPr>
                <w:rFonts w:ascii="宋体" w:hAnsi="宋体" w:cs="宋体"/>
              </w:rPr>
            </w:pPr>
            <w:r>
              <w:rPr>
                <w:rFonts w:hint="eastAsia" w:ascii="宋体" w:hAnsi="宋体" w:cs="宋体"/>
              </w:rPr>
              <w:t>b 30度-70度</w:t>
            </w:r>
          </w:p>
          <w:p w14:paraId="43D679CA">
            <w:pPr>
              <w:rPr>
                <w:rFonts w:ascii="宋体" w:hAnsi="宋体" w:cs="宋体"/>
              </w:rPr>
            </w:pPr>
            <w:r>
              <w:rPr>
                <w:rFonts w:hint="eastAsia" w:ascii="宋体" w:hAnsi="宋体" w:cs="宋体"/>
              </w:rPr>
              <w:t>c&lt;30度</w:t>
            </w:r>
          </w:p>
        </w:tc>
        <w:tc>
          <w:tcPr>
            <w:tcW w:w="391" w:type="dxa"/>
          </w:tcPr>
          <w:p w14:paraId="6D1538A1">
            <w:pPr>
              <w:rPr>
                <w:rFonts w:ascii="宋体" w:hAnsi="宋体" w:cs="宋体"/>
              </w:rPr>
            </w:pPr>
            <w:r>
              <w:rPr>
                <w:rFonts w:hint="eastAsia" w:ascii="宋体" w:hAnsi="宋体" w:cs="宋体"/>
              </w:rPr>
              <w:t>2</w:t>
            </w:r>
          </w:p>
          <w:p w14:paraId="0A89CC8A">
            <w:pPr>
              <w:rPr>
                <w:rFonts w:ascii="宋体" w:hAnsi="宋体" w:cs="宋体"/>
              </w:rPr>
            </w:pPr>
            <w:r>
              <w:rPr>
                <w:rFonts w:hint="eastAsia" w:ascii="宋体" w:hAnsi="宋体" w:cs="宋体"/>
              </w:rPr>
              <w:t>1</w:t>
            </w:r>
          </w:p>
          <w:p w14:paraId="3984977D">
            <w:pPr>
              <w:rPr>
                <w:rFonts w:ascii="宋体" w:hAnsi="宋体" w:cs="宋体"/>
              </w:rPr>
            </w:pPr>
            <w:r>
              <w:rPr>
                <w:rFonts w:hint="eastAsia" w:ascii="宋体" w:hAnsi="宋体" w:cs="宋体"/>
              </w:rPr>
              <w:t>0</w:t>
            </w:r>
          </w:p>
        </w:tc>
        <w:tc>
          <w:tcPr>
            <w:tcW w:w="1573" w:type="dxa"/>
          </w:tcPr>
          <w:p w14:paraId="2C18CAB6">
            <w:pPr>
              <w:widowControl/>
              <w:jc w:val="left"/>
              <w:rPr>
                <w:rFonts w:ascii="宋体" w:hAnsi="宋体" w:cs="宋体"/>
              </w:rPr>
            </w:pPr>
          </w:p>
          <w:p w14:paraId="42333D3D">
            <w:pPr>
              <w:widowControl/>
              <w:jc w:val="left"/>
              <w:rPr>
                <w:rFonts w:ascii="宋体" w:hAnsi="宋体" w:cs="宋体"/>
              </w:rPr>
            </w:pPr>
          </w:p>
          <w:p w14:paraId="22AE05F4">
            <w:pPr>
              <w:rPr>
                <w:rFonts w:ascii="宋体" w:hAnsi="宋体" w:cs="宋体"/>
              </w:rPr>
            </w:pPr>
          </w:p>
        </w:tc>
      </w:tr>
      <w:tr w14:paraId="5243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66" w:type="dxa"/>
          </w:tcPr>
          <w:p w14:paraId="1F4AC2AD">
            <w:pPr>
              <w:rPr>
                <w:rFonts w:ascii="宋体" w:hAnsi="宋体" w:cs="宋体"/>
              </w:rPr>
            </w:pPr>
            <w:r>
              <w:rPr>
                <w:rFonts w:hint="eastAsia" w:ascii="宋体" w:hAnsi="宋体" w:cs="宋体"/>
              </w:rPr>
              <w:t xml:space="preserve"> </w:t>
            </w:r>
          </w:p>
        </w:tc>
        <w:tc>
          <w:tcPr>
            <w:tcW w:w="5384" w:type="dxa"/>
            <w:gridSpan w:val="2"/>
          </w:tcPr>
          <w:p w14:paraId="27C725D3">
            <w:pPr>
              <w:rPr>
                <w:rFonts w:ascii="宋体" w:hAnsi="宋体" w:cs="宋体"/>
              </w:rPr>
            </w:pPr>
            <w:r>
              <w:rPr>
                <w:rFonts w:hint="eastAsia" w:ascii="宋体" w:hAnsi="宋体" w:cs="宋体"/>
              </w:rPr>
              <w:t>B.感觉障碍</w:t>
            </w:r>
          </w:p>
        </w:tc>
        <w:tc>
          <w:tcPr>
            <w:tcW w:w="1964" w:type="dxa"/>
            <w:gridSpan w:val="2"/>
          </w:tcPr>
          <w:p w14:paraId="4B403E15">
            <w:pPr>
              <w:rPr>
                <w:rFonts w:ascii="宋体" w:hAnsi="宋体" w:cs="宋体"/>
              </w:rPr>
            </w:pPr>
          </w:p>
        </w:tc>
      </w:tr>
      <w:tr w14:paraId="5DA3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066" w:type="dxa"/>
          </w:tcPr>
          <w:p w14:paraId="104C92F1">
            <w:pPr>
              <w:rPr>
                <w:rFonts w:ascii="宋体" w:hAnsi="宋体" w:cs="宋体"/>
              </w:rPr>
            </w:pPr>
          </w:p>
        </w:tc>
        <w:tc>
          <w:tcPr>
            <w:tcW w:w="1001" w:type="dxa"/>
          </w:tcPr>
          <w:p w14:paraId="6ECCCD9E">
            <w:pPr>
              <w:rPr>
                <w:rFonts w:ascii="宋体" w:hAnsi="宋体" w:cs="宋体"/>
              </w:rPr>
            </w:pPr>
          </w:p>
        </w:tc>
        <w:tc>
          <w:tcPr>
            <w:tcW w:w="4383" w:type="dxa"/>
          </w:tcPr>
          <w:p w14:paraId="42CCF39F">
            <w:pPr>
              <w:rPr>
                <w:rFonts w:ascii="宋体" w:hAnsi="宋体" w:cs="宋体"/>
              </w:rPr>
            </w:pPr>
            <w:r>
              <w:rPr>
                <w:rFonts w:hint="eastAsia" w:ascii="宋体" w:hAnsi="宋体" w:cs="宋体"/>
              </w:rPr>
              <w:t>a无</w:t>
            </w:r>
          </w:p>
          <w:p w14:paraId="59B71775">
            <w:pPr>
              <w:rPr>
                <w:rFonts w:ascii="宋体" w:hAnsi="宋体" w:cs="宋体"/>
              </w:rPr>
            </w:pPr>
            <w:r>
              <w:rPr>
                <w:rFonts w:hint="eastAsia" w:ascii="宋体" w:hAnsi="宋体" w:cs="宋体"/>
              </w:rPr>
              <w:t>b轻度障碍</w:t>
            </w:r>
          </w:p>
          <w:p w14:paraId="1005F7DA">
            <w:pPr>
              <w:rPr>
                <w:rFonts w:ascii="宋体" w:hAnsi="宋体" w:cs="宋体"/>
              </w:rPr>
            </w:pPr>
            <w:r>
              <w:rPr>
                <w:rFonts w:hint="eastAsia" w:ascii="宋体" w:hAnsi="宋体" w:cs="宋体"/>
              </w:rPr>
              <w:t>c明显障碍</w:t>
            </w:r>
          </w:p>
        </w:tc>
        <w:tc>
          <w:tcPr>
            <w:tcW w:w="391" w:type="dxa"/>
          </w:tcPr>
          <w:p w14:paraId="20FCA926">
            <w:pPr>
              <w:rPr>
                <w:rFonts w:ascii="宋体" w:hAnsi="宋体" w:cs="宋体"/>
              </w:rPr>
            </w:pPr>
            <w:r>
              <w:rPr>
                <w:rFonts w:hint="eastAsia" w:ascii="宋体" w:hAnsi="宋体" w:cs="宋体"/>
              </w:rPr>
              <w:t>2</w:t>
            </w:r>
          </w:p>
          <w:p w14:paraId="15688673">
            <w:pPr>
              <w:rPr>
                <w:rFonts w:ascii="宋体" w:hAnsi="宋体" w:cs="宋体"/>
              </w:rPr>
            </w:pPr>
            <w:r>
              <w:rPr>
                <w:rFonts w:hint="eastAsia" w:ascii="宋体" w:hAnsi="宋体" w:cs="宋体"/>
              </w:rPr>
              <w:t>1</w:t>
            </w:r>
          </w:p>
          <w:p w14:paraId="6BEA372B">
            <w:pPr>
              <w:rPr>
                <w:rFonts w:ascii="宋体" w:hAnsi="宋体" w:cs="宋体"/>
              </w:rPr>
            </w:pPr>
            <w:r>
              <w:rPr>
                <w:rFonts w:hint="eastAsia" w:ascii="宋体" w:hAnsi="宋体" w:cs="宋体"/>
              </w:rPr>
              <w:t>0</w:t>
            </w:r>
          </w:p>
        </w:tc>
        <w:tc>
          <w:tcPr>
            <w:tcW w:w="1573" w:type="dxa"/>
          </w:tcPr>
          <w:p w14:paraId="3E317067">
            <w:pPr>
              <w:widowControl/>
              <w:jc w:val="left"/>
              <w:rPr>
                <w:rFonts w:ascii="宋体" w:hAnsi="宋体" w:cs="宋体"/>
              </w:rPr>
            </w:pPr>
          </w:p>
          <w:p w14:paraId="3ADEDF70">
            <w:pPr>
              <w:widowControl/>
              <w:jc w:val="left"/>
              <w:rPr>
                <w:rFonts w:ascii="宋体" w:hAnsi="宋体" w:cs="宋体"/>
              </w:rPr>
            </w:pPr>
          </w:p>
          <w:p w14:paraId="38D30363">
            <w:pPr>
              <w:rPr>
                <w:rFonts w:ascii="宋体" w:hAnsi="宋体" w:cs="宋体"/>
              </w:rPr>
            </w:pPr>
          </w:p>
        </w:tc>
      </w:tr>
      <w:tr w14:paraId="52D6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66" w:type="dxa"/>
          </w:tcPr>
          <w:p w14:paraId="48F68ECB">
            <w:pPr>
              <w:rPr>
                <w:rFonts w:ascii="宋体" w:hAnsi="宋体" w:cs="宋体"/>
              </w:rPr>
            </w:pPr>
          </w:p>
        </w:tc>
        <w:tc>
          <w:tcPr>
            <w:tcW w:w="5384" w:type="dxa"/>
            <w:gridSpan w:val="2"/>
          </w:tcPr>
          <w:p w14:paraId="57B51CDD">
            <w:pPr>
              <w:rPr>
                <w:rFonts w:ascii="宋体" w:hAnsi="宋体" w:cs="宋体"/>
              </w:rPr>
            </w:pPr>
            <w:r>
              <w:rPr>
                <w:rFonts w:hint="eastAsia" w:ascii="宋体" w:hAnsi="宋体" w:cs="宋体"/>
              </w:rPr>
              <w:t>C.运动障碍</w:t>
            </w:r>
          </w:p>
        </w:tc>
        <w:tc>
          <w:tcPr>
            <w:tcW w:w="1964" w:type="dxa"/>
            <w:gridSpan w:val="2"/>
          </w:tcPr>
          <w:p w14:paraId="3590D747">
            <w:pPr>
              <w:rPr>
                <w:rFonts w:ascii="宋体" w:hAnsi="宋体" w:cs="宋体"/>
              </w:rPr>
            </w:pPr>
          </w:p>
        </w:tc>
      </w:tr>
      <w:tr w14:paraId="677C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66" w:type="dxa"/>
          </w:tcPr>
          <w:p w14:paraId="08B15A5E">
            <w:pPr>
              <w:rPr>
                <w:rFonts w:ascii="宋体" w:hAnsi="宋体" w:cs="宋体"/>
              </w:rPr>
            </w:pPr>
          </w:p>
        </w:tc>
        <w:tc>
          <w:tcPr>
            <w:tcW w:w="1001" w:type="dxa"/>
          </w:tcPr>
          <w:p w14:paraId="07012D88">
            <w:pPr>
              <w:rPr>
                <w:rFonts w:ascii="宋体" w:hAnsi="宋体" w:cs="宋体"/>
              </w:rPr>
            </w:pPr>
          </w:p>
        </w:tc>
        <w:tc>
          <w:tcPr>
            <w:tcW w:w="4383" w:type="dxa"/>
          </w:tcPr>
          <w:p w14:paraId="7A88E75A">
            <w:pPr>
              <w:rPr>
                <w:rFonts w:ascii="宋体" w:hAnsi="宋体" w:cs="宋体"/>
              </w:rPr>
            </w:pPr>
            <w:r>
              <w:rPr>
                <w:rFonts w:hint="eastAsia" w:ascii="宋体" w:hAnsi="宋体" w:cs="宋体"/>
              </w:rPr>
              <w:t>a正常(肌力5级)</w:t>
            </w:r>
          </w:p>
          <w:p w14:paraId="6982EC57">
            <w:pPr>
              <w:rPr>
                <w:rFonts w:ascii="宋体" w:hAnsi="宋体" w:cs="宋体"/>
              </w:rPr>
            </w:pPr>
            <w:r>
              <w:rPr>
                <w:rFonts w:hint="eastAsia" w:ascii="宋体" w:hAnsi="宋体" w:cs="宋体"/>
              </w:rPr>
              <w:t>b轻度无力(肌力4级)</w:t>
            </w:r>
          </w:p>
          <w:p w14:paraId="04CCF755">
            <w:pPr>
              <w:rPr>
                <w:rFonts w:ascii="宋体" w:hAnsi="宋体" w:cs="宋体"/>
              </w:rPr>
            </w:pPr>
            <w:r>
              <w:rPr>
                <w:rFonts w:hint="eastAsia" w:ascii="宋体" w:hAnsi="宋体" w:cs="宋体"/>
              </w:rPr>
              <w:t>c明显无力(肌力0-3级)</w:t>
            </w:r>
          </w:p>
        </w:tc>
        <w:tc>
          <w:tcPr>
            <w:tcW w:w="391" w:type="dxa"/>
          </w:tcPr>
          <w:p w14:paraId="091E1A98">
            <w:pPr>
              <w:rPr>
                <w:rFonts w:ascii="宋体" w:hAnsi="宋体" w:cs="宋体"/>
              </w:rPr>
            </w:pPr>
            <w:r>
              <w:rPr>
                <w:rFonts w:hint="eastAsia" w:ascii="宋体" w:hAnsi="宋体" w:cs="宋体"/>
              </w:rPr>
              <w:t>2</w:t>
            </w:r>
          </w:p>
          <w:p w14:paraId="5DFF9F4B">
            <w:pPr>
              <w:rPr>
                <w:rFonts w:ascii="宋体" w:hAnsi="宋体" w:cs="宋体"/>
              </w:rPr>
            </w:pPr>
            <w:r>
              <w:rPr>
                <w:rFonts w:hint="eastAsia" w:ascii="宋体" w:hAnsi="宋体" w:cs="宋体"/>
              </w:rPr>
              <w:t>1</w:t>
            </w:r>
          </w:p>
          <w:p w14:paraId="651E07AC">
            <w:pPr>
              <w:rPr>
                <w:rFonts w:ascii="宋体" w:hAnsi="宋体" w:cs="宋体"/>
              </w:rPr>
            </w:pPr>
            <w:r>
              <w:rPr>
                <w:rFonts w:hint="eastAsia" w:ascii="宋体" w:hAnsi="宋体" w:cs="宋体"/>
              </w:rPr>
              <w:t>0</w:t>
            </w:r>
          </w:p>
        </w:tc>
        <w:tc>
          <w:tcPr>
            <w:tcW w:w="1573" w:type="dxa"/>
          </w:tcPr>
          <w:p w14:paraId="4C04AB3A">
            <w:pPr>
              <w:widowControl/>
              <w:jc w:val="left"/>
              <w:rPr>
                <w:rFonts w:ascii="宋体" w:hAnsi="宋体" w:cs="宋体"/>
              </w:rPr>
            </w:pPr>
          </w:p>
          <w:p w14:paraId="1E6C26A4">
            <w:pPr>
              <w:widowControl/>
              <w:jc w:val="left"/>
              <w:rPr>
                <w:rFonts w:ascii="宋体" w:hAnsi="宋体" w:cs="宋体"/>
              </w:rPr>
            </w:pPr>
          </w:p>
          <w:p w14:paraId="7960FE84">
            <w:pPr>
              <w:rPr>
                <w:rFonts w:ascii="宋体" w:hAnsi="宋体" w:cs="宋体"/>
              </w:rPr>
            </w:pPr>
          </w:p>
        </w:tc>
      </w:tr>
      <w:tr w14:paraId="0108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450" w:type="dxa"/>
            <w:gridSpan w:val="3"/>
          </w:tcPr>
          <w:p w14:paraId="0B05DFDD">
            <w:pPr>
              <w:rPr>
                <w:rFonts w:ascii="宋体" w:hAnsi="宋体" w:cs="宋体"/>
              </w:rPr>
            </w:pPr>
            <w:r>
              <w:rPr>
                <w:rFonts w:hint="eastAsia" w:ascii="宋体" w:hAnsi="宋体" w:cs="宋体"/>
              </w:rPr>
              <w:t>3．日常活动受限度(ADL)(14分)</w:t>
            </w:r>
          </w:p>
        </w:tc>
        <w:tc>
          <w:tcPr>
            <w:tcW w:w="1964" w:type="dxa"/>
            <w:gridSpan w:val="2"/>
          </w:tcPr>
          <w:p w14:paraId="7FF58014">
            <w:pPr>
              <w:rPr>
                <w:rFonts w:ascii="宋体" w:hAnsi="宋体" w:cs="宋体"/>
              </w:rPr>
            </w:pPr>
          </w:p>
        </w:tc>
      </w:tr>
      <w:tr w14:paraId="56CC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066" w:type="dxa"/>
          </w:tcPr>
          <w:p w14:paraId="7D10D696">
            <w:pPr>
              <w:rPr>
                <w:rFonts w:ascii="宋体" w:hAnsi="宋体" w:cs="宋体"/>
              </w:rPr>
            </w:pPr>
          </w:p>
        </w:tc>
        <w:tc>
          <w:tcPr>
            <w:tcW w:w="5384" w:type="dxa"/>
            <w:gridSpan w:val="2"/>
          </w:tcPr>
          <w:p w14:paraId="26CDC624">
            <w:pPr>
              <w:rPr>
                <w:rFonts w:ascii="宋体" w:hAnsi="宋体" w:cs="宋体"/>
              </w:rPr>
            </w:pPr>
            <w:r>
              <w:rPr>
                <w:rFonts w:hint="eastAsia" w:ascii="宋体" w:hAnsi="宋体" w:cs="宋体"/>
              </w:rPr>
              <w:t>A.平卧翻身</w:t>
            </w:r>
          </w:p>
        </w:tc>
        <w:tc>
          <w:tcPr>
            <w:tcW w:w="1964" w:type="dxa"/>
            <w:gridSpan w:val="2"/>
          </w:tcPr>
          <w:p w14:paraId="1DF580AD">
            <w:pPr>
              <w:rPr>
                <w:rFonts w:ascii="宋体" w:hAnsi="宋体" w:cs="宋体"/>
              </w:rPr>
            </w:pPr>
          </w:p>
        </w:tc>
      </w:tr>
      <w:tr w14:paraId="48C6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 w:hRule="atLeast"/>
          <w:jc w:val="center"/>
        </w:trPr>
        <w:tc>
          <w:tcPr>
            <w:tcW w:w="1066" w:type="dxa"/>
          </w:tcPr>
          <w:p w14:paraId="663B1CF3">
            <w:pPr>
              <w:rPr>
                <w:rFonts w:ascii="宋体" w:hAnsi="宋体" w:cs="宋体"/>
              </w:rPr>
            </w:pPr>
          </w:p>
        </w:tc>
        <w:tc>
          <w:tcPr>
            <w:tcW w:w="1001" w:type="dxa"/>
          </w:tcPr>
          <w:p w14:paraId="578DD1B5">
            <w:pPr>
              <w:rPr>
                <w:rFonts w:ascii="宋体" w:hAnsi="宋体" w:cs="宋体"/>
              </w:rPr>
            </w:pPr>
          </w:p>
        </w:tc>
        <w:tc>
          <w:tcPr>
            <w:tcW w:w="4383" w:type="dxa"/>
          </w:tcPr>
          <w:p w14:paraId="30E02B23">
            <w:pPr>
              <w:rPr>
                <w:rFonts w:ascii="宋体" w:hAnsi="宋体" w:cs="宋体"/>
              </w:rPr>
            </w:pPr>
            <w:r>
              <w:rPr>
                <w:rFonts w:hint="eastAsia" w:ascii="宋体" w:hAnsi="宋体" w:cs="宋体"/>
              </w:rPr>
              <w:t>a正常</w:t>
            </w:r>
          </w:p>
          <w:p w14:paraId="5C9C6578">
            <w:pPr>
              <w:rPr>
                <w:rFonts w:ascii="宋体" w:hAnsi="宋体" w:cs="宋体"/>
              </w:rPr>
            </w:pPr>
            <w:r>
              <w:rPr>
                <w:rFonts w:hint="eastAsia" w:ascii="宋体" w:hAnsi="宋体" w:cs="宋体"/>
              </w:rPr>
              <w:t>b轻度受限</w:t>
            </w:r>
          </w:p>
          <w:p w14:paraId="33B673BD">
            <w:pPr>
              <w:rPr>
                <w:rFonts w:ascii="宋体" w:hAnsi="宋体" w:cs="宋体"/>
              </w:rPr>
            </w:pPr>
            <w:r>
              <w:rPr>
                <w:rFonts w:hint="eastAsia" w:ascii="宋体" w:hAnsi="宋体" w:cs="宋体"/>
              </w:rPr>
              <w:t>c明显受限</w:t>
            </w:r>
          </w:p>
        </w:tc>
        <w:tc>
          <w:tcPr>
            <w:tcW w:w="391" w:type="dxa"/>
          </w:tcPr>
          <w:p w14:paraId="125D00B3">
            <w:pPr>
              <w:rPr>
                <w:rFonts w:ascii="宋体" w:hAnsi="宋体" w:cs="宋体"/>
              </w:rPr>
            </w:pPr>
            <w:r>
              <w:rPr>
                <w:rFonts w:hint="eastAsia" w:ascii="宋体" w:hAnsi="宋体" w:cs="宋体"/>
              </w:rPr>
              <w:t>2</w:t>
            </w:r>
          </w:p>
          <w:p w14:paraId="05DD27BF">
            <w:pPr>
              <w:rPr>
                <w:rFonts w:ascii="宋体" w:hAnsi="宋体" w:cs="宋体"/>
              </w:rPr>
            </w:pPr>
            <w:r>
              <w:rPr>
                <w:rFonts w:hint="eastAsia" w:ascii="宋体" w:hAnsi="宋体" w:cs="宋体"/>
              </w:rPr>
              <w:t>1</w:t>
            </w:r>
          </w:p>
          <w:p w14:paraId="68381F72">
            <w:pPr>
              <w:rPr>
                <w:rFonts w:ascii="宋体" w:hAnsi="宋体" w:cs="宋体"/>
              </w:rPr>
            </w:pPr>
            <w:r>
              <w:rPr>
                <w:rFonts w:hint="eastAsia" w:ascii="宋体" w:hAnsi="宋体" w:cs="宋体"/>
              </w:rPr>
              <w:t>0</w:t>
            </w:r>
          </w:p>
        </w:tc>
        <w:tc>
          <w:tcPr>
            <w:tcW w:w="1573" w:type="dxa"/>
          </w:tcPr>
          <w:p w14:paraId="4751C01C">
            <w:pPr>
              <w:widowControl/>
              <w:jc w:val="left"/>
              <w:rPr>
                <w:rFonts w:ascii="宋体" w:hAnsi="宋体" w:cs="宋体"/>
              </w:rPr>
            </w:pPr>
          </w:p>
          <w:p w14:paraId="37CC6B6D">
            <w:pPr>
              <w:widowControl/>
              <w:jc w:val="left"/>
              <w:rPr>
                <w:rFonts w:ascii="宋体" w:hAnsi="宋体" w:cs="宋体"/>
              </w:rPr>
            </w:pPr>
          </w:p>
          <w:p w14:paraId="1B84A767">
            <w:pPr>
              <w:rPr>
                <w:rFonts w:ascii="宋体" w:hAnsi="宋体" w:cs="宋体"/>
              </w:rPr>
            </w:pPr>
          </w:p>
        </w:tc>
      </w:tr>
      <w:tr w14:paraId="6C6D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66" w:type="dxa"/>
          </w:tcPr>
          <w:p w14:paraId="7AEEEA9B">
            <w:pPr>
              <w:rPr>
                <w:rFonts w:ascii="宋体" w:hAnsi="宋体" w:cs="宋体"/>
              </w:rPr>
            </w:pPr>
          </w:p>
        </w:tc>
        <w:tc>
          <w:tcPr>
            <w:tcW w:w="5384" w:type="dxa"/>
            <w:gridSpan w:val="2"/>
          </w:tcPr>
          <w:p w14:paraId="317D64FB">
            <w:pPr>
              <w:rPr>
                <w:rFonts w:ascii="宋体" w:hAnsi="宋体" w:cs="宋体"/>
              </w:rPr>
            </w:pPr>
            <w:r>
              <w:rPr>
                <w:rFonts w:hint="eastAsia" w:ascii="宋体" w:hAnsi="宋体" w:cs="宋体"/>
              </w:rPr>
              <w:t>B.站立(大约1小时)</w:t>
            </w:r>
          </w:p>
        </w:tc>
        <w:tc>
          <w:tcPr>
            <w:tcW w:w="1964" w:type="dxa"/>
            <w:gridSpan w:val="2"/>
          </w:tcPr>
          <w:p w14:paraId="38CC3FD8">
            <w:pPr>
              <w:rPr>
                <w:rFonts w:ascii="宋体" w:hAnsi="宋体" w:cs="宋体"/>
              </w:rPr>
            </w:pPr>
          </w:p>
        </w:tc>
      </w:tr>
      <w:tr w14:paraId="5B23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66" w:type="dxa"/>
          </w:tcPr>
          <w:p w14:paraId="5B379E4B">
            <w:pPr>
              <w:rPr>
                <w:rFonts w:ascii="宋体" w:hAnsi="宋体" w:cs="宋体"/>
              </w:rPr>
            </w:pPr>
          </w:p>
        </w:tc>
        <w:tc>
          <w:tcPr>
            <w:tcW w:w="1001" w:type="dxa"/>
          </w:tcPr>
          <w:p w14:paraId="3D240527">
            <w:pPr>
              <w:rPr>
                <w:rFonts w:ascii="宋体" w:hAnsi="宋体" w:cs="宋体"/>
              </w:rPr>
            </w:pPr>
          </w:p>
        </w:tc>
        <w:tc>
          <w:tcPr>
            <w:tcW w:w="4383" w:type="dxa"/>
          </w:tcPr>
          <w:p w14:paraId="5666FD33">
            <w:pPr>
              <w:rPr>
                <w:rFonts w:ascii="宋体" w:hAnsi="宋体" w:cs="宋体"/>
              </w:rPr>
            </w:pPr>
            <w:r>
              <w:rPr>
                <w:rFonts w:hint="eastAsia" w:ascii="宋体" w:hAnsi="宋体" w:cs="宋体"/>
              </w:rPr>
              <w:t>a正常</w:t>
            </w:r>
          </w:p>
          <w:p w14:paraId="17C9D248">
            <w:pPr>
              <w:rPr>
                <w:rFonts w:ascii="宋体" w:hAnsi="宋体" w:cs="宋体"/>
              </w:rPr>
            </w:pPr>
            <w:r>
              <w:rPr>
                <w:rFonts w:hint="eastAsia" w:ascii="宋体" w:hAnsi="宋体" w:cs="宋体"/>
              </w:rPr>
              <w:t>b轻度受限</w:t>
            </w:r>
          </w:p>
          <w:p w14:paraId="33B3F526">
            <w:pPr>
              <w:rPr>
                <w:rFonts w:ascii="宋体" w:hAnsi="宋体" w:cs="宋体"/>
              </w:rPr>
            </w:pPr>
            <w:r>
              <w:rPr>
                <w:rFonts w:hint="eastAsia" w:ascii="宋体" w:hAnsi="宋体" w:cs="宋体"/>
              </w:rPr>
              <w:t>c明显受限</w:t>
            </w:r>
          </w:p>
        </w:tc>
        <w:tc>
          <w:tcPr>
            <w:tcW w:w="391" w:type="dxa"/>
          </w:tcPr>
          <w:p w14:paraId="2F7FA571">
            <w:pPr>
              <w:rPr>
                <w:rFonts w:ascii="宋体" w:hAnsi="宋体" w:cs="宋体"/>
              </w:rPr>
            </w:pPr>
            <w:r>
              <w:rPr>
                <w:rFonts w:hint="eastAsia" w:ascii="宋体" w:hAnsi="宋体" w:cs="宋体"/>
              </w:rPr>
              <w:t>2</w:t>
            </w:r>
          </w:p>
          <w:p w14:paraId="1F455CE1">
            <w:pPr>
              <w:rPr>
                <w:rFonts w:ascii="宋体" w:hAnsi="宋体" w:cs="宋体"/>
              </w:rPr>
            </w:pPr>
            <w:r>
              <w:rPr>
                <w:rFonts w:hint="eastAsia" w:ascii="宋体" w:hAnsi="宋体" w:cs="宋体"/>
              </w:rPr>
              <w:t>1</w:t>
            </w:r>
            <w:r>
              <w:rPr>
                <w:rFonts w:hint="eastAsia" w:ascii="宋体" w:hAnsi="宋体" w:cs="宋体"/>
              </w:rPr>
              <w:cr/>
            </w:r>
            <w:r>
              <w:rPr>
                <w:rFonts w:hint="eastAsia" w:ascii="宋体" w:hAnsi="宋体" w:cs="宋体"/>
              </w:rPr>
              <w:t>0</w:t>
            </w:r>
          </w:p>
        </w:tc>
        <w:tc>
          <w:tcPr>
            <w:tcW w:w="1573" w:type="dxa"/>
          </w:tcPr>
          <w:p w14:paraId="6E8E909F">
            <w:pPr>
              <w:widowControl/>
              <w:jc w:val="left"/>
              <w:rPr>
                <w:rFonts w:ascii="宋体" w:hAnsi="宋体" w:cs="宋体"/>
              </w:rPr>
            </w:pPr>
          </w:p>
          <w:p w14:paraId="2FC2C459">
            <w:pPr>
              <w:widowControl/>
              <w:jc w:val="left"/>
              <w:rPr>
                <w:rFonts w:ascii="宋体" w:hAnsi="宋体" w:cs="宋体"/>
              </w:rPr>
            </w:pPr>
          </w:p>
          <w:p w14:paraId="1B1E7AF3">
            <w:pPr>
              <w:rPr>
                <w:rFonts w:ascii="宋体" w:hAnsi="宋体" w:cs="宋体"/>
              </w:rPr>
            </w:pPr>
          </w:p>
        </w:tc>
      </w:tr>
      <w:tr w14:paraId="1812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66" w:type="dxa"/>
          </w:tcPr>
          <w:p w14:paraId="394B3DE6">
            <w:pPr>
              <w:rPr>
                <w:rFonts w:ascii="宋体" w:hAnsi="宋体" w:cs="宋体"/>
              </w:rPr>
            </w:pPr>
          </w:p>
        </w:tc>
        <w:tc>
          <w:tcPr>
            <w:tcW w:w="5384" w:type="dxa"/>
            <w:gridSpan w:val="2"/>
          </w:tcPr>
          <w:p w14:paraId="219A3DD6">
            <w:pPr>
              <w:rPr>
                <w:rFonts w:ascii="宋体" w:hAnsi="宋体" w:cs="宋体"/>
              </w:rPr>
            </w:pPr>
            <w:r>
              <w:rPr>
                <w:rFonts w:hint="eastAsia" w:ascii="宋体" w:hAnsi="宋体" w:cs="宋体"/>
              </w:rPr>
              <w:t>c.洗漱</w:t>
            </w:r>
          </w:p>
        </w:tc>
        <w:tc>
          <w:tcPr>
            <w:tcW w:w="1964" w:type="dxa"/>
            <w:gridSpan w:val="2"/>
          </w:tcPr>
          <w:p w14:paraId="1D6E8C1C">
            <w:pPr>
              <w:rPr>
                <w:rFonts w:ascii="宋体" w:hAnsi="宋体" w:cs="宋体"/>
              </w:rPr>
            </w:pPr>
          </w:p>
        </w:tc>
      </w:tr>
      <w:tr w14:paraId="0D17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066" w:type="dxa"/>
          </w:tcPr>
          <w:p w14:paraId="69D4929F">
            <w:pPr>
              <w:rPr>
                <w:rFonts w:ascii="宋体" w:hAnsi="宋体" w:cs="宋体"/>
              </w:rPr>
            </w:pPr>
          </w:p>
        </w:tc>
        <w:tc>
          <w:tcPr>
            <w:tcW w:w="1001" w:type="dxa"/>
          </w:tcPr>
          <w:p w14:paraId="68AA9243">
            <w:pPr>
              <w:rPr>
                <w:rFonts w:ascii="宋体" w:hAnsi="宋体" w:cs="宋体"/>
              </w:rPr>
            </w:pPr>
          </w:p>
        </w:tc>
        <w:tc>
          <w:tcPr>
            <w:tcW w:w="4383" w:type="dxa"/>
          </w:tcPr>
          <w:p w14:paraId="349091E1">
            <w:pPr>
              <w:rPr>
                <w:rFonts w:ascii="宋体" w:hAnsi="宋体" w:cs="宋体"/>
              </w:rPr>
            </w:pPr>
            <w:r>
              <w:rPr>
                <w:rFonts w:hint="eastAsia" w:ascii="宋体" w:hAnsi="宋体" w:cs="宋体"/>
              </w:rPr>
              <w:t>a正常</w:t>
            </w:r>
          </w:p>
          <w:p w14:paraId="2CD6647C">
            <w:pPr>
              <w:rPr>
                <w:rFonts w:ascii="宋体" w:hAnsi="宋体" w:cs="宋体"/>
              </w:rPr>
            </w:pPr>
            <w:r>
              <w:rPr>
                <w:rFonts w:hint="eastAsia" w:ascii="宋体" w:hAnsi="宋体" w:cs="宋体"/>
              </w:rPr>
              <w:t>b轻度受限</w:t>
            </w:r>
          </w:p>
          <w:p w14:paraId="31AECD3B">
            <w:pPr>
              <w:rPr>
                <w:rFonts w:ascii="宋体" w:hAnsi="宋体" w:cs="宋体"/>
              </w:rPr>
            </w:pPr>
            <w:r>
              <w:rPr>
                <w:rFonts w:hint="eastAsia" w:ascii="宋体" w:hAnsi="宋体" w:cs="宋体"/>
              </w:rPr>
              <w:t>c明显受限</w:t>
            </w:r>
          </w:p>
        </w:tc>
        <w:tc>
          <w:tcPr>
            <w:tcW w:w="391" w:type="dxa"/>
          </w:tcPr>
          <w:p w14:paraId="7B3E991E">
            <w:pPr>
              <w:rPr>
                <w:rFonts w:ascii="宋体" w:hAnsi="宋体" w:cs="宋体"/>
              </w:rPr>
            </w:pPr>
            <w:r>
              <w:rPr>
                <w:rFonts w:hint="eastAsia" w:ascii="宋体" w:hAnsi="宋体" w:cs="宋体"/>
              </w:rPr>
              <w:t>2</w:t>
            </w:r>
          </w:p>
          <w:p w14:paraId="6A11F29A">
            <w:pPr>
              <w:rPr>
                <w:rFonts w:ascii="宋体" w:hAnsi="宋体" w:cs="宋体"/>
              </w:rPr>
            </w:pPr>
            <w:r>
              <w:rPr>
                <w:rFonts w:hint="eastAsia" w:ascii="宋体" w:hAnsi="宋体" w:cs="宋体"/>
              </w:rPr>
              <w:t>1</w:t>
            </w:r>
          </w:p>
          <w:p w14:paraId="4472D7A1">
            <w:pPr>
              <w:rPr>
                <w:rFonts w:ascii="宋体" w:hAnsi="宋体" w:cs="宋体"/>
              </w:rPr>
            </w:pPr>
            <w:r>
              <w:rPr>
                <w:rFonts w:hint="eastAsia" w:ascii="宋体" w:hAnsi="宋体" w:cs="宋体"/>
              </w:rPr>
              <w:t>0</w:t>
            </w:r>
          </w:p>
        </w:tc>
        <w:tc>
          <w:tcPr>
            <w:tcW w:w="1573" w:type="dxa"/>
          </w:tcPr>
          <w:p w14:paraId="33544FE3">
            <w:pPr>
              <w:widowControl/>
              <w:jc w:val="left"/>
              <w:rPr>
                <w:rFonts w:ascii="宋体" w:hAnsi="宋体" w:cs="宋体"/>
              </w:rPr>
            </w:pPr>
          </w:p>
          <w:p w14:paraId="3C9B6130">
            <w:pPr>
              <w:widowControl/>
              <w:jc w:val="left"/>
              <w:rPr>
                <w:rFonts w:ascii="宋体" w:hAnsi="宋体" w:cs="宋体"/>
              </w:rPr>
            </w:pPr>
          </w:p>
          <w:p w14:paraId="3F7D9E56">
            <w:pPr>
              <w:rPr>
                <w:rFonts w:ascii="宋体" w:hAnsi="宋体" w:cs="宋体"/>
              </w:rPr>
            </w:pPr>
          </w:p>
        </w:tc>
      </w:tr>
      <w:tr w14:paraId="14B7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6" w:type="dxa"/>
          </w:tcPr>
          <w:p w14:paraId="45FB9680">
            <w:pPr>
              <w:rPr>
                <w:rFonts w:ascii="宋体" w:hAnsi="宋体" w:cs="宋体"/>
              </w:rPr>
            </w:pPr>
          </w:p>
        </w:tc>
        <w:tc>
          <w:tcPr>
            <w:tcW w:w="5384" w:type="dxa"/>
            <w:gridSpan w:val="2"/>
          </w:tcPr>
          <w:p w14:paraId="01EF30DD">
            <w:pPr>
              <w:rPr>
                <w:rFonts w:ascii="宋体" w:hAnsi="宋体" w:cs="宋体"/>
              </w:rPr>
            </w:pPr>
            <w:r>
              <w:rPr>
                <w:rFonts w:hint="eastAsia" w:ascii="宋体" w:hAnsi="宋体" w:cs="宋体"/>
              </w:rPr>
              <w:t>d.前屈</w:t>
            </w:r>
          </w:p>
        </w:tc>
        <w:tc>
          <w:tcPr>
            <w:tcW w:w="1964" w:type="dxa"/>
            <w:gridSpan w:val="2"/>
          </w:tcPr>
          <w:p w14:paraId="2E300AD3">
            <w:pPr>
              <w:rPr>
                <w:rFonts w:ascii="宋体" w:hAnsi="宋体" w:cs="宋体"/>
              </w:rPr>
            </w:pPr>
          </w:p>
        </w:tc>
      </w:tr>
      <w:tr w14:paraId="55DB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66" w:type="dxa"/>
          </w:tcPr>
          <w:p w14:paraId="62D709ED">
            <w:pPr>
              <w:rPr>
                <w:rFonts w:ascii="宋体" w:hAnsi="宋体" w:cs="宋体"/>
              </w:rPr>
            </w:pPr>
          </w:p>
        </w:tc>
        <w:tc>
          <w:tcPr>
            <w:tcW w:w="1001" w:type="dxa"/>
          </w:tcPr>
          <w:p w14:paraId="6B550EAC">
            <w:pPr>
              <w:rPr>
                <w:rFonts w:ascii="宋体" w:hAnsi="宋体" w:cs="宋体"/>
              </w:rPr>
            </w:pPr>
          </w:p>
        </w:tc>
        <w:tc>
          <w:tcPr>
            <w:tcW w:w="4383" w:type="dxa"/>
          </w:tcPr>
          <w:p w14:paraId="6E5529B1">
            <w:pPr>
              <w:rPr>
                <w:rFonts w:ascii="宋体" w:hAnsi="宋体" w:cs="宋体"/>
              </w:rPr>
            </w:pPr>
            <w:r>
              <w:rPr>
                <w:rFonts w:hint="eastAsia" w:ascii="宋体" w:hAnsi="宋体" w:cs="宋体"/>
              </w:rPr>
              <w:t>a正常</w:t>
            </w:r>
          </w:p>
          <w:p w14:paraId="7AF4152A">
            <w:pPr>
              <w:rPr>
                <w:rFonts w:ascii="宋体" w:hAnsi="宋体" w:cs="宋体"/>
              </w:rPr>
            </w:pPr>
            <w:r>
              <w:rPr>
                <w:rFonts w:hint="eastAsia" w:ascii="宋体" w:hAnsi="宋体" w:cs="宋体"/>
              </w:rPr>
              <w:t>b轻度受限</w:t>
            </w:r>
          </w:p>
          <w:p w14:paraId="4AB38222">
            <w:pPr>
              <w:rPr>
                <w:rFonts w:ascii="宋体" w:hAnsi="宋体" w:cs="宋体"/>
              </w:rPr>
            </w:pPr>
            <w:r>
              <w:rPr>
                <w:rFonts w:hint="eastAsia" w:ascii="宋体" w:hAnsi="宋体" w:cs="宋体"/>
              </w:rPr>
              <w:t>c明显受限</w:t>
            </w:r>
          </w:p>
        </w:tc>
        <w:tc>
          <w:tcPr>
            <w:tcW w:w="391" w:type="dxa"/>
          </w:tcPr>
          <w:p w14:paraId="2804EE44">
            <w:pPr>
              <w:rPr>
                <w:rFonts w:ascii="宋体" w:hAnsi="宋体" w:cs="宋体"/>
              </w:rPr>
            </w:pPr>
            <w:r>
              <w:rPr>
                <w:rFonts w:hint="eastAsia" w:ascii="宋体" w:hAnsi="宋体" w:cs="宋体"/>
              </w:rPr>
              <w:t>2</w:t>
            </w:r>
          </w:p>
          <w:p w14:paraId="2BCE234C">
            <w:pPr>
              <w:rPr>
                <w:rFonts w:ascii="宋体" w:hAnsi="宋体" w:cs="宋体"/>
              </w:rPr>
            </w:pPr>
            <w:r>
              <w:rPr>
                <w:rFonts w:hint="eastAsia" w:ascii="宋体" w:hAnsi="宋体" w:cs="宋体"/>
              </w:rPr>
              <w:t>1</w:t>
            </w:r>
            <w:r>
              <w:rPr>
                <w:rFonts w:hint="eastAsia" w:ascii="宋体" w:hAnsi="宋体" w:cs="宋体"/>
              </w:rPr>
              <w:cr/>
            </w:r>
            <w:r>
              <w:rPr>
                <w:rFonts w:hint="eastAsia" w:ascii="宋体" w:hAnsi="宋体" w:cs="宋体"/>
              </w:rPr>
              <w:t>0</w:t>
            </w:r>
          </w:p>
        </w:tc>
        <w:tc>
          <w:tcPr>
            <w:tcW w:w="1573" w:type="dxa"/>
          </w:tcPr>
          <w:p w14:paraId="0AC0E2DB">
            <w:pPr>
              <w:widowControl/>
              <w:jc w:val="left"/>
              <w:rPr>
                <w:rFonts w:ascii="宋体" w:hAnsi="宋体" w:cs="宋体"/>
              </w:rPr>
            </w:pPr>
          </w:p>
          <w:p w14:paraId="089290C4">
            <w:pPr>
              <w:widowControl/>
              <w:jc w:val="left"/>
              <w:rPr>
                <w:rFonts w:ascii="宋体" w:hAnsi="宋体" w:cs="宋体"/>
              </w:rPr>
            </w:pPr>
          </w:p>
          <w:p w14:paraId="03F2A90C">
            <w:pPr>
              <w:rPr>
                <w:rFonts w:ascii="宋体" w:hAnsi="宋体" w:cs="宋体"/>
              </w:rPr>
            </w:pPr>
          </w:p>
        </w:tc>
      </w:tr>
      <w:tr w14:paraId="6A9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66" w:type="dxa"/>
          </w:tcPr>
          <w:p w14:paraId="0B121C5E">
            <w:pPr>
              <w:rPr>
                <w:rFonts w:ascii="宋体" w:hAnsi="宋体" w:cs="宋体"/>
              </w:rPr>
            </w:pPr>
          </w:p>
        </w:tc>
        <w:tc>
          <w:tcPr>
            <w:tcW w:w="5384" w:type="dxa"/>
            <w:gridSpan w:val="2"/>
          </w:tcPr>
          <w:p w14:paraId="0C550FAF">
            <w:pPr>
              <w:rPr>
                <w:rFonts w:ascii="宋体" w:hAnsi="宋体" w:cs="宋体"/>
              </w:rPr>
            </w:pPr>
            <w:r>
              <w:rPr>
                <w:rFonts w:hint="eastAsia" w:ascii="宋体" w:hAnsi="宋体" w:cs="宋体"/>
              </w:rPr>
              <w:t>e.坐位</w:t>
            </w:r>
          </w:p>
        </w:tc>
        <w:tc>
          <w:tcPr>
            <w:tcW w:w="1964" w:type="dxa"/>
            <w:gridSpan w:val="2"/>
          </w:tcPr>
          <w:p w14:paraId="061D7D1F">
            <w:pPr>
              <w:rPr>
                <w:rFonts w:ascii="宋体" w:hAnsi="宋体" w:cs="宋体"/>
              </w:rPr>
            </w:pPr>
          </w:p>
        </w:tc>
      </w:tr>
      <w:tr w14:paraId="00D7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66" w:type="dxa"/>
          </w:tcPr>
          <w:p w14:paraId="448FFA3D">
            <w:pPr>
              <w:rPr>
                <w:rFonts w:ascii="宋体" w:hAnsi="宋体" w:cs="宋体"/>
              </w:rPr>
            </w:pPr>
          </w:p>
        </w:tc>
        <w:tc>
          <w:tcPr>
            <w:tcW w:w="1001" w:type="dxa"/>
          </w:tcPr>
          <w:p w14:paraId="708263A7">
            <w:pPr>
              <w:rPr>
                <w:rFonts w:ascii="宋体" w:hAnsi="宋体" w:cs="宋体"/>
              </w:rPr>
            </w:pPr>
          </w:p>
        </w:tc>
        <w:tc>
          <w:tcPr>
            <w:tcW w:w="4383" w:type="dxa"/>
          </w:tcPr>
          <w:p w14:paraId="6E053672">
            <w:pPr>
              <w:rPr>
                <w:rFonts w:ascii="宋体" w:hAnsi="宋体" w:cs="宋体"/>
              </w:rPr>
            </w:pPr>
            <w:r>
              <w:rPr>
                <w:rFonts w:hint="eastAsia" w:ascii="宋体" w:hAnsi="宋体" w:cs="宋体"/>
              </w:rPr>
              <w:t>a正常</w:t>
            </w:r>
          </w:p>
          <w:p w14:paraId="4B1B2A21">
            <w:pPr>
              <w:rPr>
                <w:rFonts w:ascii="宋体" w:hAnsi="宋体" w:cs="宋体"/>
              </w:rPr>
            </w:pPr>
            <w:r>
              <w:rPr>
                <w:rFonts w:hint="eastAsia" w:ascii="宋体" w:hAnsi="宋体" w:cs="宋体"/>
              </w:rPr>
              <w:t>b轻度受限</w:t>
            </w:r>
          </w:p>
          <w:p w14:paraId="078992A9">
            <w:pPr>
              <w:rPr>
                <w:rFonts w:ascii="宋体" w:hAnsi="宋体" w:cs="宋体"/>
              </w:rPr>
            </w:pPr>
            <w:r>
              <w:rPr>
                <w:rFonts w:hint="eastAsia" w:ascii="宋体" w:hAnsi="宋体" w:cs="宋体"/>
              </w:rPr>
              <w:t>c明显受限</w:t>
            </w:r>
          </w:p>
        </w:tc>
        <w:tc>
          <w:tcPr>
            <w:tcW w:w="391" w:type="dxa"/>
          </w:tcPr>
          <w:p w14:paraId="52F7652E">
            <w:pPr>
              <w:rPr>
                <w:rFonts w:ascii="宋体" w:hAnsi="宋体" w:cs="宋体"/>
              </w:rPr>
            </w:pPr>
            <w:r>
              <w:rPr>
                <w:rFonts w:hint="eastAsia" w:ascii="宋体" w:hAnsi="宋体" w:cs="宋体"/>
              </w:rPr>
              <w:t>2</w:t>
            </w:r>
          </w:p>
          <w:p w14:paraId="534D5CB2">
            <w:pPr>
              <w:rPr>
                <w:rFonts w:ascii="宋体" w:hAnsi="宋体" w:cs="宋体"/>
              </w:rPr>
            </w:pPr>
            <w:r>
              <w:rPr>
                <w:rFonts w:hint="eastAsia" w:ascii="宋体" w:hAnsi="宋体" w:cs="宋体"/>
              </w:rPr>
              <w:t>1</w:t>
            </w:r>
          </w:p>
          <w:p w14:paraId="058D9C99">
            <w:pPr>
              <w:rPr>
                <w:rFonts w:ascii="宋体" w:hAnsi="宋体" w:cs="宋体"/>
              </w:rPr>
            </w:pPr>
            <w:r>
              <w:rPr>
                <w:rFonts w:hint="eastAsia" w:ascii="宋体" w:hAnsi="宋体" w:cs="宋体"/>
              </w:rPr>
              <w:t>0</w:t>
            </w:r>
          </w:p>
        </w:tc>
        <w:tc>
          <w:tcPr>
            <w:tcW w:w="1573" w:type="dxa"/>
          </w:tcPr>
          <w:p w14:paraId="254BCEE7">
            <w:pPr>
              <w:widowControl/>
              <w:jc w:val="left"/>
              <w:rPr>
                <w:rFonts w:ascii="宋体" w:hAnsi="宋体" w:cs="宋体"/>
              </w:rPr>
            </w:pPr>
          </w:p>
          <w:p w14:paraId="5AA3CA29">
            <w:pPr>
              <w:widowControl/>
              <w:jc w:val="left"/>
              <w:rPr>
                <w:rFonts w:ascii="宋体" w:hAnsi="宋体" w:cs="宋体"/>
              </w:rPr>
            </w:pPr>
          </w:p>
          <w:p w14:paraId="01B0F77C">
            <w:pPr>
              <w:rPr>
                <w:rFonts w:ascii="宋体" w:hAnsi="宋体" w:cs="宋体"/>
              </w:rPr>
            </w:pPr>
          </w:p>
        </w:tc>
      </w:tr>
      <w:tr w14:paraId="4F27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66" w:type="dxa"/>
          </w:tcPr>
          <w:p w14:paraId="7FDC74E0">
            <w:pPr>
              <w:rPr>
                <w:rFonts w:ascii="宋体" w:hAnsi="宋体" w:cs="宋体"/>
              </w:rPr>
            </w:pPr>
          </w:p>
        </w:tc>
        <w:tc>
          <w:tcPr>
            <w:tcW w:w="5384" w:type="dxa"/>
            <w:gridSpan w:val="2"/>
          </w:tcPr>
          <w:p w14:paraId="19F39BCC">
            <w:pPr>
              <w:rPr>
                <w:rFonts w:ascii="宋体" w:hAnsi="宋体" w:cs="宋体"/>
              </w:rPr>
            </w:pPr>
            <w:r>
              <w:rPr>
                <w:rFonts w:hint="eastAsia" w:ascii="宋体" w:hAnsi="宋体" w:cs="宋体"/>
              </w:rPr>
              <w:t>f.举重物</w:t>
            </w:r>
          </w:p>
        </w:tc>
        <w:tc>
          <w:tcPr>
            <w:tcW w:w="1964" w:type="dxa"/>
            <w:gridSpan w:val="2"/>
          </w:tcPr>
          <w:p w14:paraId="30EC5D44">
            <w:pPr>
              <w:rPr>
                <w:rFonts w:ascii="宋体" w:hAnsi="宋体" w:cs="宋体"/>
              </w:rPr>
            </w:pPr>
          </w:p>
        </w:tc>
      </w:tr>
      <w:tr w14:paraId="6D886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66" w:type="dxa"/>
          </w:tcPr>
          <w:p w14:paraId="1890734D">
            <w:pPr>
              <w:rPr>
                <w:rFonts w:ascii="宋体" w:hAnsi="宋体" w:cs="宋体"/>
              </w:rPr>
            </w:pPr>
          </w:p>
        </w:tc>
        <w:tc>
          <w:tcPr>
            <w:tcW w:w="1001" w:type="dxa"/>
          </w:tcPr>
          <w:p w14:paraId="636E353D">
            <w:pPr>
              <w:rPr>
                <w:rFonts w:ascii="宋体" w:hAnsi="宋体" w:cs="宋体"/>
              </w:rPr>
            </w:pPr>
          </w:p>
        </w:tc>
        <w:tc>
          <w:tcPr>
            <w:tcW w:w="4383" w:type="dxa"/>
          </w:tcPr>
          <w:p w14:paraId="5CDF654F">
            <w:pPr>
              <w:rPr>
                <w:rFonts w:ascii="宋体" w:hAnsi="宋体" w:cs="宋体"/>
              </w:rPr>
            </w:pPr>
            <w:r>
              <w:rPr>
                <w:rFonts w:hint="eastAsia" w:ascii="宋体" w:hAnsi="宋体" w:cs="宋体"/>
              </w:rPr>
              <w:t>a正常</w:t>
            </w:r>
          </w:p>
          <w:p w14:paraId="6A5ED7DE">
            <w:pPr>
              <w:rPr>
                <w:rFonts w:ascii="宋体" w:hAnsi="宋体" w:cs="宋体"/>
              </w:rPr>
            </w:pPr>
            <w:r>
              <w:rPr>
                <w:rFonts w:hint="eastAsia" w:ascii="宋体" w:hAnsi="宋体" w:cs="宋体"/>
              </w:rPr>
              <w:t>b轻度受限</w:t>
            </w:r>
          </w:p>
          <w:p w14:paraId="17425E49">
            <w:pPr>
              <w:rPr>
                <w:rFonts w:ascii="宋体" w:hAnsi="宋体" w:cs="宋体"/>
              </w:rPr>
            </w:pPr>
            <w:r>
              <w:rPr>
                <w:rFonts w:hint="eastAsia" w:ascii="宋体" w:hAnsi="宋体" w:cs="宋体"/>
              </w:rPr>
              <w:t>c明显受限</w:t>
            </w:r>
          </w:p>
        </w:tc>
        <w:tc>
          <w:tcPr>
            <w:tcW w:w="391" w:type="dxa"/>
          </w:tcPr>
          <w:p w14:paraId="71A20B4D">
            <w:pPr>
              <w:rPr>
                <w:rFonts w:ascii="宋体" w:hAnsi="宋体" w:cs="宋体"/>
              </w:rPr>
            </w:pPr>
            <w:r>
              <w:rPr>
                <w:rFonts w:hint="eastAsia" w:ascii="宋体" w:hAnsi="宋体" w:cs="宋体"/>
              </w:rPr>
              <w:t>2</w:t>
            </w:r>
          </w:p>
          <w:p w14:paraId="69821945">
            <w:pPr>
              <w:rPr>
                <w:rFonts w:ascii="宋体" w:hAnsi="宋体" w:cs="宋体"/>
              </w:rPr>
            </w:pPr>
            <w:r>
              <w:rPr>
                <w:rFonts w:hint="eastAsia" w:ascii="宋体" w:hAnsi="宋体" w:cs="宋体"/>
              </w:rPr>
              <w:t>1</w:t>
            </w:r>
          </w:p>
          <w:p w14:paraId="2B9161D5">
            <w:pPr>
              <w:rPr>
                <w:rFonts w:ascii="宋体" w:hAnsi="宋体" w:cs="宋体"/>
              </w:rPr>
            </w:pPr>
            <w:r>
              <w:rPr>
                <w:rFonts w:hint="eastAsia" w:ascii="宋体" w:hAnsi="宋体" w:cs="宋体"/>
              </w:rPr>
              <w:t>0</w:t>
            </w:r>
          </w:p>
        </w:tc>
        <w:tc>
          <w:tcPr>
            <w:tcW w:w="1573" w:type="dxa"/>
          </w:tcPr>
          <w:p w14:paraId="0F4953BB">
            <w:pPr>
              <w:widowControl/>
              <w:jc w:val="left"/>
              <w:rPr>
                <w:rFonts w:ascii="宋体" w:hAnsi="宋体" w:cs="宋体"/>
              </w:rPr>
            </w:pPr>
          </w:p>
          <w:p w14:paraId="0AA1FDDE">
            <w:pPr>
              <w:widowControl/>
              <w:jc w:val="left"/>
              <w:rPr>
                <w:rFonts w:ascii="宋体" w:hAnsi="宋体" w:cs="宋体"/>
              </w:rPr>
            </w:pPr>
          </w:p>
          <w:p w14:paraId="001A61C8">
            <w:pPr>
              <w:rPr>
                <w:rFonts w:ascii="宋体" w:hAnsi="宋体" w:cs="宋体"/>
              </w:rPr>
            </w:pPr>
          </w:p>
        </w:tc>
      </w:tr>
      <w:tr w14:paraId="41F1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66" w:type="dxa"/>
          </w:tcPr>
          <w:p w14:paraId="3F13853D">
            <w:pPr>
              <w:rPr>
                <w:rFonts w:ascii="宋体" w:hAnsi="宋体" w:cs="宋体"/>
              </w:rPr>
            </w:pPr>
          </w:p>
        </w:tc>
        <w:tc>
          <w:tcPr>
            <w:tcW w:w="5384" w:type="dxa"/>
            <w:gridSpan w:val="2"/>
          </w:tcPr>
          <w:p w14:paraId="0F003954">
            <w:pPr>
              <w:rPr>
                <w:rFonts w:ascii="宋体" w:hAnsi="宋体" w:cs="宋体"/>
              </w:rPr>
            </w:pPr>
            <w:r>
              <w:rPr>
                <w:rFonts w:hint="eastAsia" w:ascii="宋体" w:hAnsi="宋体" w:cs="宋体"/>
              </w:rPr>
              <w:t>g.行走</w:t>
            </w:r>
          </w:p>
        </w:tc>
        <w:tc>
          <w:tcPr>
            <w:tcW w:w="1964" w:type="dxa"/>
            <w:gridSpan w:val="2"/>
          </w:tcPr>
          <w:p w14:paraId="12FF3D30">
            <w:pPr>
              <w:rPr>
                <w:rFonts w:ascii="宋体" w:hAnsi="宋体" w:cs="宋体"/>
              </w:rPr>
            </w:pPr>
          </w:p>
        </w:tc>
      </w:tr>
      <w:tr w14:paraId="4613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66" w:type="dxa"/>
          </w:tcPr>
          <w:p w14:paraId="0003A92D">
            <w:pPr>
              <w:rPr>
                <w:rFonts w:ascii="宋体" w:hAnsi="宋体" w:cs="宋体"/>
              </w:rPr>
            </w:pPr>
          </w:p>
        </w:tc>
        <w:tc>
          <w:tcPr>
            <w:tcW w:w="1001" w:type="dxa"/>
          </w:tcPr>
          <w:p w14:paraId="636F4821">
            <w:pPr>
              <w:rPr>
                <w:rFonts w:ascii="宋体" w:hAnsi="宋体" w:cs="宋体"/>
              </w:rPr>
            </w:pPr>
          </w:p>
        </w:tc>
        <w:tc>
          <w:tcPr>
            <w:tcW w:w="4383" w:type="dxa"/>
          </w:tcPr>
          <w:p w14:paraId="701C8FC5">
            <w:pPr>
              <w:rPr>
                <w:rFonts w:ascii="宋体" w:hAnsi="宋体" w:cs="宋体"/>
              </w:rPr>
            </w:pPr>
            <w:r>
              <w:rPr>
                <w:rFonts w:hint="eastAsia" w:ascii="宋体" w:hAnsi="宋体" w:cs="宋体"/>
              </w:rPr>
              <w:t>a正常</w:t>
            </w:r>
          </w:p>
          <w:p w14:paraId="51C93BE4">
            <w:pPr>
              <w:rPr>
                <w:rFonts w:ascii="宋体" w:hAnsi="宋体" w:cs="宋体"/>
              </w:rPr>
            </w:pPr>
            <w:r>
              <w:rPr>
                <w:rFonts w:hint="eastAsia" w:ascii="宋体" w:hAnsi="宋体" w:cs="宋体"/>
              </w:rPr>
              <w:t>b轻度受限</w:t>
            </w:r>
          </w:p>
          <w:p w14:paraId="41C06954">
            <w:pPr>
              <w:rPr>
                <w:rFonts w:ascii="宋体" w:hAnsi="宋体" w:cs="宋体"/>
              </w:rPr>
            </w:pPr>
            <w:r>
              <w:rPr>
                <w:rFonts w:hint="eastAsia" w:ascii="宋体" w:hAnsi="宋体" w:cs="宋体"/>
              </w:rPr>
              <w:t>c明显受限</w:t>
            </w:r>
          </w:p>
        </w:tc>
        <w:tc>
          <w:tcPr>
            <w:tcW w:w="391" w:type="dxa"/>
          </w:tcPr>
          <w:p w14:paraId="744B5619">
            <w:pPr>
              <w:rPr>
                <w:rFonts w:ascii="宋体" w:hAnsi="宋体" w:cs="宋体"/>
              </w:rPr>
            </w:pPr>
            <w:r>
              <w:rPr>
                <w:rFonts w:hint="eastAsia" w:ascii="宋体" w:hAnsi="宋体" w:cs="宋体"/>
              </w:rPr>
              <w:t>2</w:t>
            </w:r>
          </w:p>
          <w:p w14:paraId="5CC84E1E">
            <w:pPr>
              <w:rPr>
                <w:rFonts w:ascii="宋体" w:hAnsi="宋体" w:cs="宋体"/>
              </w:rPr>
            </w:pPr>
            <w:r>
              <w:rPr>
                <w:rFonts w:hint="eastAsia" w:ascii="宋体" w:hAnsi="宋体" w:cs="宋体"/>
              </w:rPr>
              <w:t>1</w:t>
            </w:r>
          </w:p>
          <w:p w14:paraId="67EF4C9F">
            <w:pPr>
              <w:rPr>
                <w:rFonts w:ascii="宋体" w:hAnsi="宋体" w:cs="宋体"/>
              </w:rPr>
            </w:pPr>
            <w:r>
              <w:rPr>
                <w:rFonts w:hint="eastAsia" w:ascii="宋体" w:hAnsi="宋体" w:cs="宋体"/>
              </w:rPr>
              <w:t>0</w:t>
            </w:r>
          </w:p>
        </w:tc>
        <w:tc>
          <w:tcPr>
            <w:tcW w:w="1573" w:type="dxa"/>
          </w:tcPr>
          <w:p w14:paraId="4063DD1B">
            <w:pPr>
              <w:widowControl/>
              <w:jc w:val="left"/>
              <w:rPr>
                <w:rFonts w:ascii="宋体" w:hAnsi="宋体" w:cs="宋体"/>
              </w:rPr>
            </w:pPr>
          </w:p>
          <w:p w14:paraId="45673C07">
            <w:pPr>
              <w:widowControl/>
              <w:jc w:val="left"/>
              <w:rPr>
                <w:rFonts w:ascii="宋体" w:hAnsi="宋体" w:cs="宋体"/>
              </w:rPr>
            </w:pPr>
          </w:p>
          <w:p w14:paraId="40FEBA84">
            <w:pPr>
              <w:rPr>
                <w:rFonts w:ascii="宋体" w:hAnsi="宋体" w:cs="宋体"/>
              </w:rPr>
            </w:pPr>
          </w:p>
        </w:tc>
      </w:tr>
      <w:tr w14:paraId="2EAC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50" w:type="dxa"/>
            <w:gridSpan w:val="3"/>
            <w:tcBorders>
              <w:bottom w:val="nil"/>
            </w:tcBorders>
          </w:tcPr>
          <w:p w14:paraId="4B9BB897">
            <w:pPr>
              <w:rPr>
                <w:rFonts w:ascii="宋体" w:hAnsi="宋体" w:cs="宋体"/>
              </w:rPr>
            </w:pPr>
            <w:r>
              <w:rPr>
                <w:rFonts w:hint="eastAsia" w:ascii="宋体" w:hAnsi="宋体" w:cs="宋体"/>
              </w:rPr>
              <w:t>4．膀胱功能(-6-0分)</w:t>
            </w:r>
          </w:p>
        </w:tc>
        <w:tc>
          <w:tcPr>
            <w:tcW w:w="1964" w:type="dxa"/>
            <w:gridSpan w:val="2"/>
            <w:tcBorders>
              <w:bottom w:val="nil"/>
            </w:tcBorders>
          </w:tcPr>
          <w:p w14:paraId="1C04913E">
            <w:pPr>
              <w:rPr>
                <w:rFonts w:ascii="宋体" w:hAnsi="宋体" w:cs="宋体"/>
              </w:rPr>
            </w:pPr>
          </w:p>
        </w:tc>
      </w:tr>
      <w:tr w14:paraId="3903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1066" w:type="dxa"/>
          </w:tcPr>
          <w:p w14:paraId="7F2E2D17">
            <w:pPr>
              <w:rPr>
                <w:rFonts w:ascii="宋体" w:hAnsi="宋体" w:cs="宋体"/>
              </w:rPr>
            </w:pPr>
          </w:p>
        </w:tc>
        <w:tc>
          <w:tcPr>
            <w:tcW w:w="1001" w:type="dxa"/>
            <w:tcBorders>
              <w:top w:val="single" w:color="auto" w:sz="4" w:space="0"/>
              <w:bottom w:val="single" w:color="auto" w:sz="4" w:space="0"/>
            </w:tcBorders>
          </w:tcPr>
          <w:p w14:paraId="0F055F29">
            <w:pPr>
              <w:rPr>
                <w:rFonts w:ascii="宋体" w:hAnsi="宋体" w:cs="宋体"/>
              </w:rPr>
            </w:pPr>
          </w:p>
        </w:tc>
        <w:tc>
          <w:tcPr>
            <w:tcW w:w="4383" w:type="dxa"/>
          </w:tcPr>
          <w:p w14:paraId="2CB61266">
            <w:pPr>
              <w:rPr>
                <w:rFonts w:ascii="宋体" w:hAnsi="宋体" w:cs="宋体"/>
              </w:rPr>
            </w:pPr>
            <w:r>
              <w:rPr>
                <w:rFonts w:hint="eastAsia" w:ascii="宋体" w:hAnsi="宋体" w:cs="宋体"/>
              </w:rPr>
              <w:t>a正常</w:t>
            </w:r>
          </w:p>
          <w:p w14:paraId="4D9AC91C">
            <w:pPr>
              <w:rPr>
                <w:rFonts w:ascii="宋体" w:hAnsi="宋体" w:cs="宋体"/>
              </w:rPr>
            </w:pPr>
            <w:r>
              <w:rPr>
                <w:rFonts w:hint="eastAsia" w:ascii="宋体" w:hAnsi="宋体" w:cs="宋体"/>
              </w:rPr>
              <w:t>b轻度受限</w:t>
            </w:r>
          </w:p>
          <w:p w14:paraId="493D4CE5">
            <w:pPr>
              <w:rPr>
                <w:rFonts w:ascii="宋体" w:hAnsi="宋体" w:cs="宋体"/>
              </w:rPr>
            </w:pPr>
            <w:r>
              <w:rPr>
                <w:rFonts w:hint="eastAsia" w:ascii="宋体" w:hAnsi="宋体" w:cs="宋体"/>
              </w:rPr>
              <w:t>c明显受限（尿失留，）</w:t>
            </w:r>
          </w:p>
        </w:tc>
        <w:tc>
          <w:tcPr>
            <w:tcW w:w="391" w:type="dxa"/>
          </w:tcPr>
          <w:p w14:paraId="676D0EB4">
            <w:pPr>
              <w:rPr>
                <w:rFonts w:ascii="宋体" w:hAnsi="宋体" w:cs="宋体"/>
              </w:rPr>
            </w:pPr>
            <w:r>
              <w:rPr>
                <w:rFonts w:hint="eastAsia" w:ascii="宋体" w:hAnsi="宋体" w:cs="宋体"/>
              </w:rPr>
              <w:t>0</w:t>
            </w:r>
          </w:p>
          <w:p w14:paraId="2D1B62DC">
            <w:pPr>
              <w:rPr>
                <w:rFonts w:ascii="宋体" w:hAnsi="宋体" w:cs="宋体"/>
              </w:rPr>
            </w:pPr>
            <w:r>
              <w:rPr>
                <w:rFonts w:hint="eastAsia" w:ascii="宋体" w:hAnsi="宋体" w:cs="宋体"/>
              </w:rPr>
              <w:t>-3</w:t>
            </w:r>
          </w:p>
          <w:p w14:paraId="6FF78E9C">
            <w:pPr>
              <w:rPr>
                <w:rFonts w:ascii="宋体" w:hAnsi="宋体" w:cs="宋体"/>
              </w:rPr>
            </w:pPr>
            <w:r>
              <w:rPr>
                <w:rFonts w:hint="eastAsia" w:ascii="宋体" w:hAnsi="宋体" w:cs="宋体"/>
              </w:rPr>
              <w:t>-6</w:t>
            </w:r>
          </w:p>
        </w:tc>
        <w:tc>
          <w:tcPr>
            <w:tcW w:w="1573" w:type="dxa"/>
          </w:tcPr>
          <w:p w14:paraId="07FACA4F">
            <w:pPr>
              <w:widowControl/>
              <w:jc w:val="left"/>
              <w:rPr>
                <w:rFonts w:ascii="宋体" w:hAnsi="宋体" w:cs="宋体"/>
              </w:rPr>
            </w:pPr>
          </w:p>
          <w:p w14:paraId="7CA965D2">
            <w:pPr>
              <w:rPr>
                <w:rFonts w:ascii="宋体" w:hAnsi="宋体" w:cs="宋体"/>
              </w:rPr>
            </w:pPr>
          </w:p>
        </w:tc>
      </w:tr>
      <w:tr w14:paraId="58C6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66" w:type="dxa"/>
          </w:tcPr>
          <w:p w14:paraId="31AC1B58">
            <w:pPr>
              <w:rPr>
                <w:rFonts w:ascii="宋体" w:hAnsi="宋体" w:cs="宋体"/>
              </w:rPr>
            </w:pPr>
            <w:r>
              <w:rPr>
                <w:rFonts w:hint="eastAsia" w:ascii="宋体" w:hAnsi="宋体" w:cs="宋体"/>
              </w:rPr>
              <w:t>总分</w:t>
            </w:r>
          </w:p>
        </w:tc>
        <w:tc>
          <w:tcPr>
            <w:tcW w:w="7348" w:type="dxa"/>
            <w:gridSpan w:val="4"/>
            <w:tcBorders>
              <w:top w:val="single" w:color="auto" w:sz="4" w:space="0"/>
            </w:tcBorders>
          </w:tcPr>
          <w:p w14:paraId="26CA1D93">
            <w:pPr>
              <w:rPr>
                <w:rFonts w:ascii="宋体" w:hAnsi="宋体" w:cs="宋体"/>
              </w:rPr>
            </w:pPr>
          </w:p>
        </w:tc>
      </w:tr>
    </w:tbl>
    <w:p w14:paraId="593DCF7F">
      <w:pPr>
        <w:pStyle w:val="58"/>
        <w:ind w:firstLine="420"/>
        <w:sectPr>
          <w:pgSz w:w="11906" w:h="16838"/>
          <w:pgMar w:top="2410" w:right="1134" w:bottom="1134" w:left="1134" w:header="1418" w:footer="1134" w:gutter="284"/>
          <w:cols w:space="425" w:num="1"/>
          <w:formProt w:val="0"/>
          <w:docGrid w:linePitch="312" w:charSpace="0"/>
        </w:sectPr>
      </w:pPr>
    </w:p>
    <w:p w14:paraId="13B19CAE">
      <w:pPr>
        <w:pStyle w:val="200"/>
      </w:pPr>
    </w:p>
    <w:p w14:paraId="17E74C6F">
      <w:pPr>
        <w:pStyle w:val="201"/>
      </w:pPr>
    </w:p>
    <w:p w14:paraId="77B69DB0">
      <w:pPr>
        <w:pStyle w:val="78"/>
        <w:spacing w:before="60" w:after="120"/>
      </w:pPr>
      <w:bookmarkStart w:id="130" w:name="_Toc27325"/>
      <w:bookmarkStart w:id="131" w:name="_Toc28422"/>
      <w:r>
        <w:br w:type="textWrapping"/>
      </w:r>
      <w:bookmarkStart w:id="132" w:name="_Toc91516516"/>
      <w:r>
        <w:rPr>
          <w:rFonts w:hint="eastAsia"/>
        </w:rPr>
        <w:t>（资料性）</w:t>
      </w:r>
      <w:bookmarkEnd w:id="130"/>
      <w:bookmarkEnd w:id="131"/>
      <w:bookmarkEnd w:id="132"/>
    </w:p>
    <w:p w14:paraId="513AB7FE">
      <w:pPr>
        <w:pStyle w:val="230"/>
        <w:jc w:val="center"/>
        <w:rPr>
          <w:rFonts w:ascii="Calibri" w:cs="Times New Roman"/>
          <w:b/>
          <w:bCs/>
          <w:color w:val="auto"/>
          <w:kern w:val="2"/>
          <w:sz w:val="30"/>
          <w:szCs w:val="22"/>
        </w:rPr>
      </w:pPr>
      <w:r>
        <w:rPr>
          <w:rFonts w:hint="eastAsia" w:ascii="Calibri" w:cs="Times New Roman"/>
          <w:b/>
          <w:bCs/>
          <w:color w:val="auto"/>
          <w:kern w:val="2"/>
          <w:sz w:val="30"/>
          <w:szCs w:val="22"/>
        </w:rPr>
        <w:t>ODI评分量表</w:t>
      </w:r>
    </w:p>
    <w:tbl>
      <w:tblPr>
        <w:tblStyle w:val="28"/>
        <w:tblpPr w:leftFromText="180" w:rightFromText="180" w:vertAnchor="text" w:horzAnchor="page" w:tblpXSpec="center" w:tblpY="622"/>
        <w:tblOverlap w:val="never"/>
        <w:tblW w:w="9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20"/>
        <w:gridCol w:w="1257"/>
        <w:gridCol w:w="1258"/>
        <w:gridCol w:w="1258"/>
        <w:gridCol w:w="1257"/>
        <w:gridCol w:w="1258"/>
        <w:gridCol w:w="1258"/>
        <w:gridCol w:w="603"/>
      </w:tblGrid>
      <w:tr w14:paraId="43654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88" w:type="dxa"/>
            <w:vMerge w:val="restart"/>
            <w:vAlign w:val="center"/>
          </w:tcPr>
          <w:p w14:paraId="6FEFA7BD">
            <w:pPr>
              <w:jc w:val="center"/>
              <w:rPr>
                <w:rFonts w:ascii="宋体" w:hAnsi="宋体" w:cs="宋体"/>
                <w:kern w:val="0"/>
                <w:sz w:val="18"/>
                <w:szCs w:val="18"/>
              </w:rPr>
            </w:pPr>
            <w:r>
              <w:rPr>
                <w:rFonts w:hint="eastAsia" w:ascii="宋体" w:hAnsi="宋体" w:cs="宋体"/>
                <w:kern w:val="0"/>
                <w:sz w:val="18"/>
                <w:szCs w:val="18"/>
              </w:rPr>
              <w:t>项目顺序</w:t>
            </w:r>
          </w:p>
        </w:tc>
        <w:tc>
          <w:tcPr>
            <w:tcW w:w="720" w:type="dxa"/>
            <w:vMerge w:val="restart"/>
            <w:vAlign w:val="center"/>
          </w:tcPr>
          <w:p w14:paraId="4AA1C91E">
            <w:pPr>
              <w:jc w:val="center"/>
              <w:rPr>
                <w:rFonts w:ascii="宋体" w:hAnsi="宋体" w:cs="宋体"/>
                <w:kern w:val="0"/>
                <w:sz w:val="18"/>
                <w:szCs w:val="18"/>
              </w:rPr>
            </w:pPr>
            <w:r>
              <w:rPr>
                <w:rFonts w:hint="eastAsia" w:ascii="宋体" w:hAnsi="宋体" w:cs="宋体"/>
                <w:kern w:val="0"/>
                <w:sz w:val="18"/>
                <w:szCs w:val="18"/>
              </w:rPr>
              <w:t>观察项目</w:t>
            </w:r>
          </w:p>
        </w:tc>
        <w:tc>
          <w:tcPr>
            <w:tcW w:w="7546" w:type="dxa"/>
            <w:gridSpan w:val="6"/>
            <w:vAlign w:val="center"/>
          </w:tcPr>
          <w:p w14:paraId="46146899">
            <w:pPr>
              <w:spacing w:line="400" w:lineRule="auto"/>
              <w:rPr>
                <w:rFonts w:ascii="宋体" w:hAnsi="宋体" w:cs="宋体"/>
                <w:kern w:val="0"/>
                <w:sz w:val="18"/>
                <w:szCs w:val="18"/>
              </w:rPr>
            </w:pPr>
            <w:r>
              <w:rPr>
                <w:rFonts w:hint="eastAsia" w:ascii="新宋体" w:hAnsi="新宋体" w:eastAsia="新宋体" w:cs="新宋体"/>
                <w:kern w:val="0"/>
                <w:sz w:val="18"/>
                <w:szCs w:val="18"/>
              </w:rPr>
              <w:t>项目名称（项目名称下方的数字即为该项评分）</w:t>
            </w:r>
          </w:p>
        </w:tc>
        <w:tc>
          <w:tcPr>
            <w:tcW w:w="603" w:type="dxa"/>
            <w:vMerge w:val="restart"/>
            <w:vAlign w:val="center"/>
          </w:tcPr>
          <w:p w14:paraId="5C643FF1">
            <w:pPr>
              <w:spacing w:line="400" w:lineRule="auto"/>
              <w:rPr>
                <w:rFonts w:ascii="宋体" w:hAnsi="宋体" w:cs="宋体"/>
                <w:kern w:val="0"/>
                <w:sz w:val="18"/>
                <w:szCs w:val="18"/>
              </w:rPr>
            </w:pPr>
            <w:r>
              <w:rPr>
                <w:rFonts w:hint="eastAsia" w:ascii="新宋体" w:hAnsi="新宋体" w:eastAsia="新宋体" w:cs="新宋体"/>
                <w:kern w:val="0"/>
                <w:sz w:val="18"/>
                <w:szCs w:val="18"/>
              </w:rPr>
              <w:t>得分</w:t>
            </w:r>
          </w:p>
        </w:tc>
      </w:tr>
      <w:tr w14:paraId="14804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8" w:type="dxa"/>
            <w:vMerge w:val="continue"/>
            <w:vAlign w:val="center"/>
          </w:tcPr>
          <w:p w14:paraId="49F337FD">
            <w:pPr>
              <w:spacing w:line="400" w:lineRule="auto"/>
              <w:rPr>
                <w:rFonts w:ascii="宋体" w:hAnsi="宋体" w:cs="宋体"/>
                <w:kern w:val="0"/>
                <w:sz w:val="18"/>
                <w:szCs w:val="18"/>
              </w:rPr>
            </w:pPr>
          </w:p>
        </w:tc>
        <w:tc>
          <w:tcPr>
            <w:tcW w:w="720" w:type="dxa"/>
            <w:vMerge w:val="continue"/>
            <w:vAlign w:val="center"/>
          </w:tcPr>
          <w:p w14:paraId="6E416C85">
            <w:pPr>
              <w:spacing w:line="400" w:lineRule="auto"/>
              <w:rPr>
                <w:rFonts w:ascii="宋体" w:hAnsi="宋体" w:cs="宋体"/>
                <w:kern w:val="0"/>
                <w:sz w:val="18"/>
                <w:szCs w:val="18"/>
              </w:rPr>
            </w:pPr>
          </w:p>
        </w:tc>
        <w:tc>
          <w:tcPr>
            <w:tcW w:w="1257" w:type="dxa"/>
            <w:vAlign w:val="center"/>
          </w:tcPr>
          <w:p w14:paraId="7591E98F">
            <w:pPr>
              <w:spacing w:line="400" w:lineRule="auto"/>
              <w:rPr>
                <w:rFonts w:ascii="宋体" w:hAnsi="宋体" w:cs="宋体"/>
                <w:kern w:val="0"/>
                <w:sz w:val="18"/>
                <w:szCs w:val="18"/>
              </w:rPr>
            </w:pPr>
            <w:r>
              <w:rPr>
                <w:rFonts w:hint="eastAsia" w:ascii="新宋体" w:hAnsi="新宋体" w:eastAsia="新宋体" w:cs="新宋体"/>
                <w:kern w:val="0"/>
                <w:sz w:val="18"/>
                <w:szCs w:val="18"/>
              </w:rPr>
              <w:t>0</w:t>
            </w:r>
          </w:p>
        </w:tc>
        <w:tc>
          <w:tcPr>
            <w:tcW w:w="1258" w:type="dxa"/>
            <w:vAlign w:val="center"/>
          </w:tcPr>
          <w:p w14:paraId="5E64DD4A">
            <w:pPr>
              <w:spacing w:line="400" w:lineRule="auto"/>
              <w:rPr>
                <w:rFonts w:ascii="宋体" w:hAnsi="宋体" w:cs="宋体"/>
                <w:kern w:val="0"/>
                <w:sz w:val="18"/>
                <w:szCs w:val="18"/>
              </w:rPr>
            </w:pPr>
            <w:r>
              <w:rPr>
                <w:rFonts w:hint="eastAsia" w:ascii="新宋体" w:hAnsi="新宋体" w:eastAsia="新宋体" w:cs="新宋体"/>
                <w:kern w:val="0"/>
                <w:sz w:val="18"/>
                <w:szCs w:val="18"/>
              </w:rPr>
              <w:t>1</w:t>
            </w:r>
          </w:p>
        </w:tc>
        <w:tc>
          <w:tcPr>
            <w:tcW w:w="1258" w:type="dxa"/>
            <w:vAlign w:val="center"/>
          </w:tcPr>
          <w:p w14:paraId="5F594280">
            <w:pPr>
              <w:spacing w:line="400" w:lineRule="auto"/>
              <w:rPr>
                <w:rFonts w:ascii="宋体" w:hAnsi="宋体" w:cs="宋体"/>
                <w:kern w:val="0"/>
                <w:sz w:val="18"/>
                <w:szCs w:val="18"/>
              </w:rPr>
            </w:pPr>
            <w:r>
              <w:rPr>
                <w:rFonts w:hint="eastAsia" w:ascii="新宋体" w:hAnsi="新宋体" w:eastAsia="新宋体" w:cs="新宋体"/>
                <w:kern w:val="0"/>
                <w:sz w:val="18"/>
                <w:szCs w:val="18"/>
              </w:rPr>
              <w:t>2</w:t>
            </w:r>
          </w:p>
        </w:tc>
        <w:tc>
          <w:tcPr>
            <w:tcW w:w="1257" w:type="dxa"/>
            <w:vAlign w:val="center"/>
          </w:tcPr>
          <w:p w14:paraId="5A65BA1E">
            <w:pPr>
              <w:spacing w:line="400" w:lineRule="auto"/>
              <w:rPr>
                <w:rFonts w:ascii="宋体" w:hAnsi="宋体" w:cs="宋体"/>
                <w:kern w:val="0"/>
                <w:sz w:val="18"/>
                <w:szCs w:val="18"/>
              </w:rPr>
            </w:pPr>
            <w:r>
              <w:rPr>
                <w:rFonts w:hint="eastAsia" w:ascii="新宋体" w:hAnsi="新宋体" w:eastAsia="新宋体" w:cs="新宋体"/>
                <w:kern w:val="0"/>
                <w:sz w:val="18"/>
                <w:szCs w:val="18"/>
              </w:rPr>
              <w:t>3</w:t>
            </w:r>
          </w:p>
        </w:tc>
        <w:tc>
          <w:tcPr>
            <w:tcW w:w="1258" w:type="dxa"/>
            <w:vAlign w:val="center"/>
          </w:tcPr>
          <w:p w14:paraId="30323528">
            <w:pPr>
              <w:spacing w:line="400" w:lineRule="auto"/>
              <w:rPr>
                <w:rFonts w:ascii="宋体" w:hAnsi="宋体" w:cs="宋体"/>
                <w:kern w:val="0"/>
                <w:sz w:val="18"/>
                <w:szCs w:val="18"/>
              </w:rPr>
            </w:pPr>
            <w:r>
              <w:rPr>
                <w:rFonts w:hint="eastAsia" w:ascii="新宋体" w:hAnsi="新宋体" w:eastAsia="新宋体" w:cs="新宋体"/>
                <w:kern w:val="0"/>
                <w:sz w:val="18"/>
                <w:szCs w:val="18"/>
              </w:rPr>
              <w:t>4</w:t>
            </w:r>
          </w:p>
        </w:tc>
        <w:tc>
          <w:tcPr>
            <w:tcW w:w="1258" w:type="dxa"/>
            <w:vAlign w:val="center"/>
          </w:tcPr>
          <w:p w14:paraId="4E2EC05A">
            <w:pPr>
              <w:spacing w:line="400" w:lineRule="auto"/>
              <w:rPr>
                <w:rFonts w:ascii="宋体" w:hAnsi="宋体" w:cs="宋体"/>
                <w:kern w:val="0"/>
                <w:sz w:val="18"/>
                <w:szCs w:val="18"/>
              </w:rPr>
            </w:pPr>
            <w:r>
              <w:rPr>
                <w:rFonts w:hint="eastAsia" w:ascii="新宋体" w:hAnsi="新宋体" w:eastAsia="新宋体" w:cs="新宋体"/>
                <w:kern w:val="0"/>
                <w:sz w:val="18"/>
                <w:szCs w:val="18"/>
              </w:rPr>
              <w:t>5</w:t>
            </w:r>
          </w:p>
        </w:tc>
        <w:tc>
          <w:tcPr>
            <w:tcW w:w="603" w:type="dxa"/>
            <w:vMerge w:val="continue"/>
            <w:vAlign w:val="center"/>
          </w:tcPr>
          <w:p w14:paraId="4404A092">
            <w:pPr>
              <w:spacing w:line="400" w:lineRule="auto"/>
              <w:rPr>
                <w:rFonts w:ascii="宋体" w:hAnsi="宋体" w:cs="宋体"/>
                <w:kern w:val="0"/>
                <w:sz w:val="18"/>
                <w:szCs w:val="18"/>
              </w:rPr>
            </w:pPr>
          </w:p>
        </w:tc>
      </w:tr>
      <w:tr w14:paraId="44D93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8" w:type="dxa"/>
            <w:vAlign w:val="center"/>
          </w:tcPr>
          <w:p w14:paraId="111E2528">
            <w:pPr>
              <w:spacing w:line="400" w:lineRule="auto"/>
              <w:rPr>
                <w:rFonts w:ascii="宋体" w:hAnsi="宋体" w:cs="宋体"/>
                <w:kern w:val="0"/>
                <w:sz w:val="18"/>
                <w:szCs w:val="18"/>
              </w:rPr>
            </w:pPr>
            <w:r>
              <w:rPr>
                <w:rFonts w:hint="eastAsia" w:ascii="新宋体" w:hAnsi="新宋体" w:eastAsia="新宋体" w:cs="新宋体"/>
                <w:kern w:val="0"/>
                <w:sz w:val="18"/>
                <w:szCs w:val="18"/>
              </w:rPr>
              <w:t>1</w:t>
            </w:r>
          </w:p>
        </w:tc>
        <w:tc>
          <w:tcPr>
            <w:tcW w:w="720" w:type="dxa"/>
            <w:vAlign w:val="center"/>
          </w:tcPr>
          <w:p w14:paraId="4A31BADA">
            <w:pPr>
              <w:spacing w:line="400" w:lineRule="auto"/>
              <w:rPr>
                <w:rFonts w:ascii="宋体" w:hAnsi="宋体" w:cs="宋体"/>
                <w:kern w:val="0"/>
                <w:sz w:val="18"/>
                <w:szCs w:val="18"/>
              </w:rPr>
            </w:pPr>
            <w:r>
              <w:rPr>
                <w:rFonts w:hint="eastAsia" w:ascii="新宋体" w:hAnsi="新宋体" w:eastAsia="新宋体" w:cs="新宋体"/>
                <w:kern w:val="0"/>
                <w:sz w:val="18"/>
                <w:szCs w:val="18"/>
              </w:rPr>
              <w:t>腰痛腿痛程度</w:t>
            </w:r>
          </w:p>
        </w:tc>
        <w:tc>
          <w:tcPr>
            <w:tcW w:w="1257" w:type="dxa"/>
            <w:vAlign w:val="center"/>
          </w:tcPr>
          <w:p w14:paraId="0EC82EAB">
            <w:pPr>
              <w:spacing w:line="400" w:lineRule="auto"/>
              <w:rPr>
                <w:rFonts w:ascii="宋体" w:hAnsi="宋体" w:cs="宋体"/>
                <w:kern w:val="0"/>
                <w:sz w:val="18"/>
                <w:szCs w:val="18"/>
              </w:rPr>
            </w:pPr>
            <w:r>
              <w:rPr>
                <w:rFonts w:hint="eastAsia" w:ascii="新宋体" w:hAnsi="新宋体" w:eastAsia="新宋体" w:cs="新宋体"/>
                <w:kern w:val="0"/>
                <w:sz w:val="18"/>
                <w:szCs w:val="18"/>
              </w:rPr>
              <w:t>无任何疼痛</w:t>
            </w:r>
          </w:p>
        </w:tc>
        <w:tc>
          <w:tcPr>
            <w:tcW w:w="1258" w:type="dxa"/>
            <w:vAlign w:val="center"/>
          </w:tcPr>
          <w:p w14:paraId="0F588B05">
            <w:pPr>
              <w:spacing w:line="400" w:lineRule="auto"/>
              <w:rPr>
                <w:rFonts w:ascii="宋体" w:hAnsi="宋体" w:cs="宋体"/>
                <w:kern w:val="0"/>
                <w:sz w:val="18"/>
                <w:szCs w:val="18"/>
              </w:rPr>
            </w:pPr>
            <w:r>
              <w:rPr>
                <w:rFonts w:hint="eastAsia" w:ascii="新宋体" w:hAnsi="新宋体" w:eastAsia="新宋体" w:cs="新宋体"/>
                <w:kern w:val="0"/>
                <w:sz w:val="18"/>
                <w:szCs w:val="18"/>
              </w:rPr>
              <w:t>轻微疼痛</w:t>
            </w:r>
          </w:p>
        </w:tc>
        <w:tc>
          <w:tcPr>
            <w:tcW w:w="1258" w:type="dxa"/>
            <w:vAlign w:val="center"/>
          </w:tcPr>
          <w:p w14:paraId="0E75669C">
            <w:pPr>
              <w:spacing w:line="400" w:lineRule="auto"/>
              <w:rPr>
                <w:rFonts w:ascii="宋体" w:hAnsi="宋体" w:cs="宋体"/>
                <w:kern w:val="0"/>
                <w:sz w:val="18"/>
                <w:szCs w:val="18"/>
              </w:rPr>
            </w:pPr>
            <w:r>
              <w:rPr>
                <w:rFonts w:hint="eastAsia" w:ascii="新宋体" w:hAnsi="新宋体" w:eastAsia="新宋体" w:cs="新宋体"/>
                <w:kern w:val="0"/>
                <w:sz w:val="18"/>
                <w:szCs w:val="18"/>
              </w:rPr>
              <w:t>疼痛中等</w:t>
            </w:r>
          </w:p>
        </w:tc>
        <w:tc>
          <w:tcPr>
            <w:tcW w:w="1257" w:type="dxa"/>
            <w:vAlign w:val="center"/>
          </w:tcPr>
          <w:p w14:paraId="4BD236D2">
            <w:pPr>
              <w:spacing w:line="400" w:lineRule="auto"/>
              <w:rPr>
                <w:rFonts w:ascii="宋体" w:hAnsi="宋体" w:cs="宋体"/>
                <w:kern w:val="0"/>
                <w:sz w:val="18"/>
                <w:szCs w:val="18"/>
              </w:rPr>
            </w:pPr>
            <w:r>
              <w:rPr>
                <w:rFonts w:hint="eastAsia" w:ascii="新宋体" w:hAnsi="新宋体" w:eastAsia="新宋体" w:cs="新宋体"/>
                <w:kern w:val="0"/>
                <w:sz w:val="18"/>
                <w:szCs w:val="18"/>
              </w:rPr>
              <w:t>严重疼痛</w:t>
            </w:r>
          </w:p>
        </w:tc>
        <w:tc>
          <w:tcPr>
            <w:tcW w:w="1258" w:type="dxa"/>
            <w:vAlign w:val="center"/>
          </w:tcPr>
          <w:p w14:paraId="60EE7411">
            <w:pPr>
              <w:spacing w:line="400" w:lineRule="auto"/>
              <w:rPr>
                <w:rFonts w:ascii="宋体" w:hAnsi="宋体" w:cs="宋体"/>
                <w:kern w:val="0"/>
                <w:sz w:val="18"/>
                <w:szCs w:val="18"/>
              </w:rPr>
            </w:pPr>
            <w:r>
              <w:rPr>
                <w:rFonts w:hint="eastAsia" w:ascii="新宋体" w:hAnsi="新宋体" w:eastAsia="新宋体" w:cs="新宋体"/>
                <w:kern w:val="0"/>
                <w:sz w:val="18"/>
                <w:szCs w:val="18"/>
              </w:rPr>
              <w:t>疼痛相当严重</w:t>
            </w:r>
          </w:p>
        </w:tc>
        <w:tc>
          <w:tcPr>
            <w:tcW w:w="1258" w:type="dxa"/>
            <w:vAlign w:val="center"/>
          </w:tcPr>
          <w:p w14:paraId="231B1140">
            <w:pPr>
              <w:spacing w:line="400" w:lineRule="auto"/>
              <w:rPr>
                <w:rFonts w:ascii="宋体" w:hAnsi="宋体" w:cs="宋体"/>
                <w:kern w:val="0"/>
                <w:sz w:val="18"/>
                <w:szCs w:val="18"/>
              </w:rPr>
            </w:pPr>
            <w:r>
              <w:rPr>
                <w:rFonts w:hint="eastAsia" w:ascii="新宋体" w:hAnsi="新宋体" w:eastAsia="新宋体" w:cs="新宋体"/>
                <w:kern w:val="0"/>
                <w:sz w:val="18"/>
                <w:szCs w:val="18"/>
              </w:rPr>
              <w:t>疼痛异常严重</w:t>
            </w:r>
          </w:p>
        </w:tc>
        <w:tc>
          <w:tcPr>
            <w:tcW w:w="603" w:type="dxa"/>
            <w:vAlign w:val="center"/>
          </w:tcPr>
          <w:p w14:paraId="6CDBFC85">
            <w:pPr>
              <w:spacing w:line="400" w:lineRule="auto"/>
              <w:rPr>
                <w:rFonts w:ascii="宋体" w:hAnsi="宋体" w:cs="宋体"/>
                <w:kern w:val="0"/>
                <w:sz w:val="18"/>
                <w:szCs w:val="18"/>
              </w:rPr>
            </w:pPr>
          </w:p>
        </w:tc>
      </w:tr>
      <w:tr w14:paraId="36C76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88" w:type="dxa"/>
            <w:vAlign w:val="center"/>
          </w:tcPr>
          <w:p w14:paraId="192DC750">
            <w:pPr>
              <w:spacing w:line="400" w:lineRule="auto"/>
              <w:rPr>
                <w:rFonts w:ascii="宋体" w:hAnsi="宋体" w:cs="宋体"/>
                <w:kern w:val="0"/>
                <w:sz w:val="18"/>
                <w:szCs w:val="18"/>
              </w:rPr>
            </w:pPr>
            <w:r>
              <w:rPr>
                <w:rFonts w:hint="eastAsia" w:ascii="新宋体" w:hAnsi="新宋体" w:eastAsia="新宋体" w:cs="新宋体"/>
                <w:kern w:val="0"/>
                <w:sz w:val="18"/>
                <w:szCs w:val="18"/>
              </w:rPr>
              <w:t>2</w:t>
            </w:r>
          </w:p>
        </w:tc>
        <w:tc>
          <w:tcPr>
            <w:tcW w:w="720" w:type="dxa"/>
            <w:vAlign w:val="center"/>
          </w:tcPr>
          <w:p w14:paraId="5D570BB8">
            <w:pPr>
              <w:spacing w:line="400" w:lineRule="auto"/>
              <w:rPr>
                <w:rFonts w:ascii="宋体" w:hAnsi="宋体" w:cs="宋体"/>
                <w:kern w:val="0"/>
                <w:sz w:val="18"/>
                <w:szCs w:val="18"/>
              </w:rPr>
            </w:pPr>
            <w:r>
              <w:rPr>
                <w:rFonts w:hint="eastAsia" w:ascii="新宋体" w:hAnsi="新宋体" w:eastAsia="新宋体" w:cs="新宋体"/>
                <w:kern w:val="0"/>
                <w:sz w:val="18"/>
                <w:szCs w:val="18"/>
              </w:rPr>
              <w:t>个人生活料理情况</w:t>
            </w:r>
          </w:p>
        </w:tc>
        <w:tc>
          <w:tcPr>
            <w:tcW w:w="1257" w:type="dxa"/>
            <w:vAlign w:val="center"/>
          </w:tcPr>
          <w:p w14:paraId="442ABEA2">
            <w:pPr>
              <w:spacing w:line="400" w:lineRule="auto"/>
              <w:rPr>
                <w:rFonts w:ascii="宋体" w:hAnsi="宋体" w:cs="宋体"/>
                <w:kern w:val="0"/>
                <w:sz w:val="18"/>
                <w:szCs w:val="18"/>
              </w:rPr>
            </w:pPr>
            <w:r>
              <w:rPr>
                <w:rFonts w:hint="eastAsia" w:ascii="新宋体" w:hAnsi="新宋体" w:eastAsia="新宋体" w:cs="新宋体"/>
                <w:kern w:val="0"/>
                <w:sz w:val="18"/>
                <w:szCs w:val="18"/>
              </w:rPr>
              <w:t>正常料理个人生活，不会增加任何疼痛</w:t>
            </w:r>
          </w:p>
        </w:tc>
        <w:tc>
          <w:tcPr>
            <w:tcW w:w="1258" w:type="dxa"/>
            <w:vAlign w:val="center"/>
          </w:tcPr>
          <w:p w14:paraId="21BEB917">
            <w:pPr>
              <w:spacing w:line="400" w:lineRule="auto"/>
              <w:rPr>
                <w:rFonts w:ascii="宋体" w:hAnsi="宋体" w:cs="宋体"/>
                <w:kern w:val="0"/>
                <w:sz w:val="18"/>
                <w:szCs w:val="18"/>
              </w:rPr>
            </w:pPr>
            <w:r>
              <w:rPr>
                <w:rFonts w:hint="eastAsia" w:ascii="新宋体" w:hAnsi="新宋体" w:eastAsia="新宋体" w:cs="新宋体"/>
                <w:kern w:val="0"/>
                <w:sz w:val="18"/>
                <w:szCs w:val="18"/>
              </w:rPr>
              <w:t>能够正常料理个人生活，但非常疼痛</w:t>
            </w:r>
          </w:p>
        </w:tc>
        <w:tc>
          <w:tcPr>
            <w:tcW w:w="1258" w:type="dxa"/>
            <w:vAlign w:val="center"/>
          </w:tcPr>
          <w:p w14:paraId="58A5822C">
            <w:pPr>
              <w:spacing w:line="400" w:lineRule="auto"/>
              <w:rPr>
                <w:rFonts w:ascii="宋体" w:hAnsi="宋体" w:cs="宋体"/>
                <w:kern w:val="0"/>
                <w:sz w:val="18"/>
                <w:szCs w:val="18"/>
              </w:rPr>
            </w:pPr>
            <w:r>
              <w:rPr>
                <w:rFonts w:hint="eastAsia" w:ascii="新宋体" w:hAnsi="新宋体" w:eastAsia="新宋体" w:cs="新宋体"/>
                <w:kern w:val="0"/>
                <w:sz w:val="18"/>
                <w:szCs w:val="18"/>
              </w:rPr>
              <w:t>料理个人生活时疼痛，动作缓慢且小心</w:t>
            </w:r>
          </w:p>
        </w:tc>
        <w:tc>
          <w:tcPr>
            <w:tcW w:w="1257" w:type="dxa"/>
            <w:vAlign w:val="center"/>
          </w:tcPr>
          <w:p w14:paraId="75DCCDB2">
            <w:pPr>
              <w:spacing w:line="400" w:lineRule="auto"/>
              <w:rPr>
                <w:rFonts w:ascii="宋体" w:hAnsi="宋体" w:cs="宋体"/>
                <w:kern w:val="0"/>
                <w:sz w:val="18"/>
                <w:szCs w:val="18"/>
              </w:rPr>
            </w:pPr>
            <w:r>
              <w:rPr>
                <w:rFonts w:hint="eastAsia" w:ascii="新宋体" w:hAnsi="新宋体" w:eastAsia="新宋体" w:cs="新宋体"/>
                <w:kern w:val="0"/>
                <w:sz w:val="18"/>
                <w:szCs w:val="18"/>
              </w:rPr>
              <w:t>需要一些帮助，但可完成绝大部分个人料理</w:t>
            </w:r>
          </w:p>
        </w:tc>
        <w:tc>
          <w:tcPr>
            <w:tcW w:w="1258" w:type="dxa"/>
            <w:vAlign w:val="center"/>
          </w:tcPr>
          <w:p w14:paraId="1AD8E9A8">
            <w:pPr>
              <w:spacing w:line="400" w:lineRule="auto"/>
              <w:rPr>
                <w:rFonts w:ascii="宋体" w:hAnsi="宋体" w:cs="宋体"/>
                <w:kern w:val="0"/>
                <w:sz w:val="18"/>
                <w:szCs w:val="18"/>
              </w:rPr>
            </w:pPr>
            <w:r>
              <w:rPr>
                <w:rFonts w:hint="eastAsia" w:ascii="新宋体" w:hAnsi="新宋体" w:eastAsia="新宋体" w:cs="新宋体"/>
                <w:kern w:val="0"/>
                <w:sz w:val="18"/>
                <w:szCs w:val="18"/>
              </w:rPr>
              <w:t>绝大部分个人料理都需要帮助才能完成</w:t>
            </w:r>
          </w:p>
        </w:tc>
        <w:tc>
          <w:tcPr>
            <w:tcW w:w="1258" w:type="dxa"/>
            <w:vAlign w:val="center"/>
          </w:tcPr>
          <w:p w14:paraId="5FDEA61E">
            <w:pPr>
              <w:spacing w:line="400" w:lineRule="auto"/>
              <w:rPr>
                <w:rFonts w:ascii="宋体" w:hAnsi="宋体" w:cs="宋体"/>
                <w:kern w:val="0"/>
                <w:sz w:val="18"/>
                <w:szCs w:val="18"/>
              </w:rPr>
            </w:pPr>
            <w:r>
              <w:rPr>
                <w:rFonts w:hint="eastAsia" w:ascii="新宋体" w:hAnsi="新宋体" w:eastAsia="新宋体" w:cs="新宋体"/>
                <w:kern w:val="0"/>
                <w:sz w:val="18"/>
                <w:szCs w:val="18"/>
              </w:rPr>
              <w:t>不能穿衣，洗漱有困难，需要卧床</w:t>
            </w:r>
          </w:p>
        </w:tc>
        <w:tc>
          <w:tcPr>
            <w:tcW w:w="603" w:type="dxa"/>
            <w:vAlign w:val="center"/>
          </w:tcPr>
          <w:p w14:paraId="0951C59F">
            <w:pPr>
              <w:spacing w:line="400" w:lineRule="auto"/>
              <w:rPr>
                <w:rFonts w:ascii="宋体" w:hAnsi="宋体" w:cs="宋体"/>
                <w:kern w:val="0"/>
                <w:sz w:val="18"/>
                <w:szCs w:val="18"/>
              </w:rPr>
            </w:pPr>
          </w:p>
        </w:tc>
      </w:tr>
      <w:tr w14:paraId="2D275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688" w:type="dxa"/>
            <w:vAlign w:val="center"/>
          </w:tcPr>
          <w:p w14:paraId="3E8F11C3">
            <w:pPr>
              <w:spacing w:line="400" w:lineRule="auto"/>
              <w:rPr>
                <w:rFonts w:ascii="宋体" w:hAnsi="宋体" w:cs="宋体"/>
                <w:kern w:val="0"/>
                <w:sz w:val="18"/>
                <w:szCs w:val="18"/>
              </w:rPr>
            </w:pPr>
            <w:r>
              <w:rPr>
                <w:rFonts w:hint="eastAsia" w:ascii="新宋体" w:hAnsi="新宋体" w:eastAsia="新宋体" w:cs="新宋体"/>
                <w:kern w:val="0"/>
                <w:sz w:val="18"/>
                <w:szCs w:val="18"/>
              </w:rPr>
              <w:t>3</w:t>
            </w:r>
          </w:p>
        </w:tc>
        <w:tc>
          <w:tcPr>
            <w:tcW w:w="720" w:type="dxa"/>
            <w:vAlign w:val="center"/>
          </w:tcPr>
          <w:p w14:paraId="129E949C">
            <w:pPr>
              <w:spacing w:line="400" w:lineRule="auto"/>
              <w:rPr>
                <w:rFonts w:ascii="宋体" w:hAnsi="宋体" w:cs="宋体"/>
                <w:kern w:val="0"/>
                <w:sz w:val="18"/>
                <w:szCs w:val="18"/>
              </w:rPr>
            </w:pPr>
            <w:r>
              <w:rPr>
                <w:rFonts w:hint="eastAsia" w:ascii="新宋体" w:hAnsi="新宋体" w:eastAsia="新宋体" w:cs="新宋体"/>
                <w:kern w:val="0"/>
                <w:sz w:val="18"/>
                <w:szCs w:val="18"/>
              </w:rPr>
              <w:t>提举重物情况</w:t>
            </w:r>
          </w:p>
        </w:tc>
        <w:tc>
          <w:tcPr>
            <w:tcW w:w="1257" w:type="dxa"/>
            <w:vAlign w:val="center"/>
          </w:tcPr>
          <w:p w14:paraId="72A6CAF6">
            <w:pPr>
              <w:spacing w:line="400" w:lineRule="auto"/>
              <w:rPr>
                <w:rFonts w:ascii="宋体" w:hAnsi="宋体" w:cs="宋体"/>
                <w:kern w:val="0"/>
                <w:sz w:val="18"/>
                <w:szCs w:val="18"/>
              </w:rPr>
            </w:pPr>
            <w:r>
              <w:rPr>
                <w:rFonts w:hint="eastAsia" w:ascii="新宋体" w:hAnsi="新宋体" w:eastAsia="新宋体" w:cs="新宋体"/>
                <w:kern w:val="0"/>
                <w:sz w:val="18"/>
                <w:szCs w:val="18"/>
              </w:rPr>
              <w:t>提举重物时不会增加疼痛</w:t>
            </w:r>
          </w:p>
        </w:tc>
        <w:tc>
          <w:tcPr>
            <w:tcW w:w="1258" w:type="dxa"/>
            <w:vAlign w:val="center"/>
          </w:tcPr>
          <w:p w14:paraId="34B8A989">
            <w:pPr>
              <w:spacing w:line="400" w:lineRule="auto"/>
              <w:rPr>
                <w:rFonts w:ascii="宋体" w:hAnsi="宋体" w:cs="宋体"/>
                <w:kern w:val="0"/>
                <w:sz w:val="18"/>
                <w:szCs w:val="18"/>
              </w:rPr>
            </w:pPr>
            <w:r>
              <w:rPr>
                <w:rFonts w:hint="eastAsia" w:ascii="新宋体" w:hAnsi="新宋体" w:eastAsia="新宋体" w:cs="新宋体"/>
                <w:kern w:val="0"/>
                <w:sz w:val="18"/>
                <w:szCs w:val="18"/>
              </w:rPr>
              <w:t>能够提举重物，但疼痛有些增加</w:t>
            </w:r>
          </w:p>
        </w:tc>
        <w:tc>
          <w:tcPr>
            <w:tcW w:w="1258" w:type="dxa"/>
            <w:vAlign w:val="center"/>
          </w:tcPr>
          <w:p w14:paraId="77C384DA">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由于疼痛，不能将重物从地上提起，但如位置合适，可提起放在桌上的重物</w:t>
            </w:r>
          </w:p>
        </w:tc>
        <w:tc>
          <w:tcPr>
            <w:tcW w:w="1257" w:type="dxa"/>
            <w:vAlign w:val="center"/>
          </w:tcPr>
          <w:p w14:paraId="76D95A32">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由于疼痛，不能将重物从地上提起，但如位置合适，可提起较轻物品</w:t>
            </w:r>
          </w:p>
        </w:tc>
        <w:tc>
          <w:tcPr>
            <w:tcW w:w="1258" w:type="dxa"/>
            <w:vAlign w:val="center"/>
          </w:tcPr>
          <w:p w14:paraId="1C7DAA33">
            <w:pPr>
              <w:spacing w:line="400" w:lineRule="auto"/>
              <w:rPr>
                <w:rFonts w:ascii="宋体" w:hAnsi="宋体" w:cs="宋体"/>
                <w:kern w:val="0"/>
                <w:sz w:val="18"/>
                <w:szCs w:val="18"/>
              </w:rPr>
            </w:pPr>
            <w:r>
              <w:rPr>
                <w:rFonts w:hint="eastAsia" w:ascii="新宋体" w:hAnsi="新宋体" w:eastAsia="新宋体" w:cs="新宋体"/>
                <w:kern w:val="0"/>
                <w:sz w:val="18"/>
                <w:szCs w:val="18"/>
              </w:rPr>
              <w:t>能提举起较轻物品</w:t>
            </w:r>
          </w:p>
        </w:tc>
        <w:tc>
          <w:tcPr>
            <w:tcW w:w="1258" w:type="dxa"/>
            <w:vAlign w:val="center"/>
          </w:tcPr>
          <w:p w14:paraId="23CB3D73">
            <w:pPr>
              <w:spacing w:line="400" w:lineRule="auto"/>
              <w:rPr>
                <w:rFonts w:ascii="宋体" w:hAnsi="宋体" w:cs="宋体"/>
                <w:kern w:val="0"/>
                <w:sz w:val="18"/>
                <w:szCs w:val="18"/>
              </w:rPr>
            </w:pPr>
            <w:r>
              <w:rPr>
                <w:rFonts w:hint="eastAsia" w:ascii="新宋体" w:hAnsi="新宋体" w:eastAsia="新宋体" w:cs="新宋体"/>
                <w:kern w:val="0"/>
                <w:sz w:val="18"/>
                <w:szCs w:val="18"/>
              </w:rPr>
              <w:t>不能提举或携带任何物品</w:t>
            </w:r>
          </w:p>
        </w:tc>
        <w:tc>
          <w:tcPr>
            <w:tcW w:w="603" w:type="dxa"/>
            <w:vAlign w:val="center"/>
          </w:tcPr>
          <w:p w14:paraId="014E02A6">
            <w:pPr>
              <w:spacing w:line="400" w:lineRule="auto"/>
              <w:rPr>
                <w:rFonts w:ascii="宋体" w:hAnsi="宋体" w:cs="宋体"/>
                <w:kern w:val="0"/>
                <w:sz w:val="18"/>
                <w:szCs w:val="18"/>
              </w:rPr>
            </w:pPr>
          </w:p>
        </w:tc>
      </w:tr>
      <w:tr w14:paraId="2BB2E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688" w:type="dxa"/>
            <w:vAlign w:val="center"/>
          </w:tcPr>
          <w:p w14:paraId="1C944892">
            <w:pPr>
              <w:spacing w:line="400" w:lineRule="auto"/>
              <w:rPr>
                <w:rFonts w:ascii="宋体" w:hAnsi="宋体" w:cs="宋体"/>
                <w:kern w:val="0"/>
                <w:sz w:val="18"/>
                <w:szCs w:val="18"/>
              </w:rPr>
            </w:pPr>
            <w:r>
              <w:rPr>
                <w:rFonts w:hint="eastAsia" w:ascii="新宋体" w:hAnsi="新宋体" w:eastAsia="新宋体" w:cs="新宋体"/>
                <w:kern w:val="0"/>
                <w:sz w:val="18"/>
                <w:szCs w:val="18"/>
              </w:rPr>
              <w:t>4</w:t>
            </w:r>
          </w:p>
        </w:tc>
        <w:tc>
          <w:tcPr>
            <w:tcW w:w="720" w:type="dxa"/>
            <w:vAlign w:val="center"/>
          </w:tcPr>
          <w:p w14:paraId="6836C963">
            <w:pPr>
              <w:spacing w:line="400" w:lineRule="auto"/>
              <w:rPr>
                <w:rFonts w:ascii="宋体" w:hAnsi="宋体" w:cs="宋体"/>
                <w:kern w:val="0"/>
                <w:sz w:val="18"/>
                <w:szCs w:val="18"/>
              </w:rPr>
            </w:pPr>
            <w:r>
              <w:rPr>
                <w:rFonts w:hint="eastAsia" w:ascii="新宋体" w:hAnsi="新宋体" w:eastAsia="新宋体" w:cs="新宋体"/>
                <w:kern w:val="0"/>
                <w:sz w:val="18"/>
                <w:szCs w:val="18"/>
              </w:rPr>
              <w:t>行走状况</w:t>
            </w:r>
          </w:p>
        </w:tc>
        <w:tc>
          <w:tcPr>
            <w:tcW w:w="1257" w:type="dxa"/>
            <w:vAlign w:val="center"/>
          </w:tcPr>
          <w:p w14:paraId="11F07CF7">
            <w:pPr>
              <w:spacing w:line="400" w:lineRule="auto"/>
              <w:rPr>
                <w:rFonts w:ascii="宋体" w:hAnsi="宋体" w:cs="宋体"/>
                <w:kern w:val="0"/>
                <w:sz w:val="18"/>
                <w:szCs w:val="18"/>
              </w:rPr>
            </w:pPr>
            <w:r>
              <w:rPr>
                <w:rFonts w:hint="eastAsia" w:ascii="新宋体" w:hAnsi="新宋体" w:eastAsia="新宋体" w:cs="新宋体"/>
                <w:kern w:val="0"/>
                <w:sz w:val="18"/>
                <w:szCs w:val="18"/>
              </w:rPr>
              <w:t>疼痛不影响行走</w:t>
            </w:r>
          </w:p>
        </w:tc>
        <w:tc>
          <w:tcPr>
            <w:tcW w:w="1258" w:type="dxa"/>
            <w:vAlign w:val="center"/>
          </w:tcPr>
          <w:p w14:paraId="55FF72AA">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由于疼痛，行走不超过4里路</w:t>
            </w:r>
          </w:p>
        </w:tc>
        <w:tc>
          <w:tcPr>
            <w:tcW w:w="1258" w:type="dxa"/>
            <w:vAlign w:val="center"/>
          </w:tcPr>
          <w:p w14:paraId="13DADB07">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由于疼痛，行走不超过2里路</w:t>
            </w:r>
          </w:p>
        </w:tc>
        <w:tc>
          <w:tcPr>
            <w:tcW w:w="1257" w:type="dxa"/>
            <w:vAlign w:val="center"/>
          </w:tcPr>
          <w:p w14:paraId="52B1F43A">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由于疼痛，行走不超过100米</w:t>
            </w:r>
          </w:p>
        </w:tc>
        <w:tc>
          <w:tcPr>
            <w:tcW w:w="1258" w:type="dxa"/>
            <w:vAlign w:val="center"/>
          </w:tcPr>
          <w:p w14:paraId="2FE12CDF">
            <w:pPr>
              <w:spacing w:line="400" w:lineRule="auto"/>
              <w:rPr>
                <w:rFonts w:ascii="宋体" w:hAnsi="宋体" w:cs="宋体"/>
                <w:kern w:val="0"/>
                <w:sz w:val="18"/>
                <w:szCs w:val="18"/>
              </w:rPr>
            </w:pPr>
            <w:r>
              <w:rPr>
                <w:rFonts w:hint="eastAsia" w:ascii="新宋体" w:hAnsi="新宋体" w:eastAsia="新宋体" w:cs="新宋体"/>
                <w:kern w:val="0"/>
                <w:sz w:val="18"/>
                <w:szCs w:val="18"/>
              </w:rPr>
              <w:t>只能借助拐杖或腋杖行走</w:t>
            </w:r>
          </w:p>
        </w:tc>
        <w:tc>
          <w:tcPr>
            <w:tcW w:w="1258" w:type="dxa"/>
            <w:vAlign w:val="center"/>
          </w:tcPr>
          <w:p w14:paraId="6D46AD07">
            <w:pPr>
              <w:spacing w:line="400" w:lineRule="auto"/>
              <w:rPr>
                <w:rFonts w:ascii="宋体" w:hAnsi="宋体" w:cs="宋体"/>
                <w:kern w:val="0"/>
                <w:sz w:val="18"/>
                <w:szCs w:val="18"/>
              </w:rPr>
            </w:pPr>
            <w:r>
              <w:rPr>
                <w:rFonts w:hint="eastAsia" w:ascii="新宋体" w:hAnsi="新宋体" w:eastAsia="新宋体" w:cs="新宋体"/>
                <w:kern w:val="0"/>
                <w:sz w:val="18"/>
                <w:szCs w:val="18"/>
              </w:rPr>
              <w:t>大多数时间卧床，只能爬行去厕所</w:t>
            </w:r>
          </w:p>
        </w:tc>
        <w:tc>
          <w:tcPr>
            <w:tcW w:w="603" w:type="dxa"/>
            <w:vAlign w:val="center"/>
          </w:tcPr>
          <w:p w14:paraId="6072F6C3">
            <w:pPr>
              <w:spacing w:line="400" w:lineRule="auto"/>
              <w:rPr>
                <w:rFonts w:ascii="宋体" w:hAnsi="宋体" w:cs="宋体"/>
                <w:kern w:val="0"/>
                <w:sz w:val="18"/>
                <w:szCs w:val="18"/>
              </w:rPr>
            </w:pPr>
          </w:p>
        </w:tc>
      </w:tr>
      <w:tr w14:paraId="69656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88" w:type="dxa"/>
            <w:vAlign w:val="center"/>
          </w:tcPr>
          <w:p w14:paraId="3837C4D6">
            <w:pPr>
              <w:spacing w:line="400" w:lineRule="auto"/>
              <w:rPr>
                <w:rFonts w:ascii="宋体" w:hAnsi="宋体" w:cs="宋体"/>
                <w:kern w:val="0"/>
                <w:sz w:val="18"/>
                <w:szCs w:val="18"/>
              </w:rPr>
            </w:pPr>
            <w:r>
              <w:rPr>
                <w:rFonts w:hint="eastAsia" w:ascii="新宋体" w:hAnsi="新宋体" w:eastAsia="新宋体" w:cs="新宋体"/>
                <w:kern w:val="0"/>
                <w:sz w:val="18"/>
                <w:szCs w:val="18"/>
              </w:rPr>
              <w:t>5</w:t>
            </w:r>
          </w:p>
        </w:tc>
        <w:tc>
          <w:tcPr>
            <w:tcW w:w="720" w:type="dxa"/>
            <w:vAlign w:val="center"/>
          </w:tcPr>
          <w:p w14:paraId="4F0835B9">
            <w:pPr>
              <w:spacing w:line="400" w:lineRule="auto"/>
              <w:rPr>
                <w:rFonts w:ascii="宋体" w:hAnsi="宋体" w:cs="宋体"/>
                <w:kern w:val="0"/>
                <w:sz w:val="18"/>
                <w:szCs w:val="18"/>
              </w:rPr>
            </w:pPr>
            <w:r>
              <w:rPr>
                <w:rFonts w:hint="eastAsia" w:ascii="新宋体" w:hAnsi="新宋体" w:eastAsia="新宋体" w:cs="新宋体"/>
                <w:kern w:val="0"/>
                <w:sz w:val="18"/>
                <w:szCs w:val="18"/>
              </w:rPr>
              <w:t>坐立状况</w:t>
            </w:r>
          </w:p>
        </w:tc>
        <w:tc>
          <w:tcPr>
            <w:tcW w:w="1257" w:type="dxa"/>
            <w:vAlign w:val="center"/>
          </w:tcPr>
          <w:p w14:paraId="1EE9B7C4">
            <w:pPr>
              <w:spacing w:line="400" w:lineRule="auto"/>
              <w:rPr>
                <w:rFonts w:ascii="宋体" w:hAnsi="宋体" w:cs="宋体"/>
                <w:kern w:val="0"/>
                <w:sz w:val="18"/>
                <w:szCs w:val="18"/>
              </w:rPr>
            </w:pPr>
            <w:r>
              <w:rPr>
                <w:rFonts w:hint="eastAsia" w:ascii="新宋体" w:hAnsi="新宋体" w:eastAsia="新宋体" w:cs="新宋体"/>
                <w:kern w:val="0"/>
                <w:sz w:val="18"/>
                <w:szCs w:val="18"/>
              </w:rPr>
              <w:t>可以坐在任何座椅上，时间不受限制</w:t>
            </w:r>
          </w:p>
        </w:tc>
        <w:tc>
          <w:tcPr>
            <w:tcW w:w="1258" w:type="dxa"/>
            <w:vAlign w:val="center"/>
          </w:tcPr>
          <w:p w14:paraId="62A03247">
            <w:pPr>
              <w:spacing w:line="400" w:lineRule="auto"/>
              <w:rPr>
                <w:rFonts w:ascii="宋体" w:hAnsi="宋体" w:cs="宋体"/>
                <w:kern w:val="0"/>
                <w:sz w:val="18"/>
                <w:szCs w:val="18"/>
              </w:rPr>
            </w:pPr>
            <w:r>
              <w:rPr>
                <w:rFonts w:hint="eastAsia" w:ascii="新宋体" w:hAnsi="新宋体" w:eastAsia="新宋体" w:cs="新宋体"/>
                <w:kern w:val="0"/>
                <w:sz w:val="18"/>
                <w:szCs w:val="18"/>
              </w:rPr>
              <w:t>能够坐在合适的座椅上，时间不受限</w:t>
            </w:r>
          </w:p>
        </w:tc>
        <w:tc>
          <w:tcPr>
            <w:tcW w:w="1258" w:type="dxa"/>
            <w:vAlign w:val="center"/>
          </w:tcPr>
          <w:p w14:paraId="2210D93D">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由于疼痛，坐立不能超过1小时</w:t>
            </w:r>
          </w:p>
        </w:tc>
        <w:tc>
          <w:tcPr>
            <w:tcW w:w="1257" w:type="dxa"/>
            <w:vAlign w:val="center"/>
          </w:tcPr>
          <w:p w14:paraId="19E2167F">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由于疼痛，坐立不能超过半小时</w:t>
            </w:r>
          </w:p>
        </w:tc>
        <w:tc>
          <w:tcPr>
            <w:tcW w:w="1258" w:type="dxa"/>
            <w:vAlign w:val="center"/>
          </w:tcPr>
          <w:p w14:paraId="614AF801">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由于疼痛，坐立不能超过10分钟</w:t>
            </w:r>
          </w:p>
        </w:tc>
        <w:tc>
          <w:tcPr>
            <w:tcW w:w="1258" w:type="dxa"/>
            <w:vAlign w:val="center"/>
          </w:tcPr>
          <w:p w14:paraId="5C75FB54">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由于疼痛，根本不能坐立</w:t>
            </w:r>
          </w:p>
        </w:tc>
        <w:tc>
          <w:tcPr>
            <w:tcW w:w="603" w:type="dxa"/>
            <w:vAlign w:val="center"/>
          </w:tcPr>
          <w:p w14:paraId="5574EE00">
            <w:pPr>
              <w:spacing w:line="400" w:lineRule="auto"/>
              <w:rPr>
                <w:rFonts w:ascii="宋体" w:hAnsi="宋体" w:cs="宋体"/>
                <w:kern w:val="0"/>
                <w:sz w:val="18"/>
                <w:szCs w:val="18"/>
              </w:rPr>
            </w:pPr>
          </w:p>
        </w:tc>
      </w:tr>
      <w:tr w14:paraId="441EA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88" w:type="dxa"/>
            <w:vAlign w:val="center"/>
          </w:tcPr>
          <w:p w14:paraId="0B019714">
            <w:pPr>
              <w:spacing w:line="400" w:lineRule="auto"/>
              <w:rPr>
                <w:rFonts w:ascii="宋体" w:hAnsi="宋体" w:cs="宋体"/>
                <w:kern w:val="0"/>
                <w:sz w:val="18"/>
                <w:szCs w:val="18"/>
              </w:rPr>
            </w:pPr>
            <w:r>
              <w:rPr>
                <w:rFonts w:hint="eastAsia" w:ascii="新宋体" w:hAnsi="新宋体" w:eastAsia="新宋体" w:cs="新宋体"/>
                <w:kern w:val="0"/>
                <w:sz w:val="18"/>
                <w:szCs w:val="18"/>
              </w:rPr>
              <w:t>6</w:t>
            </w:r>
          </w:p>
        </w:tc>
        <w:tc>
          <w:tcPr>
            <w:tcW w:w="720" w:type="dxa"/>
            <w:vAlign w:val="center"/>
          </w:tcPr>
          <w:p w14:paraId="13B7BA3F">
            <w:pPr>
              <w:spacing w:line="400" w:lineRule="auto"/>
              <w:rPr>
                <w:rFonts w:ascii="宋体" w:hAnsi="宋体" w:cs="宋体"/>
                <w:kern w:val="0"/>
                <w:sz w:val="18"/>
                <w:szCs w:val="18"/>
              </w:rPr>
            </w:pPr>
            <w:r>
              <w:rPr>
                <w:rFonts w:hint="eastAsia" w:ascii="新宋体" w:hAnsi="新宋体" w:eastAsia="新宋体" w:cs="新宋体"/>
                <w:kern w:val="0"/>
                <w:sz w:val="18"/>
                <w:szCs w:val="18"/>
              </w:rPr>
              <w:t>站立状况</w:t>
            </w:r>
          </w:p>
        </w:tc>
        <w:tc>
          <w:tcPr>
            <w:tcW w:w="1257" w:type="dxa"/>
            <w:vAlign w:val="center"/>
          </w:tcPr>
          <w:p w14:paraId="02EE5E62">
            <w:pPr>
              <w:spacing w:line="400" w:lineRule="auto"/>
              <w:rPr>
                <w:rFonts w:ascii="宋体" w:hAnsi="宋体" w:cs="宋体"/>
                <w:kern w:val="0"/>
                <w:sz w:val="18"/>
                <w:szCs w:val="18"/>
              </w:rPr>
            </w:pPr>
            <w:r>
              <w:rPr>
                <w:rFonts w:hint="eastAsia" w:ascii="新宋体" w:hAnsi="新宋体" w:eastAsia="新宋体" w:cs="新宋体"/>
                <w:kern w:val="0"/>
                <w:sz w:val="18"/>
                <w:szCs w:val="18"/>
              </w:rPr>
              <w:t>能任何长时间站立，不会增加疼痛</w:t>
            </w:r>
          </w:p>
        </w:tc>
        <w:tc>
          <w:tcPr>
            <w:tcW w:w="1258" w:type="dxa"/>
            <w:vAlign w:val="center"/>
          </w:tcPr>
          <w:p w14:paraId="34561D1C">
            <w:pPr>
              <w:spacing w:line="400" w:lineRule="auto"/>
              <w:rPr>
                <w:rFonts w:ascii="宋体" w:hAnsi="宋体" w:cs="宋体"/>
                <w:kern w:val="0"/>
                <w:sz w:val="18"/>
                <w:szCs w:val="18"/>
              </w:rPr>
            </w:pPr>
            <w:r>
              <w:rPr>
                <w:rFonts w:hint="eastAsia" w:ascii="新宋体" w:hAnsi="新宋体" w:eastAsia="新宋体" w:cs="新宋体"/>
                <w:kern w:val="0"/>
                <w:sz w:val="18"/>
                <w:szCs w:val="18"/>
              </w:rPr>
              <w:t>能任何长时间站立，但会增加疼痛</w:t>
            </w:r>
          </w:p>
        </w:tc>
        <w:tc>
          <w:tcPr>
            <w:tcW w:w="1258" w:type="dxa"/>
            <w:vAlign w:val="center"/>
          </w:tcPr>
          <w:p w14:paraId="103DF8FC">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由于疼痛，站立不能超过1小时</w:t>
            </w:r>
          </w:p>
        </w:tc>
        <w:tc>
          <w:tcPr>
            <w:tcW w:w="1257" w:type="dxa"/>
            <w:vAlign w:val="center"/>
          </w:tcPr>
          <w:p w14:paraId="6227C006">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由于疼痛，站立不能超过半小时</w:t>
            </w:r>
          </w:p>
        </w:tc>
        <w:tc>
          <w:tcPr>
            <w:tcW w:w="1258" w:type="dxa"/>
            <w:vAlign w:val="center"/>
          </w:tcPr>
          <w:p w14:paraId="1C766AC4">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由于疼痛，站立不能超过10分钟</w:t>
            </w:r>
          </w:p>
        </w:tc>
        <w:tc>
          <w:tcPr>
            <w:tcW w:w="1258" w:type="dxa"/>
            <w:vAlign w:val="center"/>
          </w:tcPr>
          <w:p w14:paraId="7F1AEC3F">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由于疼痛，根本不能站立</w:t>
            </w:r>
          </w:p>
        </w:tc>
        <w:tc>
          <w:tcPr>
            <w:tcW w:w="603" w:type="dxa"/>
            <w:vAlign w:val="center"/>
          </w:tcPr>
          <w:p w14:paraId="183FEAFB">
            <w:pPr>
              <w:spacing w:line="400" w:lineRule="auto"/>
              <w:rPr>
                <w:rFonts w:ascii="宋体" w:hAnsi="宋体" w:cs="宋体"/>
                <w:kern w:val="0"/>
                <w:sz w:val="18"/>
                <w:szCs w:val="18"/>
              </w:rPr>
            </w:pPr>
          </w:p>
        </w:tc>
      </w:tr>
      <w:tr w14:paraId="757D1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8" w:type="dxa"/>
            <w:vAlign w:val="center"/>
          </w:tcPr>
          <w:p w14:paraId="0EDDB80A">
            <w:pPr>
              <w:spacing w:line="400" w:lineRule="auto"/>
              <w:rPr>
                <w:rFonts w:ascii="宋体" w:hAnsi="宋体" w:cs="宋体"/>
                <w:kern w:val="0"/>
                <w:sz w:val="18"/>
                <w:szCs w:val="18"/>
              </w:rPr>
            </w:pPr>
            <w:r>
              <w:rPr>
                <w:rFonts w:hint="eastAsia" w:ascii="新宋体" w:hAnsi="新宋体" w:eastAsia="新宋体" w:cs="新宋体"/>
                <w:kern w:val="0"/>
                <w:sz w:val="18"/>
                <w:szCs w:val="18"/>
              </w:rPr>
              <w:t>7</w:t>
            </w:r>
          </w:p>
        </w:tc>
        <w:tc>
          <w:tcPr>
            <w:tcW w:w="720" w:type="dxa"/>
            <w:vAlign w:val="center"/>
          </w:tcPr>
          <w:p w14:paraId="10012064">
            <w:pPr>
              <w:spacing w:line="400" w:lineRule="auto"/>
              <w:rPr>
                <w:rFonts w:ascii="宋体" w:hAnsi="宋体" w:cs="宋体"/>
                <w:kern w:val="0"/>
                <w:sz w:val="18"/>
                <w:szCs w:val="18"/>
              </w:rPr>
            </w:pPr>
            <w:r>
              <w:rPr>
                <w:rFonts w:hint="eastAsia" w:ascii="新宋体" w:hAnsi="新宋体" w:eastAsia="新宋体" w:cs="新宋体"/>
                <w:kern w:val="0"/>
                <w:sz w:val="18"/>
                <w:szCs w:val="18"/>
              </w:rPr>
              <w:t>睡眠状况</w:t>
            </w:r>
          </w:p>
        </w:tc>
        <w:tc>
          <w:tcPr>
            <w:tcW w:w="1257" w:type="dxa"/>
            <w:vAlign w:val="center"/>
          </w:tcPr>
          <w:p w14:paraId="7E2A3BF0">
            <w:pPr>
              <w:spacing w:line="400" w:lineRule="auto"/>
              <w:rPr>
                <w:rFonts w:ascii="宋体" w:hAnsi="宋体" w:cs="宋体"/>
                <w:kern w:val="0"/>
                <w:sz w:val="18"/>
                <w:szCs w:val="18"/>
              </w:rPr>
            </w:pPr>
            <w:r>
              <w:rPr>
                <w:rFonts w:hint="eastAsia" w:ascii="新宋体" w:hAnsi="新宋体" w:eastAsia="新宋体" w:cs="新宋体"/>
                <w:kern w:val="0"/>
                <w:sz w:val="18"/>
                <w:szCs w:val="18"/>
              </w:rPr>
              <w:t>睡眠从来不受疼痛困扰</w:t>
            </w:r>
          </w:p>
        </w:tc>
        <w:tc>
          <w:tcPr>
            <w:tcW w:w="1258" w:type="dxa"/>
            <w:vAlign w:val="center"/>
          </w:tcPr>
          <w:p w14:paraId="1E882A39">
            <w:pPr>
              <w:spacing w:line="400" w:lineRule="auto"/>
              <w:rPr>
                <w:rFonts w:ascii="宋体" w:hAnsi="宋体" w:cs="宋体"/>
                <w:kern w:val="0"/>
                <w:sz w:val="18"/>
                <w:szCs w:val="18"/>
              </w:rPr>
            </w:pPr>
            <w:r>
              <w:rPr>
                <w:rFonts w:hint="eastAsia" w:ascii="新宋体" w:hAnsi="新宋体" w:eastAsia="新宋体" w:cs="新宋体"/>
                <w:kern w:val="0"/>
                <w:sz w:val="18"/>
                <w:szCs w:val="18"/>
              </w:rPr>
              <w:t>偶尔因疼痛影响睡眠</w:t>
            </w:r>
          </w:p>
        </w:tc>
        <w:tc>
          <w:tcPr>
            <w:tcW w:w="1258" w:type="dxa"/>
            <w:vAlign w:val="center"/>
          </w:tcPr>
          <w:p w14:paraId="72BC0404">
            <w:pPr>
              <w:spacing w:line="400" w:lineRule="auto"/>
              <w:rPr>
                <w:rFonts w:ascii="宋体" w:hAnsi="宋体" w:cs="宋体"/>
                <w:kern w:val="0"/>
                <w:sz w:val="18"/>
                <w:szCs w:val="18"/>
              </w:rPr>
            </w:pPr>
            <w:r>
              <w:rPr>
                <w:rFonts w:hint="eastAsia" w:ascii="新宋体" w:hAnsi="新宋体" w:eastAsia="新宋体" w:cs="新宋体"/>
                <w:kern w:val="0"/>
                <w:sz w:val="18"/>
                <w:szCs w:val="18"/>
              </w:rPr>
              <w:t>因疼痛，每天睡眠不到6h</w:t>
            </w:r>
          </w:p>
        </w:tc>
        <w:tc>
          <w:tcPr>
            <w:tcW w:w="1257" w:type="dxa"/>
            <w:vAlign w:val="center"/>
          </w:tcPr>
          <w:p w14:paraId="3045F68D">
            <w:pPr>
              <w:spacing w:line="400" w:lineRule="auto"/>
              <w:rPr>
                <w:rFonts w:ascii="宋体" w:hAnsi="宋体" w:cs="宋体"/>
                <w:kern w:val="0"/>
                <w:sz w:val="18"/>
                <w:szCs w:val="18"/>
              </w:rPr>
            </w:pPr>
            <w:r>
              <w:rPr>
                <w:rFonts w:hint="eastAsia" w:ascii="新宋体" w:hAnsi="新宋体" w:eastAsia="新宋体" w:cs="新宋体"/>
                <w:kern w:val="0"/>
                <w:sz w:val="18"/>
                <w:szCs w:val="18"/>
              </w:rPr>
              <w:t>因疼痛，每天睡眠不到4h</w:t>
            </w:r>
          </w:p>
        </w:tc>
        <w:tc>
          <w:tcPr>
            <w:tcW w:w="1258" w:type="dxa"/>
            <w:vAlign w:val="center"/>
          </w:tcPr>
          <w:p w14:paraId="20BFCD52">
            <w:pPr>
              <w:spacing w:line="400" w:lineRule="auto"/>
              <w:rPr>
                <w:rFonts w:ascii="宋体" w:hAnsi="宋体" w:cs="宋体"/>
                <w:kern w:val="0"/>
                <w:sz w:val="18"/>
                <w:szCs w:val="18"/>
              </w:rPr>
            </w:pPr>
            <w:r>
              <w:rPr>
                <w:rFonts w:hint="eastAsia" w:ascii="新宋体" w:hAnsi="新宋体" w:eastAsia="新宋体" w:cs="新宋体"/>
                <w:kern w:val="0"/>
                <w:sz w:val="18"/>
                <w:szCs w:val="18"/>
              </w:rPr>
              <w:t>因疼痛，每天睡眠不到2h</w:t>
            </w:r>
          </w:p>
        </w:tc>
        <w:tc>
          <w:tcPr>
            <w:tcW w:w="1258" w:type="dxa"/>
            <w:vAlign w:val="center"/>
          </w:tcPr>
          <w:p w14:paraId="46F0F937">
            <w:pPr>
              <w:spacing w:line="400" w:lineRule="auto"/>
              <w:rPr>
                <w:rFonts w:ascii="宋体" w:hAnsi="宋体" w:cs="宋体"/>
                <w:kern w:val="0"/>
                <w:sz w:val="18"/>
                <w:szCs w:val="18"/>
              </w:rPr>
            </w:pPr>
            <w:r>
              <w:rPr>
                <w:rFonts w:hint="eastAsia" w:ascii="新宋体" w:hAnsi="新宋体" w:eastAsia="新宋体" w:cs="新宋体"/>
                <w:kern w:val="0"/>
                <w:sz w:val="18"/>
                <w:szCs w:val="18"/>
              </w:rPr>
              <w:t>因疼痛，根本无法入睡</w:t>
            </w:r>
          </w:p>
        </w:tc>
        <w:tc>
          <w:tcPr>
            <w:tcW w:w="603" w:type="dxa"/>
            <w:vAlign w:val="center"/>
          </w:tcPr>
          <w:p w14:paraId="63F7317B">
            <w:pPr>
              <w:spacing w:line="400" w:lineRule="auto"/>
              <w:rPr>
                <w:rFonts w:ascii="宋体" w:hAnsi="宋体" w:cs="宋体"/>
                <w:kern w:val="0"/>
                <w:sz w:val="18"/>
                <w:szCs w:val="18"/>
              </w:rPr>
            </w:pPr>
          </w:p>
        </w:tc>
      </w:tr>
      <w:tr w14:paraId="7AB7A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88" w:type="dxa"/>
            <w:vAlign w:val="center"/>
          </w:tcPr>
          <w:p w14:paraId="0139C6B9">
            <w:pPr>
              <w:spacing w:line="400" w:lineRule="auto"/>
              <w:rPr>
                <w:rFonts w:ascii="宋体" w:hAnsi="宋体" w:cs="宋体"/>
                <w:kern w:val="0"/>
                <w:sz w:val="18"/>
                <w:szCs w:val="18"/>
              </w:rPr>
            </w:pPr>
            <w:r>
              <w:rPr>
                <w:rFonts w:hint="eastAsia" w:ascii="新宋体" w:hAnsi="新宋体" w:eastAsia="新宋体" w:cs="新宋体"/>
                <w:kern w:val="0"/>
                <w:sz w:val="18"/>
                <w:szCs w:val="18"/>
              </w:rPr>
              <w:t>8</w:t>
            </w:r>
          </w:p>
        </w:tc>
        <w:tc>
          <w:tcPr>
            <w:tcW w:w="720" w:type="dxa"/>
            <w:vAlign w:val="center"/>
          </w:tcPr>
          <w:p w14:paraId="2F422974">
            <w:pPr>
              <w:spacing w:line="400" w:lineRule="auto"/>
              <w:rPr>
                <w:rFonts w:ascii="宋体" w:hAnsi="宋体" w:cs="宋体"/>
                <w:kern w:val="0"/>
                <w:sz w:val="18"/>
                <w:szCs w:val="18"/>
              </w:rPr>
            </w:pPr>
            <w:r>
              <w:rPr>
                <w:rFonts w:hint="eastAsia" w:ascii="新宋体" w:hAnsi="新宋体" w:eastAsia="新宋体" w:cs="新宋体"/>
                <w:kern w:val="0"/>
                <w:sz w:val="18"/>
                <w:szCs w:val="18"/>
              </w:rPr>
              <w:t>性生活状况</w:t>
            </w:r>
          </w:p>
        </w:tc>
        <w:tc>
          <w:tcPr>
            <w:tcW w:w="1257" w:type="dxa"/>
            <w:vAlign w:val="center"/>
          </w:tcPr>
          <w:p w14:paraId="27274381">
            <w:pPr>
              <w:spacing w:line="400" w:lineRule="auto"/>
              <w:rPr>
                <w:rFonts w:ascii="宋体" w:hAnsi="宋体" w:cs="宋体"/>
                <w:kern w:val="0"/>
                <w:sz w:val="18"/>
                <w:szCs w:val="18"/>
              </w:rPr>
            </w:pPr>
            <w:r>
              <w:rPr>
                <w:rFonts w:hint="eastAsia" w:ascii="新宋体" w:hAnsi="新宋体" w:eastAsia="新宋体" w:cs="新宋体"/>
                <w:kern w:val="0"/>
                <w:sz w:val="18"/>
                <w:szCs w:val="18"/>
              </w:rPr>
              <w:t>性生活完全正常，疼痛不会增加</w:t>
            </w:r>
          </w:p>
        </w:tc>
        <w:tc>
          <w:tcPr>
            <w:tcW w:w="1258" w:type="dxa"/>
            <w:vAlign w:val="center"/>
          </w:tcPr>
          <w:p w14:paraId="5D70505C">
            <w:pPr>
              <w:spacing w:line="400" w:lineRule="auto"/>
              <w:rPr>
                <w:rFonts w:ascii="宋体" w:hAnsi="宋体" w:cs="宋体"/>
                <w:kern w:val="0"/>
                <w:sz w:val="18"/>
                <w:szCs w:val="18"/>
              </w:rPr>
            </w:pPr>
            <w:r>
              <w:rPr>
                <w:rFonts w:hint="eastAsia" w:ascii="新宋体" w:hAnsi="新宋体" w:eastAsia="新宋体" w:cs="新宋体"/>
                <w:kern w:val="0"/>
                <w:sz w:val="18"/>
                <w:szCs w:val="18"/>
              </w:rPr>
              <w:t>性生活正常，但疼痛会有所增加</w:t>
            </w:r>
          </w:p>
        </w:tc>
        <w:tc>
          <w:tcPr>
            <w:tcW w:w="1258" w:type="dxa"/>
            <w:vAlign w:val="center"/>
          </w:tcPr>
          <w:p w14:paraId="775F9806">
            <w:pPr>
              <w:spacing w:line="400" w:lineRule="auto"/>
              <w:rPr>
                <w:rFonts w:ascii="宋体" w:hAnsi="宋体" w:cs="宋体"/>
                <w:kern w:val="0"/>
                <w:sz w:val="18"/>
                <w:szCs w:val="18"/>
              </w:rPr>
            </w:pPr>
            <w:r>
              <w:rPr>
                <w:rFonts w:hint="eastAsia" w:ascii="新宋体" w:hAnsi="新宋体" w:eastAsia="新宋体" w:cs="新宋体"/>
                <w:kern w:val="0"/>
                <w:sz w:val="18"/>
                <w:szCs w:val="18"/>
              </w:rPr>
              <w:t>性生活基本正常，但会引起严重疼痛</w:t>
            </w:r>
          </w:p>
        </w:tc>
        <w:tc>
          <w:tcPr>
            <w:tcW w:w="1257" w:type="dxa"/>
            <w:vAlign w:val="center"/>
          </w:tcPr>
          <w:p w14:paraId="4B7F8B16">
            <w:pPr>
              <w:spacing w:line="400" w:lineRule="auto"/>
              <w:rPr>
                <w:rFonts w:ascii="宋体" w:hAnsi="宋体" w:cs="宋体"/>
                <w:kern w:val="0"/>
                <w:sz w:val="18"/>
                <w:szCs w:val="18"/>
              </w:rPr>
            </w:pPr>
            <w:r>
              <w:rPr>
                <w:rFonts w:hint="eastAsia" w:ascii="新宋体" w:hAnsi="新宋体" w:eastAsia="新宋体" w:cs="新宋体"/>
                <w:kern w:val="0"/>
                <w:sz w:val="18"/>
                <w:szCs w:val="18"/>
              </w:rPr>
              <w:t>疼痛严重影响性生活</w:t>
            </w:r>
          </w:p>
        </w:tc>
        <w:tc>
          <w:tcPr>
            <w:tcW w:w="1258" w:type="dxa"/>
            <w:vAlign w:val="center"/>
          </w:tcPr>
          <w:p w14:paraId="7F290D54">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由于疼痛，几乎没有性生活</w:t>
            </w:r>
          </w:p>
        </w:tc>
        <w:tc>
          <w:tcPr>
            <w:tcW w:w="1258" w:type="dxa"/>
            <w:vAlign w:val="center"/>
          </w:tcPr>
          <w:p w14:paraId="5FA09CBF">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由于疼痛，完全没有性生活</w:t>
            </w:r>
          </w:p>
        </w:tc>
        <w:tc>
          <w:tcPr>
            <w:tcW w:w="603" w:type="dxa"/>
            <w:vAlign w:val="center"/>
          </w:tcPr>
          <w:p w14:paraId="59F9E9B6">
            <w:pPr>
              <w:spacing w:line="400" w:lineRule="auto"/>
              <w:rPr>
                <w:rFonts w:ascii="宋体" w:hAnsi="宋体" w:cs="宋体"/>
                <w:kern w:val="0"/>
                <w:sz w:val="18"/>
                <w:szCs w:val="18"/>
              </w:rPr>
            </w:pPr>
          </w:p>
        </w:tc>
      </w:tr>
      <w:tr w14:paraId="6FF6A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8" w:type="dxa"/>
            <w:vAlign w:val="center"/>
          </w:tcPr>
          <w:p w14:paraId="04A762C1">
            <w:pPr>
              <w:spacing w:line="400" w:lineRule="auto"/>
              <w:rPr>
                <w:rFonts w:ascii="宋体" w:hAnsi="宋体" w:cs="宋体"/>
                <w:kern w:val="0"/>
                <w:sz w:val="18"/>
                <w:szCs w:val="18"/>
              </w:rPr>
            </w:pPr>
            <w:r>
              <w:rPr>
                <w:rFonts w:hint="eastAsia" w:ascii="新宋体" w:hAnsi="新宋体" w:eastAsia="新宋体" w:cs="新宋体"/>
                <w:kern w:val="0"/>
                <w:sz w:val="18"/>
                <w:szCs w:val="18"/>
              </w:rPr>
              <w:t>9</w:t>
            </w:r>
          </w:p>
        </w:tc>
        <w:tc>
          <w:tcPr>
            <w:tcW w:w="720" w:type="dxa"/>
            <w:vAlign w:val="center"/>
          </w:tcPr>
          <w:p w14:paraId="5F65251B">
            <w:pPr>
              <w:spacing w:line="400" w:lineRule="auto"/>
              <w:rPr>
                <w:rFonts w:ascii="宋体" w:hAnsi="宋体" w:cs="宋体"/>
                <w:kern w:val="0"/>
                <w:sz w:val="18"/>
                <w:szCs w:val="18"/>
              </w:rPr>
            </w:pPr>
            <w:r>
              <w:rPr>
                <w:rFonts w:hint="eastAsia" w:ascii="新宋体" w:hAnsi="新宋体" w:eastAsia="新宋体" w:cs="新宋体"/>
                <w:kern w:val="0"/>
                <w:sz w:val="18"/>
                <w:szCs w:val="18"/>
              </w:rPr>
              <w:t>社会生活状况</w:t>
            </w:r>
          </w:p>
        </w:tc>
        <w:tc>
          <w:tcPr>
            <w:tcW w:w="1257" w:type="dxa"/>
            <w:vAlign w:val="center"/>
          </w:tcPr>
          <w:p w14:paraId="4D003F43">
            <w:pPr>
              <w:spacing w:line="400" w:lineRule="auto"/>
              <w:rPr>
                <w:rFonts w:ascii="宋体" w:hAnsi="宋体" w:cs="宋体"/>
                <w:kern w:val="0"/>
                <w:sz w:val="18"/>
                <w:szCs w:val="18"/>
              </w:rPr>
            </w:pPr>
            <w:r>
              <w:rPr>
                <w:rFonts w:hint="eastAsia" w:ascii="新宋体" w:hAnsi="新宋体" w:eastAsia="新宋体" w:cs="新宋体"/>
                <w:kern w:val="0"/>
                <w:sz w:val="18"/>
                <w:szCs w:val="18"/>
              </w:rPr>
              <w:t>社会生活完全正常，不会增加疼痛</w:t>
            </w:r>
          </w:p>
        </w:tc>
        <w:tc>
          <w:tcPr>
            <w:tcW w:w="1258" w:type="dxa"/>
            <w:vAlign w:val="center"/>
          </w:tcPr>
          <w:p w14:paraId="27FAA9B3">
            <w:pPr>
              <w:spacing w:line="400" w:lineRule="auto"/>
              <w:rPr>
                <w:rFonts w:ascii="宋体" w:hAnsi="宋体" w:cs="宋体"/>
                <w:kern w:val="0"/>
                <w:sz w:val="18"/>
                <w:szCs w:val="18"/>
              </w:rPr>
            </w:pPr>
            <w:r>
              <w:rPr>
                <w:rFonts w:hint="eastAsia" w:ascii="新宋体" w:hAnsi="新宋体" w:eastAsia="新宋体" w:cs="新宋体"/>
                <w:kern w:val="0"/>
                <w:sz w:val="18"/>
                <w:szCs w:val="18"/>
              </w:rPr>
              <w:t>生活生活正常，但疼痛会有所加重</w:t>
            </w:r>
          </w:p>
        </w:tc>
        <w:tc>
          <w:tcPr>
            <w:tcW w:w="1258" w:type="dxa"/>
            <w:vAlign w:val="center"/>
          </w:tcPr>
          <w:p w14:paraId="7241C747">
            <w:pPr>
              <w:spacing w:line="400" w:lineRule="auto"/>
              <w:rPr>
                <w:rFonts w:ascii="宋体" w:hAnsi="宋体" w:cs="宋体"/>
                <w:kern w:val="0"/>
                <w:sz w:val="18"/>
                <w:szCs w:val="18"/>
              </w:rPr>
            </w:pPr>
            <w:r>
              <w:rPr>
                <w:rFonts w:hint="eastAsia" w:ascii="新宋体" w:hAnsi="新宋体" w:eastAsia="新宋体" w:cs="新宋体"/>
                <w:kern w:val="0"/>
                <w:sz w:val="18"/>
                <w:szCs w:val="18"/>
              </w:rPr>
              <w:t>疼痛对社会生活影响不大，但会限制大体力运动</w:t>
            </w:r>
          </w:p>
        </w:tc>
        <w:tc>
          <w:tcPr>
            <w:tcW w:w="1257" w:type="dxa"/>
            <w:vAlign w:val="center"/>
          </w:tcPr>
          <w:p w14:paraId="2F4CB865">
            <w:pPr>
              <w:spacing w:line="400" w:lineRule="auto"/>
              <w:rPr>
                <w:rFonts w:ascii="宋体" w:hAnsi="宋体" w:cs="宋体"/>
                <w:kern w:val="0"/>
                <w:sz w:val="18"/>
                <w:szCs w:val="18"/>
              </w:rPr>
            </w:pPr>
            <w:r>
              <w:rPr>
                <w:rFonts w:hint="eastAsia" w:ascii="新宋体" w:hAnsi="新宋体" w:eastAsia="新宋体" w:cs="新宋体"/>
                <w:kern w:val="0"/>
                <w:sz w:val="18"/>
                <w:szCs w:val="18"/>
              </w:rPr>
              <w:t>疼痛对社会生活有影响，基本不出家门</w:t>
            </w:r>
          </w:p>
        </w:tc>
        <w:tc>
          <w:tcPr>
            <w:tcW w:w="1258" w:type="dxa"/>
            <w:vAlign w:val="center"/>
          </w:tcPr>
          <w:p w14:paraId="7D02B262">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由于疼痛，只能在家中进行社会生活</w:t>
            </w:r>
          </w:p>
        </w:tc>
        <w:tc>
          <w:tcPr>
            <w:tcW w:w="1258" w:type="dxa"/>
            <w:vAlign w:val="center"/>
          </w:tcPr>
          <w:p w14:paraId="34C4530B">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由于疼痛，没有任何社会生活</w:t>
            </w:r>
          </w:p>
        </w:tc>
        <w:tc>
          <w:tcPr>
            <w:tcW w:w="603" w:type="dxa"/>
            <w:vAlign w:val="center"/>
          </w:tcPr>
          <w:p w14:paraId="66495213">
            <w:pPr>
              <w:spacing w:line="400" w:lineRule="auto"/>
              <w:rPr>
                <w:rFonts w:ascii="宋体" w:hAnsi="宋体" w:cs="宋体"/>
                <w:kern w:val="0"/>
                <w:sz w:val="18"/>
                <w:szCs w:val="18"/>
              </w:rPr>
            </w:pPr>
          </w:p>
        </w:tc>
      </w:tr>
      <w:tr w14:paraId="601CF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88" w:type="dxa"/>
            <w:vAlign w:val="center"/>
          </w:tcPr>
          <w:p w14:paraId="2245BF90">
            <w:pPr>
              <w:spacing w:line="400" w:lineRule="auto"/>
              <w:rPr>
                <w:rFonts w:ascii="宋体" w:hAnsi="宋体" w:cs="宋体"/>
                <w:kern w:val="0"/>
                <w:sz w:val="18"/>
                <w:szCs w:val="18"/>
              </w:rPr>
            </w:pPr>
            <w:r>
              <w:rPr>
                <w:rFonts w:hint="eastAsia" w:ascii="新宋体" w:hAnsi="新宋体" w:eastAsia="新宋体" w:cs="新宋体"/>
                <w:kern w:val="0"/>
                <w:sz w:val="18"/>
                <w:szCs w:val="18"/>
              </w:rPr>
              <w:t>10</w:t>
            </w:r>
          </w:p>
        </w:tc>
        <w:tc>
          <w:tcPr>
            <w:tcW w:w="720" w:type="dxa"/>
            <w:vAlign w:val="center"/>
          </w:tcPr>
          <w:p w14:paraId="58970C8F">
            <w:pPr>
              <w:spacing w:line="400" w:lineRule="auto"/>
              <w:rPr>
                <w:rFonts w:ascii="宋体" w:hAnsi="宋体" w:cs="宋体"/>
                <w:kern w:val="0"/>
                <w:sz w:val="18"/>
                <w:szCs w:val="18"/>
              </w:rPr>
            </w:pPr>
            <w:r>
              <w:rPr>
                <w:rFonts w:hint="eastAsia" w:ascii="新宋体" w:hAnsi="新宋体" w:eastAsia="新宋体" w:cs="新宋体"/>
                <w:kern w:val="0"/>
                <w:sz w:val="18"/>
                <w:szCs w:val="18"/>
              </w:rPr>
              <w:t>旅行状况</w:t>
            </w:r>
          </w:p>
        </w:tc>
        <w:tc>
          <w:tcPr>
            <w:tcW w:w="1257" w:type="dxa"/>
            <w:vAlign w:val="center"/>
          </w:tcPr>
          <w:p w14:paraId="22871D6E">
            <w:pPr>
              <w:spacing w:line="400" w:lineRule="auto"/>
              <w:rPr>
                <w:rFonts w:ascii="宋体" w:hAnsi="宋体" w:cs="宋体"/>
                <w:kern w:val="0"/>
                <w:sz w:val="18"/>
                <w:szCs w:val="18"/>
              </w:rPr>
            </w:pPr>
            <w:r>
              <w:rPr>
                <w:rFonts w:hint="eastAsia" w:ascii="新宋体" w:hAnsi="新宋体" w:eastAsia="新宋体" w:cs="新宋体"/>
                <w:kern w:val="0"/>
                <w:sz w:val="18"/>
                <w:szCs w:val="18"/>
              </w:rPr>
              <w:t>可以自用旅行，不伴疼痛</w:t>
            </w:r>
          </w:p>
        </w:tc>
        <w:tc>
          <w:tcPr>
            <w:tcW w:w="1258" w:type="dxa"/>
            <w:vAlign w:val="center"/>
          </w:tcPr>
          <w:p w14:paraId="3C8B6FB2">
            <w:pPr>
              <w:spacing w:line="400" w:lineRule="auto"/>
              <w:rPr>
                <w:rFonts w:ascii="宋体" w:hAnsi="宋体" w:cs="宋体"/>
                <w:kern w:val="0"/>
                <w:sz w:val="18"/>
                <w:szCs w:val="18"/>
              </w:rPr>
            </w:pPr>
            <w:r>
              <w:rPr>
                <w:rFonts w:hint="eastAsia" w:ascii="新宋体" w:hAnsi="新宋体" w:eastAsia="新宋体" w:cs="新宋体"/>
                <w:kern w:val="0"/>
                <w:sz w:val="18"/>
                <w:szCs w:val="18"/>
              </w:rPr>
              <w:t>可到任何地方旅行，但会有些疼痛</w:t>
            </w:r>
          </w:p>
        </w:tc>
        <w:tc>
          <w:tcPr>
            <w:tcW w:w="1258" w:type="dxa"/>
            <w:vAlign w:val="center"/>
          </w:tcPr>
          <w:p w14:paraId="7E4D5B1E">
            <w:pPr>
              <w:spacing w:line="400" w:lineRule="auto"/>
              <w:rPr>
                <w:rFonts w:ascii="宋体" w:hAnsi="宋体" w:cs="宋体"/>
                <w:kern w:val="0"/>
                <w:sz w:val="18"/>
                <w:szCs w:val="18"/>
              </w:rPr>
            </w:pPr>
            <w:r>
              <w:rPr>
                <w:rFonts w:hint="eastAsia" w:ascii="新宋体" w:hAnsi="新宋体" w:eastAsia="新宋体" w:cs="新宋体"/>
                <w:kern w:val="0"/>
                <w:sz w:val="18"/>
                <w:szCs w:val="18"/>
              </w:rPr>
              <w:t>疼痛较重，但可应付2h以上旅行</w:t>
            </w:r>
          </w:p>
        </w:tc>
        <w:tc>
          <w:tcPr>
            <w:tcW w:w="1257" w:type="dxa"/>
            <w:vAlign w:val="center"/>
          </w:tcPr>
          <w:p w14:paraId="6F4BC0D5">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由于疼痛，旅行不能超过1h</w:t>
            </w:r>
          </w:p>
        </w:tc>
        <w:tc>
          <w:tcPr>
            <w:tcW w:w="1258" w:type="dxa"/>
            <w:vAlign w:val="center"/>
          </w:tcPr>
          <w:p w14:paraId="6ECBF5CC">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由于疼痛，旅行不能超过半小时</w:t>
            </w:r>
          </w:p>
        </w:tc>
        <w:tc>
          <w:tcPr>
            <w:tcW w:w="1258" w:type="dxa"/>
            <w:vAlign w:val="center"/>
          </w:tcPr>
          <w:p w14:paraId="1811E37A">
            <w:pPr>
              <w:spacing w:line="400" w:lineRule="auto"/>
              <w:rPr>
                <w:rFonts w:ascii="宋体" w:hAnsi="宋体" w:cs="宋体"/>
                <w:kern w:val="0"/>
                <w:sz w:val="18"/>
                <w:szCs w:val="18"/>
              </w:rPr>
            </w:pPr>
            <w:r>
              <w:rPr>
                <w:rFonts w:hint="eastAsia" w:ascii="新宋体" w:hAnsi="新宋体" w:eastAsia="新宋体" w:cs="新宋体"/>
                <w:kern w:val="0"/>
                <w:sz w:val="18"/>
                <w:szCs w:val="18"/>
              </w:rPr>
              <w:t>由于疼痛，不能旅行</w:t>
            </w:r>
          </w:p>
        </w:tc>
        <w:tc>
          <w:tcPr>
            <w:tcW w:w="603" w:type="dxa"/>
            <w:vAlign w:val="center"/>
          </w:tcPr>
          <w:p w14:paraId="26E8F127">
            <w:pPr>
              <w:spacing w:line="400" w:lineRule="auto"/>
              <w:rPr>
                <w:rFonts w:ascii="宋体" w:hAnsi="宋体" w:cs="宋体"/>
                <w:kern w:val="0"/>
                <w:sz w:val="18"/>
                <w:szCs w:val="18"/>
              </w:rPr>
            </w:pPr>
          </w:p>
        </w:tc>
      </w:tr>
      <w:tr w14:paraId="48A93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557" w:type="dxa"/>
            <w:gridSpan w:val="9"/>
            <w:vAlign w:val="center"/>
          </w:tcPr>
          <w:p w14:paraId="2A731D1A">
            <w:pPr>
              <w:spacing w:line="400" w:lineRule="auto"/>
              <w:rPr>
                <w:rFonts w:ascii="宋体" w:hAnsi="宋体" w:cs="宋体"/>
                <w:kern w:val="0"/>
                <w:sz w:val="18"/>
                <w:szCs w:val="18"/>
              </w:rPr>
            </w:pPr>
            <w:r>
              <w:rPr>
                <w:rFonts w:hint="eastAsia" w:ascii="新宋体" w:hAnsi="新宋体" w:eastAsia="新宋体" w:cs="新宋体"/>
                <w:kern w:val="0"/>
                <w:sz w:val="18"/>
                <w:szCs w:val="18"/>
              </w:rPr>
              <w:t>总分＝（所得分数/5×回答的问题数）×100%</w:t>
            </w:r>
          </w:p>
        </w:tc>
      </w:tr>
    </w:tbl>
    <w:p w14:paraId="0CC1D307">
      <w:pPr>
        <w:spacing w:line="360" w:lineRule="auto"/>
        <w:ind w:firstLine="422" w:firstLineChars="200"/>
        <w:rPr>
          <w:b/>
          <w:bCs/>
        </w:rPr>
      </w:pPr>
    </w:p>
    <w:p w14:paraId="0E9EAD48">
      <w:pPr>
        <w:adjustRightInd/>
        <w:spacing w:line="300" w:lineRule="auto"/>
        <w:ind w:firstLine="480" w:firstLineChars="200"/>
        <w:jc w:val="left"/>
        <w:rPr>
          <w:rFonts w:ascii="Times New Roman" w:hAnsi="Times New Roman"/>
          <w:sz w:val="24"/>
        </w:rPr>
      </w:pPr>
      <w:r>
        <w:rPr>
          <w:rFonts w:hint="eastAsia" w:ascii="Times New Roman" w:hAnsi="Times New Roman"/>
          <w:sz w:val="24"/>
        </w:rPr>
        <w:t>Oswestry功能障碍指数问卷表（ODI）是由10个问题组成，包括疼痛的强度、生活自理、提物、步行、坐位、站立、干扰睡眠、性生活、社会生活、旅游等10个方面的情况，每个问题6个选项，每个问题的最高得分为5分，选择第一个选项得分为0分，依次选择最后一个选项得分为5分，假如有10个问题都做了问答，记分方法是：实际得分/50（最高可能得分）×100%，假如有一个问题没有回答，则记分方法是：实际得分/45（最高可能得分）×100%，如越高表明功能障碍越严重。</w:t>
      </w:r>
    </w:p>
    <w:p w14:paraId="5E576776">
      <w:pPr>
        <w:pStyle w:val="58"/>
        <w:ind w:firstLine="420"/>
      </w:pPr>
    </w:p>
    <w:p w14:paraId="586F36E3">
      <w:pPr>
        <w:pStyle w:val="58"/>
        <w:ind w:firstLine="0" w:firstLineChars="0"/>
        <w:jc w:val="center"/>
        <w:rPr>
          <w:color w:val="FF0000"/>
        </w:rPr>
      </w:pPr>
      <w:r>
        <w:rPr>
          <w:rFonts w:hint="eastAsia"/>
          <w:color w:val="FF0000"/>
        </w:rPr>
        <w:drawing>
          <wp:inline distT="0" distB="0" distL="0" distR="0">
            <wp:extent cx="1485900" cy="317500"/>
            <wp:effectExtent l="0" t="0" r="7620" b="2540"/>
            <wp:docPr id="136" name="图片 136"/>
            <wp:cNvGraphicFramePr/>
            <a:graphic xmlns:a="http://schemas.openxmlformats.org/drawingml/2006/main">
              <a:graphicData uri="http://schemas.openxmlformats.org/drawingml/2006/picture">
                <pic:pic xmlns:pic="http://schemas.openxmlformats.org/drawingml/2006/picture">
                  <pic:nvPicPr>
                    <pic:cNvPr id="136" name="图片 136"/>
                    <pic:cNvPicPr/>
                  </pic:nvPicPr>
                  <pic:blipFill>
                    <a:blip r:embed="rId68">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p>
    <w:bookmarkEnd w:id="123"/>
    <w:p w14:paraId="2B3FD7E4">
      <w:pPr>
        <w:pStyle w:val="58"/>
        <w:ind w:firstLine="420"/>
        <w:sectPr>
          <w:pgSz w:w="11906" w:h="16838"/>
          <w:pgMar w:top="2410" w:right="1134" w:bottom="1134" w:left="1134" w:header="1418" w:footer="1134" w:gutter="284"/>
          <w:cols w:space="425" w:num="1"/>
          <w:formProt w:val="0"/>
          <w:docGrid w:linePitch="312" w:charSpace="0"/>
        </w:sectPr>
      </w:pPr>
      <w:bookmarkStart w:id="133" w:name="BookMark6"/>
    </w:p>
    <w:bookmarkEnd w:id="133"/>
    <w:p w14:paraId="0DFE7115">
      <w:pPr>
        <w:pStyle w:val="58"/>
        <w:ind w:firstLine="0" w:firstLineChars="0"/>
        <w:rPr>
          <w:color w:val="FF0000"/>
        </w:rPr>
      </w:pPr>
    </w:p>
    <w:sectPr>
      <w:pgSz w:w="11906" w:h="16838"/>
      <w:pgMar w:top="2410"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Microsoft JhengHei Light">
    <w:panose1 w:val="020B0304030504040204"/>
    <w:charset w:val="88"/>
    <w:family w:val="auto"/>
    <w:pitch w:val="default"/>
    <w:sig w:usb0="800002A7" w:usb1="28CF4400" w:usb2="00000016" w:usb3="00000000" w:csb0="00100009" w:csb1="00000000"/>
  </w:font>
  <w:font w:name="SimSun-ExtG">
    <w:panose1 w:val="02010609060101010101"/>
    <w:charset w:val="86"/>
    <w:family w:val="auto"/>
    <w:pitch w:val="default"/>
    <w:sig w:usb0="00000001" w:usb1="02000000" w:usb2="00000000" w:usb3="00000000" w:csb0="00040001" w:csb1="00000000"/>
  </w:font>
  <w:font w:name="Bahnschrift Light Condensed">
    <w:panose1 w:val="020B0502040204020203"/>
    <w:charset w:val="00"/>
    <w:family w:val="auto"/>
    <w:pitch w:val="default"/>
    <w:sig w:usb0="A00002C7" w:usb1="00000002" w:usb2="00000000" w:usb3="00000000" w:csb0="2000019F" w:csb1="00000000"/>
  </w:font>
  <w:font w:name="Bell MT">
    <w:panose1 w:val="02020503060305020303"/>
    <w:charset w:val="00"/>
    <w:family w:val="auto"/>
    <w:pitch w:val="default"/>
    <w:sig w:usb0="00000003" w:usb1="00000000" w:usb2="00000000" w:usb3="00000000" w:csb0="20000001" w:csb1="00000000"/>
  </w:font>
  <w:font w:name="Bodoni MT">
    <w:panose1 w:val="02070603080606020203"/>
    <w:charset w:val="00"/>
    <w:family w:val="auto"/>
    <w:pitch w:val="default"/>
    <w:sig w:usb0="00000003" w:usb1="00000000" w:usb2="00000000" w:usb3="00000000" w:csb0="20000001" w:csb1="00000000"/>
  </w:font>
  <w:font w:name="Brush Script MT">
    <w:panose1 w:val="030608020404060703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B315">
    <w:pPr>
      <w:pStyle w:val="18"/>
      <w:jc w:val="left"/>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F3272">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FA38C">
    <w:pPr>
      <w:pStyle w:val="5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4C4BE">
    <w:pPr>
      <w:pStyle w:val="54"/>
    </w:pPr>
    <w:r>
      <w:fldChar w:fldCharType="begin"/>
    </w:r>
    <w:r>
      <w:instrText xml:space="preserve">PAGE   \* MERGEFORMAT</w:instrText>
    </w:r>
    <w:r>
      <w:fldChar w:fldCharType="separate"/>
    </w:r>
    <w:r>
      <w:rPr>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7EF27">
    <w:pPr>
      <w:pStyle w:val="18"/>
      <w:jc w:val="left"/>
    </w:pPr>
    <w:r>
      <w:fldChar w:fldCharType="begin"/>
    </w:r>
    <w:r>
      <w:instrText xml:space="preserve">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008A1">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7292D">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9AEC">
    <w:pPr>
      <w:pStyle w:val="6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EFCCC">
    <w:pPr>
      <w:pStyle w:val="63"/>
      <w:rPr>
        <w:rFonts w:hAnsi="黑体"/>
        <w:szCs w:val="21"/>
      </w:rPr>
    </w:pPr>
    <w:r>
      <w:t>T/GDACM XXXX-20XX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8E16">
    <w:pPr>
      <w:pStyle w:val="6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4A5B">
    <w:pPr>
      <w:pStyle w:val="1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78E64">
    <w:pPr>
      <w:pStyle w:val="63"/>
    </w:pPr>
    <w:r>
      <w:t>T/GDACM XXXX-20XX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1EB55">
    <w:pPr>
      <w:pStyle w:val="19"/>
      <w:jc w:val="left"/>
      <w:rPr>
        <w:rFonts w:ascii="黑体" w:hAnsi="黑体" w:eastAsia="黑体"/>
        <w:sz w:val="21"/>
        <w:szCs w:val="21"/>
      </w:rPr>
    </w:pPr>
    <w:r>
      <w:rPr>
        <w:rFonts w:ascii="黑体" w:hAnsi="黑体" w:eastAsia="黑体"/>
        <w:sz w:val="21"/>
        <w:szCs w:val="21"/>
      </w:rPr>
      <w:t>T/GDACM XXXX-20XX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6"/>
      <w:suff w:val="nothing"/>
      <w:lvlText w:val="图 %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rPr>
        <w:rFonts w:hint="eastAsia"/>
      </w:r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48"/>
        </w:tabs>
        <w:ind w:left="3969" w:hanging="1418"/>
      </w:pPr>
      <w:rPr>
        <w:rFonts w:hint="eastAsia"/>
      </w:rPr>
    </w:lvl>
    <w:lvl w:ilvl="8" w:tentative="0">
      <w:start w:val="1"/>
      <w:numFmt w:val="decimal"/>
      <w:lvlText w:val="%1.%2.%3.%4.%5.%6.%7.%8.%9"/>
      <w:lvlJc w:val="left"/>
      <w:pPr>
        <w:tabs>
          <w:tab w:val="left" w:pos="4774"/>
        </w:tabs>
        <w:ind w:left="4677" w:hanging="1701"/>
      </w:pPr>
      <w:rPr>
        <w:rFonts w:hint="eastAsia"/>
      </w:rPr>
    </w:lvl>
  </w:abstractNum>
  <w:abstractNum w:abstractNumId="18">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 %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4"/>
      <w:suff w:val="nothing"/>
      <w:lvlText w:val="表 %1　"/>
      <w:lvlJc w:val="left"/>
      <w:pPr>
        <w:ind w:left="0" w:firstLine="0"/>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7"/>
        </w:tabs>
        <w:ind w:left="1417"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8"/>
      <w:suff w:val="nothing"/>
      <w:lvlText w:val="附　录　%1"/>
      <w:lvlJc w:val="left"/>
      <w:pPr>
        <w:ind w:left="0" w:firstLine="0"/>
      </w:pPr>
      <w:rPr>
        <w:rFonts w:hint="eastAsia"/>
        <w:spacing w:val="0"/>
        <w:w w:val="100"/>
        <w:kern w:val="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7"/>
      <w:suff w:val="nothing"/>
      <w:lvlText w:val="%1%2.%3.%4　"/>
      <w:lvlJc w:val="left"/>
      <w:pPr>
        <w:ind w:left="0"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VmOTc4YjI2YWVkM2Q3ODNhNGY1NjY1MWEwOGFhMWEifQ=="/>
  </w:docVars>
  <w:rsids>
    <w:rsidRoot w:val="00A251AA"/>
    <w:rsid w:val="0000040A"/>
    <w:rsid w:val="00000A94"/>
    <w:rsid w:val="00001972"/>
    <w:rsid w:val="00001D9A"/>
    <w:rsid w:val="000068DD"/>
    <w:rsid w:val="00007B3A"/>
    <w:rsid w:val="000107E0"/>
    <w:rsid w:val="00011FDE"/>
    <w:rsid w:val="00012FFD"/>
    <w:rsid w:val="00014162"/>
    <w:rsid w:val="00014340"/>
    <w:rsid w:val="00016A9C"/>
    <w:rsid w:val="00022184"/>
    <w:rsid w:val="00022762"/>
    <w:rsid w:val="000234E9"/>
    <w:rsid w:val="000238E0"/>
    <w:rsid w:val="000249DB"/>
    <w:rsid w:val="0002595E"/>
    <w:rsid w:val="000303C3"/>
    <w:rsid w:val="000331D3"/>
    <w:rsid w:val="000346A5"/>
    <w:rsid w:val="000359C3"/>
    <w:rsid w:val="00035A7D"/>
    <w:rsid w:val="000365ED"/>
    <w:rsid w:val="00041C8E"/>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4C7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C7AA5"/>
    <w:rsid w:val="000D0A9C"/>
    <w:rsid w:val="000D1795"/>
    <w:rsid w:val="000D329A"/>
    <w:rsid w:val="000D4B9C"/>
    <w:rsid w:val="000D4EB6"/>
    <w:rsid w:val="000D753B"/>
    <w:rsid w:val="000E4C9E"/>
    <w:rsid w:val="000E6FD7"/>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2CC"/>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2DB1"/>
    <w:rsid w:val="001852C9"/>
    <w:rsid w:val="00187A0B"/>
    <w:rsid w:val="00190087"/>
    <w:rsid w:val="001913C4"/>
    <w:rsid w:val="00192579"/>
    <w:rsid w:val="0019348F"/>
    <w:rsid w:val="00193A07"/>
    <w:rsid w:val="00194C95"/>
    <w:rsid w:val="00195C34"/>
    <w:rsid w:val="00196828"/>
    <w:rsid w:val="00196EF5"/>
    <w:rsid w:val="001A1A53"/>
    <w:rsid w:val="001A234A"/>
    <w:rsid w:val="001A4CF3"/>
    <w:rsid w:val="001A6696"/>
    <w:rsid w:val="001A74BA"/>
    <w:rsid w:val="001B06E8"/>
    <w:rsid w:val="001B71D0"/>
    <w:rsid w:val="001B71EE"/>
    <w:rsid w:val="001C04A8"/>
    <w:rsid w:val="001C2C03"/>
    <w:rsid w:val="001C42F7"/>
    <w:rsid w:val="001C49E5"/>
    <w:rsid w:val="001C680C"/>
    <w:rsid w:val="001C7FEA"/>
    <w:rsid w:val="001D0499"/>
    <w:rsid w:val="001D0BBE"/>
    <w:rsid w:val="001D0ED4"/>
    <w:rsid w:val="001D1556"/>
    <w:rsid w:val="001D212F"/>
    <w:rsid w:val="001D29D7"/>
    <w:rsid w:val="001D2DE7"/>
    <w:rsid w:val="001D411C"/>
    <w:rsid w:val="001D540D"/>
    <w:rsid w:val="001E1B6A"/>
    <w:rsid w:val="001E2484"/>
    <w:rsid w:val="001E3CC4"/>
    <w:rsid w:val="001E4882"/>
    <w:rsid w:val="001E73AB"/>
    <w:rsid w:val="001F092D"/>
    <w:rsid w:val="001F143A"/>
    <w:rsid w:val="001F1605"/>
    <w:rsid w:val="001F2508"/>
    <w:rsid w:val="001F4816"/>
    <w:rsid w:val="001F65BF"/>
    <w:rsid w:val="001F69B4"/>
    <w:rsid w:val="001F77C7"/>
    <w:rsid w:val="00200183"/>
    <w:rsid w:val="00200333"/>
    <w:rsid w:val="0020107D"/>
    <w:rsid w:val="00202AA4"/>
    <w:rsid w:val="002031F7"/>
    <w:rsid w:val="002040E6"/>
    <w:rsid w:val="0020527B"/>
    <w:rsid w:val="00205C90"/>
    <w:rsid w:val="00205F2C"/>
    <w:rsid w:val="00210B15"/>
    <w:rsid w:val="0021216D"/>
    <w:rsid w:val="002142EA"/>
    <w:rsid w:val="00215ADD"/>
    <w:rsid w:val="00215EB9"/>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7D1B"/>
    <w:rsid w:val="0026148A"/>
    <w:rsid w:val="00262696"/>
    <w:rsid w:val="00263D25"/>
    <w:rsid w:val="002643C3"/>
    <w:rsid w:val="00264A0C"/>
    <w:rsid w:val="00266EEB"/>
    <w:rsid w:val="00267EF4"/>
    <w:rsid w:val="00270CB8"/>
    <w:rsid w:val="00272B08"/>
    <w:rsid w:val="00273B05"/>
    <w:rsid w:val="00274BB6"/>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3C7"/>
    <w:rsid w:val="002B5779"/>
    <w:rsid w:val="002B7332"/>
    <w:rsid w:val="002B7F51"/>
    <w:rsid w:val="002C09E7"/>
    <w:rsid w:val="002C114D"/>
    <w:rsid w:val="002C1E06"/>
    <w:rsid w:val="002C30AF"/>
    <w:rsid w:val="002C3F07"/>
    <w:rsid w:val="002C5278"/>
    <w:rsid w:val="002C7EBB"/>
    <w:rsid w:val="002D06C1"/>
    <w:rsid w:val="002D42B5"/>
    <w:rsid w:val="002D4F1A"/>
    <w:rsid w:val="002D5A31"/>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60FE"/>
    <w:rsid w:val="00313B85"/>
    <w:rsid w:val="00317988"/>
    <w:rsid w:val="003221B4"/>
    <w:rsid w:val="0032258D"/>
    <w:rsid w:val="00322E62"/>
    <w:rsid w:val="003244B8"/>
    <w:rsid w:val="00324D13"/>
    <w:rsid w:val="00324EDD"/>
    <w:rsid w:val="00325A65"/>
    <w:rsid w:val="003271B4"/>
    <w:rsid w:val="003331E4"/>
    <w:rsid w:val="00336C64"/>
    <w:rsid w:val="00337162"/>
    <w:rsid w:val="0034194F"/>
    <w:rsid w:val="00344605"/>
    <w:rsid w:val="003473D9"/>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B2D"/>
    <w:rsid w:val="00390EE6"/>
    <w:rsid w:val="0039118F"/>
    <w:rsid w:val="00392AD7"/>
    <w:rsid w:val="003938D9"/>
    <w:rsid w:val="00394376"/>
    <w:rsid w:val="003943FF"/>
    <w:rsid w:val="003974EB"/>
    <w:rsid w:val="00397CC5"/>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901"/>
    <w:rsid w:val="003F3F08"/>
    <w:rsid w:val="003F487C"/>
    <w:rsid w:val="003F49F1"/>
    <w:rsid w:val="003F6272"/>
    <w:rsid w:val="00400E72"/>
    <w:rsid w:val="00401400"/>
    <w:rsid w:val="00404869"/>
    <w:rsid w:val="00405884"/>
    <w:rsid w:val="00407D39"/>
    <w:rsid w:val="0041034D"/>
    <w:rsid w:val="0041477A"/>
    <w:rsid w:val="004167A3"/>
    <w:rsid w:val="00432DAA"/>
    <w:rsid w:val="00434305"/>
    <w:rsid w:val="00435DF7"/>
    <w:rsid w:val="0044083F"/>
    <w:rsid w:val="00441AE7"/>
    <w:rsid w:val="00445574"/>
    <w:rsid w:val="004467FB"/>
    <w:rsid w:val="00452D6B"/>
    <w:rsid w:val="00454484"/>
    <w:rsid w:val="0045517B"/>
    <w:rsid w:val="0045707E"/>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3D4C"/>
    <w:rsid w:val="004A4B57"/>
    <w:rsid w:val="004A63FA"/>
    <w:rsid w:val="004A6A3D"/>
    <w:rsid w:val="004B0272"/>
    <w:rsid w:val="004B2701"/>
    <w:rsid w:val="004B2E1B"/>
    <w:rsid w:val="004B3AA8"/>
    <w:rsid w:val="004B3E93"/>
    <w:rsid w:val="004B5D66"/>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1CD6"/>
    <w:rsid w:val="00543BDA"/>
    <w:rsid w:val="005441CC"/>
    <w:rsid w:val="005479DA"/>
    <w:rsid w:val="00547BCC"/>
    <w:rsid w:val="0055013B"/>
    <w:rsid w:val="00551F6F"/>
    <w:rsid w:val="00555044"/>
    <w:rsid w:val="00561475"/>
    <w:rsid w:val="00562308"/>
    <w:rsid w:val="0056487B"/>
    <w:rsid w:val="00564FB9"/>
    <w:rsid w:val="00571CE6"/>
    <w:rsid w:val="005720FC"/>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3B47"/>
    <w:rsid w:val="005C5F21"/>
    <w:rsid w:val="005C7156"/>
    <w:rsid w:val="005D0C75"/>
    <w:rsid w:val="005D4171"/>
    <w:rsid w:val="005D6A95"/>
    <w:rsid w:val="005D6B2C"/>
    <w:rsid w:val="005D6D9C"/>
    <w:rsid w:val="005E2335"/>
    <w:rsid w:val="005E34CA"/>
    <w:rsid w:val="005E3C18"/>
    <w:rsid w:val="005E4250"/>
    <w:rsid w:val="005E5599"/>
    <w:rsid w:val="005E6812"/>
    <w:rsid w:val="005E7881"/>
    <w:rsid w:val="005E78E0"/>
    <w:rsid w:val="005F0D9C"/>
    <w:rsid w:val="005F0E11"/>
    <w:rsid w:val="005F284E"/>
    <w:rsid w:val="006015CE"/>
    <w:rsid w:val="00604784"/>
    <w:rsid w:val="00606419"/>
    <w:rsid w:val="00607D29"/>
    <w:rsid w:val="00612952"/>
    <w:rsid w:val="00614CC1"/>
    <w:rsid w:val="00615A9D"/>
    <w:rsid w:val="00617387"/>
    <w:rsid w:val="006205D6"/>
    <w:rsid w:val="006252D8"/>
    <w:rsid w:val="006259BC"/>
    <w:rsid w:val="006262E6"/>
    <w:rsid w:val="0062636B"/>
    <w:rsid w:val="00632182"/>
    <w:rsid w:val="00632AE0"/>
    <w:rsid w:val="006338A5"/>
    <w:rsid w:val="00633C17"/>
    <w:rsid w:val="00634D9E"/>
    <w:rsid w:val="00636E3E"/>
    <w:rsid w:val="006379F7"/>
    <w:rsid w:val="00637E4D"/>
    <w:rsid w:val="00640620"/>
    <w:rsid w:val="00641A1F"/>
    <w:rsid w:val="00645904"/>
    <w:rsid w:val="00651ACB"/>
    <w:rsid w:val="00651C47"/>
    <w:rsid w:val="0065257E"/>
    <w:rsid w:val="00652AB2"/>
    <w:rsid w:val="00653FED"/>
    <w:rsid w:val="00654EC0"/>
    <w:rsid w:val="0065525B"/>
    <w:rsid w:val="00655D4F"/>
    <w:rsid w:val="00656D29"/>
    <w:rsid w:val="006640E5"/>
    <w:rsid w:val="006646F1"/>
    <w:rsid w:val="00664929"/>
    <w:rsid w:val="00664F62"/>
    <w:rsid w:val="006655E1"/>
    <w:rsid w:val="0066790B"/>
    <w:rsid w:val="00672060"/>
    <w:rsid w:val="00672BFD"/>
    <w:rsid w:val="006752BF"/>
    <w:rsid w:val="006770F4"/>
    <w:rsid w:val="00677A84"/>
    <w:rsid w:val="0068026D"/>
    <w:rsid w:val="00680A27"/>
    <w:rsid w:val="006816A4"/>
    <w:rsid w:val="006817BD"/>
    <w:rsid w:val="006819B8"/>
    <w:rsid w:val="006840A6"/>
    <w:rsid w:val="006850CD"/>
    <w:rsid w:val="00685AAB"/>
    <w:rsid w:val="006937BF"/>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57F8"/>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8FF"/>
    <w:rsid w:val="00725949"/>
    <w:rsid w:val="00727FA2"/>
    <w:rsid w:val="007316ED"/>
    <w:rsid w:val="007322D9"/>
    <w:rsid w:val="00732BC0"/>
    <w:rsid w:val="0073720F"/>
    <w:rsid w:val="00737796"/>
    <w:rsid w:val="0074165C"/>
    <w:rsid w:val="00741E49"/>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2C53"/>
    <w:rsid w:val="00773C1F"/>
    <w:rsid w:val="00774543"/>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032"/>
    <w:rsid w:val="007B68EA"/>
    <w:rsid w:val="007B7453"/>
    <w:rsid w:val="007C2D89"/>
    <w:rsid w:val="007C44FE"/>
    <w:rsid w:val="007C4593"/>
    <w:rsid w:val="007C5309"/>
    <w:rsid w:val="007C6069"/>
    <w:rsid w:val="007D06C4"/>
    <w:rsid w:val="007D1352"/>
    <w:rsid w:val="007D2508"/>
    <w:rsid w:val="007D346A"/>
    <w:rsid w:val="007D6518"/>
    <w:rsid w:val="007D76BD"/>
    <w:rsid w:val="007E0BF1"/>
    <w:rsid w:val="007E1F54"/>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05E0"/>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6AC1"/>
    <w:rsid w:val="008B7E05"/>
    <w:rsid w:val="008C1797"/>
    <w:rsid w:val="008C219C"/>
    <w:rsid w:val="008C475E"/>
    <w:rsid w:val="008C4FCB"/>
    <w:rsid w:val="008C619A"/>
    <w:rsid w:val="008D0CE8"/>
    <w:rsid w:val="008D29F7"/>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C7F"/>
    <w:rsid w:val="008F70BD"/>
    <w:rsid w:val="008F7132"/>
    <w:rsid w:val="008F788F"/>
    <w:rsid w:val="008F7EA2"/>
    <w:rsid w:val="00901693"/>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48A1"/>
    <w:rsid w:val="00936C32"/>
    <w:rsid w:val="009378DD"/>
    <w:rsid w:val="009429D5"/>
    <w:rsid w:val="00942BF1"/>
    <w:rsid w:val="00943DBD"/>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296"/>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1F53"/>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2CA"/>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51AA"/>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5464"/>
    <w:rsid w:val="00A862D6"/>
    <w:rsid w:val="00A8715E"/>
    <w:rsid w:val="00A9295B"/>
    <w:rsid w:val="00A93B09"/>
    <w:rsid w:val="00A952D7"/>
    <w:rsid w:val="00A9564E"/>
    <w:rsid w:val="00A963F7"/>
    <w:rsid w:val="00A96AD8"/>
    <w:rsid w:val="00AA052C"/>
    <w:rsid w:val="00AA1E45"/>
    <w:rsid w:val="00AA4286"/>
    <w:rsid w:val="00AA456B"/>
    <w:rsid w:val="00AA57F5"/>
    <w:rsid w:val="00AA672E"/>
    <w:rsid w:val="00AA6EC9"/>
    <w:rsid w:val="00AB49A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E7D6A"/>
    <w:rsid w:val="00AF0C18"/>
    <w:rsid w:val="00AF47C5"/>
    <w:rsid w:val="00AF5398"/>
    <w:rsid w:val="00B049AF"/>
    <w:rsid w:val="00B07242"/>
    <w:rsid w:val="00B10534"/>
    <w:rsid w:val="00B113DB"/>
    <w:rsid w:val="00B11D8A"/>
    <w:rsid w:val="00B12981"/>
    <w:rsid w:val="00B147DD"/>
    <w:rsid w:val="00B156FD"/>
    <w:rsid w:val="00B21F61"/>
    <w:rsid w:val="00B22D92"/>
    <w:rsid w:val="00B261F1"/>
    <w:rsid w:val="00B265BC"/>
    <w:rsid w:val="00B31849"/>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1737"/>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22D"/>
    <w:rsid w:val="00BC5DC7"/>
    <w:rsid w:val="00BC6B8B"/>
    <w:rsid w:val="00BC73D8"/>
    <w:rsid w:val="00BD09C0"/>
    <w:rsid w:val="00BD52D7"/>
    <w:rsid w:val="00BD5AD2"/>
    <w:rsid w:val="00BE22F3"/>
    <w:rsid w:val="00BE5B52"/>
    <w:rsid w:val="00BE7B8D"/>
    <w:rsid w:val="00BF0993"/>
    <w:rsid w:val="00BF10A9"/>
    <w:rsid w:val="00BF1703"/>
    <w:rsid w:val="00BF231C"/>
    <w:rsid w:val="00BF51E5"/>
    <w:rsid w:val="00BF6484"/>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3117"/>
    <w:rsid w:val="00C80CB8"/>
    <w:rsid w:val="00C819F8"/>
    <w:rsid w:val="00C8248C"/>
    <w:rsid w:val="00C84E33"/>
    <w:rsid w:val="00C86D6F"/>
    <w:rsid w:val="00C905FC"/>
    <w:rsid w:val="00C92D03"/>
    <w:rsid w:val="00C9319C"/>
    <w:rsid w:val="00C9435D"/>
    <w:rsid w:val="00C94DF2"/>
    <w:rsid w:val="00C96741"/>
    <w:rsid w:val="00CA2D1B"/>
    <w:rsid w:val="00CA375D"/>
    <w:rsid w:val="00CA5AF2"/>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31E4"/>
    <w:rsid w:val="00CF048A"/>
    <w:rsid w:val="00CF155A"/>
    <w:rsid w:val="00CF2947"/>
    <w:rsid w:val="00CF686F"/>
    <w:rsid w:val="00CF6E60"/>
    <w:rsid w:val="00CF7BCA"/>
    <w:rsid w:val="00D008FD"/>
    <w:rsid w:val="00D0321C"/>
    <w:rsid w:val="00D035EC"/>
    <w:rsid w:val="00D058AB"/>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327E"/>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284"/>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348A"/>
    <w:rsid w:val="00E06404"/>
    <w:rsid w:val="00E070BB"/>
    <w:rsid w:val="00E11A85"/>
    <w:rsid w:val="00E12495"/>
    <w:rsid w:val="00E15CCD"/>
    <w:rsid w:val="00E202EF"/>
    <w:rsid w:val="00E210B5"/>
    <w:rsid w:val="00E2552F"/>
    <w:rsid w:val="00E3137A"/>
    <w:rsid w:val="00E32818"/>
    <w:rsid w:val="00E32CCF"/>
    <w:rsid w:val="00E34A98"/>
    <w:rsid w:val="00E35935"/>
    <w:rsid w:val="00E35D1E"/>
    <w:rsid w:val="00E364F9"/>
    <w:rsid w:val="00E365FA"/>
    <w:rsid w:val="00E36789"/>
    <w:rsid w:val="00E4120B"/>
    <w:rsid w:val="00E43903"/>
    <w:rsid w:val="00E44A83"/>
    <w:rsid w:val="00E502C1"/>
    <w:rsid w:val="00E502DD"/>
    <w:rsid w:val="00E50D3A"/>
    <w:rsid w:val="00E51387"/>
    <w:rsid w:val="00E51E68"/>
    <w:rsid w:val="00E52EFD"/>
    <w:rsid w:val="00E5408A"/>
    <w:rsid w:val="00E56800"/>
    <w:rsid w:val="00E60C63"/>
    <w:rsid w:val="00E62FF9"/>
    <w:rsid w:val="00E635D6"/>
    <w:rsid w:val="00E639BC"/>
    <w:rsid w:val="00E64C8B"/>
    <w:rsid w:val="00E664CC"/>
    <w:rsid w:val="00E70388"/>
    <w:rsid w:val="00E70F92"/>
    <w:rsid w:val="00E74313"/>
    <w:rsid w:val="00E74C54"/>
    <w:rsid w:val="00E751D3"/>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465"/>
    <w:rsid w:val="00EB5EDF"/>
    <w:rsid w:val="00EB60FE"/>
    <w:rsid w:val="00EB74DB"/>
    <w:rsid w:val="00EC5359"/>
    <w:rsid w:val="00EC562A"/>
    <w:rsid w:val="00ED067A"/>
    <w:rsid w:val="00ED092E"/>
    <w:rsid w:val="00ED2B50"/>
    <w:rsid w:val="00EE0350"/>
    <w:rsid w:val="00EE0719"/>
    <w:rsid w:val="00EE0E80"/>
    <w:rsid w:val="00EE613F"/>
    <w:rsid w:val="00EE7295"/>
    <w:rsid w:val="00EE7869"/>
    <w:rsid w:val="00EF054A"/>
    <w:rsid w:val="00EF3235"/>
    <w:rsid w:val="00EF565C"/>
    <w:rsid w:val="00EF7E72"/>
    <w:rsid w:val="00F039C2"/>
    <w:rsid w:val="00F05FB8"/>
    <w:rsid w:val="00F06D37"/>
    <w:rsid w:val="00F07B9D"/>
    <w:rsid w:val="00F11586"/>
    <w:rsid w:val="00F1183B"/>
    <w:rsid w:val="00F11C9F"/>
    <w:rsid w:val="00F12263"/>
    <w:rsid w:val="00F1409D"/>
    <w:rsid w:val="00F14214"/>
    <w:rsid w:val="00F157A9"/>
    <w:rsid w:val="00F16F00"/>
    <w:rsid w:val="00F20424"/>
    <w:rsid w:val="00F25BB6"/>
    <w:rsid w:val="00F26B7E"/>
    <w:rsid w:val="00F27A3B"/>
    <w:rsid w:val="00F3130B"/>
    <w:rsid w:val="00F33817"/>
    <w:rsid w:val="00F420D5"/>
    <w:rsid w:val="00F451EA"/>
    <w:rsid w:val="00F45447"/>
    <w:rsid w:val="00F456C6"/>
    <w:rsid w:val="00F4577B"/>
    <w:rsid w:val="00F46496"/>
    <w:rsid w:val="00F474D0"/>
    <w:rsid w:val="00F50179"/>
    <w:rsid w:val="00F515EE"/>
    <w:rsid w:val="00F56511"/>
    <w:rsid w:val="00F574DC"/>
    <w:rsid w:val="00F6194E"/>
    <w:rsid w:val="00F623AC"/>
    <w:rsid w:val="00F6412A"/>
    <w:rsid w:val="00F65893"/>
    <w:rsid w:val="00F66A4A"/>
    <w:rsid w:val="00F71E22"/>
    <w:rsid w:val="00F72142"/>
    <w:rsid w:val="00F72AE7"/>
    <w:rsid w:val="00F833BA"/>
    <w:rsid w:val="00F84FD0"/>
    <w:rsid w:val="00F859A8"/>
    <w:rsid w:val="00F86D87"/>
    <w:rsid w:val="00F8797D"/>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C6302"/>
    <w:rsid w:val="00FD00E6"/>
    <w:rsid w:val="00FD09A1"/>
    <w:rsid w:val="00FD2A7C"/>
    <w:rsid w:val="00FD59EB"/>
    <w:rsid w:val="00FD7299"/>
    <w:rsid w:val="00FE1FBE"/>
    <w:rsid w:val="00FE30DD"/>
    <w:rsid w:val="00FE3901"/>
    <w:rsid w:val="00FE39D3"/>
    <w:rsid w:val="00FE4BCE"/>
    <w:rsid w:val="00FE54AE"/>
    <w:rsid w:val="00FE576A"/>
    <w:rsid w:val="00FE7E79"/>
    <w:rsid w:val="00FF3E7D"/>
    <w:rsid w:val="00FF5B99"/>
    <w:rsid w:val="00FF730C"/>
    <w:rsid w:val="00FF73F4"/>
    <w:rsid w:val="00FF7CE4"/>
    <w:rsid w:val="00FF7E39"/>
    <w:rsid w:val="034B519E"/>
    <w:rsid w:val="0E6C0832"/>
    <w:rsid w:val="117532E4"/>
    <w:rsid w:val="12715BD6"/>
    <w:rsid w:val="15432436"/>
    <w:rsid w:val="15497022"/>
    <w:rsid w:val="19E96D65"/>
    <w:rsid w:val="1E4D585F"/>
    <w:rsid w:val="1F2F00AB"/>
    <w:rsid w:val="1F5D3057"/>
    <w:rsid w:val="1FF50FDC"/>
    <w:rsid w:val="241F42DD"/>
    <w:rsid w:val="25CB19E7"/>
    <w:rsid w:val="2A0A2A9F"/>
    <w:rsid w:val="2B8C6A9B"/>
    <w:rsid w:val="2E60513A"/>
    <w:rsid w:val="2EDB303F"/>
    <w:rsid w:val="2F137B8C"/>
    <w:rsid w:val="328E75C5"/>
    <w:rsid w:val="32D3256D"/>
    <w:rsid w:val="37537F32"/>
    <w:rsid w:val="389B524A"/>
    <w:rsid w:val="38EA3B69"/>
    <w:rsid w:val="3BF74D39"/>
    <w:rsid w:val="3D1632DD"/>
    <w:rsid w:val="3DAF79E0"/>
    <w:rsid w:val="3F58246A"/>
    <w:rsid w:val="40E70206"/>
    <w:rsid w:val="414937AD"/>
    <w:rsid w:val="429B2728"/>
    <w:rsid w:val="46547170"/>
    <w:rsid w:val="46FF5313"/>
    <w:rsid w:val="47F032D4"/>
    <w:rsid w:val="48897310"/>
    <w:rsid w:val="4B0D57AC"/>
    <w:rsid w:val="4C7C7A72"/>
    <w:rsid w:val="4DBE57CE"/>
    <w:rsid w:val="51C752C6"/>
    <w:rsid w:val="52F442D9"/>
    <w:rsid w:val="564049B3"/>
    <w:rsid w:val="57CA524F"/>
    <w:rsid w:val="57CD4E1D"/>
    <w:rsid w:val="593A6404"/>
    <w:rsid w:val="5AE80863"/>
    <w:rsid w:val="5C49708A"/>
    <w:rsid w:val="5CCA2F91"/>
    <w:rsid w:val="6004440D"/>
    <w:rsid w:val="6095019C"/>
    <w:rsid w:val="615A1274"/>
    <w:rsid w:val="63735043"/>
    <w:rsid w:val="63A939A6"/>
    <w:rsid w:val="68BE618D"/>
    <w:rsid w:val="6AC10335"/>
    <w:rsid w:val="6AC54EBB"/>
    <w:rsid w:val="72666B7F"/>
    <w:rsid w:val="73625439"/>
    <w:rsid w:val="74B530B7"/>
    <w:rsid w:val="7E8736FB"/>
    <w:rsid w:val="7EDE3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3"/>
    <w:link w:val="36"/>
    <w:qFormat/>
    <w:uiPriority w:val="0"/>
    <w:pPr>
      <w:keepNext/>
      <w:keepLines/>
      <w:spacing w:before="340" w:after="330" w:line="578" w:lineRule="auto"/>
      <w:outlineLvl w:val="0"/>
    </w:pPr>
    <w:rPr>
      <w:b/>
      <w:bCs/>
      <w:kern w:val="44"/>
      <w:sz w:val="44"/>
      <w:szCs w:val="44"/>
    </w:rPr>
  </w:style>
  <w:style w:type="paragraph" w:styleId="4">
    <w:name w:val="heading 2"/>
    <w:basedOn w:val="1"/>
    <w:next w:val="3"/>
    <w:link w:val="37"/>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3"/>
    <w:link w:val="38"/>
    <w:autoRedefine/>
    <w:qFormat/>
    <w:uiPriority w:val="0"/>
    <w:pPr>
      <w:keepNext/>
      <w:keepLines/>
      <w:spacing w:before="260" w:after="260" w:line="416" w:lineRule="auto"/>
      <w:outlineLvl w:val="2"/>
    </w:pPr>
    <w:rPr>
      <w:b/>
      <w:bCs/>
      <w:sz w:val="32"/>
      <w:szCs w:val="32"/>
    </w:rPr>
  </w:style>
  <w:style w:type="paragraph" w:styleId="6">
    <w:name w:val="heading 4"/>
    <w:basedOn w:val="1"/>
    <w:next w:val="3"/>
    <w:link w:val="39"/>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3"/>
    <w:link w:val="40"/>
    <w:autoRedefine/>
    <w:qFormat/>
    <w:uiPriority w:val="0"/>
    <w:pPr>
      <w:keepNext/>
      <w:keepLines/>
      <w:adjustRightInd/>
      <w:spacing w:before="280" w:after="290" w:line="376" w:lineRule="auto"/>
      <w:outlineLvl w:val="4"/>
    </w:pPr>
    <w:rPr>
      <w:b/>
      <w:bCs/>
      <w:sz w:val="28"/>
      <w:szCs w:val="28"/>
    </w:rPr>
  </w:style>
  <w:style w:type="paragraph" w:styleId="8">
    <w:name w:val="heading 6"/>
    <w:basedOn w:val="1"/>
    <w:next w:val="3"/>
    <w:link w:val="41"/>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2"/>
    <w:autoRedefine/>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3"/>
    <w:autoRedefine/>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4"/>
    <w:autoRedefine/>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88"/>
    <w:autoRedefine/>
    <w:qFormat/>
    <w:uiPriority w:val="0"/>
    <w:pPr>
      <w:spacing w:line="300" w:lineRule="auto"/>
      <w:ind w:firstLine="200" w:firstLineChars="200"/>
    </w:pPr>
    <w:rPr>
      <w:rFonts w:ascii="Times New Roman" w:hAnsi="Times New Roman"/>
    </w:rPr>
  </w:style>
  <w:style w:type="paragraph" w:styleId="12">
    <w:name w:val="toc 7"/>
    <w:basedOn w:val="1"/>
    <w:next w:val="1"/>
    <w:autoRedefine/>
    <w:unhideWhenUsed/>
    <w:qFormat/>
    <w:uiPriority w:val="39"/>
    <w:pPr>
      <w:tabs>
        <w:tab w:val="right" w:leader="dot" w:pos="9344"/>
      </w:tabs>
      <w:spacing w:line="300" w:lineRule="exact"/>
      <w:ind w:left="1259"/>
    </w:pPr>
    <w:rPr>
      <w:rFonts w:ascii="宋体"/>
    </w:rPr>
  </w:style>
  <w:style w:type="paragraph" w:styleId="13">
    <w:name w:val="Normal Indent"/>
    <w:basedOn w:val="1"/>
    <w:autoRedefine/>
    <w:qFormat/>
    <w:uiPriority w:val="0"/>
    <w:pPr>
      <w:ind w:firstLine="420"/>
    </w:pPr>
  </w:style>
  <w:style w:type="paragraph" w:styleId="14">
    <w:name w:val="Body Text Indent"/>
    <w:basedOn w:val="1"/>
    <w:link w:val="233"/>
    <w:autoRedefine/>
    <w:semiHidden/>
    <w:unhideWhenUsed/>
    <w:qFormat/>
    <w:uiPriority w:val="99"/>
    <w:pPr>
      <w:spacing w:after="120"/>
      <w:ind w:left="420" w:leftChars="20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7"/>
    <w:autoRedefine/>
    <w:semiHidden/>
    <w:unhideWhenUsed/>
    <w:qFormat/>
    <w:uiPriority w:val="99"/>
    <w:rPr>
      <w:sz w:val="18"/>
      <w:szCs w:val="18"/>
    </w:rPr>
  </w:style>
  <w:style w:type="paragraph" w:styleId="18">
    <w:name w:val="footer"/>
    <w:basedOn w:val="1"/>
    <w:link w:val="46"/>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autoRedefine/>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qFormat/>
    <w:uiPriority w:val="39"/>
    <w:rPr>
      <w:rFonts w:ascii="宋体"/>
    </w:rPr>
  </w:style>
  <w:style w:type="paragraph" w:styleId="21">
    <w:name w:val="toc 4"/>
    <w:basedOn w:val="1"/>
    <w:next w:val="1"/>
    <w:autoRedefine/>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1"/>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qFormat/>
    <w:uiPriority w:val="39"/>
    <w:pPr>
      <w:spacing w:line="300" w:lineRule="exact"/>
      <w:ind w:left="1049"/>
    </w:pPr>
    <w:rPr>
      <w:rFonts w:ascii="宋体"/>
    </w:rPr>
  </w:style>
  <w:style w:type="paragraph" w:styleId="24">
    <w:name w:val="table of figures"/>
    <w:basedOn w:val="1"/>
    <w:next w:val="1"/>
    <w:autoRedefine/>
    <w:semiHidden/>
    <w:qFormat/>
    <w:uiPriority w:val="0"/>
    <w:pPr>
      <w:adjustRightInd/>
      <w:spacing w:line="240" w:lineRule="auto"/>
      <w:jc w:val="left"/>
    </w:pPr>
    <w:rPr>
      <w:szCs w:val="24"/>
    </w:rPr>
  </w:style>
  <w:style w:type="paragraph" w:styleId="25">
    <w:name w:val="toc 2"/>
    <w:basedOn w:val="1"/>
    <w:next w:val="1"/>
    <w:autoRedefine/>
    <w:unhideWhenUsed/>
    <w:qFormat/>
    <w:uiPriority w:val="39"/>
    <w:pPr>
      <w:tabs>
        <w:tab w:val="right" w:leader="dot" w:pos="9344"/>
      </w:tabs>
      <w:spacing w:line="300" w:lineRule="exact"/>
      <w:ind w:left="210"/>
    </w:pPr>
    <w:rPr>
      <w:rFonts w:ascii="宋体"/>
    </w:rPr>
  </w:style>
  <w:style w:type="paragraph" w:styleId="26">
    <w:name w:val="Title"/>
    <w:basedOn w:val="1"/>
    <w:link w:val="50"/>
    <w:autoRedefine/>
    <w:qFormat/>
    <w:uiPriority w:val="0"/>
    <w:pPr>
      <w:spacing w:before="240" w:after="60"/>
      <w:jc w:val="center"/>
      <w:outlineLvl w:val="0"/>
    </w:pPr>
    <w:rPr>
      <w:rFonts w:ascii="Arial" w:hAnsi="Arial" w:cs="Arial"/>
      <w:b/>
      <w:bCs/>
      <w:sz w:val="32"/>
      <w:szCs w:val="32"/>
    </w:rPr>
  </w:style>
  <w:style w:type="paragraph" w:styleId="27">
    <w:name w:val="Body Text First Indent 2"/>
    <w:basedOn w:val="14"/>
    <w:link w:val="234"/>
    <w:autoRedefine/>
    <w:unhideWhenUsed/>
    <w:qFormat/>
    <w:uiPriority w:val="99"/>
    <w:pPr>
      <w:ind w:firstLine="420" w:firstLineChars="200"/>
    </w:pPr>
  </w:style>
  <w:style w:type="table" w:styleId="29">
    <w:name w:val="Table Grid"/>
    <w:basedOn w:val="2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autoRedefine/>
    <w:qFormat/>
    <w:uiPriority w:val="22"/>
    <w:rPr>
      <w:b/>
      <w:bCs/>
    </w:rPr>
  </w:style>
  <w:style w:type="character" w:styleId="32">
    <w:name w:val="page number"/>
    <w:qFormat/>
    <w:uiPriority w:val="0"/>
    <w:rPr>
      <w:rFonts w:ascii="宋体" w:hAnsi="Times New Roman" w:eastAsia="宋体"/>
      <w:sz w:val="18"/>
    </w:rPr>
  </w:style>
  <w:style w:type="character" w:styleId="33">
    <w:name w:val="Emphasis"/>
    <w:autoRedefine/>
    <w:qFormat/>
    <w:uiPriority w:val="20"/>
    <w:rPr>
      <w:i/>
      <w:iCs/>
    </w:rPr>
  </w:style>
  <w:style w:type="character" w:styleId="34">
    <w:name w:val="Hyperlink"/>
    <w:autoRedefine/>
    <w:qFormat/>
    <w:uiPriority w:val="99"/>
    <w:rPr>
      <w:rFonts w:ascii="宋体" w:hAnsi="Times New Roman" w:eastAsia="宋体"/>
      <w:color w:val="auto"/>
      <w:spacing w:val="0"/>
      <w:w w:val="100"/>
      <w:position w:val="0"/>
      <w:sz w:val="21"/>
      <w:u w:val="none"/>
      <w:vertAlign w:val="baseline"/>
    </w:rPr>
  </w:style>
  <w:style w:type="character" w:styleId="35">
    <w:name w:val="footnote reference"/>
    <w:autoRedefine/>
    <w:semiHidden/>
    <w:qFormat/>
    <w:uiPriority w:val="0"/>
    <w:rPr>
      <w:rFonts w:ascii="宋体" w:hAnsi="宋体" w:eastAsia="宋体" w:cs="Times New Roman"/>
      <w:spacing w:val="0"/>
      <w:sz w:val="18"/>
      <w:vertAlign w:val="superscript"/>
    </w:rPr>
  </w:style>
  <w:style w:type="character" w:customStyle="1" w:styleId="36">
    <w:name w:val="标题 1 字符"/>
    <w:link w:val="2"/>
    <w:autoRedefine/>
    <w:qFormat/>
    <w:uiPriority w:val="0"/>
    <w:rPr>
      <w:rFonts w:ascii="Times New Roman" w:hAnsi="Times New Roman" w:eastAsia="宋体" w:cs="Times New Roman"/>
      <w:b/>
      <w:bCs/>
      <w:kern w:val="44"/>
      <w:sz w:val="44"/>
      <w:szCs w:val="44"/>
    </w:rPr>
  </w:style>
  <w:style w:type="character" w:customStyle="1" w:styleId="37">
    <w:name w:val="标题 2 字符"/>
    <w:link w:val="4"/>
    <w:autoRedefine/>
    <w:qFormat/>
    <w:uiPriority w:val="0"/>
    <w:rPr>
      <w:rFonts w:ascii="Arial" w:hAnsi="Arial" w:eastAsia="黑体" w:cs="Times New Roman"/>
      <w:b/>
      <w:bCs/>
      <w:sz w:val="32"/>
      <w:szCs w:val="32"/>
    </w:rPr>
  </w:style>
  <w:style w:type="character" w:customStyle="1" w:styleId="38">
    <w:name w:val="标题 3 字符"/>
    <w:link w:val="5"/>
    <w:autoRedefine/>
    <w:qFormat/>
    <w:uiPriority w:val="0"/>
    <w:rPr>
      <w:rFonts w:ascii="Times New Roman" w:hAnsi="Times New Roman" w:eastAsia="宋体" w:cs="Times New Roman"/>
      <w:b/>
      <w:bCs/>
      <w:sz w:val="32"/>
      <w:szCs w:val="32"/>
    </w:rPr>
  </w:style>
  <w:style w:type="character" w:customStyle="1" w:styleId="39">
    <w:name w:val="标题 4 字符"/>
    <w:link w:val="6"/>
    <w:autoRedefine/>
    <w:qFormat/>
    <w:uiPriority w:val="0"/>
    <w:rPr>
      <w:rFonts w:ascii="Arial" w:hAnsi="Arial" w:eastAsia="黑体" w:cs="Times New Roman"/>
      <w:b/>
      <w:bCs/>
      <w:sz w:val="28"/>
      <w:szCs w:val="28"/>
    </w:rPr>
  </w:style>
  <w:style w:type="character" w:customStyle="1" w:styleId="40">
    <w:name w:val="标题 5 字符"/>
    <w:link w:val="7"/>
    <w:autoRedefine/>
    <w:qFormat/>
    <w:uiPriority w:val="0"/>
    <w:rPr>
      <w:rFonts w:ascii="Times New Roman" w:hAnsi="Times New Roman" w:eastAsia="宋体" w:cs="Times New Roman"/>
      <w:b/>
      <w:bCs/>
      <w:sz w:val="28"/>
      <w:szCs w:val="28"/>
    </w:rPr>
  </w:style>
  <w:style w:type="character" w:customStyle="1" w:styleId="41">
    <w:name w:val="标题 6 字符"/>
    <w:link w:val="8"/>
    <w:autoRedefine/>
    <w:qFormat/>
    <w:uiPriority w:val="0"/>
    <w:rPr>
      <w:rFonts w:ascii="Arial" w:hAnsi="Arial" w:eastAsia="黑体" w:cs="Times New Roman"/>
      <w:b/>
      <w:bCs/>
      <w:sz w:val="24"/>
      <w:szCs w:val="24"/>
    </w:rPr>
  </w:style>
  <w:style w:type="character" w:customStyle="1" w:styleId="42">
    <w:name w:val="标题 7 字符"/>
    <w:link w:val="9"/>
    <w:autoRedefine/>
    <w:qFormat/>
    <w:uiPriority w:val="0"/>
    <w:rPr>
      <w:rFonts w:ascii="Times New Roman" w:hAnsi="Times New Roman" w:eastAsia="宋体" w:cs="Times New Roman"/>
      <w:b/>
      <w:bCs/>
      <w:sz w:val="24"/>
      <w:szCs w:val="24"/>
    </w:rPr>
  </w:style>
  <w:style w:type="character" w:customStyle="1" w:styleId="43">
    <w:name w:val="标题 8 字符"/>
    <w:link w:val="10"/>
    <w:autoRedefine/>
    <w:qFormat/>
    <w:uiPriority w:val="0"/>
    <w:rPr>
      <w:rFonts w:ascii="Arial" w:hAnsi="Arial" w:eastAsia="黑体" w:cs="Times New Roman"/>
      <w:sz w:val="24"/>
      <w:szCs w:val="24"/>
    </w:rPr>
  </w:style>
  <w:style w:type="character" w:customStyle="1" w:styleId="44">
    <w:name w:val="标题 9 字符"/>
    <w:link w:val="11"/>
    <w:autoRedefine/>
    <w:qFormat/>
    <w:uiPriority w:val="0"/>
    <w:rPr>
      <w:rFonts w:ascii="Arial" w:hAnsi="Arial" w:eastAsia="黑体" w:cs="Times New Roman"/>
      <w:szCs w:val="21"/>
    </w:rPr>
  </w:style>
  <w:style w:type="character" w:customStyle="1" w:styleId="45">
    <w:name w:val="页眉 字符"/>
    <w:link w:val="19"/>
    <w:autoRedefine/>
    <w:qFormat/>
    <w:uiPriority w:val="99"/>
    <w:rPr>
      <w:rFonts w:ascii="Times New Roman" w:hAnsi="Times New Roman" w:eastAsia="宋体" w:cs="Times New Roman"/>
      <w:sz w:val="18"/>
      <w:szCs w:val="18"/>
    </w:rPr>
  </w:style>
  <w:style w:type="character" w:customStyle="1" w:styleId="46">
    <w:name w:val="页脚 字符"/>
    <w:link w:val="18"/>
    <w:autoRedefine/>
    <w:qFormat/>
    <w:uiPriority w:val="99"/>
    <w:rPr>
      <w:rFonts w:ascii="宋体" w:hAnsi="Times New Roman" w:eastAsia="宋体" w:cs="Times New Roman"/>
      <w:sz w:val="18"/>
      <w:szCs w:val="18"/>
    </w:rPr>
  </w:style>
  <w:style w:type="character" w:customStyle="1" w:styleId="47">
    <w:name w:val="批注框文本 字符"/>
    <w:link w:val="17"/>
    <w:autoRedefine/>
    <w:semiHidden/>
    <w:qFormat/>
    <w:uiPriority w:val="99"/>
    <w:rPr>
      <w:sz w:val="18"/>
      <w:szCs w:val="18"/>
    </w:rPr>
  </w:style>
  <w:style w:type="paragraph" w:styleId="48">
    <w:name w:val="Quote"/>
    <w:basedOn w:val="1"/>
    <w:next w:val="1"/>
    <w:link w:val="49"/>
    <w:autoRedefine/>
    <w:qFormat/>
    <w:uiPriority w:val="29"/>
    <w:rPr>
      <w:i/>
      <w:iCs/>
      <w:color w:val="000000"/>
    </w:rPr>
  </w:style>
  <w:style w:type="character" w:customStyle="1" w:styleId="49">
    <w:name w:val="引用 字符"/>
    <w:link w:val="48"/>
    <w:autoRedefine/>
    <w:qFormat/>
    <w:uiPriority w:val="29"/>
    <w:rPr>
      <w:i/>
      <w:iCs/>
      <w:color w:val="000000"/>
    </w:rPr>
  </w:style>
  <w:style w:type="character" w:customStyle="1" w:styleId="50">
    <w:name w:val="标题 字符"/>
    <w:link w:val="26"/>
    <w:autoRedefine/>
    <w:qFormat/>
    <w:uiPriority w:val="0"/>
    <w:rPr>
      <w:rFonts w:ascii="Arial" w:hAnsi="Arial" w:eastAsia="宋体" w:cs="Arial"/>
      <w:b/>
      <w:bCs/>
      <w:sz w:val="32"/>
      <w:szCs w:val="32"/>
    </w:rPr>
  </w:style>
  <w:style w:type="paragraph" w:customStyle="1" w:styleId="51">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autoRedefine/>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autoRedefine/>
    <w:qFormat/>
    <w:uiPriority w:val="0"/>
    <w:pPr>
      <w:spacing w:line="0" w:lineRule="atLeast"/>
    </w:pPr>
    <w:rPr>
      <w:rFonts w:ascii="黑体" w:hAnsi="宋体" w:eastAsia="黑体"/>
    </w:rPr>
  </w:style>
  <w:style w:type="paragraph" w:customStyle="1" w:styleId="57">
    <w:name w:val="标准文件_标准正文"/>
    <w:basedOn w:val="1"/>
    <w:next w:val="58"/>
    <w:autoRedefine/>
    <w:qFormat/>
    <w:uiPriority w:val="0"/>
    <w:pPr>
      <w:snapToGrid w:val="0"/>
      <w:ind w:firstLine="200" w:firstLineChars="200"/>
    </w:pPr>
    <w:rPr>
      <w:kern w:val="0"/>
    </w:rPr>
  </w:style>
  <w:style w:type="paragraph" w:customStyle="1" w:styleId="58">
    <w:name w:val="标准文件_段"/>
    <w:link w:val="186"/>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autoRedefine/>
    <w:qFormat/>
    <w:uiPriority w:val="0"/>
    <w:pPr>
      <w:adjustRightInd/>
      <w:snapToGrid/>
      <w:ind w:firstLine="0" w:firstLineChars="0"/>
    </w:pPr>
    <w:rPr>
      <w:rFonts w:ascii="宋体" w:hAnsi="宋体"/>
      <w:kern w:val="2"/>
    </w:rPr>
  </w:style>
  <w:style w:type="paragraph" w:customStyle="1" w:styleId="60">
    <w:name w:val="标准文件_标准部门"/>
    <w:basedOn w:val="1"/>
    <w:autoRedefine/>
    <w:qFormat/>
    <w:uiPriority w:val="0"/>
    <w:pPr>
      <w:jc w:val="center"/>
    </w:pPr>
    <w:rPr>
      <w:rFonts w:ascii="黑体" w:eastAsia="黑体"/>
      <w:kern w:val="0"/>
      <w:sz w:val="44"/>
    </w:rPr>
  </w:style>
  <w:style w:type="paragraph" w:customStyle="1" w:styleId="61">
    <w:name w:val="标准文件_标准代替"/>
    <w:basedOn w:val="1"/>
    <w:next w:val="1"/>
    <w:autoRedefine/>
    <w:qFormat/>
    <w:uiPriority w:val="0"/>
    <w:pPr>
      <w:spacing w:line="310" w:lineRule="exact"/>
      <w:jc w:val="right"/>
    </w:pPr>
    <w:rPr>
      <w:rFonts w:ascii="宋体" w:hAnsi="宋体"/>
      <w:kern w:val="0"/>
    </w:rPr>
  </w:style>
  <w:style w:type="paragraph" w:customStyle="1" w:styleId="62">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autoRedefine/>
    <w:qFormat/>
    <w:uiPriority w:val="0"/>
    <w:pPr>
      <w:jc w:val="left"/>
    </w:pPr>
  </w:style>
  <w:style w:type="paragraph" w:customStyle="1" w:styleId="65">
    <w:name w:val="标准文件_参考文献标题"/>
    <w:basedOn w:val="1"/>
    <w:next w:val="1"/>
    <w:autoRedefine/>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6">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autoRedefine/>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8">
    <w:name w:val="标准文件_发布"/>
    <w:autoRedefine/>
    <w:qFormat/>
    <w:uiPriority w:val="0"/>
    <w:rPr>
      <w:rFonts w:ascii="黑体" w:eastAsia="黑体"/>
      <w:spacing w:val="0"/>
      <w:w w:val="100"/>
      <w:position w:val="3"/>
      <w:sz w:val="28"/>
    </w:rPr>
  </w:style>
  <w:style w:type="paragraph" w:customStyle="1" w:styleId="69">
    <w:name w:val="标准文件_方框数字列项"/>
    <w:basedOn w:val="58"/>
    <w:autoRedefine/>
    <w:qFormat/>
    <w:uiPriority w:val="0"/>
    <w:pPr>
      <w:numPr>
        <w:ilvl w:val="0"/>
        <w:numId w:val="3"/>
      </w:numPr>
      <w:ind w:firstLine="0" w:firstLineChars="0"/>
    </w:pPr>
  </w:style>
  <w:style w:type="paragraph" w:customStyle="1" w:styleId="70">
    <w:name w:val="标准文件_封面标准编号"/>
    <w:basedOn w:val="1"/>
    <w:next w:val="61"/>
    <w:autoRedefine/>
    <w:qFormat/>
    <w:uiPriority w:val="0"/>
    <w:pPr>
      <w:spacing w:line="310" w:lineRule="exact"/>
      <w:jc w:val="right"/>
    </w:pPr>
    <w:rPr>
      <w:rFonts w:ascii="黑体" w:eastAsia="黑体"/>
      <w:kern w:val="0"/>
      <w:sz w:val="28"/>
    </w:rPr>
  </w:style>
  <w:style w:type="paragraph" w:customStyle="1" w:styleId="71">
    <w:name w:val="标准文件_封面标准分类号"/>
    <w:basedOn w:val="1"/>
    <w:autoRedefine/>
    <w:qFormat/>
    <w:uiPriority w:val="0"/>
    <w:rPr>
      <w:rFonts w:ascii="黑体" w:eastAsia="黑体"/>
      <w:b/>
      <w:kern w:val="0"/>
      <w:sz w:val="28"/>
    </w:rPr>
  </w:style>
  <w:style w:type="paragraph" w:customStyle="1" w:styleId="72">
    <w:name w:val="标准文件_封面标准名称"/>
    <w:basedOn w:val="1"/>
    <w:autoRedefine/>
    <w:qFormat/>
    <w:uiPriority w:val="0"/>
    <w:pPr>
      <w:spacing w:line="240" w:lineRule="auto"/>
      <w:jc w:val="center"/>
    </w:pPr>
    <w:rPr>
      <w:rFonts w:ascii="黑体" w:eastAsia="黑体"/>
      <w:kern w:val="0"/>
      <w:sz w:val="52"/>
    </w:rPr>
  </w:style>
  <w:style w:type="paragraph" w:customStyle="1" w:styleId="73">
    <w:name w:val="标准文件_封面标准英文名称"/>
    <w:basedOn w:val="1"/>
    <w:autoRedefine/>
    <w:qFormat/>
    <w:uiPriority w:val="0"/>
    <w:pPr>
      <w:spacing w:line="240" w:lineRule="auto"/>
      <w:jc w:val="center"/>
    </w:pPr>
    <w:rPr>
      <w:rFonts w:ascii="黑体" w:eastAsia="黑体"/>
      <w:b/>
      <w:sz w:val="28"/>
    </w:rPr>
  </w:style>
  <w:style w:type="paragraph" w:customStyle="1" w:styleId="74">
    <w:name w:val="标准文件_封面发布日期"/>
    <w:basedOn w:val="1"/>
    <w:autoRedefine/>
    <w:qFormat/>
    <w:uiPriority w:val="0"/>
    <w:pPr>
      <w:spacing w:line="310" w:lineRule="exact"/>
    </w:pPr>
    <w:rPr>
      <w:rFonts w:ascii="黑体" w:eastAsia="黑体"/>
      <w:kern w:val="0"/>
      <w:sz w:val="28"/>
    </w:rPr>
  </w:style>
  <w:style w:type="paragraph" w:customStyle="1" w:styleId="75">
    <w:name w:val="标准文件_封面密级"/>
    <w:basedOn w:val="1"/>
    <w:autoRedefine/>
    <w:qFormat/>
    <w:uiPriority w:val="0"/>
    <w:rPr>
      <w:rFonts w:eastAsia="黑体"/>
      <w:sz w:val="32"/>
    </w:rPr>
  </w:style>
  <w:style w:type="paragraph" w:customStyle="1" w:styleId="76">
    <w:name w:val="标准文件_封面实施日期"/>
    <w:basedOn w:val="1"/>
    <w:autoRedefine/>
    <w:qFormat/>
    <w:uiPriority w:val="0"/>
    <w:pPr>
      <w:spacing w:line="310" w:lineRule="exact"/>
      <w:jc w:val="right"/>
    </w:pPr>
    <w:rPr>
      <w:rFonts w:ascii="黑体" w:eastAsia="黑体"/>
      <w:sz w:val="28"/>
    </w:rPr>
  </w:style>
  <w:style w:type="paragraph" w:customStyle="1" w:styleId="77">
    <w:name w:val="标准文件_封面抬头"/>
    <w:basedOn w:val="58"/>
    <w:autoRedefine/>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autoRedefine/>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autoRedefine/>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autoRedefine/>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6">
    <w:name w:val="标准文件_附录五级条标题"/>
    <w:next w:val="58"/>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3"/>
    <w:autoRedefine/>
    <w:qFormat/>
    <w:uiPriority w:val="0"/>
    <w:rPr>
      <w:rFonts w:ascii="Times New Roman" w:hAnsi="Times New Roman"/>
      <w:kern w:val="2"/>
      <w:sz w:val="21"/>
      <w:szCs w:val="21"/>
    </w:rPr>
  </w:style>
  <w:style w:type="paragraph" w:customStyle="1" w:styleId="89">
    <w:name w:val="标准文件_附录章标题"/>
    <w:next w:val="58"/>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autoRedefine/>
    <w:qFormat/>
    <w:uiPriority w:val="0"/>
    <w:pPr>
      <w:ind w:left="488" w:leftChars="200" w:hanging="289" w:hangingChars="290"/>
    </w:pPr>
  </w:style>
  <w:style w:type="paragraph" w:customStyle="1" w:styleId="91">
    <w:name w:val="标准文件_前言、引言标题"/>
    <w:next w:val="1"/>
    <w:autoRedefine/>
    <w:qFormat/>
    <w:uiPriority w:val="0"/>
    <w:pPr>
      <w:numPr>
        <w:ilvl w:val="0"/>
        <w:numId w:val="8"/>
      </w:numPr>
      <w:shd w:val="clear" w:color="FFFFFF" w:fill="FFFFFF"/>
      <w:spacing w:after="150" w:afterLines="15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autoRedefine/>
    <w:qFormat/>
    <w:uiPriority w:val="0"/>
    <w:pPr>
      <w:spacing w:line="460" w:lineRule="exact"/>
    </w:pPr>
  </w:style>
  <w:style w:type="paragraph" w:customStyle="1" w:styleId="93">
    <w:name w:val="标准文件_目录标题"/>
    <w:basedOn w:val="1"/>
    <w:autoRedefine/>
    <w:qFormat/>
    <w:uiPriority w:val="0"/>
    <w:pPr>
      <w:spacing w:after="150" w:afterLines="150" w:line="240" w:lineRule="auto"/>
      <w:jc w:val="center"/>
    </w:pPr>
    <w:rPr>
      <w:rFonts w:ascii="黑体" w:eastAsia="黑体"/>
      <w:sz w:val="32"/>
    </w:rPr>
  </w:style>
  <w:style w:type="paragraph" w:customStyle="1" w:styleId="94">
    <w:name w:val="标准文件_破折号列项"/>
    <w:autoRedefine/>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autoRedefine/>
    <w:qFormat/>
    <w:uiPriority w:val="0"/>
    <w:pPr>
      <w:numPr>
        <w:numId w:val="10"/>
      </w:numPr>
      <w:ind w:left="0" w:firstLine="200"/>
    </w:pPr>
  </w:style>
  <w:style w:type="paragraph" w:customStyle="1" w:styleId="96">
    <w:name w:val="标准文件_三级条标题"/>
    <w:basedOn w:val="67"/>
    <w:next w:val="58"/>
    <w:autoRedefine/>
    <w:qFormat/>
    <w:uiPriority w:val="0"/>
    <w:pPr>
      <w:widowControl/>
      <w:numPr>
        <w:ilvl w:val="4"/>
      </w:numPr>
      <w:outlineLvl w:val="3"/>
    </w:pPr>
  </w:style>
  <w:style w:type="character" w:customStyle="1" w:styleId="97">
    <w:name w:val="不明显参考1"/>
    <w:autoRedefine/>
    <w:qFormat/>
    <w:uiPriority w:val="31"/>
    <w:rPr>
      <w:smallCaps/>
      <w:color w:val="C0504D"/>
      <w:u w:val="single"/>
    </w:rPr>
  </w:style>
  <w:style w:type="paragraph" w:customStyle="1" w:styleId="98">
    <w:name w:val="标准文件_示例后续"/>
    <w:basedOn w:val="1"/>
    <w:autoRedefine/>
    <w:qFormat/>
    <w:uiPriority w:val="0"/>
    <w:pPr>
      <w:adjustRightInd/>
      <w:spacing w:line="240" w:lineRule="auto"/>
      <w:ind w:firstLine="200" w:firstLineChars="200"/>
    </w:pPr>
    <w:rPr>
      <w:sz w:val="18"/>
      <w:szCs w:val="24"/>
    </w:rPr>
  </w:style>
  <w:style w:type="paragraph" w:customStyle="1" w:styleId="99">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2"/>
    <w:autoRedefine/>
    <w:semiHidden/>
    <w:qFormat/>
    <w:uiPriority w:val="0"/>
    <w:rPr>
      <w:rFonts w:ascii="宋体" w:hAnsi="Times New Roman" w:eastAsia="宋体" w:cs="Times New Roman"/>
      <w:sz w:val="18"/>
      <w:szCs w:val="18"/>
    </w:rPr>
  </w:style>
  <w:style w:type="paragraph" w:customStyle="1" w:styleId="102">
    <w:name w:val="标准文件_条文脚注"/>
    <w:basedOn w:val="22"/>
    <w:autoRedefine/>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autoRedefine/>
    <w:qFormat/>
    <w:uiPriority w:val="0"/>
    <w:pPr>
      <w:numPr>
        <w:ilvl w:val="0"/>
        <w:numId w:val="12"/>
      </w:numPr>
      <w:spacing w:line="240" w:lineRule="auto"/>
      <w:jc w:val="left"/>
    </w:pPr>
    <w:rPr>
      <w:rFonts w:ascii="宋体" w:hAnsi="宋体"/>
      <w:sz w:val="18"/>
    </w:rPr>
  </w:style>
  <w:style w:type="character" w:customStyle="1" w:styleId="104">
    <w:name w:val="标准文件_图表脚注内容"/>
    <w:autoRedefine/>
    <w:qFormat/>
    <w:uiPriority w:val="0"/>
    <w:rPr>
      <w:rFonts w:ascii="宋体" w:hAnsi="宋体" w:eastAsia="宋体" w:cs="Times New Roman"/>
      <w:spacing w:val="0"/>
      <w:sz w:val="18"/>
      <w:vertAlign w:val="superscript"/>
    </w:rPr>
  </w:style>
  <w:style w:type="paragraph" w:customStyle="1" w:styleId="105">
    <w:name w:val="标准文件_五级条标题"/>
    <w:next w:val="58"/>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autoRedefine/>
    <w:qFormat/>
    <w:uiPriority w:val="0"/>
    <w:pPr>
      <w:numPr>
        <w:ilvl w:val="2"/>
      </w:numPr>
      <w:spacing w:before="50" w:beforeLines="50" w:after="50" w:afterLines="50"/>
      <w:outlineLvl w:val="1"/>
    </w:pPr>
  </w:style>
  <w:style w:type="paragraph" w:customStyle="1" w:styleId="108">
    <w:name w:val="标准文件_一致程度"/>
    <w:basedOn w:val="1"/>
    <w:autoRedefine/>
    <w:qFormat/>
    <w:uiPriority w:val="0"/>
    <w:pPr>
      <w:spacing w:line="440" w:lineRule="exact"/>
      <w:jc w:val="center"/>
    </w:pPr>
    <w:rPr>
      <w:sz w:val="28"/>
    </w:rPr>
  </w:style>
  <w:style w:type="paragraph" w:customStyle="1" w:styleId="109">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autoRedefine/>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autoRedefine/>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1">
    <w:name w:val="发布部门"/>
    <w:next w:val="58"/>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autoRedefine/>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autoRedefine/>
    <w:qFormat/>
    <w:uiPriority w:val="0"/>
    <w:pPr>
      <w:outlineLvl w:val="4"/>
    </w:pPr>
  </w:style>
  <w:style w:type="paragraph" w:customStyle="1" w:styleId="132">
    <w:name w:val="附录四级无标题条"/>
    <w:basedOn w:val="131"/>
    <w:next w:val="58"/>
    <w:autoRedefine/>
    <w:qFormat/>
    <w:uiPriority w:val="0"/>
    <w:pPr>
      <w:outlineLvl w:val="5"/>
    </w:pPr>
  </w:style>
  <w:style w:type="paragraph" w:customStyle="1" w:styleId="133">
    <w:name w:val="附录图"/>
    <w:next w:val="58"/>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autoRedefine/>
    <w:qFormat/>
    <w:uiPriority w:val="0"/>
    <w:pPr>
      <w:outlineLvl w:val="6"/>
    </w:pPr>
  </w:style>
  <w:style w:type="paragraph" w:customStyle="1" w:styleId="136">
    <w:name w:val="附录性质"/>
    <w:basedOn w:val="1"/>
    <w:autoRedefine/>
    <w:qFormat/>
    <w:uiPriority w:val="0"/>
    <w:pPr>
      <w:widowControl/>
      <w:adjustRightInd/>
      <w:jc w:val="center"/>
    </w:pPr>
    <w:rPr>
      <w:rFonts w:ascii="黑体" w:eastAsia="黑体"/>
    </w:rPr>
  </w:style>
  <w:style w:type="paragraph" w:customStyle="1" w:styleId="137">
    <w:name w:val="附录一级无标题条"/>
    <w:basedOn w:val="89"/>
    <w:next w:val="58"/>
    <w:autoRedefine/>
    <w:qFormat/>
    <w:uiPriority w:val="0"/>
    <w:pPr>
      <w:autoSpaceDN w:val="0"/>
      <w:outlineLvl w:val="2"/>
    </w:pPr>
    <w:rPr>
      <w:rFonts w:ascii="宋体" w:hAnsi="宋体" w:eastAsia="宋体"/>
    </w:rPr>
  </w:style>
  <w:style w:type="character" w:customStyle="1" w:styleId="138">
    <w:name w:val="个人答复风格"/>
    <w:autoRedefine/>
    <w:qFormat/>
    <w:uiPriority w:val="0"/>
    <w:rPr>
      <w:rFonts w:ascii="Arial" w:hAnsi="Arial" w:eastAsia="宋体" w:cs="Arial"/>
      <w:color w:val="auto"/>
      <w:spacing w:val="0"/>
      <w:sz w:val="20"/>
    </w:rPr>
  </w:style>
  <w:style w:type="character" w:customStyle="1" w:styleId="139">
    <w:name w:val="个人撰写风格"/>
    <w:autoRedefine/>
    <w:qFormat/>
    <w:uiPriority w:val="0"/>
    <w:rPr>
      <w:rFonts w:ascii="Arial" w:hAnsi="Arial" w:eastAsia="宋体" w:cs="Arial"/>
      <w:color w:val="auto"/>
      <w:spacing w:val="0"/>
      <w:sz w:val="20"/>
    </w:rPr>
  </w:style>
  <w:style w:type="paragraph" w:customStyle="1" w:styleId="140">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autoRedefine/>
    <w:qFormat/>
    <w:uiPriority w:val="0"/>
    <w:pPr>
      <w:tabs>
        <w:tab w:val="left" w:pos="840"/>
      </w:tabs>
    </w:pPr>
  </w:style>
  <w:style w:type="paragraph" w:customStyle="1" w:styleId="143">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autoRedefine/>
    <w:semiHidden/>
    <w:qFormat/>
    <w:uiPriority w:val="0"/>
    <w:pPr>
      <w:adjustRightInd/>
      <w:spacing w:line="240" w:lineRule="auto"/>
      <w:jc w:val="left"/>
    </w:pPr>
    <w:rPr>
      <w:bCs/>
      <w:iCs/>
    </w:rPr>
  </w:style>
  <w:style w:type="paragraph" w:customStyle="1" w:styleId="145">
    <w:name w:val="目录 31"/>
    <w:basedOn w:val="1"/>
    <w:next w:val="1"/>
    <w:autoRedefine/>
    <w:semiHidden/>
    <w:qFormat/>
    <w:uiPriority w:val="0"/>
    <w:pPr>
      <w:spacing w:line="240" w:lineRule="auto"/>
    </w:pPr>
    <w:rPr>
      <w:rFonts w:ascii="宋体" w:hAnsi="宋体"/>
      <w:iCs/>
    </w:rPr>
  </w:style>
  <w:style w:type="paragraph" w:customStyle="1" w:styleId="146">
    <w:name w:val="目录 41"/>
    <w:basedOn w:val="1"/>
    <w:next w:val="1"/>
    <w:autoRedefine/>
    <w:semiHidden/>
    <w:qFormat/>
    <w:uiPriority w:val="0"/>
    <w:pPr>
      <w:adjustRightInd/>
      <w:spacing w:line="240" w:lineRule="auto"/>
      <w:jc w:val="left"/>
    </w:pPr>
  </w:style>
  <w:style w:type="paragraph" w:customStyle="1" w:styleId="147">
    <w:name w:val="目录 51"/>
    <w:basedOn w:val="1"/>
    <w:next w:val="1"/>
    <w:autoRedefine/>
    <w:semiHidden/>
    <w:qFormat/>
    <w:uiPriority w:val="0"/>
    <w:pPr>
      <w:spacing w:line="240" w:lineRule="auto"/>
    </w:pPr>
    <w:rPr>
      <w:rFonts w:ascii="宋体" w:hAnsi="宋体"/>
    </w:rPr>
  </w:style>
  <w:style w:type="paragraph" w:customStyle="1" w:styleId="148">
    <w:name w:val="目录 61"/>
    <w:basedOn w:val="1"/>
    <w:next w:val="1"/>
    <w:autoRedefine/>
    <w:semiHidden/>
    <w:qFormat/>
    <w:uiPriority w:val="0"/>
    <w:pPr>
      <w:adjustRightInd/>
      <w:spacing w:line="240" w:lineRule="auto"/>
      <w:jc w:val="left"/>
    </w:pPr>
  </w:style>
  <w:style w:type="paragraph" w:customStyle="1" w:styleId="149">
    <w:name w:val="目录 71"/>
    <w:basedOn w:val="148"/>
    <w:autoRedefine/>
    <w:semiHidden/>
    <w:qFormat/>
    <w:uiPriority w:val="0"/>
    <w:pPr>
      <w:ind w:left="1260"/>
    </w:pPr>
  </w:style>
  <w:style w:type="paragraph" w:customStyle="1" w:styleId="150">
    <w:name w:val="目录 81"/>
    <w:basedOn w:val="149"/>
    <w:autoRedefine/>
    <w:semiHidden/>
    <w:qFormat/>
    <w:uiPriority w:val="0"/>
    <w:pPr>
      <w:ind w:left="1470"/>
    </w:pPr>
  </w:style>
  <w:style w:type="paragraph" w:customStyle="1" w:styleId="151">
    <w:name w:val="目录 91"/>
    <w:basedOn w:val="150"/>
    <w:autoRedefine/>
    <w:semiHidden/>
    <w:qFormat/>
    <w:uiPriority w:val="0"/>
    <w:pPr>
      <w:ind w:left="1680"/>
    </w:pPr>
  </w:style>
  <w:style w:type="paragraph" w:customStyle="1" w:styleId="152">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autoRedefine/>
    <w:qFormat/>
    <w:uiPriority w:val="0"/>
    <w:pPr>
      <w:framePr w:wrap="around"/>
      <w:spacing w:line="0" w:lineRule="atLeast"/>
    </w:pPr>
    <w:rPr>
      <w:rFonts w:ascii="黑体" w:eastAsia="黑体"/>
      <w:b w:val="0"/>
    </w:rPr>
  </w:style>
  <w:style w:type="paragraph" w:customStyle="1" w:styleId="154">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56">
    <w:name w:val="实施日期"/>
    <w:basedOn w:val="122"/>
    <w:autoRedefine/>
    <w:qFormat/>
    <w:uiPriority w:val="0"/>
    <w:pPr>
      <w:framePr w:hSpace="0" w:wrap="around" w:xAlign="right"/>
      <w:jc w:val="right"/>
    </w:pPr>
  </w:style>
  <w:style w:type="paragraph" w:customStyle="1" w:styleId="157">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58">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autoRedefine/>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autoRedefine/>
    <w:qFormat/>
    <w:uiPriority w:val="0"/>
    <w:pPr>
      <w:numPr>
        <w:ilvl w:val="6"/>
        <w:numId w:val="20"/>
      </w:numPr>
      <w:adjustRightInd/>
    </w:pPr>
    <w:rPr>
      <w:szCs w:val="24"/>
    </w:rPr>
  </w:style>
  <w:style w:type="paragraph" w:customStyle="1" w:styleId="161">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2">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autoRedefine/>
    <w:qFormat/>
    <w:uiPriority w:val="0"/>
    <w:pPr>
      <w:ind w:left="1406" w:leftChars="0" w:hanging="499" w:firstLineChars="0"/>
    </w:pPr>
  </w:style>
  <w:style w:type="paragraph" w:customStyle="1" w:styleId="164">
    <w:name w:val="标准文件_一级无标题"/>
    <w:basedOn w:val="107"/>
    <w:autoRedefine/>
    <w:qFormat/>
    <w:uiPriority w:val="0"/>
    <w:pPr>
      <w:spacing w:before="0" w:beforeLines="0" w:after="0" w:afterLines="0"/>
      <w:outlineLvl w:val="9"/>
    </w:pPr>
    <w:rPr>
      <w:rFonts w:ascii="宋体" w:eastAsia="宋体"/>
    </w:rPr>
  </w:style>
  <w:style w:type="paragraph" w:customStyle="1" w:styleId="165">
    <w:name w:val="标准文件_五级无标题"/>
    <w:basedOn w:val="105"/>
    <w:autoRedefine/>
    <w:qFormat/>
    <w:uiPriority w:val="0"/>
    <w:pPr>
      <w:spacing w:before="0" w:beforeLines="0" w:after="0" w:afterLines="0"/>
      <w:outlineLvl w:val="9"/>
    </w:pPr>
    <w:rPr>
      <w:rFonts w:ascii="宋体" w:eastAsia="宋体"/>
    </w:rPr>
  </w:style>
  <w:style w:type="paragraph" w:customStyle="1" w:styleId="166">
    <w:name w:val="标准文件_三级无标题"/>
    <w:basedOn w:val="96"/>
    <w:autoRedefine/>
    <w:qFormat/>
    <w:uiPriority w:val="0"/>
    <w:pPr>
      <w:spacing w:before="0" w:beforeLines="0" w:after="0" w:afterLines="0"/>
      <w:outlineLvl w:val="9"/>
    </w:pPr>
    <w:rPr>
      <w:rFonts w:ascii="宋体" w:eastAsia="宋体"/>
    </w:rPr>
  </w:style>
  <w:style w:type="paragraph" w:customStyle="1" w:styleId="167">
    <w:name w:val="标准文件_二级无标题"/>
    <w:basedOn w:val="67"/>
    <w:autoRedefine/>
    <w:qFormat/>
    <w:uiPriority w:val="0"/>
    <w:pPr>
      <w:spacing w:before="0" w:beforeLines="0" w:after="0" w:afterLines="0"/>
      <w:outlineLvl w:val="9"/>
    </w:pPr>
    <w:rPr>
      <w:rFonts w:ascii="宋体" w:eastAsia="宋体"/>
    </w:rPr>
  </w:style>
  <w:style w:type="paragraph" w:customStyle="1" w:styleId="168">
    <w:name w:val="标准_四级无标题"/>
    <w:basedOn w:val="100"/>
    <w:next w:val="58"/>
    <w:autoRedefine/>
    <w:qFormat/>
    <w:uiPriority w:val="0"/>
    <w:rPr>
      <w:rFonts w:eastAsia="宋体"/>
    </w:rPr>
  </w:style>
  <w:style w:type="paragraph" w:customStyle="1" w:styleId="169">
    <w:name w:val="标准文件_四级无标题"/>
    <w:basedOn w:val="100"/>
    <w:autoRedefine/>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autoRedefine/>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autoRedefine/>
    <w:qFormat/>
    <w:uiPriority w:val="0"/>
    <w:pPr>
      <w:numPr>
        <w:ilvl w:val="0"/>
        <w:numId w:val="24"/>
      </w:numPr>
      <w:ind w:firstLine="0" w:firstLineChars="0"/>
    </w:pPr>
    <w:rPr>
      <w:rFonts w:cs="Arial"/>
      <w:szCs w:val="28"/>
    </w:rPr>
  </w:style>
  <w:style w:type="paragraph" w:customStyle="1" w:styleId="172">
    <w:name w:val="标准文件_附录标题"/>
    <w:basedOn w:val="78"/>
    <w:autoRedefine/>
    <w:qFormat/>
    <w:uiPriority w:val="0"/>
    <w:pPr>
      <w:numPr>
        <w:numId w:val="0"/>
      </w:numPr>
      <w:spacing w:after="280"/>
      <w:outlineLvl w:val="9"/>
    </w:pPr>
  </w:style>
  <w:style w:type="paragraph" w:customStyle="1" w:styleId="173">
    <w:name w:val="标准文件_二级项"/>
    <w:autoRedefine/>
    <w:qFormat/>
    <w:uiPriority w:val="0"/>
    <w:rPr>
      <w:rFonts w:ascii="宋体" w:hAnsi="Times New Roman" w:eastAsia="宋体" w:cs="Times New Roman"/>
      <w:sz w:val="21"/>
      <w:lang w:val="en-US" w:eastAsia="zh-CN" w:bidi="ar-SA"/>
    </w:rPr>
  </w:style>
  <w:style w:type="paragraph" w:customStyle="1" w:styleId="174">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autoRedefine/>
    <w:qFormat/>
    <w:uiPriority w:val="0"/>
    <w:pPr>
      <w:numPr>
        <w:ilvl w:val="0"/>
        <w:numId w:val="25"/>
      </w:numPr>
      <w:adjustRightInd/>
      <w:spacing w:line="240" w:lineRule="auto"/>
      <w:ind w:left="783"/>
    </w:pPr>
    <w:rPr>
      <w:rFonts w:ascii="宋体" w:hAnsi="Times New Roman"/>
      <w:sz w:val="18"/>
      <w:szCs w:val="18"/>
    </w:rPr>
  </w:style>
  <w:style w:type="paragraph" w:customStyle="1" w:styleId="176">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autoRedefine/>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autoRedefine/>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autoRedefine/>
    <w:qFormat/>
    <w:uiPriority w:val="0"/>
    <w:pPr>
      <w:ind w:firstLine="0" w:firstLineChars="0"/>
      <w:jc w:val="center"/>
    </w:pPr>
    <w:rPr>
      <w:sz w:val="18"/>
    </w:rPr>
  </w:style>
  <w:style w:type="paragraph" w:customStyle="1" w:styleId="181">
    <w:name w:val="标准文件_注："/>
    <w:next w:val="58"/>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autoRedefine/>
    <w:qFormat/>
    <w:uiPriority w:val="0"/>
    <w:pPr>
      <w:ind w:firstLine="420"/>
    </w:pPr>
    <w:rPr>
      <w:sz w:val="18"/>
    </w:rPr>
  </w:style>
  <w:style w:type="paragraph" w:customStyle="1" w:styleId="185">
    <w:name w:val="标准文件_示例×："/>
    <w:basedOn w:val="1"/>
    <w:next w:val="184"/>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autoRedefine/>
    <w:qFormat/>
    <w:uiPriority w:val="0"/>
    <w:rPr>
      <w:rFonts w:ascii="宋体" w:hAnsi="Times New Roman"/>
      <w:sz w:val="21"/>
    </w:rPr>
  </w:style>
  <w:style w:type="paragraph" w:customStyle="1" w:styleId="187">
    <w:name w:val="标准文件_表格续"/>
    <w:basedOn w:val="58"/>
    <w:next w:val="58"/>
    <w:autoRedefine/>
    <w:qFormat/>
    <w:uiPriority w:val="0"/>
    <w:pPr>
      <w:jc w:val="center"/>
    </w:pPr>
    <w:rPr>
      <w:rFonts w:ascii="黑体" w:hAnsi="黑体" w:eastAsia="黑体"/>
    </w:rPr>
  </w:style>
  <w:style w:type="character" w:styleId="188">
    <w:name w:val="Placeholder Text"/>
    <w:basedOn w:val="30"/>
    <w:autoRedefine/>
    <w:semiHidden/>
    <w:qFormat/>
    <w:uiPriority w:val="99"/>
    <w:rPr>
      <w:color w:val="808080"/>
    </w:rPr>
  </w:style>
  <w:style w:type="paragraph" w:customStyle="1" w:styleId="189">
    <w:name w:val="标准文件_二级项2"/>
    <w:basedOn w:val="58"/>
    <w:autoRedefine/>
    <w:qFormat/>
    <w:uiPriority w:val="0"/>
    <w:pPr>
      <w:numPr>
        <w:ilvl w:val="1"/>
        <w:numId w:val="21"/>
      </w:numPr>
      <w:tabs>
        <w:tab w:val="left" w:pos="851"/>
      </w:tabs>
      <w:ind w:firstLine="0" w:firstLineChars="0"/>
    </w:pPr>
  </w:style>
  <w:style w:type="paragraph" w:customStyle="1" w:styleId="190">
    <w:name w:val="标准文件_三级项2"/>
    <w:basedOn w:val="58"/>
    <w:autoRedefine/>
    <w:qFormat/>
    <w:uiPriority w:val="0"/>
    <w:pPr>
      <w:numPr>
        <w:ilvl w:val="0"/>
        <w:numId w:val="30"/>
      </w:numPr>
      <w:spacing w:line="300" w:lineRule="exact"/>
      <w:ind w:left="1276" w:hanging="425" w:firstLineChars="0"/>
    </w:pPr>
    <w:rPr>
      <w:rFonts w:ascii="Times New Roman"/>
    </w:rPr>
  </w:style>
  <w:style w:type="paragraph" w:customStyle="1" w:styleId="191">
    <w:name w:val="标准文件_一级项2"/>
    <w:basedOn w:val="58"/>
    <w:autoRedefine/>
    <w:qFormat/>
    <w:uiPriority w:val="0"/>
    <w:pPr>
      <w:numPr>
        <w:ilvl w:val="0"/>
        <w:numId w:val="31"/>
      </w:numPr>
      <w:spacing w:line="300" w:lineRule="exact"/>
      <w:ind w:left="1271" w:hanging="420" w:firstLineChars="0"/>
    </w:pPr>
    <w:rPr>
      <w:rFonts w:ascii="Times New Roman"/>
    </w:rPr>
  </w:style>
  <w:style w:type="paragraph" w:customStyle="1" w:styleId="192">
    <w:name w:val="标准文件_提示"/>
    <w:basedOn w:val="58"/>
    <w:next w:val="58"/>
    <w:autoRedefine/>
    <w:qFormat/>
    <w:uiPriority w:val="0"/>
    <w:pPr>
      <w:ind w:firstLine="420"/>
    </w:pPr>
    <w:rPr>
      <w:rFonts w:ascii="黑体" w:eastAsia="黑体"/>
    </w:rPr>
  </w:style>
  <w:style w:type="character" w:customStyle="1" w:styleId="193">
    <w:name w:val="标准文件_来源"/>
    <w:basedOn w:val="30"/>
    <w:autoRedefine/>
    <w:qFormat/>
    <w:uiPriority w:val="1"/>
    <w:rPr>
      <w:rFonts w:eastAsia="宋体"/>
      <w:sz w:val="21"/>
    </w:rPr>
  </w:style>
  <w:style w:type="paragraph" w:customStyle="1" w:styleId="194">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autoRedefine/>
    <w:qFormat/>
    <w:uiPriority w:val="0"/>
    <w:pPr>
      <w:framePr w:w="3997" w:h="471" w:hRule="exact" w:hSpace="0" w:vSpace="181" w:wrap="around" w:vAnchor="page" w:hAnchor="page" w:x="1419" w:y="14097"/>
    </w:pPr>
  </w:style>
  <w:style w:type="paragraph" w:customStyle="1" w:styleId="196">
    <w:name w:val="其他实施日期"/>
    <w:basedOn w:val="156"/>
    <w:autoRedefine/>
    <w:qFormat/>
    <w:uiPriority w:val="0"/>
    <w:pPr>
      <w:framePr w:w="3997" w:h="471" w:hRule="exact" w:vSpace="181" w:wrap="around" w:vAnchor="page" w:hAnchor="page" w:x="7089" w:y="14097"/>
    </w:pPr>
  </w:style>
  <w:style w:type="paragraph" w:customStyle="1" w:styleId="197">
    <w:name w:val="标准文件_文件编号"/>
    <w:basedOn w:val="58"/>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autoRedefine/>
    <w:qFormat/>
    <w:uiPriority w:val="0"/>
    <w:pPr>
      <w:spacing w:before="57"/>
    </w:pPr>
    <w:rPr>
      <w:sz w:val="21"/>
    </w:rPr>
  </w:style>
  <w:style w:type="paragraph" w:customStyle="1" w:styleId="199">
    <w:name w:val="标准文件_文件名称"/>
    <w:basedOn w:val="58"/>
    <w:next w:val="58"/>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autoRedefine/>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autoRedefine/>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autoRedefine/>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autoRedefine/>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autoRedefine/>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autoRedefine/>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autoRedefine/>
    <w:qFormat/>
    <w:uiPriority w:val="0"/>
    <w:pPr>
      <w:ind w:left="811" w:firstLine="0" w:firstLineChars="0"/>
    </w:pPr>
    <w:rPr>
      <w:sz w:val="18"/>
    </w:rPr>
  </w:style>
  <w:style w:type="paragraph" w:customStyle="1" w:styleId="208">
    <w:name w:val="标准文件_注X后"/>
    <w:basedOn w:val="58"/>
    <w:autoRedefine/>
    <w:qFormat/>
    <w:uiPriority w:val="0"/>
    <w:pPr>
      <w:ind w:left="811" w:firstLine="0" w:firstLineChars="0"/>
    </w:pPr>
    <w:rPr>
      <w:sz w:val="18"/>
    </w:rPr>
  </w:style>
  <w:style w:type="paragraph" w:customStyle="1" w:styleId="209">
    <w:name w:val="标准文件_示例后"/>
    <w:basedOn w:val="58"/>
    <w:autoRedefine/>
    <w:qFormat/>
    <w:uiPriority w:val="0"/>
    <w:pPr>
      <w:ind w:left="964" w:firstLine="0" w:firstLineChars="0"/>
    </w:pPr>
    <w:rPr>
      <w:sz w:val="18"/>
    </w:rPr>
  </w:style>
  <w:style w:type="paragraph" w:customStyle="1" w:styleId="210">
    <w:name w:val="标准文件_示例X后"/>
    <w:basedOn w:val="58"/>
    <w:link w:val="211"/>
    <w:autoRedefine/>
    <w:qFormat/>
    <w:uiPriority w:val="0"/>
    <w:pPr>
      <w:ind w:left="1049" w:firstLine="0" w:firstLineChars="0"/>
    </w:pPr>
    <w:rPr>
      <w:sz w:val="18"/>
    </w:rPr>
  </w:style>
  <w:style w:type="character" w:customStyle="1" w:styleId="211">
    <w:name w:val="标准文件_示例X后 字符"/>
    <w:basedOn w:val="186"/>
    <w:link w:val="210"/>
    <w:autoRedefine/>
    <w:qFormat/>
    <w:uiPriority w:val="0"/>
    <w:rPr>
      <w:rFonts w:ascii="宋体" w:hAnsi="Times New Roman"/>
      <w:sz w:val="18"/>
    </w:rPr>
  </w:style>
  <w:style w:type="paragraph" w:customStyle="1" w:styleId="212">
    <w:name w:val="标准文件_索引项"/>
    <w:basedOn w:val="58"/>
    <w:next w:val="58"/>
    <w:autoRedefine/>
    <w:qFormat/>
    <w:uiPriority w:val="0"/>
    <w:pPr>
      <w:tabs>
        <w:tab w:val="right" w:leader="dot" w:pos="9356"/>
      </w:tabs>
      <w:ind w:left="210" w:hanging="210" w:firstLineChars="0"/>
      <w:jc w:val="left"/>
    </w:pPr>
  </w:style>
  <w:style w:type="paragraph" w:customStyle="1" w:styleId="213">
    <w:name w:val="标准文件_附录一级无标题"/>
    <w:basedOn w:val="80"/>
    <w:autoRedefine/>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autoRedefine/>
    <w:qFormat/>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autoRedefine/>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autoRedefine/>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autoRedefine/>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autoRedefine/>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autoRedefine/>
    <w:qFormat/>
    <w:uiPriority w:val="0"/>
    <w:pPr>
      <w:spacing w:before="0" w:beforeLines="0" w:after="0" w:afterLines="0" w:line="276" w:lineRule="auto"/>
    </w:pPr>
    <w:rPr>
      <w:rFonts w:ascii="宋体" w:eastAsia="宋体"/>
    </w:rPr>
  </w:style>
  <w:style w:type="paragraph" w:customStyle="1" w:styleId="220">
    <w:name w:val="标准文件_引言三级无标题"/>
    <w:basedOn w:val="204"/>
    <w:next w:val="58"/>
    <w:autoRedefine/>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autoRedefine/>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autoRedefine/>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autoRedefine/>
    <w:qFormat/>
    <w:uiPriority w:val="0"/>
    <w:rPr>
      <w:rFonts w:hAnsi="黑体"/>
    </w:rPr>
  </w:style>
  <w:style w:type="paragraph" w:customStyle="1" w:styleId="224">
    <w:name w:val="标准文件_脚注内容"/>
    <w:basedOn w:val="58"/>
    <w:autoRedefine/>
    <w:qFormat/>
    <w:uiPriority w:val="0"/>
    <w:pPr>
      <w:ind w:left="400" w:leftChars="200" w:hanging="200" w:hangingChars="200"/>
    </w:pPr>
    <w:rPr>
      <w:sz w:val="15"/>
    </w:rPr>
  </w:style>
  <w:style w:type="paragraph" w:customStyle="1" w:styleId="225">
    <w:name w:val="标准文件_术语条一"/>
    <w:basedOn w:val="164"/>
    <w:next w:val="58"/>
    <w:autoRedefine/>
    <w:qFormat/>
    <w:uiPriority w:val="0"/>
  </w:style>
  <w:style w:type="paragraph" w:customStyle="1" w:styleId="226">
    <w:name w:val="标准文件_术语条二"/>
    <w:basedOn w:val="167"/>
    <w:next w:val="58"/>
    <w:autoRedefine/>
    <w:qFormat/>
    <w:uiPriority w:val="0"/>
  </w:style>
  <w:style w:type="paragraph" w:customStyle="1" w:styleId="227">
    <w:name w:val="标准文件_术语条三"/>
    <w:basedOn w:val="166"/>
    <w:next w:val="58"/>
    <w:autoRedefine/>
    <w:qFormat/>
    <w:uiPriority w:val="0"/>
  </w:style>
  <w:style w:type="paragraph" w:customStyle="1" w:styleId="228">
    <w:name w:val="标准文件_术语条四"/>
    <w:basedOn w:val="169"/>
    <w:next w:val="58"/>
    <w:autoRedefine/>
    <w:qFormat/>
    <w:uiPriority w:val="0"/>
  </w:style>
  <w:style w:type="paragraph" w:customStyle="1" w:styleId="229">
    <w:name w:val="标准文件_术语条五"/>
    <w:basedOn w:val="165"/>
    <w:next w:val="58"/>
    <w:autoRedefine/>
    <w:qFormat/>
    <w:uiPriority w:val="0"/>
  </w:style>
  <w:style w:type="paragraph" w:customStyle="1" w:styleId="230">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autoRedefine/>
    <w:qFormat/>
    <w:uiPriority w:val="0"/>
    <w:rPr>
      <w:rFonts w:ascii="黑体" w:eastAsia="黑体"/>
      <w:spacing w:val="85"/>
      <w:w w:val="100"/>
      <w:position w:val="3"/>
      <w:sz w:val="28"/>
      <w:szCs w:val="28"/>
    </w:rPr>
  </w:style>
  <w:style w:type="table" w:customStyle="1" w:styleId="232">
    <w:name w:val="网格型1"/>
    <w:basedOn w:val="2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3">
    <w:name w:val="正文文本缩进 字符"/>
    <w:basedOn w:val="30"/>
    <w:link w:val="14"/>
    <w:autoRedefine/>
    <w:semiHidden/>
    <w:qFormat/>
    <w:uiPriority w:val="99"/>
    <w:rPr>
      <w:kern w:val="2"/>
      <w:sz w:val="21"/>
      <w:szCs w:val="21"/>
    </w:rPr>
  </w:style>
  <w:style w:type="character" w:customStyle="1" w:styleId="234">
    <w:name w:val="正文文本首行缩进 2 字符"/>
    <w:basedOn w:val="233"/>
    <w:link w:val="27"/>
    <w:autoRedefine/>
    <w:qFormat/>
    <w:uiPriority w:val="99"/>
    <w:rPr>
      <w:kern w:val="2"/>
      <w:sz w:val="21"/>
      <w:szCs w:val="21"/>
    </w:rPr>
  </w:style>
  <w:style w:type="paragraph" w:customStyle="1" w:styleId="235">
    <w:name w:val="封面标准号2"/>
    <w:autoRedefine/>
    <w:qFormat/>
    <w:uiPriority w:val="0"/>
    <w:pPr>
      <w:framePr w:w="9140" w:h="1242"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3" Type="http://schemas.openxmlformats.org/officeDocument/2006/relationships/glossaryDocument" Target="glossary/document.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1.xml"/><Relationship Id="rId69" Type="http://schemas.openxmlformats.org/officeDocument/2006/relationships/customXml" Target="../customXml/item1.xml"/><Relationship Id="rId68" Type="http://schemas.openxmlformats.org/officeDocument/2006/relationships/image" Target="media/image50.jpe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C4821467A3B4DB589874826D41FF7B1"/>
        <w:style w:val=""/>
        <w:category>
          <w:name w:val="常规"/>
          <w:gallery w:val="placeholder"/>
        </w:category>
        <w:types>
          <w:type w:val="bbPlcHdr"/>
        </w:types>
        <w:behaviors>
          <w:behavior w:val="content"/>
        </w:behaviors>
        <w:description w:val=""/>
        <w:guid w:val="{ED57FAC5-0A60-452C-BD48-3EF878D541A9}"/>
      </w:docPartPr>
      <w:docPartBody>
        <w:p w14:paraId="422C9085">
          <w:pPr>
            <w:pStyle w:val="5"/>
          </w:pPr>
          <w:r>
            <w:rPr>
              <w:rStyle w:val="4"/>
              <w:rFonts w:hint="eastAsia"/>
            </w:rPr>
            <w:t>单击或点击此处输入文字。</w:t>
          </w:r>
        </w:p>
      </w:docPartBody>
    </w:docPart>
    <w:docPart>
      <w:docPartPr>
        <w:name w:val="5B1FC8F8F15B4B5A8F0A1EDDDBC0C351"/>
        <w:style w:val=""/>
        <w:category>
          <w:name w:val="常规"/>
          <w:gallery w:val="placeholder"/>
        </w:category>
        <w:types>
          <w:type w:val="bbPlcHdr"/>
        </w:types>
        <w:behaviors>
          <w:behavior w:val="content"/>
        </w:behaviors>
        <w:description w:val=""/>
        <w:guid w:val="{8B2D9ACC-9DBA-4287-AE45-9F77804CBAC2}"/>
      </w:docPartPr>
      <w:docPartBody>
        <w:p w14:paraId="2E1379E1">
          <w:pPr>
            <w:pStyle w:val="6"/>
          </w:pPr>
          <w:r>
            <w:rPr>
              <w:rStyle w:val="4"/>
              <w:rFonts w:hint="eastAsia"/>
            </w:rPr>
            <w:t>选择一项。</w:t>
          </w:r>
        </w:p>
      </w:docPartBody>
    </w:docPart>
    <w:docPart>
      <w:docPartPr>
        <w:name w:val="8991A396561441D297A413D4AC68AAB5"/>
        <w:style w:val=""/>
        <w:category>
          <w:name w:val="常规"/>
          <w:gallery w:val="placeholder"/>
        </w:category>
        <w:types>
          <w:type w:val="bbPlcHdr"/>
        </w:types>
        <w:behaviors>
          <w:behavior w:val="content"/>
        </w:behaviors>
        <w:description w:val=""/>
        <w:guid w:val="{1DEE6D36-1914-4EB9-9431-522866839365}"/>
      </w:docPartPr>
      <w:docPartBody>
        <w:p w14:paraId="48300206">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B01"/>
    <w:rsid w:val="000061A4"/>
    <w:rsid w:val="00190E7A"/>
    <w:rsid w:val="00342584"/>
    <w:rsid w:val="00356EAA"/>
    <w:rsid w:val="00466973"/>
    <w:rsid w:val="00496C5C"/>
    <w:rsid w:val="006332AC"/>
    <w:rsid w:val="0068113D"/>
    <w:rsid w:val="00713113"/>
    <w:rsid w:val="007D5FB1"/>
    <w:rsid w:val="008873D8"/>
    <w:rsid w:val="00B406F5"/>
    <w:rsid w:val="00B91066"/>
    <w:rsid w:val="00BB7B01"/>
    <w:rsid w:val="00BF4F15"/>
    <w:rsid w:val="00C13CE7"/>
    <w:rsid w:val="00CB78EC"/>
    <w:rsid w:val="00D0725D"/>
    <w:rsid w:val="00EC5C69"/>
    <w:rsid w:val="00EF3FF1"/>
    <w:rsid w:val="00EF7D9F"/>
    <w:rsid w:val="00F26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4C4821467A3B4DB589874826D41FF7B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B1FC8F8F15B4B5A8F0A1EDDDBC0C35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8991A396561441D297A413D4AC68AAB5"/>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204C03-5691-4C48-8C43-170B0C513C11}">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42</Pages>
  <Words>14179</Words>
  <Characters>14896</Characters>
  <Lines>177</Lines>
  <Paragraphs>49</Paragraphs>
  <TotalTime>3</TotalTime>
  <ScaleCrop>false</ScaleCrop>
  <LinksUpToDate>false</LinksUpToDate>
  <CharactersWithSpaces>15294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2024-03-24T15:29:00Z</dcterms:created>
  <dc:creator>admin</dc:creator>
  <dc:description>&lt;config cover="true" show_menu="true" version="1.0.0" doctype="SDKXY"&gt;_x000d_
&lt;/config&gt;</dc:description>
  <cp:lastModifiedBy>满光</cp:lastModifiedBy>
  <cp:lastPrinted>2021-02-02T08:22:00Z</cp:lastPrinted>
  <dcterms:modified xsi:type="dcterms:W3CDTF">2025-02-10T12:09:53Z</dcterms:modified>
  <dc:title>团体标准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True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2052-12.1.0.19770</vt:lpwstr>
  </property>
  <property fmtid="{D5CDD505-2E9C-101B-9397-08002B2CF9AE}" pid="15" name="ICV">
    <vt:lpwstr>B5A7EBF9E85F414EBA491FAC8E65CE2D_13</vt:lpwstr>
  </property>
  <property fmtid="{D5CDD505-2E9C-101B-9397-08002B2CF9AE}" pid="16" name="KSOTemplateDocerSaveRecord">
    <vt:lpwstr>eyJoZGlkIjoiYTVmOTc4YjI2YWVkM2Q3ODNhNGY1NjY1MWEwOGFhMWEiLCJ1c2VySWQiOiI3MzkxODU3NTkifQ==</vt:lpwstr>
  </property>
</Properties>
</file>