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EBC8F" w14:textId="77777777" w:rsidR="00D468FB" w:rsidRDefault="00000000">
      <w:pPr>
        <w:tabs>
          <w:tab w:val="left" w:pos="7371"/>
        </w:tabs>
        <w:jc w:val="left"/>
      </w:pPr>
      <w:bookmarkStart w:id="0" w:name="_Hlk175905260"/>
      <w:r>
        <w:t>ICS 6</w:t>
      </w:r>
      <w:r>
        <w:rPr>
          <w:rFonts w:hint="eastAsia"/>
        </w:rPr>
        <w:t>5</w:t>
      </w:r>
      <w:r>
        <w:t>.120</w:t>
      </w:r>
    </w:p>
    <w:p w14:paraId="0C14694F" w14:textId="77777777" w:rsidR="00D468FB" w:rsidRDefault="00000000">
      <w:pPr>
        <w:jc w:val="left"/>
      </w:pPr>
      <w:r>
        <w:t xml:space="preserve">B </w:t>
      </w:r>
      <w:r>
        <w:rPr>
          <w:rFonts w:hint="eastAsia"/>
        </w:rPr>
        <w:t>20</w:t>
      </w:r>
    </w:p>
    <w:p w14:paraId="0618A763" w14:textId="77777777" w:rsidR="00D468FB" w:rsidRDefault="00D468FB">
      <w:pPr>
        <w:jc w:val="center"/>
      </w:pPr>
    </w:p>
    <w:p w14:paraId="7ADA3077" w14:textId="77777777" w:rsidR="00D468FB" w:rsidRDefault="00D468FB">
      <w:pPr>
        <w:jc w:val="center"/>
      </w:pPr>
    </w:p>
    <w:p w14:paraId="1F824B94" w14:textId="77777777" w:rsidR="00D468FB" w:rsidRDefault="00000000">
      <w:pPr>
        <w:jc w:val="center"/>
        <w:rPr>
          <w:rFonts w:eastAsia="黑体"/>
          <w:sz w:val="84"/>
          <w:szCs w:val="84"/>
        </w:rPr>
      </w:pPr>
      <w:r>
        <w:rPr>
          <w:rFonts w:eastAsia="黑体" w:cs="黑体" w:hint="eastAsia"/>
          <w:sz w:val="84"/>
          <w:szCs w:val="84"/>
        </w:rPr>
        <w:t>团</w:t>
      </w:r>
      <w:r>
        <w:rPr>
          <w:rFonts w:eastAsia="黑体" w:cs="黑体" w:hint="eastAsia"/>
          <w:sz w:val="84"/>
          <w:szCs w:val="84"/>
        </w:rPr>
        <w:t xml:space="preserve"> </w:t>
      </w:r>
      <w:r>
        <w:rPr>
          <w:rFonts w:eastAsia="黑体" w:cs="黑体" w:hint="eastAsia"/>
          <w:sz w:val="84"/>
          <w:szCs w:val="84"/>
        </w:rPr>
        <w:t>体</w:t>
      </w:r>
      <w:r>
        <w:rPr>
          <w:rFonts w:eastAsia="黑体" w:cs="黑体" w:hint="eastAsia"/>
          <w:sz w:val="84"/>
          <w:szCs w:val="84"/>
        </w:rPr>
        <w:t xml:space="preserve"> </w:t>
      </w:r>
      <w:r>
        <w:rPr>
          <w:rFonts w:eastAsia="黑体" w:cs="黑体" w:hint="eastAsia"/>
          <w:sz w:val="84"/>
          <w:szCs w:val="84"/>
        </w:rPr>
        <w:t>标</w:t>
      </w:r>
      <w:r>
        <w:rPr>
          <w:rFonts w:eastAsia="黑体" w:cs="黑体" w:hint="eastAsia"/>
          <w:sz w:val="84"/>
          <w:szCs w:val="84"/>
        </w:rPr>
        <w:t xml:space="preserve"> </w:t>
      </w:r>
      <w:r>
        <w:rPr>
          <w:rFonts w:eastAsia="黑体" w:cs="黑体" w:hint="eastAsia"/>
          <w:sz w:val="84"/>
          <w:szCs w:val="84"/>
        </w:rPr>
        <w:t>准</w:t>
      </w:r>
    </w:p>
    <w:p w14:paraId="649A3A77" w14:textId="77777777" w:rsidR="00D468FB" w:rsidRDefault="00D468FB">
      <w:pPr>
        <w:jc w:val="center"/>
        <w:rPr>
          <w:sz w:val="84"/>
          <w:szCs w:val="84"/>
        </w:rPr>
      </w:pPr>
    </w:p>
    <w:p w14:paraId="0BC1CEEF" w14:textId="77777777" w:rsidR="00D468FB" w:rsidRDefault="00000000">
      <w:pPr>
        <w:jc w:val="right"/>
        <w:rPr>
          <w:b/>
          <w:bCs/>
        </w:rPr>
      </w:pPr>
      <w:r>
        <w:rPr>
          <w:b/>
          <w:bCs/>
        </w:rPr>
        <w:t>T/HXCY XXX-</w:t>
      </w:r>
      <w:r>
        <w:rPr>
          <w:rFonts w:hint="eastAsia"/>
          <w:b/>
          <w:bCs/>
        </w:rPr>
        <w:t>2025</w:t>
      </w:r>
    </w:p>
    <w:p w14:paraId="252C694A" w14:textId="77777777" w:rsidR="00D468FB" w:rsidRDefault="00000000">
      <w:pPr>
        <w:jc w:val="left"/>
        <w:rPr>
          <w:u w:val="single"/>
        </w:rPr>
      </w:pPr>
      <w:r>
        <w:rPr>
          <w:u w:val="single"/>
        </w:rPr>
        <w:t xml:space="preserve">                                                                               </w:t>
      </w:r>
    </w:p>
    <w:p w14:paraId="33CFF3C8" w14:textId="77777777" w:rsidR="00D468FB" w:rsidRDefault="00D468FB">
      <w:pPr>
        <w:jc w:val="right"/>
        <w:rPr>
          <w:b/>
          <w:bCs/>
        </w:rPr>
      </w:pPr>
    </w:p>
    <w:p w14:paraId="2794EAD5" w14:textId="77777777" w:rsidR="00D468FB" w:rsidRDefault="00000000">
      <w:pPr>
        <w:jc w:val="center"/>
        <w:rPr>
          <w:rFonts w:eastAsia="黑体"/>
          <w:sz w:val="48"/>
          <w:szCs w:val="48"/>
        </w:rPr>
      </w:pPr>
      <w:r>
        <w:rPr>
          <w:rFonts w:eastAsia="黑体" w:hint="eastAsia"/>
          <w:sz w:val="48"/>
          <w:szCs w:val="48"/>
        </w:rPr>
        <w:t>田菁青贮技术规程</w:t>
      </w:r>
    </w:p>
    <w:p w14:paraId="1701AC79" w14:textId="77777777" w:rsidR="00D468FB" w:rsidRDefault="00000000">
      <w:pPr>
        <w:jc w:val="center"/>
        <w:rPr>
          <w:rFonts w:eastAsia="黑体"/>
          <w:b/>
          <w:bCs/>
          <w:sz w:val="28"/>
          <w:szCs w:val="28"/>
        </w:rPr>
      </w:pPr>
      <w:r>
        <w:rPr>
          <w:rFonts w:eastAsia="黑体" w:hint="eastAsia"/>
          <w:b/>
          <w:bCs/>
          <w:sz w:val="28"/>
          <w:szCs w:val="28"/>
        </w:rPr>
        <w:t>Code</w:t>
      </w:r>
      <w:r>
        <w:rPr>
          <w:rFonts w:eastAsia="黑体"/>
          <w:b/>
          <w:bCs/>
          <w:sz w:val="28"/>
          <w:szCs w:val="28"/>
        </w:rPr>
        <w:t xml:space="preserve"> </w:t>
      </w:r>
      <w:r>
        <w:rPr>
          <w:rFonts w:eastAsia="黑体" w:hint="eastAsia"/>
          <w:b/>
          <w:bCs/>
          <w:sz w:val="28"/>
          <w:szCs w:val="28"/>
        </w:rPr>
        <w:t>of</w:t>
      </w:r>
      <w:r>
        <w:rPr>
          <w:rFonts w:eastAsia="黑体"/>
          <w:b/>
          <w:bCs/>
          <w:sz w:val="28"/>
          <w:szCs w:val="28"/>
        </w:rPr>
        <w:t xml:space="preserve"> P</w:t>
      </w:r>
      <w:r>
        <w:rPr>
          <w:rFonts w:eastAsia="黑体" w:hint="eastAsia"/>
          <w:b/>
          <w:bCs/>
          <w:sz w:val="28"/>
          <w:szCs w:val="28"/>
        </w:rPr>
        <w:t>ractice</w:t>
      </w:r>
      <w:r>
        <w:rPr>
          <w:rFonts w:eastAsia="黑体"/>
          <w:b/>
          <w:bCs/>
          <w:sz w:val="28"/>
          <w:szCs w:val="28"/>
        </w:rPr>
        <w:t xml:space="preserve"> </w:t>
      </w:r>
      <w:r>
        <w:rPr>
          <w:rFonts w:eastAsia="黑体" w:hint="eastAsia"/>
          <w:b/>
          <w:bCs/>
          <w:sz w:val="28"/>
          <w:szCs w:val="28"/>
        </w:rPr>
        <w:t>for</w:t>
      </w:r>
      <w:r>
        <w:rPr>
          <w:rFonts w:eastAsia="黑体"/>
          <w:b/>
          <w:bCs/>
          <w:sz w:val="28"/>
          <w:szCs w:val="28"/>
        </w:rPr>
        <w:t xml:space="preserve"> E</w:t>
      </w:r>
      <w:r>
        <w:rPr>
          <w:rFonts w:eastAsia="黑体" w:hint="eastAsia"/>
          <w:b/>
          <w:bCs/>
          <w:sz w:val="28"/>
          <w:szCs w:val="28"/>
        </w:rPr>
        <w:t>nsiling</w:t>
      </w:r>
      <w:r>
        <w:rPr>
          <w:rFonts w:eastAsia="黑体"/>
          <w:b/>
          <w:bCs/>
          <w:sz w:val="28"/>
          <w:szCs w:val="28"/>
        </w:rPr>
        <w:t xml:space="preserve"> Sesbania cannabina (Retz.) Pers</w:t>
      </w:r>
    </w:p>
    <w:bookmarkEnd w:id="0"/>
    <w:p w14:paraId="44D43563" w14:textId="77777777" w:rsidR="00D468FB" w:rsidRDefault="00D468FB">
      <w:pPr>
        <w:jc w:val="center"/>
        <w:rPr>
          <w:rFonts w:eastAsia="黑体"/>
          <w:sz w:val="24"/>
          <w:szCs w:val="24"/>
        </w:rPr>
      </w:pPr>
    </w:p>
    <w:p w14:paraId="27A7445D" w14:textId="77777777" w:rsidR="00D468FB" w:rsidRDefault="00000000">
      <w:pPr>
        <w:jc w:val="center"/>
        <w:rPr>
          <w:rFonts w:eastAsia="黑体"/>
          <w:sz w:val="24"/>
          <w:szCs w:val="24"/>
        </w:rPr>
      </w:pPr>
      <w:r>
        <w:rPr>
          <w:rFonts w:eastAsia="黑体" w:hint="eastAsia"/>
          <w:sz w:val="24"/>
          <w:szCs w:val="24"/>
        </w:rPr>
        <w:t>（征求意见稿）</w:t>
      </w:r>
    </w:p>
    <w:p w14:paraId="56F65F94" w14:textId="77777777" w:rsidR="00D468FB" w:rsidRDefault="00D468FB">
      <w:pPr>
        <w:jc w:val="center"/>
        <w:rPr>
          <w:rFonts w:eastAsia="黑体"/>
          <w:sz w:val="48"/>
          <w:szCs w:val="48"/>
        </w:rPr>
      </w:pPr>
    </w:p>
    <w:p w14:paraId="44BD88A8" w14:textId="77777777" w:rsidR="00D468FB" w:rsidRDefault="00D468FB">
      <w:pPr>
        <w:jc w:val="center"/>
        <w:rPr>
          <w:rFonts w:eastAsia="黑体"/>
          <w:sz w:val="48"/>
          <w:szCs w:val="48"/>
        </w:rPr>
      </w:pPr>
    </w:p>
    <w:p w14:paraId="36307158" w14:textId="77777777" w:rsidR="00D468FB" w:rsidRDefault="00D468FB">
      <w:pPr>
        <w:jc w:val="center"/>
        <w:rPr>
          <w:rFonts w:eastAsia="黑体"/>
          <w:sz w:val="48"/>
          <w:szCs w:val="48"/>
        </w:rPr>
      </w:pPr>
    </w:p>
    <w:p w14:paraId="7B790E6A" w14:textId="77777777" w:rsidR="00D468FB" w:rsidRDefault="00D468FB">
      <w:pPr>
        <w:jc w:val="center"/>
        <w:rPr>
          <w:rFonts w:eastAsia="黑体"/>
          <w:sz w:val="48"/>
          <w:szCs w:val="48"/>
        </w:rPr>
      </w:pPr>
    </w:p>
    <w:p w14:paraId="6E2AE35A" w14:textId="77777777" w:rsidR="00D468FB" w:rsidRDefault="00D468FB">
      <w:pPr>
        <w:jc w:val="center"/>
        <w:rPr>
          <w:rFonts w:eastAsia="黑体"/>
          <w:sz w:val="48"/>
          <w:szCs w:val="48"/>
        </w:rPr>
      </w:pPr>
    </w:p>
    <w:p w14:paraId="7E60F4CB" w14:textId="77777777" w:rsidR="00D468FB" w:rsidRDefault="00D468FB">
      <w:pPr>
        <w:jc w:val="center"/>
        <w:rPr>
          <w:rFonts w:eastAsia="黑体"/>
          <w:sz w:val="48"/>
          <w:szCs w:val="48"/>
        </w:rPr>
      </w:pPr>
    </w:p>
    <w:p w14:paraId="689C0EBF" w14:textId="77777777" w:rsidR="00D468FB" w:rsidRDefault="00D468FB">
      <w:pPr>
        <w:jc w:val="center"/>
        <w:rPr>
          <w:rFonts w:eastAsia="黑体"/>
          <w:sz w:val="48"/>
          <w:szCs w:val="48"/>
        </w:rPr>
      </w:pPr>
    </w:p>
    <w:p w14:paraId="45EEB118" w14:textId="77777777" w:rsidR="00D468FB" w:rsidRDefault="00D468FB">
      <w:pPr>
        <w:spacing w:afterLines="100" w:after="312"/>
        <w:jc w:val="center"/>
        <w:rPr>
          <w:rFonts w:ascii="黑体" w:eastAsia="黑体" w:hAnsi="黑体" w:hint="eastAsia"/>
          <w:sz w:val="48"/>
          <w:szCs w:val="48"/>
        </w:rPr>
      </w:pPr>
    </w:p>
    <w:p w14:paraId="50BC42F7" w14:textId="77777777" w:rsidR="00D468FB" w:rsidRDefault="00D468FB">
      <w:pPr>
        <w:spacing w:afterLines="100" w:after="312"/>
        <w:jc w:val="center"/>
        <w:rPr>
          <w:rFonts w:ascii="黑体" w:eastAsia="黑体" w:hAnsi="黑体" w:hint="eastAsia"/>
          <w:sz w:val="48"/>
          <w:szCs w:val="48"/>
        </w:rPr>
      </w:pPr>
    </w:p>
    <w:p w14:paraId="710CBB49" w14:textId="205E0068" w:rsidR="00D468FB" w:rsidRDefault="00000000">
      <w:pPr>
        <w:jc w:val="left"/>
        <w:rPr>
          <w:rFonts w:ascii="黑体" w:eastAsia="黑体" w:hAnsi="黑体" w:hint="eastAsia"/>
          <w:u w:val="single"/>
        </w:rPr>
      </w:pPr>
      <w:r>
        <w:rPr>
          <w:rFonts w:ascii="黑体" w:eastAsia="黑体" w:hAnsi="黑体" w:hint="eastAsia"/>
          <w:u w:val="single"/>
        </w:rPr>
        <w:t>2025</w:t>
      </w:r>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 xml:space="preserve">发布                                                 </w:t>
      </w:r>
      <w:r w:rsidR="00346E9C">
        <w:rPr>
          <w:rFonts w:ascii="黑体" w:eastAsia="黑体" w:hAnsi="黑体" w:cs="黑体" w:hint="eastAsia"/>
          <w:u w:val="single"/>
        </w:rPr>
        <w:t xml:space="preserve"> </w:t>
      </w:r>
      <w:r>
        <w:rPr>
          <w:rFonts w:ascii="黑体" w:eastAsia="黑体" w:hAnsi="黑体"/>
          <w:u w:val="single"/>
        </w:rPr>
        <w:t>202</w:t>
      </w:r>
      <w:r>
        <w:rPr>
          <w:rFonts w:ascii="黑体" w:eastAsia="黑体" w:hAnsi="黑体" w:hint="eastAsia"/>
          <w:u w:val="single"/>
        </w:rPr>
        <w:t>5</w:t>
      </w:r>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实施</w:t>
      </w:r>
    </w:p>
    <w:p w14:paraId="34DB2DDE" w14:textId="77777777" w:rsidR="00D468FB" w:rsidRDefault="00000000">
      <w:pPr>
        <w:spacing w:beforeLines="100" w:before="312"/>
        <w:jc w:val="center"/>
        <w:sectPr w:rsidR="00D468FB">
          <w:footerReference w:type="default" r:id="rId7"/>
          <w:pgSz w:w="11906" w:h="16838"/>
          <w:pgMar w:top="1440" w:right="1800" w:bottom="1440" w:left="1800" w:header="851" w:footer="992" w:gutter="0"/>
          <w:pgNumType w:fmt="upperRoman" w:start="1"/>
          <w:cols w:space="720"/>
          <w:docGrid w:type="lines" w:linePitch="312"/>
        </w:sectPr>
      </w:pPr>
      <w:r>
        <w:rPr>
          <w:rFonts w:ascii="黑体" w:eastAsia="黑体" w:hAnsi="黑体" w:cs="黑体" w:hint="eastAsia"/>
        </w:rPr>
        <w:t>北京华夏草业产业技术创新战略联盟发布</w:t>
      </w:r>
      <w:bookmarkStart w:id="1" w:name="_Toc175908325"/>
      <w:bookmarkStart w:id="2" w:name="_Toc32084"/>
    </w:p>
    <w:p w14:paraId="2B46F376" w14:textId="77777777" w:rsidR="00D468FB" w:rsidRDefault="00000000">
      <w:pPr>
        <w:pStyle w:val="a7"/>
      </w:pPr>
      <w:bookmarkStart w:id="3" w:name="_Toc31010"/>
      <w:r>
        <w:lastRenderedPageBreak/>
        <w:t>目</w:t>
      </w:r>
      <w:r>
        <w:rPr>
          <w:rFonts w:hint="eastAsia"/>
        </w:rPr>
        <w:t xml:space="preserve">  </w:t>
      </w:r>
      <w:bookmarkEnd w:id="1"/>
      <w:r>
        <w:rPr>
          <w:rFonts w:hint="eastAsia"/>
        </w:rPr>
        <w:t>次</w:t>
      </w:r>
      <w:bookmarkEnd w:id="2"/>
      <w:bookmarkEnd w:id="3"/>
    </w:p>
    <w:p w14:paraId="4A65BB27" w14:textId="405D84C5" w:rsidR="00D468FB" w:rsidRDefault="00000000" w:rsidP="004C4531">
      <w:pPr>
        <w:pStyle w:val="TOC1"/>
        <w:tabs>
          <w:tab w:val="right" w:leader="dot" w:pos="8306"/>
        </w:tabs>
        <w:spacing w:line="360" w:lineRule="auto"/>
      </w:pPr>
      <w:r>
        <w:fldChar w:fldCharType="begin"/>
      </w:r>
      <w:r>
        <w:instrText xml:space="preserve"> TOC \o "1-3" \h \z \u </w:instrText>
      </w:r>
      <w:r>
        <w:fldChar w:fldCharType="separate"/>
      </w:r>
      <w:hyperlink w:anchor="_Toc1086" w:history="1">
        <w:r w:rsidR="00D468FB">
          <w:rPr>
            <w:rFonts w:hint="eastAsia"/>
          </w:rPr>
          <w:t>前</w:t>
        </w:r>
        <w:r w:rsidR="00D468FB">
          <w:rPr>
            <w:rFonts w:hint="eastAsia"/>
          </w:rPr>
          <w:t xml:space="preserve">  </w:t>
        </w:r>
        <w:r w:rsidR="00D468FB">
          <w:rPr>
            <w:rFonts w:hint="eastAsia"/>
          </w:rPr>
          <w:t>言</w:t>
        </w:r>
        <w:r w:rsidR="00D468FB">
          <w:tab/>
        </w:r>
        <w:r w:rsidR="00D468FB">
          <w:fldChar w:fldCharType="begin"/>
        </w:r>
        <w:r w:rsidR="00D468FB">
          <w:instrText xml:space="preserve"> PAGEREF _Toc1086 \h </w:instrText>
        </w:r>
        <w:r w:rsidR="00D468FB">
          <w:fldChar w:fldCharType="separate"/>
        </w:r>
        <w:r w:rsidR="00D468FB">
          <w:t>II</w:t>
        </w:r>
        <w:r w:rsidR="00D468FB">
          <w:fldChar w:fldCharType="end"/>
        </w:r>
      </w:hyperlink>
    </w:p>
    <w:p w14:paraId="1DE8A24A" w14:textId="77777777" w:rsidR="00D468FB" w:rsidRDefault="00D468FB" w:rsidP="004C4531">
      <w:pPr>
        <w:pStyle w:val="TOC1"/>
        <w:tabs>
          <w:tab w:val="right" w:leader="dot" w:pos="8306"/>
        </w:tabs>
        <w:spacing w:line="360" w:lineRule="auto"/>
      </w:pPr>
      <w:hyperlink w:anchor="_Toc24619" w:history="1">
        <w:r>
          <w:rPr>
            <w:rFonts w:hint="eastAsia"/>
          </w:rPr>
          <w:t xml:space="preserve">1 </w:t>
        </w:r>
        <w:r>
          <w:rPr>
            <w:rFonts w:hint="eastAsia"/>
          </w:rPr>
          <w:t>范围</w:t>
        </w:r>
        <w:r>
          <w:tab/>
        </w:r>
        <w:r>
          <w:fldChar w:fldCharType="begin"/>
        </w:r>
        <w:r>
          <w:instrText xml:space="preserve"> PAGEREF _Toc24619 \h </w:instrText>
        </w:r>
        <w:r>
          <w:fldChar w:fldCharType="separate"/>
        </w:r>
        <w:r>
          <w:t>1</w:t>
        </w:r>
        <w:r>
          <w:fldChar w:fldCharType="end"/>
        </w:r>
      </w:hyperlink>
    </w:p>
    <w:p w14:paraId="57832367" w14:textId="77777777" w:rsidR="00D468FB" w:rsidRDefault="00D468FB" w:rsidP="004C4531">
      <w:pPr>
        <w:pStyle w:val="TOC1"/>
        <w:tabs>
          <w:tab w:val="right" w:leader="dot" w:pos="8306"/>
        </w:tabs>
        <w:spacing w:line="360" w:lineRule="auto"/>
      </w:pPr>
      <w:hyperlink w:anchor="_Toc2962" w:history="1">
        <w:r>
          <w:rPr>
            <w:rFonts w:hint="eastAsia"/>
          </w:rPr>
          <w:t>2</w:t>
        </w:r>
        <w:r>
          <w:rPr>
            <w:rFonts w:hint="eastAsia"/>
          </w:rPr>
          <w:t>规范性引用文件</w:t>
        </w:r>
        <w:r>
          <w:tab/>
        </w:r>
        <w:r>
          <w:fldChar w:fldCharType="begin"/>
        </w:r>
        <w:r>
          <w:instrText xml:space="preserve"> PAGEREF _Toc2962 \h </w:instrText>
        </w:r>
        <w:r>
          <w:fldChar w:fldCharType="separate"/>
        </w:r>
        <w:r>
          <w:t>1</w:t>
        </w:r>
        <w:r>
          <w:fldChar w:fldCharType="end"/>
        </w:r>
      </w:hyperlink>
    </w:p>
    <w:p w14:paraId="49895397" w14:textId="77777777" w:rsidR="00D468FB" w:rsidRDefault="00D468FB" w:rsidP="004C4531">
      <w:pPr>
        <w:pStyle w:val="TOC1"/>
        <w:tabs>
          <w:tab w:val="right" w:leader="dot" w:pos="8306"/>
        </w:tabs>
        <w:spacing w:line="360" w:lineRule="auto"/>
      </w:pPr>
      <w:hyperlink w:anchor="_Toc13542" w:history="1">
        <w:r>
          <w:rPr>
            <w:rFonts w:hint="eastAsia"/>
          </w:rPr>
          <w:t>3</w:t>
        </w:r>
        <w:r>
          <w:rPr>
            <w:rFonts w:hint="eastAsia"/>
          </w:rPr>
          <w:t>术语和定义</w:t>
        </w:r>
        <w:r>
          <w:tab/>
        </w:r>
        <w:r>
          <w:fldChar w:fldCharType="begin"/>
        </w:r>
        <w:r>
          <w:instrText xml:space="preserve"> PAGEREF _Toc13542 \h </w:instrText>
        </w:r>
        <w:r>
          <w:fldChar w:fldCharType="separate"/>
        </w:r>
        <w:r>
          <w:t>1</w:t>
        </w:r>
        <w:r>
          <w:fldChar w:fldCharType="end"/>
        </w:r>
      </w:hyperlink>
    </w:p>
    <w:p w14:paraId="24EBB7A6" w14:textId="77777777" w:rsidR="00D468FB" w:rsidRDefault="00D468FB" w:rsidP="004C4531">
      <w:pPr>
        <w:pStyle w:val="TOC1"/>
        <w:tabs>
          <w:tab w:val="right" w:leader="dot" w:pos="8306"/>
        </w:tabs>
        <w:spacing w:line="360" w:lineRule="auto"/>
      </w:pPr>
      <w:hyperlink w:anchor="_Toc3310" w:history="1">
        <w:r>
          <w:rPr>
            <w:rFonts w:hint="eastAsia"/>
          </w:rPr>
          <w:t xml:space="preserve">4 </w:t>
        </w:r>
        <w:r>
          <w:rPr>
            <w:rFonts w:hint="eastAsia"/>
          </w:rPr>
          <w:t>贮前准备</w:t>
        </w:r>
        <w:r>
          <w:tab/>
        </w:r>
        <w:r>
          <w:fldChar w:fldCharType="begin"/>
        </w:r>
        <w:r>
          <w:instrText xml:space="preserve"> PAGEREF _Toc3310 \h </w:instrText>
        </w:r>
        <w:r>
          <w:fldChar w:fldCharType="separate"/>
        </w:r>
        <w:r>
          <w:t>1</w:t>
        </w:r>
        <w:r>
          <w:fldChar w:fldCharType="end"/>
        </w:r>
      </w:hyperlink>
    </w:p>
    <w:p w14:paraId="77A9BDEF" w14:textId="77777777" w:rsidR="00D468FB" w:rsidRDefault="00D468FB" w:rsidP="004C4531">
      <w:pPr>
        <w:pStyle w:val="TOC1"/>
        <w:tabs>
          <w:tab w:val="right" w:leader="dot" w:pos="8306"/>
        </w:tabs>
        <w:spacing w:line="360" w:lineRule="auto"/>
      </w:pPr>
      <w:hyperlink w:anchor="_Toc10258" w:history="1">
        <w:r>
          <w:rPr>
            <w:rFonts w:hint="eastAsia"/>
          </w:rPr>
          <w:t xml:space="preserve">5 </w:t>
        </w:r>
        <w:r>
          <w:rPr>
            <w:rFonts w:hint="eastAsia"/>
          </w:rPr>
          <w:t>青贮原料</w:t>
        </w:r>
        <w:r>
          <w:tab/>
        </w:r>
        <w:r>
          <w:fldChar w:fldCharType="begin"/>
        </w:r>
        <w:r>
          <w:instrText xml:space="preserve"> PAGEREF _Toc10258 \h </w:instrText>
        </w:r>
        <w:r>
          <w:fldChar w:fldCharType="separate"/>
        </w:r>
        <w:r>
          <w:t>2</w:t>
        </w:r>
        <w:r>
          <w:fldChar w:fldCharType="end"/>
        </w:r>
      </w:hyperlink>
    </w:p>
    <w:p w14:paraId="407BE306" w14:textId="77777777" w:rsidR="00D468FB" w:rsidRDefault="00D468FB" w:rsidP="004C4531">
      <w:pPr>
        <w:pStyle w:val="TOC1"/>
        <w:tabs>
          <w:tab w:val="right" w:leader="dot" w:pos="8306"/>
        </w:tabs>
        <w:spacing w:line="360" w:lineRule="auto"/>
      </w:pPr>
      <w:hyperlink w:anchor="_Toc19333" w:history="1">
        <w:r w:rsidRPr="004C4531">
          <w:rPr>
            <w:rFonts w:hint="eastAsia"/>
          </w:rPr>
          <w:t xml:space="preserve">6 </w:t>
        </w:r>
        <w:r w:rsidRPr="004C4531">
          <w:rPr>
            <w:rFonts w:hint="eastAsia"/>
          </w:rPr>
          <w:t>原料调制</w:t>
        </w:r>
        <w:r>
          <w:tab/>
        </w:r>
        <w:r>
          <w:fldChar w:fldCharType="begin"/>
        </w:r>
        <w:r>
          <w:instrText xml:space="preserve"> PAGEREF _Toc19333 \h </w:instrText>
        </w:r>
        <w:r>
          <w:fldChar w:fldCharType="separate"/>
        </w:r>
        <w:r>
          <w:t>2</w:t>
        </w:r>
        <w:r>
          <w:fldChar w:fldCharType="end"/>
        </w:r>
      </w:hyperlink>
    </w:p>
    <w:p w14:paraId="601FEFA5" w14:textId="77777777" w:rsidR="00D468FB" w:rsidRDefault="00D468FB" w:rsidP="004C4531">
      <w:pPr>
        <w:pStyle w:val="TOC1"/>
        <w:tabs>
          <w:tab w:val="right" w:leader="dot" w:pos="8306"/>
        </w:tabs>
        <w:spacing w:line="360" w:lineRule="auto"/>
      </w:pPr>
      <w:hyperlink w:anchor="_Toc8955" w:history="1">
        <w:r w:rsidRPr="004C4531">
          <w:rPr>
            <w:rFonts w:hint="eastAsia"/>
          </w:rPr>
          <w:t xml:space="preserve">7 </w:t>
        </w:r>
        <w:r w:rsidRPr="004C4531">
          <w:rPr>
            <w:rFonts w:hint="eastAsia"/>
          </w:rPr>
          <w:t>堆贮、窖贮</w:t>
        </w:r>
        <w:r>
          <w:tab/>
        </w:r>
        <w:r>
          <w:fldChar w:fldCharType="begin"/>
        </w:r>
        <w:r>
          <w:instrText xml:space="preserve"> PAGEREF _Toc8955 \h </w:instrText>
        </w:r>
        <w:r>
          <w:fldChar w:fldCharType="separate"/>
        </w:r>
        <w:r>
          <w:t>2</w:t>
        </w:r>
        <w:r>
          <w:fldChar w:fldCharType="end"/>
        </w:r>
      </w:hyperlink>
    </w:p>
    <w:p w14:paraId="7253B758" w14:textId="77777777" w:rsidR="00D468FB" w:rsidRDefault="00D468FB" w:rsidP="004C4531">
      <w:pPr>
        <w:pStyle w:val="TOC1"/>
        <w:tabs>
          <w:tab w:val="right" w:leader="dot" w:pos="8306"/>
        </w:tabs>
        <w:spacing w:line="360" w:lineRule="auto"/>
      </w:pPr>
      <w:hyperlink w:anchor="_Toc18772" w:history="1">
        <w:r w:rsidRPr="004C4531">
          <w:rPr>
            <w:rFonts w:hint="eastAsia"/>
          </w:rPr>
          <w:t xml:space="preserve">8 </w:t>
        </w:r>
        <w:r w:rsidRPr="004C4531">
          <w:rPr>
            <w:rFonts w:hint="eastAsia"/>
          </w:rPr>
          <w:t>裹包青贮</w:t>
        </w:r>
        <w:r>
          <w:tab/>
        </w:r>
        <w:r>
          <w:fldChar w:fldCharType="begin"/>
        </w:r>
        <w:r>
          <w:instrText xml:space="preserve"> PAGEREF _Toc18772 \h </w:instrText>
        </w:r>
        <w:r>
          <w:fldChar w:fldCharType="separate"/>
        </w:r>
        <w:r>
          <w:t>3</w:t>
        </w:r>
        <w:r>
          <w:fldChar w:fldCharType="end"/>
        </w:r>
      </w:hyperlink>
    </w:p>
    <w:p w14:paraId="312E4C61" w14:textId="77777777" w:rsidR="00D468FB" w:rsidRDefault="00D468FB" w:rsidP="004C4531">
      <w:pPr>
        <w:pStyle w:val="TOC1"/>
        <w:tabs>
          <w:tab w:val="right" w:leader="dot" w:pos="8306"/>
        </w:tabs>
        <w:spacing w:line="360" w:lineRule="auto"/>
      </w:pPr>
      <w:hyperlink w:anchor="_Toc16195" w:history="1">
        <w:r w:rsidRPr="004C4531">
          <w:rPr>
            <w:rFonts w:hint="eastAsia"/>
          </w:rPr>
          <w:t xml:space="preserve">9 </w:t>
        </w:r>
        <w:r w:rsidRPr="004C4531">
          <w:rPr>
            <w:rFonts w:hint="eastAsia"/>
          </w:rPr>
          <w:t>贮后管理</w:t>
        </w:r>
        <w:r>
          <w:tab/>
        </w:r>
        <w:r>
          <w:fldChar w:fldCharType="begin"/>
        </w:r>
        <w:r>
          <w:instrText xml:space="preserve"> PAGEREF _Toc16195 \h </w:instrText>
        </w:r>
        <w:r>
          <w:fldChar w:fldCharType="separate"/>
        </w:r>
        <w:r>
          <w:t>3</w:t>
        </w:r>
        <w:r>
          <w:fldChar w:fldCharType="end"/>
        </w:r>
      </w:hyperlink>
    </w:p>
    <w:p w14:paraId="4B9D0759" w14:textId="77777777" w:rsidR="00D468FB" w:rsidRDefault="00000000">
      <w:pPr>
        <w:spacing w:line="360" w:lineRule="auto"/>
      </w:pPr>
      <w:r>
        <w:rPr>
          <w:bCs/>
          <w:lang w:val="zh-CN"/>
        </w:rPr>
        <w:fldChar w:fldCharType="end"/>
      </w:r>
    </w:p>
    <w:p w14:paraId="2E79CF1A" w14:textId="77777777" w:rsidR="00D468FB" w:rsidRDefault="00D468FB">
      <w:pPr>
        <w:pStyle w:val="a7"/>
        <w:jc w:val="right"/>
      </w:pPr>
    </w:p>
    <w:p w14:paraId="622FB626" w14:textId="77777777" w:rsidR="00D468FB" w:rsidRDefault="00000000">
      <w:pPr>
        <w:pStyle w:val="a7"/>
        <w:rPr>
          <w:b w:val="0"/>
          <w:bCs w:val="0"/>
        </w:rPr>
      </w:pPr>
      <w:r>
        <w:br w:type="page"/>
      </w:r>
      <w:bookmarkStart w:id="4" w:name="_Toc175908326"/>
      <w:bookmarkStart w:id="5" w:name="_Toc1086"/>
      <w:r>
        <w:rPr>
          <w:rFonts w:hint="eastAsia"/>
          <w:b w:val="0"/>
          <w:bCs w:val="0"/>
        </w:rPr>
        <w:t>前</w:t>
      </w:r>
      <w:r>
        <w:rPr>
          <w:rFonts w:hint="eastAsia"/>
          <w:b w:val="0"/>
          <w:bCs w:val="0"/>
        </w:rPr>
        <w:t xml:space="preserve">  </w:t>
      </w:r>
      <w:r>
        <w:rPr>
          <w:rFonts w:hint="eastAsia"/>
          <w:b w:val="0"/>
          <w:bCs w:val="0"/>
        </w:rPr>
        <w:t>言</w:t>
      </w:r>
      <w:bookmarkEnd w:id="4"/>
      <w:bookmarkEnd w:id="5"/>
    </w:p>
    <w:p w14:paraId="430A3502" w14:textId="77777777" w:rsidR="00D468FB" w:rsidRDefault="00000000">
      <w:pPr>
        <w:spacing w:line="360" w:lineRule="auto"/>
        <w:ind w:firstLineChars="200"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79A07859" w14:textId="77777777" w:rsidR="00D468FB" w:rsidRDefault="00000000">
      <w:pPr>
        <w:spacing w:line="360" w:lineRule="auto"/>
        <w:ind w:firstLineChars="200" w:firstLine="420"/>
      </w:pPr>
      <w:r>
        <w:rPr>
          <w:rFonts w:hint="eastAsia"/>
        </w:rPr>
        <w:t>注：在不引起混淆的情况下，本文件中“标准化文件”简称为“文件”。</w:t>
      </w:r>
    </w:p>
    <w:p w14:paraId="1C35DA62" w14:textId="77777777" w:rsidR="00D468FB" w:rsidRDefault="00000000">
      <w:pPr>
        <w:spacing w:line="360" w:lineRule="auto"/>
        <w:ind w:firstLineChars="200" w:firstLine="420"/>
      </w:pPr>
      <w:r>
        <w:rPr>
          <w:rFonts w:hint="eastAsia"/>
        </w:rPr>
        <w:t>本文件由北京华夏草业产业技术创新战略联盟提出并归口。</w:t>
      </w:r>
    </w:p>
    <w:p w14:paraId="59079261" w14:textId="77777777" w:rsidR="00D468FB" w:rsidRDefault="00000000">
      <w:pPr>
        <w:spacing w:line="360" w:lineRule="auto"/>
        <w:ind w:firstLineChars="200" w:firstLine="420"/>
      </w:pPr>
      <w:r>
        <w:rPr>
          <w:rFonts w:hint="eastAsia"/>
        </w:rPr>
        <w:t>本文件起草单位：</w:t>
      </w:r>
      <w:r>
        <w:rPr>
          <w:rFonts w:ascii="宋体" w:hAnsi="宋体" w:cs="黑体" w:hint="eastAsia"/>
          <w:kern w:val="0"/>
          <w:sz w:val="24"/>
        </w:rPr>
        <w:t>安徽省农业科学院畜牧兽医研究所，</w:t>
      </w:r>
      <w:r>
        <w:rPr>
          <w:rFonts w:ascii="宋体" w:hAnsi="宋体" w:cs="宋体" w:hint="eastAsia"/>
          <w:color w:val="000000"/>
          <w:kern w:val="0"/>
          <w:sz w:val="22"/>
          <w:szCs w:val="22"/>
          <w:lang w:bidi="ar"/>
        </w:rPr>
        <w:t>中国科学院遗传与发育生物学研究所，安徽农业大学动物科技学院，安徽省畜牧技术推广总站</w:t>
      </w:r>
      <w:r>
        <w:rPr>
          <w:rFonts w:hint="eastAsia"/>
        </w:rPr>
        <w:t>。</w:t>
      </w:r>
    </w:p>
    <w:p w14:paraId="12877699" w14:textId="77777777" w:rsidR="00D468FB" w:rsidRDefault="00000000">
      <w:pPr>
        <w:spacing w:line="360" w:lineRule="auto"/>
        <w:ind w:firstLineChars="200" w:firstLine="420"/>
      </w:pPr>
      <w:r>
        <w:rPr>
          <w:rFonts w:hint="eastAsia"/>
        </w:rPr>
        <w:t>本文件主要起草人∶徐智明、李争艳、曹晓风、张莉、李杨、方国跃、卢亚洲、张子军、任春环了、李岩、雷珊珊、黄</w:t>
      </w:r>
      <w:proofErr w:type="gramStart"/>
      <w:r>
        <w:rPr>
          <w:rFonts w:hint="eastAsia"/>
        </w:rPr>
        <w:t>桠</w:t>
      </w:r>
      <w:proofErr w:type="gramEnd"/>
      <w:r>
        <w:rPr>
          <w:rFonts w:hint="eastAsia"/>
        </w:rPr>
        <w:t>锋、陈家宏、程潇、尚靖、周晓冬。</w:t>
      </w:r>
    </w:p>
    <w:p w14:paraId="71DD7983" w14:textId="77777777" w:rsidR="00D468FB" w:rsidRDefault="00000000">
      <w:pPr>
        <w:spacing w:line="360" w:lineRule="auto"/>
        <w:ind w:firstLineChars="200" w:firstLine="420"/>
        <w:jc w:val="left"/>
      </w:pPr>
      <w:r>
        <w:rPr>
          <w:rFonts w:hint="eastAsia"/>
        </w:rPr>
        <w:t>本文件为首次发布。</w:t>
      </w:r>
    </w:p>
    <w:p w14:paraId="0D789F82" w14:textId="77777777" w:rsidR="00346E9C" w:rsidRDefault="00346E9C" w:rsidP="00346E9C">
      <w:pPr>
        <w:spacing w:line="360" w:lineRule="auto"/>
        <w:ind w:firstLineChars="200" w:firstLine="420"/>
        <w:jc w:val="left"/>
      </w:pPr>
      <w:r>
        <w:rPr>
          <w:rFonts w:hint="eastAsia"/>
        </w:rPr>
        <w:t>本文件的某些内容可能涉及专利。本文件的发布机构不承担识别这些专利的责任。</w:t>
      </w:r>
    </w:p>
    <w:p w14:paraId="47F161F7" w14:textId="77777777" w:rsidR="00346E9C" w:rsidRPr="00346E9C" w:rsidRDefault="00346E9C">
      <w:pPr>
        <w:spacing w:line="360" w:lineRule="auto"/>
        <w:ind w:firstLineChars="200" w:firstLine="480"/>
        <w:jc w:val="left"/>
        <w:rPr>
          <w:rFonts w:hint="eastAsia"/>
          <w:sz w:val="24"/>
        </w:rPr>
        <w:sectPr w:rsidR="00346E9C" w:rsidRPr="00346E9C">
          <w:headerReference w:type="default" r:id="rId8"/>
          <w:pgSz w:w="11906" w:h="16838"/>
          <w:pgMar w:top="1440" w:right="1800" w:bottom="1440" w:left="1800" w:header="851" w:footer="992" w:gutter="0"/>
          <w:pgNumType w:fmt="upperRoman" w:start="1"/>
          <w:cols w:space="720"/>
          <w:docGrid w:type="lines" w:linePitch="312"/>
        </w:sectPr>
      </w:pPr>
    </w:p>
    <w:p w14:paraId="1F82DA2B" w14:textId="77777777" w:rsidR="00D468FB" w:rsidRDefault="00000000">
      <w:pPr>
        <w:spacing w:afterLines="100" w:after="312" w:line="360" w:lineRule="auto"/>
        <w:jc w:val="center"/>
        <w:rPr>
          <w:rFonts w:ascii="黑体" w:eastAsia="黑体" w:hAnsi="黑体" w:hint="eastAsia"/>
          <w:sz w:val="32"/>
          <w:szCs w:val="24"/>
        </w:rPr>
      </w:pPr>
      <w:r>
        <w:rPr>
          <w:rFonts w:ascii="黑体" w:eastAsia="黑体" w:hAnsi="黑体" w:hint="eastAsia"/>
          <w:sz w:val="32"/>
          <w:szCs w:val="24"/>
        </w:rPr>
        <w:t>田菁青贮技术规程</w:t>
      </w:r>
    </w:p>
    <w:p w14:paraId="79F876A3" w14:textId="77777777" w:rsidR="00D468FB" w:rsidRDefault="00000000" w:rsidP="00346E9C">
      <w:pPr>
        <w:pStyle w:val="a7"/>
        <w:spacing w:beforeLines="50" w:before="156" w:afterLines="50" w:after="156"/>
        <w:jc w:val="left"/>
        <w:rPr>
          <w:b w:val="0"/>
          <w:bCs w:val="0"/>
          <w:sz w:val="21"/>
          <w:szCs w:val="21"/>
        </w:rPr>
      </w:pPr>
      <w:bookmarkStart w:id="6" w:name="_Toc175908327"/>
      <w:bookmarkStart w:id="7" w:name="_Toc24619"/>
      <w:r>
        <w:rPr>
          <w:rFonts w:hint="eastAsia"/>
          <w:b w:val="0"/>
          <w:bCs w:val="0"/>
          <w:sz w:val="21"/>
          <w:szCs w:val="21"/>
        </w:rPr>
        <w:t xml:space="preserve">1 </w:t>
      </w:r>
      <w:r>
        <w:rPr>
          <w:rFonts w:hint="eastAsia"/>
          <w:b w:val="0"/>
          <w:bCs w:val="0"/>
          <w:sz w:val="21"/>
          <w:szCs w:val="21"/>
        </w:rPr>
        <w:t>范围</w:t>
      </w:r>
      <w:bookmarkEnd w:id="6"/>
      <w:bookmarkEnd w:id="7"/>
    </w:p>
    <w:p w14:paraId="2BA3B7EA" w14:textId="77777777" w:rsidR="00D468FB" w:rsidRDefault="00000000">
      <w:pPr>
        <w:pStyle w:val="ab"/>
        <w:adjustRightInd w:val="0"/>
        <w:spacing w:line="360" w:lineRule="auto"/>
        <w:ind w:firstLine="420"/>
        <w:contextualSpacing/>
        <w:rPr>
          <w:kern w:val="2"/>
          <w:sz w:val="21"/>
          <w:szCs w:val="21"/>
        </w:rPr>
      </w:pPr>
      <w:r>
        <w:rPr>
          <w:rFonts w:hint="eastAsia"/>
          <w:kern w:val="2"/>
          <w:sz w:val="21"/>
          <w:szCs w:val="21"/>
        </w:rPr>
        <w:t>本文件规定了</w:t>
      </w:r>
      <w:proofErr w:type="gramStart"/>
      <w:r>
        <w:rPr>
          <w:rFonts w:hint="eastAsia"/>
          <w:kern w:val="2"/>
          <w:sz w:val="21"/>
          <w:szCs w:val="21"/>
        </w:rPr>
        <w:t>田菁贮前准备</w:t>
      </w:r>
      <w:proofErr w:type="gramEnd"/>
      <w:r>
        <w:rPr>
          <w:rFonts w:hint="eastAsia"/>
          <w:kern w:val="2"/>
          <w:sz w:val="21"/>
          <w:szCs w:val="21"/>
        </w:rPr>
        <w:t>、原料、青贮调制及贮后管理等技术要求。</w:t>
      </w:r>
    </w:p>
    <w:p w14:paraId="1CDFA4F0" w14:textId="77777777" w:rsidR="00D468FB" w:rsidRDefault="00000000">
      <w:pPr>
        <w:pStyle w:val="ab"/>
        <w:adjustRightInd w:val="0"/>
        <w:spacing w:line="360" w:lineRule="auto"/>
        <w:ind w:firstLine="420"/>
        <w:contextualSpacing/>
        <w:rPr>
          <w:kern w:val="2"/>
          <w:sz w:val="21"/>
          <w:szCs w:val="21"/>
        </w:rPr>
      </w:pPr>
      <w:r>
        <w:rPr>
          <w:rFonts w:hint="eastAsia"/>
          <w:kern w:val="2"/>
          <w:sz w:val="21"/>
          <w:szCs w:val="21"/>
        </w:rPr>
        <w:t>本文件适用于田菁青贮饲料的生产。</w:t>
      </w:r>
    </w:p>
    <w:p w14:paraId="2512DC03" w14:textId="238F52AD" w:rsidR="00D468FB" w:rsidRDefault="00000000" w:rsidP="00346E9C">
      <w:pPr>
        <w:pStyle w:val="a7"/>
        <w:spacing w:beforeLines="50" w:before="156" w:afterLines="50" w:after="156"/>
        <w:jc w:val="left"/>
        <w:rPr>
          <w:b w:val="0"/>
          <w:bCs w:val="0"/>
          <w:sz w:val="21"/>
          <w:szCs w:val="21"/>
        </w:rPr>
      </w:pPr>
      <w:bookmarkStart w:id="8" w:name="_Toc2962"/>
      <w:r>
        <w:rPr>
          <w:rFonts w:hint="eastAsia"/>
          <w:b w:val="0"/>
          <w:bCs w:val="0"/>
          <w:sz w:val="21"/>
          <w:szCs w:val="21"/>
        </w:rPr>
        <w:t>2</w:t>
      </w:r>
      <w:r w:rsidR="00346E9C">
        <w:rPr>
          <w:rFonts w:hint="eastAsia"/>
          <w:b w:val="0"/>
          <w:bCs w:val="0"/>
          <w:sz w:val="21"/>
          <w:szCs w:val="21"/>
        </w:rPr>
        <w:t xml:space="preserve"> </w:t>
      </w:r>
      <w:r>
        <w:rPr>
          <w:rFonts w:hint="eastAsia"/>
          <w:b w:val="0"/>
          <w:bCs w:val="0"/>
          <w:sz w:val="21"/>
          <w:szCs w:val="21"/>
        </w:rPr>
        <w:t>规范性引用文件</w:t>
      </w:r>
      <w:bookmarkEnd w:id="8"/>
    </w:p>
    <w:p w14:paraId="1EB4400E" w14:textId="77777777" w:rsidR="00D468FB" w:rsidRPr="00346E9C" w:rsidRDefault="00000000" w:rsidP="00346E9C">
      <w:pPr>
        <w:pStyle w:val="ab"/>
        <w:adjustRightInd w:val="0"/>
        <w:spacing w:line="360" w:lineRule="auto"/>
        <w:ind w:firstLine="420"/>
        <w:contextualSpacing/>
        <w:rPr>
          <w:kern w:val="2"/>
          <w:sz w:val="21"/>
          <w:szCs w:val="21"/>
        </w:rPr>
      </w:pPr>
      <w:r w:rsidRPr="00346E9C">
        <w:rPr>
          <w:rFonts w:hint="eastAsia"/>
          <w:kern w:val="2"/>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9FC3CED" w14:textId="77777777" w:rsidR="00D468FB" w:rsidRPr="00346E9C" w:rsidRDefault="00000000" w:rsidP="00346E9C">
      <w:pPr>
        <w:pStyle w:val="ab"/>
        <w:adjustRightInd w:val="0"/>
        <w:spacing w:line="360" w:lineRule="auto"/>
        <w:ind w:firstLine="420"/>
        <w:contextualSpacing/>
        <w:rPr>
          <w:kern w:val="2"/>
          <w:sz w:val="21"/>
          <w:szCs w:val="21"/>
        </w:rPr>
      </w:pPr>
      <w:bookmarkStart w:id="9" w:name="_Toc26376"/>
      <w:r w:rsidRPr="00346E9C">
        <w:rPr>
          <w:rFonts w:hint="eastAsia"/>
          <w:kern w:val="2"/>
          <w:sz w:val="21"/>
          <w:szCs w:val="21"/>
        </w:rPr>
        <w:t xml:space="preserve">GB/T 1040.3     </w:t>
      </w:r>
      <w:r w:rsidRPr="00346E9C">
        <w:rPr>
          <w:rFonts w:hint="eastAsia"/>
          <w:kern w:val="2"/>
          <w:sz w:val="21"/>
          <w:szCs w:val="21"/>
        </w:rPr>
        <w:t>塑料拉伸膜</w:t>
      </w:r>
      <w:r w:rsidRPr="00346E9C">
        <w:rPr>
          <w:rFonts w:hint="eastAsia"/>
          <w:kern w:val="2"/>
          <w:sz w:val="21"/>
          <w:szCs w:val="21"/>
        </w:rPr>
        <w:t xml:space="preserve">       </w:t>
      </w:r>
      <w:r w:rsidRPr="00346E9C">
        <w:rPr>
          <w:rFonts w:hint="eastAsia"/>
          <w:kern w:val="2"/>
          <w:sz w:val="21"/>
          <w:szCs w:val="21"/>
        </w:rPr>
        <w:t>农用塑料膜通用要求</w:t>
      </w:r>
      <w:bookmarkEnd w:id="9"/>
    </w:p>
    <w:p w14:paraId="7E1DD6EC" w14:textId="77777777" w:rsidR="00D468FB" w:rsidRPr="00346E9C" w:rsidRDefault="00000000" w:rsidP="00346E9C">
      <w:pPr>
        <w:pStyle w:val="ab"/>
        <w:adjustRightInd w:val="0"/>
        <w:spacing w:line="360" w:lineRule="auto"/>
        <w:ind w:firstLine="420"/>
        <w:contextualSpacing/>
        <w:rPr>
          <w:kern w:val="2"/>
          <w:sz w:val="21"/>
          <w:szCs w:val="21"/>
        </w:rPr>
      </w:pPr>
      <w:bookmarkStart w:id="10" w:name="_Toc10779"/>
      <w:r w:rsidRPr="00346E9C">
        <w:rPr>
          <w:rFonts w:hint="eastAsia"/>
          <w:kern w:val="2"/>
          <w:sz w:val="21"/>
          <w:szCs w:val="21"/>
        </w:rPr>
        <w:t xml:space="preserve">GB/T 22141      </w:t>
      </w:r>
      <w:r w:rsidRPr="00346E9C">
        <w:rPr>
          <w:rFonts w:hint="eastAsia"/>
          <w:kern w:val="2"/>
          <w:sz w:val="21"/>
          <w:szCs w:val="21"/>
        </w:rPr>
        <w:t>饲料添加剂</w:t>
      </w:r>
      <w:r w:rsidRPr="00346E9C">
        <w:rPr>
          <w:rFonts w:hint="eastAsia"/>
          <w:kern w:val="2"/>
          <w:sz w:val="21"/>
          <w:szCs w:val="21"/>
        </w:rPr>
        <w:t xml:space="preserve">        </w:t>
      </w:r>
      <w:r w:rsidRPr="00346E9C">
        <w:rPr>
          <w:rFonts w:hint="eastAsia"/>
          <w:kern w:val="2"/>
          <w:sz w:val="21"/>
          <w:szCs w:val="21"/>
        </w:rPr>
        <w:t>复合酸化剂通用要求</w:t>
      </w:r>
      <w:bookmarkEnd w:id="10"/>
    </w:p>
    <w:p w14:paraId="4D1CD617" w14:textId="77777777" w:rsidR="00D468FB" w:rsidRPr="00346E9C" w:rsidRDefault="00000000" w:rsidP="00346E9C">
      <w:pPr>
        <w:pStyle w:val="ab"/>
        <w:adjustRightInd w:val="0"/>
        <w:spacing w:line="360" w:lineRule="auto"/>
        <w:ind w:firstLine="420"/>
        <w:contextualSpacing/>
        <w:rPr>
          <w:kern w:val="2"/>
          <w:sz w:val="21"/>
          <w:szCs w:val="21"/>
        </w:rPr>
      </w:pPr>
      <w:bookmarkStart w:id="11" w:name="_Toc21810"/>
      <w:r w:rsidRPr="00346E9C">
        <w:rPr>
          <w:rFonts w:hint="eastAsia"/>
          <w:kern w:val="2"/>
          <w:sz w:val="21"/>
          <w:szCs w:val="21"/>
        </w:rPr>
        <w:t xml:space="preserve">GB/T 22142      </w:t>
      </w:r>
      <w:r w:rsidRPr="00346E9C">
        <w:rPr>
          <w:rFonts w:hint="eastAsia"/>
          <w:kern w:val="2"/>
          <w:sz w:val="21"/>
          <w:szCs w:val="21"/>
        </w:rPr>
        <w:t>饲料添加剂</w:t>
      </w:r>
      <w:r w:rsidRPr="00346E9C">
        <w:rPr>
          <w:rFonts w:hint="eastAsia"/>
          <w:kern w:val="2"/>
          <w:sz w:val="21"/>
          <w:szCs w:val="21"/>
        </w:rPr>
        <w:t xml:space="preserve">        </w:t>
      </w:r>
      <w:r w:rsidRPr="00346E9C">
        <w:rPr>
          <w:rFonts w:hint="eastAsia"/>
          <w:kern w:val="2"/>
          <w:sz w:val="21"/>
          <w:szCs w:val="21"/>
        </w:rPr>
        <w:t>有机酸通用要求</w:t>
      </w:r>
      <w:bookmarkEnd w:id="11"/>
    </w:p>
    <w:p w14:paraId="6C10F7B4" w14:textId="77777777" w:rsidR="00D468FB" w:rsidRPr="00346E9C" w:rsidRDefault="00000000" w:rsidP="00346E9C">
      <w:pPr>
        <w:pStyle w:val="ab"/>
        <w:adjustRightInd w:val="0"/>
        <w:spacing w:line="360" w:lineRule="auto"/>
        <w:ind w:firstLine="420"/>
        <w:contextualSpacing/>
        <w:rPr>
          <w:kern w:val="2"/>
          <w:sz w:val="21"/>
          <w:szCs w:val="21"/>
        </w:rPr>
      </w:pPr>
      <w:bookmarkStart w:id="12" w:name="_Toc22766"/>
      <w:r w:rsidRPr="00346E9C">
        <w:rPr>
          <w:rFonts w:hint="eastAsia"/>
          <w:kern w:val="2"/>
          <w:sz w:val="21"/>
          <w:szCs w:val="21"/>
        </w:rPr>
        <w:t xml:space="preserve">GB/T 22143      </w:t>
      </w:r>
      <w:r w:rsidRPr="00346E9C">
        <w:rPr>
          <w:rFonts w:hint="eastAsia"/>
          <w:kern w:val="2"/>
          <w:sz w:val="21"/>
          <w:szCs w:val="21"/>
        </w:rPr>
        <w:t>饲料添加剂</w:t>
      </w:r>
      <w:r w:rsidRPr="00346E9C">
        <w:rPr>
          <w:rFonts w:hint="eastAsia"/>
          <w:kern w:val="2"/>
          <w:sz w:val="21"/>
          <w:szCs w:val="21"/>
        </w:rPr>
        <w:t xml:space="preserve">        </w:t>
      </w:r>
      <w:r w:rsidRPr="00346E9C">
        <w:rPr>
          <w:rFonts w:hint="eastAsia"/>
          <w:kern w:val="2"/>
          <w:sz w:val="21"/>
          <w:szCs w:val="21"/>
        </w:rPr>
        <w:t>无机酸通用要求</w:t>
      </w:r>
      <w:bookmarkEnd w:id="12"/>
    </w:p>
    <w:p w14:paraId="53365E11" w14:textId="77777777" w:rsidR="00D468FB" w:rsidRPr="00346E9C" w:rsidRDefault="00000000" w:rsidP="00346E9C">
      <w:pPr>
        <w:pStyle w:val="ab"/>
        <w:adjustRightInd w:val="0"/>
        <w:spacing w:line="360" w:lineRule="auto"/>
        <w:ind w:firstLine="420"/>
        <w:contextualSpacing/>
        <w:rPr>
          <w:kern w:val="2"/>
          <w:sz w:val="21"/>
          <w:szCs w:val="21"/>
        </w:rPr>
      </w:pPr>
      <w:bookmarkStart w:id="13" w:name="_Toc22758"/>
      <w:r w:rsidRPr="00346E9C">
        <w:rPr>
          <w:rFonts w:hint="eastAsia"/>
          <w:kern w:val="2"/>
          <w:sz w:val="21"/>
          <w:szCs w:val="21"/>
        </w:rPr>
        <w:t xml:space="preserve">GB4455          </w:t>
      </w:r>
      <w:r w:rsidRPr="00346E9C">
        <w:rPr>
          <w:rFonts w:hint="eastAsia"/>
          <w:kern w:val="2"/>
          <w:sz w:val="21"/>
          <w:szCs w:val="21"/>
        </w:rPr>
        <w:t>塑料膜</w:t>
      </w:r>
      <w:r w:rsidRPr="00346E9C">
        <w:rPr>
          <w:rFonts w:hint="eastAsia"/>
          <w:kern w:val="2"/>
          <w:sz w:val="21"/>
          <w:szCs w:val="21"/>
        </w:rPr>
        <w:t xml:space="preserve">           </w:t>
      </w:r>
      <w:r w:rsidRPr="00346E9C">
        <w:rPr>
          <w:rFonts w:hint="eastAsia"/>
          <w:kern w:val="2"/>
          <w:sz w:val="21"/>
          <w:szCs w:val="21"/>
        </w:rPr>
        <w:t>农用塑料膜通用要求</w:t>
      </w:r>
      <w:bookmarkEnd w:id="13"/>
    </w:p>
    <w:p w14:paraId="669B0A8B" w14:textId="77777777" w:rsidR="00D468FB" w:rsidRPr="00346E9C" w:rsidRDefault="00000000" w:rsidP="00346E9C">
      <w:pPr>
        <w:pStyle w:val="ab"/>
        <w:adjustRightInd w:val="0"/>
        <w:spacing w:line="360" w:lineRule="auto"/>
        <w:ind w:firstLine="420"/>
        <w:contextualSpacing/>
        <w:rPr>
          <w:kern w:val="2"/>
          <w:sz w:val="21"/>
          <w:szCs w:val="21"/>
        </w:rPr>
      </w:pPr>
      <w:bookmarkStart w:id="14" w:name="_Toc10468"/>
      <w:r w:rsidRPr="00346E9C">
        <w:rPr>
          <w:rFonts w:hint="eastAsia"/>
          <w:kern w:val="2"/>
          <w:sz w:val="21"/>
          <w:szCs w:val="21"/>
        </w:rPr>
        <w:t xml:space="preserve">NY/T 1444                        </w:t>
      </w:r>
      <w:r w:rsidRPr="00346E9C">
        <w:rPr>
          <w:rFonts w:hint="eastAsia"/>
          <w:kern w:val="2"/>
          <w:sz w:val="21"/>
          <w:szCs w:val="21"/>
        </w:rPr>
        <w:t>微生物饲料添加剂技术通则</w:t>
      </w:r>
      <w:bookmarkEnd w:id="14"/>
    </w:p>
    <w:p w14:paraId="2C74AEBC" w14:textId="3C38632D" w:rsidR="00D468FB" w:rsidRDefault="00000000" w:rsidP="00346E9C">
      <w:pPr>
        <w:pStyle w:val="a7"/>
        <w:spacing w:beforeLines="50" w:before="156" w:afterLines="50" w:after="156"/>
        <w:jc w:val="left"/>
        <w:rPr>
          <w:b w:val="0"/>
          <w:bCs w:val="0"/>
          <w:sz w:val="21"/>
          <w:szCs w:val="21"/>
        </w:rPr>
      </w:pPr>
      <w:bookmarkStart w:id="15" w:name="_Toc13542"/>
      <w:r>
        <w:rPr>
          <w:rFonts w:hint="eastAsia"/>
          <w:b w:val="0"/>
          <w:bCs w:val="0"/>
          <w:sz w:val="21"/>
          <w:szCs w:val="21"/>
        </w:rPr>
        <w:t>3</w:t>
      </w:r>
      <w:r w:rsidR="00346E9C">
        <w:rPr>
          <w:rFonts w:hint="eastAsia"/>
          <w:b w:val="0"/>
          <w:bCs w:val="0"/>
          <w:sz w:val="21"/>
          <w:szCs w:val="21"/>
        </w:rPr>
        <w:t xml:space="preserve"> </w:t>
      </w:r>
      <w:r>
        <w:rPr>
          <w:rFonts w:hint="eastAsia"/>
          <w:b w:val="0"/>
          <w:bCs w:val="0"/>
          <w:sz w:val="21"/>
          <w:szCs w:val="21"/>
        </w:rPr>
        <w:t>术语和定义</w:t>
      </w:r>
      <w:bookmarkEnd w:id="15"/>
    </w:p>
    <w:p w14:paraId="136036F8" w14:textId="77777777" w:rsidR="00D468FB" w:rsidRDefault="00000000">
      <w:pPr>
        <w:pStyle w:val="ab"/>
        <w:adjustRightInd w:val="0"/>
        <w:spacing w:line="360" w:lineRule="auto"/>
        <w:ind w:firstLine="420"/>
        <w:contextualSpacing/>
        <w:rPr>
          <w:kern w:val="2"/>
          <w:sz w:val="21"/>
          <w:szCs w:val="21"/>
        </w:rPr>
      </w:pPr>
      <w:r>
        <w:rPr>
          <w:rFonts w:hint="eastAsia"/>
          <w:kern w:val="2"/>
          <w:sz w:val="21"/>
          <w:szCs w:val="21"/>
        </w:rPr>
        <w:t>下列术语和定义适用于本文件。</w:t>
      </w:r>
    </w:p>
    <w:p w14:paraId="7F6346F9" w14:textId="77777777" w:rsidR="00D468FB" w:rsidRPr="00346E9C" w:rsidRDefault="00000000">
      <w:pPr>
        <w:pStyle w:val="a7"/>
        <w:spacing w:before="60"/>
        <w:jc w:val="left"/>
        <w:rPr>
          <w:rFonts w:ascii="黑体" w:hAnsi="黑体"/>
          <w:b w:val="0"/>
          <w:bCs w:val="0"/>
          <w:color w:val="FF0000"/>
          <w:sz w:val="21"/>
          <w:szCs w:val="21"/>
        </w:rPr>
      </w:pPr>
      <w:bookmarkStart w:id="16" w:name="_Toc6624"/>
      <w:bookmarkStart w:id="17" w:name="_Toc175908336"/>
      <w:r w:rsidRPr="00346E9C">
        <w:rPr>
          <w:rFonts w:ascii="黑体" w:hAnsi="黑体" w:hint="eastAsia"/>
          <w:b w:val="0"/>
          <w:bCs w:val="0"/>
          <w:sz w:val="21"/>
          <w:szCs w:val="21"/>
        </w:rPr>
        <w:t>3.1田菁</w:t>
      </w:r>
      <w:r w:rsidRPr="00346E9C">
        <w:rPr>
          <w:rFonts w:ascii="黑体" w:hAnsi="黑体" w:cs="Segoe UI"/>
          <w:b w:val="0"/>
          <w:bCs w:val="0"/>
          <w:sz w:val="21"/>
          <w:szCs w:val="21"/>
          <w:shd w:val="clear" w:color="auto" w:fill="FFFFFF"/>
        </w:rPr>
        <w:t>Sesbania cannabina（Retz.）</w:t>
      </w:r>
      <w:proofErr w:type="spellStart"/>
      <w:r w:rsidRPr="00346E9C">
        <w:rPr>
          <w:rFonts w:ascii="黑体" w:hAnsi="黑体" w:cs="Segoe UI"/>
          <w:b w:val="0"/>
          <w:bCs w:val="0"/>
          <w:sz w:val="21"/>
          <w:szCs w:val="21"/>
          <w:shd w:val="clear" w:color="auto" w:fill="FFFFFF"/>
        </w:rPr>
        <w:t>Poir</w:t>
      </w:r>
      <w:r w:rsidRPr="00346E9C">
        <w:rPr>
          <w:rFonts w:ascii="黑体" w:hAnsi="黑体" w:hint="eastAsia"/>
          <w:b w:val="0"/>
          <w:bCs w:val="0"/>
          <w:sz w:val="21"/>
          <w:szCs w:val="21"/>
        </w:rPr>
        <w:t>i</w:t>
      </w:r>
      <w:bookmarkEnd w:id="16"/>
      <w:proofErr w:type="spellEnd"/>
    </w:p>
    <w:p w14:paraId="274E4C45" w14:textId="77777777" w:rsidR="00D468FB" w:rsidRDefault="00000000">
      <w:pPr>
        <w:pStyle w:val="ab"/>
        <w:adjustRightInd w:val="0"/>
        <w:spacing w:line="360" w:lineRule="auto"/>
        <w:ind w:firstLine="420"/>
        <w:contextualSpacing/>
        <w:rPr>
          <w:kern w:val="2"/>
          <w:sz w:val="21"/>
          <w:szCs w:val="21"/>
        </w:rPr>
      </w:pPr>
      <w:r>
        <w:rPr>
          <w:rFonts w:hint="eastAsia"/>
          <w:kern w:val="2"/>
          <w:sz w:val="21"/>
          <w:szCs w:val="21"/>
        </w:rPr>
        <w:t>田菁属于豆科田菁属一年生草本植物，饲用价值较高，也是优良的绿肥作物，茎叶含有丰富的氮、磷、钾和微量元素，种植后直接翻耕入土，可增加土壤肥力，改善土壤结构，是改良盐碱地的先锋作物。</w:t>
      </w:r>
    </w:p>
    <w:p w14:paraId="54116F58" w14:textId="77777777" w:rsidR="00D468FB" w:rsidRPr="00346E9C" w:rsidRDefault="00000000">
      <w:pPr>
        <w:pStyle w:val="a7"/>
        <w:spacing w:before="60"/>
        <w:jc w:val="left"/>
        <w:rPr>
          <w:rFonts w:ascii="黑体" w:hAnsi="黑体"/>
          <w:b w:val="0"/>
          <w:bCs w:val="0"/>
          <w:sz w:val="21"/>
          <w:szCs w:val="21"/>
        </w:rPr>
      </w:pPr>
      <w:bookmarkStart w:id="18" w:name="_Toc6433"/>
      <w:r w:rsidRPr="00346E9C">
        <w:rPr>
          <w:rFonts w:ascii="黑体" w:hAnsi="黑体" w:hint="eastAsia"/>
          <w:b w:val="0"/>
          <w:bCs w:val="0"/>
          <w:sz w:val="21"/>
          <w:szCs w:val="21"/>
        </w:rPr>
        <w:t>3.2 盛花期 the blooming stage</w:t>
      </w:r>
      <w:bookmarkEnd w:id="18"/>
    </w:p>
    <w:p w14:paraId="088A15DD" w14:textId="77777777" w:rsidR="00D468FB" w:rsidRDefault="00000000">
      <w:pPr>
        <w:pStyle w:val="ab"/>
        <w:ind w:firstLine="420"/>
      </w:pPr>
      <w:r>
        <w:rPr>
          <w:rFonts w:hint="eastAsia"/>
          <w:kern w:val="2"/>
          <w:sz w:val="21"/>
          <w:szCs w:val="21"/>
        </w:rPr>
        <w:t>小区内</w:t>
      </w:r>
      <w:r>
        <w:rPr>
          <w:rFonts w:hint="eastAsia"/>
          <w:kern w:val="2"/>
          <w:sz w:val="21"/>
          <w:szCs w:val="21"/>
        </w:rPr>
        <w:t>50%</w:t>
      </w:r>
      <w:r>
        <w:rPr>
          <w:rFonts w:hint="eastAsia"/>
          <w:kern w:val="2"/>
          <w:sz w:val="21"/>
          <w:szCs w:val="21"/>
        </w:rPr>
        <w:t>的植株开花的时期</w:t>
      </w:r>
      <w:r>
        <w:rPr>
          <w:rFonts w:hint="eastAsia"/>
        </w:rPr>
        <w:t>。</w:t>
      </w:r>
    </w:p>
    <w:p w14:paraId="0D481701" w14:textId="77777777" w:rsidR="00D468FB" w:rsidRPr="00346E9C" w:rsidRDefault="00000000">
      <w:pPr>
        <w:pStyle w:val="a7"/>
        <w:spacing w:before="60"/>
        <w:jc w:val="left"/>
        <w:rPr>
          <w:rFonts w:ascii="黑体" w:hAnsi="黑体"/>
          <w:b w:val="0"/>
          <w:bCs w:val="0"/>
          <w:sz w:val="21"/>
          <w:szCs w:val="21"/>
        </w:rPr>
      </w:pPr>
      <w:bookmarkStart w:id="19" w:name="_Toc30018"/>
      <w:r w:rsidRPr="00346E9C">
        <w:rPr>
          <w:rFonts w:ascii="黑体" w:hAnsi="黑体" w:hint="eastAsia"/>
          <w:b w:val="0"/>
          <w:bCs w:val="0"/>
          <w:sz w:val="21"/>
          <w:szCs w:val="21"/>
        </w:rPr>
        <w:t xml:space="preserve">3.3 田菁青贮 </w:t>
      </w:r>
      <w:bookmarkEnd w:id="19"/>
      <w:r w:rsidRPr="00346E9C">
        <w:rPr>
          <w:rFonts w:ascii="黑体" w:hAnsi="黑体" w:hint="eastAsia"/>
          <w:b w:val="0"/>
          <w:bCs w:val="0"/>
          <w:sz w:val="21"/>
          <w:szCs w:val="21"/>
        </w:rPr>
        <w:t>Code of Practice for Ensiling Sesbania cannabina (Retz.) Pers</w:t>
      </w:r>
    </w:p>
    <w:p w14:paraId="7F33BDCF" w14:textId="77777777" w:rsidR="00D468FB" w:rsidRDefault="00000000">
      <w:pPr>
        <w:pStyle w:val="ab"/>
        <w:ind w:firstLine="420"/>
      </w:pPr>
      <w:r>
        <w:rPr>
          <w:rFonts w:hint="eastAsia"/>
          <w:kern w:val="2"/>
          <w:sz w:val="21"/>
          <w:szCs w:val="21"/>
        </w:rPr>
        <w:t>田菁在适宜的时期收获，经切碎、加工、发酵制成的青贮饲草产品</w:t>
      </w:r>
      <w:r>
        <w:rPr>
          <w:rFonts w:hint="eastAsia"/>
        </w:rPr>
        <w:t>。</w:t>
      </w:r>
    </w:p>
    <w:p w14:paraId="71F5B935" w14:textId="77777777" w:rsidR="00D468FB" w:rsidRDefault="00000000">
      <w:pPr>
        <w:pStyle w:val="a7"/>
        <w:spacing w:before="60"/>
        <w:jc w:val="left"/>
      </w:pPr>
      <w:bookmarkStart w:id="20" w:name="_Toc26082"/>
      <w:r w:rsidRPr="00346E9C">
        <w:rPr>
          <w:rFonts w:ascii="黑体" w:hAnsi="黑体" w:hint="eastAsia"/>
          <w:b w:val="0"/>
          <w:bCs w:val="0"/>
          <w:sz w:val="21"/>
          <w:szCs w:val="21"/>
        </w:rPr>
        <w:t>3.4 青贮添加剂 silage additives</w:t>
      </w:r>
      <w:bookmarkEnd w:id="20"/>
    </w:p>
    <w:p w14:paraId="16DDB1E2" w14:textId="77777777" w:rsidR="00D468FB" w:rsidRDefault="00000000">
      <w:pPr>
        <w:pStyle w:val="ab"/>
        <w:adjustRightInd w:val="0"/>
        <w:spacing w:line="360" w:lineRule="auto"/>
        <w:ind w:firstLine="420"/>
        <w:contextualSpacing/>
        <w:rPr>
          <w:kern w:val="2"/>
          <w:sz w:val="21"/>
          <w:szCs w:val="21"/>
        </w:rPr>
      </w:pPr>
      <w:r>
        <w:rPr>
          <w:rFonts w:hint="eastAsia"/>
          <w:kern w:val="2"/>
          <w:sz w:val="21"/>
          <w:szCs w:val="21"/>
        </w:rPr>
        <w:t>用于改善青贮饲料发酵品质、降低不良发酵、减少养分损失而添加的物质。</w:t>
      </w:r>
    </w:p>
    <w:p w14:paraId="53D34517" w14:textId="77777777" w:rsidR="00D468FB" w:rsidRDefault="00000000" w:rsidP="00346E9C">
      <w:pPr>
        <w:pStyle w:val="a7"/>
        <w:spacing w:beforeLines="50" w:before="156" w:afterLines="50" w:after="156"/>
        <w:jc w:val="left"/>
        <w:rPr>
          <w:b w:val="0"/>
          <w:bCs w:val="0"/>
          <w:sz w:val="21"/>
          <w:szCs w:val="21"/>
        </w:rPr>
      </w:pPr>
      <w:bookmarkStart w:id="21" w:name="_Toc3310"/>
      <w:r>
        <w:rPr>
          <w:rFonts w:hint="eastAsia"/>
          <w:b w:val="0"/>
          <w:bCs w:val="0"/>
          <w:sz w:val="21"/>
          <w:szCs w:val="21"/>
        </w:rPr>
        <w:t xml:space="preserve">4 </w:t>
      </w:r>
      <w:proofErr w:type="gramStart"/>
      <w:r>
        <w:rPr>
          <w:rFonts w:hint="eastAsia"/>
          <w:b w:val="0"/>
          <w:bCs w:val="0"/>
          <w:sz w:val="21"/>
          <w:szCs w:val="21"/>
        </w:rPr>
        <w:t>贮前准备</w:t>
      </w:r>
      <w:bookmarkEnd w:id="21"/>
      <w:proofErr w:type="gramEnd"/>
    </w:p>
    <w:p w14:paraId="45C394FF" w14:textId="77777777" w:rsidR="00D468FB" w:rsidRPr="00346E9C" w:rsidRDefault="00000000">
      <w:pPr>
        <w:pStyle w:val="a7"/>
        <w:spacing w:before="60"/>
        <w:jc w:val="left"/>
        <w:rPr>
          <w:rFonts w:ascii="黑体" w:hAnsi="黑体"/>
          <w:b w:val="0"/>
          <w:bCs w:val="0"/>
          <w:sz w:val="21"/>
          <w:szCs w:val="21"/>
        </w:rPr>
      </w:pPr>
      <w:bookmarkStart w:id="22" w:name="_Toc21811"/>
      <w:r w:rsidRPr="00346E9C">
        <w:rPr>
          <w:rFonts w:ascii="黑体" w:hAnsi="黑体" w:hint="eastAsia"/>
          <w:b w:val="0"/>
          <w:bCs w:val="0"/>
          <w:sz w:val="21"/>
          <w:szCs w:val="21"/>
        </w:rPr>
        <w:t>4.1 青贮方式</w:t>
      </w:r>
      <w:bookmarkEnd w:id="22"/>
    </w:p>
    <w:p w14:paraId="5E4693F8" w14:textId="77777777" w:rsidR="00D468FB" w:rsidRPr="00346E9C" w:rsidRDefault="00000000" w:rsidP="00346E9C">
      <w:pPr>
        <w:pStyle w:val="ab"/>
        <w:adjustRightInd w:val="0"/>
        <w:spacing w:line="360" w:lineRule="auto"/>
        <w:ind w:firstLine="420"/>
        <w:contextualSpacing/>
        <w:rPr>
          <w:kern w:val="2"/>
          <w:sz w:val="21"/>
          <w:szCs w:val="21"/>
        </w:rPr>
      </w:pPr>
      <w:r w:rsidRPr="00346E9C">
        <w:rPr>
          <w:rFonts w:hint="eastAsia"/>
          <w:kern w:val="2"/>
          <w:sz w:val="21"/>
          <w:szCs w:val="21"/>
        </w:rPr>
        <w:t>根据种植面积、养殖规模和青贮设施容积或面积，结合生产实际需要，选择使用裹包青贮、窖贮</w:t>
      </w:r>
      <w:proofErr w:type="gramStart"/>
      <w:r w:rsidRPr="00346E9C">
        <w:rPr>
          <w:rFonts w:hint="eastAsia"/>
          <w:kern w:val="2"/>
          <w:sz w:val="21"/>
          <w:szCs w:val="21"/>
        </w:rPr>
        <w:t>或堆贮</w:t>
      </w:r>
      <w:proofErr w:type="gramEnd"/>
      <w:r w:rsidRPr="00346E9C">
        <w:rPr>
          <w:rFonts w:hint="eastAsia"/>
          <w:kern w:val="2"/>
          <w:sz w:val="21"/>
          <w:szCs w:val="21"/>
        </w:rPr>
        <w:t>方式。</w:t>
      </w:r>
    </w:p>
    <w:p w14:paraId="4609CADD" w14:textId="77777777" w:rsidR="00D468FB" w:rsidRDefault="00000000">
      <w:pPr>
        <w:pStyle w:val="a7"/>
        <w:jc w:val="both"/>
      </w:pPr>
      <w:bookmarkStart w:id="23" w:name="_Toc2963"/>
      <w:r>
        <w:rPr>
          <w:rFonts w:hint="eastAsia"/>
          <w:b w:val="0"/>
          <w:bCs w:val="0"/>
          <w:sz w:val="21"/>
          <w:szCs w:val="21"/>
        </w:rPr>
        <w:t xml:space="preserve">4.2 </w:t>
      </w:r>
      <w:r>
        <w:rPr>
          <w:rFonts w:hint="eastAsia"/>
          <w:b w:val="0"/>
          <w:bCs w:val="0"/>
          <w:sz w:val="21"/>
          <w:szCs w:val="21"/>
        </w:rPr>
        <w:t>检查检修</w:t>
      </w:r>
      <w:bookmarkEnd w:id="23"/>
    </w:p>
    <w:p w14:paraId="43323452" w14:textId="77777777" w:rsidR="00D468FB" w:rsidRDefault="00000000">
      <w:pPr>
        <w:pStyle w:val="ab"/>
        <w:adjustRightInd w:val="0"/>
        <w:spacing w:line="360" w:lineRule="auto"/>
        <w:ind w:firstLine="420"/>
        <w:contextualSpacing/>
        <w:rPr>
          <w:kern w:val="2"/>
          <w:sz w:val="21"/>
          <w:szCs w:val="21"/>
        </w:rPr>
      </w:pPr>
      <w:r>
        <w:rPr>
          <w:rFonts w:hint="eastAsia"/>
          <w:kern w:val="2"/>
          <w:sz w:val="21"/>
          <w:szCs w:val="21"/>
        </w:rPr>
        <w:t>青贮前一周，清理青贮设施内杂物，检查检修青贮设施和机械设备，保持良好运行状态。在青贮前</w:t>
      </w:r>
      <w:r>
        <w:rPr>
          <w:rFonts w:hint="eastAsia"/>
          <w:kern w:val="2"/>
          <w:sz w:val="21"/>
          <w:szCs w:val="21"/>
        </w:rPr>
        <w:t xml:space="preserve">1 </w:t>
      </w:r>
      <w:r>
        <w:rPr>
          <w:kern w:val="2"/>
          <w:sz w:val="21"/>
          <w:szCs w:val="21"/>
          <w:lang w:val="en"/>
        </w:rPr>
        <w:t>d</w:t>
      </w:r>
      <w:r>
        <w:rPr>
          <w:rFonts w:hint="eastAsia"/>
          <w:kern w:val="2"/>
          <w:sz w:val="21"/>
          <w:szCs w:val="21"/>
        </w:rPr>
        <w:t>～</w:t>
      </w:r>
      <w:r>
        <w:rPr>
          <w:rFonts w:hint="eastAsia"/>
          <w:kern w:val="2"/>
          <w:sz w:val="21"/>
          <w:szCs w:val="21"/>
        </w:rPr>
        <w:t>2 d</w:t>
      </w:r>
      <w:r>
        <w:rPr>
          <w:rFonts w:hint="eastAsia"/>
          <w:kern w:val="2"/>
          <w:sz w:val="21"/>
          <w:szCs w:val="21"/>
        </w:rPr>
        <w:t>采用适宜消毒液对设施消毒。</w:t>
      </w:r>
    </w:p>
    <w:p w14:paraId="237F7CF2" w14:textId="77777777" w:rsidR="00D468FB" w:rsidRPr="00346E9C" w:rsidRDefault="00000000" w:rsidP="00346E9C">
      <w:pPr>
        <w:pStyle w:val="a7"/>
        <w:spacing w:before="60"/>
        <w:jc w:val="left"/>
        <w:rPr>
          <w:rFonts w:ascii="黑体" w:hAnsi="黑体" w:hint="eastAsia"/>
          <w:b w:val="0"/>
          <w:bCs w:val="0"/>
          <w:sz w:val="21"/>
          <w:szCs w:val="21"/>
        </w:rPr>
      </w:pPr>
      <w:bookmarkStart w:id="24" w:name="_Toc9366"/>
      <w:r w:rsidRPr="00346E9C">
        <w:rPr>
          <w:rFonts w:ascii="黑体" w:hAnsi="黑体" w:hint="eastAsia"/>
          <w:b w:val="0"/>
          <w:bCs w:val="0"/>
          <w:sz w:val="21"/>
          <w:szCs w:val="21"/>
        </w:rPr>
        <w:t>4.3 材料</w:t>
      </w:r>
      <w:bookmarkEnd w:id="24"/>
    </w:p>
    <w:p w14:paraId="559A32C1" w14:textId="77777777" w:rsidR="00D468FB" w:rsidRDefault="00000000">
      <w:pPr>
        <w:pStyle w:val="ab"/>
        <w:adjustRightInd w:val="0"/>
        <w:spacing w:line="360" w:lineRule="auto"/>
        <w:ind w:firstLine="420"/>
        <w:contextualSpacing/>
        <w:rPr>
          <w:kern w:val="2"/>
          <w:sz w:val="21"/>
          <w:szCs w:val="21"/>
        </w:rPr>
      </w:pPr>
      <w:proofErr w:type="gramStart"/>
      <w:r>
        <w:rPr>
          <w:rFonts w:hint="eastAsia"/>
          <w:kern w:val="2"/>
          <w:sz w:val="21"/>
          <w:szCs w:val="21"/>
        </w:rPr>
        <w:t>贮前准备</w:t>
      </w:r>
      <w:proofErr w:type="gramEnd"/>
      <w:r>
        <w:rPr>
          <w:rFonts w:hint="eastAsia"/>
          <w:kern w:val="2"/>
          <w:sz w:val="21"/>
          <w:szCs w:val="21"/>
        </w:rPr>
        <w:t>材料主要包括饲料添加剂、加工所必需的机械、镇压物等。</w:t>
      </w:r>
    </w:p>
    <w:p w14:paraId="073E34EC" w14:textId="77777777" w:rsidR="00D468FB" w:rsidRPr="00346E9C" w:rsidRDefault="00000000" w:rsidP="00346E9C">
      <w:pPr>
        <w:pStyle w:val="a7"/>
        <w:spacing w:beforeLines="50" w:before="156" w:afterLines="50" w:after="156"/>
        <w:jc w:val="left"/>
        <w:rPr>
          <w:b w:val="0"/>
          <w:bCs w:val="0"/>
          <w:sz w:val="21"/>
          <w:szCs w:val="21"/>
        </w:rPr>
      </w:pPr>
      <w:bookmarkStart w:id="25" w:name="_Toc10258"/>
      <w:r>
        <w:rPr>
          <w:rFonts w:hint="eastAsia"/>
          <w:b w:val="0"/>
          <w:bCs w:val="0"/>
          <w:sz w:val="21"/>
          <w:szCs w:val="21"/>
        </w:rPr>
        <w:t xml:space="preserve">5 </w:t>
      </w:r>
      <w:r>
        <w:rPr>
          <w:rFonts w:hint="eastAsia"/>
          <w:b w:val="0"/>
          <w:bCs w:val="0"/>
          <w:sz w:val="21"/>
          <w:szCs w:val="21"/>
        </w:rPr>
        <w:t>青贮原料</w:t>
      </w:r>
      <w:bookmarkEnd w:id="25"/>
    </w:p>
    <w:p w14:paraId="4AAA5B7F" w14:textId="77777777" w:rsidR="00D468FB" w:rsidRPr="00346E9C" w:rsidRDefault="00000000" w:rsidP="00346E9C">
      <w:pPr>
        <w:pStyle w:val="a7"/>
        <w:spacing w:before="60"/>
        <w:jc w:val="left"/>
        <w:rPr>
          <w:rFonts w:ascii="黑体" w:hAnsi="黑体"/>
          <w:b w:val="0"/>
          <w:bCs w:val="0"/>
          <w:sz w:val="21"/>
          <w:szCs w:val="21"/>
        </w:rPr>
      </w:pPr>
      <w:bookmarkStart w:id="26" w:name="_Toc26947"/>
      <w:r w:rsidRPr="00346E9C">
        <w:rPr>
          <w:rFonts w:ascii="黑体" w:hAnsi="黑体" w:hint="eastAsia"/>
          <w:b w:val="0"/>
          <w:bCs w:val="0"/>
          <w:sz w:val="21"/>
          <w:szCs w:val="21"/>
        </w:rPr>
        <w:t>5.1 收获时期</w:t>
      </w:r>
      <w:bookmarkEnd w:id="26"/>
    </w:p>
    <w:p w14:paraId="163C6BF9" w14:textId="77777777" w:rsidR="00D468FB" w:rsidRDefault="00000000">
      <w:pPr>
        <w:pStyle w:val="ab"/>
        <w:adjustRightInd w:val="0"/>
        <w:spacing w:line="360" w:lineRule="auto"/>
        <w:ind w:firstLine="420"/>
        <w:contextualSpacing/>
        <w:rPr>
          <w:kern w:val="2"/>
          <w:sz w:val="21"/>
          <w:szCs w:val="21"/>
        </w:rPr>
      </w:pPr>
      <w:proofErr w:type="gramStart"/>
      <w:r>
        <w:rPr>
          <w:rFonts w:hint="eastAsia"/>
          <w:kern w:val="2"/>
          <w:sz w:val="21"/>
          <w:szCs w:val="21"/>
        </w:rPr>
        <w:t>江淮光</w:t>
      </w:r>
      <w:proofErr w:type="gramEnd"/>
      <w:r>
        <w:rPr>
          <w:rFonts w:hint="eastAsia"/>
          <w:kern w:val="2"/>
          <w:sz w:val="21"/>
          <w:szCs w:val="21"/>
        </w:rPr>
        <w:t>叶紫花</w:t>
      </w:r>
      <w:proofErr w:type="gramStart"/>
      <w:r>
        <w:rPr>
          <w:rFonts w:hint="eastAsia"/>
          <w:kern w:val="2"/>
          <w:sz w:val="21"/>
          <w:szCs w:val="21"/>
        </w:rPr>
        <w:t>苕</w:t>
      </w:r>
      <w:proofErr w:type="gramEnd"/>
      <w:r>
        <w:rPr>
          <w:rFonts w:hint="eastAsia"/>
          <w:kern w:val="2"/>
          <w:sz w:val="21"/>
          <w:szCs w:val="21"/>
        </w:rPr>
        <w:t>青贮的适宜收获期为盛花期。</w:t>
      </w:r>
    </w:p>
    <w:p w14:paraId="3287908A" w14:textId="77777777" w:rsidR="00D468FB" w:rsidRPr="00346E9C" w:rsidRDefault="00000000" w:rsidP="00346E9C">
      <w:pPr>
        <w:pStyle w:val="a7"/>
        <w:spacing w:before="60"/>
        <w:jc w:val="left"/>
        <w:rPr>
          <w:rFonts w:ascii="黑体" w:hAnsi="黑体"/>
          <w:b w:val="0"/>
          <w:bCs w:val="0"/>
          <w:sz w:val="21"/>
          <w:szCs w:val="21"/>
        </w:rPr>
      </w:pPr>
      <w:r w:rsidRPr="00346E9C">
        <w:rPr>
          <w:rFonts w:ascii="黑体" w:hAnsi="黑体" w:hint="eastAsia"/>
          <w:b w:val="0"/>
          <w:bCs w:val="0"/>
          <w:sz w:val="21"/>
          <w:szCs w:val="21"/>
        </w:rPr>
        <w:t xml:space="preserve">5.2 留茬高度 </w:t>
      </w:r>
    </w:p>
    <w:p w14:paraId="1414CA46" w14:textId="77777777" w:rsidR="00D468FB" w:rsidRDefault="00000000">
      <w:pPr>
        <w:pStyle w:val="ab"/>
        <w:ind w:firstLine="420"/>
      </w:pPr>
      <w:r>
        <w:rPr>
          <w:rFonts w:hint="eastAsia"/>
          <w:kern w:val="2"/>
          <w:sz w:val="21"/>
          <w:szCs w:val="21"/>
        </w:rPr>
        <w:t>田菁青贮刈割的适宜留茬高度为</w:t>
      </w:r>
      <w:r>
        <w:rPr>
          <w:rFonts w:hint="eastAsia"/>
          <w:kern w:val="2"/>
          <w:sz w:val="21"/>
          <w:szCs w:val="21"/>
        </w:rPr>
        <w:t xml:space="preserve">15 </w:t>
      </w:r>
      <w:r>
        <w:rPr>
          <w:kern w:val="2"/>
          <w:sz w:val="21"/>
          <w:szCs w:val="21"/>
          <w:lang w:val="en"/>
        </w:rPr>
        <w:t>cm</w:t>
      </w:r>
      <w:r>
        <w:rPr>
          <w:rFonts w:hint="eastAsia"/>
          <w:kern w:val="2"/>
          <w:sz w:val="21"/>
          <w:szCs w:val="21"/>
          <w:lang w:val="en"/>
        </w:rPr>
        <w:t>～</w:t>
      </w:r>
      <w:r>
        <w:rPr>
          <w:rFonts w:hint="eastAsia"/>
          <w:kern w:val="2"/>
          <w:sz w:val="21"/>
          <w:szCs w:val="21"/>
        </w:rPr>
        <w:t>20 cm</w:t>
      </w:r>
      <w:r>
        <w:rPr>
          <w:rFonts w:hint="eastAsia"/>
          <w:kern w:val="2"/>
          <w:sz w:val="21"/>
          <w:szCs w:val="21"/>
        </w:rPr>
        <w:t>，避免泥土、杂质等进入</w:t>
      </w:r>
      <w:r>
        <w:rPr>
          <w:rFonts w:hint="eastAsia"/>
        </w:rPr>
        <w:t>。</w:t>
      </w:r>
    </w:p>
    <w:p w14:paraId="362A262F" w14:textId="77777777" w:rsidR="00D468FB" w:rsidRPr="00346E9C" w:rsidRDefault="00000000" w:rsidP="00346E9C">
      <w:pPr>
        <w:pStyle w:val="a7"/>
        <w:spacing w:before="60"/>
        <w:jc w:val="left"/>
        <w:rPr>
          <w:rFonts w:ascii="黑体" w:hAnsi="黑体"/>
          <w:b w:val="0"/>
          <w:bCs w:val="0"/>
          <w:sz w:val="21"/>
          <w:szCs w:val="21"/>
        </w:rPr>
      </w:pPr>
      <w:bookmarkStart w:id="27" w:name="_Toc23860"/>
      <w:r w:rsidRPr="00346E9C">
        <w:rPr>
          <w:rFonts w:ascii="黑体" w:hAnsi="黑体" w:hint="eastAsia"/>
          <w:b w:val="0"/>
          <w:bCs w:val="0"/>
          <w:sz w:val="21"/>
          <w:szCs w:val="21"/>
        </w:rPr>
        <w:t>5.3 晾晒</w:t>
      </w:r>
      <w:bookmarkEnd w:id="27"/>
    </w:p>
    <w:p w14:paraId="6CD4BAFB" w14:textId="77777777" w:rsidR="00D468FB" w:rsidRDefault="00000000">
      <w:pPr>
        <w:pStyle w:val="ab"/>
        <w:adjustRightInd w:val="0"/>
        <w:spacing w:line="360" w:lineRule="auto"/>
        <w:ind w:firstLine="420"/>
        <w:contextualSpacing/>
        <w:rPr>
          <w:kern w:val="2"/>
          <w:sz w:val="21"/>
          <w:szCs w:val="21"/>
        </w:rPr>
      </w:pPr>
      <w:r>
        <w:rPr>
          <w:rFonts w:hint="eastAsia"/>
          <w:kern w:val="2"/>
          <w:sz w:val="21"/>
          <w:szCs w:val="21"/>
        </w:rPr>
        <w:t>田菁刈割后进行晾晒至叶片微卷，叶片颜色由鲜绿色变成深绿色，茎秆颜色基本未变，含水量在</w:t>
      </w:r>
      <w:r>
        <w:rPr>
          <w:rFonts w:hint="eastAsia"/>
          <w:kern w:val="2"/>
          <w:sz w:val="21"/>
          <w:szCs w:val="21"/>
        </w:rPr>
        <w:t>65 %</w:t>
      </w:r>
      <w:r>
        <w:rPr>
          <w:rFonts w:hint="eastAsia"/>
          <w:kern w:val="2"/>
          <w:sz w:val="21"/>
          <w:szCs w:val="21"/>
        </w:rPr>
        <w:t>～</w:t>
      </w:r>
      <w:r>
        <w:rPr>
          <w:rFonts w:hint="eastAsia"/>
          <w:kern w:val="2"/>
          <w:sz w:val="21"/>
          <w:szCs w:val="21"/>
        </w:rPr>
        <w:t>70 %</w:t>
      </w:r>
      <w:r>
        <w:rPr>
          <w:rFonts w:hint="eastAsia"/>
          <w:kern w:val="2"/>
          <w:sz w:val="21"/>
          <w:szCs w:val="21"/>
        </w:rPr>
        <w:t>时即可调制青贮饲料。</w:t>
      </w:r>
    </w:p>
    <w:p w14:paraId="78C30A34" w14:textId="77777777" w:rsidR="00D468FB" w:rsidRDefault="00000000" w:rsidP="00346E9C">
      <w:pPr>
        <w:pStyle w:val="a7"/>
        <w:spacing w:beforeLines="50" w:before="156" w:afterLines="50" w:after="156"/>
        <w:jc w:val="left"/>
        <w:rPr>
          <w:b w:val="0"/>
          <w:bCs w:val="0"/>
          <w:sz w:val="21"/>
          <w:szCs w:val="21"/>
        </w:rPr>
      </w:pPr>
      <w:bookmarkStart w:id="28" w:name="_Toc19333"/>
      <w:r>
        <w:rPr>
          <w:rFonts w:hint="eastAsia"/>
          <w:b w:val="0"/>
          <w:bCs w:val="0"/>
          <w:sz w:val="21"/>
          <w:szCs w:val="21"/>
        </w:rPr>
        <w:t xml:space="preserve">6 </w:t>
      </w:r>
      <w:r>
        <w:rPr>
          <w:rFonts w:hint="eastAsia"/>
          <w:b w:val="0"/>
          <w:bCs w:val="0"/>
          <w:sz w:val="21"/>
          <w:szCs w:val="21"/>
        </w:rPr>
        <w:t>原料调制</w:t>
      </w:r>
      <w:bookmarkEnd w:id="28"/>
    </w:p>
    <w:p w14:paraId="0C8BFCDC" w14:textId="77777777" w:rsidR="00D468FB" w:rsidRPr="00346E9C" w:rsidRDefault="00000000" w:rsidP="00346E9C">
      <w:pPr>
        <w:pStyle w:val="a7"/>
        <w:spacing w:before="60"/>
        <w:jc w:val="left"/>
        <w:rPr>
          <w:rFonts w:ascii="黑体" w:hAnsi="黑体"/>
          <w:b w:val="0"/>
          <w:bCs w:val="0"/>
          <w:sz w:val="21"/>
          <w:szCs w:val="21"/>
        </w:rPr>
      </w:pPr>
      <w:bookmarkStart w:id="29" w:name="_Toc4120"/>
      <w:r w:rsidRPr="00346E9C">
        <w:rPr>
          <w:rFonts w:ascii="黑体" w:hAnsi="黑体" w:hint="eastAsia"/>
          <w:b w:val="0"/>
          <w:bCs w:val="0"/>
          <w:sz w:val="21"/>
          <w:szCs w:val="21"/>
        </w:rPr>
        <w:t>6.1 切碎</w:t>
      </w:r>
      <w:bookmarkEnd w:id="29"/>
    </w:p>
    <w:p w14:paraId="4FDF83A2" w14:textId="77777777" w:rsidR="00D468FB" w:rsidRPr="00346E9C" w:rsidRDefault="00000000" w:rsidP="00346E9C">
      <w:pPr>
        <w:pStyle w:val="ab"/>
        <w:spacing w:line="360" w:lineRule="auto"/>
        <w:ind w:firstLine="420"/>
        <w:rPr>
          <w:rFonts w:hint="eastAsia"/>
          <w:kern w:val="2"/>
          <w:sz w:val="21"/>
          <w:szCs w:val="21"/>
        </w:rPr>
      </w:pPr>
      <w:r>
        <w:rPr>
          <w:rFonts w:hint="eastAsia"/>
          <w:kern w:val="2"/>
          <w:sz w:val="21"/>
          <w:szCs w:val="21"/>
        </w:rPr>
        <w:t>裹包青贮不超过</w:t>
      </w:r>
      <w:r>
        <w:rPr>
          <w:rFonts w:hint="eastAsia"/>
          <w:kern w:val="2"/>
          <w:sz w:val="21"/>
          <w:szCs w:val="21"/>
        </w:rPr>
        <w:t>7 cm</w:t>
      </w:r>
      <w:r>
        <w:rPr>
          <w:rFonts w:hint="eastAsia"/>
          <w:kern w:val="2"/>
          <w:sz w:val="21"/>
          <w:szCs w:val="21"/>
        </w:rPr>
        <w:t>，窖贮、</w:t>
      </w:r>
      <w:proofErr w:type="gramStart"/>
      <w:r>
        <w:rPr>
          <w:rFonts w:hint="eastAsia"/>
          <w:kern w:val="2"/>
          <w:sz w:val="21"/>
          <w:szCs w:val="21"/>
        </w:rPr>
        <w:t>堆贮不超过</w:t>
      </w:r>
      <w:proofErr w:type="gramEnd"/>
      <w:r>
        <w:rPr>
          <w:rFonts w:hint="eastAsia"/>
          <w:kern w:val="2"/>
          <w:sz w:val="21"/>
          <w:szCs w:val="21"/>
        </w:rPr>
        <w:t>5 cm</w:t>
      </w:r>
      <w:r>
        <w:rPr>
          <w:rFonts w:hint="eastAsia"/>
          <w:kern w:val="2"/>
          <w:sz w:val="21"/>
          <w:szCs w:val="21"/>
        </w:rPr>
        <w:t>。</w:t>
      </w:r>
    </w:p>
    <w:p w14:paraId="65B23C80" w14:textId="77777777" w:rsidR="00D468FB" w:rsidRPr="00346E9C" w:rsidRDefault="00000000" w:rsidP="00346E9C">
      <w:pPr>
        <w:pStyle w:val="a7"/>
        <w:spacing w:before="60"/>
        <w:jc w:val="left"/>
        <w:rPr>
          <w:rFonts w:ascii="黑体" w:hAnsi="黑体"/>
          <w:b w:val="0"/>
          <w:bCs w:val="0"/>
          <w:sz w:val="21"/>
          <w:szCs w:val="21"/>
        </w:rPr>
      </w:pPr>
      <w:bookmarkStart w:id="30" w:name="_Toc2553"/>
      <w:r w:rsidRPr="00346E9C">
        <w:rPr>
          <w:rFonts w:ascii="黑体" w:hAnsi="黑体" w:hint="eastAsia"/>
          <w:b w:val="0"/>
          <w:bCs w:val="0"/>
          <w:sz w:val="21"/>
          <w:szCs w:val="21"/>
        </w:rPr>
        <w:t>6.2 青贮添加剂的使用</w:t>
      </w:r>
      <w:bookmarkEnd w:id="30"/>
    </w:p>
    <w:p w14:paraId="4D4110F6" w14:textId="77777777" w:rsidR="00D468FB" w:rsidRDefault="00000000">
      <w:pPr>
        <w:pStyle w:val="ab"/>
        <w:adjustRightInd w:val="0"/>
        <w:spacing w:line="360" w:lineRule="auto"/>
        <w:ind w:firstLine="420"/>
        <w:contextualSpacing/>
        <w:rPr>
          <w:kern w:val="2"/>
          <w:sz w:val="21"/>
          <w:szCs w:val="21"/>
        </w:rPr>
      </w:pPr>
      <w:r>
        <w:rPr>
          <w:rFonts w:hint="eastAsia"/>
          <w:kern w:val="2"/>
          <w:sz w:val="21"/>
          <w:szCs w:val="21"/>
        </w:rPr>
        <w:t>在切碎时选择喷洒相关添加剂，符合</w:t>
      </w:r>
      <w:r>
        <w:rPr>
          <w:rFonts w:hint="eastAsia"/>
          <w:kern w:val="2"/>
          <w:sz w:val="21"/>
          <w:szCs w:val="21"/>
        </w:rPr>
        <w:t>GB/T 22141</w:t>
      </w:r>
      <w:r>
        <w:rPr>
          <w:rFonts w:hint="eastAsia"/>
          <w:kern w:val="2"/>
          <w:sz w:val="21"/>
          <w:szCs w:val="21"/>
        </w:rPr>
        <w:t>、</w:t>
      </w:r>
      <w:r>
        <w:rPr>
          <w:rFonts w:hint="eastAsia"/>
          <w:kern w:val="2"/>
          <w:sz w:val="21"/>
          <w:szCs w:val="21"/>
        </w:rPr>
        <w:t>GB/T 22142</w:t>
      </w:r>
      <w:r>
        <w:rPr>
          <w:rFonts w:hint="eastAsia"/>
          <w:kern w:val="2"/>
          <w:sz w:val="21"/>
          <w:szCs w:val="21"/>
        </w:rPr>
        <w:t>、</w:t>
      </w:r>
      <w:r>
        <w:rPr>
          <w:rFonts w:hint="eastAsia"/>
          <w:kern w:val="2"/>
          <w:sz w:val="21"/>
          <w:szCs w:val="21"/>
        </w:rPr>
        <w:t>GB/T 22143</w:t>
      </w:r>
      <w:r>
        <w:rPr>
          <w:rFonts w:hint="eastAsia"/>
          <w:kern w:val="2"/>
          <w:sz w:val="21"/>
          <w:szCs w:val="21"/>
        </w:rPr>
        <w:t>、</w:t>
      </w:r>
      <w:r>
        <w:rPr>
          <w:rFonts w:hint="eastAsia"/>
          <w:kern w:val="2"/>
          <w:sz w:val="21"/>
          <w:szCs w:val="21"/>
        </w:rPr>
        <w:t>NY/T 1444</w:t>
      </w:r>
      <w:r>
        <w:rPr>
          <w:rFonts w:hint="eastAsia"/>
          <w:kern w:val="2"/>
          <w:sz w:val="21"/>
          <w:szCs w:val="21"/>
        </w:rPr>
        <w:t>的规定。</w:t>
      </w:r>
    </w:p>
    <w:p w14:paraId="2461FD8C" w14:textId="77777777" w:rsidR="00D468FB" w:rsidRDefault="00000000" w:rsidP="00346E9C">
      <w:pPr>
        <w:pStyle w:val="a7"/>
        <w:spacing w:beforeLines="50" w:before="156" w:afterLines="50" w:after="156"/>
        <w:jc w:val="left"/>
        <w:rPr>
          <w:b w:val="0"/>
          <w:bCs w:val="0"/>
          <w:sz w:val="21"/>
          <w:szCs w:val="21"/>
        </w:rPr>
      </w:pPr>
      <w:bookmarkStart w:id="31" w:name="_Toc8955"/>
      <w:r>
        <w:rPr>
          <w:rFonts w:hint="eastAsia"/>
          <w:b w:val="0"/>
          <w:bCs w:val="0"/>
          <w:sz w:val="21"/>
          <w:szCs w:val="21"/>
        </w:rPr>
        <w:t xml:space="preserve">7 </w:t>
      </w:r>
      <w:r>
        <w:rPr>
          <w:rFonts w:hint="eastAsia"/>
          <w:b w:val="0"/>
          <w:bCs w:val="0"/>
          <w:sz w:val="21"/>
          <w:szCs w:val="21"/>
        </w:rPr>
        <w:t>堆贮、窖贮</w:t>
      </w:r>
      <w:bookmarkEnd w:id="31"/>
    </w:p>
    <w:p w14:paraId="6DAA6AFE" w14:textId="77777777" w:rsidR="00D468FB" w:rsidRPr="00346E9C" w:rsidRDefault="00000000" w:rsidP="00346E9C">
      <w:pPr>
        <w:pStyle w:val="a7"/>
        <w:spacing w:before="60"/>
        <w:jc w:val="left"/>
        <w:rPr>
          <w:rFonts w:ascii="黑体" w:hAnsi="黑体"/>
          <w:b w:val="0"/>
          <w:bCs w:val="0"/>
          <w:sz w:val="21"/>
          <w:szCs w:val="21"/>
        </w:rPr>
      </w:pPr>
      <w:bookmarkStart w:id="32" w:name="_Toc27570"/>
      <w:r w:rsidRPr="00346E9C">
        <w:rPr>
          <w:rFonts w:ascii="黑体" w:hAnsi="黑体" w:hint="eastAsia"/>
          <w:b w:val="0"/>
          <w:bCs w:val="0"/>
          <w:sz w:val="21"/>
          <w:szCs w:val="21"/>
        </w:rPr>
        <w:t>7.1 进料</w:t>
      </w:r>
      <w:bookmarkEnd w:id="32"/>
    </w:p>
    <w:p w14:paraId="65C9EB16" w14:textId="77777777" w:rsidR="00D468FB" w:rsidRDefault="00000000">
      <w:pPr>
        <w:pStyle w:val="ab"/>
        <w:adjustRightInd w:val="0"/>
        <w:spacing w:line="360" w:lineRule="auto"/>
        <w:ind w:firstLine="420"/>
        <w:contextualSpacing/>
        <w:rPr>
          <w:kern w:val="2"/>
          <w:sz w:val="21"/>
          <w:szCs w:val="21"/>
        </w:rPr>
      </w:pPr>
      <w:r>
        <w:rPr>
          <w:rFonts w:hint="eastAsia"/>
          <w:kern w:val="2"/>
          <w:sz w:val="21"/>
          <w:szCs w:val="21"/>
        </w:rPr>
        <w:t>堆贮、窖贮装填时，原料装填要迅速、均</w:t>
      </w:r>
      <w:proofErr w:type="gramStart"/>
      <w:r>
        <w:rPr>
          <w:rFonts w:hint="eastAsia"/>
          <w:kern w:val="2"/>
          <w:sz w:val="21"/>
          <w:szCs w:val="21"/>
        </w:rPr>
        <w:t>一</w:t>
      </w:r>
      <w:proofErr w:type="gramEnd"/>
      <w:r>
        <w:rPr>
          <w:rFonts w:hint="eastAsia"/>
          <w:kern w:val="2"/>
          <w:sz w:val="21"/>
          <w:szCs w:val="21"/>
        </w:rPr>
        <w:t>，与压实作业交替进行，完成后立即密封。青贮原料由内到外呈楔形分层装填。</w:t>
      </w:r>
    </w:p>
    <w:p w14:paraId="7E21FF2B" w14:textId="77777777" w:rsidR="00D468FB" w:rsidRPr="00346E9C" w:rsidRDefault="00000000" w:rsidP="00346E9C">
      <w:pPr>
        <w:pStyle w:val="a7"/>
        <w:spacing w:before="60"/>
        <w:jc w:val="left"/>
        <w:rPr>
          <w:rFonts w:ascii="黑体" w:hAnsi="黑体"/>
          <w:b w:val="0"/>
          <w:bCs w:val="0"/>
          <w:sz w:val="21"/>
          <w:szCs w:val="21"/>
        </w:rPr>
      </w:pPr>
      <w:bookmarkStart w:id="33" w:name="_Toc8007"/>
      <w:r w:rsidRPr="00346E9C">
        <w:rPr>
          <w:rFonts w:ascii="黑体" w:hAnsi="黑体" w:hint="eastAsia"/>
          <w:b w:val="0"/>
          <w:bCs w:val="0"/>
          <w:sz w:val="21"/>
          <w:szCs w:val="21"/>
        </w:rPr>
        <w:t>7.2 压实</w:t>
      </w:r>
      <w:bookmarkEnd w:id="33"/>
    </w:p>
    <w:p w14:paraId="46C54855" w14:textId="77777777" w:rsidR="00D468FB" w:rsidRDefault="00000000" w:rsidP="00346E9C">
      <w:pPr>
        <w:pStyle w:val="ab"/>
        <w:spacing w:line="360" w:lineRule="auto"/>
        <w:ind w:firstLine="420"/>
      </w:pPr>
      <w:r>
        <w:rPr>
          <w:rFonts w:hint="eastAsia"/>
          <w:kern w:val="2"/>
          <w:sz w:val="21"/>
          <w:szCs w:val="21"/>
        </w:rPr>
        <w:t>原料每装填一层压实</w:t>
      </w:r>
      <w:r>
        <w:rPr>
          <w:rFonts w:hint="eastAsia"/>
          <w:kern w:val="2"/>
          <w:sz w:val="21"/>
          <w:szCs w:val="21"/>
        </w:rPr>
        <w:t>1</w:t>
      </w:r>
      <w:r>
        <w:rPr>
          <w:rFonts w:hint="eastAsia"/>
          <w:kern w:val="2"/>
          <w:sz w:val="21"/>
          <w:szCs w:val="21"/>
        </w:rPr>
        <w:t>次，装填厚度不超过</w:t>
      </w:r>
      <w:r>
        <w:rPr>
          <w:rFonts w:hint="eastAsia"/>
          <w:kern w:val="2"/>
          <w:sz w:val="21"/>
          <w:szCs w:val="21"/>
        </w:rPr>
        <w:t>15 cm</w:t>
      </w:r>
      <w:r>
        <w:rPr>
          <w:rFonts w:hint="eastAsia"/>
          <w:kern w:val="2"/>
          <w:sz w:val="21"/>
          <w:szCs w:val="21"/>
        </w:rPr>
        <w:t>，采用</w:t>
      </w:r>
      <w:proofErr w:type="gramStart"/>
      <w:r>
        <w:rPr>
          <w:rFonts w:hint="eastAsia"/>
          <w:kern w:val="2"/>
          <w:sz w:val="21"/>
          <w:szCs w:val="21"/>
        </w:rPr>
        <w:t>压窖机</w:t>
      </w:r>
      <w:proofErr w:type="gramEnd"/>
      <w:r>
        <w:rPr>
          <w:rFonts w:hint="eastAsia"/>
          <w:kern w:val="2"/>
          <w:sz w:val="21"/>
          <w:szCs w:val="21"/>
        </w:rPr>
        <w:t>或其他大中型轮胎式机械压实。</w:t>
      </w:r>
    </w:p>
    <w:p w14:paraId="4F622DA5" w14:textId="77777777" w:rsidR="00D468FB" w:rsidRPr="00346E9C" w:rsidRDefault="00000000" w:rsidP="00346E9C">
      <w:pPr>
        <w:pStyle w:val="a7"/>
        <w:spacing w:before="60"/>
        <w:jc w:val="left"/>
        <w:rPr>
          <w:rFonts w:ascii="黑体" w:hAnsi="黑体"/>
          <w:b w:val="0"/>
          <w:bCs w:val="0"/>
          <w:sz w:val="21"/>
          <w:szCs w:val="21"/>
        </w:rPr>
      </w:pPr>
      <w:bookmarkStart w:id="34" w:name="_Toc16528"/>
      <w:r w:rsidRPr="00346E9C">
        <w:rPr>
          <w:rFonts w:ascii="黑体" w:hAnsi="黑体" w:hint="eastAsia"/>
          <w:b w:val="0"/>
          <w:bCs w:val="0"/>
          <w:sz w:val="21"/>
          <w:szCs w:val="21"/>
        </w:rPr>
        <w:t>7.3 形状</w:t>
      </w:r>
      <w:bookmarkEnd w:id="34"/>
    </w:p>
    <w:p w14:paraId="1C60FBEF" w14:textId="77777777" w:rsidR="00D468FB" w:rsidRDefault="00000000">
      <w:pPr>
        <w:pStyle w:val="ab"/>
        <w:adjustRightInd w:val="0"/>
        <w:spacing w:line="360" w:lineRule="auto"/>
        <w:ind w:firstLine="420"/>
        <w:contextualSpacing/>
        <w:rPr>
          <w:kern w:val="2"/>
          <w:sz w:val="21"/>
          <w:szCs w:val="21"/>
        </w:rPr>
      </w:pPr>
      <w:r>
        <w:rPr>
          <w:rFonts w:hint="eastAsia"/>
          <w:kern w:val="2"/>
          <w:sz w:val="21"/>
          <w:szCs w:val="21"/>
        </w:rPr>
        <w:t>堆</w:t>
      </w:r>
      <w:proofErr w:type="gramStart"/>
      <w:r>
        <w:rPr>
          <w:rFonts w:hint="eastAsia"/>
          <w:kern w:val="2"/>
          <w:sz w:val="21"/>
          <w:szCs w:val="21"/>
        </w:rPr>
        <w:t>贮完成</w:t>
      </w:r>
      <w:proofErr w:type="gramEnd"/>
      <w:r>
        <w:rPr>
          <w:rFonts w:hint="eastAsia"/>
          <w:kern w:val="2"/>
          <w:sz w:val="21"/>
          <w:szCs w:val="21"/>
        </w:rPr>
        <w:t>形状为堤坝型；窖贮时，原料宜高出窖口</w:t>
      </w:r>
      <w:r>
        <w:rPr>
          <w:rFonts w:hint="eastAsia"/>
          <w:kern w:val="2"/>
          <w:sz w:val="21"/>
          <w:szCs w:val="21"/>
        </w:rPr>
        <w:t>30 cm</w:t>
      </w:r>
      <w:r>
        <w:rPr>
          <w:rFonts w:hint="eastAsia"/>
          <w:kern w:val="2"/>
          <w:sz w:val="21"/>
          <w:szCs w:val="21"/>
        </w:rPr>
        <w:t>以上。</w:t>
      </w:r>
    </w:p>
    <w:p w14:paraId="7394F764" w14:textId="77777777" w:rsidR="00D468FB" w:rsidRPr="00346E9C" w:rsidRDefault="00000000" w:rsidP="00346E9C">
      <w:pPr>
        <w:pStyle w:val="a7"/>
        <w:spacing w:before="60"/>
        <w:jc w:val="left"/>
        <w:rPr>
          <w:rFonts w:ascii="黑体" w:hAnsi="黑体"/>
          <w:b w:val="0"/>
          <w:bCs w:val="0"/>
          <w:sz w:val="21"/>
          <w:szCs w:val="21"/>
        </w:rPr>
      </w:pPr>
      <w:bookmarkStart w:id="35" w:name="_Toc14600"/>
      <w:r w:rsidRPr="00346E9C">
        <w:rPr>
          <w:rFonts w:ascii="黑体" w:hAnsi="黑体" w:hint="eastAsia"/>
          <w:b w:val="0"/>
          <w:bCs w:val="0"/>
          <w:sz w:val="21"/>
          <w:szCs w:val="21"/>
        </w:rPr>
        <w:t>7.4 密封</w:t>
      </w:r>
      <w:bookmarkEnd w:id="35"/>
    </w:p>
    <w:p w14:paraId="586371BC" w14:textId="387A5148" w:rsidR="00D468FB" w:rsidRDefault="00000000">
      <w:pPr>
        <w:pStyle w:val="ab"/>
        <w:adjustRightInd w:val="0"/>
        <w:spacing w:line="360" w:lineRule="auto"/>
        <w:ind w:firstLine="420"/>
        <w:contextualSpacing/>
        <w:rPr>
          <w:kern w:val="2"/>
          <w:sz w:val="21"/>
          <w:szCs w:val="21"/>
        </w:rPr>
      </w:pPr>
      <w:r>
        <w:rPr>
          <w:rFonts w:hint="eastAsia"/>
          <w:kern w:val="2"/>
          <w:sz w:val="21"/>
          <w:szCs w:val="21"/>
        </w:rPr>
        <w:t>装填压实作业后立即密封。从原料装填至密封不超过</w:t>
      </w:r>
      <w:r>
        <w:rPr>
          <w:rFonts w:hint="eastAsia"/>
          <w:kern w:val="2"/>
          <w:sz w:val="21"/>
          <w:szCs w:val="21"/>
        </w:rPr>
        <w:t>3 d</w:t>
      </w:r>
      <w:r>
        <w:rPr>
          <w:rFonts w:hint="eastAsia"/>
          <w:kern w:val="2"/>
          <w:sz w:val="21"/>
          <w:szCs w:val="21"/>
        </w:rPr>
        <w:t>；分段密封作业时，每段密封时间不超过</w:t>
      </w:r>
      <w:r>
        <w:rPr>
          <w:rFonts w:hint="eastAsia"/>
          <w:kern w:val="2"/>
          <w:sz w:val="21"/>
          <w:szCs w:val="21"/>
        </w:rPr>
        <w:t>3 d</w:t>
      </w:r>
      <w:r>
        <w:rPr>
          <w:rFonts w:hint="eastAsia"/>
          <w:kern w:val="2"/>
          <w:sz w:val="21"/>
          <w:szCs w:val="21"/>
        </w:rPr>
        <w:t>。塑料薄膜外面放置镇压物，</w:t>
      </w:r>
      <w:r w:rsidR="00346E9C">
        <w:rPr>
          <w:rFonts w:hint="eastAsia"/>
          <w:kern w:val="2"/>
          <w:sz w:val="21"/>
          <w:szCs w:val="21"/>
        </w:rPr>
        <w:t>每平方米</w:t>
      </w:r>
      <w:r>
        <w:rPr>
          <w:rFonts w:hint="eastAsia"/>
          <w:kern w:val="2"/>
          <w:sz w:val="21"/>
          <w:szCs w:val="21"/>
        </w:rPr>
        <w:t>保证</w:t>
      </w:r>
      <w:r w:rsidR="00346E9C">
        <w:rPr>
          <w:rFonts w:hint="eastAsia"/>
          <w:kern w:val="2"/>
          <w:sz w:val="21"/>
          <w:szCs w:val="21"/>
        </w:rPr>
        <w:t>1</w:t>
      </w:r>
      <w:r>
        <w:rPr>
          <w:rFonts w:hint="eastAsia"/>
          <w:kern w:val="2"/>
          <w:sz w:val="21"/>
          <w:szCs w:val="21"/>
        </w:rPr>
        <w:t>片镇压物。塑料薄膜符合</w:t>
      </w:r>
      <w:r>
        <w:rPr>
          <w:rFonts w:hint="eastAsia"/>
          <w:kern w:val="2"/>
          <w:sz w:val="21"/>
          <w:szCs w:val="21"/>
        </w:rPr>
        <w:t>GB4455</w:t>
      </w:r>
      <w:r>
        <w:rPr>
          <w:rFonts w:hint="eastAsia"/>
          <w:kern w:val="2"/>
          <w:sz w:val="21"/>
          <w:szCs w:val="21"/>
        </w:rPr>
        <w:t>的规定。</w:t>
      </w:r>
    </w:p>
    <w:p w14:paraId="7680CD8A" w14:textId="77777777" w:rsidR="00D468FB" w:rsidRDefault="00000000" w:rsidP="00346E9C">
      <w:pPr>
        <w:pStyle w:val="a7"/>
        <w:spacing w:beforeLines="50" w:before="156" w:afterLines="50" w:after="156"/>
        <w:jc w:val="left"/>
        <w:rPr>
          <w:b w:val="0"/>
          <w:bCs w:val="0"/>
          <w:sz w:val="21"/>
          <w:szCs w:val="21"/>
        </w:rPr>
      </w:pPr>
      <w:bookmarkStart w:id="36" w:name="_Toc18772"/>
      <w:r>
        <w:rPr>
          <w:rFonts w:hint="eastAsia"/>
          <w:b w:val="0"/>
          <w:bCs w:val="0"/>
          <w:sz w:val="21"/>
          <w:szCs w:val="21"/>
        </w:rPr>
        <w:t xml:space="preserve">8 </w:t>
      </w:r>
      <w:r>
        <w:rPr>
          <w:rFonts w:hint="eastAsia"/>
          <w:b w:val="0"/>
          <w:bCs w:val="0"/>
          <w:sz w:val="21"/>
          <w:szCs w:val="21"/>
        </w:rPr>
        <w:t>裹包青贮</w:t>
      </w:r>
      <w:bookmarkEnd w:id="36"/>
    </w:p>
    <w:p w14:paraId="5861ED87" w14:textId="77777777" w:rsidR="00D468FB" w:rsidRDefault="00000000">
      <w:pPr>
        <w:pStyle w:val="ab"/>
        <w:adjustRightInd w:val="0"/>
        <w:spacing w:line="360" w:lineRule="auto"/>
        <w:ind w:firstLine="420"/>
        <w:contextualSpacing/>
        <w:rPr>
          <w:kern w:val="2"/>
          <w:sz w:val="21"/>
          <w:szCs w:val="21"/>
        </w:rPr>
      </w:pPr>
      <w:r>
        <w:rPr>
          <w:rFonts w:hint="eastAsia"/>
          <w:kern w:val="2"/>
          <w:sz w:val="21"/>
          <w:szCs w:val="21"/>
        </w:rPr>
        <w:t>裹包青贮时，打捆后迅速用</w:t>
      </w:r>
      <w:r>
        <w:rPr>
          <w:rFonts w:hint="eastAsia"/>
          <w:kern w:val="2"/>
          <w:sz w:val="21"/>
          <w:szCs w:val="21"/>
        </w:rPr>
        <w:t>6</w:t>
      </w:r>
      <w:r>
        <w:rPr>
          <w:rFonts w:hint="eastAsia"/>
          <w:kern w:val="2"/>
          <w:sz w:val="21"/>
          <w:szCs w:val="21"/>
        </w:rPr>
        <w:t>层以上的拉伸</w:t>
      </w:r>
      <w:proofErr w:type="gramStart"/>
      <w:r>
        <w:rPr>
          <w:rFonts w:hint="eastAsia"/>
          <w:kern w:val="2"/>
          <w:sz w:val="21"/>
          <w:szCs w:val="21"/>
        </w:rPr>
        <w:t>膜完成裹</w:t>
      </w:r>
      <w:proofErr w:type="gramEnd"/>
      <w:r>
        <w:rPr>
          <w:rFonts w:hint="eastAsia"/>
          <w:kern w:val="2"/>
          <w:sz w:val="21"/>
          <w:szCs w:val="21"/>
        </w:rPr>
        <w:t>包，塑料拉伸</w:t>
      </w:r>
      <w:proofErr w:type="gramStart"/>
      <w:r>
        <w:rPr>
          <w:rFonts w:hint="eastAsia"/>
          <w:kern w:val="2"/>
          <w:sz w:val="21"/>
          <w:szCs w:val="21"/>
        </w:rPr>
        <w:t>膜符合</w:t>
      </w:r>
      <w:proofErr w:type="gramEnd"/>
      <w:r>
        <w:rPr>
          <w:kern w:val="2"/>
          <w:sz w:val="21"/>
          <w:szCs w:val="21"/>
        </w:rPr>
        <w:t>GB/T1040.3</w:t>
      </w:r>
      <w:r>
        <w:rPr>
          <w:rFonts w:hint="eastAsia"/>
          <w:kern w:val="2"/>
          <w:sz w:val="21"/>
          <w:szCs w:val="21"/>
        </w:rPr>
        <w:t>的规定。</w:t>
      </w:r>
    </w:p>
    <w:p w14:paraId="0C99F489" w14:textId="77777777" w:rsidR="00D468FB" w:rsidRDefault="00000000" w:rsidP="00346E9C">
      <w:pPr>
        <w:pStyle w:val="a7"/>
        <w:spacing w:beforeLines="50" w:before="156" w:afterLines="50" w:after="156"/>
        <w:jc w:val="left"/>
        <w:rPr>
          <w:b w:val="0"/>
          <w:bCs w:val="0"/>
          <w:sz w:val="21"/>
          <w:szCs w:val="21"/>
        </w:rPr>
      </w:pPr>
      <w:bookmarkStart w:id="37" w:name="_Toc16195"/>
      <w:r>
        <w:rPr>
          <w:rFonts w:hint="eastAsia"/>
          <w:b w:val="0"/>
          <w:bCs w:val="0"/>
          <w:sz w:val="21"/>
          <w:szCs w:val="21"/>
        </w:rPr>
        <w:t xml:space="preserve">9 </w:t>
      </w:r>
      <w:r>
        <w:rPr>
          <w:rFonts w:hint="eastAsia"/>
          <w:b w:val="0"/>
          <w:bCs w:val="0"/>
          <w:sz w:val="21"/>
          <w:szCs w:val="21"/>
        </w:rPr>
        <w:t>贮后管理</w:t>
      </w:r>
      <w:bookmarkEnd w:id="37"/>
    </w:p>
    <w:p w14:paraId="63AD88F5" w14:textId="77777777" w:rsidR="00D468FB" w:rsidRPr="00346E9C" w:rsidRDefault="00000000" w:rsidP="00346E9C">
      <w:pPr>
        <w:pStyle w:val="a7"/>
        <w:spacing w:before="60"/>
        <w:jc w:val="left"/>
        <w:rPr>
          <w:rFonts w:ascii="黑体" w:hAnsi="黑体"/>
          <w:b w:val="0"/>
          <w:bCs w:val="0"/>
          <w:sz w:val="21"/>
          <w:szCs w:val="21"/>
        </w:rPr>
      </w:pPr>
      <w:bookmarkStart w:id="38" w:name="_Toc27949"/>
      <w:r w:rsidRPr="00346E9C">
        <w:rPr>
          <w:rFonts w:ascii="黑体" w:hAnsi="黑体" w:hint="eastAsia"/>
          <w:b w:val="0"/>
          <w:bCs w:val="0"/>
          <w:sz w:val="21"/>
          <w:szCs w:val="21"/>
        </w:rPr>
        <w:t>9.1 存放地点</w:t>
      </w:r>
      <w:bookmarkEnd w:id="38"/>
    </w:p>
    <w:p w14:paraId="14D129ED" w14:textId="77777777" w:rsidR="00D468FB" w:rsidRDefault="00000000">
      <w:pPr>
        <w:pStyle w:val="ab"/>
        <w:adjustRightInd w:val="0"/>
        <w:spacing w:line="360" w:lineRule="auto"/>
        <w:ind w:firstLine="420"/>
        <w:contextualSpacing/>
        <w:rPr>
          <w:kern w:val="2"/>
          <w:sz w:val="21"/>
          <w:szCs w:val="21"/>
        </w:rPr>
      </w:pPr>
      <w:r>
        <w:rPr>
          <w:rFonts w:hint="eastAsia"/>
          <w:kern w:val="2"/>
          <w:sz w:val="21"/>
          <w:szCs w:val="21"/>
        </w:rPr>
        <w:t>裹包青贮存放在地面平整、排水良好、没有杂物和其他尖利物的地方，经常检查裹包膜，如有破碎及时修补。</w:t>
      </w:r>
    </w:p>
    <w:p w14:paraId="7295009C" w14:textId="77777777" w:rsidR="00D468FB" w:rsidRPr="00346E9C" w:rsidRDefault="00000000" w:rsidP="00346E9C">
      <w:pPr>
        <w:pStyle w:val="a7"/>
        <w:spacing w:before="60"/>
        <w:jc w:val="left"/>
        <w:rPr>
          <w:rFonts w:ascii="黑体" w:hAnsi="黑体"/>
          <w:b w:val="0"/>
          <w:bCs w:val="0"/>
          <w:sz w:val="21"/>
          <w:szCs w:val="21"/>
        </w:rPr>
      </w:pPr>
      <w:bookmarkStart w:id="39" w:name="_Toc26558"/>
      <w:r w:rsidRPr="00346E9C">
        <w:rPr>
          <w:rFonts w:ascii="黑体" w:hAnsi="黑体" w:hint="eastAsia"/>
          <w:b w:val="0"/>
          <w:bCs w:val="0"/>
          <w:sz w:val="21"/>
          <w:szCs w:val="21"/>
        </w:rPr>
        <w:t>9.2 定期检查</w:t>
      </w:r>
      <w:bookmarkEnd w:id="39"/>
    </w:p>
    <w:p w14:paraId="2B78C973" w14:textId="77777777" w:rsidR="00D468FB" w:rsidRDefault="00000000" w:rsidP="00346E9C">
      <w:pPr>
        <w:pStyle w:val="ab"/>
        <w:spacing w:line="360" w:lineRule="auto"/>
        <w:ind w:firstLine="420"/>
      </w:pPr>
      <w:r>
        <w:rPr>
          <w:rFonts w:hint="eastAsia"/>
          <w:kern w:val="2"/>
          <w:sz w:val="21"/>
          <w:szCs w:val="21"/>
        </w:rPr>
        <w:t>堆贮、</w:t>
      </w:r>
      <w:proofErr w:type="gramStart"/>
      <w:r>
        <w:rPr>
          <w:rFonts w:hint="eastAsia"/>
          <w:kern w:val="2"/>
          <w:sz w:val="21"/>
          <w:szCs w:val="21"/>
        </w:rPr>
        <w:t>窖贮应经常</w:t>
      </w:r>
      <w:proofErr w:type="gramEnd"/>
      <w:r>
        <w:rPr>
          <w:rFonts w:hint="eastAsia"/>
          <w:kern w:val="2"/>
          <w:sz w:val="21"/>
          <w:szCs w:val="21"/>
        </w:rPr>
        <w:t>检查塑料薄膜的密封性，及时补漏；顶部出现积水及时清理，防鼠防鸟。</w:t>
      </w:r>
    </w:p>
    <w:p w14:paraId="466A32B8" w14:textId="77777777" w:rsidR="00D468FB" w:rsidRPr="00346E9C" w:rsidRDefault="00000000" w:rsidP="00346E9C">
      <w:pPr>
        <w:pStyle w:val="a7"/>
        <w:spacing w:before="60"/>
        <w:jc w:val="left"/>
        <w:rPr>
          <w:rFonts w:ascii="黑体" w:hAnsi="黑体"/>
          <w:b w:val="0"/>
          <w:bCs w:val="0"/>
          <w:sz w:val="21"/>
          <w:szCs w:val="21"/>
        </w:rPr>
      </w:pPr>
      <w:bookmarkStart w:id="40" w:name="_Toc4305"/>
      <w:r w:rsidRPr="00346E9C">
        <w:rPr>
          <w:rFonts w:ascii="黑体" w:hAnsi="黑体" w:hint="eastAsia"/>
          <w:b w:val="0"/>
          <w:bCs w:val="0"/>
          <w:sz w:val="21"/>
          <w:szCs w:val="21"/>
        </w:rPr>
        <w:t>9.3 取用</w:t>
      </w:r>
      <w:bookmarkEnd w:id="40"/>
    </w:p>
    <w:p w14:paraId="089F2FA6" w14:textId="77777777" w:rsidR="00D468FB" w:rsidRDefault="00000000">
      <w:pPr>
        <w:pStyle w:val="ab"/>
        <w:adjustRightInd w:val="0"/>
        <w:spacing w:line="360" w:lineRule="auto"/>
        <w:ind w:firstLine="420"/>
        <w:contextualSpacing/>
        <w:rPr>
          <w:kern w:val="2"/>
          <w:sz w:val="21"/>
          <w:szCs w:val="21"/>
        </w:rPr>
      </w:pPr>
      <w:r>
        <w:rPr>
          <w:rFonts w:hint="eastAsia"/>
          <w:kern w:val="2"/>
          <w:sz w:val="21"/>
          <w:szCs w:val="21"/>
        </w:rPr>
        <w:t>田菁在堆贮、窖贮、裹包青贮密封发酵</w:t>
      </w:r>
      <w:r>
        <w:rPr>
          <w:rFonts w:hint="eastAsia"/>
          <w:kern w:val="2"/>
          <w:sz w:val="21"/>
          <w:szCs w:val="21"/>
        </w:rPr>
        <w:t>5</w:t>
      </w:r>
      <w:r>
        <w:rPr>
          <w:rFonts w:hint="eastAsia"/>
          <w:kern w:val="2"/>
          <w:sz w:val="21"/>
          <w:szCs w:val="21"/>
        </w:rPr>
        <w:t>周以上后可随时取用。取用时感官要求如下：颜色上无褐色或黑褐色，气味上无霉烂味或腐败味，结构上无腐烂、发粘、结块或呈污泥状。</w:t>
      </w:r>
    </w:p>
    <w:bookmarkEnd w:id="17"/>
    <w:p w14:paraId="3F829F0C" w14:textId="77777777" w:rsidR="00D468FB" w:rsidRDefault="00000000">
      <w:pPr>
        <w:spacing w:line="360" w:lineRule="auto"/>
        <w:ind w:firstLineChars="900" w:firstLine="1890"/>
        <w:jc w:val="left"/>
        <w:rPr>
          <w:u w:val="single"/>
        </w:rPr>
      </w:pPr>
      <w:r>
        <w:rPr>
          <w:rFonts w:hint="eastAsia"/>
          <w:u w:val="single"/>
        </w:rPr>
        <w:t xml:space="preserve">                                    </w:t>
      </w:r>
    </w:p>
    <w:sectPr w:rsidR="00D468FB">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4599" w14:textId="77777777" w:rsidR="00155022" w:rsidRDefault="00155022">
      <w:r>
        <w:separator/>
      </w:r>
    </w:p>
  </w:endnote>
  <w:endnote w:type="continuationSeparator" w:id="0">
    <w:p w14:paraId="660971DA" w14:textId="77777777" w:rsidR="00155022" w:rsidRDefault="0015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BDDE" w14:textId="77777777" w:rsidR="00D468FB" w:rsidRDefault="00000000">
    <w:pPr>
      <w:pStyle w:val="a3"/>
      <w:jc w:val="right"/>
      <w:rPr>
        <w:rFonts w:hint="eastAsia"/>
      </w:rPr>
    </w:pPr>
    <w:r>
      <w:fldChar w:fldCharType="begin"/>
    </w:r>
    <w:r>
      <w:instrText>PAGE   \* MERGEFORMAT</w:instrText>
    </w:r>
    <w:r>
      <w:fldChar w:fldCharType="separate"/>
    </w:r>
    <w:r>
      <w:rPr>
        <w:lang w:val="zh-CN"/>
      </w:rPr>
      <w:t>2</w:t>
    </w:r>
    <w:r>
      <w:fldChar w:fldCharType="end"/>
    </w:r>
  </w:p>
  <w:p w14:paraId="2B67D9C6" w14:textId="77777777" w:rsidR="00D468FB" w:rsidRDefault="00D468FB">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BCCA" w14:textId="77777777" w:rsidR="00D468FB" w:rsidRDefault="00000000">
    <w:pPr>
      <w:pStyle w:val="a3"/>
      <w:jc w:val="right"/>
      <w:rPr>
        <w:rFonts w:hint="eastAsia"/>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14:paraId="185D34E7" w14:textId="77777777" w:rsidR="00D468FB" w:rsidRDefault="00D468FB">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64B13" w14:textId="77777777" w:rsidR="00155022" w:rsidRDefault="00155022">
      <w:r>
        <w:separator/>
      </w:r>
    </w:p>
  </w:footnote>
  <w:footnote w:type="continuationSeparator" w:id="0">
    <w:p w14:paraId="35C66E0E" w14:textId="77777777" w:rsidR="00155022" w:rsidRDefault="0015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6456" w14:textId="5B40ABE7" w:rsidR="00D468FB" w:rsidRDefault="00346E9C">
    <w:pPr>
      <w:spacing w:before="18" w:line="177" w:lineRule="auto"/>
      <w:ind w:right="9"/>
      <w:jc w:val="right"/>
      <w:rPr>
        <w:rFonts w:ascii="黑体" w:eastAsia="黑体" w:hAnsi="黑体" w:cs="黑体" w:hint="eastAsia"/>
        <w:b/>
        <w:bCs/>
        <w:spacing w:val="-2"/>
      </w:rPr>
    </w:pPr>
    <w:r>
      <w:rPr>
        <w:rFonts w:ascii="黑体" w:eastAsia="黑体" w:hAnsi="黑体" w:cs="黑体" w:hint="eastAsia"/>
        <w:b/>
        <w:bCs/>
        <w:spacing w:val="-2"/>
      </w:rPr>
      <w:t>T/</w:t>
    </w:r>
    <w:r w:rsidR="00000000">
      <w:rPr>
        <w:rFonts w:ascii="黑体" w:eastAsia="黑体" w:hAnsi="黑体" w:cs="黑体"/>
        <w:b/>
        <w:bCs/>
        <w:spacing w:val="-2"/>
      </w:rPr>
      <w:t>HXCY</w:t>
    </w:r>
    <w:r w:rsidR="00000000">
      <w:rPr>
        <w:rFonts w:ascii="黑体" w:eastAsia="黑体" w:hAnsi="黑体" w:cs="黑体"/>
        <w:spacing w:val="-2"/>
      </w:rPr>
      <w:t xml:space="preserve"> </w:t>
    </w:r>
    <w:r w:rsidR="00000000">
      <w:rPr>
        <w:rFonts w:ascii="黑体" w:eastAsia="黑体" w:hAnsi="黑体" w:cs="黑体" w:hint="eastAsia"/>
        <w:b/>
        <w:bCs/>
        <w:spacing w:val="-2"/>
      </w:rPr>
      <w:t>XX</w:t>
    </w:r>
    <w:r w:rsidR="00000000">
      <w:rPr>
        <w:rFonts w:eastAsia="Times New Roman"/>
        <w:b/>
        <w:bCs/>
        <w:spacing w:val="-2"/>
      </w:rPr>
      <w:t>—</w:t>
    </w:r>
    <w:r w:rsidR="00000000">
      <w:rPr>
        <w:rFonts w:ascii="黑体" w:eastAsia="黑体" w:hAnsi="黑体" w:cs="黑体"/>
        <w:b/>
        <w:bCs/>
        <w:spacing w:val="-2"/>
      </w:rPr>
      <w:t>202</w:t>
    </w:r>
    <w:r w:rsidR="004C4531">
      <w:rPr>
        <w:rFonts w:ascii="黑体" w:eastAsia="黑体" w:hAnsi="黑体" w:cs="黑体" w:hint="eastAsia"/>
        <w:b/>
        <w:bCs/>
        <w:spacing w:val="-2"/>
      </w:rPr>
      <w:t>5</w:t>
    </w:r>
  </w:p>
  <w:p w14:paraId="583A791B" w14:textId="77777777" w:rsidR="004C4531" w:rsidRDefault="004C4531">
    <w:pPr>
      <w:spacing w:before="18" w:line="177" w:lineRule="auto"/>
      <w:ind w:right="9"/>
      <w:jc w:val="right"/>
      <w:rPr>
        <w:rFonts w:ascii="黑体" w:eastAsia="黑体" w:hAnsi="黑体" w:cs="黑体"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NkMzVhNTA1NWMzZDc0MDk3Nzc1ODUzODEwMDUwODEifQ=="/>
  </w:docVars>
  <w:rsids>
    <w:rsidRoot w:val="000E21A2"/>
    <w:rsid w:val="000B507C"/>
    <w:rsid w:val="000C0178"/>
    <w:rsid w:val="000D0210"/>
    <w:rsid w:val="000E21A2"/>
    <w:rsid w:val="00155022"/>
    <w:rsid w:val="001760B7"/>
    <w:rsid w:val="001A678E"/>
    <w:rsid w:val="00221E78"/>
    <w:rsid w:val="00235211"/>
    <w:rsid w:val="00240CC7"/>
    <w:rsid w:val="0026591D"/>
    <w:rsid w:val="002B1B5F"/>
    <w:rsid w:val="002C20A3"/>
    <w:rsid w:val="002F7826"/>
    <w:rsid w:val="00346E9C"/>
    <w:rsid w:val="0036166E"/>
    <w:rsid w:val="003B591D"/>
    <w:rsid w:val="0048222D"/>
    <w:rsid w:val="004A1BCC"/>
    <w:rsid w:val="004C4531"/>
    <w:rsid w:val="005D71B4"/>
    <w:rsid w:val="00642F4D"/>
    <w:rsid w:val="006603BF"/>
    <w:rsid w:val="006C6DB6"/>
    <w:rsid w:val="007016E5"/>
    <w:rsid w:val="0072339B"/>
    <w:rsid w:val="00766462"/>
    <w:rsid w:val="00767404"/>
    <w:rsid w:val="00796CFC"/>
    <w:rsid w:val="007B60E4"/>
    <w:rsid w:val="00800B21"/>
    <w:rsid w:val="0089788F"/>
    <w:rsid w:val="008A1E2C"/>
    <w:rsid w:val="008C06AD"/>
    <w:rsid w:val="0098674A"/>
    <w:rsid w:val="00A20224"/>
    <w:rsid w:val="00A3136A"/>
    <w:rsid w:val="00A46C32"/>
    <w:rsid w:val="00A8031A"/>
    <w:rsid w:val="00AE1D8B"/>
    <w:rsid w:val="00B260D1"/>
    <w:rsid w:val="00BB44E5"/>
    <w:rsid w:val="00BE4D1A"/>
    <w:rsid w:val="00C94D66"/>
    <w:rsid w:val="00D05E45"/>
    <w:rsid w:val="00D13638"/>
    <w:rsid w:val="00D468FB"/>
    <w:rsid w:val="00DC7CC1"/>
    <w:rsid w:val="00DE1F5B"/>
    <w:rsid w:val="00E0543C"/>
    <w:rsid w:val="00E16386"/>
    <w:rsid w:val="00E86C0A"/>
    <w:rsid w:val="00EF65D7"/>
    <w:rsid w:val="00F32177"/>
    <w:rsid w:val="00FD7B68"/>
    <w:rsid w:val="09C3065B"/>
    <w:rsid w:val="1A622A70"/>
    <w:rsid w:val="1A745A40"/>
    <w:rsid w:val="1FDF1016"/>
    <w:rsid w:val="21D87D59"/>
    <w:rsid w:val="23FE79FB"/>
    <w:rsid w:val="310F1BF7"/>
    <w:rsid w:val="34F07BA1"/>
    <w:rsid w:val="36D44B3E"/>
    <w:rsid w:val="39A05497"/>
    <w:rsid w:val="3A0045B7"/>
    <w:rsid w:val="53C26B6E"/>
    <w:rsid w:val="5A074538"/>
    <w:rsid w:val="7DDB7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3CF63"/>
  <w15:docId w15:val="{859006B1-106B-4644-B99D-BA2E5362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等线" w:eastAsia="等线" w:hAnsi="等线"/>
      <w:sz w:val="18"/>
      <w:szCs w:val="18"/>
    </w:rPr>
  </w:style>
  <w:style w:type="paragraph" w:styleId="a5">
    <w:name w:val="header"/>
    <w:basedOn w:val="a"/>
    <w:link w:val="a6"/>
    <w:uiPriority w:val="99"/>
    <w:unhideWhenUsed/>
    <w:qFormat/>
    <w:pPr>
      <w:tabs>
        <w:tab w:val="center" w:pos="4153"/>
        <w:tab w:val="right" w:pos="8306"/>
      </w:tabs>
      <w:snapToGrid w:val="0"/>
      <w:jc w:val="center"/>
    </w:pPr>
    <w:rPr>
      <w:rFonts w:ascii="等线" w:eastAsia="等线" w:hAnsi="等线"/>
      <w:sz w:val="18"/>
      <w:szCs w:val="18"/>
    </w:rPr>
  </w:style>
  <w:style w:type="paragraph" w:styleId="TOC1">
    <w:name w:val="toc 1"/>
    <w:basedOn w:val="a"/>
    <w:next w:val="a"/>
    <w:uiPriority w:val="39"/>
    <w:unhideWhenUsed/>
    <w:qFormat/>
  </w:style>
  <w:style w:type="paragraph" w:styleId="a7">
    <w:name w:val="Title"/>
    <w:basedOn w:val="a"/>
    <w:next w:val="a"/>
    <w:link w:val="a8"/>
    <w:uiPriority w:val="10"/>
    <w:qFormat/>
    <w:pPr>
      <w:spacing w:before="240" w:after="60"/>
      <w:jc w:val="center"/>
      <w:outlineLvl w:val="0"/>
    </w:pPr>
    <w:rPr>
      <w:rFonts w:eastAsia="黑体"/>
      <w:b/>
      <w:bCs/>
      <w:sz w:val="32"/>
      <w:szCs w:val="32"/>
    </w:rPr>
  </w:style>
  <w:style w:type="character" w:styleId="a9">
    <w:name w:val="Hyperlink"/>
    <w:uiPriority w:val="99"/>
    <w:unhideWhenUsed/>
    <w:qFormat/>
    <w:rPr>
      <w:color w:val="467886"/>
      <w:u w:val="single"/>
    </w:rPr>
  </w:style>
  <w:style w:type="character" w:customStyle="1" w:styleId="10">
    <w:name w:val="标题 1 字符"/>
    <w:link w:val="1"/>
    <w:uiPriority w:val="9"/>
    <w:rPr>
      <w:rFonts w:ascii="Times New Roman" w:eastAsia="黑体" w:hAnsi="Times New Roman" w:cs="Times New Roman"/>
      <w:b/>
      <w:bCs/>
      <w:kern w:val="44"/>
      <w:sz w:val="32"/>
      <w:szCs w:val="44"/>
    </w:rPr>
  </w:style>
  <w:style w:type="character" w:customStyle="1" w:styleId="a4">
    <w:name w:val="页脚 字符"/>
    <w:link w:val="a3"/>
    <w:uiPriority w:val="99"/>
    <w:qFormat/>
    <w:rPr>
      <w:sz w:val="18"/>
      <w:szCs w:val="18"/>
    </w:rPr>
  </w:style>
  <w:style w:type="character" w:customStyle="1" w:styleId="a6">
    <w:name w:val="页眉 字符"/>
    <w:link w:val="a5"/>
    <w:uiPriority w:val="99"/>
    <w:rPr>
      <w:sz w:val="18"/>
      <w:szCs w:val="18"/>
    </w:rPr>
  </w:style>
  <w:style w:type="character" w:customStyle="1" w:styleId="a8">
    <w:name w:val="标题 字符"/>
    <w:link w:val="a7"/>
    <w:uiPriority w:val="10"/>
    <w:qFormat/>
    <w:rPr>
      <w:rFonts w:ascii="Times New Roman" w:eastAsia="黑体" w:hAnsi="Times New Roman" w:cs="Times New Roman"/>
      <w:b/>
      <w:bCs/>
      <w:sz w:val="32"/>
      <w:szCs w:val="32"/>
    </w:rPr>
  </w:style>
  <w:style w:type="paragraph" w:customStyle="1" w:styleId="11">
    <w:name w:val="样式1"/>
    <w:basedOn w:val="1"/>
    <w:link w:val="12"/>
    <w:qFormat/>
  </w:style>
  <w:style w:type="character" w:customStyle="1" w:styleId="12">
    <w:name w:val="样式1 字符"/>
    <w:link w:val="11"/>
    <w:rPr>
      <w:rFonts w:ascii="Times New Roman" w:eastAsia="黑体" w:hAnsi="Times New Roman" w:cs="Times New Roman"/>
      <w:b/>
      <w:bCs/>
      <w:kern w:val="44"/>
      <w:sz w:val="32"/>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0F4761"/>
      <w:kern w:val="0"/>
      <w:szCs w:val="32"/>
    </w:rPr>
  </w:style>
  <w:style w:type="paragraph" w:customStyle="1" w:styleId="13">
    <w:name w:val="修订1"/>
    <w:hidden/>
    <w:uiPriority w:val="99"/>
    <w:unhideWhenUsed/>
    <w:qFormat/>
    <w:rPr>
      <w:kern w:val="2"/>
      <w:sz w:val="21"/>
      <w:szCs w:val="21"/>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paragraph" w:customStyle="1" w:styleId="Bodytext1">
    <w:name w:val="Body text|1"/>
    <w:basedOn w:val="a"/>
    <w:qFormat/>
    <w:pPr>
      <w:spacing w:after="310" w:line="326" w:lineRule="auto"/>
      <w:ind w:firstLine="400"/>
    </w:pPr>
    <w:rPr>
      <w:rFonts w:ascii="宋体" w:hAnsi="宋体" w:cs="宋体"/>
      <w:sz w:val="40"/>
      <w:szCs w:val="40"/>
      <w:lang w:val="zh-TW" w:eastAsia="zh-TW" w:bidi="zh-TW"/>
    </w:rPr>
  </w:style>
  <w:style w:type="paragraph" w:customStyle="1" w:styleId="Bodytext2">
    <w:name w:val="Body text|2"/>
    <w:basedOn w:val="a"/>
    <w:qFormat/>
    <w:pPr>
      <w:spacing w:after="200" w:line="620" w:lineRule="exact"/>
    </w:pPr>
    <w:rPr>
      <w:rFonts w:ascii="Calibri" w:hAnsi="Calibri"/>
      <w:sz w:val="42"/>
      <w:szCs w:val="42"/>
    </w:rPr>
  </w:style>
  <w:style w:type="paragraph" w:customStyle="1" w:styleId="aa">
    <w:name w:val="标准文件_段"/>
    <w:link w:val="Char"/>
    <w:autoRedefine/>
    <w:qFormat/>
    <w:pPr>
      <w:autoSpaceDE w:val="0"/>
      <w:autoSpaceDN w:val="0"/>
      <w:ind w:firstLineChars="200" w:firstLine="200"/>
      <w:jc w:val="both"/>
    </w:pPr>
    <w:rPr>
      <w:rFonts w:ascii="宋体"/>
      <w:sz w:val="21"/>
    </w:rPr>
  </w:style>
  <w:style w:type="paragraph" w:customStyle="1" w:styleId="ab">
    <w:name w:val="段"/>
    <w:link w:val="Char0"/>
    <w:autoRedefine/>
    <w:qFormat/>
    <w:pPr>
      <w:tabs>
        <w:tab w:val="center" w:pos="4201"/>
        <w:tab w:val="right" w:leader="dot" w:pos="9298"/>
      </w:tabs>
      <w:autoSpaceDE w:val="0"/>
      <w:autoSpaceDN w:val="0"/>
      <w:ind w:firstLineChars="200" w:firstLine="560"/>
      <w:jc w:val="both"/>
    </w:pPr>
    <w:rPr>
      <w:sz w:val="28"/>
      <w:szCs w:val="28"/>
    </w:rPr>
  </w:style>
  <w:style w:type="character" w:customStyle="1" w:styleId="Char0">
    <w:name w:val="段 Char"/>
    <w:link w:val="ab"/>
    <w:autoRedefine/>
    <w:qFormat/>
    <w:rPr>
      <w:sz w:val="28"/>
      <w:szCs w:val="28"/>
    </w:rPr>
  </w:style>
  <w:style w:type="paragraph" w:customStyle="1" w:styleId="ac">
    <w:name w:val="一级条标题"/>
    <w:next w:val="ab"/>
    <w:autoRedefine/>
    <w:qFormat/>
    <w:pPr>
      <w:ind w:firstLineChars="200" w:firstLine="560"/>
    </w:pPr>
    <w:rPr>
      <w:sz w:val="28"/>
      <w:szCs w:val="28"/>
    </w:rPr>
  </w:style>
  <w:style w:type="paragraph" w:customStyle="1" w:styleId="ad">
    <w:name w:val="标准文件_三级无标题"/>
    <w:basedOn w:val="a"/>
    <w:autoRedefine/>
    <w:qFormat/>
    <w:pPr>
      <w:widowControl/>
      <w:ind w:firstLineChars="200" w:firstLine="560"/>
    </w:pPr>
    <w:rPr>
      <w:kern w:val="0"/>
      <w:sz w:val="28"/>
      <w:szCs w:val="28"/>
    </w:rPr>
  </w:style>
  <w:style w:type="paragraph" w:customStyle="1" w:styleId="ae">
    <w:name w:val="二级条标题"/>
    <w:basedOn w:val="ac"/>
    <w:next w:val="ab"/>
    <w:autoRedefine/>
    <w:qFormat/>
    <w:pPr>
      <w:spacing w:beforeLines="50" w:before="50" w:afterLines="50" w:after="50"/>
      <w:outlineLvl w:val="3"/>
    </w:pPr>
    <w:rPr>
      <w:rFonts w:ascii="黑体" w:eastAsia="黑体"/>
      <w:sz w:val="21"/>
      <w:szCs w:val="21"/>
    </w:rPr>
  </w:style>
  <w:style w:type="paragraph" w:customStyle="1" w:styleId="af">
    <w:name w:val="标准文件_标准正文"/>
    <w:basedOn w:val="a"/>
    <w:next w:val="aa"/>
    <w:autoRedefine/>
    <w:qFormat/>
    <w:pPr>
      <w:adjustRightInd w:val="0"/>
      <w:snapToGrid w:val="0"/>
      <w:spacing w:line="400" w:lineRule="exact"/>
      <w:ind w:firstLineChars="200" w:firstLine="200"/>
    </w:pPr>
    <w:rPr>
      <w:rFonts w:ascii="Calibri" w:hAnsi="Calibri"/>
      <w:kern w:val="0"/>
    </w:rPr>
  </w:style>
  <w:style w:type="paragraph" w:customStyle="1" w:styleId="af0">
    <w:name w:val="标准文件_正文公式"/>
    <w:basedOn w:val="a"/>
    <w:next w:val="af"/>
    <w:autoRedefine/>
    <w:qFormat/>
    <w:pPr>
      <w:tabs>
        <w:tab w:val="center" w:pos="4678"/>
        <w:tab w:val="right" w:leader="middleDot" w:pos="9356"/>
      </w:tabs>
      <w:adjustRightInd w:val="0"/>
    </w:pPr>
    <w:rPr>
      <w:rFonts w:ascii="宋体" w:hAnsi="宋体"/>
    </w:rPr>
  </w:style>
  <w:style w:type="character" w:customStyle="1" w:styleId="Char">
    <w:name w:val="标准文件_段 Char"/>
    <w:link w:val="aa"/>
    <w:autoRedefine/>
    <w:qFormat/>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29A00-F121-4738-94B1-01EB095A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jiamin zhang</dc:creator>
  <cp:lastModifiedBy>ThinkPad</cp:lastModifiedBy>
  <cp:revision>7</cp:revision>
  <dcterms:created xsi:type="dcterms:W3CDTF">2024-09-06T12:59:00Z</dcterms:created>
  <dcterms:modified xsi:type="dcterms:W3CDTF">2025-03-04T07:32:00Z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DD3F8EF268FD47A2A1F3D7F9DBFE93EB_13</vt:lpwstr>
  </property>
  <property fmtid="{D5CDD505-2E9C-101B-9397-08002B2CF9AE}" pid="4" name="KSOTemplateDocerSaveRecord">
    <vt:lpwstr>eyJoZGlkIjoiMDA3NDA3YTVkNDViM2I4YzA4NzI1OTg3NmQwMzY2MmQiLCJ1c2VySWQiOiIzMzgwNTMwMDcifQ==</vt:lpwstr>
  </property>
</Properties>
</file>