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8810" w14:textId="77777777" w:rsidR="00CC1987" w:rsidRDefault="00CC1987">
      <w:pPr>
        <w:spacing w:line="360" w:lineRule="auto"/>
        <w:jc w:val="center"/>
        <w:rPr>
          <w:bCs/>
          <w:color w:val="C00000"/>
          <w:sz w:val="36"/>
          <w:szCs w:val="36"/>
        </w:rPr>
      </w:pPr>
      <w:bookmarkStart w:id="0" w:name="_Hlk528261495"/>
    </w:p>
    <w:p w14:paraId="23F1C134" w14:textId="77777777" w:rsidR="00CC1987" w:rsidRDefault="00CC1987">
      <w:pPr>
        <w:spacing w:line="360" w:lineRule="auto"/>
        <w:jc w:val="center"/>
        <w:rPr>
          <w:bCs/>
          <w:color w:val="C00000"/>
          <w:sz w:val="36"/>
          <w:szCs w:val="36"/>
        </w:rPr>
      </w:pPr>
    </w:p>
    <w:p w14:paraId="0C8DB73E" w14:textId="77777777" w:rsidR="00CC1987" w:rsidRDefault="00CC1987">
      <w:pPr>
        <w:spacing w:line="360" w:lineRule="auto"/>
        <w:jc w:val="center"/>
        <w:rPr>
          <w:bCs/>
          <w:color w:val="C00000"/>
          <w:sz w:val="48"/>
          <w:szCs w:val="48"/>
        </w:rPr>
      </w:pPr>
    </w:p>
    <w:p w14:paraId="33BB86B6" w14:textId="77777777" w:rsidR="00CC1987" w:rsidRDefault="00CC1987">
      <w:pPr>
        <w:spacing w:line="360" w:lineRule="auto"/>
        <w:jc w:val="center"/>
        <w:rPr>
          <w:bCs/>
          <w:color w:val="C00000"/>
          <w:sz w:val="48"/>
          <w:szCs w:val="48"/>
        </w:rPr>
      </w:pPr>
    </w:p>
    <w:p w14:paraId="3C2BCF01" w14:textId="77777777" w:rsidR="00CC1987" w:rsidRDefault="00000000">
      <w:pPr>
        <w:jc w:val="center"/>
        <w:rPr>
          <w:sz w:val="52"/>
          <w:szCs w:val="52"/>
        </w:rPr>
      </w:pPr>
      <w:r>
        <w:rPr>
          <w:sz w:val="52"/>
          <w:szCs w:val="52"/>
        </w:rPr>
        <w:t>团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体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标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准</w:t>
      </w:r>
    </w:p>
    <w:p w14:paraId="77B13FDD" w14:textId="77777777" w:rsidR="00CC1987" w:rsidRDefault="00CC1987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65EBEDB4" w14:textId="77777777" w:rsidR="00CC1987" w:rsidRDefault="0000000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《饲用辣木栽培技术规程》</w:t>
      </w:r>
    </w:p>
    <w:p w14:paraId="270B0C4D" w14:textId="77777777" w:rsidR="00CC1987" w:rsidRDefault="00000000">
      <w:pPr>
        <w:spacing w:beforeLines="100" w:before="312" w:afterLines="100" w:after="312" w:line="480" w:lineRule="auto"/>
        <w:ind w:left="-67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编制说明</w:t>
      </w:r>
    </w:p>
    <w:p w14:paraId="6DE3ADC0" w14:textId="77777777" w:rsidR="00CC1987" w:rsidRDefault="00CC1987">
      <w:pPr>
        <w:spacing w:line="360" w:lineRule="auto"/>
        <w:jc w:val="center"/>
        <w:rPr>
          <w:bCs/>
          <w:sz w:val="36"/>
          <w:szCs w:val="36"/>
        </w:rPr>
      </w:pPr>
    </w:p>
    <w:p w14:paraId="528D9F67" w14:textId="77777777" w:rsidR="00CC1987" w:rsidRDefault="00CC1987">
      <w:pPr>
        <w:spacing w:line="360" w:lineRule="auto"/>
        <w:jc w:val="center"/>
        <w:rPr>
          <w:bCs/>
          <w:sz w:val="36"/>
          <w:szCs w:val="36"/>
        </w:rPr>
      </w:pPr>
    </w:p>
    <w:p w14:paraId="1E29079D" w14:textId="77777777" w:rsidR="00CC1987" w:rsidRDefault="00CC1987">
      <w:pPr>
        <w:spacing w:line="360" w:lineRule="auto"/>
        <w:jc w:val="center"/>
        <w:rPr>
          <w:bCs/>
          <w:sz w:val="36"/>
          <w:szCs w:val="36"/>
        </w:rPr>
      </w:pPr>
    </w:p>
    <w:p w14:paraId="2715D9AB" w14:textId="77777777" w:rsidR="00CC1987" w:rsidRDefault="00CC1987">
      <w:pPr>
        <w:spacing w:line="360" w:lineRule="auto"/>
        <w:jc w:val="center"/>
        <w:rPr>
          <w:bCs/>
          <w:sz w:val="36"/>
          <w:szCs w:val="36"/>
        </w:rPr>
      </w:pPr>
    </w:p>
    <w:p w14:paraId="0C4C417A" w14:textId="77777777" w:rsidR="00CC1987" w:rsidRDefault="00CC1987">
      <w:pPr>
        <w:spacing w:line="360" w:lineRule="auto"/>
        <w:jc w:val="center"/>
        <w:rPr>
          <w:bCs/>
          <w:sz w:val="36"/>
          <w:szCs w:val="36"/>
        </w:rPr>
      </w:pPr>
    </w:p>
    <w:p w14:paraId="64789C51" w14:textId="77777777" w:rsidR="00CC1987" w:rsidRDefault="00CC1987">
      <w:pPr>
        <w:spacing w:line="360" w:lineRule="auto"/>
        <w:jc w:val="center"/>
        <w:rPr>
          <w:bCs/>
          <w:sz w:val="36"/>
          <w:szCs w:val="36"/>
        </w:rPr>
      </w:pPr>
    </w:p>
    <w:p w14:paraId="0211B5B5" w14:textId="77777777" w:rsidR="00CC1987" w:rsidRDefault="00CC1987">
      <w:pPr>
        <w:spacing w:line="360" w:lineRule="auto"/>
        <w:jc w:val="center"/>
        <w:rPr>
          <w:bCs/>
          <w:sz w:val="36"/>
          <w:szCs w:val="36"/>
        </w:rPr>
      </w:pPr>
    </w:p>
    <w:p w14:paraId="7C7491E7" w14:textId="77777777" w:rsidR="00CC1987" w:rsidRDefault="00CC1987">
      <w:pPr>
        <w:widowControl/>
        <w:jc w:val="center"/>
        <w:rPr>
          <w:bCs/>
          <w:sz w:val="44"/>
          <w:szCs w:val="44"/>
        </w:rPr>
      </w:pPr>
    </w:p>
    <w:p w14:paraId="1F0E511F" w14:textId="77777777" w:rsidR="00CC1987" w:rsidRDefault="00CC1987">
      <w:pPr>
        <w:widowControl/>
        <w:jc w:val="center"/>
        <w:rPr>
          <w:bCs/>
          <w:sz w:val="44"/>
          <w:szCs w:val="44"/>
        </w:rPr>
      </w:pPr>
    </w:p>
    <w:p w14:paraId="034AC298" w14:textId="77777777" w:rsidR="00CC1987" w:rsidRDefault="00000000">
      <w:pPr>
        <w:ind w:leftChars="-67" w:left="-51" w:rightChars="-182" w:right="-382" w:hangingChars="32" w:hanging="90"/>
        <w:jc w:val="center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《饲用辣木栽培技术规程》</w:t>
      </w:r>
      <w:proofErr w:type="gramStart"/>
      <w:r>
        <w:rPr>
          <w:rFonts w:ascii="黑体" w:eastAsia="黑体" w:hAnsi="黑体" w:hint="eastAsia"/>
          <w:bCs/>
          <w:sz w:val="28"/>
          <w:szCs w:val="28"/>
        </w:rPr>
        <w:t>团标制定</w:t>
      </w:r>
      <w:proofErr w:type="gramEnd"/>
      <w:r>
        <w:rPr>
          <w:rFonts w:ascii="黑体" w:eastAsia="黑体" w:hAnsi="黑体" w:hint="eastAsia"/>
          <w:bCs/>
          <w:sz w:val="28"/>
          <w:szCs w:val="28"/>
        </w:rPr>
        <w:t>组</w:t>
      </w:r>
    </w:p>
    <w:p w14:paraId="6617FAC3" w14:textId="77777777" w:rsidR="00CC1987" w:rsidRDefault="00000000">
      <w:pPr>
        <w:widowControl/>
        <w:jc w:val="center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〇</w:t>
      </w:r>
      <w:r>
        <w:rPr>
          <w:rFonts w:ascii="黑体" w:eastAsia="黑体" w:hAnsi="黑体"/>
          <w:bCs/>
          <w:sz w:val="28"/>
          <w:szCs w:val="28"/>
        </w:rPr>
        <w:t>二</w:t>
      </w:r>
      <w:r>
        <w:rPr>
          <w:rFonts w:ascii="黑体" w:eastAsia="黑体" w:hAnsi="黑体" w:hint="eastAsia"/>
          <w:bCs/>
          <w:sz w:val="28"/>
          <w:szCs w:val="28"/>
        </w:rPr>
        <w:t>五</w:t>
      </w:r>
      <w:r>
        <w:rPr>
          <w:rFonts w:ascii="黑体" w:eastAsia="黑体" w:hAnsi="黑体"/>
          <w:bCs/>
          <w:sz w:val="28"/>
          <w:szCs w:val="28"/>
        </w:rPr>
        <w:t>年</w:t>
      </w:r>
      <w:r>
        <w:rPr>
          <w:rFonts w:ascii="黑体" w:eastAsia="黑体" w:hAnsi="黑体" w:hint="eastAsia"/>
          <w:bCs/>
          <w:sz w:val="28"/>
          <w:szCs w:val="28"/>
        </w:rPr>
        <w:t>二</w:t>
      </w:r>
      <w:r>
        <w:rPr>
          <w:rFonts w:ascii="黑体" w:eastAsia="黑体" w:hAnsi="黑体"/>
          <w:bCs/>
          <w:sz w:val="28"/>
          <w:szCs w:val="28"/>
        </w:rPr>
        <w:t>月</w:t>
      </w:r>
    </w:p>
    <w:bookmarkEnd w:id="0"/>
    <w:p w14:paraId="40FBF7DD" w14:textId="77777777" w:rsidR="00CC1987" w:rsidRDefault="00000000">
      <w:pPr>
        <w:pStyle w:val="af3"/>
        <w:spacing w:beforeLines="100" w:before="312" w:afterLines="100" w:after="312" w:line="420" w:lineRule="exact"/>
        <w:ind w:firstLineChars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rFonts w:hint="eastAsia"/>
          <w:b/>
          <w:color w:val="000000"/>
          <w:sz w:val="28"/>
          <w:szCs w:val="28"/>
        </w:rPr>
        <w:lastRenderedPageBreak/>
        <w:t>目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次</w:t>
      </w:r>
    </w:p>
    <w:p w14:paraId="1D60AEC8" w14:textId="77777777" w:rsidR="00CC1987" w:rsidRDefault="00CC1987">
      <w:pPr>
        <w:pStyle w:val="af3"/>
        <w:spacing w:line="360" w:lineRule="auto"/>
        <w:ind w:firstLineChars="0"/>
        <w:jc w:val="center"/>
        <w:rPr>
          <w:b/>
          <w:color w:val="000000"/>
          <w:sz w:val="22"/>
          <w:szCs w:val="22"/>
        </w:rPr>
      </w:pPr>
    </w:p>
    <w:p w14:paraId="5E19A56C" w14:textId="77777777" w:rsidR="00CC1987" w:rsidRDefault="00000000">
      <w:pPr>
        <w:pStyle w:val="TOC1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176547930" w:history="1">
        <w:r>
          <w:rPr>
            <w:rStyle w:val="af1"/>
            <w:rFonts w:hint="eastAsia"/>
          </w:rPr>
          <w:t>一、任务来源及标准制定背景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_Toc176547930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3</w:t>
        </w:r>
        <w:r>
          <w:rPr>
            <w:rFonts w:hint="eastAsia"/>
          </w:rPr>
          <w:fldChar w:fldCharType="end"/>
        </w:r>
      </w:hyperlink>
    </w:p>
    <w:p w14:paraId="18EC1846" w14:textId="77777777" w:rsidR="00CC1987" w:rsidRDefault="00000000" w:rsidP="009B7415">
      <w:pPr>
        <w:pStyle w:val="TOC2"/>
        <w:tabs>
          <w:tab w:val="right" w:leader="dot" w:pos="8538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7931" w:history="1">
        <w:r>
          <w:rPr>
            <w:rStyle w:val="af1"/>
            <w:rFonts w:hint="eastAsia"/>
          </w:rPr>
          <w:t>1</w:t>
        </w:r>
        <w:r>
          <w:rPr>
            <w:rStyle w:val="af1"/>
            <w:rFonts w:hint="eastAsia"/>
          </w:rPr>
          <w:t>、任务来源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_Toc176547931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3</w:t>
        </w:r>
        <w:r>
          <w:rPr>
            <w:rFonts w:hint="eastAsia"/>
          </w:rPr>
          <w:fldChar w:fldCharType="end"/>
        </w:r>
      </w:hyperlink>
    </w:p>
    <w:p w14:paraId="346BE875" w14:textId="77777777" w:rsidR="00CC1987" w:rsidRDefault="00000000" w:rsidP="009B7415">
      <w:pPr>
        <w:pStyle w:val="TOC2"/>
        <w:tabs>
          <w:tab w:val="right" w:leader="dot" w:pos="8538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7932" w:history="1">
        <w:r>
          <w:rPr>
            <w:rStyle w:val="af1"/>
            <w:rFonts w:hint="eastAsia"/>
          </w:rPr>
          <w:t>2</w:t>
        </w:r>
        <w:r>
          <w:rPr>
            <w:rStyle w:val="af1"/>
            <w:rFonts w:hint="eastAsia"/>
          </w:rPr>
          <w:t>、标准制定背景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_Toc176547932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3</w:t>
        </w:r>
        <w:r>
          <w:rPr>
            <w:rFonts w:hint="eastAsia"/>
          </w:rPr>
          <w:fldChar w:fldCharType="end"/>
        </w:r>
      </w:hyperlink>
    </w:p>
    <w:p w14:paraId="2AC19EBB" w14:textId="77777777" w:rsidR="00CC1987" w:rsidRDefault="00000000" w:rsidP="009B7415">
      <w:pPr>
        <w:pStyle w:val="TOC1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7933" w:history="1">
        <w:r>
          <w:rPr>
            <w:rStyle w:val="af1"/>
            <w:rFonts w:hint="eastAsia"/>
          </w:rPr>
          <w:t>二、主要工作过程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_Toc176547933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4</w:t>
        </w:r>
        <w:r>
          <w:rPr>
            <w:rFonts w:hint="eastAsia"/>
          </w:rPr>
          <w:fldChar w:fldCharType="end"/>
        </w:r>
      </w:hyperlink>
    </w:p>
    <w:p w14:paraId="60F337AF" w14:textId="77777777" w:rsidR="00CC1987" w:rsidRDefault="00000000" w:rsidP="009B7415">
      <w:pPr>
        <w:pStyle w:val="TOC1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7934" w:history="1">
        <w:r>
          <w:rPr>
            <w:rStyle w:val="af1"/>
            <w:rFonts w:hint="eastAsia"/>
          </w:rPr>
          <w:t>三、标准编制原则和主要技术内容确定的依据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_Toc176547934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4</w:t>
        </w:r>
        <w:r>
          <w:rPr>
            <w:rFonts w:hint="eastAsia"/>
          </w:rPr>
          <w:fldChar w:fldCharType="end"/>
        </w:r>
      </w:hyperlink>
    </w:p>
    <w:p w14:paraId="6DAC26EA" w14:textId="77777777" w:rsidR="00CC1987" w:rsidRDefault="00000000" w:rsidP="009B7415">
      <w:pPr>
        <w:pStyle w:val="TOC2"/>
        <w:tabs>
          <w:tab w:val="right" w:leader="dot" w:pos="8538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7935" w:history="1">
        <w:r>
          <w:rPr>
            <w:rStyle w:val="af1"/>
            <w:rFonts w:hint="eastAsia"/>
          </w:rPr>
          <w:t>1</w:t>
        </w:r>
        <w:r>
          <w:rPr>
            <w:rStyle w:val="af1"/>
            <w:rFonts w:hint="eastAsia"/>
          </w:rPr>
          <w:t>、标准编制原则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_Toc176547935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4</w:t>
        </w:r>
        <w:r>
          <w:rPr>
            <w:rFonts w:hint="eastAsia"/>
          </w:rPr>
          <w:fldChar w:fldCharType="end"/>
        </w:r>
      </w:hyperlink>
    </w:p>
    <w:p w14:paraId="005DBFE5" w14:textId="77777777" w:rsidR="00CC1987" w:rsidRDefault="00000000" w:rsidP="009B7415">
      <w:pPr>
        <w:pStyle w:val="TOC2"/>
        <w:tabs>
          <w:tab w:val="right" w:leader="dot" w:pos="8538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7936" w:history="1">
        <w:r>
          <w:rPr>
            <w:rStyle w:val="af1"/>
            <w:rFonts w:hint="eastAsia"/>
          </w:rPr>
          <w:t>2</w:t>
        </w:r>
        <w:r>
          <w:rPr>
            <w:rStyle w:val="af1"/>
            <w:rFonts w:hint="eastAsia"/>
          </w:rPr>
          <w:t>、主要技术内容确定的论据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_Toc176547936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5</w:t>
        </w:r>
        <w:r>
          <w:rPr>
            <w:rFonts w:hint="eastAsia"/>
          </w:rPr>
          <w:fldChar w:fldCharType="end"/>
        </w:r>
      </w:hyperlink>
    </w:p>
    <w:p w14:paraId="2797626D" w14:textId="77777777" w:rsidR="00CC1987" w:rsidRDefault="00000000" w:rsidP="009B7415">
      <w:pPr>
        <w:pStyle w:val="TOC1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7937" w:history="1">
        <w:r>
          <w:rPr>
            <w:rStyle w:val="af1"/>
            <w:rFonts w:hint="eastAsia"/>
          </w:rPr>
          <w:t>四、采用的国际标准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_Toc176547937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6</w:t>
        </w:r>
        <w:r>
          <w:rPr>
            <w:rFonts w:hint="eastAsia"/>
          </w:rPr>
          <w:fldChar w:fldCharType="end"/>
        </w:r>
      </w:hyperlink>
    </w:p>
    <w:p w14:paraId="75A7A5D8" w14:textId="77777777" w:rsidR="00CC1987" w:rsidRDefault="00000000" w:rsidP="009B7415">
      <w:pPr>
        <w:pStyle w:val="TOC1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7938" w:history="1">
        <w:r>
          <w:rPr>
            <w:rStyle w:val="af1"/>
            <w:rFonts w:hint="eastAsia"/>
          </w:rPr>
          <w:t>五、与现行法律法规和强制性标准的关系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_Toc176547938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6</w:t>
        </w:r>
        <w:r>
          <w:rPr>
            <w:rFonts w:hint="eastAsia"/>
          </w:rPr>
          <w:fldChar w:fldCharType="end"/>
        </w:r>
      </w:hyperlink>
    </w:p>
    <w:p w14:paraId="3B924B2D" w14:textId="77777777" w:rsidR="00CC1987" w:rsidRDefault="00000000" w:rsidP="009B7415">
      <w:pPr>
        <w:pStyle w:val="TOC1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7939" w:history="1">
        <w:r>
          <w:rPr>
            <w:rStyle w:val="af1"/>
            <w:rFonts w:hint="eastAsia"/>
          </w:rPr>
          <w:t>六、重大分歧意见的处理经过和依据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_Toc176547939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6</w:t>
        </w:r>
        <w:r>
          <w:rPr>
            <w:rFonts w:hint="eastAsia"/>
          </w:rPr>
          <w:fldChar w:fldCharType="end"/>
        </w:r>
      </w:hyperlink>
    </w:p>
    <w:p w14:paraId="765AD2FD" w14:textId="77777777" w:rsidR="00CC1987" w:rsidRDefault="00000000" w:rsidP="009B7415">
      <w:pPr>
        <w:pStyle w:val="TOC1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7940" w:history="1">
        <w:r>
          <w:rPr>
            <w:rStyle w:val="af1"/>
            <w:rFonts w:hint="eastAsia"/>
          </w:rPr>
          <w:t>七、标准作为强制性或推荐性标准的意见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_Toc176547940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7</w:t>
        </w:r>
        <w:r>
          <w:rPr>
            <w:rFonts w:hint="eastAsia"/>
          </w:rPr>
          <w:fldChar w:fldCharType="end"/>
        </w:r>
      </w:hyperlink>
    </w:p>
    <w:p w14:paraId="155D255B" w14:textId="77777777" w:rsidR="00CC1987" w:rsidRDefault="00000000" w:rsidP="009B7415">
      <w:pPr>
        <w:pStyle w:val="TOC1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7941" w:history="1">
        <w:r>
          <w:rPr>
            <w:rStyle w:val="af1"/>
            <w:rFonts w:hint="eastAsia"/>
          </w:rPr>
          <w:t>八、贯彻标准的要求和措施建议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_Toc176547941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7</w:t>
        </w:r>
        <w:r>
          <w:rPr>
            <w:rFonts w:hint="eastAsia"/>
          </w:rPr>
          <w:fldChar w:fldCharType="end"/>
        </w:r>
      </w:hyperlink>
    </w:p>
    <w:p w14:paraId="316EC7D6" w14:textId="77777777" w:rsidR="00CC1987" w:rsidRDefault="00000000" w:rsidP="009B7415">
      <w:pPr>
        <w:pStyle w:val="TOC1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7942" w:history="1">
        <w:r>
          <w:rPr>
            <w:rStyle w:val="af1"/>
            <w:rFonts w:hint="eastAsia"/>
          </w:rPr>
          <w:t>九、废止现行有关标准的建议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_Toc176547942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7</w:t>
        </w:r>
        <w:r>
          <w:rPr>
            <w:rFonts w:hint="eastAsia"/>
          </w:rPr>
          <w:fldChar w:fldCharType="end"/>
        </w:r>
      </w:hyperlink>
    </w:p>
    <w:p w14:paraId="01F523EE" w14:textId="77777777" w:rsidR="00CC1987" w:rsidRDefault="00000000" w:rsidP="009B7415">
      <w:pPr>
        <w:pStyle w:val="TOC1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6547943" w:history="1">
        <w:r>
          <w:rPr>
            <w:rStyle w:val="af1"/>
            <w:rFonts w:hint="eastAsia"/>
          </w:rPr>
          <w:t>十、其他应予说明的事项</w:t>
        </w:r>
        <w:r>
          <w:rPr>
            <w:rFonts w:hint="eastAsia"/>
          </w:rPr>
          <w:tab/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 </w:instrText>
        </w:r>
        <w:r>
          <w:instrText>PAGEREF _Toc176547943 \h</w:instrText>
        </w:r>
        <w:r>
          <w:rPr>
            <w:rFonts w:hint="eastAsia"/>
          </w:rPr>
          <w:instrText xml:space="preserve"> </w:instrText>
        </w:r>
        <w:r>
          <w:rPr>
            <w:rFonts w:hint="eastAsia"/>
          </w:rPr>
        </w:r>
        <w:r>
          <w:rPr>
            <w:rFonts w:hint="eastAsia"/>
          </w:rPr>
          <w:fldChar w:fldCharType="separate"/>
        </w:r>
        <w:r>
          <w:t>7</w:t>
        </w:r>
        <w:r>
          <w:rPr>
            <w:rFonts w:hint="eastAsia"/>
          </w:rPr>
          <w:fldChar w:fldCharType="end"/>
        </w:r>
      </w:hyperlink>
    </w:p>
    <w:p w14:paraId="7755D24F" w14:textId="77777777" w:rsidR="00CC1987" w:rsidRDefault="00000000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  <w:lang w:val="zh-CN"/>
        </w:rPr>
        <w:fldChar w:fldCharType="end"/>
      </w:r>
    </w:p>
    <w:p w14:paraId="32720C13" w14:textId="77777777" w:rsidR="00CC1987" w:rsidRDefault="00CC1987">
      <w:pPr>
        <w:pStyle w:val="af3"/>
        <w:spacing w:beforeLines="100" w:before="312" w:afterLines="100" w:after="312" w:line="420" w:lineRule="exact"/>
        <w:ind w:firstLineChars="0"/>
        <w:jc w:val="center"/>
        <w:rPr>
          <w:b/>
          <w:color w:val="000000"/>
          <w:sz w:val="28"/>
          <w:szCs w:val="28"/>
        </w:rPr>
      </w:pPr>
    </w:p>
    <w:p w14:paraId="3EB17BB0" w14:textId="77777777" w:rsidR="00CC1987" w:rsidRDefault="00000000" w:rsidP="009B7415">
      <w:pPr>
        <w:pStyle w:val="1"/>
        <w:spacing w:before="0" w:after="0"/>
      </w:pPr>
      <w:r>
        <w:br w:type="page"/>
        <w:t xml:space="preserve"> </w:t>
      </w:r>
      <w:bookmarkStart w:id="1" w:name="_Toc176547930"/>
      <w:r>
        <w:rPr>
          <w:rFonts w:hint="eastAsia"/>
        </w:rPr>
        <w:t>一、任务来源及标准制定背景</w:t>
      </w:r>
      <w:bookmarkEnd w:id="1"/>
    </w:p>
    <w:p w14:paraId="39E2EE66" w14:textId="77777777" w:rsidR="00CC1987" w:rsidRDefault="00000000" w:rsidP="009B7415">
      <w:pPr>
        <w:pStyle w:val="2"/>
        <w:spacing w:before="0" w:after="0"/>
        <w:rPr>
          <w:rFonts w:hint="eastAsia"/>
        </w:rPr>
      </w:pPr>
      <w:bookmarkStart w:id="2" w:name="_Toc176547931"/>
      <w:r>
        <w:rPr>
          <w:rFonts w:hint="eastAsia"/>
        </w:rPr>
        <w:t>1</w:t>
      </w:r>
      <w:r>
        <w:rPr>
          <w:rFonts w:hint="eastAsia"/>
        </w:rPr>
        <w:t>、任务来源</w:t>
      </w:r>
      <w:bookmarkEnd w:id="2"/>
    </w:p>
    <w:p w14:paraId="51E08244" w14:textId="77777777" w:rsidR="00CC1987" w:rsidRDefault="00000000" w:rsidP="009B741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本技术规程由华南农业大学申报。</w:t>
      </w:r>
    </w:p>
    <w:p w14:paraId="2CF241EC" w14:textId="77777777" w:rsidR="00CC1987" w:rsidRDefault="00000000" w:rsidP="009B7415">
      <w:pPr>
        <w:pStyle w:val="2"/>
        <w:spacing w:before="0" w:after="0"/>
        <w:rPr>
          <w:rFonts w:hint="eastAsia"/>
        </w:rPr>
      </w:pPr>
      <w:bookmarkStart w:id="3" w:name="_Toc176547932"/>
      <w:r>
        <w:rPr>
          <w:rFonts w:hint="eastAsia"/>
        </w:rPr>
        <w:t>2</w:t>
      </w:r>
      <w:r>
        <w:rPr>
          <w:rFonts w:hint="eastAsia"/>
        </w:rPr>
        <w:t>、标准制定背景</w:t>
      </w:r>
      <w:bookmarkEnd w:id="3"/>
    </w:p>
    <w:p w14:paraId="64D7BEB1" w14:textId="77777777" w:rsidR="00CC1987" w:rsidRDefault="00000000">
      <w:pPr>
        <w:topLinePunct/>
        <w:spacing w:line="440" w:lineRule="exact"/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（1）政府重视</w:t>
      </w:r>
    </w:p>
    <w:p w14:paraId="285B40E1" w14:textId="77777777" w:rsidR="00CC1987" w:rsidRDefault="00000000">
      <w:pPr>
        <w:topLinePunct/>
        <w:spacing w:line="440" w:lineRule="exact"/>
        <w:ind w:firstLineChars="200" w:firstLine="480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我国政府及有关部门高度重视饲草产业发展状况，先后制定出台了一系列政策文件：如国家发展改革委、农业农村部、国家林草局联合印发该《意见》，提出调整优化农业生产结构，支持各地合理利用耕地、草原以及农闲田、撂荒地、果园隙地、林地等土地资源发展饲草生产。</w:t>
      </w:r>
      <w:proofErr w:type="gramStart"/>
      <w:r>
        <w:rPr>
          <w:rFonts w:ascii="宋体" w:hAnsi="宋体" w:cs="黑体" w:hint="eastAsia"/>
          <w:kern w:val="0"/>
          <w:sz w:val="24"/>
        </w:rPr>
        <w:t>辣木作为</w:t>
      </w:r>
      <w:proofErr w:type="gramEnd"/>
      <w:r>
        <w:rPr>
          <w:rFonts w:ascii="宋体" w:hAnsi="宋体" w:cs="黑体" w:hint="eastAsia"/>
          <w:kern w:val="0"/>
          <w:sz w:val="24"/>
        </w:rPr>
        <w:t>饲草种植，可受益于这一政策，利用各类土地资源扩大种植面积。《农业农村部关于实施养殖业节粮行动的意见》提出大力推广精准配方低蛋白日粮技术，充分挖掘利用非粮饲料资源，加快发展饲草产业等内容。饲用</w:t>
      </w:r>
      <w:proofErr w:type="gramStart"/>
      <w:r>
        <w:rPr>
          <w:rFonts w:ascii="宋体" w:hAnsi="宋体" w:cs="黑体" w:hint="eastAsia"/>
          <w:kern w:val="0"/>
          <w:sz w:val="24"/>
        </w:rPr>
        <w:t>辣木作为</w:t>
      </w:r>
      <w:proofErr w:type="gramEnd"/>
      <w:r>
        <w:rPr>
          <w:rFonts w:ascii="宋体" w:hAnsi="宋体" w:cs="黑体" w:hint="eastAsia"/>
          <w:kern w:val="0"/>
          <w:sz w:val="24"/>
        </w:rPr>
        <w:t>一种非粮饲料资源，符合该政策的发展方向，有望在养殖业节粮行动中得到更多的关注和应用。</w:t>
      </w:r>
    </w:p>
    <w:p w14:paraId="5F7A57F6" w14:textId="77777777" w:rsidR="00CC1987" w:rsidRDefault="00000000">
      <w:pPr>
        <w:topLinePunct/>
        <w:spacing w:line="44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（2）饲料短缺</w:t>
      </w:r>
    </w:p>
    <w:p w14:paraId="2621F0DC" w14:textId="77777777" w:rsidR="00CC1987" w:rsidRDefault="00000000">
      <w:pPr>
        <w:topLinePunct/>
        <w:spacing w:line="440" w:lineRule="exact"/>
        <w:ind w:firstLineChars="200" w:firstLine="480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近年来我国规模化养殖的大力发展，导致饲料短缺问题日益突出，饲草料供给不足严重限制了我国畜牧业发展。</w:t>
      </w:r>
    </w:p>
    <w:p w14:paraId="68F07CED" w14:textId="77777777" w:rsidR="00CC1987" w:rsidRDefault="00000000">
      <w:pPr>
        <w:topLinePunct/>
        <w:spacing w:line="440" w:lineRule="exact"/>
        <w:ind w:firstLineChars="200" w:firstLine="480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优化</w:t>
      </w:r>
      <w:proofErr w:type="gramStart"/>
      <w:r>
        <w:rPr>
          <w:rFonts w:ascii="宋体" w:hAnsi="宋体" w:cs="黑体" w:hint="eastAsia"/>
          <w:kern w:val="0"/>
          <w:sz w:val="24"/>
        </w:rPr>
        <w:t>饲用辣木栽培</w:t>
      </w:r>
      <w:proofErr w:type="gramEnd"/>
      <w:r>
        <w:rPr>
          <w:rFonts w:ascii="宋体" w:hAnsi="宋体" w:cs="黑体" w:hint="eastAsia"/>
          <w:kern w:val="0"/>
          <w:sz w:val="24"/>
        </w:rPr>
        <w:t>技术能增加饲料供给，优化后的</w:t>
      </w:r>
      <w:proofErr w:type="gramStart"/>
      <w:r>
        <w:rPr>
          <w:rFonts w:ascii="宋体" w:hAnsi="宋体" w:cs="黑体" w:hint="eastAsia"/>
          <w:kern w:val="0"/>
          <w:sz w:val="24"/>
        </w:rPr>
        <w:t>饲用辣木通常</w:t>
      </w:r>
      <w:proofErr w:type="gramEnd"/>
      <w:r>
        <w:rPr>
          <w:rFonts w:ascii="宋体" w:hAnsi="宋体" w:cs="黑体" w:hint="eastAsia"/>
          <w:kern w:val="0"/>
          <w:sz w:val="24"/>
        </w:rPr>
        <w:t>具有更高的生物产量。通过品种改良和种植技术优化，</w:t>
      </w:r>
      <w:proofErr w:type="gramStart"/>
      <w:r>
        <w:rPr>
          <w:rFonts w:ascii="宋体" w:hAnsi="宋体" w:cs="黑体" w:hint="eastAsia"/>
          <w:kern w:val="0"/>
          <w:sz w:val="24"/>
        </w:rPr>
        <w:t>辣木可以</w:t>
      </w:r>
      <w:proofErr w:type="gramEnd"/>
      <w:r>
        <w:rPr>
          <w:rFonts w:ascii="宋体" w:hAnsi="宋体" w:cs="黑体" w:hint="eastAsia"/>
          <w:kern w:val="0"/>
          <w:sz w:val="24"/>
        </w:rPr>
        <w:t>在单位面积土地上生产出更多的饲用部分，如叶片、嫩枝等。这意味着能为畜牧业提供更多的饲料原料，直接增加了饲料的总体供给量，有助于缓解饲料短缺的压力；优化后</w:t>
      </w:r>
      <w:proofErr w:type="gramStart"/>
      <w:r>
        <w:rPr>
          <w:rFonts w:ascii="宋体" w:hAnsi="宋体" w:cs="黑体" w:hint="eastAsia"/>
          <w:kern w:val="0"/>
          <w:sz w:val="24"/>
        </w:rPr>
        <w:t>的辣木生长</w:t>
      </w:r>
      <w:proofErr w:type="gramEnd"/>
      <w:r>
        <w:rPr>
          <w:rFonts w:ascii="宋体" w:hAnsi="宋体" w:cs="黑体" w:hint="eastAsia"/>
          <w:kern w:val="0"/>
          <w:sz w:val="24"/>
        </w:rPr>
        <w:t>速度更快，生长周期更短，能够实现多次收割。例如，一些经过优化的品种可能每年可收割 4-6 次，相比其他传统饲料作物，能更频繁地为市场提供新鲜的饲料，在短时间内快速补充饲料库存；</w:t>
      </w:r>
      <w:proofErr w:type="gramStart"/>
      <w:r>
        <w:rPr>
          <w:rFonts w:ascii="宋体" w:hAnsi="宋体" w:cs="黑体" w:hint="eastAsia"/>
          <w:kern w:val="0"/>
          <w:sz w:val="24"/>
        </w:rPr>
        <w:t>饲用辣木对</w:t>
      </w:r>
      <w:proofErr w:type="gramEnd"/>
      <w:r>
        <w:rPr>
          <w:rFonts w:ascii="宋体" w:hAnsi="宋体" w:cs="黑体" w:hint="eastAsia"/>
          <w:kern w:val="0"/>
          <w:sz w:val="24"/>
        </w:rPr>
        <w:t>土地的适应性强，能在一些贫瘠、干旱的土地上生长良好。优化后的</w:t>
      </w:r>
      <w:proofErr w:type="gramStart"/>
      <w:r>
        <w:rPr>
          <w:rFonts w:ascii="宋体" w:hAnsi="宋体" w:cs="黑体" w:hint="eastAsia"/>
          <w:kern w:val="0"/>
          <w:sz w:val="24"/>
        </w:rPr>
        <w:t>辣木可以</w:t>
      </w:r>
      <w:proofErr w:type="gramEnd"/>
      <w:r>
        <w:rPr>
          <w:rFonts w:ascii="宋体" w:hAnsi="宋体" w:cs="黑体" w:hint="eastAsia"/>
          <w:kern w:val="0"/>
          <w:sz w:val="24"/>
        </w:rPr>
        <w:t>更好地利用这些边际土地，在不与粮食作物争夺优质耕地的前提下，扩大饲料生产的土地面积，从而增加饲料产量，提高土地资源的利用效率。</w:t>
      </w:r>
    </w:p>
    <w:p w14:paraId="6646F7FA" w14:textId="77777777" w:rsidR="00CC1987" w:rsidRDefault="00000000">
      <w:pPr>
        <w:topLinePunct/>
        <w:spacing w:line="440" w:lineRule="exact"/>
        <w:ind w:firstLineChars="200" w:firstLine="482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hint="eastAsia"/>
          <w:b/>
          <w:sz w:val="24"/>
        </w:rPr>
        <w:t>（3）优化饲草产业</w:t>
      </w:r>
    </w:p>
    <w:p w14:paraId="5E44C643" w14:textId="77777777" w:rsidR="00CC1987" w:rsidRDefault="00000000">
      <w:pPr>
        <w:tabs>
          <w:tab w:val="center" w:pos="4201"/>
          <w:tab w:val="right" w:leader="dot" w:pos="9298"/>
        </w:tabs>
        <w:topLinePunct/>
        <w:spacing w:line="440" w:lineRule="exact"/>
        <w:ind w:firstLineChars="200" w:firstLine="480"/>
        <w:contextualSpacing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 xml:space="preserve"> </w:t>
      </w:r>
      <w:proofErr w:type="gramStart"/>
      <w:r>
        <w:rPr>
          <w:rFonts w:ascii="宋体" w:hAnsi="宋体" w:cs="黑体" w:hint="eastAsia"/>
          <w:kern w:val="0"/>
          <w:sz w:val="24"/>
        </w:rPr>
        <w:t>辣木营养</w:t>
      </w:r>
      <w:proofErr w:type="gramEnd"/>
      <w:r>
        <w:rPr>
          <w:rFonts w:ascii="宋体" w:hAnsi="宋体" w:cs="黑体" w:hint="eastAsia"/>
          <w:kern w:val="0"/>
          <w:sz w:val="24"/>
        </w:rPr>
        <w:t>丰富全面；</w:t>
      </w:r>
      <w:proofErr w:type="gramStart"/>
      <w:r>
        <w:rPr>
          <w:rFonts w:ascii="宋体" w:hAnsi="宋体" w:cs="黑体" w:hint="eastAsia"/>
          <w:kern w:val="0"/>
          <w:sz w:val="24"/>
        </w:rPr>
        <w:t>辣木富含</w:t>
      </w:r>
      <w:proofErr w:type="gramEnd"/>
      <w:r>
        <w:rPr>
          <w:rFonts w:ascii="宋体" w:hAnsi="宋体" w:cs="黑体" w:hint="eastAsia"/>
          <w:kern w:val="0"/>
          <w:sz w:val="24"/>
        </w:rPr>
        <w:t>蛋白质、维生素、矿物质等营养成分。其中蛋白质含量较高，且氨基酸组成较为合理，能为动物提供优质的蛋白质来源，有助于动物的生长发育和生产性能的提高。丰富的维生素（如维生素 A、C、E 等）和矿物质（如钙、铁、钾等），可满足动物对多种营养元素的需求，增强动物的免疫力和抗应激能力，减少疾病发生。能增强动物消化功能；</w:t>
      </w:r>
      <w:proofErr w:type="gramStart"/>
      <w:r>
        <w:rPr>
          <w:rFonts w:ascii="宋体" w:hAnsi="宋体" w:cs="黑体" w:hint="eastAsia"/>
          <w:kern w:val="0"/>
          <w:sz w:val="24"/>
        </w:rPr>
        <w:t>辣木中</w:t>
      </w:r>
      <w:proofErr w:type="gramEnd"/>
      <w:r>
        <w:rPr>
          <w:rFonts w:ascii="宋体" w:hAnsi="宋体" w:cs="黑体" w:hint="eastAsia"/>
          <w:kern w:val="0"/>
          <w:sz w:val="24"/>
        </w:rPr>
        <w:t>含有一定量的膳食纤维，有助于促进动物的肠道蠕动，提高饲料的消化利用率，减少消化不良等问题的发生，保障动物的肠道健康。能改善产品品质；在动物饲料中添加辣木，可改善动物产品的品质。例如，在家禽养殖中，能使鸡蛋的蛋黄颜色更鲜艳，营养成分更丰富；在养猪生产中，可使猪肉的肉质更鲜嫩，风味更佳。</w:t>
      </w:r>
    </w:p>
    <w:p w14:paraId="5F4B3FC7" w14:textId="77777777" w:rsidR="00CC1987" w:rsidRDefault="00000000">
      <w:pPr>
        <w:tabs>
          <w:tab w:val="center" w:pos="4201"/>
          <w:tab w:val="right" w:leader="dot" w:pos="9298"/>
        </w:tabs>
        <w:topLinePunct/>
        <w:spacing w:line="440" w:lineRule="exact"/>
        <w:ind w:firstLineChars="200" w:firstLine="480"/>
        <w:contextualSpacing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利用合理的栽培技术</w:t>
      </w:r>
      <w:proofErr w:type="gramStart"/>
      <w:r>
        <w:rPr>
          <w:rFonts w:ascii="宋体" w:hAnsi="宋体" w:cs="黑体" w:hint="eastAsia"/>
          <w:kern w:val="0"/>
          <w:sz w:val="24"/>
        </w:rPr>
        <w:t>提升辣木的</w:t>
      </w:r>
      <w:proofErr w:type="gramEnd"/>
      <w:r>
        <w:rPr>
          <w:rFonts w:ascii="宋体" w:hAnsi="宋体" w:cs="黑体" w:hint="eastAsia"/>
          <w:kern w:val="0"/>
          <w:sz w:val="24"/>
        </w:rPr>
        <w:t>适口性和营养价值，因此制定</w:t>
      </w:r>
      <w:proofErr w:type="gramStart"/>
      <w:r>
        <w:rPr>
          <w:rFonts w:ascii="宋体" w:hAnsi="宋体" w:cs="黑体" w:hint="eastAsia"/>
          <w:kern w:val="0"/>
          <w:sz w:val="24"/>
        </w:rPr>
        <w:t>了辣木栽培</w:t>
      </w:r>
      <w:proofErr w:type="gramEnd"/>
      <w:r>
        <w:rPr>
          <w:rFonts w:ascii="宋体" w:hAnsi="宋体" w:cs="黑体" w:hint="eastAsia"/>
          <w:kern w:val="0"/>
          <w:sz w:val="24"/>
        </w:rPr>
        <w:t>青贮技术规程，获得</w:t>
      </w:r>
      <w:proofErr w:type="gramStart"/>
      <w:r>
        <w:rPr>
          <w:rFonts w:ascii="宋体" w:hAnsi="宋体" w:cs="黑体" w:hint="eastAsia"/>
          <w:kern w:val="0"/>
          <w:sz w:val="24"/>
        </w:rPr>
        <w:t>优质辣木青贮饲料</w:t>
      </w:r>
      <w:proofErr w:type="gramEnd"/>
      <w:r>
        <w:rPr>
          <w:rFonts w:ascii="宋体" w:hAnsi="宋体" w:cs="黑体" w:hint="eastAsia"/>
          <w:kern w:val="0"/>
          <w:sz w:val="24"/>
        </w:rPr>
        <w:t>，</w:t>
      </w:r>
      <w:proofErr w:type="gramStart"/>
      <w:r>
        <w:rPr>
          <w:rFonts w:ascii="宋体" w:hAnsi="宋体" w:cs="黑体" w:hint="eastAsia"/>
          <w:kern w:val="0"/>
          <w:sz w:val="24"/>
        </w:rPr>
        <w:t>为辣木的</w:t>
      </w:r>
      <w:proofErr w:type="gramEnd"/>
      <w:r>
        <w:rPr>
          <w:rFonts w:ascii="宋体" w:hAnsi="宋体" w:cs="黑体" w:hint="eastAsia"/>
          <w:kern w:val="0"/>
          <w:sz w:val="24"/>
        </w:rPr>
        <w:t>高效利用提供有效途径，同时在一定程度上缓解我国优质饲草不足的状况。</w:t>
      </w:r>
    </w:p>
    <w:p w14:paraId="14FDFF73" w14:textId="77777777" w:rsidR="00CC1987" w:rsidRDefault="00000000">
      <w:pPr>
        <w:pStyle w:val="3"/>
        <w:keepNext w:val="0"/>
        <w:keepLines w:val="0"/>
        <w:widowControl/>
        <w:numPr>
          <w:ilvl w:val="0"/>
          <w:numId w:val="2"/>
        </w:numPr>
      </w:pPr>
      <w:r>
        <w:t>促进可持续发展</w:t>
      </w:r>
    </w:p>
    <w:p w14:paraId="6AFA21B0" w14:textId="77777777" w:rsidR="00CC1987" w:rsidRDefault="00000000">
      <w:pPr>
        <w:tabs>
          <w:tab w:val="center" w:pos="4201"/>
          <w:tab w:val="right" w:leader="dot" w:pos="9298"/>
        </w:tabs>
        <w:topLinePunct/>
        <w:spacing w:line="440" w:lineRule="exact"/>
        <w:ind w:firstLineChars="200" w:firstLine="480"/>
        <w:contextualSpacing/>
      </w:pPr>
      <w:proofErr w:type="gramStart"/>
      <w:r>
        <w:rPr>
          <w:rFonts w:ascii="宋体" w:hAnsi="宋体" w:cs="黑体" w:hint="eastAsia"/>
          <w:kern w:val="0"/>
          <w:sz w:val="24"/>
        </w:rPr>
        <w:t>饲用辣木在</w:t>
      </w:r>
      <w:proofErr w:type="gramEnd"/>
      <w:r>
        <w:rPr>
          <w:rFonts w:ascii="宋体" w:hAnsi="宋体" w:cs="黑体" w:hint="eastAsia"/>
          <w:kern w:val="0"/>
          <w:sz w:val="24"/>
        </w:rPr>
        <w:t>种植过程中对环境的适应性更强，需水量和化肥、农药的施用量相对较少，有利于保护生态环境。良好的生态环境能够保障农业和畜牧业的可持续发展，为饲料生产提供稳定的基础，从长远来看，有助于解决饲料短缺问题。还可以带动相关产业的发展，</w:t>
      </w:r>
      <w:proofErr w:type="gramStart"/>
      <w:r>
        <w:rPr>
          <w:rFonts w:ascii="宋体" w:hAnsi="宋体" w:cs="黑体" w:hint="eastAsia"/>
          <w:kern w:val="0"/>
          <w:sz w:val="24"/>
        </w:rPr>
        <w:t>如辣木种植</w:t>
      </w:r>
      <w:proofErr w:type="gramEnd"/>
      <w:r>
        <w:rPr>
          <w:rFonts w:ascii="宋体" w:hAnsi="宋体" w:cs="黑体" w:hint="eastAsia"/>
          <w:kern w:val="0"/>
          <w:sz w:val="24"/>
        </w:rPr>
        <w:t>、加工、饲料生产等产业。形成完整的产业链条，提高产业的整体效益和竞争力，为解决饲料短缺问题提供更有力的产业支撑。同时，产业的发展还能创造更多的就业机会，促进农村经济的发展，实现经济、社会和环境的协调发展</w:t>
      </w:r>
      <w:r>
        <w:rPr>
          <w:rFonts w:hint="eastAsia"/>
        </w:rPr>
        <w:t>。</w:t>
      </w:r>
    </w:p>
    <w:p w14:paraId="64DA9786" w14:textId="77777777" w:rsidR="00CC1987" w:rsidRDefault="00000000" w:rsidP="009B7415">
      <w:pPr>
        <w:pStyle w:val="1"/>
        <w:spacing w:before="0" w:after="0"/>
      </w:pPr>
      <w:bookmarkStart w:id="4" w:name="_Toc176547933"/>
      <w:r>
        <w:rPr>
          <w:rFonts w:hint="eastAsia"/>
        </w:rPr>
        <w:t>二、主要工作过程</w:t>
      </w:r>
      <w:bookmarkEnd w:id="4"/>
    </w:p>
    <w:p w14:paraId="30F3CE8A" w14:textId="41629611" w:rsidR="00CC1987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eastAsia="仿宋_GB2312"/>
          <w:sz w:val="24"/>
        </w:rPr>
        <w:t>202</w:t>
      </w: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>.0</w:t>
      </w:r>
      <w:r>
        <w:rPr>
          <w:rFonts w:eastAsia="仿宋_GB2312" w:hint="eastAsia"/>
          <w:sz w:val="24"/>
        </w:rPr>
        <w:t>3</w:t>
      </w:r>
      <w:r>
        <w:rPr>
          <w:rFonts w:ascii="宋体" w:hAnsi="宋体" w:cs="宋体" w:hint="eastAsia"/>
          <w:sz w:val="24"/>
        </w:rPr>
        <w:t>月</w:t>
      </w:r>
      <w:r>
        <w:rPr>
          <w:rFonts w:eastAsia="仿宋_GB2312"/>
          <w:sz w:val="24"/>
        </w:rPr>
        <w:t>-202</w:t>
      </w: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>.</w:t>
      </w:r>
      <w:r>
        <w:rPr>
          <w:rFonts w:eastAsia="仿宋_GB2312" w:hint="eastAsia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>
        <w:rPr>
          <w:rFonts w:eastAsia="仿宋_GB2312"/>
          <w:sz w:val="24"/>
        </w:rPr>
        <w:t xml:space="preserve"> </w:t>
      </w:r>
      <w:r>
        <w:rPr>
          <w:rFonts w:ascii="宋体" w:hAnsi="宋体" w:cs="宋体"/>
          <w:sz w:val="24"/>
        </w:rPr>
        <w:t>收集试验数据，整理资料</w:t>
      </w:r>
      <w:r>
        <w:rPr>
          <w:rFonts w:ascii="宋体" w:hAnsi="宋体" w:cs="宋体" w:hint="eastAsia"/>
          <w:sz w:val="24"/>
        </w:rPr>
        <w:t>。</w:t>
      </w:r>
    </w:p>
    <w:p w14:paraId="14475C54" w14:textId="08B3F6AB" w:rsidR="00CC1987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eastAsia="仿宋_GB2312" w:hint="eastAsia"/>
          <w:sz w:val="24"/>
        </w:rPr>
        <w:t>2024.03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-2024.11</w:t>
      </w:r>
      <w:r>
        <w:rPr>
          <w:rFonts w:ascii="宋体" w:hAnsi="宋体" w:cs="宋体" w:hint="eastAsia"/>
          <w:sz w:val="24"/>
        </w:rPr>
        <w:t>月</w:t>
      </w:r>
      <w:r>
        <w:rPr>
          <w:rFonts w:eastAsia="仿宋_GB2312"/>
          <w:sz w:val="24"/>
        </w:rPr>
        <w:t xml:space="preserve"> </w:t>
      </w:r>
      <w:r>
        <w:rPr>
          <w:rFonts w:ascii="宋体" w:hAnsi="宋体" w:cs="宋体"/>
          <w:sz w:val="24"/>
        </w:rPr>
        <w:t>形成工作组讨论稿</w:t>
      </w:r>
      <w:r>
        <w:rPr>
          <w:rFonts w:ascii="宋体" w:hAnsi="宋体" w:cs="宋体" w:hint="eastAsia"/>
          <w:sz w:val="24"/>
        </w:rPr>
        <w:t>。</w:t>
      </w:r>
    </w:p>
    <w:p w14:paraId="10ADADFA" w14:textId="7C1D3EBE" w:rsidR="00CC1987" w:rsidRDefault="00000000">
      <w:pPr>
        <w:spacing w:line="360" w:lineRule="auto"/>
        <w:ind w:firstLineChars="200" w:firstLine="480"/>
        <w:rPr>
          <w:bCs/>
          <w:sz w:val="24"/>
        </w:rPr>
      </w:pPr>
      <w:r>
        <w:rPr>
          <w:rFonts w:eastAsia="仿宋_GB2312"/>
          <w:sz w:val="24"/>
        </w:rPr>
        <w:t>202</w:t>
      </w: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>.12</w:t>
      </w:r>
      <w:r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>-202</w:t>
      </w:r>
      <w:r>
        <w:rPr>
          <w:rFonts w:eastAsia="仿宋_GB2312" w:hint="eastAsia"/>
          <w:sz w:val="24"/>
        </w:rPr>
        <w:t>5</w:t>
      </w:r>
      <w:r>
        <w:rPr>
          <w:rFonts w:eastAsia="仿宋_GB2312"/>
          <w:sz w:val="24"/>
        </w:rPr>
        <w:t>.</w:t>
      </w:r>
      <w:r>
        <w:rPr>
          <w:rFonts w:eastAsia="仿宋_GB2312" w:hint="eastAsia"/>
          <w:sz w:val="24"/>
        </w:rPr>
        <w:t>02</w:t>
      </w:r>
      <w:r>
        <w:rPr>
          <w:rFonts w:ascii="宋体" w:hAnsi="宋体" w:cs="宋体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</w:t>
      </w:r>
      <w:r>
        <w:rPr>
          <w:rFonts w:ascii="宋体" w:hAnsi="宋体" w:cs="宋体"/>
          <w:sz w:val="24"/>
        </w:rPr>
        <w:t>编写征求意见</w:t>
      </w:r>
      <w:proofErr w:type="gramStart"/>
      <w:r>
        <w:rPr>
          <w:rFonts w:ascii="宋体" w:hAnsi="宋体" w:cs="宋体"/>
          <w:sz w:val="24"/>
        </w:rPr>
        <w:t>稿标准</w:t>
      </w:r>
      <w:proofErr w:type="gramEnd"/>
      <w:r>
        <w:rPr>
          <w:rFonts w:ascii="宋体" w:hAnsi="宋体" w:cs="宋体"/>
          <w:sz w:val="24"/>
        </w:rPr>
        <w:t>文本，编写《编制说明》</w:t>
      </w:r>
      <w:r>
        <w:rPr>
          <w:rFonts w:ascii="宋体" w:hAnsi="宋体" w:cs="宋体" w:hint="eastAsia"/>
          <w:sz w:val="24"/>
        </w:rPr>
        <w:t>。</w:t>
      </w:r>
      <w:r>
        <w:rPr>
          <w:rFonts w:hint="eastAsia"/>
          <w:bCs/>
          <w:sz w:val="24"/>
        </w:rPr>
        <w:t>由北京华夏草业产业技术创新战略联盟组织国内相关专家对《饲用辣木栽培技术规程》征求意见稿及编制说明进行会议评审。</w:t>
      </w:r>
    </w:p>
    <w:p w14:paraId="71F810C8" w14:textId="77777777" w:rsidR="00CC1987" w:rsidRDefault="00000000" w:rsidP="009B7415">
      <w:pPr>
        <w:pStyle w:val="1"/>
        <w:spacing w:before="0" w:after="0"/>
      </w:pPr>
      <w:bookmarkStart w:id="5" w:name="_Toc176547934"/>
      <w:r>
        <w:rPr>
          <w:rFonts w:hint="eastAsia"/>
        </w:rPr>
        <w:t>三、标准编制原则和主要技术内容确定的依据</w:t>
      </w:r>
      <w:bookmarkEnd w:id="5"/>
    </w:p>
    <w:p w14:paraId="54A8B500" w14:textId="77777777" w:rsidR="00CC1987" w:rsidRPr="009B7415" w:rsidRDefault="00000000" w:rsidP="009B7415">
      <w:pPr>
        <w:pStyle w:val="2"/>
        <w:spacing w:before="0" w:after="0"/>
      </w:pPr>
      <w:bookmarkStart w:id="6" w:name="_Toc176547935"/>
      <w:r>
        <w:rPr>
          <w:rFonts w:hint="eastAsia"/>
        </w:rPr>
        <w:t>1</w:t>
      </w:r>
      <w:r>
        <w:rPr>
          <w:rFonts w:hint="eastAsia"/>
        </w:rPr>
        <w:t>、标准编制原则</w:t>
      </w:r>
      <w:bookmarkEnd w:id="6"/>
    </w:p>
    <w:p w14:paraId="1C53B01E" w14:textId="77777777" w:rsidR="00CC1987" w:rsidRDefault="00000000">
      <w:pPr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本标准按照GB/T 1.1-2020《标准化工作导则 第1部分：标准化文件的结构和起草规则》的要求和规定编写内容。在编制时基于试验验证基础数据的同时，主要参考了《</w:t>
      </w:r>
      <w:r>
        <w:rPr>
          <w:rFonts w:ascii="宋体" w:hAnsi="宋体" w:cs="宋体"/>
          <w:sz w:val="24"/>
          <w:szCs w:val="24"/>
        </w:rPr>
        <w:t>DB44/T 2181-2019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辣木栽培技术规程</w:t>
      </w:r>
      <w:r>
        <w:rPr>
          <w:rFonts w:ascii="宋体" w:hAnsi="宋体"/>
          <w:bCs/>
          <w:sz w:val="24"/>
          <w:szCs w:val="24"/>
        </w:rPr>
        <w:t>》、《</w:t>
      </w:r>
      <w:r>
        <w:rPr>
          <w:rFonts w:ascii="宋体" w:hAnsi="宋体" w:hint="eastAsia"/>
          <w:bCs/>
          <w:sz w:val="24"/>
          <w:szCs w:val="24"/>
        </w:rPr>
        <w:t>GB 5084 农田灌溉水质标准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GB 15618 土壤环境质量农用地土壤污染风险管控标准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GB/T 15776 造林技术规程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LY/T 1000 容器育苗技术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LY/T 2289 林木种苗生产经营方案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LY/T 2290 林木种苗标签</w:t>
      </w:r>
      <w:r>
        <w:rPr>
          <w:rFonts w:ascii="宋体" w:hAnsi="宋体"/>
          <w:bCs/>
          <w:sz w:val="24"/>
          <w:szCs w:val="24"/>
        </w:rPr>
        <w:t>》</w:t>
      </w:r>
      <w:r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>《</w:t>
      </w:r>
      <w:r>
        <w:rPr>
          <w:rFonts w:ascii="宋体" w:hAnsi="宋体" w:hint="eastAsia"/>
          <w:bCs/>
          <w:sz w:val="24"/>
          <w:szCs w:val="24"/>
        </w:rPr>
        <w:t>GB/T 8321 农药合理使用准则</w:t>
      </w:r>
      <w:r>
        <w:rPr>
          <w:rFonts w:ascii="宋体" w:hAnsi="宋体"/>
          <w:bCs/>
          <w:sz w:val="24"/>
          <w:szCs w:val="24"/>
        </w:rPr>
        <w:t>》及</w:t>
      </w:r>
      <w:r>
        <w:rPr>
          <w:rFonts w:ascii="宋体" w:hAnsi="宋体" w:hint="eastAsia"/>
          <w:bCs/>
          <w:sz w:val="24"/>
          <w:szCs w:val="24"/>
        </w:rPr>
        <w:t>饲用</w:t>
      </w:r>
      <w:proofErr w:type="gramStart"/>
      <w:r>
        <w:rPr>
          <w:rFonts w:ascii="宋体" w:hAnsi="宋体" w:hint="eastAsia"/>
          <w:bCs/>
          <w:sz w:val="24"/>
          <w:szCs w:val="24"/>
        </w:rPr>
        <w:t>辣木</w:t>
      </w:r>
      <w:r>
        <w:rPr>
          <w:rFonts w:ascii="宋体" w:hAnsi="宋体"/>
          <w:bCs/>
          <w:sz w:val="24"/>
          <w:szCs w:val="24"/>
        </w:rPr>
        <w:t>相关</w:t>
      </w:r>
      <w:proofErr w:type="gramEnd"/>
      <w:r>
        <w:rPr>
          <w:rFonts w:ascii="宋体" w:hAnsi="宋体"/>
          <w:bCs/>
          <w:sz w:val="24"/>
          <w:szCs w:val="24"/>
        </w:rPr>
        <w:t>文献。</w:t>
      </w:r>
    </w:p>
    <w:p w14:paraId="6734B403" w14:textId="77777777" w:rsidR="00CC1987" w:rsidRDefault="00000000">
      <w:pPr>
        <w:spacing w:line="360" w:lineRule="auto"/>
        <w:ind w:firstLineChars="200" w:firstLine="480"/>
        <w:rPr>
          <w:sz w:val="24"/>
        </w:rPr>
      </w:pPr>
      <w:r>
        <w:rPr>
          <w:bCs/>
          <w:color w:val="000000"/>
          <w:sz w:val="24"/>
        </w:rPr>
        <w:t>本标准制定过程中，始终遵循密切联系生产实践，确保标准具有较强的科学性、可操作性，坚持促进行业规范发展的基本原则，</w:t>
      </w:r>
      <w:r>
        <w:rPr>
          <w:rFonts w:hint="eastAsia"/>
          <w:sz w:val="24"/>
        </w:rPr>
        <w:t>以科学性、实用性、先进性作为编制标准的指导思想，在文字结构上力求严谨、简洁、科学。</w:t>
      </w:r>
    </w:p>
    <w:p w14:paraId="2A46D5F2" w14:textId="77777777" w:rsidR="00CC1987" w:rsidRDefault="00000000" w:rsidP="009B7415">
      <w:pPr>
        <w:pStyle w:val="2"/>
        <w:spacing w:before="0" w:after="0"/>
        <w:rPr>
          <w:rFonts w:hint="eastAsia"/>
        </w:rPr>
      </w:pPr>
      <w:bookmarkStart w:id="7" w:name="_Toc176547936"/>
      <w:r>
        <w:rPr>
          <w:rFonts w:hint="eastAsia"/>
        </w:rPr>
        <w:t>2</w:t>
      </w:r>
      <w:r>
        <w:rPr>
          <w:rFonts w:hint="eastAsia"/>
        </w:rPr>
        <w:t>、主要技术内容确定的论据</w:t>
      </w:r>
      <w:bookmarkEnd w:id="7"/>
    </w:p>
    <w:p w14:paraId="7A8A7E00" w14:textId="77777777" w:rsidR="00CC1987" w:rsidRDefault="00000000">
      <w:pPr>
        <w:numPr>
          <w:ilvl w:val="0"/>
          <w:numId w:val="3"/>
        </w:numPr>
        <w:spacing w:line="36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适用范围</w:t>
      </w:r>
    </w:p>
    <w:p w14:paraId="2E10C514" w14:textId="77777777" w:rsidR="00CC1987" w:rsidRDefault="00000000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本标准主要是基于</w:t>
      </w:r>
      <w:proofErr w:type="gramStart"/>
      <w:r>
        <w:rPr>
          <w:rFonts w:hint="eastAsia"/>
          <w:sz w:val="24"/>
        </w:rPr>
        <w:t>适于辣木种植</w:t>
      </w:r>
      <w:proofErr w:type="gramEnd"/>
      <w:r>
        <w:rPr>
          <w:rFonts w:hint="eastAsia"/>
          <w:sz w:val="24"/>
        </w:rPr>
        <w:t>地区进行的多年推广，取得了初步成效，在实践和不断完善的基础上初步制定形成了“饲用辣木栽培技术规程”。</w:t>
      </w:r>
    </w:p>
    <w:p w14:paraId="54656C80" w14:textId="77777777" w:rsidR="00CC1987" w:rsidRDefault="00000000">
      <w:pPr>
        <w:spacing w:line="360" w:lineRule="auto"/>
        <w:ind w:firstLineChars="200" w:firstLine="480"/>
        <w:rPr>
          <w:sz w:val="24"/>
        </w:rPr>
      </w:pPr>
      <w:proofErr w:type="gramStart"/>
      <w:r>
        <w:rPr>
          <w:rFonts w:hint="eastAsia"/>
          <w:sz w:val="24"/>
        </w:rPr>
        <w:t>辣木作为</w:t>
      </w:r>
      <w:proofErr w:type="gramEnd"/>
      <w:r>
        <w:rPr>
          <w:rFonts w:hint="eastAsia"/>
          <w:sz w:val="24"/>
        </w:rPr>
        <w:t>一种高蛋白粗饲料来源，具有适口性好，营养丰富，等特点。因此，本标准的适用范围是：本规程规定了</w:t>
      </w:r>
      <w:proofErr w:type="gramStart"/>
      <w:r>
        <w:rPr>
          <w:rFonts w:hint="eastAsia"/>
          <w:sz w:val="24"/>
        </w:rPr>
        <w:t>饲用辣木的</w:t>
      </w:r>
      <w:proofErr w:type="gramEnd"/>
      <w:r>
        <w:rPr>
          <w:rFonts w:hint="eastAsia"/>
          <w:sz w:val="24"/>
        </w:rPr>
        <w:t>适生条件、育苗条件、种植技术、抚育管理和收获技术。本规程</w:t>
      </w:r>
      <w:proofErr w:type="gramStart"/>
      <w:r>
        <w:rPr>
          <w:rFonts w:hint="eastAsia"/>
          <w:sz w:val="24"/>
        </w:rPr>
        <w:t>适用于辣木饲料</w:t>
      </w:r>
      <w:proofErr w:type="gramEnd"/>
      <w:r>
        <w:rPr>
          <w:rFonts w:hint="eastAsia"/>
          <w:sz w:val="24"/>
        </w:rPr>
        <w:t>生产。</w:t>
      </w:r>
    </w:p>
    <w:p w14:paraId="52005B57" w14:textId="77777777" w:rsidR="00CC1987" w:rsidRDefault="00000000">
      <w:pPr>
        <w:numPr>
          <w:ilvl w:val="0"/>
          <w:numId w:val="3"/>
        </w:numPr>
        <w:spacing w:line="36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规范性引用文件</w:t>
      </w:r>
    </w:p>
    <w:p w14:paraId="72BD0792" w14:textId="77777777" w:rsidR="00CC1987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本标准制定时，参照了</w:t>
      </w:r>
      <w:r>
        <w:rPr>
          <w:rFonts w:hint="eastAsia"/>
          <w:sz w:val="24"/>
        </w:rPr>
        <w:t xml:space="preserve">GB/T 13078 </w:t>
      </w:r>
      <w:r>
        <w:rPr>
          <w:rFonts w:hint="eastAsia"/>
          <w:sz w:val="24"/>
        </w:rPr>
        <w:t>饲料卫生标准，</w:t>
      </w:r>
      <w:r>
        <w:rPr>
          <w:rFonts w:hint="eastAsia"/>
          <w:sz w:val="24"/>
        </w:rPr>
        <w:t>GB/T1.12009</w:t>
      </w:r>
      <w:r>
        <w:rPr>
          <w:rFonts w:hint="eastAsia"/>
          <w:sz w:val="24"/>
        </w:rPr>
        <w:t>标准化工作导则，</w:t>
      </w:r>
      <w:r>
        <w:rPr>
          <w:rFonts w:hint="eastAsia"/>
          <w:sz w:val="24"/>
        </w:rPr>
        <w:t xml:space="preserve">GB/T20000 </w:t>
      </w:r>
      <w:r>
        <w:rPr>
          <w:rFonts w:hint="eastAsia"/>
          <w:sz w:val="24"/>
        </w:rPr>
        <w:t>标准化工作指南。</w:t>
      </w:r>
    </w:p>
    <w:p w14:paraId="7F4D6101" w14:textId="77777777" w:rsidR="00CC1987" w:rsidRDefault="00000000">
      <w:pPr>
        <w:pStyle w:val="af3"/>
        <w:spacing w:line="360" w:lineRule="auto"/>
        <w:ind w:left="480" w:firstLineChars="0" w:firstLine="0"/>
        <w:jc w:val="left"/>
        <w:rPr>
          <w:sz w:val="24"/>
        </w:rPr>
      </w:pPr>
      <w:r>
        <w:rPr>
          <w:rFonts w:ascii="宋体" w:hAnsi="宋体" w:cs="黑体" w:hint="eastAsia"/>
          <w:kern w:val="0"/>
          <w:sz w:val="24"/>
        </w:rPr>
        <w:t>（3）主要</w:t>
      </w:r>
      <w:r>
        <w:rPr>
          <w:rFonts w:hint="eastAsia"/>
          <w:sz w:val="24"/>
        </w:rPr>
        <w:t>技术指标确定的依据</w:t>
      </w:r>
    </w:p>
    <w:p w14:paraId="568F59D4" w14:textId="77777777" w:rsidR="00CC1987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黑体" w:hint="eastAsia"/>
          <w:kern w:val="0"/>
          <w:sz w:val="24"/>
        </w:rPr>
        <w:t>本技术规程起草单位为华南农业大学、四川农业大学、山东丰唐生态农业科技有限公司、江西微源农业科技有限公司</w:t>
      </w:r>
    </w:p>
    <w:p w14:paraId="11791673" w14:textId="77777777" w:rsidR="00CC1987" w:rsidRDefault="00000000">
      <w:pPr>
        <w:pStyle w:val="af5"/>
        <w:spacing w:line="360" w:lineRule="auto"/>
        <w:ind w:firstLine="480"/>
        <w:jc w:val="left"/>
        <w:rPr>
          <w:rFonts w:ascii="Times New Roman" w:hAnsi="宋体" w:cs="黑体" w:hint="eastAsia"/>
          <w:kern w:val="2"/>
          <w:sz w:val="24"/>
          <w:szCs w:val="24"/>
        </w:rPr>
      </w:pPr>
      <w:r>
        <w:rPr>
          <w:rFonts w:ascii="Times New Roman" w:hAnsi="宋体" w:cs="黑体" w:hint="eastAsia"/>
          <w:kern w:val="2"/>
          <w:sz w:val="24"/>
          <w:szCs w:val="24"/>
        </w:rPr>
        <w:t>①栽培适生条件要求。</w:t>
      </w:r>
    </w:p>
    <w:p w14:paraId="4CA18326" w14:textId="77777777" w:rsidR="00CC1987" w:rsidRDefault="00000000">
      <w:pPr>
        <w:pStyle w:val="af5"/>
        <w:spacing w:line="360" w:lineRule="auto"/>
        <w:ind w:firstLine="480"/>
        <w:jc w:val="left"/>
        <w:rPr>
          <w:rFonts w:hAnsi="宋体" w:cs="黑体" w:hint="eastAsia"/>
          <w:sz w:val="24"/>
          <w:szCs w:val="24"/>
        </w:rPr>
      </w:pPr>
      <w:r>
        <w:rPr>
          <w:rFonts w:hAnsi="宋体" w:cs="黑体" w:hint="eastAsia"/>
          <w:sz w:val="24"/>
          <w:szCs w:val="24"/>
        </w:rPr>
        <w:t>土壤质量应达到国家《土壤环境质量标(GB15618-1995)》规定的二级以上标准。pH 6.0~8.0，以土层深厚、土质疏松肥沃、地下水位低和排水良好的砂土或粘土为宜。生长温度10℃~40℃和年降水量300 mm~3000 mm，生长适宜温度18℃~32℃和年降水量800~1800 mm，适宜海拔&lt; 1000 m，坡度&lt; 25°。</w:t>
      </w:r>
    </w:p>
    <w:p w14:paraId="2601C874" w14:textId="77777777" w:rsidR="00CC1987" w:rsidRDefault="00000000">
      <w:pPr>
        <w:ind w:firstLineChars="200" w:firstLine="480"/>
        <w:rPr>
          <w:rFonts w:hAnsi="宋体" w:cs="黑体" w:hint="eastAsia"/>
          <w:sz w:val="24"/>
          <w:szCs w:val="24"/>
        </w:rPr>
      </w:pPr>
      <w:r>
        <w:rPr>
          <w:rFonts w:hAnsi="宋体" w:cs="黑体" w:hint="eastAsia"/>
          <w:sz w:val="24"/>
          <w:szCs w:val="24"/>
        </w:rPr>
        <w:t>②育苗条件。</w:t>
      </w:r>
    </w:p>
    <w:p w14:paraId="5F73636D" w14:textId="77777777" w:rsidR="00CC1987" w:rsidRDefault="00000000">
      <w:pPr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>选择无霉变、无虫蛀、颗粒饱满、无皱、干燥的圆形带褐色或呈浅褐色的籽粒种子。用55℃左右温水浸种4 h，再用30℃温水浸种1 d，然后用500~1000倍的多菌灵或</w:t>
      </w:r>
      <w:proofErr w:type="gramStart"/>
      <w:r>
        <w:rPr>
          <w:rFonts w:ascii="宋体" w:hAnsi="宋体" w:cs="黑体" w:hint="eastAsia"/>
          <w:kern w:val="0"/>
          <w:sz w:val="24"/>
          <w:szCs w:val="24"/>
        </w:rPr>
        <w:t>百清菌</w:t>
      </w:r>
      <w:proofErr w:type="gramEnd"/>
      <w:r>
        <w:rPr>
          <w:rFonts w:ascii="宋体" w:hAnsi="宋体" w:cs="黑体" w:hint="eastAsia"/>
          <w:kern w:val="0"/>
          <w:sz w:val="24"/>
          <w:szCs w:val="24"/>
        </w:rPr>
        <w:t>浸种6 h~12 h，用清水冲洗1次，种子萌发温度32℃。</w:t>
      </w:r>
    </w:p>
    <w:p w14:paraId="407A17AF" w14:textId="77777777" w:rsidR="00CC1987" w:rsidRDefault="00000000">
      <w:pPr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>种子直播。即将种子直接播于种植穴内，覆土1 cm~2 cm，播种量为35 g/m2~50 g/m2，依据种子大小、含水量、纯度做出适当调整，一般于播后7 d~11 d发芽。</w:t>
      </w:r>
    </w:p>
    <w:p w14:paraId="361FFCCE" w14:textId="77777777" w:rsidR="00CC1987" w:rsidRDefault="00000000">
      <w:pPr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>育苗移栽。即采用</w:t>
      </w:r>
      <w:proofErr w:type="gramStart"/>
      <w:r>
        <w:rPr>
          <w:rFonts w:ascii="宋体" w:hAnsi="宋体" w:cs="黑体" w:hint="eastAsia"/>
          <w:kern w:val="0"/>
          <w:sz w:val="24"/>
          <w:szCs w:val="24"/>
        </w:rPr>
        <w:t>营养杯</w:t>
      </w:r>
      <w:proofErr w:type="gramEnd"/>
      <w:r>
        <w:rPr>
          <w:rFonts w:ascii="宋体" w:hAnsi="宋体" w:cs="黑体" w:hint="eastAsia"/>
          <w:kern w:val="0"/>
          <w:sz w:val="24"/>
          <w:szCs w:val="24"/>
        </w:rPr>
        <w:t>育苗（容器育苗），营养土最好是选用透水的沙土混合有机肥装入杯中，幼苗长到30~50 cm高度时可移栽。移栽时，注意保护幼根，遵循“三要三边” 和“四栽四不栽”的移栽原则，即行要栽直，根要栽稳，棵要栽正；边起苗，边移栽，</w:t>
      </w:r>
      <w:proofErr w:type="gramStart"/>
      <w:r>
        <w:rPr>
          <w:rFonts w:ascii="宋体" w:hAnsi="宋体" w:cs="黑体" w:hint="eastAsia"/>
          <w:kern w:val="0"/>
          <w:sz w:val="24"/>
          <w:szCs w:val="24"/>
        </w:rPr>
        <w:t>边浇定根</w:t>
      </w:r>
      <w:proofErr w:type="gramEnd"/>
      <w:r>
        <w:rPr>
          <w:rFonts w:ascii="宋体" w:hAnsi="宋体" w:cs="黑体" w:hint="eastAsia"/>
          <w:kern w:val="0"/>
          <w:sz w:val="24"/>
          <w:szCs w:val="24"/>
        </w:rPr>
        <w:t>水。大小苗分栽不混栽，栽</w:t>
      </w:r>
      <w:proofErr w:type="gramStart"/>
      <w:r>
        <w:rPr>
          <w:rFonts w:ascii="宋体" w:hAnsi="宋体" w:cs="黑体" w:hint="eastAsia"/>
          <w:kern w:val="0"/>
          <w:sz w:val="24"/>
          <w:szCs w:val="24"/>
        </w:rPr>
        <w:t>新鲜苗</w:t>
      </w:r>
      <w:proofErr w:type="gramEnd"/>
      <w:r>
        <w:rPr>
          <w:rFonts w:ascii="宋体" w:hAnsi="宋体" w:cs="黑体" w:hint="eastAsia"/>
          <w:kern w:val="0"/>
          <w:sz w:val="24"/>
          <w:szCs w:val="24"/>
        </w:rPr>
        <w:t>不栽隔夜苗，栽直根苗不栽弯根苗，</w:t>
      </w:r>
      <w:proofErr w:type="gramStart"/>
      <w:r>
        <w:rPr>
          <w:rFonts w:ascii="宋体" w:hAnsi="宋体" w:cs="黑体" w:hint="eastAsia"/>
          <w:kern w:val="0"/>
          <w:sz w:val="24"/>
          <w:szCs w:val="24"/>
        </w:rPr>
        <w:t>栽紧根苗</w:t>
      </w:r>
      <w:proofErr w:type="gramEnd"/>
      <w:r>
        <w:rPr>
          <w:rFonts w:ascii="宋体" w:hAnsi="宋体" w:cs="黑体" w:hint="eastAsia"/>
          <w:kern w:val="0"/>
          <w:sz w:val="24"/>
          <w:szCs w:val="24"/>
        </w:rPr>
        <w:t>不栽吊根苗(地面压紧，不要悬空)，遇到</w:t>
      </w:r>
      <w:proofErr w:type="gramStart"/>
      <w:r>
        <w:rPr>
          <w:rFonts w:ascii="宋体" w:hAnsi="宋体" w:cs="黑体" w:hint="eastAsia"/>
          <w:kern w:val="0"/>
          <w:sz w:val="24"/>
          <w:szCs w:val="24"/>
        </w:rPr>
        <w:t>离脚苗要深栽</w:t>
      </w:r>
      <w:proofErr w:type="gramEnd"/>
      <w:r>
        <w:rPr>
          <w:rFonts w:ascii="宋体" w:hAnsi="宋体" w:cs="黑体" w:hint="eastAsia"/>
          <w:kern w:val="0"/>
          <w:sz w:val="24"/>
          <w:szCs w:val="24"/>
        </w:rPr>
        <w:t>。</w:t>
      </w:r>
    </w:p>
    <w:p w14:paraId="53B52762" w14:textId="77777777" w:rsidR="00CC1987" w:rsidRDefault="00000000">
      <w:pPr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>苗床培育。种子进行浸种消毒，沙铺成地块充分湿润，种子散播在沙面再盖上少许</w:t>
      </w:r>
      <w:proofErr w:type="gramStart"/>
      <w:r>
        <w:rPr>
          <w:rFonts w:ascii="宋体" w:hAnsi="宋体" w:cs="黑体" w:hint="eastAsia"/>
          <w:kern w:val="0"/>
          <w:sz w:val="24"/>
          <w:szCs w:val="24"/>
        </w:rPr>
        <w:t>沙保持</w:t>
      </w:r>
      <w:proofErr w:type="gramEnd"/>
      <w:r>
        <w:rPr>
          <w:rFonts w:ascii="宋体" w:hAnsi="宋体" w:cs="黑体" w:hint="eastAsia"/>
          <w:kern w:val="0"/>
          <w:sz w:val="24"/>
          <w:szCs w:val="24"/>
        </w:rPr>
        <w:t>沙土湿润，直到种子发芽后几天移植到营养杯中培育。</w:t>
      </w:r>
    </w:p>
    <w:p w14:paraId="6963CF9A" w14:textId="77777777" w:rsidR="00CC1987" w:rsidRDefault="00000000">
      <w:pPr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  <w:szCs w:val="24"/>
        </w:rPr>
      </w:pPr>
      <w:r>
        <w:rPr>
          <w:rFonts w:ascii="宋体" w:hAnsi="宋体" w:cs="黑体" w:hint="eastAsia"/>
          <w:kern w:val="0"/>
          <w:sz w:val="24"/>
          <w:szCs w:val="24"/>
        </w:rPr>
        <w:t>扦插育苗：选用带顶芽的茎、枝条粗4 cm~15 cm、长100 cm~150 cm 的枝条进行扦插。扦插时应把1/3 的插条埋在穴里，盖土，盖草保湿，易于促进根系生长，成活率高。</w:t>
      </w:r>
    </w:p>
    <w:p w14:paraId="76861BFD" w14:textId="77777777" w:rsidR="00CC1987" w:rsidRDefault="00000000">
      <w:pPr>
        <w:pStyle w:val="af5"/>
        <w:spacing w:line="360" w:lineRule="auto"/>
        <w:ind w:firstLine="480"/>
        <w:jc w:val="left"/>
        <w:rPr>
          <w:rFonts w:hAnsi="宋体" w:cs="黑体" w:hint="eastAsia"/>
          <w:sz w:val="24"/>
          <w:szCs w:val="24"/>
        </w:rPr>
      </w:pPr>
      <w:r>
        <w:rPr>
          <w:rFonts w:hAnsi="宋体" w:cs="黑体" w:hint="eastAsia"/>
          <w:sz w:val="24"/>
          <w:szCs w:val="24"/>
        </w:rPr>
        <w:t>③种植技术。</w:t>
      </w:r>
    </w:p>
    <w:p w14:paraId="5F4A9134" w14:textId="77777777" w:rsidR="00CC1987" w:rsidRDefault="00000000">
      <w:pPr>
        <w:pStyle w:val="af5"/>
        <w:spacing w:line="360" w:lineRule="auto"/>
        <w:ind w:firstLine="480"/>
        <w:jc w:val="left"/>
        <w:rPr>
          <w:rFonts w:hAnsi="宋体" w:cs="黑体" w:hint="eastAsia"/>
          <w:sz w:val="24"/>
          <w:szCs w:val="24"/>
        </w:rPr>
      </w:pPr>
      <w:r>
        <w:rPr>
          <w:rFonts w:hAnsi="宋体" w:cs="黑体" w:hint="eastAsia"/>
          <w:sz w:val="24"/>
          <w:szCs w:val="24"/>
        </w:rPr>
        <w:t>整地；整地方式采用穴状整地、垄作等方式，具体参考《GB/T 15776-2016  造林技术规程》。穴状整地：适宜于坡度15°~25°的山地和丘陵地区，尤其在土壤立地条件不好、水蚀严重的地带。种植</w:t>
      </w:r>
      <w:proofErr w:type="gramStart"/>
      <w:r>
        <w:rPr>
          <w:rFonts w:hAnsi="宋体" w:cs="黑体" w:hint="eastAsia"/>
          <w:sz w:val="24"/>
          <w:szCs w:val="24"/>
        </w:rPr>
        <w:t>穴</w:t>
      </w:r>
      <w:proofErr w:type="gramEnd"/>
      <w:r>
        <w:rPr>
          <w:rFonts w:hAnsi="宋体" w:cs="黑体" w:hint="eastAsia"/>
          <w:sz w:val="24"/>
          <w:szCs w:val="24"/>
        </w:rPr>
        <w:t>规格50 cm×50 cm×60 cm。</w:t>
      </w:r>
      <w:proofErr w:type="gramStart"/>
      <w:r>
        <w:rPr>
          <w:rFonts w:hAnsi="宋体" w:cs="黑体" w:hint="eastAsia"/>
          <w:sz w:val="24"/>
          <w:szCs w:val="24"/>
        </w:rPr>
        <w:t>辣木忌</w:t>
      </w:r>
      <w:proofErr w:type="gramEnd"/>
      <w:r>
        <w:rPr>
          <w:rFonts w:hAnsi="宋体" w:cs="黑体" w:hint="eastAsia"/>
          <w:sz w:val="24"/>
          <w:szCs w:val="24"/>
        </w:rPr>
        <w:t>水涝，以高垄作为宜，整地应具有良好的排水。</w:t>
      </w:r>
    </w:p>
    <w:p w14:paraId="67AD7730" w14:textId="77777777" w:rsidR="00CC1987" w:rsidRDefault="00000000">
      <w:pPr>
        <w:pStyle w:val="af5"/>
        <w:spacing w:line="360" w:lineRule="auto"/>
        <w:ind w:firstLine="480"/>
        <w:jc w:val="left"/>
        <w:rPr>
          <w:rFonts w:hAnsi="宋体" w:cs="黑体" w:hint="eastAsia"/>
          <w:sz w:val="24"/>
          <w:szCs w:val="24"/>
        </w:rPr>
      </w:pPr>
      <w:r>
        <w:rPr>
          <w:rFonts w:hAnsi="宋体" w:cs="黑体" w:hint="eastAsia"/>
          <w:sz w:val="24"/>
          <w:szCs w:val="24"/>
        </w:rPr>
        <w:t>基肥；基肥选用有机肥12000~15000 kg/hm2或复合肥（N:P2O5:K2O=15:15:15的具体含量）45~50 kg/hm2。一般在定植前60 d施用有机肥，或定植前20 d~30 d在穴中施放腐熟的土杂肥10 kg~30 kg，回填表土</w:t>
      </w:r>
      <w:proofErr w:type="gramStart"/>
      <w:r>
        <w:rPr>
          <w:rFonts w:hAnsi="宋体" w:cs="黑体" w:hint="eastAsia"/>
          <w:sz w:val="24"/>
          <w:szCs w:val="24"/>
        </w:rPr>
        <w:t>至穴深1/3处</w:t>
      </w:r>
      <w:proofErr w:type="gramEnd"/>
      <w:r>
        <w:rPr>
          <w:rFonts w:hAnsi="宋体" w:cs="黑体" w:hint="eastAsia"/>
          <w:sz w:val="24"/>
          <w:szCs w:val="24"/>
        </w:rPr>
        <w:t>，将基肥与表土充分拌匀，然后将心土填满定植穴，回填土略高于地表。</w:t>
      </w:r>
    </w:p>
    <w:p w14:paraId="0AB60CB0" w14:textId="77777777" w:rsidR="00CC1987" w:rsidRDefault="00000000">
      <w:pPr>
        <w:pStyle w:val="af5"/>
        <w:spacing w:line="360" w:lineRule="auto"/>
        <w:ind w:firstLine="480"/>
        <w:jc w:val="left"/>
        <w:rPr>
          <w:rFonts w:hAnsi="宋体" w:cs="黑体" w:hint="eastAsia"/>
          <w:sz w:val="24"/>
          <w:szCs w:val="24"/>
        </w:rPr>
      </w:pPr>
      <w:r>
        <w:rPr>
          <w:rFonts w:hAnsi="宋体" w:cs="黑体" w:hint="eastAsia"/>
          <w:sz w:val="24"/>
          <w:szCs w:val="24"/>
        </w:rPr>
        <w:t>移栽时间；广东地区水热条件较好，</w:t>
      </w:r>
      <w:proofErr w:type="gramStart"/>
      <w:r>
        <w:rPr>
          <w:rFonts w:hAnsi="宋体" w:cs="黑体" w:hint="eastAsia"/>
          <w:sz w:val="24"/>
          <w:szCs w:val="24"/>
        </w:rPr>
        <w:t>辣木全年</w:t>
      </w:r>
      <w:proofErr w:type="gramEnd"/>
      <w:r>
        <w:rPr>
          <w:rFonts w:hAnsi="宋体" w:cs="黑体" w:hint="eastAsia"/>
          <w:sz w:val="24"/>
          <w:szCs w:val="24"/>
        </w:rPr>
        <w:t>都可以播种或移栽。一般采取春季育苗。春雨季节在3月~5月种植为宜，选择在雨透后的阴天进行，若气温高或加薄膜覆盖可以适当提前。</w:t>
      </w:r>
    </w:p>
    <w:p w14:paraId="384EFA40" w14:textId="77777777" w:rsidR="00CC1987" w:rsidRDefault="00000000">
      <w:pPr>
        <w:pStyle w:val="af5"/>
        <w:spacing w:line="360" w:lineRule="auto"/>
        <w:ind w:firstLine="480"/>
        <w:jc w:val="left"/>
        <w:rPr>
          <w:rFonts w:hAnsi="宋体" w:cs="黑体" w:hint="eastAsia"/>
          <w:sz w:val="24"/>
          <w:szCs w:val="24"/>
        </w:rPr>
      </w:pPr>
      <w:r>
        <w:rPr>
          <w:rFonts w:hAnsi="宋体" w:cs="黑体" w:hint="eastAsia"/>
          <w:sz w:val="24"/>
          <w:szCs w:val="24"/>
        </w:rPr>
        <w:t>种植密度；视种植目的、立地条件等因素而确定，</w:t>
      </w:r>
      <w:proofErr w:type="gramStart"/>
      <w:r>
        <w:rPr>
          <w:rFonts w:hAnsi="宋体" w:cs="黑体" w:hint="eastAsia"/>
          <w:sz w:val="24"/>
          <w:szCs w:val="24"/>
        </w:rPr>
        <w:t>采稍及</w:t>
      </w:r>
      <w:proofErr w:type="gramEnd"/>
      <w:r>
        <w:rPr>
          <w:rFonts w:hAnsi="宋体" w:cs="黑体" w:hint="eastAsia"/>
          <w:sz w:val="24"/>
          <w:szCs w:val="24"/>
        </w:rPr>
        <w:t>采鲜果</w:t>
      </w:r>
      <w:proofErr w:type="gramStart"/>
      <w:r>
        <w:rPr>
          <w:rFonts w:hAnsi="宋体" w:cs="黑体" w:hint="eastAsia"/>
          <w:sz w:val="24"/>
          <w:szCs w:val="24"/>
        </w:rPr>
        <w:t>的辣木林</w:t>
      </w:r>
      <w:proofErr w:type="gramEnd"/>
      <w:r>
        <w:rPr>
          <w:rFonts w:hAnsi="宋体" w:cs="黑体" w:hint="eastAsia"/>
          <w:sz w:val="24"/>
          <w:szCs w:val="24"/>
        </w:rPr>
        <w:t>种植密度可比采叶及采种的大，坡地的种植密度可比平地小。一般以采叶茎为目的</w:t>
      </w:r>
      <w:proofErr w:type="gramStart"/>
      <w:r>
        <w:rPr>
          <w:rFonts w:hAnsi="宋体" w:cs="黑体" w:hint="eastAsia"/>
          <w:sz w:val="24"/>
          <w:szCs w:val="24"/>
        </w:rPr>
        <w:t>的辣木种植密度</w:t>
      </w:r>
      <w:proofErr w:type="gramEnd"/>
      <w:r>
        <w:rPr>
          <w:rFonts w:hAnsi="宋体" w:cs="黑体" w:hint="eastAsia"/>
          <w:sz w:val="24"/>
          <w:szCs w:val="24"/>
        </w:rPr>
        <w:t>4167 株/hm2~5555 株/hm2，株行距为0.3 m~0.4 m×0.6 m，集约化种植</w:t>
      </w:r>
      <w:proofErr w:type="gramStart"/>
      <w:r>
        <w:rPr>
          <w:rFonts w:hAnsi="宋体" w:cs="黑体" w:hint="eastAsia"/>
          <w:sz w:val="24"/>
          <w:szCs w:val="24"/>
        </w:rPr>
        <w:t>推荐辣木种植密度</w:t>
      </w:r>
      <w:proofErr w:type="gramEnd"/>
      <w:r>
        <w:rPr>
          <w:rFonts w:hAnsi="宋体" w:cs="黑体" w:hint="eastAsia"/>
          <w:sz w:val="24"/>
          <w:szCs w:val="24"/>
        </w:rPr>
        <w:t>6250 株/hm2，株行距为0.4 m×0.4 m。以采种子为目的</w:t>
      </w:r>
      <w:proofErr w:type="gramStart"/>
      <w:r>
        <w:rPr>
          <w:rFonts w:hAnsi="宋体" w:cs="黑体" w:hint="eastAsia"/>
          <w:sz w:val="24"/>
          <w:szCs w:val="24"/>
        </w:rPr>
        <w:t>推荐辣木种植密度</w:t>
      </w:r>
      <w:proofErr w:type="gramEnd"/>
      <w:r>
        <w:rPr>
          <w:rFonts w:hAnsi="宋体" w:cs="黑体" w:hint="eastAsia"/>
          <w:sz w:val="24"/>
          <w:szCs w:val="24"/>
        </w:rPr>
        <w:t>1389 株/hm2左右，株行距为0.6 m×1.2 m。兼用型</w:t>
      </w:r>
      <w:proofErr w:type="gramStart"/>
      <w:r>
        <w:rPr>
          <w:rFonts w:hAnsi="宋体" w:cs="黑体" w:hint="eastAsia"/>
          <w:sz w:val="24"/>
          <w:szCs w:val="24"/>
        </w:rPr>
        <w:t>的辣木种植密度</w:t>
      </w:r>
      <w:proofErr w:type="gramEnd"/>
      <w:r>
        <w:rPr>
          <w:rFonts w:hAnsi="宋体" w:cs="黑体" w:hint="eastAsia"/>
          <w:sz w:val="24"/>
          <w:szCs w:val="24"/>
        </w:rPr>
        <w:t>10417 株/hm2~20000 株/hm2，株行距为0.5 m×1 m或0.8 m×1.2 m。营养物质富集</w:t>
      </w:r>
      <w:proofErr w:type="gramStart"/>
      <w:r>
        <w:rPr>
          <w:rFonts w:hAnsi="宋体" w:cs="黑体" w:hint="eastAsia"/>
          <w:sz w:val="24"/>
          <w:szCs w:val="24"/>
        </w:rPr>
        <w:t>的辣木种植密度</w:t>
      </w:r>
      <w:proofErr w:type="gramEnd"/>
      <w:r>
        <w:rPr>
          <w:rFonts w:hAnsi="宋体" w:cs="黑体" w:hint="eastAsia"/>
          <w:sz w:val="24"/>
          <w:szCs w:val="24"/>
        </w:rPr>
        <w:t>为40cm*40cm。</w:t>
      </w:r>
    </w:p>
    <w:p w14:paraId="6B17EACD" w14:textId="77777777" w:rsidR="00CC1987" w:rsidRDefault="00000000">
      <w:pPr>
        <w:pStyle w:val="af5"/>
        <w:spacing w:line="360" w:lineRule="auto"/>
        <w:ind w:firstLine="480"/>
        <w:jc w:val="left"/>
        <w:rPr>
          <w:rFonts w:hAnsi="宋体" w:cs="黑体" w:hint="eastAsia"/>
          <w:sz w:val="24"/>
          <w:szCs w:val="24"/>
        </w:rPr>
      </w:pPr>
      <w:r>
        <w:rPr>
          <w:rFonts w:hAnsi="宋体" w:cs="黑体" w:hint="eastAsia"/>
          <w:sz w:val="24"/>
          <w:szCs w:val="24"/>
        </w:rPr>
        <w:t>苗木处理；裸根苗应随起随栽，当天栽不完的苗木应假植。在之前应剪去苗木过长的主根和摘除部分老叶，蘸根打浆。</w:t>
      </w:r>
      <w:proofErr w:type="gramStart"/>
      <w:r>
        <w:rPr>
          <w:rFonts w:hAnsi="宋体" w:cs="黑体" w:hint="eastAsia"/>
          <w:sz w:val="24"/>
          <w:szCs w:val="24"/>
        </w:rPr>
        <w:t>营养杯苗</w:t>
      </w:r>
      <w:proofErr w:type="gramEnd"/>
      <w:r>
        <w:rPr>
          <w:rFonts w:hAnsi="宋体" w:cs="黑体" w:hint="eastAsia"/>
          <w:sz w:val="24"/>
          <w:szCs w:val="24"/>
        </w:rPr>
        <w:t>（容器苗）要保证容器完整，对不需要破坏容器苗木应与容器一同栽植，对于需要除去容器的苗木，移栽时须要破除容器。</w:t>
      </w:r>
    </w:p>
    <w:p w14:paraId="4F9F3652" w14:textId="77777777" w:rsidR="00CC1987" w:rsidRDefault="00000000">
      <w:pPr>
        <w:pStyle w:val="af5"/>
        <w:spacing w:line="360" w:lineRule="auto"/>
        <w:ind w:firstLine="480"/>
        <w:jc w:val="left"/>
        <w:rPr>
          <w:rFonts w:hAnsi="宋体" w:cs="黑体" w:hint="eastAsia"/>
          <w:sz w:val="24"/>
          <w:szCs w:val="24"/>
        </w:rPr>
      </w:pPr>
      <w:r>
        <w:rPr>
          <w:rFonts w:hAnsi="宋体" w:cs="黑体" w:hint="eastAsia"/>
          <w:sz w:val="24"/>
          <w:szCs w:val="24"/>
        </w:rPr>
        <w:t>栽培；栽培时不损伤根系，注意保护</w:t>
      </w:r>
      <w:proofErr w:type="gramStart"/>
      <w:r>
        <w:rPr>
          <w:rFonts w:hAnsi="宋体" w:cs="黑体" w:hint="eastAsia"/>
          <w:sz w:val="24"/>
          <w:szCs w:val="24"/>
        </w:rPr>
        <w:t>幼</w:t>
      </w:r>
      <w:proofErr w:type="gramEnd"/>
      <w:r>
        <w:rPr>
          <w:rFonts w:hAnsi="宋体" w:cs="黑体" w:hint="eastAsia"/>
          <w:sz w:val="24"/>
          <w:szCs w:val="24"/>
        </w:rPr>
        <w:t>根系。栽培时，挖开</w:t>
      </w:r>
      <w:proofErr w:type="gramStart"/>
      <w:r>
        <w:rPr>
          <w:rFonts w:hAnsi="宋体" w:cs="黑体" w:hint="eastAsia"/>
          <w:sz w:val="24"/>
          <w:szCs w:val="24"/>
        </w:rPr>
        <w:t>穴土至中间</w:t>
      </w:r>
      <w:proofErr w:type="gramEnd"/>
      <w:r>
        <w:rPr>
          <w:rFonts w:hAnsi="宋体" w:cs="黑体" w:hint="eastAsia"/>
          <w:sz w:val="24"/>
          <w:szCs w:val="24"/>
        </w:rPr>
        <w:t>位置，放入苗木，苗木扶正、适当深栽，回土要细，适当紧压，继续回</w:t>
      </w:r>
      <w:proofErr w:type="gramStart"/>
      <w:r>
        <w:rPr>
          <w:rFonts w:hAnsi="宋体" w:cs="黑体" w:hint="eastAsia"/>
          <w:sz w:val="24"/>
          <w:szCs w:val="24"/>
        </w:rPr>
        <w:t>土直穴</w:t>
      </w:r>
      <w:proofErr w:type="gramEnd"/>
      <w:r>
        <w:rPr>
          <w:rFonts w:hAnsi="宋体" w:cs="黑体" w:hint="eastAsia"/>
          <w:sz w:val="24"/>
          <w:szCs w:val="24"/>
        </w:rPr>
        <w:t>面，压实后再回松土至稍高出穴面，呈馒头状，栽培后</w:t>
      </w:r>
      <w:proofErr w:type="gramStart"/>
      <w:r>
        <w:rPr>
          <w:rFonts w:hAnsi="宋体" w:cs="黑体" w:hint="eastAsia"/>
          <w:sz w:val="24"/>
          <w:szCs w:val="24"/>
        </w:rPr>
        <w:t>浇足定根</w:t>
      </w:r>
      <w:proofErr w:type="gramEnd"/>
      <w:r>
        <w:rPr>
          <w:rFonts w:hAnsi="宋体" w:cs="黑体" w:hint="eastAsia"/>
          <w:sz w:val="24"/>
          <w:szCs w:val="24"/>
        </w:rPr>
        <w:t>水。</w:t>
      </w:r>
      <w:proofErr w:type="gramStart"/>
      <w:r>
        <w:rPr>
          <w:rFonts w:hAnsi="宋体" w:cs="黑体" w:hint="eastAsia"/>
          <w:sz w:val="24"/>
          <w:szCs w:val="24"/>
        </w:rPr>
        <w:t>装苗栽植</w:t>
      </w:r>
      <w:proofErr w:type="gramEnd"/>
      <w:r>
        <w:rPr>
          <w:rFonts w:hAnsi="宋体" w:cs="黑体" w:hint="eastAsia"/>
          <w:sz w:val="24"/>
          <w:szCs w:val="24"/>
        </w:rPr>
        <w:t>前应先把营养袋小心剥除，避免土团松散和伤及根系。在回穴后的定植穴中挖宽、深20 cm的小坑，将带土苗放入定植穴中，回穴土填实其空隙，用手轻压四周，使之略低于穴面，栽培后</w:t>
      </w:r>
      <w:proofErr w:type="gramStart"/>
      <w:r>
        <w:rPr>
          <w:rFonts w:hAnsi="宋体" w:cs="黑体" w:hint="eastAsia"/>
          <w:sz w:val="24"/>
          <w:szCs w:val="24"/>
        </w:rPr>
        <w:t>浇足定根</w:t>
      </w:r>
      <w:proofErr w:type="gramEnd"/>
      <w:r>
        <w:rPr>
          <w:rFonts w:hAnsi="宋体" w:cs="黑体" w:hint="eastAsia"/>
          <w:sz w:val="24"/>
          <w:szCs w:val="24"/>
        </w:rPr>
        <w:t>水。</w:t>
      </w:r>
    </w:p>
    <w:p w14:paraId="3ED1B3BB" w14:textId="77777777" w:rsidR="00CC1987" w:rsidRDefault="00000000">
      <w:pPr>
        <w:pStyle w:val="af5"/>
        <w:spacing w:line="360" w:lineRule="auto"/>
        <w:ind w:firstLine="480"/>
        <w:jc w:val="left"/>
        <w:rPr>
          <w:rFonts w:hAnsi="宋体" w:cs="黑体" w:hint="eastAsia"/>
          <w:sz w:val="24"/>
          <w:szCs w:val="24"/>
        </w:rPr>
      </w:pPr>
      <w:r>
        <w:rPr>
          <w:rFonts w:hAnsi="宋体" w:cs="黑体" w:hint="eastAsia"/>
          <w:sz w:val="24"/>
          <w:szCs w:val="24"/>
        </w:rPr>
        <w:t>施肥；以N（9g·株-1）、P（4.5g·株-1）、K（4.5g·株-1）为最佳施肥量。但由于T3的苗高、地径和总氮磷钾浓度差异均不显著，若</w:t>
      </w:r>
      <w:proofErr w:type="gramStart"/>
      <w:r>
        <w:rPr>
          <w:rFonts w:hAnsi="宋体" w:cs="黑体" w:hint="eastAsia"/>
          <w:sz w:val="24"/>
          <w:szCs w:val="24"/>
        </w:rPr>
        <w:t>虑成本</w:t>
      </w:r>
      <w:proofErr w:type="gramEnd"/>
      <w:r>
        <w:rPr>
          <w:rFonts w:hAnsi="宋体" w:cs="黑体" w:hint="eastAsia"/>
          <w:sz w:val="24"/>
          <w:szCs w:val="24"/>
        </w:rPr>
        <w:t>的问题T2施肥则最佳。</w:t>
      </w:r>
    </w:p>
    <w:p w14:paraId="6415258C" w14:textId="77777777" w:rsidR="00CC1987" w:rsidRDefault="00000000">
      <w:pPr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④抚育管理。</w:t>
      </w:r>
    </w:p>
    <w:p w14:paraId="297360A3" w14:textId="77777777" w:rsidR="00CC1987" w:rsidRDefault="00000000">
      <w:pPr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除草松土；</w:t>
      </w:r>
      <w:proofErr w:type="gramStart"/>
      <w:r>
        <w:rPr>
          <w:rFonts w:ascii="宋体" w:hAnsi="宋体" w:cs="黑体" w:hint="eastAsia"/>
          <w:kern w:val="0"/>
          <w:sz w:val="24"/>
        </w:rPr>
        <w:t>辣木移栽</w:t>
      </w:r>
      <w:proofErr w:type="gramEnd"/>
      <w:r>
        <w:rPr>
          <w:rFonts w:ascii="宋体" w:hAnsi="宋体" w:cs="黑体" w:hint="eastAsia"/>
          <w:kern w:val="0"/>
          <w:sz w:val="24"/>
        </w:rPr>
        <w:t>成活后的30 d~40 d进行第一次中耕除草。中耕时，宜采取“由远至近，远处宜深，近处宜浅”的原则，不伤害苗木根系，中耕除草后还在植株根际培土。第一次中耕除草后，一般按40 d/次~50 d/次的频率进行中耕除草，雨季可适当增加除草的频率与次数。穴间、垄间全面砍除杂草，推荐采用人工或机械耕锄除草。</w:t>
      </w:r>
    </w:p>
    <w:p w14:paraId="778D5D64" w14:textId="77777777" w:rsidR="00CC1987" w:rsidRDefault="00000000">
      <w:pPr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追肥；</w:t>
      </w:r>
      <w:proofErr w:type="gramStart"/>
      <w:r>
        <w:rPr>
          <w:rFonts w:ascii="宋体" w:hAnsi="宋体" w:cs="黑体" w:hint="eastAsia"/>
          <w:kern w:val="0"/>
          <w:sz w:val="24"/>
        </w:rPr>
        <w:t>辣木幼苗</w:t>
      </w:r>
      <w:proofErr w:type="gramEnd"/>
      <w:r>
        <w:rPr>
          <w:rFonts w:ascii="宋体" w:hAnsi="宋体" w:cs="黑体" w:hint="eastAsia"/>
          <w:kern w:val="0"/>
          <w:sz w:val="24"/>
        </w:rPr>
        <w:t>移栽后长出2片新叶时，可进行第一次追肥，选择有机肥或水溶性复合肥。施有机肥1.52 kg/株~2 kg/株或水溶性复合肥（N:P2O5:K2O=18:18:18）0.15 kg/</w:t>
      </w:r>
      <w:proofErr w:type="gramStart"/>
      <w:r>
        <w:rPr>
          <w:rFonts w:ascii="宋体" w:hAnsi="宋体" w:cs="黑体" w:hint="eastAsia"/>
          <w:kern w:val="0"/>
          <w:sz w:val="24"/>
        </w:rPr>
        <w:t>株左右</w:t>
      </w:r>
      <w:proofErr w:type="gramEnd"/>
      <w:r>
        <w:rPr>
          <w:rFonts w:ascii="宋体" w:hAnsi="宋体" w:cs="黑体" w:hint="eastAsia"/>
          <w:kern w:val="0"/>
          <w:sz w:val="24"/>
        </w:rPr>
        <w:t>为宜，施肥后随即覆土。以采稍、叶为目的，可及时喷施0.5%的磷酸二氢钾、菜用叶面肥和微肥，每月2次；在4~5月份，施保果肥，以磷、钾、钙肥为主，0.2 kg/株~0.3 kg/株；采果</w:t>
      </w:r>
      <w:proofErr w:type="gramStart"/>
      <w:r>
        <w:rPr>
          <w:rFonts w:ascii="宋体" w:hAnsi="宋体" w:cs="黑体" w:hint="eastAsia"/>
          <w:kern w:val="0"/>
          <w:sz w:val="24"/>
        </w:rPr>
        <w:t>后10月</w:t>
      </w:r>
      <w:proofErr w:type="gramEnd"/>
      <w:r>
        <w:rPr>
          <w:rFonts w:ascii="宋体" w:hAnsi="宋体" w:cs="黑体" w:hint="eastAsia"/>
          <w:kern w:val="0"/>
          <w:sz w:val="24"/>
        </w:rPr>
        <w:t>~11月，施养树肥，复合肥0.3 kg/株~0.4 kg/株。以采花、果和种子为栽培目的，追肥以有机肥和钾肥为主。</w:t>
      </w:r>
      <w:proofErr w:type="gramStart"/>
      <w:r>
        <w:rPr>
          <w:rFonts w:ascii="宋体" w:hAnsi="宋体" w:cs="黑体" w:hint="eastAsia"/>
          <w:kern w:val="0"/>
          <w:sz w:val="24"/>
        </w:rPr>
        <w:t>辣木进入孕花期或</w:t>
      </w:r>
      <w:proofErr w:type="gramEnd"/>
      <w:r>
        <w:rPr>
          <w:rFonts w:ascii="宋体" w:hAnsi="宋体" w:cs="黑体" w:hint="eastAsia"/>
          <w:kern w:val="0"/>
          <w:sz w:val="24"/>
        </w:rPr>
        <w:t>座果期，可追施保花保果肥，进行叶面喷施。离主茎20 cm~40 cm处挖宽、深各20 cm的圆形或半圆形沟，施肥后覆土。灌溉水质量应达到国家《农田灌溉水质标准(GB5084-2005)》规定的二级以上标准。广东省雨量充沛，年平均降水量1500 mm~2000 mm。地势平缓、土壤粘性较强</w:t>
      </w:r>
      <w:proofErr w:type="gramStart"/>
      <w:r>
        <w:rPr>
          <w:rFonts w:ascii="宋体" w:hAnsi="宋体" w:cs="黑体" w:hint="eastAsia"/>
          <w:kern w:val="0"/>
          <w:sz w:val="24"/>
        </w:rPr>
        <w:t>的辣木林地</w:t>
      </w:r>
      <w:proofErr w:type="gramEnd"/>
      <w:r>
        <w:rPr>
          <w:rFonts w:ascii="宋体" w:hAnsi="宋体" w:cs="黑体" w:hint="eastAsia"/>
          <w:kern w:val="0"/>
          <w:sz w:val="24"/>
        </w:rPr>
        <w:t>要预先开挖好排水沟，沟宽40 cm，深30 cm，</w:t>
      </w:r>
      <w:proofErr w:type="gramStart"/>
      <w:r>
        <w:rPr>
          <w:rFonts w:ascii="宋体" w:hAnsi="宋体" w:cs="黑体" w:hint="eastAsia"/>
          <w:kern w:val="0"/>
          <w:sz w:val="24"/>
        </w:rPr>
        <w:t>长视地形</w:t>
      </w:r>
      <w:proofErr w:type="gramEnd"/>
      <w:r>
        <w:rPr>
          <w:rFonts w:ascii="宋体" w:hAnsi="宋体" w:cs="黑体" w:hint="eastAsia"/>
          <w:kern w:val="0"/>
          <w:sz w:val="24"/>
        </w:rPr>
        <w:t>而定。在雨季来临时，要疏通排水沟周围的杂草、杂物，保证及时排水，防止水分过多引起根系腐烂和病害发生。旱季可使用滴灌，在林地内建立蓄水池等灌溉设施。对幼树可以起到抗旱保苗的作用，对成龄树可</w:t>
      </w:r>
      <w:proofErr w:type="gramStart"/>
      <w:r>
        <w:rPr>
          <w:rFonts w:ascii="宋体" w:hAnsi="宋体" w:cs="黑体" w:hint="eastAsia"/>
          <w:kern w:val="0"/>
          <w:sz w:val="24"/>
        </w:rPr>
        <w:t>增加辣木鲜果</w:t>
      </w:r>
      <w:proofErr w:type="gramEnd"/>
      <w:r>
        <w:rPr>
          <w:rFonts w:ascii="宋体" w:hAnsi="宋体" w:cs="黑体" w:hint="eastAsia"/>
          <w:kern w:val="0"/>
          <w:sz w:val="24"/>
        </w:rPr>
        <w:t>叶及果实的产量，提高品质。</w:t>
      </w:r>
    </w:p>
    <w:p w14:paraId="6798DD5C" w14:textId="77777777" w:rsidR="00CC1987" w:rsidRDefault="00000000">
      <w:pPr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⑤收获技术</w:t>
      </w:r>
    </w:p>
    <w:p w14:paraId="221D0867" w14:textId="77777777" w:rsidR="00CC1987" w:rsidRDefault="00000000">
      <w:pPr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刈割；随着伐</w:t>
      </w:r>
      <w:proofErr w:type="gramStart"/>
      <w:r>
        <w:rPr>
          <w:rFonts w:ascii="宋体" w:hAnsi="宋体" w:cs="黑体" w:hint="eastAsia"/>
          <w:kern w:val="0"/>
          <w:sz w:val="24"/>
        </w:rPr>
        <w:t>桩高度</w:t>
      </w:r>
      <w:proofErr w:type="gramEnd"/>
      <w:r>
        <w:rPr>
          <w:rFonts w:ascii="宋体" w:hAnsi="宋体" w:cs="黑体" w:hint="eastAsia"/>
          <w:kern w:val="0"/>
          <w:sz w:val="24"/>
        </w:rPr>
        <w:t>从10cm、30cm增加到50cm，</w:t>
      </w:r>
      <w:proofErr w:type="gramStart"/>
      <w:r>
        <w:rPr>
          <w:rFonts w:ascii="宋体" w:hAnsi="宋体" w:cs="黑体" w:hint="eastAsia"/>
          <w:kern w:val="0"/>
          <w:sz w:val="24"/>
        </w:rPr>
        <w:t>萌条的</w:t>
      </w:r>
      <w:proofErr w:type="gramEnd"/>
      <w:r>
        <w:rPr>
          <w:rFonts w:ascii="宋体" w:hAnsi="宋体" w:cs="黑体" w:hint="eastAsia"/>
          <w:kern w:val="0"/>
          <w:sz w:val="24"/>
        </w:rPr>
        <w:t>叶干重平均值增大，粗纤维和铁的含量降低，粗蛋白、钾元素和粗脂肪含量均值以伐桩为30cm为最高。随着刈割次数增多为三次时，叶干重、粗脂肪、粗纤维和铁元素含量逐渐增加。</w:t>
      </w:r>
    </w:p>
    <w:p w14:paraId="793BE8C2" w14:textId="77777777" w:rsidR="00CC1987" w:rsidRDefault="00000000">
      <w:pPr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激素喷施；以追求产量方面为目的，可以喷施赤霉素（GA3）、吲哚乙酸（IAA）、细胞分裂素（6-BA）。低浓度的脱落酸（ABA）可以很好的</w:t>
      </w:r>
      <w:proofErr w:type="gramStart"/>
      <w:r>
        <w:rPr>
          <w:rFonts w:ascii="宋体" w:hAnsi="宋体" w:cs="黑体" w:hint="eastAsia"/>
          <w:kern w:val="0"/>
          <w:sz w:val="24"/>
        </w:rPr>
        <w:t>促进辣木刈割后</w:t>
      </w:r>
      <w:proofErr w:type="gramEnd"/>
      <w:r>
        <w:rPr>
          <w:rFonts w:ascii="宋体" w:hAnsi="宋体" w:cs="黑体" w:hint="eastAsia"/>
          <w:kern w:val="0"/>
          <w:sz w:val="24"/>
        </w:rPr>
        <w:t>产量的提升。在苗高和地径生长上喷施的激素种类按照优劣排序分别为赤霉素（GA3）、吲哚乙酸（IAA）、细胞分裂素（6-BA）、脱落酸（ABA）。以追求营养价值方面为目的，可以喷施6-BA，200mg/L的浓度</w:t>
      </w:r>
      <w:proofErr w:type="gramStart"/>
      <w:r>
        <w:rPr>
          <w:rFonts w:ascii="宋体" w:hAnsi="宋体" w:cs="黑体" w:hint="eastAsia"/>
          <w:kern w:val="0"/>
          <w:sz w:val="24"/>
        </w:rPr>
        <w:t>下综合</w:t>
      </w:r>
      <w:proofErr w:type="gramEnd"/>
      <w:r>
        <w:rPr>
          <w:rFonts w:ascii="宋体" w:hAnsi="宋体" w:cs="黑体" w:hint="eastAsia"/>
          <w:kern w:val="0"/>
          <w:sz w:val="24"/>
        </w:rPr>
        <w:t>达到生长和饲料营养价值中同种类激素的最佳处理；喷施0.1mg/L的脱落酸（ABA）能显著</w:t>
      </w:r>
      <w:proofErr w:type="gramStart"/>
      <w:r>
        <w:rPr>
          <w:rFonts w:ascii="宋体" w:hAnsi="宋体" w:cs="黑体" w:hint="eastAsia"/>
          <w:kern w:val="0"/>
          <w:sz w:val="24"/>
        </w:rPr>
        <w:t>促进辣木刈割后</w:t>
      </w:r>
      <w:proofErr w:type="gramEnd"/>
      <w:r>
        <w:rPr>
          <w:rFonts w:ascii="宋体" w:hAnsi="宋体" w:cs="黑体" w:hint="eastAsia"/>
          <w:kern w:val="0"/>
          <w:sz w:val="24"/>
        </w:rPr>
        <w:t>的生长和饲用价值；摘心处理也能</w:t>
      </w:r>
      <w:proofErr w:type="gramStart"/>
      <w:r>
        <w:rPr>
          <w:rFonts w:ascii="宋体" w:hAnsi="宋体" w:cs="黑体" w:hint="eastAsia"/>
          <w:kern w:val="0"/>
          <w:sz w:val="24"/>
        </w:rPr>
        <w:t>促进辣木的</w:t>
      </w:r>
      <w:proofErr w:type="gramEnd"/>
      <w:r>
        <w:rPr>
          <w:rFonts w:ascii="宋体" w:hAnsi="宋体" w:cs="黑体" w:hint="eastAsia"/>
          <w:kern w:val="0"/>
          <w:sz w:val="24"/>
        </w:rPr>
        <w:t>生长和饲用价值。喷施1mg/L的赤霉素（GA3）为</w:t>
      </w:r>
      <w:proofErr w:type="gramStart"/>
      <w:r>
        <w:rPr>
          <w:rFonts w:ascii="宋体" w:hAnsi="宋体" w:cs="黑体" w:hint="eastAsia"/>
          <w:kern w:val="0"/>
          <w:sz w:val="24"/>
        </w:rPr>
        <w:t>辣木作为</w:t>
      </w:r>
      <w:proofErr w:type="gramEnd"/>
      <w:r>
        <w:rPr>
          <w:rFonts w:ascii="宋体" w:hAnsi="宋体" w:cs="黑体" w:hint="eastAsia"/>
          <w:kern w:val="0"/>
          <w:sz w:val="24"/>
        </w:rPr>
        <w:t>木本饲料生产的最佳处理方案，其次是喷施0.1mg/L的脱落酸（ABA）和喷施200mg/L的细胞分裂素（6-BA）。</w:t>
      </w:r>
    </w:p>
    <w:p w14:paraId="79BBEAAF" w14:textId="77777777" w:rsidR="00CC1987" w:rsidRDefault="00000000" w:rsidP="009B7415">
      <w:pPr>
        <w:pStyle w:val="1"/>
        <w:spacing w:beforeLines="50" w:before="156" w:afterLines="50" w:after="156"/>
      </w:pPr>
      <w:bookmarkStart w:id="8" w:name="_Toc176547937"/>
      <w:r>
        <w:rPr>
          <w:rFonts w:hint="eastAsia"/>
        </w:rPr>
        <w:t>四</w:t>
      </w:r>
      <w:r>
        <w:t>、</w:t>
      </w:r>
      <w:r>
        <w:rPr>
          <w:rFonts w:hint="eastAsia"/>
        </w:rPr>
        <w:t>采用的国际标准</w:t>
      </w:r>
      <w:bookmarkEnd w:id="8"/>
    </w:p>
    <w:p w14:paraId="3927399B" w14:textId="77777777" w:rsidR="00CC1987" w:rsidRDefault="00000000">
      <w:pPr>
        <w:spacing w:beforeLines="50" w:before="156"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无。</w:t>
      </w:r>
    </w:p>
    <w:p w14:paraId="30D9B6DE" w14:textId="77777777" w:rsidR="00CC1987" w:rsidRDefault="00000000" w:rsidP="009B7415">
      <w:pPr>
        <w:pStyle w:val="1"/>
        <w:spacing w:beforeLines="50" w:before="156" w:afterLines="50" w:after="156"/>
      </w:pPr>
      <w:bookmarkStart w:id="9" w:name="_Toc176547938"/>
      <w:r>
        <w:rPr>
          <w:rFonts w:hint="eastAsia"/>
        </w:rPr>
        <w:t>五</w:t>
      </w:r>
      <w:r>
        <w:t>、</w:t>
      </w:r>
      <w:r>
        <w:rPr>
          <w:rFonts w:hint="eastAsia"/>
        </w:rPr>
        <w:t>与现行法律法规和强制性标准的关系</w:t>
      </w:r>
      <w:bookmarkEnd w:id="9"/>
    </w:p>
    <w:p w14:paraId="2B492809" w14:textId="77777777" w:rsidR="00CC1987" w:rsidRDefault="00000000">
      <w:pPr>
        <w:spacing w:beforeLines="50" w:before="156" w:afterLines="50" w:after="156" w:line="44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本标准与《饲料原料目录》（农业部第</w:t>
      </w:r>
      <w:r>
        <w:rPr>
          <w:rFonts w:hint="eastAsia"/>
          <w:color w:val="000000"/>
          <w:sz w:val="24"/>
        </w:rPr>
        <w:t>2038</w:t>
      </w:r>
      <w:r>
        <w:rPr>
          <w:rFonts w:hint="eastAsia"/>
          <w:color w:val="000000"/>
          <w:sz w:val="24"/>
        </w:rPr>
        <w:t>号公告）《饲料添加剂安全使用规范》（农业</w:t>
      </w:r>
      <w:r>
        <w:rPr>
          <w:rFonts w:hint="eastAsia"/>
          <w:sz w:val="24"/>
        </w:rPr>
        <w:t>部第</w:t>
      </w:r>
      <w:r>
        <w:rPr>
          <w:rFonts w:hint="eastAsia"/>
          <w:sz w:val="24"/>
        </w:rPr>
        <w:t>2625</w:t>
      </w:r>
      <w:r>
        <w:rPr>
          <w:rFonts w:hint="eastAsia"/>
          <w:sz w:val="24"/>
        </w:rPr>
        <w:t>号公告</w:t>
      </w:r>
      <w:r>
        <w:rPr>
          <w:rFonts w:hint="eastAsia"/>
          <w:color w:val="000000"/>
          <w:sz w:val="24"/>
        </w:rPr>
        <w:t>）和《饲料添加剂品种目录》（农业部第</w:t>
      </w:r>
      <w:r>
        <w:rPr>
          <w:rFonts w:hint="eastAsia"/>
          <w:color w:val="000000"/>
          <w:sz w:val="24"/>
        </w:rPr>
        <w:t>2045</w:t>
      </w:r>
      <w:r>
        <w:rPr>
          <w:rFonts w:hint="eastAsia"/>
          <w:color w:val="000000"/>
          <w:sz w:val="24"/>
        </w:rPr>
        <w:t>号公告）中的相关条例没有冲突。</w:t>
      </w:r>
    </w:p>
    <w:p w14:paraId="30919C64" w14:textId="77777777" w:rsidR="00CC1987" w:rsidRDefault="00000000" w:rsidP="009B7415">
      <w:pPr>
        <w:pStyle w:val="1"/>
        <w:spacing w:beforeLines="50" w:before="156" w:afterLines="50" w:after="156"/>
      </w:pPr>
      <w:bookmarkStart w:id="10" w:name="_Toc176547939"/>
      <w:r>
        <w:rPr>
          <w:rFonts w:hint="eastAsia"/>
        </w:rPr>
        <w:t>六</w:t>
      </w:r>
      <w:r>
        <w:t>、</w:t>
      </w:r>
      <w:r>
        <w:rPr>
          <w:rFonts w:hint="eastAsia"/>
        </w:rPr>
        <w:t>重大分歧意见的处理经过和依据</w:t>
      </w:r>
      <w:bookmarkEnd w:id="10"/>
    </w:p>
    <w:p w14:paraId="5D2967DE" w14:textId="77777777" w:rsidR="00CC1987" w:rsidRDefault="00000000">
      <w:pPr>
        <w:spacing w:beforeLines="50" w:before="156" w:line="360" w:lineRule="auto"/>
        <w:ind w:firstLine="482"/>
        <w:rPr>
          <w:sz w:val="24"/>
        </w:rPr>
      </w:pPr>
      <w:r>
        <w:rPr>
          <w:color w:val="000000"/>
          <w:sz w:val="24"/>
        </w:rPr>
        <w:t>无</w:t>
      </w:r>
      <w:r>
        <w:rPr>
          <w:sz w:val="24"/>
        </w:rPr>
        <w:t>。</w:t>
      </w:r>
    </w:p>
    <w:p w14:paraId="18828AB0" w14:textId="77777777" w:rsidR="00CC1987" w:rsidRDefault="00000000" w:rsidP="009B7415">
      <w:pPr>
        <w:pStyle w:val="1"/>
        <w:spacing w:beforeLines="50" w:before="156" w:afterLines="50" w:after="156"/>
      </w:pPr>
      <w:bookmarkStart w:id="11" w:name="_Toc176547940"/>
      <w:r>
        <w:t>七、标准作为强制性或推荐性标准的意见</w:t>
      </w:r>
      <w:bookmarkEnd w:id="11"/>
    </w:p>
    <w:p w14:paraId="630F5003" w14:textId="77777777" w:rsidR="00CC1987" w:rsidRDefault="00000000">
      <w:pPr>
        <w:spacing w:beforeLines="50" w:before="156"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建议将本标准作为推荐性标准发布实施，并加强标准的宣贯。</w:t>
      </w:r>
    </w:p>
    <w:p w14:paraId="5D7D6744" w14:textId="77777777" w:rsidR="00CC1987" w:rsidRDefault="00000000" w:rsidP="009B7415">
      <w:pPr>
        <w:pStyle w:val="1"/>
        <w:spacing w:beforeLines="50" w:before="156" w:afterLines="50" w:after="156"/>
      </w:pPr>
      <w:bookmarkStart w:id="12" w:name="_Toc176547941"/>
      <w:r>
        <w:t>八、贯彻标准的要求和措施建议</w:t>
      </w:r>
      <w:bookmarkEnd w:id="12"/>
    </w:p>
    <w:p w14:paraId="2EEF964A" w14:textId="77777777" w:rsidR="00CC1987" w:rsidRDefault="00000000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本标准属于</w:t>
      </w:r>
      <w:r>
        <w:rPr>
          <w:rFonts w:hint="eastAsia"/>
          <w:sz w:val="24"/>
        </w:rPr>
        <w:t>华南农业大学牵头制定的团体标准</w:t>
      </w:r>
      <w:r>
        <w:rPr>
          <w:sz w:val="24"/>
        </w:rPr>
        <w:t>，</w:t>
      </w:r>
      <w:r>
        <w:rPr>
          <w:rFonts w:hint="eastAsia"/>
          <w:sz w:val="24"/>
        </w:rPr>
        <w:t>为成功实施</w:t>
      </w:r>
      <w:proofErr w:type="gramStart"/>
      <w:r>
        <w:rPr>
          <w:rFonts w:hint="eastAsia"/>
          <w:sz w:val="24"/>
        </w:rPr>
        <w:t>饲用辣木栽培</w:t>
      </w:r>
      <w:proofErr w:type="gramEnd"/>
      <w:r>
        <w:rPr>
          <w:rFonts w:hAnsi="宋体" w:hint="eastAsia"/>
          <w:sz w:val="24"/>
        </w:rPr>
        <w:t>技术</w:t>
      </w:r>
      <w:r>
        <w:rPr>
          <w:rFonts w:hint="eastAsia"/>
          <w:sz w:val="24"/>
        </w:rPr>
        <w:t>，应认真执行本标准的相关技术要求。</w:t>
      </w:r>
    </w:p>
    <w:p w14:paraId="38654EA7" w14:textId="77777777" w:rsidR="00CC1987" w:rsidRDefault="00000000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、应</w:t>
      </w:r>
      <w:r>
        <w:rPr>
          <w:sz w:val="24"/>
        </w:rPr>
        <w:t>加强对标准的宣传、讲解</w:t>
      </w:r>
      <w:r>
        <w:rPr>
          <w:rFonts w:hint="eastAsia"/>
          <w:sz w:val="24"/>
        </w:rPr>
        <w:t>和技术指导，促进实施者</w:t>
      </w:r>
      <w:r>
        <w:rPr>
          <w:sz w:val="24"/>
        </w:rPr>
        <w:t>熟练掌握标准中的技术规范，保证</w:t>
      </w:r>
      <w:r>
        <w:rPr>
          <w:rFonts w:hint="eastAsia"/>
          <w:sz w:val="24"/>
        </w:rPr>
        <w:t>本标准的广泛推广应用</w:t>
      </w:r>
      <w:r>
        <w:rPr>
          <w:sz w:val="24"/>
        </w:rPr>
        <w:t>。</w:t>
      </w:r>
    </w:p>
    <w:p w14:paraId="2187383C" w14:textId="77777777" w:rsidR="00CC1987" w:rsidRDefault="00000000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随着</w:t>
      </w:r>
      <w:r>
        <w:rPr>
          <w:rFonts w:hint="eastAsia"/>
          <w:sz w:val="24"/>
        </w:rPr>
        <w:t>科技发展，本标准中的技术规范势必会出现过时的情况，也会出现新的技术要求，因此本</w:t>
      </w:r>
      <w:r>
        <w:rPr>
          <w:sz w:val="24"/>
        </w:rPr>
        <w:t>标准执行过程中</w:t>
      </w:r>
      <w:r>
        <w:rPr>
          <w:rFonts w:hint="eastAsia"/>
          <w:sz w:val="24"/>
        </w:rPr>
        <w:t>要不断对</w:t>
      </w:r>
      <w:r>
        <w:rPr>
          <w:sz w:val="24"/>
        </w:rPr>
        <w:t>内容进行修订</w:t>
      </w:r>
      <w:r>
        <w:rPr>
          <w:rFonts w:hint="eastAsia"/>
          <w:sz w:val="24"/>
        </w:rPr>
        <w:t>和补充</w:t>
      </w:r>
      <w:r>
        <w:rPr>
          <w:sz w:val="24"/>
        </w:rPr>
        <w:t>。</w:t>
      </w:r>
    </w:p>
    <w:p w14:paraId="5B8507EC" w14:textId="77777777" w:rsidR="00CC1987" w:rsidRDefault="00000000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希望</w:t>
      </w:r>
      <w:r>
        <w:rPr>
          <w:rFonts w:hint="eastAsia"/>
          <w:sz w:val="24"/>
        </w:rPr>
        <w:t>应用本标准的</w:t>
      </w:r>
      <w:r>
        <w:rPr>
          <w:sz w:val="24"/>
        </w:rPr>
        <w:t>单位</w:t>
      </w:r>
      <w:r>
        <w:rPr>
          <w:rFonts w:hint="eastAsia"/>
          <w:sz w:val="24"/>
        </w:rPr>
        <w:t>在使用过程中</w:t>
      </w:r>
      <w:r>
        <w:rPr>
          <w:sz w:val="24"/>
        </w:rPr>
        <w:t>对</w:t>
      </w:r>
      <w:r>
        <w:rPr>
          <w:rFonts w:hint="eastAsia"/>
          <w:sz w:val="24"/>
        </w:rPr>
        <w:t>其</w:t>
      </w:r>
      <w:r>
        <w:rPr>
          <w:sz w:val="24"/>
        </w:rPr>
        <w:t>中出现的问题</w:t>
      </w:r>
      <w:r>
        <w:rPr>
          <w:rFonts w:hint="eastAsia"/>
          <w:sz w:val="24"/>
        </w:rPr>
        <w:t>和不足</w:t>
      </w:r>
      <w:r>
        <w:rPr>
          <w:sz w:val="24"/>
        </w:rPr>
        <w:t>给予反馈，以便</w:t>
      </w:r>
      <w:r>
        <w:rPr>
          <w:rFonts w:hint="eastAsia"/>
          <w:sz w:val="24"/>
        </w:rPr>
        <w:t>再进行</w:t>
      </w:r>
      <w:r>
        <w:rPr>
          <w:sz w:val="24"/>
        </w:rPr>
        <w:t>修订</w:t>
      </w:r>
      <w:r>
        <w:rPr>
          <w:rFonts w:hint="eastAsia"/>
          <w:sz w:val="24"/>
        </w:rPr>
        <w:t>和</w:t>
      </w:r>
      <w:r>
        <w:rPr>
          <w:sz w:val="24"/>
        </w:rPr>
        <w:t>补充。</w:t>
      </w:r>
    </w:p>
    <w:p w14:paraId="198DD66F" w14:textId="77777777" w:rsidR="00CC1987" w:rsidRDefault="00000000">
      <w:pPr>
        <w:spacing w:line="360" w:lineRule="auto"/>
        <w:ind w:firstLine="482"/>
        <w:rPr>
          <w:color w:val="000000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color w:val="000000"/>
          <w:sz w:val="24"/>
        </w:rPr>
        <w:t>组织学习</w:t>
      </w:r>
      <w:r>
        <w:rPr>
          <w:rFonts w:hint="eastAsia"/>
          <w:color w:val="000000"/>
          <w:sz w:val="24"/>
        </w:rPr>
        <w:t>团体</w:t>
      </w:r>
      <w:r>
        <w:rPr>
          <w:color w:val="000000"/>
          <w:sz w:val="24"/>
        </w:rPr>
        <w:t>标准，加大对标准的宣传及贯彻力度，标准委员会作为企业之间的桥梁，做好沟通，推进行业进一步发展。</w:t>
      </w:r>
    </w:p>
    <w:p w14:paraId="716810CD" w14:textId="77777777" w:rsidR="00CC1987" w:rsidRDefault="00000000" w:rsidP="009B7415">
      <w:pPr>
        <w:pStyle w:val="1"/>
        <w:spacing w:beforeLines="50" w:before="156" w:afterLines="50" w:after="156"/>
      </w:pPr>
      <w:bookmarkStart w:id="13" w:name="_Toc176547942"/>
      <w:r>
        <w:t>九、废止现行有关标准的建议</w:t>
      </w:r>
      <w:bookmarkEnd w:id="13"/>
    </w:p>
    <w:p w14:paraId="40597651" w14:textId="77777777" w:rsidR="00CC1987" w:rsidRDefault="00000000">
      <w:pPr>
        <w:spacing w:beforeLines="50" w:before="156"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无。</w:t>
      </w:r>
    </w:p>
    <w:p w14:paraId="431CE65B" w14:textId="77777777" w:rsidR="00CC1987" w:rsidRDefault="00000000" w:rsidP="009B7415">
      <w:pPr>
        <w:pStyle w:val="1"/>
        <w:spacing w:beforeLines="50" w:before="156" w:afterLines="50" w:after="156"/>
      </w:pPr>
      <w:bookmarkStart w:id="14" w:name="_Toc176547943"/>
      <w:r>
        <w:t>十、其他应予说明的事项</w:t>
      </w:r>
      <w:bookmarkEnd w:id="14"/>
    </w:p>
    <w:p w14:paraId="118F0DAF" w14:textId="020A7251" w:rsidR="00CC1987" w:rsidRDefault="00000000" w:rsidP="009B7415">
      <w:pPr>
        <w:spacing w:beforeLines="50" w:before="156"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无。</w:t>
      </w:r>
    </w:p>
    <w:sectPr w:rsidR="00CC1987">
      <w:footerReference w:type="even" r:id="rId8"/>
      <w:footerReference w:type="default" r:id="rId9"/>
      <w:pgSz w:w="11906" w:h="16838"/>
      <w:pgMar w:top="1843" w:right="1558" w:bottom="17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46B35" w14:textId="77777777" w:rsidR="00B54672" w:rsidRDefault="00B54672">
      <w:r>
        <w:separator/>
      </w:r>
    </w:p>
  </w:endnote>
  <w:endnote w:type="continuationSeparator" w:id="0">
    <w:p w14:paraId="4E933EF5" w14:textId="77777777" w:rsidR="00B54672" w:rsidRDefault="00B5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A38A" w14:textId="77777777" w:rsidR="00CC1987" w:rsidRDefault="00000000">
    <w:pPr>
      <w:pStyle w:val="ab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14:paraId="08B3C798" w14:textId="77777777" w:rsidR="00CC1987" w:rsidRDefault="00CC198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A48C" w14:textId="77777777" w:rsidR="00CC1987" w:rsidRDefault="0000000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 w14:paraId="59F259B6" w14:textId="77777777" w:rsidR="00CC1987" w:rsidRDefault="00CC19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A2055" w14:textId="77777777" w:rsidR="00B54672" w:rsidRDefault="00B54672">
      <w:r>
        <w:separator/>
      </w:r>
    </w:p>
  </w:footnote>
  <w:footnote w:type="continuationSeparator" w:id="0">
    <w:p w14:paraId="7E08183D" w14:textId="77777777" w:rsidR="00B54672" w:rsidRDefault="00B5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02CC09"/>
    <w:multiLevelType w:val="singleLevel"/>
    <w:tmpl w:val="F902CC09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FA03B02E"/>
    <w:multiLevelType w:val="singleLevel"/>
    <w:tmpl w:val="FA03B02E"/>
    <w:lvl w:ilvl="0">
      <w:start w:val="1"/>
      <w:numFmt w:val="decimal"/>
      <w:suff w:val="nothing"/>
      <w:lvlText w:val="（%1）"/>
      <w:lvlJc w:val="left"/>
      <w:pPr>
        <w:ind w:left="480" w:firstLine="0"/>
      </w:p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952593305">
    <w:abstractNumId w:val="2"/>
  </w:num>
  <w:num w:numId="2" w16cid:durableId="1875540362">
    <w:abstractNumId w:val="0"/>
  </w:num>
  <w:num w:numId="3" w16cid:durableId="28909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NkMzVhNTA1NWMzZDc0MDk3Nzc1ODUzODEwMDUwOD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Std GBT7714 (numeric)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0xw9a5ksss2bepfpxv2exzapw0pspfxrrs&quot;&gt;发酵TMR小论文&lt;record-ids&gt;&lt;item&gt;228&lt;/item&gt;&lt;/record-ids&gt;&lt;/item&gt;&lt;/Libraries&gt;"/>
  </w:docVars>
  <w:rsids>
    <w:rsidRoot w:val="00416669"/>
    <w:rsid w:val="000155DB"/>
    <w:rsid w:val="00017D16"/>
    <w:rsid w:val="000308A3"/>
    <w:rsid w:val="00032402"/>
    <w:rsid w:val="00036A34"/>
    <w:rsid w:val="000429E1"/>
    <w:rsid w:val="000434FB"/>
    <w:rsid w:val="00044247"/>
    <w:rsid w:val="0004735E"/>
    <w:rsid w:val="00057930"/>
    <w:rsid w:val="000610CF"/>
    <w:rsid w:val="00061E22"/>
    <w:rsid w:val="00076D67"/>
    <w:rsid w:val="0008074C"/>
    <w:rsid w:val="000B474F"/>
    <w:rsid w:val="000E0375"/>
    <w:rsid w:val="000F7801"/>
    <w:rsid w:val="00112EE8"/>
    <w:rsid w:val="00113F8F"/>
    <w:rsid w:val="001155D9"/>
    <w:rsid w:val="0012627C"/>
    <w:rsid w:val="00126374"/>
    <w:rsid w:val="0013098F"/>
    <w:rsid w:val="001372F7"/>
    <w:rsid w:val="00137BD4"/>
    <w:rsid w:val="00140742"/>
    <w:rsid w:val="00147E5E"/>
    <w:rsid w:val="001650ED"/>
    <w:rsid w:val="00173D9B"/>
    <w:rsid w:val="0017441B"/>
    <w:rsid w:val="001877A5"/>
    <w:rsid w:val="001A3DFC"/>
    <w:rsid w:val="001A3E3C"/>
    <w:rsid w:val="001A6550"/>
    <w:rsid w:val="001D0503"/>
    <w:rsid w:val="001E428B"/>
    <w:rsid w:val="001E72A2"/>
    <w:rsid w:val="001F1BFE"/>
    <w:rsid w:val="001F5979"/>
    <w:rsid w:val="001F6496"/>
    <w:rsid w:val="00230B2D"/>
    <w:rsid w:val="002313E0"/>
    <w:rsid w:val="00231604"/>
    <w:rsid w:val="00232FFF"/>
    <w:rsid w:val="00237F30"/>
    <w:rsid w:val="00240E83"/>
    <w:rsid w:val="00246C40"/>
    <w:rsid w:val="002538BD"/>
    <w:rsid w:val="00255BC8"/>
    <w:rsid w:val="00256EDA"/>
    <w:rsid w:val="00257083"/>
    <w:rsid w:val="00257498"/>
    <w:rsid w:val="002574A2"/>
    <w:rsid w:val="00264E4C"/>
    <w:rsid w:val="00266508"/>
    <w:rsid w:val="002679DB"/>
    <w:rsid w:val="002A2BE5"/>
    <w:rsid w:val="002A38D8"/>
    <w:rsid w:val="002B5E17"/>
    <w:rsid w:val="002C3275"/>
    <w:rsid w:val="002C5FEC"/>
    <w:rsid w:val="002D17E1"/>
    <w:rsid w:val="002D653D"/>
    <w:rsid w:val="002E35C6"/>
    <w:rsid w:val="002F1A92"/>
    <w:rsid w:val="002F773B"/>
    <w:rsid w:val="002F78D3"/>
    <w:rsid w:val="00301EF9"/>
    <w:rsid w:val="00315468"/>
    <w:rsid w:val="00324544"/>
    <w:rsid w:val="0033768E"/>
    <w:rsid w:val="00353076"/>
    <w:rsid w:val="00355292"/>
    <w:rsid w:val="00357EA9"/>
    <w:rsid w:val="003616FA"/>
    <w:rsid w:val="0036445F"/>
    <w:rsid w:val="003647ED"/>
    <w:rsid w:val="00371521"/>
    <w:rsid w:val="00377593"/>
    <w:rsid w:val="00384379"/>
    <w:rsid w:val="00395E51"/>
    <w:rsid w:val="00397219"/>
    <w:rsid w:val="003A467C"/>
    <w:rsid w:val="003A7FFA"/>
    <w:rsid w:val="003B4101"/>
    <w:rsid w:val="003B4925"/>
    <w:rsid w:val="003C0E69"/>
    <w:rsid w:val="003D5430"/>
    <w:rsid w:val="003E41F0"/>
    <w:rsid w:val="004008BE"/>
    <w:rsid w:val="00401F02"/>
    <w:rsid w:val="00403501"/>
    <w:rsid w:val="0041174A"/>
    <w:rsid w:val="00412FA3"/>
    <w:rsid w:val="00416243"/>
    <w:rsid w:val="00416669"/>
    <w:rsid w:val="004262B4"/>
    <w:rsid w:val="00434FDA"/>
    <w:rsid w:val="0043644F"/>
    <w:rsid w:val="004369B7"/>
    <w:rsid w:val="00441546"/>
    <w:rsid w:val="00441DDE"/>
    <w:rsid w:val="00443A22"/>
    <w:rsid w:val="0045024A"/>
    <w:rsid w:val="004558C5"/>
    <w:rsid w:val="0048331E"/>
    <w:rsid w:val="00487AD2"/>
    <w:rsid w:val="00487FAD"/>
    <w:rsid w:val="004A3AE7"/>
    <w:rsid w:val="004A4D6E"/>
    <w:rsid w:val="004B6B44"/>
    <w:rsid w:val="004C3612"/>
    <w:rsid w:val="004C40C4"/>
    <w:rsid w:val="004C500C"/>
    <w:rsid w:val="004C7768"/>
    <w:rsid w:val="004D3A8C"/>
    <w:rsid w:val="004D7696"/>
    <w:rsid w:val="004E670F"/>
    <w:rsid w:val="004F338A"/>
    <w:rsid w:val="004F7B86"/>
    <w:rsid w:val="00503FBF"/>
    <w:rsid w:val="00526FCE"/>
    <w:rsid w:val="00527ABD"/>
    <w:rsid w:val="00530419"/>
    <w:rsid w:val="00532D0E"/>
    <w:rsid w:val="0055067B"/>
    <w:rsid w:val="0055090C"/>
    <w:rsid w:val="005573B1"/>
    <w:rsid w:val="00564B6D"/>
    <w:rsid w:val="00571127"/>
    <w:rsid w:val="00571E77"/>
    <w:rsid w:val="0057251D"/>
    <w:rsid w:val="00572906"/>
    <w:rsid w:val="00576CFC"/>
    <w:rsid w:val="005850C6"/>
    <w:rsid w:val="00594619"/>
    <w:rsid w:val="00595AF8"/>
    <w:rsid w:val="0059745A"/>
    <w:rsid w:val="00597601"/>
    <w:rsid w:val="005A3DE9"/>
    <w:rsid w:val="005B3678"/>
    <w:rsid w:val="005C1DB7"/>
    <w:rsid w:val="005C3740"/>
    <w:rsid w:val="005D70F9"/>
    <w:rsid w:val="005E25C4"/>
    <w:rsid w:val="005F21F2"/>
    <w:rsid w:val="005F7967"/>
    <w:rsid w:val="006136A1"/>
    <w:rsid w:val="00613B1E"/>
    <w:rsid w:val="00617DE2"/>
    <w:rsid w:val="00617E82"/>
    <w:rsid w:val="006237C9"/>
    <w:rsid w:val="006274F4"/>
    <w:rsid w:val="006359DA"/>
    <w:rsid w:val="00642959"/>
    <w:rsid w:val="00644454"/>
    <w:rsid w:val="0064625B"/>
    <w:rsid w:val="00647006"/>
    <w:rsid w:val="006615F3"/>
    <w:rsid w:val="00662C30"/>
    <w:rsid w:val="00673243"/>
    <w:rsid w:val="00676D14"/>
    <w:rsid w:val="00677237"/>
    <w:rsid w:val="006801B7"/>
    <w:rsid w:val="00686267"/>
    <w:rsid w:val="006876D1"/>
    <w:rsid w:val="00692CFC"/>
    <w:rsid w:val="006A1F6A"/>
    <w:rsid w:val="006C0880"/>
    <w:rsid w:val="006C11CD"/>
    <w:rsid w:val="006C52CD"/>
    <w:rsid w:val="006D3074"/>
    <w:rsid w:val="006D5BF9"/>
    <w:rsid w:val="006E08FA"/>
    <w:rsid w:val="006E0E00"/>
    <w:rsid w:val="006E4C06"/>
    <w:rsid w:val="006F1DD4"/>
    <w:rsid w:val="006F3702"/>
    <w:rsid w:val="006F740A"/>
    <w:rsid w:val="00701F8B"/>
    <w:rsid w:val="007038ED"/>
    <w:rsid w:val="00706039"/>
    <w:rsid w:val="007227A4"/>
    <w:rsid w:val="00722A10"/>
    <w:rsid w:val="00732883"/>
    <w:rsid w:val="007356A0"/>
    <w:rsid w:val="007508FD"/>
    <w:rsid w:val="0075399B"/>
    <w:rsid w:val="00757F83"/>
    <w:rsid w:val="007665CB"/>
    <w:rsid w:val="00777351"/>
    <w:rsid w:val="00792549"/>
    <w:rsid w:val="00793A3A"/>
    <w:rsid w:val="007A1632"/>
    <w:rsid w:val="007A1885"/>
    <w:rsid w:val="007A2731"/>
    <w:rsid w:val="007B11B3"/>
    <w:rsid w:val="007B6620"/>
    <w:rsid w:val="007B75B7"/>
    <w:rsid w:val="007C4CB1"/>
    <w:rsid w:val="007D1E41"/>
    <w:rsid w:val="007E63DA"/>
    <w:rsid w:val="007F0C38"/>
    <w:rsid w:val="007F5CB8"/>
    <w:rsid w:val="007F7B8C"/>
    <w:rsid w:val="008114DA"/>
    <w:rsid w:val="008127BC"/>
    <w:rsid w:val="00814B61"/>
    <w:rsid w:val="008242BD"/>
    <w:rsid w:val="0082475F"/>
    <w:rsid w:val="00827333"/>
    <w:rsid w:val="00835A6F"/>
    <w:rsid w:val="00836F37"/>
    <w:rsid w:val="00837F17"/>
    <w:rsid w:val="0084113C"/>
    <w:rsid w:val="00847886"/>
    <w:rsid w:val="00847A63"/>
    <w:rsid w:val="008535A7"/>
    <w:rsid w:val="00860918"/>
    <w:rsid w:val="0086606A"/>
    <w:rsid w:val="008678ED"/>
    <w:rsid w:val="00873984"/>
    <w:rsid w:val="0088082F"/>
    <w:rsid w:val="008961C2"/>
    <w:rsid w:val="008962BA"/>
    <w:rsid w:val="00897E59"/>
    <w:rsid w:val="008A2DD2"/>
    <w:rsid w:val="008A2E71"/>
    <w:rsid w:val="008A3069"/>
    <w:rsid w:val="008A49C3"/>
    <w:rsid w:val="008B3504"/>
    <w:rsid w:val="008B7E15"/>
    <w:rsid w:val="008C3EDA"/>
    <w:rsid w:val="008E5F14"/>
    <w:rsid w:val="008E5F71"/>
    <w:rsid w:val="008E66D9"/>
    <w:rsid w:val="008F08FA"/>
    <w:rsid w:val="008F2E1B"/>
    <w:rsid w:val="008F773A"/>
    <w:rsid w:val="00904055"/>
    <w:rsid w:val="00907DBA"/>
    <w:rsid w:val="00914A4F"/>
    <w:rsid w:val="0091549B"/>
    <w:rsid w:val="009215F0"/>
    <w:rsid w:val="00922670"/>
    <w:rsid w:val="00935406"/>
    <w:rsid w:val="00945B8A"/>
    <w:rsid w:val="0095204F"/>
    <w:rsid w:val="0095404A"/>
    <w:rsid w:val="00973876"/>
    <w:rsid w:val="00980FDD"/>
    <w:rsid w:val="009812CC"/>
    <w:rsid w:val="00986C80"/>
    <w:rsid w:val="009951C7"/>
    <w:rsid w:val="009966C3"/>
    <w:rsid w:val="0099687E"/>
    <w:rsid w:val="009A13B4"/>
    <w:rsid w:val="009A300F"/>
    <w:rsid w:val="009B09CB"/>
    <w:rsid w:val="009B7415"/>
    <w:rsid w:val="009C1890"/>
    <w:rsid w:val="009C1E98"/>
    <w:rsid w:val="009E25E4"/>
    <w:rsid w:val="009F110C"/>
    <w:rsid w:val="009F31FF"/>
    <w:rsid w:val="009F64A3"/>
    <w:rsid w:val="00A1717E"/>
    <w:rsid w:val="00A21B84"/>
    <w:rsid w:val="00A255CB"/>
    <w:rsid w:val="00A26331"/>
    <w:rsid w:val="00A2746C"/>
    <w:rsid w:val="00A27F7F"/>
    <w:rsid w:val="00A447CB"/>
    <w:rsid w:val="00A44C95"/>
    <w:rsid w:val="00A464AD"/>
    <w:rsid w:val="00A46547"/>
    <w:rsid w:val="00A542B0"/>
    <w:rsid w:val="00A5557B"/>
    <w:rsid w:val="00A56B82"/>
    <w:rsid w:val="00A75672"/>
    <w:rsid w:val="00A8486E"/>
    <w:rsid w:val="00AA2DCB"/>
    <w:rsid w:val="00AA3DF7"/>
    <w:rsid w:val="00AA7CED"/>
    <w:rsid w:val="00AB1FC9"/>
    <w:rsid w:val="00AB4133"/>
    <w:rsid w:val="00AB46A2"/>
    <w:rsid w:val="00AD492B"/>
    <w:rsid w:val="00AD5C1F"/>
    <w:rsid w:val="00AD5E18"/>
    <w:rsid w:val="00AD78F8"/>
    <w:rsid w:val="00AE1937"/>
    <w:rsid w:val="00AE3118"/>
    <w:rsid w:val="00AE3591"/>
    <w:rsid w:val="00AE35CB"/>
    <w:rsid w:val="00AF7E56"/>
    <w:rsid w:val="00B04616"/>
    <w:rsid w:val="00B072C7"/>
    <w:rsid w:val="00B101AB"/>
    <w:rsid w:val="00B27E34"/>
    <w:rsid w:val="00B30B48"/>
    <w:rsid w:val="00B337E6"/>
    <w:rsid w:val="00B34441"/>
    <w:rsid w:val="00B34D79"/>
    <w:rsid w:val="00B35BB0"/>
    <w:rsid w:val="00B36B7A"/>
    <w:rsid w:val="00B438C1"/>
    <w:rsid w:val="00B54672"/>
    <w:rsid w:val="00B559A4"/>
    <w:rsid w:val="00B63763"/>
    <w:rsid w:val="00B756D2"/>
    <w:rsid w:val="00B915FB"/>
    <w:rsid w:val="00B92DBA"/>
    <w:rsid w:val="00B97595"/>
    <w:rsid w:val="00BA2455"/>
    <w:rsid w:val="00BA2A59"/>
    <w:rsid w:val="00BA706B"/>
    <w:rsid w:val="00BA7DAE"/>
    <w:rsid w:val="00BB0513"/>
    <w:rsid w:val="00BB71D2"/>
    <w:rsid w:val="00BC0C02"/>
    <w:rsid w:val="00BD1027"/>
    <w:rsid w:val="00BD385F"/>
    <w:rsid w:val="00BD39E2"/>
    <w:rsid w:val="00BD3CA0"/>
    <w:rsid w:val="00BE0B0E"/>
    <w:rsid w:val="00BE3F98"/>
    <w:rsid w:val="00BF1329"/>
    <w:rsid w:val="00BF72F5"/>
    <w:rsid w:val="00BF7605"/>
    <w:rsid w:val="00C04DE6"/>
    <w:rsid w:val="00C0677E"/>
    <w:rsid w:val="00C16421"/>
    <w:rsid w:val="00C22140"/>
    <w:rsid w:val="00C31237"/>
    <w:rsid w:val="00C35D5A"/>
    <w:rsid w:val="00C42D41"/>
    <w:rsid w:val="00C43B8F"/>
    <w:rsid w:val="00C43FAD"/>
    <w:rsid w:val="00C45F48"/>
    <w:rsid w:val="00C474C8"/>
    <w:rsid w:val="00C54D42"/>
    <w:rsid w:val="00C679AC"/>
    <w:rsid w:val="00C758D8"/>
    <w:rsid w:val="00C81D94"/>
    <w:rsid w:val="00C900AE"/>
    <w:rsid w:val="00C9570B"/>
    <w:rsid w:val="00CA1927"/>
    <w:rsid w:val="00CA3AB7"/>
    <w:rsid w:val="00CB619E"/>
    <w:rsid w:val="00CC1987"/>
    <w:rsid w:val="00CD6231"/>
    <w:rsid w:val="00CE53AB"/>
    <w:rsid w:val="00D00CC8"/>
    <w:rsid w:val="00D22D66"/>
    <w:rsid w:val="00D250E5"/>
    <w:rsid w:val="00D253BE"/>
    <w:rsid w:val="00D26985"/>
    <w:rsid w:val="00D3529E"/>
    <w:rsid w:val="00D46F1D"/>
    <w:rsid w:val="00D53C06"/>
    <w:rsid w:val="00D60D26"/>
    <w:rsid w:val="00D60EB5"/>
    <w:rsid w:val="00D73891"/>
    <w:rsid w:val="00D749ED"/>
    <w:rsid w:val="00D81652"/>
    <w:rsid w:val="00D81CB9"/>
    <w:rsid w:val="00D90078"/>
    <w:rsid w:val="00D9528D"/>
    <w:rsid w:val="00DA3ED9"/>
    <w:rsid w:val="00DA4986"/>
    <w:rsid w:val="00DC10BE"/>
    <w:rsid w:val="00DD550E"/>
    <w:rsid w:val="00DD56EA"/>
    <w:rsid w:val="00DD694C"/>
    <w:rsid w:val="00DF0229"/>
    <w:rsid w:val="00DF3DAB"/>
    <w:rsid w:val="00DF4E14"/>
    <w:rsid w:val="00DF666A"/>
    <w:rsid w:val="00DF6EA3"/>
    <w:rsid w:val="00DF7946"/>
    <w:rsid w:val="00E1686F"/>
    <w:rsid w:val="00E33DCF"/>
    <w:rsid w:val="00E373AD"/>
    <w:rsid w:val="00E4036C"/>
    <w:rsid w:val="00E418B3"/>
    <w:rsid w:val="00E52D55"/>
    <w:rsid w:val="00E56FB6"/>
    <w:rsid w:val="00E57815"/>
    <w:rsid w:val="00E62DD5"/>
    <w:rsid w:val="00E8551F"/>
    <w:rsid w:val="00E923DA"/>
    <w:rsid w:val="00E93DBA"/>
    <w:rsid w:val="00E9519E"/>
    <w:rsid w:val="00E96678"/>
    <w:rsid w:val="00E967AE"/>
    <w:rsid w:val="00EB7CF2"/>
    <w:rsid w:val="00EE1047"/>
    <w:rsid w:val="00EF0176"/>
    <w:rsid w:val="00EF4463"/>
    <w:rsid w:val="00F10D01"/>
    <w:rsid w:val="00F143A4"/>
    <w:rsid w:val="00F21D5B"/>
    <w:rsid w:val="00F2339E"/>
    <w:rsid w:val="00F266DE"/>
    <w:rsid w:val="00F33865"/>
    <w:rsid w:val="00F4018F"/>
    <w:rsid w:val="00F46585"/>
    <w:rsid w:val="00F465B9"/>
    <w:rsid w:val="00F50FA6"/>
    <w:rsid w:val="00F55084"/>
    <w:rsid w:val="00F62E99"/>
    <w:rsid w:val="00F65A3A"/>
    <w:rsid w:val="00F70A79"/>
    <w:rsid w:val="00F73820"/>
    <w:rsid w:val="00F75167"/>
    <w:rsid w:val="00F765AB"/>
    <w:rsid w:val="00F810F1"/>
    <w:rsid w:val="00F85661"/>
    <w:rsid w:val="00F938C1"/>
    <w:rsid w:val="00FA3307"/>
    <w:rsid w:val="00FB5B64"/>
    <w:rsid w:val="00FC2299"/>
    <w:rsid w:val="00FC7766"/>
    <w:rsid w:val="00FD2844"/>
    <w:rsid w:val="00FD4EFA"/>
    <w:rsid w:val="00FD55D6"/>
    <w:rsid w:val="00FD6815"/>
    <w:rsid w:val="00FD6B91"/>
    <w:rsid w:val="00FE01AF"/>
    <w:rsid w:val="00FE6C94"/>
    <w:rsid w:val="00FF48BF"/>
    <w:rsid w:val="00FF5684"/>
    <w:rsid w:val="01885582"/>
    <w:rsid w:val="02D3570F"/>
    <w:rsid w:val="035769A3"/>
    <w:rsid w:val="040D0C24"/>
    <w:rsid w:val="0A0E7F26"/>
    <w:rsid w:val="0DEA380E"/>
    <w:rsid w:val="166F5222"/>
    <w:rsid w:val="1E711A49"/>
    <w:rsid w:val="20A67D62"/>
    <w:rsid w:val="2AA17567"/>
    <w:rsid w:val="2C8376D8"/>
    <w:rsid w:val="2E1610F8"/>
    <w:rsid w:val="2FE25E59"/>
    <w:rsid w:val="30A071CD"/>
    <w:rsid w:val="3100387E"/>
    <w:rsid w:val="32F41833"/>
    <w:rsid w:val="35D66C79"/>
    <w:rsid w:val="363F0E23"/>
    <w:rsid w:val="366F04F9"/>
    <w:rsid w:val="391F59BB"/>
    <w:rsid w:val="39707CB8"/>
    <w:rsid w:val="3EF33504"/>
    <w:rsid w:val="43712A92"/>
    <w:rsid w:val="44300B37"/>
    <w:rsid w:val="482C3F1D"/>
    <w:rsid w:val="4861546D"/>
    <w:rsid w:val="4AD420FB"/>
    <w:rsid w:val="4D9E3FA3"/>
    <w:rsid w:val="523A4917"/>
    <w:rsid w:val="52BD4306"/>
    <w:rsid w:val="52C935E2"/>
    <w:rsid w:val="5420452F"/>
    <w:rsid w:val="54990076"/>
    <w:rsid w:val="560D45D3"/>
    <w:rsid w:val="5BC14BBB"/>
    <w:rsid w:val="5C9D7268"/>
    <w:rsid w:val="5F97769F"/>
    <w:rsid w:val="615A37DE"/>
    <w:rsid w:val="63B36E26"/>
    <w:rsid w:val="64B659E6"/>
    <w:rsid w:val="669204DE"/>
    <w:rsid w:val="66AA38F8"/>
    <w:rsid w:val="694960C1"/>
    <w:rsid w:val="69F152C0"/>
    <w:rsid w:val="6F9E5BF8"/>
    <w:rsid w:val="73CE5A0F"/>
    <w:rsid w:val="772A5C99"/>
    <w:rsid w:val="77785FC7"/>
    <w:rsid w:val="78E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B137B"/>
  <w15:docId w15:val="{B7AEF6E7-752B-4F7B-B818-00F05BB0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24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1"/>
    <w:next w:val="a1"/>
    <w:link w:val="20"/>
    <w:uiPriority w:val="9"/>
    <w:qFormat/>
    <w:pPr>
      <w:keepNext/>
      <w:keepLines/>
      <w:spacing w:before="240" w:after="240" w:line="360" w:lineRule="auto"/>
      <w:outlineLvl w:val="1"/>
    </w:pPr>
    <w:rPr>
      <w:rFonts w:ascii="等线 Light" w:eastAsia="黑体" w:hAnsi="等线 Light"/>
      <w:bCs/>
      <w:sz w:val="24"/>
      <w:szCs w:val="32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qFormat/>
    <w:rPr>
      <w:rFonts w:ascii="等线 Light" w:eastAsia="黑体" w:hAnsi="等线 Light"/>
      <w:sz w:val="20"/>
      <w:szCs w:val="20"/>
    </w:rPr>
  </w:style>
  <w:style w:type="paragraph" w:styleId="TOC3">
    <w:name w:val="toc 3"/>
    <w:basedOn w:val="a1"/>
    <w:next w:val="a1"/>
    <w:autoRedefine/>
    <w:uiPriority w:val="39"/>
    <w:unhideWhenUsed/>
    <w:qFormat/>
    <w:pPr>
      <w:ind w:leftChars="400" w:left="840"/>
    </w:pPr>
  </w:style>
  <w:style w:type="paragraph" w:styleId="a6">
    <w:name w:val="Plain Text"/>
    <w:basedOn w:val="a1"/>
    <w:uiPriority w:val="99"/>
    <w:qFormat/>
    <w:rPr>
      <w:rFonts w:ascii="宋体" w:hAnsi="Courier New" w:cs="宋体"/>
    </w:rPr>
  </w:style>
  <w:style w:type="paragraph" w:styleId="a7">
    <w:name w:val="Date"/>
    <w:basedOn w:val="a1"/>
    <w:next w:val="a1"/>
    <w:link w:val="a8"/>
    <w:qFormat/>
    <w:pPr>
      <w:ind w:leftChars="2500" w:left="100"/>
    </w:pPr>
    <w:rPr>
      <w:szCs w:val="24"/>
    </w:rPr>
  </w:style>
  <w:style w:type="paragraph" w:styleId="a9">
    <w:name w:val="Balloon Text"/>
    <w:basedOn w:val="a1"/>
    <w:link w:val="aa"/>
    <w:unhideWhenUsed/>
    <w:qFormat/>
    <w:rPr>
      <w:sz w:val="18"/>
      <w:szCs w:val="18"/>
    </w:rPr>
  </w:style>
  <w:style w:type="paragraph" w:styleId="ab">
    <w:name w:val="footer"/>
    <w:basedOn w:val="a1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1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1"/>
    <w:next w:val="a1"/>
    <w:autoRedefine/>
    <w:uiPriority w:val="39"/>
    <w:unhideWhenUsed/>
    <w:qFormat/>
    <w:pPr>
      <w:tabs>
        <w:tab w:val="right" w:leader="dot" w:pos="8538"/>
      </w:tabs>
      <w:spacing w:line="360" w:lineRule="auto"/>
    </w:pPr>
  </w:style>
  <w:style w:type="paragraph" w:styleId="TOC2">
    <w:name w:val="toc 2"/>
    <w:basedOn w:val="a1"/>
    <w:next w:val="a1"/>
    <w:autoRedefine/>
    <w:uiPriority w:val="39"/>
    <w:unhideWhenUsed/>
    <w:qFormat/>
    <w:pPr>
      <w:ind w:leftChars="200" w:left="420"/>
    </w:pPr>
  </w:style>
  <w:style w:type="character" w:styleId="af">
    <w:name w:val="Strong"/>
    <w:qFormat/>
    <w:rPr>
      <w:b/>
    </w:rPr>
  </w:style>
  <w:style w:type="character" w:styleId="af0">
    <w:name w:val="page number"/>
    <w:qFormat/>
  </w:style>
  <w:style w:type="character" w:styleId="af1">
    <w:name w:val="Hyperlink"/>
    <w:uiPriority w:val="99"/>
    <w:unhideWhenUsed/>
    <w:qFormat/>
    <w:rPr>
      <w:color w:val="0563C1"/>
      <w:u w:val="single"/>
    </w:rPr>
  </w:style>
  <w:style w:type="character" w:customStyle="1" w:styleId="20">
    <w:name w:val="标题 2 字符"/>
    <w:link w:val="2"/>
    <w:uiPriority w:val="9"/>
    <w:rPr>
      <w:rFonts w:ascii="等线 Light" w:eastAsia="黑体" w:hAnsi="等线 Light"/>
      <w:bCs/>
      <w:kern w:val="2"/>
      <w:sz w:val="24"/>
      <w:szCs w:val="32"/>
    </w:rPr>
  </w:style>
  <w:style w:type="character" w:customStyle="1" w:styleId="a8">
    <w:name w:val="日期 字符"/>
    <w:link w:val="a7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a">
    <w:name w:val="批注框文本 字符"/>
    <w:link w:val="a9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脚 字符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link w:val="ad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qFormat/>
    <w:rPr>
      <w:rFonts w:ascii="黑体" w:eastAsia="黑体" w:hAnsi="黑体" w:hint="eastAsia"/>
      <w:color w:val="000000"/>
      <w:sz w:val="32"/>
      <w:szCs w:val="32"/>
    </w:rPr>
  </w:style>
  <w:style w:type="character" w:customStyle="1" w:styleId="1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">
    <w:name w:val="段 Char"/>
    <w:link w:val="af2"/>
    <w:qFormat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fontstyle11">
    <w:name w:val="fontstyle11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apple-style-span">
    <w:name w:val="apple-style-span"/>
    <w:semiHidden/>
    <w:qFormat/>
  </w:style>
  <w:style w:type="paragraph" w:styleId="af3">
    <w:name w:val="List Paragraph"/>
    <w:basedOn w:val="a1"/>
    <w:uiPriority w:val="99"/>
    <w:qFormat/>
    <w:pPr>
      <w:ind w:firstLineChars="200" w:firstLine="420"/>
    </w:pPr>
  </w:style>
  <w:style w:type="paragraph" w:customStyle="1" w:styleId="Char1CharCharCharCharCharCharCharCharChar">
    <w:name w:val="Char1 Char Char Char Char Char Char Char Char Char"/>
    <w:basedOn w:val="a1"/>
    <w:qFormat/>
    <w:pPr>
      <w:spacing w:line="360" w:lineRule="auto"/>
    </w:pPr>
    <w:rPr>
      <w:rFonts w:ascii="Tahoma" w:hAnsi="Tahoma"/>
      <w:sz w:val="24"/>
      <w:szCs w:val="20"/>
    </w:rPr>
  </w:style>
  <w:style w:type="paragraph" w:customStyle="1" w:styleId="af4">
    <w:name w:val="图标标题"/>
    <w:basedOn w:val="a5"/>
    <w:qFormat/>
    <w:pPr>
      <w:jc w:val="center"/>
    </w:pPr>
    <w:rPr>
      <w:sz w:val="21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1"/>
    </w:rPr>
  </w:style>
  <w:style w:type="paragraph" w:customStyle="1" w:styleId="EndNoteBibliography">
    <w:name w:val="EndNote Bibliography"/>
    <w:basedOn w:val="a1"/>
    <w:link w:val="EndNoteBibliography0"/>
    <w:qFormat/>
    <w:rPr>
      <w:rFonts w:eastAsia="等线"/>
      <w:sz w:val="20"/>
      <w:szCs w:val="22"/>
    </w:rPr>
  </w:style>
  <w:style w:type="character" w:customStyle="1" w:styleId="EndNoteBibliography0">
    <w:name w:val="EndNote Bibliography 字符"/>
    <w:link w:val="EndNoteBibliography"/>
    <w:qFormat/>
    <w:rPr>
      <w:rFonts w:eastAsia="等线"/>
      <w:kern w:val="2"/>
      <w:szCs w:val="22"/>
    </w:rPr>
  </w:style>
  <w:style w:type="paragraph" w:customStyle="1" w:styleId="EndNoteBibliographyTitle">
    <w:name w:val="EndNote Bibliography Title"/>
    <w:basedOn w:val="a1"/>
    <w:link w:val="EndNoteBibliographyTitle0"/>
    <w:qFormat/>
    <w:pPr>
      <w:jc w:val="center"/>
    </w:pPr>
    <w:rPr>
      <w:sz w:val="20"/>
    </w:rPr>
  </w:style>
  <w:style w:type="character" w:customStyle="1" w:styleId="EndNoteBibliographyTitle0">
    <w:name w:val="EndNote Bibliography Title 字符"/>
    <w:link w:val="EndNoteBibliographyTitle"/>
    <w:qFormat/>
    <w:rPr>
      <w:kern w:val="2"/>
      <w:szCs w:val="21"/>
      <w:lang w:val="en-US" w:eastAsia="zh-CN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customStyle="1" w:styleId="TOC10">
    <w:name w:val="TOC 标题1"/>
    <w:basedOn w:val="1"/>
    <w:next w:val="a1"/>
    <w:uiPriority w:val="39"/>
    <w:unhideWhenUsed/>
    <w:qFormat/>
    <w:pPr>
      <w:widowControl/>
      <w:spacing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kern w:val="2"/>
      <w:sz w:val="24"/>
      <w:szCs w:val="32"/>
    </w:rPr>
  </w:style>
  <w:style w:type="character" w:customStyle="1" w:styleId="Char0">
    <w:name w:val="标准文件_段 Char"/>
    <w:link w:val="af5"/>
    <w:qFormat/>
    <w:locked/>
    <w:rPr>
      <w:rFonts w:ascii="宋体"/>
      <w:sz w:val="21"/>
    </w:rPr>
  </w:style>
  <w:style w:type="paragraph" w:customStyle="1" w:styleId="af5">
    <w:name w:val="标准文件_段"/>
    <w:link w:val="Char0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0">
    <w:name w:val="二级条标题"/>
    <w:basedOn w:val="a"/>
    <w:next w:val="af2"/>
    <w:qFormat/>
    <w:pPr>
      <w:numPr>
        <w:ilvl w:val="2"/>
      </w:numPr>
      <w:spacing w:before="50" w:after="50"/>
      <w:outlineLvl w:val="3"/>
    </w:pPr>
  </w:style>
  <w:style w:type="paragraph" w:customStyle="1" w:styleId="a">
    <w:name w:val="一级条标题"/>
    <w:next w:val="af2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FD8C-1850-47D2-BE5D-0813EAA0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1034</Words>
  <Characters>5899</Characters>
  <Application>Microsoft Office Word</Application>
  <DocSecurity>0</DocSecurity>
  <Lines>49</Lines>
  <Paragraphs>13</Paragraphs>
  <ScaleCrop>false</ScaleCrop>
  <Company>Lenovo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ThinkPad</cp:lastModifiedBy>
  <cp:revision>3</cp:revision>
  <cp:lastPrinted>2021-10-27T07:09:00Z</cp:lastPrinted>
  <dcterms:created xsi:type="dcterms:W3CDTF">2024-09-06T12:46:00Z</dcterms:created>
  <dcterms:modified xsi:type="dcterms:W3CDTF">2025-03-04T14:47:00Z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3D6B248D81314D1DBBC751C4DAA36306_13</vt:lpwstr>
  </property>
  <property fmtid="{D5CDD505-2E9C-101B-9397-08002B2CF9AE}" pid="4" name="KSOTemplateDocerSaveRecord">
    <vt:lpwstr>eyJoZGlkIjoiZDdlY2M2OTZhM2Q0ZWFiMDg2MmY5MGMwNGFlZjVhNmMiLCJ1c2VySWQiOiIxNDg5NDY4ODMzIn0=</vt:lpwstr>
  </property>
</Properties>
</file>