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6F49F" w14:textId="77777777" w:rsidR="00F44DD0" w:rsidRDefault="00F44DD0" w:rsidP="00F44DD0">
      <w:pPr>
        <w:tabs>
          <w:tab w:val="left" w:pos="7371"/>
        </w:tabs>
        <w:jc w:val="left"/>
      </w:pPr>
      <w:r>
        <w:t>ICS 6</w:t>
      </w:r>
      <w:r>
        <w:rPr>
          <w:rFonts w:hint="eastAsia"/>
        </w:rPr>
        <w:t>5</w:t>
      </w:r>
      <w:r>
        <w:t>.120</w:t>
      </w:r>
    </w:p>
    <w:p w14:paraId="212356A0" w14:textId="77777777" w:rsidR="00F44DD0" w:rsidRDefault="00F44DD0" w:rsidP="00F44DD0">
      <w:pPr>
        <w:jc w:val="left"/>
      </w:pPr>
      <w:r>
        <w:t xml:space="preserve">B </w:t>
      </w:r>
      <w:r>
        <w:rPr>
          <w:rFonts w:hint="eastAsia"/>
        </w:rPr>
        <w:t>20</w:t>
      </w:r>
    </w:p>
    <w:p w14:paraId="7CC53014" w14:textId="77777777" w:rsidR="00F44DD0" w:rsidRDefault="00F44DD0" w:rsidP="00F44DD0">
      <w:pPr>
        <w:jc w:val="center"/>
      </w:pPr>
    </w:p>
    <w:p w14:paraId="295ED3B0" w14:textId="77777777" w:rsidR="00F44DD0" w:rsidRDefault="00F44DD0" w:rsidP="00F44DD0">
      <w:pPr>
        <w:jc w:val="center"/>
      </w:pPr>
    </w:p>
    <w:p w14:paraId="3523E805" w14:textId="77777777" w:rsidR="00F44DD0" w:rsidRDefault="00F44DD0" w:rsidP="00F44DD0">
      <w:pPr>
        <w:jc w:val="center"/>
        <w:rPr>
          <w:rFonts w:eastAsia="黑体"/>
          <w:sz w:val="84"/>
          <w:szCs w:val="84"/>
        </w:rPr>
      </w:pPr>
      <w:r>
        <w:rPr>
          <w:rFonts w:eastAsia="黑体" w:cs="黑体" w:hint="eastAsia"/>
          <w:sz w:val="84"/>
          <w:szCs w:val="84"/>
        </w:rPr>
        <w:t>团</w:t>
      </w:r>
      <w:r>
        <w:rPr>
          <w:rFonts w:eastAsia="黑体" w:cs="黑体" w:hint="eastAsia"/>
          <w:sz w:val="84"/>
          <w:szCs w:val="84"/>
        </w:rPr>
        <w:t xml:space="preserve"> </w:t>
      </w:r>
      <w:r>
        <w:rPr>
          <w:rFonts w:eastAsia="黑体" w:cs="黑体" w:hint="eastAsia"/>
          <w:sz w:val="84"/>
          <w:szCs w:val="84"/>
        </w:rPr>
        <w:t>体</w:t>
      </w:r>
      <w:r>
        <w:rPr>
          <w:rFonts w:eastAsia="黑体" w:cs="黑体" w:hint="eastAsia"/>
          <w:sz w:val="84"/>
          <w:szCs w:val="84"/>
        </w:rPr>
        <w:t xml:space="preserve"> </w:t>
      </w:r>
      <w:r>
        <w:rPr>
          <w:rFonts w:eastAsia="黑体" w:cs="黑体" w:hint="eastAsia"/>
          <w:sz w:val="84"/>
          <w:szCs w:val="84"/>
        </w:rPr>
        <w:t>标</w:t>
      </w:r>
      <w:r>
        <w:rPr>
          <w:rFonts w:eastAsia="黑体" w:cs="黑体" w:hint="eastAsia"/>
          <w:sz w:val="84"/>
          <w:szCs w:val="84"/>
        </w:rPr>
        <w:t xml:space="preserve"> </w:t>
      </w:r>
      <w:r>
        <w:rPr>
          <w:rFonts w:eastAsia="黑体" w:cs="黑体" w:hint="eastAsia"/>
          <w:sz w:val="84"/>
          <w:szCs w:val="84"/>
        </w:rPr>
        <w:t>准</w:t>
      </w:r>
    </w:p>
    <w:p w14:paraId="3D88E421" w14:textId="77777777" w:rsidR="00F44DD0" w:rsidRDefault="00F44DD0" w:rsidP="00F44DD0">
      <w:pPr>
        <w:jc w:val="center"/>
        <w:rPr>
          <w:sz w:val="84"/>
          <w:szCs w:val="84"/>
        </w:rPr>
      </w:pPr>
    </w:p>
    <w:p w14:paraId="47A4976F" w14:textId="77777777" w:rsidR="00F44DD0" w:rsidRDefault="00F44DD0" w:rsidP="00F44DD0">
      <w:pPr>
        <w:jc w:val="right"/>
        <w:rPr>
          <w:b/>
          <w:bCs/>
        </w:rPr>
      </w:pPr>
      <w:bookmarkStart w:id="0" w:name="_Hlk191975570"/>
      <w:r>
        <w:rPr>
          <w:b/>
          <w:bCs/>
        </w:rPr>
        <w:t>T/HXCY XXX-</w:t>
      </w:r>
      <w:r>
        <w:rPr>
          <w:rFonts w:hint="eastAsia"/>
          <w:b/>
          <w:bCs/>
        </w:rPr>
        <w:t>2025</w:t>
      </w:r>
    </w:p>
    <w:bookmarkEnd w:id="0"/>
    <w:p w14:paraId="1052682D" w14:textId="77777777" w:rsidR="00F44DD0" w:rsidRDefault="00F44DD0" w:rsidP="00F44DD0">
      <w:pPr>
        <w:jc w:val="left"/>
        <w:rPr>
          <w:u w:val="single"/>
        </w:rPr>
      </w:pPr>
      <w:r>
        <w:rPr>
          <w:u w:val="single"/>
        </w:rPr>
        <w:t xml:space="preserve">                                                                               </w:t>
      </w:r>
    </w:p>
    <w:p w14:paraId="1CCE8C86" w14:textId="77777777" w:rsidR="008C4B8B" w:rsidRPr="00F44DD0" w:rsidRDefault="008C4B8B" w:rsidP="008C4B8B">
      <w:pPr>
        <w:jc w:val="left"/>
        <w:rPr>
          <w:szCs w:val="21"/>
          <w:u w:val="single"/>
        </w:rPr>
      </w:pPr>
    </w:p>
    <w:p w14:paraId="3AF1AF52" w14:textId="05B841CB" w:rsidR="00DF032A" w:rsidRDefault="00124B0D">
      <w:pPr>
        <w:jc w:val="center"/>
        <w:rPr>
          <w:rFonts w:eastAsia="黑体"/>
          <w:sz w:val="52"/>
          <w:szCs w:val="52"/>
        </w:rPr>
      </w:pPr>
      <w:r>
        <w:rPr>
          <w:rFonts w:eastAsia="黑体" w:hint="eastAsia"/>
          <w:sz w:val="52"/>
          <w:szCs w:val="52"/>
        </w:rPr>
        <w:t>桑叶</w:t>
      </w:r>
      <w:r w:rsidR="001B643D">
        <w:rPr>
          <w:rFonts w:eastAsia="黑体" w:hint="eastAsia"/>
          <w:sz w:val="52"/>
          <w:szCs w:val="52"/>
        </w:rPr>
        <w:t>饲用技术</w:t>
      </w:r>
      <w:r w:rsidR="00113CD7">
        <w:rPr>
          <w:rFonts w:eastAsia="黑体"/>
          <w:sz w:val="52"/>
          <w:szCs w:val="52"/>
        </w:rPr>
        <w:t>规程</w:t>
      </w:r>
      <w:r w:rsidR="008C4B8B">
        <w:rPr>
          <w:rFonts w:eastAsia="黑体"/>
          <w:sz w:val="52"/>
          <w:szCs w:val="52"/>
        </w:rPr>
        <w:t xml:space="preserve"> </w:t>
      </w:r>
      <w:r w:rsidR="001B643D">
        <w:rPr>
          <w:rFonts w:eastAsia="黑体" w:hint="eastAsia"/>
          <w:sz w:val="52"/>
          <w:szCs w:val="52"/>
        </w:rPr>
        <w:t xml:space="preserve"> </w:t>
      </w:r>
      <w:r w:rsidR="001B643D">
        <w:rPr>
          <w:rFonts w:eastAsia="黑体" w:hint="eastAsia"/>
          <w:sz w:val="52"/>
          <w:szCs w:val="52"/>
        </w:rPr>
        <w:t>草鱼</w:t>
      </w:r>
    </w:p>
    <w:p w14:paraId="64DFB0EE" w14:textId="5F7225AB" w:rsidR="00DF032A" w:rsidRDefault="00124B0D">
      <w:pPr>
        <w:jc w:val="center"/>
        <w:rPr>
          <w:rFonts w:eastAsia="黑体"/>
          <w:b/>
          <w:sz w:val="28"/>
          <w:szCs w:val="28"/>
        </w:rPr>
      </w:pPr>
      <w:r w:rsidRPr="00124B0D">
        <w:rPr>
          <w:rFonts w:eastAsia="黑体"/>
          <w:b/>
          <w:sz w:val="28"/>
          <w:szCs w:val="28"/>
        </w:rPr>
        <w:t>Feeding Technical Specification with mulberry leaves for Grass Carp</w:t>
      </w:r>
    </w:p>
    <w:p w14:paraId="749399FC" w14:textId="04056C42" w:rsidR="00DF032A" w:rsidRPr="008C4B8B" w:rsidRDefault="00113CD7" w:rsidP="008C4B8B">
      <w:pPr>
        <w:spacing w:beforeLines="50" w:before="156" w:afterLines="50" w:after="156" w:line="360" w:lineRule="auto"/>
        <w:ind w:right="159"/>
        <w:jc w:val="center"/>
        <w:rPr>
          <w:rFonts w:cs="宋体"/>
          <w:b/>
          <w:bCs/>
          <w:color w:val="000000"/>
          <w:sz w:val="36"/>
          <w:szCs w:val="48"/>
        </w:rPr>
      </w:pPr>
      <w:r w:rsidRPr="008C4B8B">
        <w:rPr>
          <w:rFonts w:cs="宋体" w:hint="eastAsia"/>
          <w:b/>
          <w:bCs/>
          <w:color w:val="000000"/>
          <w:sz w:val="36"/>
          <w:szCs w:val="48"/>
        </w:rPr>
        <w:t>（</w:t>
      </w:r>
      <w:r w:rsidR="005C3A74">
        <w:rPr>
          <w:rFonts w:cs="宋体" w:hint="eastAsia"/>
          <w:b/>
          <w:bCs/>
          <w:color w:val="000000"/>
          <w:sz w:val="36"/>
          <w:szCs w:val="48"/>
        </w:rPr>
        <w:t>征求意见</w:t>
      </w:r>
      <w:r w:rsidRPr="008C4B8B">
        <w:rPr>
          <w:rFonts w:cs="宋体" w:hint="eastAsia"/>
          <w:b/>
          <w:bCs/>
          <w:color w:val="000000"/>
          <w:sz w:val="36"/>
          <w:szCs w:val="48"/>
        </w:rPr>
        <w:t>稿）</w:t>
      </w:r>
    </w:p>
    <w:p w14:paraId="7CEED10E" w14:textId="2715017A" w:rsidR="008C4B8B" w:rsidRDefault="008C4B8B" w:rsidP="008C4B8B">
      <w:pPr>
        <w:jc w:val="center"/>
        <w:rPr>
          <w:rFonts w:eastAsia="黑体"/>
          <w:szCs w:val="21"/>
        </w:rPr>
      </w:pPr>
    </w:p>
    <w:p w14:paraId="70D6F26E" w14:textId="77777777" w:rsidR="008C4B8B" w:rsidRDefault="008C4B8B" w:rsidP="008C4B8B">
      <w:pPr>
        <w:jc w:val="center"/>
        <w:rPr>
          <w:rFonts w:eastAsia="黑体"/>
          <w:szCs w:val="21"/>
        </w:rPr>
      </w:pPr>
    </w:p>
    <w:p w14:paraId="011F58FB" w14:textId="77777777" w:rsidR="008C4B8B" w:rsidRDefault="008C4B8B" w:rsidP="008C4B8B">
      <w:pPr>
        <w:jc w:val="center"/>
        <w:rPr>
          <w:rFonts w:eastAsia="黑体"/>
          <w:szCs w:val="21"/>
        </w:rPr>
      </w:pPr>
    </w:p>
    <w:p w14:paraId="2AA541C4" w14:textId="77777777" w:rsidR="008C4B8B" w:rsidRDefault="008C4B8B" w:rsidP="008C4B8B">
      <w:pPr>
        <w:jc w:val="center"/>
        <w:rPr>
          <w:rFonts w:eastAsia="黑体"/>
          <w:szCs w:val="21"/>
        </w:rPr>
      </w:pPr>
    </w:p>
    <w:p w14:paraId="20D8D8F8" w14:textId="77777777" w:rsidR="008C4B8B" w:rsidRDefault="008C4B8B" w:rsidP="008C4B8B">
      <w:pPr>
        <w:jc w:val="center"/>
        <w:rPr>
          <w:rFonts w:eastAsia="黑体"/>
          <w:szCs w:val="21"/>
        </w:rPr>
      </w:pPr>
    </w:p>
    <w:p w14:paraId="3A085C20" w14:textId="77777777" w:rsidR="008C4B8B" w:rsidRDefault="008C4B8B" w:rsidP="008C4B8B">
      <w:pPr>
        <w:jc w:val="center"/>
        <w:rPr>
          <w:rFonts w:eastAsia="黑体"/>
          <w:szCs w:val="21"/>
        </w:rPr>
      </w:pPr>
    </w:p>
    <w:p w14:paraId="6DC31864" w14:textId="77777777" w:rsidR="008C4B8B" w:rsidRDefault="008C4B8B" w:rsidP="008C4B8B">
      <w:pPr>
        <w:rPr>
          <w:rFonts w:eastAsia="黑体"/>
          <w:szCs w:val="21"/>
        </w:rPr>
      </w:pPr>
    </w:p>
    <w:p w14:paraId="708BB7E6" w14:textId="77777777" w:rsidR="008C4B8B" w:rsidRDefault="008C4B8B" w:rsidP="008C4B8B">
      <w:pPr>
        <w:rPr>
          <w:rFonts w:eastAsia="黑体"/>
          <w:szCs w:val="21"/>
        </w:rPr>
      </w:pPr>
    </w:p>
    <w:p w14:paraId="3B1AF142" w14:textId="77777777" w:rsidR="008C4B8B" w:rsidRDefault="008C4B8B" w:rsidP="008C4B8B">
      <w:pPr>
        <w:rPr>
          <w:rFonts w:eastAsia="黑体"/>
          <w:szCs w:val="21"/>
        </w:rPr>
      </w:pPr>
    </w:p>
    <w:p w14:paraId="13A650D0" w14:textId="77777777" w:rsidR="008C4B8B" w:rsidRDefault="008C4B8B" w:rsidP="008C4B8B">
      <w:pPr>
        <w:rPr>
          <w:rFonts w:eastAsia="黑体"/>
          <w:szCs w:val="21"/>
        </w:rPr>
      </w:pPr>
    </w:p>
    <w:p w14:paraId="0ADA4DE2" w14:textId="77777777" w:rsidR="005C3A74" w:rsidRDefault="005C3A74" w:rsidP="008C4B8B">
      <w:pPr>
        <w:rPr>
          <w:rFonts w:eastAsia="黑体"/>
          <w:szCs w:val="21"/>
        </w:rPr>
      </w:pPr>
    </w:p>
    <w:p w14:paraId="093D5125" w14:textId="77777777" w:rsidR="005C3A74" w:rsidRDefault="005C3A74" w:rsidP="008C4B8B">
      <w:pPr>
        <w:rPr>
          <w:rFonts w:eastAsia="黑体"/>
          <w:szCs w:val="21"/>
        </w:rPr>
      </w:pPr>
    </w:p>
    <w:p w14:paraId="1D910A0B" w14:textId="77777777" w:rsidR="005C3A74" w:rsidRDefault="005C3A74" w:rsidP="008C4B8B">
      <w:pPr>
        <w:rPr>
          <w:rFonts w:eastAsia="黑体"/>
          <w:szCs w:val="21"/>
        </w:rPr>
      </w:pPr>
    </w:p>
    <w:p w14:paraId="522FDE3B" w14:textId="77777777" w:rsidR="005C3A74" w:rsidRDefault="005C3A74" w:rsidP="008C4B8B">
      <w:pPr>
        <w:rPr>
          <w:rFonts w:eastAsia="黑体"/>
          <w:szCs w:val="21"/>
        </w:rPr>
      </w:pPr>
    </w:p>
    <w:p w14:paraId="2CA853DC" w14:textId="77777777" w:rsidR="005C3A74" w:rsidRDefault="005C3A74" w:rsidP="008C4B8B">
      <w:pPr>
        <w:rPr>
          <w:rFonts w:eastAsia="黑体"/>
          <w:szCs w:val="21"/>
        </w:rPr>
      </w:pPr>
    </w:p>
    <w:p w14:paraId="077682D9" w14:textId="77777777" w:rsidR="005C3A74" w:rsidRDefault="005C3A74" w:rsidP="008C4B8B">
      <w:pPr>
        <w:rPr>
          <w:rFonts w:eastAsia="黑体"/>
          <w:szCs w:val="21"/>
        </w:rPr>
      </w:pPr>
    </w:p>
    <w:p w14:paraId="07F61CB9" w14:textId="77777777" w:rsidR="005C3A74" w:rsidRDefault="005C3A74" w:rsidP="008C4B8B">
      <w:pPr>
        <w:rPr>
          <w:rFonts w:eastAsia="黑体"/>
          <w:szCs w:val="21"/>
        </w:rPr>
      </w:pPr>
    </w:p>
    <w:p w14:paraId="7E82E39F" w14:textId="77777777" w:rsidR="005C3A74" w:rsidRDefault="005C3A74" w:rsidP="008C4B8B">
      <w:pPr>
        <w:rPr>
          <w:rFonts w:eastAsia="黑体"/>
          <w:szCs w:val="21"/>
        </w:rPr>
      </w:pPr>
    </w:p>
    <w:p w14:paraId="24B02D0D" w14:textId="77777777" w:rsidR="00F44DD0" w:rsidRDefault="00F44DD0" w:rsidP="008C4B8B">
      <w:pPr>
        <w:rPr>
          <w:rFonts w:eastAsia="黑体"/>
          <w:szCs w:val="21"/>
        </w:rPr>
      </w:pPr>
    </w:p>
    <w:p w14:paraId="6591AF39" w14:textId="36E9FE70" w:rsidR="008C4B8B" w:rsidRDefault="00F44DD0" w:rsidP="008C4B8B">
      <w:pPr>
        <w:jc w:val="center"/>
        <w:rPr>
          <w:rFonts w:eastAsia="黑体"/>
          <w:szCs w:val="21"/>
          <w:u w:val="single"/>
        </w:rPr>
      </w:pPr>
      <w:bookmarkStart w:id="1" w:name="_Hlk191975616"/>
      <w:r>
        <w:rPr>
          <w:rFonts w:ascii="黑体" w:eastAsia="黑体" w:hAnsi="黑体" w:hint="eastAsia"/>
          <w:u w:val="single"/>
        </w:rPr>
        <w:t>2025</w:t>
      </w:r>
      <w:bookmarkStart w:id="2" w:name="_Hlk191975599"/>
      <w:r>
        <w:rPr>
          <w:rFonts w:ascii="黑体" w:eastAsia="黑体" w:hAnsi="黑体"/>
          <w:u w:val="single"/>
        </w:rPr>
        <w:t>-</w:t>
      </w:r>
      <w:r>
        <w:rPr>
          <w:rFonts w:ascii="黑体" w:eastAsia="黑体" w:hAnsi="黑体" w:hint="eastAsia"/>
          <w:u w:val="single"/>
        </w:rPr>
        <w:t>XX</w:t>
      </w:r>
      <w:r>
        <w:rPr>
          <w:rFonts w:ascii="黑体" w:eastAsia="黑体" w:hAnsi="黑体"/>
          <w:u w:val="single"/>
        </w:rPr>
        <w:t>-</w:t>
      </w:r>
      <w:r>
        <w:rPr>
          <w:rFonts w:ascii="黑体" w:eastAsia="黑体" w:hAnsi="黑体" w:hint="eastAsia"/>
          <w:u w:val="single"/>
        </w:rPr>
        <w:t>XX</w:t>
      </w:r>
      <w:bookmarkEnd w:id="2"/>
      <w:r>
        <w:rPr>
          <w:rFonts w:ascii="黑体" w:eastAsia="黑体" w:hAnsi="黑体" w:cs="黑体" w:hint="eastAsia"/>
          <w:u w:val="single"/>
        </w:rPr>
        <w:t xml:space="preserve">发布                                                  </w:t>
      </w:r>
      <w:r>
        <w:rPr>
          <w:rFonts w:ascii="黑体" w:eastAsia="黑体" w:hAnsi="黑体"/>
          <w:u w:val="single"/>
        </w:rPr>
        <w:t>202</w:t>
      </w:r>
      <w:r>
        <w:rPr>
          <w:rFonts w:ascii="黑体" w:eastAsia="黑体" w:hAnsi="黑体" w:hint="eastAsia"/>
          <w:u w:val="single"/>
        </w:rPr>
        <w:t>5</w:t>
      </w:r>
      <w:r>
        <w:rPr>
          <w:rFonts w:ascii="黑体" w:eastAsia="黑体" w:hAnsi="黑体"/>
          <w:u w:val="single"/>
        </w:rPr>
        <w:t>-</w:t>
      </w:r>
      <w:r>
        <w:rPr>
          <w:rFonts w:ascii="黑体" w:eastAsia="黑体" w:hAnsi="黑体" w:hint="eastAsia"/>
          <w:u w:val="single"/>
        </w:rPr>
        <w:t>XX</w:t>
      </w:r>
      <w:r>
        <w:rPr>
          <w:rFonts w:ascii="黑体" w:eastAsia="黑体" w:hAnsi="黑体"/>
          <w:u w:val="single"/>
        </w:rPr>
        <w:t>-</w:t>
      </w:r>
      <w:r>
        <w:rPr>
          <w:rFonts w:ascii="黑体" w:eastAsia="黑体" w:hAnsi="黑体" w:hint="eastAsia"/>
          <w:u w:val="single"/>
        </w:rPr>
        <w:t>XX</w:t>
      </w:r>
      <w:r>
        <w:rPr>
          <w:rFonts w:ascii="黑体" w:eastAsia="黑体" w:hAnsi="黑体" w:cs="黑体" w:hint="eastAsia"/>
          <w:u w:val="single"/>
        </w:rPr>
        <w:t>实施</w:t>
      </w:r>
      <w:bookmarkEnd w:id="1"/>
    </w:p>
    <w:p w14:paraId="20FC09FB" w14:textId="77777777" w:rsidR="008C4B8B" w:rsidRDefault="008C4B8B" w:rsidP="008C4B8B">
      <w:pPr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t>北京华夏草业产业技术创新战略联盟发布</w:t>
      </w:r>
    </w:p>
    <w:p w14:paraId="0017A7B9" w14:textId="77777777" w:rsidR="008C4B8B" w:rsidRDefault="008C4B8B" w:rsidP="008C4B8B">
      <w:pPr>
        <w:jc w:val="center"/>
        <w:rPr>
          <w:rFonts w:eastAsia="黑体"/>
          <w:szCs w:val="21"/>
        </w:rPr>
        <w:sectPr w:rsidR="008C4B8B">
          <w:pgSz w:w="11906" w:h="16838"/>
          <w:pgMar w:top="1440" w:right="1800" w:bottom="1440" w:left="1800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14:paraId="268A06E7" w14:textId="77777777" w:rsidR="00DF032A" w:rsidRPr="00741B3E" w:rsidRDefault="00113CD7">
      <w:pPr>
        <w:pStyle w:val="TOC1"/>
        <w:spacing w:before="312" w:after="312"/>
        <w:rPr>
          <w:rFonts w:hint="eastAsia"/>
          <w:sz w:val="32"/>
          <w:szCs w:val="32"/>
        </w:rPr>
      </w:pPr>
      <w:r w:rsidRPr="00741B3E">
        <w:rPr>
          <w:rFonts w:hint="eastAsia"/>
          <w:sz w:val="32"/>
          <w:szCs w:val="32"/>
        </w:rPr>
        <w:lastRenderedPageBreak/>
        <w:t>目  次</w:t>
      </w:r>
    </w:p>
    <w:p w14:paraId="18378338" w14:textId="4A2993CE" w:rsidR="00DF032A" w:rsidRPr="00741B3E" w:rsidRDefault="00113CD7" w:rsidP="00741B3E">
      <w:pPr>
        <w:pStyle w:val="TOC1"/>
        <w:spacing w:line="360" w:lineRule="auto"/>
        <w:rPr>
          <w:rFonts w:asciiTheme="minorEastAsia" w:eastAsiaTheme="minorEastAsia" w:hAnsiTheme="minorEastAsia" w:hint="eastAsia"/>
          <w:noProof/>
          <w:sz w:val="21"/>
          <w:szCs w:val="21"/>
        </w:rPr>
      </w:pPr>
      <w:r w:rsidRPr="00270993">
        <w:rPr>
          <w:rFonts w:asciiTheme="minorEastAsia" w:eastAsiaTheme="minorEastAsia" w:hAnsiTheme="minorEastAsia"/>
          <w:sz w:val="24"/>
        </w:rPr>
        <w:fldChar w:fldCharType="begin"/>
      </w:r>
      <w:r w:rsidRPr="00270993">
        <w:rPr>
          <w:rFonts w:asciiTheme="minorEastAsia" w:eastAsiaTheme="minorEastAsia" w:hAnsiTheme="minorEastAsia"/>
          <w:sz w:val="24"/>
        </w:rPr>
        <w:instrText xml:space="preserve"> TOC \o "1-3" \h \z \u </w:instrText>
      </w:r>
      <w:r w:rsidRPr="00270993">
        <w:rPr>
          <w:rFonts w:asciiTheme="minorEastAsia" w:eastAsiaTheme="minorEastAsia" w:hAnsiTheme="minorEastAsia"/>
          <w:sz w:val="24"/>
        </w:rPr>
        <w:fldChar w:fldCharType="separate"/>
      </w:r>
      <w:hyperlink w:anchor="_Toc529812584" w:history="1">
        <w:r w:rsidRPr="00741B3E">
          <w:rPr>
            <w:rFonts w:asciiTheme="minorEastAsia" w:eastAsiaTheme="minorEastAsia" w:hAnsiTheme="minorEastAsia" w:hint="eastAsia"/>
            <w:noProof/>
            <w:sz w:val="21"/>
            <w:szCs w:val="21"/>
          </w:rPr>
          <w:t>前</w:t>
        </w:r>
        <w:r w:rsidR="00741B3E">
          <w:rPr>
            <w:rFonts w:asciiTheme="minorEastAsia" w:eastAsiaTheme="minorEastAsia" w:hAnsiTheme="minorEastAsia" w:hint="eastAsia"/>
            <w:noProof/>
            <w:sz w:val="21"/>
            <w:szCs w:val="21"/>
          </w:rPr>
          <w:t xml:space="preserve"> </w:t>
        </w:r>
        <w:r w:rsidRPr="00741B3E">
          <w:rPr>
            <w:rFonts w:asciiTheme="minorEastAsia" w:eastAsiaTheme="minorEastAsia" w:hAnsiTheme="minorEastAsia" w:hint="eastAsia"/>
            <w:noProof/>
            <w:sz w:val="21"/>
            <w:szCs w:val="21"/>
          </w:rPr>
          <w:t>言</w:t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tab/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fldChar w:fldCharType="begin"/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instrText xml:space="preserve"> PAGEREF _Toc529812584 \h </w:instrText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fldChar w:fldCharType="separate"/>
        </w:r>
        <w:r w:rsidR="00270993" w:rsidRPr="00741B3E">
          <w:rPr>
            <w:rFonts w:asciiTheme="minorEastAsia" w:eastAsiaTheme="minorEastAsia" w:hAnsiTheme="minorEastAsia"/>
            <w:noProof/>
            <w:sz w:val="21"/>
            <w:szCs w:val="21"/>
          </w:rPr>
          <w:t>II</w:t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fldChar w:fldCharType="end"/>
        </w:r>
      </w:hyperlink>
    </w:p>
    <w:p w14:paraId="24B1BE68" w14:textId="77777777" w:rsidR="00DF032A" w:rsidRPr="00741B3E" w:rsidRDefault="00113CD7" w:rsidP="00741B3E">
      <w:pPr>
        <w:pStyle w:val="TOC1"/>
        <w:spacing w:line="360" w:lineRule="auto"/>
        <w:rPr>
          <w:rFonts w:asciiTheme="minorEastAsia" w:eastAsiaTheme="minorEastAsia" w:hAnsiTheme="minorEastAsia" w:hint="eastAsia"/>
          <w:noProof/>
          <w:sz w:val="21"/>
          <w:szCs w:val="21"/>
        </w:rPr>
      </w:pPr>
      <w:hyperlink w:anchor="_Toc529812586" w:history="1"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t>1</w:t>
        </w:r>
        <w:r w:rsidRPr="00741B3E">
          <w:rPr>
            <w:rFonts w:asciiTheme="minorEastAsia" w:eastAsiaTheme="minorEastAsia" w:hAnsiTheme="minorEastAsia" w:hint="eastAsia"/>
            <w:noProof/>
            <w:sz w:val="21"/>
            <w:szCs w:val="21"/>
          </w:rPr>
          <w:t xml:space="preserve"> 范围</w:t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tab/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fldChar w:fldCharType="begin"/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instrText xml:space="preserve"> PAGEREF _Toc529812586 \h </w:instrText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fldChar w:fldCharType="separate"/>
        </w:r>
        <w:r w:rsidR="00270993" w:rsidRPr="00741B3E">
          <w:rPr>
            <w:rFonts w:asciiTheme="minorEastAsia" w:eastAsiaTheme="minorEastAsia" w:hAnsiTheme="minorEastAsia"/>
            <w:noProof/>
            <w:sz w:val="21"/>
            <w:szCs w:val="21"/>
          </w:rPr>
          <w:t>1</w:t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fldChar w:fldCharType="end"/>
        </w:r>
      </w:hyperlink>
    </w:p>
    <w:p w14:paraId="51E2650F" w14:textId="77777777" w:rsidR="00DF032A" w:rsidRPr="00741B3E" w:rsidRDefault="00113CD7" w:rsidP="00741B3E">
      <w:pPr>
        <w:pStyle w:val="TOC1"/>
        <w:spacing w:line="360" w:lineRule="auto"/>
        <w:rPr>
          <w:rFonts w:asciiTheme="minorEastAsia" w:eastAsiaTheme="minorEastAsia" w:hAnsiTheme="minorEastAsia" w:hint="eastAsia"/>
          <w:noProof/>
          <w:sz w:val="21"/>
          <w:szCs w:val="21"/>
        </w:rPr>
      </w:pPr>
      <w:hyperlink w:anchor="_Toc529812587" w:history="1"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t>2</w:t>
        </w:r>
        <w:r w:rsidRPr="00741B3E">
          <w:rPr>
            <w:rFonts w:asciiTheme="minorEastAsia" w:eastAsiaTheme="minorEastAsia" w:hAnsiTheme="minorEastAsia" w:hint="eastAsia"/>
            <w:noProof/>
            <w:sz w:val="21"/>
            <w:szCs w:val="21"/>
          </w:rPr>
          <w:t xml:space="preserve"> 规范性引用文件</w:t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tab/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fldChar w:fldCharType="begin"/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instrText xml:space="preserve"> PAGEREF _Toc529812587 \h </w:instrText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fldChar w:fldCharType="separate"/>
        </w:r>
        <w:r w:rsidR="00270993" w:rsidRPr="00741B3E">
          <w:rPr>
            <w:rFonts w:asciiTheme="minorEastAsia" w:eastAsiaTheme="minorEastAsia" w:hAnsiTheme="minorEastAsia"/>
            <w:noProof/>
            <w:sz w:val="21"/>
            <w:szCs w:val="21"/>
          </w:rPr>
          <w:t>1</w:t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fldChar w:fldCharType="end"/>
        </w:r>
      </w:hyperlink>
    </w:p>
    <w:p w14:paraId="754BE303" w14:textId="77777777" w:rsidR="00DF032A" w:rsidRPr="00741B3E" w:rsidRDefault="00113CD7" w:rsidP="00741B3E">
      <w:pPr>
        <w:pStyle w:val="TOC1"/>
        <w:spacing w:line="360" w:lineRule="auto"/>
        <w:rPr>
          <w:rFonts w:asciiTheme="minorEastAsia" w:eastAsiaTheme="minorEastAsia" w:hAnsiTheme="minorEastAsia" w:hint="eastAsia"/>
          <w:noProof/>
          <w:sz w:val="21"/>
          <w:szCs w:val="21"/>
        </w:rPr>
      </w:pPr>
      <w:hyperlink w:anchor="_Toc529812588" w:history="1"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t>3</w:t>
        </w:r>
        <w:r w:rsidRPr="00741B3E">
          <w:rPr>
            <w:rFonts w:asciiTheme="minorEastAsia" w:eastAsiaTheme="minorEastAsia" w:hAnsiTheme="minorEastAsia" w:hint="eastAsia"/>
            <w:noProof/>
            <w:sz w:val="21"/>
            <w:szCs w:val="21"/>
          </w:rPr>
          <w:t xml:space="preserve"> 术语和定义</w:t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tab/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fldChar w:fldCharType="begin"/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instrText xml:space="preserve"> PAGEREF _Toc529812588 \h </w:instrText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fldChar w:fldCharType="separate"/>
        </w:r>
        <w:r w:rsidR="00270993" w:rsidRPr="00741B3E">
          <w:rPr>
            <w:rFonts w:asciiTheme="minorEastAsia" w:eastAsiaTheme="minorEastAsia" w:hAnsiTheme="minorEastAsia"/>
            <w:noProof/>
            <w:sz w:val="21"/>
            <w:szCs w:val="21"/>
          </w:rPr>
          <w:t>1</w:t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fldChar w:fldCharType="end"/>
        </w:r>
      </w:hyperlink>
    </w:p>
    <w:p w14:paraId="7B50DFE0" w14:textId="77777777" w:rsidR="00DF032A" w:rsidRPr="00741B3E" w:rsidRDefault="00113CD7" w:rsidP="00741B3E">
      <w:pPr>
        <w:pStyle w:val="TOC1"/>
        <w:spacing w:line="360" w:lineRule="auto"/>
        <w:rPr>
          <w:rFonts w:asciiTheme="minorEastAsia" w:eastAsiaTheme="minorEastAsia" w:hAnsiTheme="minorEastAsia" w:hint="eastAsia"/>
          <w:noProof/>
          <w:sz w:val="21"/>
          <w:szCs w:val="21"/>
        </w:rPr>
      </w:pPr>
      <w:hyperlink w:anchor="_Toc529812593" w:history="1"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t>4</w:t>
        </w:r>
        <w:r w:rsidRPr="00741B3E">
          <w:rPr>
            <w:rFonts w:asciiTheme="minorEastAsia" w:eastAsiaTheme="minorEastAsia" w:hAnsiTheme="minorEastAsia" w:hint="eastAsia"/>
            <w:noProof/>
            <w:sz w:val="21"/>
            <w:szCs w:val="21"/>
          </w:rPr>
          <w:t xml:space="preserve"> 原料收获</w:t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tab/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fldChar w:fldCharType="begin"/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instrText xml:space="preserve"> PAGEREF _Toc529812593 \h </w:instrText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fldChar w:fldCharType="separate"/>
        </w:r>
        <w:r w:rsidR="00270993" w:rsidRPr="00741B3E">
          <w:rPr>
            <w:rFonts w:asciiTheme="minorEastAsia" w:eastAsiaTheme="minorEastAsia" w:hAnsiTheme="minorEastAsia"/>
            <w:noProof/>
            <w:sz w:val="21"/>
            <w:szCs w:val="21"/>
          </w:rPr>
          <w:t>1</w:t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fldChar w:fldCharType="end"/>
        </w:r>
      </w:hyperlink>
    </w:p>
    <w:p w14:paraId="68A982E4" w14:textId="77777777" w:rsidR="00DF032A" w:rsidRPr="00741B3E" w:rsidRDefault="00113CD7" w:rsidP="00741B3E">
      <w:pPr>
        <w:pStyle w:val="TOC1"/>
        <w:spacing w:line="360" w:lineRule="auto"/>
        <w:rPr>
          <w:rFonts w:asciiTheme="minorEastAsia" w:eastAsiaTheme="minorEastAsia" w:hAnsiTheme="minorEastAsia" w:hint="eastAsia"/>
          <w:noProof/>
          <w:sz w:val="21"/>
          <w:szCs w:val="21"/>
        </w:rPr>
      </w:pPr>
      <w:hyperlink w:anchor="_Toc529812594" w:history="1"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t>5</w:t>
        </w:r>
        <w:r w:rsidRPr="00741B3E">
          <w:rPr>
            <w:rFonts w:asciiTheme="minorEastAsia" w:eastAsiaTheme="minorEastAsia" w:hAnsiTheme="minorEastAsia" w:hint="eastAsia"/>
            <w:noProof/>
            <w:sz w:val="21"/>
            <w:szCs w:val="21"/>
          </w:rPr>
          <w:t xml:space="preserve"> 粗加工</w:t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tab/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fldChar w:fldCharType="begin"/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instrText xml:space="preserve"> PAGEREF _Toc529812594 \h </w:instrText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fldChar w:fldCharType="separate"/>
        </w:r>
        <w:r w:rsidR="00270993" w:rsidRPr="00741B3E">
          <w:rPr>
            <w:rFonts w:asciiTheme="minorEastAsia" w:eastAsiaTheme="minorEastAsia" w:hAnsiTheme="minorEastAsia"/>
            <w:noProof/>
            <w:sz w:val="21"/>
            <w:szCs w:val="21"/>
          </w:rPr>
          <w:t>2</w:t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fldChar w:fldCharType="end"/>
        </w:r>
      </w:hyperlink>
    </w:p>
    <w:p w14:paraId="4A0F6208" w14:textId="77777777" w:rsidR="00DF032A" w:rsidRPr="00741B3E" w:rsidRDefault="00113CD7" w:rsidP="00741B3E">
      <w:pPr>
        <w:pStyle w:val="TOC1"/>
        <w:spacing w:line="360" w:lineRule="auto"/>
        <w:rPr>
          <w:rFonts w:asciiTheme="minorEastAsia" w:eastAsiaTheme="minorEastAsia" w:hAnsiTheme="minorEastAsia" w:hint="eastAsia"/>
          <w:noProof/>
          <w:sz w:val="21"/>
          <w:szCs w:val="21"/>
        </w:rPr>
      </w:pPr>
      <w:hyperlink w:anchor="_Toc529812595" w:history="1"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t>6</w:t>
        </w:r>
        <w:r w:rsidRPr="00741B3E">
          <w:rPr>
            <w:rFonts w:asciiTheme="minorEastAsia" w:eastAsiaTheme="minorEastAsia" w:hAnsiTheme="minorEastAsia" w:hint="eastAsia"/>
            <w:noProof/>
            <w:sz w:val="21"/>
            <w:szCs w:val="21"/>
          </w:rPr>
          <w:t xml:space="preserve"> 调制方法</w:t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tab/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fldChar w:fldCharType="begin"/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instrText xml:space="preserve"> PAGEREF _Toc529812595 \h </w:instrText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fldChar w:fldCharType="separate"/>
        </w:r>
        <w:r w:rsidR="00270993" w:rsidRPr="00741B3E">
          <w:rPr>
            <w:rFonts w:asciiTheme="minorEastAsia" w:eastAsiaTheme="minorEastAsia" w:hAnsiTheme="minorEastAsia"/>
            <w:noProof/>
            <w:sz w:val="21"/>
            <w:szCs w:val="21"/>
          </w:rPr>
          <w:t>2</w:t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fldChar w:fldCharType="end"/>
        </w:r>
      </w:hyperlink>
    </w:p>
    <w:p w14:paraId="4B30BAC0" w14:textId="77777777" w:rsidR="00DF032A" w:rsidRPr="00741B3E" w:rsidRDefault="00113CD7" w:rsidP="00741B3E">
      <w:pPr>
        <w:pStyle w:val="TOC1"/>
        <w:spacing w:line="360" w:lineRule="auto"/>
        <w:rPr>
          <w:rFonts w:asciiTheme="minorEastAsia" w:eastAsiaTheme="minorEastAsia" w:hAnsiTheme="minorEastAsia" w:hint="eastAsia"/>
          <w:noProof/>
          <w:sz w:val="21"/>
          <w:szCs w:val="21"/>
        </w:rPr>
      </w:pPr>
      <w:hyperlink w:anchor="_Toc529812596" w:history="1"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t>7</w:t>
        </w:r>
        <w:r w:rsidRPr="00741B3E">
          <w:rPr>
            <w:rFonts w:asciiTheme="minorEastAsia" w:eastAsiaTheme="minorEastAsia" w:hAnsiTheme="minorEastAsia" w:hint="eastAsia"/>
            <w:noProof/>
            <w:sz w:val="21"/>
            <w:szCs w:val="21"/>
          </w:rPr>
          <w:t xml:space="preserve"> 饲喂方式</w:t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tab/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fldChar w:fldCharType="begin"/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instrText xml:space="preserve"> PAGEREF _Toc529812596 \h </w:instrText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fldChar w:fldCharType="separate"/>
        </w:r>
        <w:r w:rsidR="00270993" w:rsidRPr="00741B3E">
          <w:rPr>
            <w:rFonts w:asciiTheme="minorEastAsia" w:eastAsiaTheme="minorEastAsia" w:hAnsiTheme="minorEastAsia"/>
            <w:noProof/>
            <w:sz w:val="21"/>
            <w:szCs w:val="21"/>
          </w:rPr>
          <w:t>2</w:t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fldChar w:fldCharType="end"/>
        </w:r>
      </w:hyperlink>
    </w:p>
    <w:p w14:paraId="27793C88" w14:textId="77777777" w:rsidR="00DF032A" w:rsidRPr="00741B3E" w:rsidRDefault="00113CD7" w:rsidP="00741B3E">
      <w:pPr>
        <w:pStyle w:val="TOC1"/>
        <w:spacing w:line="360" w:lineRule="auto"/>
        <w:rPr>
          <w:rFonts w:asciiTheme="minorEastAsia" w:eastAsiaTheme="minorEastAsia" w:hAnsiTheme="minorEastAsia" w:hint="eastAsia"/>
          <w:noProof/>
          <w:sz w:val="21"/>
          <w:szCs w:val="21"/>
        </w:rPr>
      </w:pPr>
      <w:hyperlink w:anchor="_Toc529812597" w:history="1"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t>8</w:t>
        </w:r>
        <w:r w:rsidRPr="00741B3E">
          <w:rPr>
            <w:rFonts w:asciiTheme="minorEastAsia" w:eastAsiaTheme="minorEastAsia" w:hAnsiTheme="minorEastAsia" w:hint="eastAsia"/>
            <w:noProof/>
            <w:sz w:val="21"/>
            <w:szCs w:val="21"/>
          </w:rPr>
          <w:t xml:space="preserve"> 参考饲喂量</w:t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tab/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fldChar w:fldCharType="begin"/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instrText xml:space="preserve"> PAGEREF _Toc529812597 \h </w:instrText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fldChar w:fldCharType="separate"/>
        </w:r>
        <w:r w:rsidR="00270993" w:rsidRPr="00741B3E">
          <w:rPr>
            <w:rFonts w:asciiTheme="minorEastAsia" w:eastAsiaTheme="minorEastAsia" w:hAnsiTheme="minorEastAsia"/>
            <w:noProof/>
            <w:sz w:val="21"/>
            <w:szCs w:val="21"/>
          </w:rPr>
          <w:t>2</w:t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fldChar w:fldCharType="end"/>
        </w:r>
      </w:hyperlink>
    </w:p>
    <w:p w14:paraId="7113ECA5" w14:textId="77777777" w:rsidR="00DF032A" w:rsidRPr="00741B3E" w:rsidRDefault="00113CD7" w:rsidP="00741B3E">
      <w:pPr>
        <w:pStyle w:val="TOC1"/>
        <w:spacing w:line="360" w:lineRule="auto"/>
        <w:rPr>
          <w:rFonts w:asciiTheme="minorEastAsia" w:eastAsiaTheme="minorEastAsia" w:hAnsiTheme="minorEastAsia" w:hint="eastAsia"/>
          <w:noProof/>
          <w:sz w:val="21"/>
          <w:szCs w:val="21"/>
        </w:rPr>
      </w:pPr>
      <w:hyperlink w:anchor="_Toc529812598" w:history="1">
        <w:r w:rsidRPr="00741B3E">
          <w:rPr>
            <w:rFonts w:asciiTheme="minorEastAsia" w:eastAsiaTheme="minorEastAsia" w:hAnsiTheme="minorEastAsia" w:hint="eastAsia"/>
            <w:noProof/>
            <w:sz w:val="21"/>
            <w:szCs w:val="21"/>
          </w:rPr>
          <w:t>附录</w:t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tab/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fldChar w:fldCharType="begin"/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instrText xml:space="preserve"> PAGEREF _Toc529812598 \h </w:instrText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fldChar w:fldCharType="separate"/>
        </w:r>
        <w:r w:rsidR="00270993" w:rsidRPr="00741B3E">
          <w:rPr>
            <w:rFonts w:asciiTheme="minorEastAsia" w:eastAsiaTheme="minorEastAsia" w:hAnsiTheme="minorEastAsia"/>
            <w:noProof/>
            <w:sz w:val="21"/>
            <w:szCs w:val="21"/>
          </w:rPr>
          <w:t>3</w:t>
        </w:r>
        <w:r w:rsidRPr="00741B3E">
          <w:rPr>
            <w:rFonts w:asciiTheme="minorEastAsia" w:eastAsiaTheme="minorEastAsia" w:hAnsiTheme="minorEastAsia"/>
            <w:noProof/>
            <w:sz w:val="21"/>
            <w:szCs w:val="21"/>
          </w:rPr>
          <w:fldChar w:fldCharType="end"/>
        </w:r>
      </w:hyperlink>
    </w:p>
    <w:p w14:paraId="246A5B79" w14:textId="77777777" w:rsidR="00DF032A" w:rsidRDefault="00113CD7">
      <w:pPr>
        <w:pStyle w:val="TOC1"/>
        <w:spacing w:line="480" w:lineRule="auto"/>
        <w:rPr>
          <w:rFonts w:ascii="宋体" w:eastAsia="宋体" w:hAnsi="宋体" w:hint="eastAsia"/>
          <w:sz w:val="21"/>
          <w:szCs w:val="21"/>
        </w:rPr>
      </w:pPr>
      <w:r w:rsidRPr="00270993">
        <w:rPr>
          <w:rFonts w:asciiTheme="minorEastAsia" w:eastAsiaTheme="minorEastAsia" w:hAnsiTheme="minorEastAsia"/>
          <w:sz w:val="24"/>
        </w:rPr>
        <w:fldChar w:fldCharType="end"/>
      </w:r>
      <w:r>
        <w:rPr>
          <w:rFonts w:ascii="宋体" w:eastAsia="宋体" w:hAnsi="宋体"/>
          <w:sz w:val="21"/>
          <w:szCs w:val="21"/>
        </w:rPr>
        <w:br w:type="page"/>
      </w:r>
    </w:p>
    <w:p w14:paraId="1F43E93B" w14:textId="68227E72" w:rsidR="00DF032A" w:rsidRDefault="00113CD7">
      <w:pPr>
        <w:pStyle w:val="af6"/>
        <w:rPr>
          <w:rFonts w:ascii="Times New Roman"/>
          <w:b/>
          <w:color w:val="000000" w:themeColor="text1"/>
        </w:rPr>
      </w:pPr>
      <w:bookmarkStart w:id="3" w:name="_Toc529812584"/>
      <w:r>
        <w:rPr>
          <w:rFonts w:ascii="Times New Roman"/>
          <w:b/>
          <w:color w:val="000000" w:themeColor="text1"/>
        </w:rPr>
        <w:t>前</w:t>
      </w:r>
      <w:bookmarkStart w:id="4" w:name="BKQY"/>
      <w:r>
        <w:rPr>
          <w:rFonts w:ascii="Times New Roman"/>
          <w:b/>
          <w:color w:val="000000" w:themeColor="text1"/>
        </w:rPr>
        <w:t> </w:t>
      </w:r>
      <w:r>
        <w:rPr>
          <w:rFonts w:ascii="Times New Roman"/>
          <w:b/>
          <w:color w:val="000000" w:themeColor="text1"/>
        </w:rPr>
        <w:t>言</w:t>
      </w:r>
      <w:bookmarkEnd w:id="3"/>
      <w:bookmarkEnd w:id="4"/>
    </w:p>
    <w:p w14:paraId="03F5B758" w14:textId="77777777" w:rsidR="00F44DD0" w:rsidRDefault="00F44DD0" w:rsidP="00F44DD0">
      <w:pPr>
        <w:spacing w:line="360" w:lineRule="auto"/>
        <w:ind w:firstLineChars="200" w:firstLine="420"/>
      </w:pPr>
      <w:r>
        <w:rPr>
          <w:rFonts w:hint="eastAsia"/>
        </w:rPr>
        <w:t>本文件按照</w:t>
      </w:r>
      <w:r>
        <w:rPr>
          <w:rFonts w:hint="eastAsia"/>
        </w:rPr>
        <w:t>GB/T 1.1</w:t>
      </w:r>
      <w:r>
        <w:rPr>
          <w:rFonts w:hint="eastAsia"/>
        </w:rPr>
        <w:t>—</w:t>
      </w:r>
      <w:r>
        <w:rPr>
          <w:rFonts w:hint="eastAsia"/>
        </w:rPr>
        <w:t>2020</w:t>
      </w:r>
      <w:r>
        <w:rPr>
          <w:rFonts w:hint="eastAsia"/>
        </w:rPr>
        <w:t>《标准化工作导则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部分：标准化文件的结构和起草规则》的规定起草。</w:t>
      </w:r>
    </w:p>
    <w:p w14:paraId="0487541C" w14:textId="77777777" w:rsidR="00F44DD0" w:rsidRDefault="00F44DD0" w:rsidP="00F44DD0">
      <w:pPr>
        <w:spacing w:line="360" w:lineRule="auto"/>
        <w:ind w:firstLineChars="200" w:firstLine="420"/>
      </w:pPr>
      <w:r>
        <w:rPr>
          <w:rFonts w:hint="eastAsia"/>
        </w:rPr>
        <w:t>注：在不引起混淆的情况下，本文件中“标准化文件”简称为“文件”。</w:t>
      </w:r>
    </w:p>
    <w:p w14:paraId="56B25EEF" w14:textId="77777777" w:rsidR="00F44DD0" w:rsidRDefault="00F44DD0" w:rsidP="00F44DD0">
      <w:pPr>
        <w:spacing w:line="360" w:lineRule="auto"/>
        <w:ind w:firstLineChars="200" w:firstLine="420"/>
      </w:pPr>
      <w:r>
        <w:rPr>
          <w:rFonts w:hint="eastAsia"/>
        </w:rPr>
        <w:t>本文件由北京华夏草业产业技术创新战略联盟提出并归口。</w:t>
      </w:r>
    </w:p>
    <w:p w14:paraId="13F0C979" w14:textId="741B6165" w:rsidR="00F44DD0" w:rsidRDefault="00F44DD0" w:rsidP="00F44DD0">
      <w:pPr>
        <w:spacing w:line="360" w:lineRule="auto"/>
        <w:ind w:firstLineChars="200" w:firstLine="420"/>
      </w:pPr>
      <w:r>
        <w:rPr>
          <w:rFonts w:hint="eastAsia"/>
        </w:rPr>
        <w:t>本文件起草单位：</w:t>
      </w:r>
      <w:r>
        <w:rPr>
          <w:rFonts w:hint="eastAsia"/>
          <w:szCs w:val="21"/>
        </w:rPr>
        <w:t>中国农业科学院</w:t>
      </w:r>
      <w:r w:rsidRPr="00F44DD0">
        <w:rPr>
          <w:rFonts w:hint="eastAsia"/>
        </w:rPr>
        <w:t>农业基因组研究所、贵州大学、中国农业大学。</w:t>
      </w:r>
      <w:r>
        <w:rPr>
          <w:rFonts w:hint="eastAsia"/>
        </w:rPr>
        <w:t>。</w:t>
      </w:r>
    </w:p>
    <w:p w14:paraId="26215FB9" w14:textId="2B134E6C" w:rsidR="00F44DD0" w:rsidRPr="00F44DD0" w:rsidRDefault="00F44DD0" w:rsidP="00F44DD0">
      <w:pPr>
        <w:spacing w:line="360" w:lineRule="auto"/>
        <w:ind w:firstLineChars="200" w:firstLine="420"/>
      </w:pPr>
      <w:r>
        <w:rPr>
          <w:rFonts w:hint="eastAsia"/>
        </w:rPr>
        <w:t>本文件主要起草人：</w:t>
      </w:r>
      <w:r w:rsidRPr="00F44DD0">
        <w:t>王勇生</w:t>
      </w:r>
      <w:r w:rsidRPr="00F44DD0">
        <w:rPr>
          <w:rFonts w:hint="eastAsia"/>
        </w:rPr>
        <w:t>、</w:t>
      </w:r>
      <w:proofErr w:type="gramStart"/>
      <w:r w:rsidRPr="00F44DD0">
        <w:rPr>
          <w:rFonts w:hint="eastAsia"/>
        </w:rPr>
        <w:t>袁</w:t>
      </w:r>
      <w:proofErr w:type="gramEnd"/>
      <w:r w:rsidRPr="00F44DD0">
        <w:rPr>
          <w:rFonts w:hint="eastAsia"/>
        </w:rPr>
        <w:t>号天、杨富裕。</w:t>
      </w:r>
    </w:p>
    <w:p w14:paraId="6E642ED8" w14:textId="6961FDD8" w:rsidR="00F44DD0" w:rsidRDefault="00F44DD0" w:rsidP="00F44DD0">
      <w:pPr>
        <w:spacing w:line="360" w:lineRule="auto"/>
        <w:ind w:firstLineChars="200" w:firstLine="420"/>
      </w:pPr>
      <w:r>
        <w:rPr>
          <w:rFonts w:hint="eastAsia"/>
        </w:rPr>
        <w:t>本文件为首次发布。</w:t>
      </w:r>
    </w:p>
    <w:p w14:paraId="14660B75" w14:textId="77777777" w:rsidR="00F44DD0" w:rsidRDefault="00F44DD0" w:rsidP="00F44DD0">
      <w:pPr>
        <w:spacing w:line="360" w:lineRule="auto"/>
        <w:ind w:firstLineChars="200" w:firstLine="420"/>
        <w:jc w:val="left"/>
      </w:pPr>
      <w:r>
        <w:rPr>
          <w:rFonts w:hint="eastAsia"/>
        </w:rPr>
        <w:t>本文件的某些内容可能涉及专利。本文件的发布机构不承担识别这些专利的责任。</w:t>
      </w:r>
    </w:p>
    <w:p w14:paraId="206B6698" w14:textId="77777777" w:rsidR="00DF032A" w:rsidRPr="00F44DD0" w:rsidRDefault="00DF032A">
      <w:pPr>
        <w:ind w:firstLineChars="200" w:firstLine="420"/>
        <w:rPr>
          <w:color w:val="000000" w:themeColor="text1"/>
          <w:szCs w:val="21"/>
        </w:rPr>
      </w:pPr>
    </w:p>
    <w:p w14:paraId="534B894B" w14:textId="77777777" w:rsidR="00DF032A" w:rsidRDefault="00DF032A">
      <w:pPr>
        <w:ind w:firstLineChars="200" w:firstLine="420"/>
        <w:rPr>
          <w:color w:val="000000" w:themeColor="text1"/>
          <w:szCs w:val="21"/>
        </w:rPr>
        <w:sectPr w:rsidR="00DF032A">
          <w:headerReference w:type="default" r:id="rId9"/>
          <w:footerReference w:type="default" r:id="rId10"/>
          <w:pgSz w:w="11906" w:h="16838"/>
          <w:pgMar w:top="1440" w:right="1800" w:bottom="1440" w:left="1800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14:paraId="13DEE54E" w14:textId="27DE03F6" w:rsidR="00DF032A" w:rsidRDefault="00827C64" w:rsidP="00F44DD0">
      <w:pPr>
        <w:pStyle w:val="af5"/>
        <w:spacing w:beforeLines="100" w:before="312" w:afterLines="100" w:after="312" w:line="240" w:lineRule="auto"/>
        <w:rPr>
          <w:rFonts w:ascii="Times New Roman"/>
          <w:b/>
        </w:rPr>
      </w:pPr>
      <w:bookmarkStart w:id="5" w:name="_Toc529812585"/>
      <w:r w:rsidRPr="00827C64">
        <w:rPr>
          <w:rFonts w:ascii="Times New Roman" w:hint="eastAsia"/>
          <w:b/>
        </w:rPr>
        <w:t>桑叶饲</w:t>
      </w:r>
      <w:r w:rsidR="005C3A74">
        <w:rPr>
          <w:rFonts w:ascii="Times New Roman" w:hint="eastAsia"/>
          <w:b/>
        </w:rPr>
        <w:t>用</w:t>
      </w:r>
      <w:r w:rsidRPr="00827C64">
        <w:rPr>
          <w:rFonts w:ascii="Times New Roman" w:hint="eastAsia"/>
          <w:b/>
        </w:rPr>
        <w:t>技术规程</w:t>
      </w:r>
      <w:bookmarkEnd w:id="5"/>
      <w:r w:rsidR="005C3A74">
        <w:rPr>
          <w:rFonts w:ascii="Times New Roman" w:hint="eastAsia"/>
          <w:b/>
        </w:rPr>
        <w:t xml:space="preserve"> </w:t>
      </w:r>
      <w:r w:rsidR="005C3A74">
        <w:rPr>
          <w:rFonts w:ascii="Times New Roman" w:hint="eastAsia"/>
          <w:b/>
        </w:rPr>
        <w:t>草鱼</w:t>
      </w:r>
    </w:p>
    <w:p w14:paraId="690F99C1" w14:textId="0149C588" w:rsidR="00DF032A" w:rsidRPr="00235327" w:rsidRDefault="005C3A74" w:rsidP="00235327">
      <w:pPr>
        <w:pStyle w:val="a"/>
        <w:numPr>
          <w:ilvl w:val="0"/>
          <w:numId w:val="0"/>
        </w:numPr>
        <w:spacing w:beforeLines="50" w:before="156" w:afterLines="50" w:after="156"/>
        <w:rPr>
          <w:rFonts w:ascii="Times New Roman"/>
          <w:bCs/>
        </w:rPr>
      </w:pPr>
      <w:bookmarkStart w:id="6" w:name="_Toc529812586"/>
      <w:r w:rsidRPr="00235327">
        <w:rPr>
          <w:rFonts w:ascii="Times New Roman" w:hint="eastAsia"/>
          <w:bCs/>
        </w:rPr>
        <w:t xml:space="preserve">1 </w:t>
      </w:r>
      <w:r w:rsidR="00113CD7" w:rsidRPr="00235327">
        <w:rPr>
          <w:rFonts w:ascii="Times New Roman"/>
          <w:bCs/>
        </w:rPr>
        <w:t>范围</w:t>
      </w:r>
      <w:bookmarkEnd w:id="6"/>
    </w:p>
    <w:p w14:paraId="168A78B4" w14:textId="54511CF4" w:rsidR="00DF032A" w:rsidRDefault="00113CD7" w:rsidP="00F44DD0">
      <w:pPr>
        <w:spacing w:line="360" w:lineRule="auto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本</w:t>
      </w:r>
      <w:r w:rsidR="00F44DD0">
        <w:rPr>
          <w:rFonts w:hint="eastAsia"/>
          <w:kern w:val="0"/>
          <w:szCs w:val="21"/>
        </w:rPr>
        <w:t>文件</w:t>
      </w:r>
      <w:r>
        <w:rPr>
          <w:kern w:val="0"/>
          <w:szCs w:val="21"/>
        </w:rPr>
        <w:t>规定了</w:t>
      </w:r>
      <w:bookmarkStart w:id="7" w:name="_Hlk486863855"/>
      <w:r w:rsidR="00F44DD0">
        <w:rPr>
          <w:rFonts w:hint="eastAsia"/>
          <w:kern w:val="0"/>
          <w:szCs w:val="21"/>
        </w:rPr>
        <w:t>饲喂</w:t>
      </w:r>
      <w:r w:rsidR="00827C64">
        <w:rPr>
          <w:rFonts w:hint="eastAsia"/>
          <w:kern w:val="0"/>
          <w:szCs w:val="21"/>
        </w:rPr>
        <w:t>草鱼</w:t>
      </w:r>
      <w:r w:rsidR="00F44DD0">
        <w:rPr>
          <w:rFonts w:hint="eastAsia"/>
          <w:kern w:val="0"/>
          <w:szCs w:val="21"/>
        </w:rPr>
        <w:t>的</w:t>
      </w:r>
      <w:r w:rsidR="00827C64">
        <w:rPr>
          <w:rFonts w:hint="eastAsia"/>
          <w:kern w:val="0"/>
          <w:szCs w:val="21"/>
        </w:rPr>
        <w:t>桑叶</w:t>
      </w:r>
      <w:r>
        <w:rPr>
          <w:kern w:val="0"/>
          <w:szCs w:val="21"/>
        </w:rPr>
        <w:t>原料收获、粗加工、调制方法、饲喂方式和参考饲喂量</w:t>
      </w:r>
      <w:bookmarkEnd w:id="7"/>
      <w:r>
        <w:rPr>
          <w:kern w:val="0"/>
          <w:szCs w:val="21"/>
        </w:rPr>
        <w:t>。</w:t>
      </w:r>
    </w:p>
    <w:p w14:paraId="594540F8" w14:textId="472BB0D5" w:rsidR="00DF032A" w:rsidRDefault="00113CD7" w:rsidP="00F44DD0">
      <w:pPr>
        <w:spacing w:line="360" w:lineRule="auto"/>
        <w:ind w:firstLineChars="200" w:firstLine="420"/>
      </w:pPr>
      <w:r>
        <w:rPr>
          <w:kern w:val="0"/>
          <w:szCs w:val="21"/>
        </w:rPr>
        <w:t>本</w:t>
      </w:r>
      <w:r w:rsidR="00F44DD0">
        <w:rPr>
          <w:rFonts w:hint="eastAsia"/>
          <w:kern w:val="0"/>
          <w:szCs w:val="21"/>
        </w:rPr>
        <w:t>文件</w:t>
      </w:r>
      <w:r>
        <w:rPr>
          <w:kern w:val="0"/>
          <w:szCs w:val="21"/>
        </w:rPr>
        <w:t>适用于</w:t>
      </w:r>
      <w:r w:rsidR="00827C64">
        <w:rPr>
          <w:rFonts w:hint="eastAsia"/>
          <w:kern w:val="0"/>
          <w:szCs w:val="21"/>
        </w:rPr>
        <w:t>草鱼</w:t>
      </w:r>
      <w:r>
        <w:rPr>
          <w:kern w:val="0"/>
          <w:szCs w:val="21"/>
        </w:rPr>
        <w:t>用</w:t>
      </w:r>
      <w:r w:rsidR="00827C64">
        <w:rPr>
          <w:rFonts w:hint="eastAsia"/>
          <w:kern w:val="0"/>
          <w:szCs w:val="21"/>
        </w:rPr>
        <w:t>桑叶</w:t>
      </w:r>
      <w:r>
        <w:rPr>
          <w:kern w:val="0"/>
          <w:szCs w:val="21"/>
        </w:rPr>
        <w:t>饲料的使用。</w:t>
      </w:r>
    </w:p>
    <w:p w14:paraId="50DA510B" w14:textId="6DF76F8B" w:rsidR="00DF032A" w:rsidRPr="00235327" w:rsidRDefault="00113CD7" w:rsidP="00235327">
      <w:pPr>
        <w:pStyle w:val="a"/>
        <w:numPr>
          <w:ilvl w:val="0"/>
          <w:numId w:val="3"/>
        </w:numPr>
        <w:spacing w:beforeLines="50" w:before="156" w:afterLines="50" w:after="156"/>
        <w:ind w:left="284" w:hanging="284"/>
        <w:rPr>
          <w:rFonts w:ascii="Times New Roman"/>
        </w:rPr>
      </w:pPr>
      <w:bookmarkStart w:id="8" w:name="_Toc529812587"/>
      <w:r w:rsidRPr="00235327">
        <w:rPr>
          <w:rFonts w:ascii="Times New Roman"/>
        </w:rPr>
        <w:t>规范性引用文件</w:t>
      </w:r>
      <w:bookmarkEnd w:id="8"/>
    </w:p>
    <w:p w14:paraId="626402DD" w14:textId="77777777" w:rsidR="00DF032A" w:rsidRPr="00235327" w:rsidRDefault="00113CD7" w:rsidP="00235327">
      <w:pPr>
        <w:spacing w:line="360" w:lineRule="auto"/>
        <w:ind w:firstLineChars="200" w:firstLine="420"/>
        <w:rPr>
          <w:kern w:val="0"/>
          <w:szCs w:val="21"/>
        </w:rPr>
      </w:pPr>
      <w:r w:rsidRPr="00235327">
        <w:rPr>
          <w:kern w:val="0"/>
          <w:szCs w:val="21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14:paraId="31CEB965" w14:textId="77777777" w:rsidR="00DF032A" w:rsidRPr="00235327" w:rsidRDefault="00113CD7" w:rsidP="00235327">
      <w:pPr>
        <w:spacing w:line="360" w:lineRule="auto"/>
        <w:ind w:firstLineChars="200" w:firstLine="420"/>
        <w:rPr>
          <w:kern w:val="0"/>
          <w:szCs w:val="21"/>
        </w:rPr>
      </w:pPr>
      <w:bookmarkStart w:id="9" w:name="OLE_LINK14"/>
      <w:r w:rsidRPr="00235327">
        <w:rPr>
          <w:kern w:val="0"/>
          <w:szCs w:val="21"/>
        </w:rPr>
        <w:t>GB</w:t>
      </w:r>
      <w:r w:rsidR="009A41FD" w:rsidRPr="00235327">
        <w:rPr>
          <w:kern w:val="0"/>
          <w:szCs w:val="21"/>
        </w:rPr>
        <w:t xml:space="preserve"> </w:t>
      </w:r>
      <w:r w:rsidRPr="00235327">
        <w:rPr>
          <w:kern w:val="0"/>
          <w:szCs w:val="21"/>
        </w:rPr>
        <w:t>13078</w:t>
      </w:r>
      <w:r w:rsidRPr="00235327">
        <w:rPr>
          <w:kern w:val="0"/>
          <w:szCs w:val="21"/>
        </w:rPr>
        <w:t>饲料卫生标准</w:t>
      </w:r>
      <w:bookmarkEnd w:id="9"/>
      <w:r w:rsidRPr="00235327">
        <w:rPr>
          <w:kern w:val="0"/>
          <w:szCs w:val="21"/>
        </w:rPr>
        <w:t xml:space="preserve"> </w:t>
      </w:r>
    </w:p>
    <w:p w14:paraId="62AB1AC0" w14:textId="77777777" w:rsidR="00DF032A" w:rsidRPr="00235327" w:rsidRDefault="00113CD7" w:rsidP="00235327">
      <w:pPr>
        <w:spacing w:line="360" w:lineRule="auto"/>
        <w:ind w:firstLineChars="200" w:firstLine="420"/>
        <w:rPr>
          <w:kern w:val="0"/>
          <w:szCs w:val="21"/>
        </w:rPr>
      </w:pPr>
      <w:r w:rsidRPr="00235327">
        <w:rPr>
          <w:kern w:val="0"/>
          <w:szCs w:val="21"/>
        </w:rPr>
        <w:t>中华人民共和国农业农村部公告</w:t>
      </w:r>
      <w:r w:rsidRPr="00235327">
        <w:rPr>
          <w:kern w:val="0"/>
          <w:szCs w:val="21"/>
        </w:rPr>
        <w:t xml:space="preserve"> </w:t>
      </w:r>
      <w:r w:rsidRPr="00235327">
        <w:rPr>
          <w:kern w:val="0"/>
          <w:szCs w:val="21"/>
        </w:rPr>
        <w:t>饲料原料目录</w:t>
      </w:r>
    </w:p>
    <w:p w14:paraId="6505B68D" w14:textId="487992B5" w:rsidR="00DF032A" w:rsidRPr="00235327" w:rsidRDefault="00113CD7" w:rsidP="00235327">
      <w:pPr>
        <w:pStyle w:val="a"/>
        <w:numPr>
          <w:ilvl w:val="0"/>
          <w:numId w:val="3"/>
        </w:numPr>
        <w:spacing w:beforeLines="50" w:before="156" w:afterLines="50" w:after="156"/>
        <w:ind w:left="284" w:hanging="284"/>
        <w:rPr>
          <w:rFonts w:ascii="Times New Roman"/>
        </w:rPr>
      </w:pPr>
      <w:bookmarkStart w:id="10" w:name="_Toc529812588"/>
      <w:r w:rsidRPr="00235327">
        <w:rPr>
          <w:rFonts w:ascii="Times New Roman"/>
        </w:rPr>
        <w:t>术语和定义</w:t>
      </w:r>
      <w:bookmarkEnd w:id="10"/>
    </w:p>
    <w:p w14:paraId="27393C5B" w14:textId="3CDF901B" w:rsidR="00DF032A" w:rsidRPr="006114AB" w:rsidRDefault="00113CD7">
      <w:pPr>
        <w:pStyle w:val="af2"/>
        <w:rPr>
          <w:rFonts w:ascii="Times New Roman"/>
        </w:rPr>
      </w:pPr>
      <w:r w:rsidRPr="006114AB">
        <w:rPr>
          <w:rFonts w:ascii="Times New Roman"/>
        </w:rPr>
        <w:t>下列术语和定义适用于本标准</w:t>
      </w:r>
      <w:r w:rsidR="006114AB">
        <w:rPr>
          <w:rFonts w:ascii="Times New Roman" w:hint="eastAsia"/>
        </w:rPr>
        <w:t>。</w:t>
      </w:r>
    </w:p>
    <w:p w14:paraId="59CD2F92" w14:textId="58ACC372" w:rsidR="00DF032A" w:rsidRPr="00235327" w:rsidRDefault="00113CD7" w:rsidP="00235327">
      <w:pPr>
        <w:pStyle w:val="a"/>
        <w:numPr>
          <w:ilvl w:val="0"/>
          <w:numId w:val="0"/>
        </w:numPr>
        <w:spacing w:beforeLines="50" w:before="156" w:afterLines="50" w:after="156"/>
        <w:rPr>
          <w:rFonts w:hAnsi="黑体" w:hint="eastAsia"/>
          <w:bCs/>
          <w:szCs w:val="22"/>
        </w:rPr>
      </w:pPr>
      <w:bookmarkStart w:id="11" w:name="_Toc529812589"/>
      <w:r w:rsidRPr="00235327">
        <w:rPr>
          <w:rFonts w:hAnsi="黑体"/>
          <w:bCs/>
          <w:szCs w:val="22"/>
        </w:rPr>
        <w:t xml:space="preserve">3.1 </w:t>
      </w:r>
      <w:r w:rsidR="00827C64" w:rsidRPr="00235327">
        <w:rPr>
          <w:rFonts w:hAnsi="黑体" w:hint="eastAsia"/>
          <w:bCs/>
          <w:szCs w:val="22"/>
        </w:rPr>
        <w:t>桑叶</w:t>
      </w:r>
      <w:r w:rsidRPr="00235327">
        <w:rPr>
          <w:rFonts w:hAnsi="黑体"/>
          <w:bCs/>
          <w:szCs w:val="22"/>
        </w:rPr>
        <w:t xml:space="preserve">原料 </w:t>
      </w:r>
      <w:r w:rsidR="00827C64" w:rsidRPr="00235327">
        <w:rPr>
          <w:rFonts w:hAnsi="黑体"/>
          <w:bCs/>
          <w:szCs w:val="22"/>
        </w:rPr>
        <w:t>mulberry leaves</w:t>
      </w:r>
      <w:r w:rsidRPr="00235327">
        <w:rPr>
          <w:rFonts w:hAnsi="黑体"/>
          <w:bCs/>
          <w:szCs w:val="22"/>
        </w:rPr>
        <w:t xml:space="preserve"> raw material</w:t>
      </w:r>
      <w:bookmarkEnd w:id="11"/>
    </w:p>
    <w:p w14:paraId="2FA6DCF1" w14:textId="76F810F8" w:rsidR="00DF032A" w:rsidRDefault="00113CD7">
      <w:pPr>
        <w:widowControl/>
        <w:ind w:firstLine="420"/>
        <w:jc w:val="left"/>
      </w:pPr>
      <w:r>
        <w:t>符合</w:t>
      </w:r>
      <w:r>
        <w:rPr>
          <w:szCs w:val="21"/>
        </w:rPr>
        <w:t>中华人民共和国农业农村部公告</w:t>
      </w:r>
      <w:r>
        <w:rPr>
          <w:szCs w:val="21"/>
        </w:rPr>
        <w:t xml:space="preserve"> </w:t>
      </w:r>
      <w:r>
        <w:rPr>
          <w:szCs w:val="21"/>
        </w:rPr>
        <w:t>饲料原料目录的</w:t>
      </w:r>
      <w:r w:rsidR="00827C64">
        <w:rPr>
          <w:rFonts w:hint="eastAsia"/>
        </w:rPr>
        <w:t>桑叶（编号</w:t>
      </w:r>
      <w:r w:rsidR="00827C64" w:rsidRPr="00827C64">
        <w:t>7.6.77</w:t>
      </w:r>
      <w:r w:rsidR="00827C64">
        <w:rPr>
          <w:rFonts w:hint="eastAsia"/>
        </w:rPr>
        <w:t>）</w:t>
      </w:r>
      <w:r>
        <w:t>。</w:t>
      </w:r>
    </w:p>
    <w:p w14:paraId="2F76C86B" w14:textId="6E6287F0" w:rsidR="00DF032A" w:rsidRPr="00235327" w:rsidRDefault="00113CD7" w:rsidP="00235327">
      <w:pPr>
        <w:pStyle w:val="a"/>
        <w:numPr>
          <w:ilvl w:val="0"/>
          <w:numId w:val="0"/>
        </w:numPr>
        <w:spacing w:beforeLines="50" w:before="156" w:afterLines="50" w:after="156"/>
        <w:rPr>
          <w:rFonts w:hAnsi="黑体" w:hint="eastAsia"/>
          <w:bCs/>
          <w:szCs w:val="22"/>
        </w:rPr>
      </w:pPr>
      <w:bookmarkStart w:id="12" w:name="_Toc529812590"/>
      <w:r w:rsidRPr="00235327">
        <w:rPr>
          <w:rFonts w:hAnsi="黑体"/>
          <w:bCs/>
          <w:szCs w:val="22"/>
        </w:rPr>
        <w:t xml:space="preserve">3.2 </w:t>
      </w:r>
      <w:r w:rsidR="00827C64" w:rsidRPr="00235327">
        <w:rPr>
          <w:rFonts w:hAnsi="黑体" w:hint="eastAsia"/>
          <w:bCs/>
          <w:szCs w:val="22"/>
        </w:rPr>
        <w:t>桑叶</w:t>
      </w:r>
      <w:r w:rsidRPr="00235327">
        <w:rPr>
          <w:rFonts w:hAnsi="黑体"/>
          <w:bCs/>
          <w:szCs w:val="22"/>
        </w:rPr>
        <w:t>青贮</w:t>
      </w:r>
      <w:r w:rsidR="00827C64" w:rsidRPr="00235327">
        <w:rPr>
          <w:rFonts w:hAnsi="黑体"/>
          <w:bCs/>
          <w:szCs w:val="22"/>
        </w:rPr>
        <w:t>mulberry leaves</w:t>
      </w:r>
      <w:r w:rsidRPr="00235327">
        <w:rPr>
          <w:rFonts w:hAnsi="黑体"/>
          <w:bCs/>
          <w:szCs w:val="22"/>
        </w:rPr>
        <w:t xml:space="preserve"> silage</w:t>
      </w:r>
      <w:bookmarkEnd w:id="12"/>
    </w:p>
    <w:p w14:paraId="7AF3738E" w14:textId="7B8B9D88" w:rsidR="00DF032A" w:rsidRDefault="00827C6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桑叶</w:t>
      </w:r>
      <w:r w:rsidR="00113CD7">
        <w:rPr>
          <w:szCs w:val="21"/>
        </w:rPr>
        <w:t>原料经过青贮加工形成用于饲用的</w:t>
      </w:r>
      <w:r>
        <w:rPr>
          <w:rFonts w:hint="eastAsia"/>
          <w:szCs w:val="21"/>
        </w:rPr>
        <w:t>桑叶</w:t>
      </w:r>
      <w:r w:rsidR="00113CD7">
        <w:rPr>
          <w:szCs w:val="21"/>
        </w:rPr>
        <w:t>产品。</w:t>
      </w:r>
    </w:p>
    <w:p w14:paraId="68A501C0" w14:textId="5467A8C4" w:rsidR="00DF032A" w:rsidRPr="00235327" w:rsidRDefault="00113CD7" w:rsidP="00235327">
      <w:pPr>
        <w:pStyle w:val="a"/>
        <w:numPr>
          <w:ilvl w:val="0"/>
          <w:numId w:val="0"/>
        </w:numPr>
        <w:spacing w:beforeLines="50" w:before="156" w:afterLines="50" w:after="156"/>
        <w:rPr>
          <w:rFonts w:hAnsi="黑体" w:hint="eastAsia"/>
          <w:bCs/>
          <w:szCs w:val="22"/>
        </w:rPr>
      </w:pPr>
      <w:bookmarkStart w:id="13" w:name="_Toc529812591"/>
      <w:r w:rsidRPr="00235327">
        <w:rPr>
          <w:rFonts w:hAnsi="黑体"/>
          <w:bCs/>
          <w:szCs w:val="22"/>
        </w:rPr>
        <w:t xml:space="preserve">3.3 </w:t>
      </w:r>
      <w:r w:rsidR="00827C64" w:rsidRPr="00235327">
        <w:rPr>
          <w:rFonts w:hAnsi="黑体" w:hint="eastAsia"/>
          <w:bCs/>
          <w:szCs w:val="22"/>
        </w:rPr>
        <w:t>桑叶</w:t>
      </w:r>
      <w:r w:rsidRPr="00235327">
        <w:rPr>
          <w:rFonts w:hAnsi="黑体"/>
          <w:bCs/>
          <w:szCs w:val="22"/>
        </w:rPr>
        <w:t>干草</w:t>
      </w:r>
      <w:bookmarkStart w:id="14" w:name="OLE_LINK4"/>
      <w:r w:rsidRPr="00235327">
        <w:rPr>
          <w:rFonts w:hAnsi="黑体"/>
          <w:bCs/>
          <w:szCs w:val="22"/>
        </w:rPr>
        <w:t xml:space="preserve"> </w:t>
      </w:r>
      <w:bookmarkEnd w:id="14"/>
      <w:r w:rsidR="00827C64" w:rsidRPr="00235327">
        <w:rPr>
          <w:rFonts w:hAnsi="黑体"/>
          <w:bCs/>
          <w:szCs w:val="22"/>
        </w:rPr>
        <w:t>mulberry leaves</w:t>
      </w:r>
      <w:r w:rsidRPr="00235327">
        <w:rPr>
          <w:rFonts w:hAnsi="黑体"/>
          <w:bCs/>
          <w:szCs w:val="22"/>
        </w:rPr>
        <w:t xml:space="preserve"> hay</w:t>
      </w:r>
      <w:bookmarkEnd w:id="13"/>
    </w:p>
    <w:p w14:paraId="1D4103A2" w14:textId="341FF995" w:rsidR="00DF032A" w:rsidRDefault="00827C6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桑叶</w:t>
      </w:r>
      <w:r w:rsidR="00113CD7">
        <w:rPr>
          <w:szCs w:val="21"/>
        </w:rPr>
        <w:t>原料经过干燥加工形成用于饲用的</w:t>
      </w:r>
      <w:r>
        <w:rPr>
          <w:rFonts w:hint="eastAsia"/>
          <w:szCs w:val="21"/>
        </w:rPr>
        <w:t>桑叶</w:t>
      </w:r>
      <w:r w:rsidR="00113CD7">
        <w:rPr>
          <w:szCs w:val="21"/>
        </w:rPr>
        <w:t>产品。</w:t>
      </w:r>
    </w:p>
    <w:p w14:paraId="6235325E" w14:textId="09EE6FD1" w:rsidR="00DF032A" w:rsidRPr="00235327" w:rsidRDefault="00113CD7" w:rsidP="00235327">
      <w:pPr>
        <w:pStyle w:val="a"/>
        <w:numPr>
          <w:ilvl w:val="0"/>
          <w:numId w:val="0"/>
        </w:numPr>
        <w:spacing w:beforeLines="50" w:before="156" w:afterLines="50" w:after="156"/>
        <w:rPr>
          <w:rFonts w:hAnsi="黑体" w:hint="eastAsia"/>
          <w:bCs/>
          <w:szCs w:val="22"/>
        </w:rPr>
      </w:pPr>
      <w:bookmarkStart w:id="15" w:name="_Toc529812592"/>
      <w:r w:rsidRPr="00235327">
        <w:rPr>
          <w:rFonts w:hAnsi="黑体"/>
          <w:bCs/>
          <w:szCs w:val="22"/>
        </w:rPr>
        <w:t xml:space="preserve">3.4 </w:t>
      </w:r>
      <w:r w:rsidR="00827C64" w:rsidRPr="00235327">
        <w:rPr>
          <w:rFonts w:hAnsi="黑体" w:hint="eastAsia"/>
          <w:bCs/>
          <w:szCs w:val="22"/>
        </w:rPr>
        <w:t>桑叶</w:t>
      </w:r>
      <w:r w:rsidRPr="00235327">
        <w:rPr>
          <w:rFonts w:hAnsi="黑体"/>
          <w:bCs/>
          <w:szCs w:val="22"/>
        </w:rPr>
        <w:t>粉</w:t>
      </w:r>
      <w:r w:rsidR="00827C64" w:rsidRPr="00235327">
        <w:rPr>
          <w:rFonts w:hAnsi="黑体"/>
          <w:bCs/>
          <w:szCs w:val="22"/>
        </w:rPr>
        <w:t>mulberry leaves</w:t>
      </w:r>
      <w:r w:rsidRPr="00235327">
        <w:rPr>
          <w:rFonts w:hAnsi="黑体"/>
          <w:bCs/>
          <w:szCs w:val="22"/>
        </w:rPr>
        <w:t xml:space="preserve"> dry power</w:t>
      </w:r>
      <w:bookmarkEnd w:id="15"/>
    </w:p>
    <w:p w14:paraId="2DDA3C28" w14:textId="0BB9D7B3" w:rsidR="00DF032A" w:rsidRDefault="00827C6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桑叶</w:t>
      </w:r>
      <w:r w:rsidR="00113CD7">
        <w:rPr>
          <w:szCs w:val="21"/>
        </w:rPr>
        <w:t>原料经过干燥、粉碎加工形成用于饲用的粉末状</w:t>
      </w:r>
      <w:r>
        <w:rPr>
          <w:rFonts w:hint="eastAsia"/>
          <w:szCs w:val="21"/>
        </w:rPr>
        <w:t>桑叶</w:t>
      </w:r>
      <w:r w:rsidR="00113CD7">
        <w:rPr>
          <w:szCs w:val="21"/>
        </w:rPr>
        <w:t>产品。</w:t>
      </w:r>
    </w:p>
    <w:p w14:paraId="2842959C" w14:textId="77777777" w:rsidR="00DF032A" w:rsidRPr="00235327" w:rsidRDefault="00113CD7" w:rsidP="00235327">
      <w:pPr>
        <w:pStyle w:val="a"/>
        <w:numPr>
          <w:ilvl w:val="0"/>
          <w:numId w:val="3"/>
        </w:numPr>
        <w:spacing w:beforeLines="50" w:before="156" w:afterLines="50" w:after="156"/>
        <w:ind w:left="284" w:hanging="284"/>
        <w:rPr>
          <w:rFonts w:ascii="Times New Roman"/>
        </w:rPr>
      </w:pPr>
      <w:bookmarkStart w:id="16" w:name="_Toc529812593"/>
      <w:r w:rsidRPr="00235327">
        <w:rPr>
          <w:rFonts w:ascii="Times New Roman"/>
        </w:rPr>
        <w:t>原料收获</w:t>
      </w:r>
      <w:bookmarkEnd w:id="16"/>
    </w:p>
    <w:p w14:paraId="1D725BAA" w14:textId="0846EF86" w:rsidR="00DF032A" w:rsidRPr="00235327" w:rsidRDefault="00113CD7" w:rsidP="00235327">
      <w:pPr>
        <w:spacing w:line="360" w:lineRule="auto"/>
        <w:rPr>
          <w:kern w:val="0"/>
          <w:szCs w:val="21"/>
        </w:rPr>
      </w:pPr>
      <w:r w:rsidRPr="00235327">
        <w:rPr>
          <w:bCs/>
          <w:szCs w:val="21"/>
        </w:rPr>
        <w:t xml:space="preserve">4.1 </w:t>
      </w:r>
      <w:r w:rsidR="00827C64" w:rsidRPr="00235327">
        <w:rPr>
          <w:rFonts w:hint="eastAsia"/>
          <w:bCs/>
          <w:szCs w:val="21"/>
        </w:rPr>
        <w:t>桑</w:t>
      </w:r>
      <w:r w:rsidR="00827C64" w:rsidRPr="00235327">
        <w:rPr>
          <w:rFonts w:hint="eastAsia"/>
          <w:kern w:val="0"/>
          <w:szCs w:val="21"/>
        </w:rPr>
        <w:t>树</w:t>
      </w:r>
      <w:r w:rsidRPr="00235327">
        <w:rPr>
          <w:kern w:val="0"/>
          <w:szCs w:val="21"/>
        </w:rPr>
        <w:t>株高处于</w:t>
      </w:r>
      <w:r w:rsidRPr="00235327">
        <w:rPr>
          <w:kern w:val="0"/>
          <w:szCs w:val="21"/>
        </w:rPr>
        <w:t>80</w:t>
      </w:r>
      <w:r w:rsidR="00235327" w:rsidRPr="00235327">
        <w:rPr>
          <w:rFonts w:hint="eastAsia"/>
          <w:kern w:val="0"/>
          <w:szCs w:val="21"/>
        </w:rPr>
        <w:t xml:space="preserve"> cm </w:t>
      </w:r>
      <w:r w:rsidRPr="00235327">
        <w:rPr>
          <w:kern w:val="0"/>
          <w:szCs w:val="21"/>
        </w:rPr>
        <w:t>~120</w:t>
      </w:r>
      <w:r w:rsidR="00235327" w:rsidRPr="00235327">
        <w:rPr>
          <w:rFonts w:hint="eastAsia"/>
          <w:kern w:val="0"/>
          <w:szCs w:val="21"/>
        </w:rPr>
        <w:t xml:space="preserve"> </w:t>
      </w:r>
      <w:r w:rsidRPr="00235327">
        <w:rPr>
          <w:kern w:val="0"/>
          <w:szCs w:val="21"/>
        </w:rPr>
        <w:t>cm</w:t>
      </w:r>
      <w:r w:rsidRPr="00235327">
        <w:rPr>
          <w:kern w:val="0"/>
          <w:szCs w:val="21"/>
        </w:rPr>
        <w:t>时，</w:t>
      </w:r>
      <w:r w:rsidR="00827C64" w:rsidRPr="00235327">
        <w:rPr>
          <w:rFonts w:hint="eastAsia"/>
          <w:kern w:val="0"/>
          <w:szCs w:val="21"/>
        </w:rPr>
        <w:t>采摘枝茎上的获取的桑叶</w:t>
      </w:r>
      <w:r w:rsidRPr="00235327">
        <w:rPr>
          <w:kern w:val="0"/>
          <w:szCs w:val="21"/>
        </w:rPr>
        <w:t>。</w:t>
      </w:r>
    </w:p>
    <w:p w14:paraId="47334201" w14:textId="03C6C7F3" w:rsidR="00DF032A" w:rsidRPr="00235327" w:rsidRDefault="00113CD7" w:rsidP="00235327">
      <w:pPr>
        <w:spacing w:line="360" w:lineRule="auto"/>
        <w:rPr>
          <w:kern w:val="0"/>
          <w:szCs w:val="21"/>
        </w:rPr>
      </w:pPr>
      <w:r w:rsidRPr="00235327">
        <w:rPr>
          <w:kern w:val="0"/>
          <w:szCs w:val="21"/>
        </w:rPr>
        <w:t xml:space="preserve">4.2 </w:t>
      </w:r>
      <w:r w:rsidR="00827C64" w:rsidRPr="00235327">
        <w:rPr>
          <w:rFonts w:hint="eastAsia"/>
          <w:kern w:val="0"/>
          <w:szCs w:val="21"/>
        </w:rPr>
        <w:t>桑叶</w:t>
      </w:r>
      <w:r w:rsidRPr="00235327">
        <w:rPr>
          <w:kern w:val="0"/>
          <w:szCs w:val="21"/>
        </w:rPr>
        <w:t>原料应符合</w:t>
      </w:r>
      <w:r w:rsidRPr="00235327">
        <w:rPr>
          <w:kern w:val="0"/>
          <w:szCs w:val="21"/>
        </w:rPr>
        <w:t>GB 13078</w:t>
      </w:r>
      <w:r w:rsidRPr="00235327">
        <w:rPr>
          <w:kern w:val="0"/>
          <w:szCs w:val="21"/>
        </w:rPr>
        <w:t>的规定。</w:t>
      </w:r>
    </w:p>
    <w:p w14:paraId="1477F183" w14:textId="77777777" w:rsidR="00DF032A" w:rsidRPr="00235327" w:rsidRDefault="00113CD7" w:rsidP="00235327">
      <w:pPr>
        <w:pStyle w:val="a"/>
        <w:numPr>
          <w:ilvl w:val="0"/>
          <w:numId w:val="3"/>
        </w:numPr>
        <w:spacing w:beforeLines="50" w:before="156" w:afterLines="50" w:after="156"/>
        <w:ind w:left="284" w:hanging="284"/>
        <w:rPr>
          <w:rFonts w:ascii="Times New Roman"/>
        </w:rPr>
      </w:pPr>
      <w:bookmarkStart w:id="17" w:name="_Toc529812594"/>
      <w:bookmarkStart w:id="18" w:name="OLE_LINK1"/>
      <w:r w:rsidRPr="00235327">
        <w:rPr>
          <w:rFonts w:ascii="Times New Roman"/>
        </w:rPr>
        <w:t>粗加工</w:t>
      </w:r>
      <w:bookmarkEnd w:id="17"/>
    </w:p>
    <w:p w14:paraId="5878FD90" w14:textId="78C234F8" w:rsidR="00DF032A" w:rsidRPr="00235327" w:rsidRDefault="00113CD7" w:rsidP="00235327">
      <w:pPr>
        <w:spacing w:line="360" w:lineRule="auto"/>
        <w:rPr>
          <w:kern w:val="0"/>
          <w:szCs w:val="21"/>
        </w:rPr>
      </w:pPr>
      <w:r w:rsidRPr="00235327">
        <w:rPr>
          <w:kern w:val="0"/>
          <w:szCs w:val="21"/>
        </w:rPr>
        <w:t xml:space="preserve">5.1 </w:t>
      </w:r>
      <w:r w:rsidR="00827C64" w:rsidRPr="00235327">
        <w:rPr>
          <w:rFonts w:hint="eastAsia"/>
          <w:kern w:val="0"/>
          <w:szCs w:val="21"/>
        </w:rPr>
        <w:t>桑叶</w:t>
      </w:r>
      <w:r w:rsidRPr="00235327">
        <w:rPr>
          <w:kern w:val="0"/>
          <w:szCs w:val="21"/>
        </w:rPr>
        <w:t>青贮</w:t>
      </w:r>
      <w:r w:rsidR="009A41FD" w:rsidRPr="00235327">
        <w:rPr>
          <w:kern w:val="0"/>
          <w:szCs w:val="21"/>
        </w:rPr>
        <w:t>按照</w:t>
      </w:r>
      <w:r w:rsidRPr="00235327">
        <w:rPr>
          <w:kern w:val="0"/>
          <w:szCs w:val="21"/>
        </w:rPr>
        <w:t>T/HXCY-0</w:t>
      </w:r>
      <w:r w:rsidR="007123B0" w:rsidRPr="00235327">
        <w:rPr>
          <w:kern w:val="0"/>
          <w:szCs w:val="21"/>
        </w:rPr>
        <w:t>01</w:t>
      </w:r>
      <w:r w:rsidRPr="00235327">
        <w:rPr>
          <w:kern w:val="0"/>
          <w:szCs w:val="21"/>
        </w:rPr>
        <w:t>执行。</w:t>
      </w:r>
    </w:p>
    <w:p w14:paraId="34A46863" w14:textId="4EB4CF64" w:rsidR="00DF032A" w:rsidRPr="00235327" w:rsidRDefault="00113CD7" w:rsidP="00235327">
      <w:pPr>
        <w:spacing w:line="360" w:lineRule="auto"/>
        <w:rPr>
          <w:kern w:val="0"/>
          <w:szCs w:val="21"/>
        </w:rPr>
      </w:pPr>
      <w:r w:rsidRPr="00235327">
        <w:rPr>
          <w:kern w:val="0"/>
          <w:szCs w:val="21"/>
        </w:rPr>
        <w:t xml:space="preserve">5.2 </w:t>
      </w:r>
      <w:r w:rsidR="00827C64" w:rsidRPr="00235327">
        <w:rPr>
          <w:rFonts w:hint="eastAsia"/>
          <w:kern w:val="0"/>
          <w:szCs w:val="21"/>
        </w:rPr>
        <w:t>桑叶</w:t>
      </w:r>
      <w:r w:rsidRPr="00235327">
        <w:rPr>
          <w:kern w:val="0"/>
          <w:szCs w:val="21"/>
        </w:rPr>
        <w:t>干草</w:t>
      </w:r>
      <w:r w:rsidR="009A41FD" w:rsidRPr="00235327">
        <w:rPr>
          <w:kern w:val="0"/>
          <w:szCs w:val="21"/>
        </w:rPr>
        <w:t>按照</w:t>
      </w:r>
      <w:r w:rsidR="007123B0" w:rsidRPr="00235327">
        <w:rPr>
          <w:kern w:val="0"/>
          <w:szCs w:val="21"/>
        </w:rPr>
        <w:t>T/HXCY-002</w:t>
      </w:r>
      <w:r w:rsidRPr="00235327">
        <w:rPr>
          <w:kern w:val="0"/>
          <w:szCs w:val="21"/>
        </w:rPr>
        <w:t>执行。</w:t>
      </w:r>
    </w:p>
    <w:p w14:paraId="22456719" w14:textId="5130579C" w:rsidR="00DF032A" w:rsidRPr="00235327" w:rsidRDefault="00113CD7" w:rsidP="00235327">
      <w:pPr>
        <w:spacing w:line="360" w:lineRule="auto"/>
        <w:rPr>
          <w:kern w:val="0"/>
          <w:szCs w:val="21"/>
        </w:rPr>
      </w:pPr>
      <w:r w:rsidRPr="00235327">
        <w:rPr>
          <w:kern w:val="0"/>
          <w:szCs w:val="21"/>
        </w:rPr>
        <w:t xml:space="preserve">5.3 </w:t>
      </w:r>
      <w:r w:rsidRPr="00235327">
        <w:rPr>
          <w:kern w:val="0"/>
          <w:szCs w:val="21"/>
        </w:rPr>
        <w:t>按照</w:t>
      </w:r>
      <w:r w:rsidRPr="00235327">
        <w:rPr>
          <w:kern w:val="0"/>
          <w:szCs w:val="21"/>
        </w:rPr>
        <w:t>5.2</w:t>
      </w:r>
      <w:r w:rsidRPr="00235327">
        <w:rPr>
          <w:kern w:val="0"/>
          <w:szCs w:val="21"/>
        </w:rPr>
        <w:t>先制成干草，再粉碎过筛，形成</w:t>
      </w:r>
      <w:r w:rsidR="00827C64" w:rsidRPr="00235327">
        <w:rPr>
          <w:rFonts w:hint="eastAsia"/>
          <w:kern w:val="0"/>
          <w:szCs w:val="21"/>
        </w:rPr>
        <w:t>桑叶</w:t>
      </w:r>
      <w:r w:rsidRPr="00235327">
        <w:rPr>
          <w:kern w:val="0"/>
          <w:szCs w:val="21"/>
        </w:rPr>
        <w:t>粉。</w:t>
      </w:r>
    </w:p>
    <w:p w14:paraId="5B90E859" w14:textId="77777777" w:rsidR="00DF032A" w:rsidRPr="00235327" w:rsidRDefault="00113CD7" w:rsidP="00235327">
      <w:pPr>
        <w:pStyle w:val="a"/>
        <w:numPr>
          <w:ilvl w:val="0"/>
          <w:numId w:val="3"/>
        </w:numPr>
        <w:spacing w:beforeLines="50" w:before="156" w:afterLines="50" w:after="156"/>
        <w:ind w:left="284" w:hanging="284"/>
        <w:rPr>
          <w:rFonts w:ascii="Times New Roman"/>
        </w:rPr>
      </w:pPr>
      <w:bookmarkStart w:id="19" w:name="_Toc529812595"/>
      <w:r w:rsidRPr="00235327">
        <w:rPr>
          <w:rFonts w:ascii="Times New Roman"/>
        </w:rPr>
        <w:t>调制方法</w:t>
      </w:r>
      <w:bookmarkEnd w:id="19"/>
    </w:p>
    <w:p w14:paraId="612E75FF" w14:textId="30D56B99" w:rsidR="00DF032A" w:rsidRPr="00235327" w:rsidRDefault="00113CD7" w:rsidP="00235327">
      <w:pPr>
        <w:spacing w:line="360" w:lineRule="auto"/>
        <w:rPr>
          <w:kern w:val="0"/>
          <w:szCs w:val="21"/>
        </w:rPr>
      </w:pPr>
      <w:r w:rsidRPr="00235327">
        <w:rPr>
          <w:kern w:val="0"/>
          <w:szCs w:val="21"/>
        </w:rPr>
        <w:t xml:space="preserve">6.1 </w:t>
      </w:r>
      <w:r w:rsidR="00827C64" w:rsidRPr="00235327">
        <w:rPr>
          <w:rFonts w:hint="eastAsia"/>
          <w:kern w:val="0"/>
          <w:szCs w:val="21"/>
        </w:rPr>
        <w:t>桑叶</w:t>
      </w:r>
      <w:r w:rsidRPr="00235327">
        <w:rPr>
          <w:kern w:val="0"/>
          <w:szCs w:val="21"/>
        </w:rPr>
        <w:t>青贮开封后可</w:t>
      </w:r>
      <w:r w:rsidRPr="00235327">
        <w:rPr>
          <w:rFonts w:hint="eastAsia"/>
          <w:kern w:val="0"/>
          <w:szCs w:val="21"/>
        </w:rPr>
        <w:t>与</w:t>
      </w:r>
      <w:r w:rsidRPr="00235327">
        <w:rPr>
          <w:kern w:val="0"/>
          <w:szCs w:val="21"/>
        </w:rPr>
        <w:t>其他饲料调制混匀。</w:t>
      </w:r>
    </w:p>
    <w:p w14:paraId="4E71A568" w14:textId="0202BCC0" w:rsidR="00DF032A" w:rsidRPr="00235327" w:rsidRDefault="00113CD7" w:rsidP="00235327">
      <w:pPr>
        <w:spacing w:line="360" w:lineRule="auto"/>
        <w:rPr>
          <w:kern w:val="0"/>
          <w:szCs w:val="21"/>
        </w:rPr>
      </w:pPr>
      <w:r w:rsidRPr="00235327">
        <w:rPr>
          <w:kern w:val="0"/>
          <w:szCs w:val="21"/>
        </w:rPr>
        <w:t xml:space="preserve">6.2 </w:t>
      </w:r>
      <w:r w:rsidR="00827C64" w:rsidRPr="00235327">
        <w:rPr>
          <w:rFonts w:hint="eastAsia"/>
          <w:kern w:val="0"/>
          <w:szCs w:val="21"/>
        </w:rPr>
        <w:t>桑叶</w:t>
      </w:r>
      <w:proofErr w:type="gramStart"/>
      <w:r w:rsidRPr="00235327">
        <w:rPr>
          <w:kern w:val="0"/>
          <w:szCs w:val="21"/>
        </w:rPr>
        <w:t>粉</w:t>
      </w:r>
      <w:r w:rsidRPr="00235327">
        <w:rPr>
          <w:rFonts w:hint="eastAsia"/>
          <w:kern w:val="0"/>
          <w:szCs w:val="21"/>
        </w:rPr>
        <w:t>宜</w:t>
      </w:r>
      <w:r w:rsidRPr="00235327">
        <w:rPr>
          <w:kern w:val="0"/>
          <w:szCs w:val="21"/>
        </w:rPr>
        <w:t>与其</w:t>
      </w:r>
      <w:proofErr w:type="gramEnd"/>
      <w:r w:rsidRPr="00235327">
        <w:rPr>
          <w:kern w:val="0"/>
          <w:szCs w:val="21"/>
        </w:rPr>
        <w:t>他饲料原料调制成粉料或颗粒料。</w:t>
      </w:r>
    </w:p>
    <w:p w14:paraId="78E36497" w14:textId="3ED2D85F" w:rsidR="00DF032A" w:rsidRPr="00235327" w:rsidRDefault="00113CD7" w:rsidP="00235327">
      <w:pPr>
        <w:spacing w:line="360" w:lineRule="auto"/>
        <w:rPr>
          <w:kern w:val="0"/>
          <w:szCs w:val="21"/>
        </w:rPr>
      </w:pPr>
      <w:r w:rsidRPr="00235327">
        <w:rPr>
          <w:kern w:val="0"/>
          <w:szCs w:val="21"/>
        </w:rPr>
        <w:t xml:space="preserve">6.3 </w:t>
      </w:r>
      <w:r w:rsidR="00827C64" w:rsidRPr="00235327">
        <w:rPr>
          <w:rFonts w:hint="eastAsia"/>
          <w:kern w:val="0"/>
          <w:szCs w:val="21"/>
        </w:rPr>
        <w:t>桑叶</w:t>
      </w:r>
      <w:r w:rsidR="007123B0" w:rsidRPr="00235327">
        <w:rPr>
          <w:kern w:val="0"/>
          <w:szCs w:val="21"/>
        </w:rPr>
        <w:t>干草</w:t>
      </w:r>
      <w:proofErr w:type="gramStart"/>
      <w:r w:rsidR="007123B0" w:rsidRPr="00235327">
        <w:rPr>
          <w:rFonts w:hint="eastAsia"/>
          <w:kern w:val="0"/>
          <w:szCs w:val="21"/>
        </w:rPr>
        <w:t>宜按照</w:t>
      </w:r>
      <w:proofErr w:type="gramEnd"/>
      <w:r w:rsidR="007123B0" w:rsidRPr="00235327">
        <w:rPr>
          <w:rFonts w:hint="eastAsia"/>
          <w:kern w:val="0"/>
          <w:szCs w:val="21"/>
        </w:rPr>
        <w:t>5</w:t>
      </w:r>
      <w:r w:rsidR="007123B0" w:rsidRPr="00235327">
        <w:rPr>
          <w:kern w:val="0"/>
          <w:szCs w:val="21"/>
        </w:rPr>
        <w:t>.3</w:t>
      </w:r>
      <w:r w:rsidR="007123B0" w:rsidRPr="00235327">
        <w:rPr>
          <w:rFonts w:hint="eastAsia"/>
          <w:kern w:val="0"/>
          <w:szCs w:val="21"/>
        </w:rPr>
        <w:t>的方法</w:t>
      </w:r>
      <w:r w:rsidR="007123B0" w:rsidRPr="00235327">
        <w:rPr>
          <w:kern w:val="0"/>
          <w:szCs w:val="21"/>
        </w:rPr>
        <w:t>加工成</w:t>
      </w:r>
      <w:r w:rsidR="00827C64" w:rsidRPr="00235327">
        <w:rPr>
          <w:rFonts w:hint="eastAsia"/>
          <w:kern w:val="0"/>
          <w:szCs w:val="21"/>
        </w:rPr>
        <w:t>桑叶</w:t>
      </w:r>
      <w:r w:rsidR="007123B0" w:rsidRPr="00235327">
        <w:rPr>
          <w:kern w:val="0"/>
          <w:szCs w:val="21"/>
        </w:rPr>
        <w:t>粉后</w:t>
      </w:r>
      <w:r w:rsidRPr="00235327">
        <w:rPr>
          <w:kern w:val="0"/>
          <w:szCs w:val="21"/>
        </w:rPr>
        <w:t>，按照</w:t>
      </w:r>
      <w:r w:rsidRPr="00235327">
        <w:rPr>
          <w:kern w:val="0"/>
          <w:szCs w:val="21"/>
        </w:rPr>
        <w:t>6.2</w:t>
      </w:r>
      <w:r w:rsidRPr="00235327">
        <w:rPr>
          <w:kern w:val="0"/>
          <w:szCs w:val="21"/>
        </w:rPr>
        <w:t>的方法</w:t>
      </w:r>
      <w:r w:rsidRPr="00235327">
        <w:rPr>
          <w:rFonts w:hint="eastAsia"/>
          <w:kern w:val="0"/>
          <w:szCs w:val="21"/>
        </w:rPr>
        <w:t>调制</w:t>
      </w:r>
      <w:r w:rsidRPr="00235327">
        <w:rPr>
          <w:kern w:val="0"/>
          <w:szCs w:val="21"/>
        </w:rPr>
        <w:t>。</w:t>
      </w:r>
    </w:p>
    <w:p w14:paraId="4696DE94" w14:textId="77777777" w:rsidR="00DF032A" w:rsidRPr="00235327" w:rsidRDefault="00113CD7" w:rsidP="00235327">
      <w:pPr>
        <w:pStyle w:val="a"/>
        <w:numPr>
          <w:ilvl w:val="0"/>
          <w:numId w:val="3"/>
        </w:numPr>
        <w:spacing w:beforeLines="50" w:before="156" w:afterLines="50" w:after="156"/>
        <w:ind w:left="284" w:hanging="284"/>
        <w:rPr>
          <w:rFonts w:ascii="Times New Roman"/>
        </w:rPr>
      </w:pPr>
      <w:bookmarkStart w:id="20" w:name="_Toc529812596"/>
      <w:r w:rsidRPr="00235327">
        <w:rPr>
          <w:rFonts w:ascii="Times New Roman"/>
        </w:rPr>
        <w:t>饲喂方式</w:t>
      </w:r>
      <w:bookmarkEnd w:id="20"/>
    </w:p>
    <w:p w14:paraId="3478E919" w14:textId="77777777" w:rsidR="002E5FD5" w:rsidRPr="002E5FD5" w:rsidRDefault="002E5FD5" w:rsidP="002E5FD5">
      <w:pPr>
        <w:spacing w:line="360" w:lineRule="auto"/>
        <w:rPr>
          <w:kern w:val="0"/>
          <w:szCs w:val="21"/>
        </w:rPr>
      </w:pPr>
      <w:bookmarkStart w:id="21" w:name="_Toc529812597"/>
      <w:r w:rsidRPr="002E5FD5">
        <w:rPr>
          <w:kern w:val="0"/>
          <w:szCs w:val="21"/>
        </w:rPr>
        <w:t>7.1</w:t>
      </w:r>
      <w:r w:rsidRPr="002E5FD5">
        <w:rPr>
          <w:rFonts w:hint="eastAsia"/>
          <w:kern w:val="0"/>
          <w:szCs w:val="21"/>
        </w:rPr>
        <w:t xml:space="preserve"> </w:t>
      </w:r>
      <w:r w:rsidRPr="002E5FD5">
        <w:rPr>
          <w:rFonts w:hint="eastAsia"/>
          <w:kern w:val="0"/>
          <w:szCs w:val="21"/>
        </w:rPr>
        <w:t>草鱼单独饲喂桑叶或桑叶青贮时，饲喂前宜将其粉碎。</w:t>
      </w:r>
    </w:p>
    <w:p w14:paraId="1D933DD9" w14:textId="77777777" w:rsidR="002E5FD5" w:rsidRPr="002E5FD5" w:rsidRDefault="002E5FD5" w:rsidP="002E5FD5">
      <w:pPr>
        <w:spacing w:line="360" w:lineRule="auto"/>
        <w:rPr>
          <w:kern w:val="0"/>
          <w:szCs w:val="21"/>
        </w:rPr>
      </w:pPr>
      <w:r w:rsidRPr="002E5FD5">
        <w:rPr>
          <w:rFonts w:hint="eastAsia"/>
          <w:kern w:val="0"/>
          <w:szCs w:val="21"/>
        </w:rPr>
        <w:t xml:space="preserve">7.2 </w:t>
      </w:r>
      <w:r w:rsidRPr="002E5FD5">
        <w:rPr>
          <w:rFonts w:hint="eastAsia"/>
          <w:kern w:val="0"/>
          <w:szCs w:val="21"/>
        </w:rPr>
        <w:t>草鱼</w:t>
      </w:r>
      <w:r w:rsidRPr="002E5FD5">
        <w:rPr>
          <w:kern w:val="0"/>
          <w:szCs w:val="21"/>
        </w:rPr>
        <w:t>使用桑叶青贮混合饲料</w:t>
      </w:r>
      <w:r w:rsidRPr="002E5FD5">
        <w:rPr>
          <w:rFonts w:hint="eastAsia"/>
          <w:kern w:val="0"/>
          <w:szCs w:val="21"/>
        </w:rPr>
        <w:t>饲喂</w:t>
      </w:r>
      <w:r w:rsidRPr="002E5FD5">
        <w:rPr>
          <w:kern w:val="0"/>
          <w:szCs w:val="21"/>
        </w:rPr>
        <w:t>时，应按照</w:t>
      </w:r>
      <w:r w:rsidRPr="002E5FD5">
        <w:rPr>
          <w:kern w:val="0"/>
          <w:szCs w:val="21"/>
        </w:rPr>
        <w:t>6</w:t>
      </w:r>
      <w:r w:rsidRPr="002E5FD5">
        <w:rPr>
          <w:rFonts w:hint="eastAsia"/>
          <w:kern w:val="0"/>
          <w:szCs w:val="21"/>
        </w:rPr>
        <w:t>.1</w:t>
      </w:r>
      <w:r w:rsidRPr="002E5FD5">
        <w:rPr>
          <w:rFonts w:hint="eastAsia"/>
          <w:kern w:val="0"/>
          <w:szCs w:val="21"/>
        </w:rPr>
        <w:t>中的</w:t>
      </w:r>
      <w:r w:rsidRPr="002E5FD5">
        <w:rPr>
          <w:kern w:val="0"/>
          <w:szCs w:val="21"/>
        </w:rPr>
        <w:t>方法调制后饲喂。</w:t>
      </w:r>
    </w:p>
    <w:p w14:paraId="34B87889" w14:textId="34F5081A" w:rsidR="002E5FD5" w:rsidRPr="002E5FD5" w:rsidRDefault="002E5FD5" w:rsidP="002E5FD5">
      <w:pPr>
        <w:spacing w:line="360" w:lineRule="auto"/>
        <w:rPr>
          <w:kern w:val="0"/>
          <w:szCs w:val="21"/>
        </w:rPr>
      </w:pPr>
      <w:r w:rsidRPr="002E5FD5">
        <w:rPr>
          <w:kern w:val="0"/>
          <w:szCs w:val="21"/>
        </w:rPr>
        <w:t xml:space="preserve">7.3 </w:t>
      </w:r>
      <w:r w:rsidRPr="002E5FD5">
        <w:rPr>
          <w:rFonts w:hint="eastAsia"/>
          <w:kern w:val="0"/>
          <w:szCs w:val="21"/>
        </w:rPr>
        <w:t>粉末状的</w:t>
      </w:r>
      <w:r w:rsidRPr="002E5FD5">
        <w:rPr>
          <w:kern w:val="0"/>
          <w:szCs w:val="21"/>
        </w:rPr>
        <w:t>青贮</w:t>
      </w:r>
      <w:r w:rsidRPr="002E5FD5">
        <w:rPr>
          <w:rFonts w:hint="eastAsia"/>
          <w:kern w:val="0"/>
          <w:szCs w:val="21"/>
        </w:rPr>
        <w:t>饲料与其他饲料原料进行混合时，应加入</w:t>
      </w:r>
      <w:r w:rsidRPr="002E5FD5">
        <w:rPr>
          <w:rFonts w:hint="eastAsia"/>
          <w:kern w:val="0"/>
          <w:szCs w:val="21"/>
        </w:rPr>
        <w:t>5</w:t>
      </w:r>
      <w:r>
        <w:rPr>
          <w:rFonts w:hint="eastAsia"/>
          <w:kern w:val="0"/>
          <w:szCs w:val="21"/>
        </w:rPr>
        <w:t xml:space="preserve">% </w:t>
      </w:r>
      <w:r w:rsidRPr="002E5FD5">
        <w:rPr>
          <w:rFonts w:hint="eastAsia"/>
          <w:kern w:val="0"/>
          <w:szCs w:val="21"/>
        </w:rPr>
        <w:t>~</w:t>
      </w:r>
      <w:r>
        <w:rPr>
          <w:rFonts w:hint="eastAsia"/>
          <w:kern w:val="0"/>
          <w:szCs w:val="21"/>
        </w:rPr>
        <w:t xml:space="preserve"> </w:t>
      </w:r>
      <w:r w:rsidRPr="002E5FD5">
        <w:rPr>
          <w:rFonts w:hint="eastAsia"/>
          <w:kern w:val="0"/>
          <w:szCs w:val="21"/>
        </w:rPr>
        <w:t>8%</w:t>
      </w:r>
      <w:r w:rsidRPr="002E5FD5">
        <w:rPr>
          <w:rFonts w:hint="eastAsia"/>
          <w:kern w:val="0"/>
          <w:szCs w:val="21"/>
        </w:rPr>
        <w:t>的饮用水，制成颗粒饲料利用，每天早晚各投喂</w:t>
      </w:r>
      <w:r w:rsidRPr="002E5FD5">
        <w:rPr>
          <w:rFonts w:hint="eastAsia"/>
          <w:kern w:val="0"/>
          <w:szCs w:val="21"/>
        </w:rPr>
        <w:t>1</w:t>
      </w:r>
      <w:r w:rsidRPr="002E5FD5">
        <w:rPr>
          <w:rFonts w:hint="eastAsia"/>
          <w:kern w:val="0"/>
          <w:szCs w:val="21"/>
        </w:rPr>
        <w:t>次。</w:t>
      </w:r>
    </w:p>
    <w:p w14:paraId="23F4FD48" w14:textId="77777777" w:rsidR="002E5FD5" w:rsidRPr="002E5FD5" w:rsidRDefault="002E5FD5" w:rsidP="002E5FD5">
      <w:pPr>
        <w:spacing w:line="360" w:lineRule="auto"/>
        <w:rPr>
          <w:kern w:val="0"/>
          <w:szCs w:val="21"/>
        </w:rPr>
      </w:pPr>
      <w:r w:rsidRPr="002E5FD5">
        <w:rPr>
          <w:kern w:val="0"/>
          <w:szCs w:val="21"/>
        </w:rPr>
        <w:t>7.4</w:t>
      </w:r>
      <w:r w:rsidRPr="002E5FD5">
        <w:rPr>
          <w:rFonts w:hint="eastAsia"/>
          <w:kern w:val="0"/>
          <w:szCs w:val="21"/>
        </w:rPr>
        <w:t xml:space="preserve"> </w:t>
      </w:r>
      <w:r w:rsidRPr="002E5FD5">
        <w:rPr>
          <w:rFonts w:hint="eastAsia"/>
          <w:kern w:val="0"/>
          <w:szCs w:val="21"/>
        </w:rPr>
        <w:t>草鱼</w:t>
      </w:r>
      <w:r w:rsidRPr="002E5FD5">
        <w:rPr>
          <w:kern w:val="0"/>
          <w:szCs w:val="21"/>
        </w:rPr>
        <w:t>使用桑叶粉或桑叶干草混合饲料</w:t>
      </w:r>
      <w:r w:rsidRPr="002E5FD5">
        <w:rPr>
          <w:rFonts w:hint="eastAsia"/>
          <w:kern w:val="0"/>
          <w:szCs w:val="21"/>
        </w:rPr>
        <w:t>饲喂</w:t>
      </w:r>
      <w:r w:rsidRPr="002E5FD5">
        <w:rPr>
          <w:kern w:val="0"/>
          <w:szCs w:val="21"/>
        </w:rPr>
        <w:t>时，应按照</w:t>
      </w:r>
      <w:r w:rsidRPr="002E5FD5">
        <w:rPr>
          <w:kern w:val="0"/>
          <w:szCs w:val="21"/>
        </w:rPr>
        <w:t>6</w:t>
      </w:r>
      <w:r w:rsidRPr="002E5FD5">
        <w:rPr>
          <w:rFonts w:hint="eastAsia"/>
          <w:kern w:val="0"/>
          <w:szCs w:val="21"/>
        </w:rPr>
        <w:t>.2</w:t>
      </w:r>
      <w:r w:rsidRPr="002E5FD5">
        <w:rPr>
          <w:rFonts w:hint="eastAsia"/>
          <w:kern w:val="0"/>
          <w:szCs w:val="21"/>
        </w:rPr>
        <w:t>与</w:t>
      </w:r>
      <w:r w:rsidRPr="002E5FD5">
        <w:rPr>
          <w:rFonts w:hint="eastAsia"/>
          <w:kern w:val="0"/>
          <w:szCs w:val="21"/>
        </w:rPr>
        <w:t>6.3</w:t>
      </w:r>
      <w:r w:rsidRPr="002E5FD5">
        <w:rPr>
          <w:rFonts w:hint="eastAsia"/>
          <w:kern w:val="0"/>
          <w:szCs w:val="21"/>
        </w:rPr>
        <w:t>中的</w:t>
      </w:r>
      <w:r w:rsidRPr="002E5FD5">
        <w:rPr>
          <w:kern w:val="0"/>
          <w:szCs w:val="21"/>
        </w:rPr>
        <w:t>方法调制后饲喂。</w:t>
      </w:r>
    </w:p>
    <w:p w14:paraId="08A58103" w14:textId="7A1B80F8" w:rsidR="002E5FD5" w:rsidRPr="002E5FD5" w:rsidRDefault="002E5FD5" w:rsidP="002E5FD5">
      <w:pPr>
        <w:spacing w:line="360" w:lineRule="auto"/>
        <w:rPr>
          <w:kern w:val="0"/>
          <w:szCs w:val="21"/>
        </w:rPr>
      </w:pPr>
      <w:r w:rsidRPr="002E5FD5">
        <w:rPr>
          <w:kern w:val="0"/>
          <w:szCs w:val="21"/>
        </w:rPr>
        <w:t xml:space="preserve">7.5 </w:t>
      </w:r>
      <w:r w:rsidRPr="002E5FD5">
        <w:rPr>
          <w:rFonts w:hint="eastAsia"/>
          <w:kern w:val="0"/>
          <w:szCs w:val="21"/>
        </w:rPr>
        <w:t>桑叶粉与其他饲料原料进行混合，再加入</w:t>
      </w:r>
      <w:r w:rsidRPr="002E5FD5">
        <w:rPr>
          <w:rFonts w:hint="eastAsia"/>
          <w:kern w:val="0"/>
          <w:szCs w:val="21"/>
        </w:rPr>
        <w:t>8</w:t>
      </w:r>
      <w:r>
        <w:rPr>
          <w:rFonts w:hint="eastAsia"/>
          <w:kern w:val="0"/>
          <w:szCs w:val="21"/>
        </w:rPr>
        <w:t xml:space="preserve">% </w:t>
      </w:r>
      <w:r w:rsidRPr="002E5FD5">
        <w:rPr>
          <w:rFonts w:hint="eastAsia"/>
          <w:kern w:val="0"/>
          <w:szCs w:val="21"/>
        </w:rPr>
        <w:t>~</w:t>
      </w:r>
      <w:r>
        <w:rPr>
          <w:rFonts w:hint="eastAsia"/>
          <w:kern w:val="0"/>
          <w:szCs w:val="21"/>
        </w:rPr>
        <w:t xml:space="preserve"> </w:t>
      </w:r>
      <w:r w:rsidRPr="002E5FD5">
        <w:rPr>
          <w:rFonts w:hint="eastAsia"/>
          <w:kern w:val="0"/>
          <w:szCs w:val="21"/>
        </w:rPr>
        <w:t>10%</w:t>
      </w:r>
      <w:r w:rsidRPr="002E5FD5">
        <w:rPr>
          <w:rFonts w:hint="eastAsia"/>
          <w:kern w:val="0"/>
          <w:szCs w:val="21"/>
        </w:rPr>
        <w:t>的饮用水，制成颗粒饲料，每天早晚各投喂</w:t>
      </w:r>
      <w:r w:rsidRPr="002E5FD5">
        <w:rPr>
          <w:rFonts w:hint="eastAsia"/>
          <w:kern w:val="0"/>
          <w:szCs w:val="21"/>
        </w:rPr>
        <w:t>1</w:t>
      </w:r>
      <w:r w:rsidRPr="002E5FD5">
        <w:rPr>
          <w:rFonts w:hint="eastAsia"/>
          <w:kern w:val="0"/>
          <w:szCs w:val="21"/>
        </w:rPr>
        <w:t>次。</w:t>
      </w:r>
    </w:p>
    <w:p w14:paraId="5052F900" w14:textId="1BF573BD" w:rsidR="002E5FD5" w:rsidRPr="002E5FD5" w:rsidRDefault="002E5FD5" w:rsidP="002E5FD5">
      <w:pPr>
        <w:spacing w:line="360" w:lineRule="auto"/>
        <w:rPr>
          <w:kern w:val="0"/>
          <w:szCs w:val="21"/>
        </w:rPr>
      </w:pPr>
      <w:r w:rsidRPr="002E5FD5">
        <w:rPr>
          <w:kern w:val="0"/>
          <w:szCs w:val="21"/>
        </w:rPr>
        <w:t>7.6</w:t>
      </w:r>
      <w:r w:rsidRPr="002E5FD5">
        <w:rPr>
          <w:rFonts w:hint="eastAsia"/>
          <w:kern w:val="0"/>
          <w:szCs w:val="21"/>
        </w:rPr>
        <w:t xml:space="preserve"> </w:t>
      </w:r>
      <w:r w:rsidRPr="002E5FD5">
        <w:rPr>
          <w:rFonts w:hint="eastAsia"/>
          <w:kern w:val="0"/>
          <w:szCs w:val="21"/>
        </w:rPr>
        <w:t>初始饲喂桑叶饲料应有</w:t>
      </w:r>
      <w:r w:rsidRPr="002E5FD5">
        <w:rPr>
          <w:kern w:val="0"/>
          <w:szCs w:val="21"/>
        </w:rPr>
        <w:t>7</w:t>
      </w:r>
      <w:r>
        <w:rPr>
          <w:rFonts w:hint="eastAsia"/>
          <w:kern w:val="0"/>
          <w:szCs w:val="21"/>
        </w:rPr>
        <w:t xml:space="preserve">d </w:t>
      </w:r>
      <w:r w:rsidRPr="002E5FD5">
        <w:rPr>
          <w:kern w:val="0"/>
          <w:szCs w:val="21"/>
        </w:rPr>
        <w:t xml:space="preserve">~14 </w:t>
      </w:r>
      <w:r w:rsidRPr="002E5FD5">
        <w:rPr>
          <w:rFonts w:hint="eastAsia"/>
          <w:kern w:val="0"/>
          <w:szCs w:val="21"/>
        </w:rPr>
        <w:t>d</w:t>
      </w:r>
      <w:r w:rsidRPr="002E5FD5">
        <w:rPr>
          <w:rFonts w:hint="eastAsia"/>
          <w:kern w:val="0"/>
          <w:szCs w:val="21"/>
        </w:rPr>
        <w:t>过渡期，过渡期内逐日增加饲喂量至目标饲喂量。</w:t>
      </w:r>
    </w:p>
    <w:p w14:paraId="088D3B49" w14:textId="77777777" w:rsidR="00DF032A" w:rsidRPr="00235327" w:rsidRDefault="00113CD7" w:rsidP="00235327">
      <w:pPr>
        <w:pStyle w:val="a"/>
        <w:numPr>
          <w:ilvl w:val="0"/>
          <w:numId w:val="3"/>
        </w:numPr>
        <w:spacing w:beforeLines="50" w:before="156" w:afterLines="50" w:after="156"/>
        <w:ind w:left="284" w:hanging="284"/>
        <w:rPr>
          <w:rFonts w:ascii="Times New Roman"/>
        </w:rPr>
      </w:pPr>
      <w:r w:rsidRPr="00235327">
        <w:rPr>
          <w:rFonts w:ascii="Times New Roman"/>
        </w:rPr>
        <w:t>参考饲喂量</w:t>
      </w:r>
      <w:bookmarkEnd w:id="21"/>
    </w:p>
    <w:p w14:paraId="2D2803DC" w14:textId="50A0A409" w:rsidR="00DF032A" w:rsidRPr="00A356AF" w:rsidRDefault="007123B0" w:rsidP="00A356AF">
      <w:pPr>
        <w:spacing w:line="360" w:lineRule="auto"/>
        <w:rPr>
          <w:kern w:val="0"/>
          <w:szCs w:val="21"/>
        </w:rPr>
      </w:pPr>
      <w:r w:rsidRPr="00A356AF">
        <w:rPr>
          <w:kern w:val="0"/>
          <w:szCs w:val="21"/>
        </w:rPr>
        <w:t xml:space="preserve">8.1 </w:t>
      </w:r>
      <w:r w:rsidR="00113CD7" w:rsidRPr="00A356AF">
        <w:rPr>
          <w:kern w:val="0"/>
          <w:szCs w:val="21"/>
        </w:rPr>
        <w:t>不同</w:t>
      </w:r>
      <w:r w:rsidR="00FB5ABE" w:rsidRPr="00A356AF">
        <w:rPr>
          <w:rFonts w:hint="eastAsia"/>
          <w:kern w:val="0"/>
          <w:szCs w:val="21"/>
        </w:rPr>
        <w:t>生理阶段</w:t>
      </w:r>
      <w:r w:rsidR="00827C64" w:rsidRPr="00A356AF">
        <w:rPr>
          <w:rFonts w:hint="eastAsia"/>
          <w:kern w:val="0"/>
          <w:szCs w:val="21"/>
        </w:rPr>
        <w:t>草鱼</w:t>
      </w:r>
      <w:r w:rsidR="00113CD7" w:rsidRPr="00A356AF">
        <w:rPr>
          <w:kern w:val="0"/>
          <w:szCs w:val="21"/>
        </w:rPr>
        <w:t>的参考饲喂量见</w:t>
      </w:r>
      <w:r w:rsidR="00F93AB5" w:rsidRPr="00A356AF">
        <w:rPr>
          <w:rFonts w:hint="eastAsia"/>
          <w:kern w:val="0"/>
          <w:szCs w:val="21"/>
        </w:rPr>
        <w:t>附录</w:t>
      </w:r>
      <w:r w:rsidR="00113CD7" w:rsidRPr="00A356AF">
        <w:rPr>
          <w:kern w:val="0"/>
          <w:szCs w:val="21"/>
        </w:rPr>
        <w:t>A</w:t>
      </w:r>
      <w:r w:rsidR="00113CD7" w:rsidRPr="00A356AF">
        <w:rPr>
          <w:kern w:val="0"/>
          <w:szCs w:val="21"/>
        </w:rPr>
        <w:t>。</w:t>
      </w:r>
    </w:p>
    <w:p w14:paraId="7328EC6E" w14:textId="77777777" w:rsidR="00DF032A" w:rsidRDefault="00113CD7">
      <w:pPr>
        <w:pStyle w:val="af2"/>
        <w:spacing w:beforeLines="50" w:before="156"/>
        <w:ind w:firstLineChars="0" w:firstLine="0"/>
        <w:rPr>
          <w:rFonts w:ascii="Times New Roman"/>
          <w:szCs w:val="21"/>
        </w:rPr>
      </w:pPr>
      <w:r>
        <w:rPr>
          <w:rFonts w:ascii="Times New Roman"/>
          <w:szCs w:val="21"/>
        </w:rPr>
        <w:br w:type="page"/>
      </w:r>
    </w:p>
    <w:p w14:paraId="04032C2E" w14:textId="0C05D4D7" w:rsidR="00DF032A" w:rsidRDefault="00113CD7">
      <w:pPr>
        <w:pStyle w:val="a0"/>
        <w:numPr>
          <w:ilvl w:val="1"/>
          <w:numId w:val="0"/>
        </w:numPr>
        <w:spacing w:before="156" w:after="156"/>
        <w:rPr>
          <w:rFonts w:ascii="Times New Roman" w:eastAsia="宋体"/>
        </w:rPr>
      </w:pPr>
      <w:bookmarkStart w:id="22" w:name="_Toc529808068"/>
      <w:bookmarkStart w:id="23" w:name="_Toc529812598"/>
      <w:r>
        <w:rPr>
          <w:rFonts w:ascii="Times New Roman"/>
          <w:b/>
          <w:bCs/>
        </w:rPr>
        <w:t>附</w:t>
      </w:r>
      <w:r>
        <w:rPr>
          <w:rFonts w:ascii="Times New Roman"/>
          <w:b/>
          <w:bCs/>
        </w:rPr>
        <w:t> </w:t>
      </w:r>
      <w:r>
        <w:rPr>
          <w:rFonts w:ascii="Times New Roman"/>
          <w:b/>
          <w:bCs/>
        </w:rPr>
        <w:t>录</w:t>
      </w:r>
      <w:bookmarkEnd w:id="22"/>
      <w:bookmarkEnd w:id="23"/>
    </w:p>
    <w:bookmarkEnd w:id="18"/>
    <w:p w14:paraId="3AFBBDAC" w14:textId="77777777" w:rsidR="001B643D" w:rsidRPr="00C056B8" w:rsidRDefault="001B643D" w:rsidP="001B643D">
      <w:pPr>
        <w:jc w:val="center"/>
        <w:rPr>
          <w:b/>
        </w:rPr>
      </w:pPr>
      <w:r w:rsidRPr="00C056B8">
        <w:rPr>
          <w:b/>
        </w:rPr>
        <w:t>附录</w:t>
      </w:r>
      <w:r w:rsidRPr="00C056B8">
        <w:rPr>
          <w:b/>
        </w:rPr>
        <w:t>A</w:t>
      </w:r>
    </w:p>
    <w:p w14:paraId="66A83D2F" w14:textId="77777777" w:rsidR="001B643D" w:rsidRPr="00C056B8" w:rsidRDefault="001B643D" w:rsidP="001B643D">
      <w:pPr>
        <w:jc w:val="center"/>
        <w:rPr>
          <w:b/>
        </w:rPr>
      </w:pPr>
      <w:r w:rsidRPr="00C056B8">
        <w:rPr>
          <w:b/>
        </w:rPr>
        <w:t>（资料性附录）</w:t>
      </w:r>
    </w:p>
    <w:p w14:paraId="5F401BC6" w14:textId="77777777" w:rsidR="001B643D" w:rsidRPr="00C056B8" w:rsidRDefault="001B643D" w:rsidP="001B643D">
      <w:pPr>
        <w:rPr>
          <w:b/>
        </w:rPr>
      </w:pPr>
    </w:p>
    <w:p w14:paraId="397663C1" w14:textId="77777777" w:rsidR="001B643D" w:rsidRPr="00C056B8" w:rsidRDefault="001B643D" w:rsidP="001B643D">
      <w:pPr>
        <w:ind w:firstLineChars="1600" w:firstLine="3373"/>
        <w:rPr>
          <w:b/>
          <w:sz w:val="24"/>
        </w:rPr>
      </w:pPr>
      <w:r w:rsidRPr="00C056B8">
        <w:rPr>
          <w:b/>
        </w:rPr>
        <w:t>表</w:t>
      </w:r>
      <w:r w:rsidRPr="00C056B8">
        <w:rPr>
          <w:b/>
        </w:rPr>
        <w:t xml:space="preserve">A.1 </w:t>
      </w:r>
      <w:r w:rsidRPr="00895F66">
        <w:rPr>
          <w:rFonts w:hint="eastAsia"/>
          <w:b/>
        </w:rPr>
        <w:t>参考饲喂量</w:t>
      </w:r>
    </w:p>
    <w:tbl>
      <w:tblPr>
        <w:tblStyle w:val="af1"/>
        <w:tblW w:w="7454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3901"/>
        <w:gridCol w:w="3553"/>
      </w:tblGrid>
      <w:tr w:rsidR="00590D43" w:rsidRPr="00B71310" w14:paraId="46D30854" w14:textId="77777777" w:rsidTr="00590D43">
        <w:trPr>
          <w:trHeight w:val="450"/>
        </w:trPr>
        <w:tc>
          <w:tcPr>
            <w:tcW w:w="3901" w:type="dxa"/>
          </w:tcPr>
          <w:p w14:paraId="0DDDC160" w14:textId="77777777" w:rsidR="00590D43" w:rsidRPr="00235327" w:rsidRDefault="00590D43" w:rsidP="00D823D9">
            <w:pPr>
              <w:snapToGrid w:val="0"/>
              <w:spacing w:line="360" w:lineRule="exact"/>
              <w:jc w:val="center"/>
              <w:rPr>
                <w:b/>
                <w:bCs/>
                <w:szCs w:val="21"/>
              </w:rPr>
            </w:pPr>
            <w:r w:rsidRPr="00235327">
              <w:rPr>
                <w:b/>
                <w:bCs/>
                <w:szCs w:val="21"/>
              </w:rPr>
              <w:t>生理阶段</w:t>
            </w:r>
          </w:p>
        </w:tc>
        <w:tc>
          <w:tcPr>
            <w:tcW w:w="3553" w:type="dxa"/>
          </w:tcPr>
          <w:p w14:paraId="15B47401" w14:textId="77777777" w:rsidR="00590D43" w:rsidRPr="00235327" w:rsidRDefault="00590D43" w:rsidP="00D823D9">
            <w:pPr>
              <w:snapToGrid w:val="0"/>
              <w:spacing w:line="360" w:lineRule="exact"/>
              <w:jc w:val="center"/>
              <w:rPr>
                <w:b/>
                <w:bCs/>
                <w:szCs w:val="21"/>
              </w:rPr>
            </w:pPr>
            <w:r w:rsidRPr="00235327">
              <w:rPr>
                <w:b/>
                <w:bCs/>
                <w:szCs w:val="21"/>
              </w:rPr>
              <w:t>日粮中比例（</w:t>
            </w:r>
            <w:r w:rsidRPr="00235327">
              <w:rPr>
                <w:b/>
                <w:bCs/>
                <w:szCs w:val="21"/>
              </w:rPr>
              <w:t>%DM</w:t>
            </w:r>
            <w:r w:rsidRPr="00235327">
              <w:rPr>
                <w:b/>
                <w:bCs/>
                <w:szCs w:val="21"/>
              </w:rPr>
              <w:t>）</w:t>
            </w:r>
          </w:p>
        </w:tc>
      </w:tr>
      <w:tr w:rsidR="002E5FD5" w:rsidRPr="00B71310" w14:paraId="450CD3E2" w14:textId="77777777" w:rsidTr="00590D43">
        <w:trPr>
          <w:trHeight w:val="450"/>
        </w:trPr>
        <w:tc>
          <w:tcPr>
            <w:tcW w:w="3901" w:type="dxa"/>
          </w:tcPr>
          <w:p w14:paraId="28F360AC" w14:textId="79F608C5" w:rsidR="002E5FD5" w:rsidRPr="00B71310" w:rsidRDefault="002E5FD5" w:rsidP="002E5FD5">
            <w:pPr>
              <w:snapToGrid w:val="0"/>
              <w:spacing w:line="360" w:lineRule="exact"/>
              <w:jc w:val="center"/>
              <w:rPr>
                <w:szCs w:val="21"/>
              </w:rPr>
            </w:pPr>
            <w:r w:rsidRPr="00B71310">
              <w:rPr>
                <w:rFonts w:hint="eastAsia"/>
                <w:szCs w:val="21"/>
              </w:rPr>
              <w:t>鱼种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10-100g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553" w:type="dxa"/>
          </w:tcPr>
          <w:p w14:paraId="288D0530" w14:textId="2755118E" w:rsidR="002E5FD5" w:rsidRPr="00B71310" w:rsidRDefault="002E5FD5" w:rsidP="002E5FD5">
            <w:pPr>
              <w:snapToGrid w:val="0"/>
              <w:spacing w:line="360" w:lineRule="exact"/>
              <w:jc w:val="center"/>
              <w:rPr>
                <w:szCs w:val="21"/>
              </w:rPr>
            </w:pPr>
            <w:r w:rsidRPr="00B71310">
              <w:rPr>
                <w:rFonts w:hint="eastAsia"/>
                <w:szCs w:val="21"/>
              </w:rPr>
              <w:t>≤</w:t>
            </w:r>
            <w:r>
              <w:rPr>
                <w:rFonts w:hint="eastAsia"/>
                <w:szCs w:val="21"/>
              </w:rPr>
              <w:t>5.00</w:t>
            </w:r>
          </w:p>
        </w:tc>
      </w:tr>
      <w:tr w:rsidR="002E5FD5" w:rsidRPr="00B71310" w14:paraId="1A767C56" w14:textId="77777777" w:rsidTr="00590D43">
        <w:trPr>
          <w:trHeight w:val="450"/>
        </w:trPr>
        <w:tc>
          <w:tcPr>
            <w:tcW w:w="3901" w:type="dxa"/>
          </w:tcPr>
          <w:p w14:paraId="18296FF4" w14:textId="33B4E5B2" w:rsidR="002E5FD5" w:rsidRPr="00B71310" w:rsidRDefault="002E5FD5" w:rsidP="002E5FD5">
            <w:pPr>
              <w:snapToGrid w:val="0"/>
              <w:spacing w:line="360" w:lineRule="exact"/>
              <w:jc w:val="center"/>
              <w:rPr>
                <w:szCs w:val="21"/>
              </w:rPr>
            </w:pPr>
            <w:r w:rsidRPr="00B71310">
              <w:rPr>
                <w:rFonts w:hint="eastAsia"/>
                <w:szCs w:val="21"/>
              </w:rPr>
              <w:t>成鱼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&gt;100g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553" w:type="dxa"/>
          </w:tcPr>
          <w:p w14:paraId="2CA6EA47" w14:textId="2B58E52B" w:rsidR="002E5FD5" w:rsidRPr="00B71310" w:rsidRDefault="002E5FD5" w:rsidP="002E5FD5">
            <w:pPr>
              <w:snapToGrid w:val="0"/>
              <w:spacing w:line="360" w:lineRule="exact"/>
              <w:jc w:val="center"/>
              <w:rPr>
                <w:szCs w:val="21"/>
              </w:rPr>
            </w:pPr>
            <w:r w:rsidRPr="00B71310">
              <w:rPr>
                <w:rFonts w:hint="eastAsia"/>
                <w:szCs w:val="21"/>
              </w:rPr>
              <w:t>≤</w:t>
            </w:r>
            <w:r w:rsidRPr="00B71310"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.00</w:t>
            </w:r>
          </w:p>
        </w:tc>
      </w:tr>
    </w:tbl>
    <w:p w14:paraId="4E8CC137" w14:textId="1768DF73" w:rsidR="001B643D" w:rsidRPr="00B71310" w:rsidRDefault="001B643D" w:rsidP="001B643D">
      <w:pPr>
        <w:widowControl/>
        <w:ind w:firstLineChars="200" w:firstLine="420"/>
        <w:jc w:val="left"/>
        <w:rPr>
          <w:szCs w:val="21"/>
        </w:rPr>
      </w:pPr>
    </w:p>
    <w:p w14:paraId="297D1384" w14:textId="77777777" w:rsidR="00C627AF" w:rsidRDefault="00113CD7">
      <w:pPr>
        <w:widowControl/>
        <w:jc w:val="center"/>
      </w:pPr>
      <w:r>
        <w:t>_________________________________</w:t>
      </w:r>
    </w:p>
    <w:p w14:paraId="3E627C21" w14:textId="77777777" w:rsidR="00DF032A" w:rsidRPr="00C627AF" w:rsidRDefault="00C627AF" w:rsidP="00C627AF">
      <w:pPr>
        <w:tabs>
          <w:tab w:val="left" w:pos="7327"/>
        </w:tabs>
      </w:pPr>
      <w:r>
        <w:tab/>
      </w:r>
    </w:p>
    <w:sectPr w:rsidR="00DF032A" w:rsidRPr="00C627AF"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D7206" w14:textId="77777777" w:rsidR="00EA251E" w:rsidRDefault="00EA251E">
      <w:r>
        <w:separator/>
      </w:r>
    </w:p>
  </w:endnote>
  <w:endnote w:type="continuationSeparator" w:id="0">
    <w:p w14:paraId="68CB0B5B" w14:textId="77777777" w:rsidR="00EA251E" w:rsidRDefault="00EA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5865B" w14:textId="6BB57A28" w:rsidR="00DF032A" w:rsidRDefault="00113CD7">
    <w:pPr>
      <w:pStyle w:val="af3"/>
    </w:pPr>
    <w:r>
      <w:fldChar w:fldCharType="begin"/>
    </w:r>
    <w:r>
      <w:instrText xml:space="preserve"> PAGE  \* MERGEFORMAT </w:instrText>
    </w:r>
    <w:r>
      <w:fldChar w:fldCharType="separate"/>
    </w:r>
    <w:r w:rsidR="00D24338">
      <w:rPr>
        <w:noProof/>
      </w:rPr>
      <w:t>II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065ED" w14:textId="19322F5A" w:rsidR="00DF032A" w:rsidRDefault="00113CD7">
    <w:pPr>
      <w:pStyle w:val="af3"/>
    </w:pPr>
    <w:r>
      <w:fldChar w:fldCharType="begin"/>
    </w:r>
    <w:r>
      <w:instrText xml:space="preserve"> PAGE  \* MERGEFORMAT </w:instrText>
    </w:r>
    <w:r>
      <w:fldChar w:fldCharType="separate"/>
    </w:r>
    <w:r w:rsidR="00D24338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8EC38" w14:textId="77777777" w:rsidR="00EA251E" w:rsidRDefault="00EA251E">
      <w:r>
        <w:separator/>
      </w:r>
    </w:p>
  </w:footnote>
  <w:footnote w:type="continuationSeparator" w:id="0">
    <w:p w14:paraId="54A74606" w14:textId="77777777" w:rsidR="00EA251E" w:rsidRDefault="00EA2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9DA9" w14:textId="605C4B1F" w:rsidR="00DF032A" w:rsidRDefault="00B32A27">
    <w:pPr>
      <w:pStyle w:val="af4"/>
      <w:rPr>
        <w:b/>
      </w:rPr>
    </w:pPr>
    <w:r>
      <w:rPr>
        <w:rFonts w:hAnsi="黑体" w:cs="黑体" w:hint="eastAsia"/>
        <w:b/>
        <w:bCs/>
        <w:spacing w:val="-2"/>
      </w:rPr>
      <w:t>T/</w:t>
    </w:r>
    <w:r w:rsidR="00F44DD0">
      <w:rPr>
        <w:rFonts w:hAnsi="黑体" w:cs="黑体"/>
        <w:b/>
        <w:bCs/>
        <w:spacing w:val="-2"/>
      </w:rPr>
      <w:t>HXCY</w:t>
    </w:r>
    <w:r w:rsidR="00F44DD0">
      <w:rPr>
        <w:rFonts w:hAnsi="黑体" w:cs="黑体"/>
        <w:spacing w:val="-2"/>
      </w:rPr>
      <w:t xml:space="preserve"> </w:t>
    </w:r>
    <w:r w:rsidR="00F44DD0">
      <w:rPr>
        <w:rFonts w:hAnsi="黑体" w:cs="黑体" w:hint="eastAsia"/>
        <w:b/>
        <w:bCs/>
        <w:spacing w:val="-2"/>
      </w:rPr>
      <w:t>XX</w:t>
    </w:r>
    <w:r w:rsidR="00113CD7">
      <w:rPr>
        <w:b/>
      </w:rPr>
      <w:t>—</w:t>
    </w:r>
    <w:r w:rsidR="00F44DD0">
      <w:rPr>
        <w:rFonts w:hint="eastAsia"/>
        <w:b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2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3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24A74384"/>
    <w:multiLevelType w:val="hybridMultilevel"/>
    <w:tmpl w:val="06FA1B4A"/>
    <w:lvl w:ilvl="0" w:tplc="EC72669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E453CA9"/>
    <w:multiLevelType w:val="hybridMultilevel"/>
    <w:tmpl w:val="3E42FE6C"/>
    <w:lvl w:ilvl="0" w:tplc="331AC29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25992184">
    <w:abstractNumId w:val="0"/>
  </w:num>
  <w:num w:numId="2" w16cid:durableId="317270391">
    <w:abstractNumId w:val="1"/>
  </w:num>
  <w:num w:numId="3" w16cid:durableId="2080592895">
    <w:abstractNumId w:val="2"/>
  </w:num>
  <w:num w:numId="4" w16cid:durableId="1487437793">
    <w:abstractNumId w:val="0"/>
  </w:num>
  <w:num w:numId="5" w16cid:durableId="1409108636">
    <w:abstractNumId w:val="0"/>
  </w:num>
  <w:num w:numId="6" w16cid:durableId="433013984">
    <w:abstractNumId w:val="0"/>
  </w:num>
  <w:num w:numId="7" w16cid:durableId="561872262">
    <w:abstractNumId w:val="0"/>
  </w:num>
  <w:num w:numId="8" w16cid:durableId="835265044">
    <w:abstractNumId w:val="0"/>
  </w:num>
  <w:num w:numId="9" w16cid:durableId="1850749134">
    <w:abstractNumId w:val="0"/>
  </w:num>
  <w:num w:numId="10" w16cid:durableId="285933791">
    <w:abstractNumId w:val="0"/>
  </w:num>
  <w:num w:numId="11" w16cid:durableId="1287926292">
    <w:abstractNumId w:val="0"/>
  </w:num>
  <w:num w:numId="12" w16cid:durableId="1482187511">
    <w:abstractNumId w:val="0"/>
  </w:num>
  <w:num w:numId="13" w16cid:durableId="647368276">
    <w:abstractNumId w:val="0"/>
  </w:num>
  <w:num w:numId="14" w16cid:durableId="723411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E99"/>
    <w:rsid w:val="0001483B"/>
    <w:rsid w:val="000423C4"/>
    <w:rsid w:val="000440C7"/>
    <w:rsid w:val="000443A6"/>
    <w:rsid w:val="00046CDB"/>
    <w:rsid w:val="00053BBD"/>
    <w:rsid w:val="00062F85"/>
    <w:rsid w:val="00066D27"/>
    <w:rsid w:val="000750F1"/>
    <w:rsid w:val="00082CF8"/>
    <w:rsid w:val="00084592"/>
    <w:rsid w:val="000934B8"/>
    <w:rsid w:val="000B17C4"/>
    <w:rsid w:val="000B199D"/>
    <w:rsid w:val="000B24FE"/>
    <w:rsid w:val="000B3BBF"/>
    <w:rsid w:val="000B6FCC"/>
    <w:rsid w:val="000C2C97"/>
    <w:rsid w:val="000C4D23"/>
    <w:rsid w:val="000D0859"/>
    <w:rsid w:val="000D3DC3"/>
    <w:rsid w:val="000D5D1A"/>
    <w:rsid w:val="000D6266"/>
    <w:rsid w:val="000E1368"/>
    <w:rsid w:val="000F1942"/>
    <w:rsid w:val="000F7D79"/>
    <w:rsid w:val="00101187"/>
    <w:rsid w:val="001101A2"/>
    <w:rsid w:val="00113CD7"/>
    <w:rsid w:val="001233FF"/>
    <w:rsid w:val="00124B0D"/>
    <w:rsid w:val="0013368E"/>
    <w:rsid w:val="00143987"/>
    <w:rsid w:val="00145745"/>
    <w:rsid w:val="001479EB"/>
    <w:rsid w:val="001515BD"/>
    <w:rsid w:val="00157801"/>
    <w:rsid w:val="00161FCB"/>
    <w:rsid w:val="00165C18"/>
    <w:rsid w:val="00167E0B"/>
    <w:rsid w:val="00173F7C"/>
    <w:rsid w:val="0018554A"/>
    <w:rsid w:val="001A1065"/>
    <w:rsid w:val="001A1AFA"/>
    <w:rsid w:val="001A56A0"/>
    <w:rsid w:val="001B2228"/>
    <w:rsid w:val="001B4D6C"/>
    <w:rsid w:val="001B643D"/>
    <w:rsid w:val="001C4C06"/>
    <w:rsid w:val="001D4166"/>
    <w:rsid w:val="001F32D3"/>
    <w:rsid w:val="002022EF"/>
    <w:rsid w:val="0020364A"/>
    <w:rsid w:val="00215618"/>
    <w:rsid w:val="0021638B"/>
    <w:rsid w:val="00235327"/>
    <w:rsid w:val="00236E9B"/>
    <w:rsid w:val="00247983"/>
    <w:rsid w:val="00254D04"/>
    <w:rsid w:val="002648C6"/>
    <w:rsid w:val="002708E8"/>
    <w:rsid w:val="00270993"/>
    <w:rsid w:val="00281F76"/>
    <w:rsid w:val="002909A7"/>
    <w:rsid w:val="002C4A86"/>
    <w:rsid w:val="002C63A0"/>
    <w:rsid w:val="002E0CEC"/>
    <w:rsid w:val="002E5FD5"/>
    <w:rsid w:val="002F12A8"/>
    <w:rsid w:val="002F32BE"/>
    <w:rsid w:val="00303F5E"/>
    <w:rsid w:val="00304E99"/>
    <w:rsid w:val="0030624B"/>
    <w:rsid w:val="00310B94"/>
    <w:rsid w:val="003167EE"/>
    <w:rsid w:val="003302AD"/>
    <w:rsid w:val="00330773"/>
    <w:rsid w:val="003341D0"/>
    <w:rsid w:val="003347C4"/>
    <w:rsid w:val="00341AB9"/>
    <w:rsid w:val="003424C0"/>
    <w:rsid w:val="003424EC"/>
    <w:rsid w:val="00350F20"/>
    <w:rsid w:val="003658CF"/>
    <w:rsid w:val="00366CF5"/>
    <w:rsid w:val="00374112"/>
    <w:rsid w:val="00381BFE"/>
    <w:rsid w:val="00381EFE"/>
    <w:rsid w:val="003922C0"/>
    <w:rsid w:val="00392F18"/>
    <w:rsid w:val="00396CDF"/>
    <w:rsid w:val="003A423B"/>
    <w:rsid w:val="003A4DEF"/>
    <w:rsid w:val="003B3575"/>
    <w:rsid w:val="003B62A4"/>
    <w:rsid w:val="003C066D"/>
    <w:rsid w:val="003C2614"/>
    <w:rsid w:val="003D27CB"/>
    <w:rsid w:val="003F2503"/>
    <w:rsid w:val="004102AC"/>
    <w:rsid w:val="004217A6"/>
    <w:rsid w:val="0043048F"/>
    <w:rsid w:val="0043161C"/>
    <w:rsid w:val="00440AB2"/>
    <w:rsid w:val="004410B3"/>
    <w:rsid w:val="00444489"/>
    <w:rsid w:val="00446834"/>
    <w:rsid w:val="00447164"/>
    <w:rsid w:val="00447335"/>
    <w:rsid w:val="00460D11"/>
    <w:rsid w:val="00462C0A"/>
    <w:rsid w:val="004644A7"/>
    <w:rsid w:val="0047670E"/>
    <w:rsid w:val="0048550F"/>
    <w:rsid w:val="004C1E30"/>
    <w:rsid w:val="004C3B96"/>
    <w:rsid w:val="004D1CC2"/>
    <w:rsid w:val="004D6CE6"/>
    <w:rsid w:val="004E59CF"/>
    <w:rsid w:val="004F043E"/>
    <w:rsid w:val="00503CCE"/>
    <w:rsid w:val="00525436"/>
    <w:rsid w:val="00531CC0"/>
    <w:rsid w:val="0053466A"/>
    <w:rsid w:val="00541174"/>
    <w:rsid w:val="005510DD"/>
    <w:rsid w:val="005528B8"/>
    <w:rsid w:val="00552E7D"/>
    <w:rsid w:val="00554CB3"/>
    <w:rsid w:val="0056077D"/>
    <w:rsid w:val="00590D43"/>
    <w:rsid w:val="005969E6"/>
    <w:rsid w:val="005A4144"/>
    <w:rsid w:val="005A699C"/>
    <w:rsid w:val="005B6CB1"/>
    <w:rsid w:val="005C3A74"/>
    <w:rsid w:val="005E3ECF"/>
    <w:rsid w:val="005E5927"/>
    <w:rsid w:val="005F0D0E"/>
    <w:rsid w:val="006114AB"/>
    <w:rsid w:val="0061649F"/>
    <w:rsid w:val="006215C9"/>
    <w:rsid w:val="00673B8B"/>
    <w:rsid w:val="006812B9"/>
    <w:rsid w:val="006871C5"/>
    <w:rsid w:val="006A0518"/>
    <w:rsid w:val="006A0828"/>
    <w:rsid w:val="006A0BDB"/>
    <w:rsid w:val="006A2C07"/>
    <w:rsid w:val="006A7103"/>
    <w:rsid w:val="006B77C2"/>
    <w:rsid w:val="006D2362"/>
    <w:rsid w:val="006E4CF6"/>
    <w:rsid w:val="006E7170"/>
    <w:rsid w:val="006F15EF"/>
    <w:rsid w:val="006F75A8"/>
    <w:rsid w:val="00704784"/>
    <w:rsid w:val="00704C27"/>
    <w:rsid w:val="00706AA5"/>
    <w:rsid w:val="007123B0"/>
    <w:rsid w:val="00721A6E"/>
    <w:rsid w:val="00724C13"/>
    <w:rsid w:val="00734F77"/>
    <w:rsid w:val="00741B3E"/>
    <w:rsid w:val="00744D32"/>
    <w:rsid w:val="007456B9"/>
    <w:rsid w:val="00750429"/>
    <w:rsid w:val="00756003"/>
    <w:rsid w:val="00760FE3"/>
    <w:rsid w:val="007709C1"/>
    <w:rsid w:val="00776666"/>
    <w:rsid w:val="00780EFB"/>
    <w:rsid w:val="007C017E"/>
    <w:rsid w:val="007C1162"/>
    <w:rsid w:val="007C6333"/>
    <w:rsid w:val="007D24AC"/>
    <w:rsid w:val="007D321F"/>
    <w:rsid w:val="007F20CD"/>
    <w:rsid w:val="0080463E"/>
    <w:rsid w:val="008107F5"/>
    <w:rsid w:val="008130D9"/>
    <w:rsid w:val="00816646"/>
    <w:rsid w:val="008224FD"/>
    <w:rsid w:val="00827C64"/>
    <w:rsid w:val="0083013D"/>
    <w:rsid w:val="00847794"/>
    <w:rsid w:val="00854796"/>
    <w:rsid w:val="008557B5"/>
    <w:rsid w:val="00856CB6"/>
    <w:rsid w:val="00861E19"/>
    <w:rsid w:val="00862069"/>
    <w:rsid w:val="00870E21"/>
    <w:rsid w:val="008A6B40"/>
    <w:rsid w:val="008B34A5"/>
    <w:rsid w:val="008C4B8B"/>
    <w:rsid w:val="008D26C0"/>
    <w:rsid w:val="008E5006"/>
    <w:rsid w:val="008F2B00"/>
    <w:rsid w:val="008F2EAC"/>
    <w:rsid w:val="00902596"/>
    <w:rsid w:val="00906F4C"/>
    <w:rsid w:val="00912F2B"/>
    <w:rsid w:val="009149DC"/>
    <w:rsid w:val="00917D83"/>
    <w:rsid w:val="009225DE"/>
    <w:rsid w:val="0092557E"/>
    <w:rsid w:val="00927CCD"/>
    <w:rsid w:val="009537AE"/>
    <w:rsid w:val="00965F90"/>
    <w:rsid w:val="00966F2A"/>
    <w:rsid w:val="00987C82"/>
    <w:rsid w:val="00991E2A"/>
    <w:rsid w:val="009921DE"/>
    <w:rsid w:val="009A41FD"/>
    <w:rsid w:val="009B3FF3"/>
    <w:rsid w:val="009D66DB"/>
    <w:rsid w:val="009E5C06"/>
    <w:rsid w:val="009F36BB"/>
    <w:rsid w:val="009F42E1"/>
    <w:rsid w:val="009F7D4E"/>
    <w:rsid w:val="00A145A3"/>
    <w:rsid w:val="00A356AF"/>
    <w:rsid w:val="00A3726E"/>
    <w:rsid w:val="00A42ECA"/>
    <w:rsid w:val="00A7404D"/>
    <w:rsid w:val="00A80D57"/>
    <w:rsid w:val="00A83BF9"/>
    <w:rsid w:val="00A95DCC"/>
    <w:rsid w:val="00AA7D1C"/>
    <w:rsid w:val="00AB1510"/>
    <w:rsid w:val="00AC2FB7"/>
    <w:rsid w:val="00AC7E5B"/>
    <w:rsid w:val="00B00468"/>
    <w:rsid w:val="00B25081"/>
    <w:rsid w:val="00B3069F"/>
    <w:rsid w:val="00B32A27"/>
    <w:rsid w:val="00B32E2F"/>
    <w:rsid w:val="00B53E0D"/>
    <w:rsid w:val="00B63DCB"/>
    <w:rsid w:val="00B6507E"/>
    <w:rsid w:val="00B666CC"/>
    <w:rsid w:val="00B67EB1"/>
    <w:rsid w:val="00B756DD"/>
    <w:rsid w:val="00B83ADB"/>
    <w:rsid w:val="00B878B1"/>
    <w:rsid w:val="00B95871"/>
    <w:rsid w:val="00BA3FA4"/>
    <w:rsid w:val="00BD2623"/>
    <w:rsid w:val="00BD3607"/>
    <w:rsid w:val="00BE579E"/>
    <w:rsid w:val="00BF66CC"/>
    <w:rsid w:val="00C04B03"/>
    <w:rsid w:val="00C105C3"/>
    <w:rsid w:val="00C12DA3"/>
    <w:rsid w:val="00C221AD"/>
    <w:rsid w:val="00C24C67"/>
    <w:rsid w:val="00C47C47"/>
    <w:rsid w:val="00C5543D"/>
    <w:rsid w:val="00C554F9"/>
    <w:rsid w:val="00C608E3"/>
    <w:rsid w:val="00C627AF"/>
    <w:rsid w:val="00C84132"/>
    <w:rsid w:val="00C84659"/>
    <w:rsid w:val="00C91F75"/>
    <w:rsid w:val="00C97C6A"/>
    <w:rsid w:val="00CA120D"/>
    <w:rsid w:val="00CC1366"/>
    <w:rsid w:val="00CD64FC"/>
    <w:rsid w:val="00CE2783"/>
    <w:rsid w:val="00CE45E4"/>
    <w:rsid w:val="00CE489D"/>
    <w:rsid w:val="00CE5E94"/>
    <w:rsid w:val="00CF063A"/>
    <w:rsid w:val="00CF67F1"/>
    <w:rsid w:val="00D04542"/>
    <w:rsid w:val="00D0777F"/>
    <w:rsid w:val="00D105EC"/>
    <w:rsid w:val="00D20B41"/>
    <w:rsid w:val="00D24338"/>
    <w:rsid w:val="00D2785A"/>
    <w:rsid w:val="00D516DD"/>
    <w:rsid w:val="00D52716"/>
    <w:rsid w:val="00D554ED"/>
    <w:rsid w:val="00D6177F"/>
    <w:rsid w:val="00D63404"/>
    <w:rsid w:val="00D91C28"/>
    <w:rsid w:val="00DA7F3F"/>
    <w:rsid w:val="00DB1E2A"/>
    <w:rsid w:val="00DB4FC6"/>
    <w:rsid w:val="00DC68C9"/>
    <w:rsid w:val="00DF032A"/>
    <w:rsid w:val="00DF6125"/>
    <w:rsid w:val="00E01C48"/>
    <w:rsid w:val="00E02681"/>
    <w:rsid w:val="00E119AE"/>
    <w:rsid w:val="00E11F0A"/>
    <w:rsid w:val="00E16386"/>
    <w:rsid w:val="00E4543F"/>
    <w:rsid w:val="00E46D0F"/>
    <w:rsid w:val="00E46E17"/>
    <w:rsid w:val="00E516F8"/>
    <w:rsid w:val="00E6053D"/>
    <w:rsid w:val="00E61B77"/>
    <w:rsid w:val="00E63B13"/>
    <w:rsid w:val="00E67F20"/>
    <w:rsid w:val="00E71F1D"/>
    <w:rsid w:val="00E84886"/>
    <w:rsid w:val="00E95BB2"/>
    <w:rsid w:val="00EA251E"/>
    <w:rsid w:val="00EA7108"/>
    <w:rsid w:val="00EB28E3"/>
    <w:rsid w:val="00EB2B28"/>
    <w:rsid w:val="00EB2F4A"/>
    <w:rsid w:val="00EB5247"/>
    <w:rsid w:val="00EB5568"/>
    <w:rsid w:val="00ED1D21"/>
    <w:rsid w:val="00F01803"/>
    <w:rsid w:val="00F0270E"/>
    <w:rsid w:val="00F130C2"/>
    <w:rsid w:val="00F26040"/>
    <w:rsid w:val="00F41E7E"/>
    <w:rsid w:val="00F44DD0"/>
    <w:rsid w:val="00F544CD"/>
    <w:rsid w:val="00F54C67"/>
    <w:rsid w:val="00F76FCF"/>
    <w:rsid w:val="00F81ABC"/>
    <w:rsid w:val="00F8664E"/>
    <w:rsid w:val="00F93AB5"/>
    <w:rsid w:val="00F976B4"/>
    <w:rsid w:val="00FA1DC4"/>
    <w:rsid w:val="00FA4904"/>
    <w:rsid w:val="00FB5ABE"/>
    <w:rsid w:val="00FC0FA6"/>
    <w:rsid w:val="00FD7B35"/>
    <w:rsid w:val="00FF5212"/>
    <w:rsid w:val="00FF5D2D"/>
    <w:rsid w:val="00FF60BA"/>
    <w:rsid w:val="019F5554"/>
    <w:rsid w:val="05311D4D"/>
    <w:rsid w:val="05490638"/>
    <w:rsid w:val="075B77ED"/>
    <w:rsid w:val="07903EBE"/>
    <w:rsid w:val="089C5DBB"/>
    <w:rsid w:val="090B6B8E"/>
    <w:rsid w:val="0A844571"/>
    <w:rsid w:val="0F724E95"/>
    <w:rsid w:val="13327384"/>
    <w:rsid w:val="14472F5A"/>
    <w:rsid w:val="1ED76E55"/>
    <w:rsid w:val="1F8B068C"/>
    <w:rsid w:val="23DE5D12"/>
    <w:rsid w:val="26EB441E"/>
    <w:rsid w:val="28D53CCF"/>
    <w:rsid w:val="2D11177B"/>
    <w:rsid w:val="2E2D20EE"/>
    <w:rsid w:val="2FD70173"/>
    <w:rsid w:val="307E0734"/>
    <w:rsid w:val="31FB0751"/>
    <w:rsid w:val="37EE7FA7"/>
    <w:rsid w:val="37FF18D5"/>
    <w:rsid w:val="386D2411"/>
    <w:rsid w:val="3A107D90"/>
    <w:rsid w:val="3C1C5D3F"/>
    <w:rsid w:val="42457FF7"/>
    <w:rsid w:val="43D52004"/>
    <w:rsid w:val="44112B62"/>
    <w:rsid w:val="448D7684"/>
    <w:rsid w:val="44EF78CF"/>
    <w:rsid w:val="490A160E"/>
    <w:rsid w:val="4EA20F99"/>
    <w:rsid w:val="51B5657D"/>
    <w:rsid w:val="51E50470"/>
    <w:rsid w:val="520063B6"/>
    <w:rsid w:val="56142550"/>
    <w:rsid w:val="56B608DA"/>
    <w:rsid w:val="5EAF6C52"/>
    <w:rsid w:val="60381E03"/>
    <w:rsid w:val="61D31CE1"/>
    <w:rsid w:val="66A646A9"/>
    <w:rsid w:val="67B5235A"/>
    <w:rsid w:val="6B285E6A"/>
    <w:rsid w:val="6D4F33FA"/>
    <w:rsid w:val="6DF00166"/>
    <w:rsid w:val="72B913C4"/>
    <w:rsid w:val="736E4159"/>
    <w:rsid w:val="74D34891"/>
    <w:rsid w:val="74FB0B42"/>
    <w:rsid w:val="75234AE3"/>
    <w:rsid w:val="7527530D"/>
    <w:rsid w:val="754F03F5"/>
    <w:rsid w:val="75BE2AD0"/>
    <w:rsid w:val="767A0DC2"/>
    <w:rsid w:val="76952770"/>
    <w:rsid w:val="77400E97"/>
    <w:rsid w:val="78FE1B8C"/>
    <w:rsid w:val="7A033EEF"/>
    <w:rsid w:val="7B25099F"/>
    <w:rsid w:val="7C7272E4"/>
    <w:rsid w:val="7ED5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C59B4C"/>
  <w15:docId w15:val="{798208AD-0C5E-4ADC-B5D2-DA0495A1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TOC3">
    <w:name w:val="toc 3"/>
    <w:basedOn w:val="a4"/>
    <w:next w:val="a4"/>
    <w:uiPriority w:val="39"/>
    <w:unhideWhenUsed/>
    <w:qFormat/>
    <w:pPr>
      <w:ind w:leftChars="400" w:left="840"/>
    </w:pPr>
  </w:style>
  <w:style w:type="paragraph" w:styleId="a8">
    <w:name w:val="Date"/>
    <w:basedOn w:val="a4"/>
    <w:next w:val="a4"/>
    <w:link w:val="a9"/>
    <w:uiPriority w:val="99"/>
    <w:semiHidden/>
    <w:unhideWhenUsed/>
    <w:qFormat/>
    <w:pPr>
      <w:ind w:leftChars="2500" w:left="100"/>
    </w:pPr>
  </w:style>
  <w:style w:type="paragraph" w:styleId="aa">
    <w:name w:val="Balloon Text"/>
    <w:basedOn w:val="a4"/>
    <w:link w:val="ab"/>
    <w:uiPriority w:val="99"/>
    <w:semiHidden/>
    <w:unhideWhenUsed/>
    <w:qFormat/>
    <w:rPr>
      <w:sz w:val="18"/>
      <w:szCs w:val="18"/>
    </w:rPr>
  </w:style>
  <w:style w:type="paragraph" w:styleId="ac">
    <w:name w:val="footer"/>
    <w:basedOn w:val="a4"/>
    <w:link w:val="ad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4"/>
    <w:link w:val="af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4"/>
    <w:next w:val="a4"/>
    <w:uiPriority w:val="39"/>
    <w:unhideWhenUsed/>
    <w:qFormat/>
    <w:pPr>
      <w:tabs>
        <w:tab w:val="right" w:leader="dot" w:pos="8296"/>
      </w:tabs>
      <w:jc w:val="center"/>
    </w:pPr>
    <w:rPr>
      <w:rFonts w:ascii="黑体" w:eastAsia="黑体" w:hAnsi="黑体"/>
      <w:sz w:val="40"/>
    </w:rPr>
  </w:style>
  <w:style w:type="paragraph" w:styleId="TOC2">
    <w:name w:val="toc 2"/>
    <w:basedOn w:val="a4"/>
    <w:next w:val="a4"/>
    <w:uiPriority w:val="39"/>
    <w:unhideWhenUsed/>
    <w:qFormat/>
    <w:pPr>
      <w:ind w:leftChars="200" w:left="420"/>
    </w:pPr>
  </w:style>
  <w:style w:type="character" w:styleId="af0">
    <w:name w:val="Hyperlink"/>
    <w:basedOn w:val="a5"/>
    <w:uiPriority w:val="99"/>
    <w:unhideWhenUsed/>
    <w:qFormat/>
    <w:rPr>
      <w:color w:val="0000FF" w:themeColor="hyperlink"/>
      <w:u w:val="single"/>
    </w:rPr>
  </w:style>
  <w:style w:type="table" w:styleId="af1">
    <w:name w:val="Table Grid"/>
    <w:basedOn w:val="a6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页眉 字符"/>
    <w:basedOn w:val="a5"/>
    <w:link w:val="ae"/>
    <w:uiPriority w:val="99"/>
    <w:qFormat/>
    <w:rPr>
      <w:sz w:val="18"/>
      <w:szCs w:val="18"/>
    </w:rPr>
  </w:style>
  <w:style w:type="character" w:customStyle="1" w:styleId="ad">
    <w:name w:val="页脚 字符"/>
    <w:basedOn w:val="a5"/>
    <w:link w:val="ac"/>
    <w:uiPriority w:val="99"/>
    <w:qFormat/>
    <w:rPr>
      <w:sz w:val="18"/>
      <w:szCs w:val="18"/>
    </w:rPr>
  </w:style>
  <w:style w:type="paragraph" w:customStyle="1" w:styleId="af2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">
    <w:name w:val="段 Char"/>
    <w:link w:val="af2"/>
    <w:qFormat/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一级条标题"/>
    <w:next w:val="af2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3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4">
    <w:name w:val="标准书眉_奇数页"/>
    <w:next w:val="a4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">
    <w:name w:val="章标题"/>
    <w:next w:val="af2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f2"/>
    <w:qFormat/>
    <w:pPr>
      <w:numPr>
        <w:ilvl w:val="2"/>
      </w:numPr>
      <w:spacing w:before="50" w:after="50"/>
      <w:outlineLvl w:val="3"/>
    </w:pPr>
  </w:style>
  <w:style w:type="paragraph" w:customStyle="1" w:styleId="af5">
    <w:name w:val="目次、标准名称标题"/>
    <w:basedOn w:val="a4"/>
    <w:next w:val="af2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2">
    <w:name w:val="四级条标题"/>
    <w:basedOn w:val="a4"/>
    <w:next w:val="af2"/>
    <w:qFormat/>
    <w:pPr>
      <w:widowControl/>
      <w:numPr>
        <w:ilvl w:val="4"/>
        <w:numId w:val="1"/>
      </w:numPr>
      <w:spacing w:beforeLines="50" w:afterLines="50"/>
      <w:jc w:val="left"/>
      <w:outlineLvl w:val="5"/>
    </w:pPr>
    <w:rPr>
      <w:rFonts w:ascii="黑体" w:eastAsia="黑体"/>
      <w:kern w:val="0"/>
      <w:szCs w:val="21"/>
    </w:rPr>
  </w:style>
  <w:style w:type="paragraph" w:customStyle="1" w:styleId="a3">
    <w:name w:val="五级条标题"/>
    <w:basedOn w:val="a2"/>
    <w:next w:val="af2"/>
    <w:qFormat/>
    <w:pPr>
      <w:numPr>
        <w:ilvl w:val="5"/>
      </w:numPr>
      <w:outlineLvl w:val="6"/>
    </w:pPr>
  </w:style>
  <w:style w:type="paragraph" w:customStyle="1" w:styleId="af6">
    <w:name w:val="前言、引言标题"/>
    <w:next w:val="af2"/>
    <w:qFormat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character" w:customStyle="1" w:styleId="a9">
    <w:name w:val="日期 字符"/>
    <w:basedOn w:val="a5"/>
    <w:link w:val="a8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b">
    <w:name w:val="批注框文本 字符"/>
    <w:basedOn w:val="a5"/>
    <w:link w:val="aa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styleId="af7">
    <w:name w:val="annotation reference"/>
    <w:basedOn w:val="a5"/>
    <w:uiPriority w:val="99"/>
    <w:semiHidden/>
    <w:unhideWhenUsed/>
    <w:rsid w:val="00927CCD"/>
    <w:rPr>
      <w:sz w:val="21"/>
      <w:szCs w:val="21"/>
    </w:rPr>
  </w:style>
  <w:style w:type="paragraph" w:styleId="af8">
    <w:name w:val="annotation text"/>
    <w:basedOn w:val="a4"/>
    <w:link w:val="af9"/>
    <w:uiPriority w:val="99"/>
    <w:semiHidden/>
    <w:unhideWhenUsed/>
    <w:rsid w:val="00927CCD"/>
    <w:pPr>
      <w:jc w:val="left"/>
    </w:pPr>
  </w:style>
  <w:style w:type="character" w:customStyle="1" w:styleId="af9">
    <w:name w:val="批注文字 字符"/>
    <w:basedOn w:val="a5"/>
    <w:link w:val="af8"/>
    <w:uiPriority w:val="99"/>
    <w:semiHidden/>
    <w:rsid w:val="00927CCD"/>
    <w:rPr>
      <w:kern w:val="2"/>
      <w:sz w:val="21"/>
      <w:szCs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27CCD"/>
    <w:rPr>
      <w:b/>
      <w:bCs/>
    </w:rPr>
  </w:style>
  <w:style w:type="character" w:customStyle="1" w:styleId="afb">
    <w:name w:val="批注主题 字符"/>
    <w:basedOn w:val="af9"/>
    <w:link w:val="afa"/>
    <w:uiPriority w:val="99"/>
    <w:semiHidden/>
    <w:rsid w:val="00927CCD"/>
    <w:rPr>
      <w:b/>
      <w:bCs/>
      <w:kern w:val="2"/>
      <w:sz w:val="21"/>
      <w:szCs w:val="24"/>
    </w:rPr>
  </w:style>
  <w:style w:type="paragraph" w:styleId="afc">
    <w:name w:val="List Paragraph"/>
    <w:basedOn w:val="a4"/>
    <w:uiPriority w:val="99"/>
    <w:rsid w:val="002E5F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EE367E4-E60C-4B93-AC03-8B1A96976A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361</Words>
  <Characters>2061</Characters>
  <Application>Microsoft Office Word</Application>
  <DocSecurity>0</DocSecurity>
  <Lines>17</Lines>
  <Paragraphs>4</Paragraphs>
  <ScaleCrop>false</ScaleCrop>
  <Company>Microsoft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ThinkPad</cp:lastModifiedBy>
  <cp:revision>17</cp:revision>
  <dcterms:created xsi:type="dcterms:W3CDTF">2024-12-11T13:12:00Z</dcterms:created>
  <dcterms:modified xsi:type="dcterms:W3CDTF">2025-03-05T02:05:00Z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