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400730">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7B6BC0">
        <w:rPr>
          <w:rFonts w:ascii="迷你简小标宋" w:eastAsia="迷你简小标宋" w:hAnsi="宋体" w:hint="eastAsia"/>
          <w:w w:val="90"/>
          <w:sz w:val="44"/>
          <w:szCs w:val="44"/>
        </w:rPr>
        <w:t>财税风险管理能力评价规范</w:t>
      </w:r>
      <w:r>
        <w:rPr>
          <w:rFonts w:ascii="迷你简小标宋" w:eastAsia="迷你简小标宋" w:hAnsi="宋体" w:hint="eastAsia"/>
          <w:w w:val="90"/>
          <w:sz w:val="44"/>
          <w:szCs w:val="44"/>
        </w:rPr>
        <w:t>》</w:t>
      </w:r>
    </w:p>
    <w:p w:rsidR="009D532B" w:rsidRDefault="009D532B">
      <w:pPr>
        <w:jc w:val="center"/>
        <w:rPr>
          <w:rFonts w:ascii="迷你简小标宋" w:eastAsia="迷你简小标宋" w:hAnsi="宋体"/>
          <w:sz w:val="44"/>
          <w:szCs w:val="44"/>
        </w:rPr>
      </w:pPr>
    </w:p>
    <w:p w:rsidR="009D532B" w:rsidRDefault="00400730">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400730">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rsidR="009D532B" w:rsidRDefault="009D532B">
      <w:pPr>
        <w:jc w:val="center"/>
        <w:rPr>
          <w:rFonts w:ascii="宋体" w:eastAsia="宋体" w:hAnsi="宋体"/>
          <w:sz w:val="28"/>
          <w:szCs w:val="28"/>
        </w:rPr>
      </w:pPr>
    </w:p>
    <w:p w:rsidR="009D532B" w:rsidRDefault="00400730">
      <w:pPr>
        <w:jc w:val="center"/>
        <w:rPr>
          <w:rFonts w:ascii="宋体" w:eastAsia="宋体" w:hAnsi="宋体"/>
          <w:sz w:val="28"/>
          <w:szCs w:val="28"/>
        </w:rPr>
      </w:pPr>
      <w:r>
        <w:rPr>
          <w:rFonts w:ascii="宋体" w:eastAsia="宋体" w:hAnsi="宋体" w:hint="eastAsia"/>
          <w:sz w:val="28"/>
          <w:szCs w:val="28"/>
        </w:rPr>
        <w:t>二零二</w:t>
      </w:r>
      <w:r w:rsidR="007B6BC0">
        <w:rPr>
          <w:rFonts w:ascii="宋体" w:eastAsia="宋体" w:hAnsi="宋体" w:hint="eastAsia"/>
          <w:sz w:val="28"/>
          <w:szCs w:val="28"/>
        </w:rPr>
        <w:t>五</w:t>
      </w:r>
      <w:r>
        <w:rPr>
          <w:rFonts w:ascii="宋体" w:eastAsia="宋体" w:hAnsi="宋体" w:hint="eastAsia"/>
          <w:sz w:val="28"/>
          <w:szCs w:val="28"/>
        </w:rPr>
        <w:t>年</w:t>
      </w:r>
      <w:r w:rsidR="007B6BC0">
        <w:rPr>
          <w:rFonts w:ascii="宋体" w:eastAsia="宋体" w:hAnsi="宋体" w:hint="eastAsia"/>
          <w:sz w:val="28"/>
          <w:szCs w:val="28"/>
        </w:rPr>
        <w:t>二</w:t>
      </w:r>
      <w:r>
        <w:rPr>
          <w:rFonts w:ascii="宋体" w:eastAsia="宋体" w:hAnsi="宋体" w:hint="eastAsia"/>
          <w:sz w:val="28"/>
          <w:szCs w:val="28"/>
        </w:rPr>
        <w:t>月</w:t>
      </w: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中国中小企业协会下达的</w:t>
      </w:r>
      <w:r>
        <w:rPr>
          <w:rFonts w:ascii="宋体" w:eastAsia="宋体" w:hAnsi="宋体"/>
          <w:sz w:val="28"/>
          <w:szCs w:val="28"/>
        </w:rPr>
        <w:t>2024年团体标准修订编制计划，将《</w:t>
      </w:r>
      <w:r w:rsidR="007B6BC0">
        <w:rPr>
          <w:rFonts w:ascii="宋体" w:eastAsia="宋体" w:hAnsi="宋体" w:hint="eastAsia"/>
          <w:sz w:val="28"/>
          <w:szCs w:val="28"/>
        </w:rPr>
        <w:t>财税风险管理能力评价规范</w:t>
      </w:r>
      <w:r>
        <w:rPr>
          <w:rFonts w:ascii="宋体" w:eastAsia="宋体" w:hAnsi="宋体"/>
          <w:sz w:val="28"/>
          <w:szCs w:val="28"/>
        </w:rPr>
        <w:t>》列为标准编制项目，并于2024年</w:t>
      </w:r>
      <w:r w:rsidR="007B6BC0">
        <w:rPr>
          <w:rFonts w:ascii="宋体" w:eastAsia="宋体" w:hAnsi="宋体" w:hint="eastAsia"/>
          <w:sz w:val="28"/>
          <w:szCs w:val="28"/>
        </w:rPr>
        <w:t>12</w:t>
      </w:r>
      <w:r>
        <w:rPr>
          <w:rFonts w:ascii="宋体" w:eastAsia="宋体" w:hAnsi="宋体"/>
          <w:sz w:val="28"/>
          <w:szCs w:val="28"/>
        </w:rPr>
        <w:t>月在全国团体标准信息平台上进行了立项公告。</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rsidR="007B6BC0" w:rsidRPr="007B6BC0" w:rsidRDefault="007B6BC0" w:rsidP="006E1B00">
      <w:pPr>
        <w:tabs>
          <w:tab w:val="left" w:pos="4875"/>
        </w:tabs>
        <w:autoSpaceDE w:val="0"/>
        <w:spacing w:line="360" w:lineRule="auto"/>
        <w:ind w:firstLineChars="200" w:firstLine="560"/>
        <w:rPr>
          <w:rFonts w:ascii="宋体" w:eastAsia="宋体" w:hAnsi="宋体"/>
          <w:sz w:val="28"/>
          <w:szCs w:val="28"/>
        </w:rPr>
      </w:pPr>
      <w:r w:rsidRPr="007B6BC0">
        <w:rPr>
          <w:rFonts w:ascii="宋体" w:eastAsia="宋体" w:hAnsi="宋体" w:hint="eastAsia"/>
          <w:sz w:val="28"/>
          <w:szCs w:val="28"/>
        </w:rPr>
        <w:t>财税风险管理能力是指企业或组织对财务和税务风险进行识别、评估、应对和监控的综合能力。它涵盖了财务风险和税务风险两个主要领域，并且涉及到从风险的感知到风险处理措施实施以及后续跟踪的全过程管理。财税风险管理能力的正确评估对企业的经验发展有着至关重要的意义，通过科学、合理的财税风险管理能力评价，可以帮助企业提前发现资金相关的风险，维护资金安全，同时，借助评价指标审查税务方面的政策，从而优化成本控制；</w:t>
      </w:r>
      <w:r w:rsidRPr="007B6BC0">
        <w:rPr>
          <w:rFonts w:ascii="宋体" w:eastAsia="宋体" w:hAnsi="宋体"/>
          <w:sz w:val="28"/>
          <w:szCs w:val="28"/>
        </w:rPr>
        <w:t>财税风险管理能力评价</w:t>
      </w:r>
      <w:r w:rsidRPr="007B6BC0">
        <w:rPr>
          <w:rFonts w:ascii="宋体" w:eastAsia="宋体" w:hAnsi="宋体" w:hint="eastAsia"/>
          <w:sz w:val="28"/>
          <w:szCs w:val="28"/>
        </w:rPr>
        <w:t>也可以提供</w:t>
      </w:r>
      <w:r w:rsidRPr="007B6BC0">
        <w:rPr>
          <w:rFonts w:ascii="宋体" w:eastAsia="宋体" w:hAnsi="宋体"/>
          <w:sz w:val="28"/>
          <w:szCs w:val="28"/>
        </w:rPr>
        <w:t>潜在财税负担和风险的信息</w:t>
      </w:r>
      <w:r w:rsidRPr="007B6BC0">
        <w:rPr>
          <w:rFonts w:ascii="宋体" w:eastAsia="宋体" w:hAnsi="宋体" w:hint="eastAsia"/>
          <w:sz w:val="28"/>
          <w:szCs w:val="28"/>
        </w:rPr>
        <w:t>，辅助日常决策和战略决策等经营决策；</w:t>
      </w:r>
      <w:r w:rsidRPr="007B6BC0">
        <w:rPr>
          <w:rFonts w:ascii="宋体" w:eastAsia="宋体" w:hAnsi="宋体"/>
          <w:sz w:val="28"/>
          <w:szCs w:val="28"/>
        </w:rPr>
        <w:t>财税风险管理能力评价</w:t>
      </w:r>
      <w:r w:rsidRPr="007B6BC0">
        <w:rPr>
          <w:rFonts w:ascii="宋体" w:eastAsia="宋体" w:hAnsi="宋体" w:hint="eastAsia"/>
          <w:sz w:val="28"/>
          <w:szCs w:val="28"/>
        </w:rPr>
        <w:t>还可以帮助企业</w:t>
      </w:r>
      <w:r w:rsidRPr="007B6BC0">
        <w:rPr>
          <w:rFonts w:ascii="宋体" w:eastAsia="宋体" w:hAnsi="宋体"/>
          <w:sz w:val="28"/>
          <w:szCs w:val="28"/>
        </w:rPr>
        <w:t>系统地检查</w:t>
      </w:r>
      <w:r w:rsidRPr="007B6BC0">
        <w:rPr>
          <w:rFonts w:ascii="宋体" w:eastAsia="宋体" w:hAnsi="宋体" w:hint="eastAsia"/>
          <w:sz w:val="28"/>
          <w:szCs w:val="28"/>
        </w:rPr>
        <w:t>其</w:t>
      </w:r>
      <w:r w:rsidRPr="007B6BC0">
        <w:rPr>
          <w:rFonts w:ascii="宋体" w:eastAsia="宋体" w:hAnsi="宋体"/>
          <w:sz w:val="28"/>
          <w:szCs w:val="28"/>
        </w:rPr>
        <w:t>是否符合财务会计和税务法规</w:t>
      </w:r>
      <w:r w:rsidRPr="007B6BC0">
        <w:rPr>
          <w:rFonts w:ascii="宋体" w:eastAsia="宋体" w:hAnsi="宋体" w:hint="eastAsia"/>
          <w:sz w:val="28"/>
          <w:szCs w:val="28"/>
        </w:rPr>
        <w:t>，</w:t>
      </w:r>
      <w:r w:rsidRPr="007B6BC0">
        <w:rPr>
          <w:rFonts w:ascii="宋体" w:eastAsia="宋体" w:hAnsi="宋体"/>
          <w:sz w:val="28"/>
          <w:szCs w:val="28"/>
        </w:rPr>
        <w:t>确保企业的经营活动合法合</w:t>
      </w:r>
      <w:proofErr w:type="gramStart"/>
      <w:r w:rsidRPr="007B6BC0">
        <w:rPr>
          <w:rFonts w:ascii="宋体" w:eastAsia="宋体" w:hAnsi="宋体"/>
          <w:sz w:val="28"/>
          <w:szCs w:val="28"/>
        </w:rPr>
        <w:t>规</w:t>
      </w:r>
      <w:proofErr w:type="gramEnd"/>
      <w:r w:rsidRPr="007B6BC0">
        <w:rPr>
          <w:rFonts w:ascii="宋体" w:eastAsia="宋体" w:hAnsi="宋体" w:hint="eastAsia"/>
          <w:sz w:val="28"/>
          <w:szCs w:val="28"/>
        </w:rPr>
        <w:t>，</w:t>
      </w:r>
      <w:r w:rsidRPr="007B6BC0">
        <w:rPr>
          <w:rFonts w:ascii="宋体" w:eastAsia="宋体" w:hAnsi="宋体"/>
          <w:sz w:val="28"/>
          <w:szCs w:val="28"/>
        </w:rPr>
        <w:t>避免因违规而受到税务机关的处罚</w:t>
      </w:r>
      <w:r w:rsidRPr="007B6BC0">
        <w:rPr>
          <w:rFonts w:ascii="宋体" w:eastAsia="宋体" w:hAnsi="宋体" w:hint="eastAsia"/>
          <w:sz w:val="28"/>
          <w:szCs w:val="28"/>
        </w:rPr>
        <w:t>，维护和提升</w:t>
      </w:r>
      <w:r w:rsidRPr="007B6BC0">
        <w:rPr>
          <w:rFonts w:ascii="宋体" w:eastAsia="宋体" w:hAnsi="宋体"/>
          <w:sz w:val="28"/>
          <w:szCs w:val="28"/>
        </w:rPr>
        <w:t>企业的商业信誉。</w:t>
      </w:r>
    </w:p>
    <w:p w:rsidR="007B6BC0" w:rsidRPr="007B6BC0" w:rsidRDefault="007B6BC0" w:rsidP="007B6BC0">
      <w:pPr>
        <w:tabs>
          <w:tab w:val="left" w:pos="4875"/>
        </w:tabs>
        <w:autoSpaceDE w:val="0"/>
        <w:spacing w:line="360" w:lineRule="auto"/>
        <w:ind w:firstLineChars="200" w:firstLine="560"/>
        <w:rPr>
          <w:rFonts w:ascii="宋体" w:eastAsia="宋体" w:hAnsi="宋体"/>
          <w:sz w:val="28"/>
          <w:szCs w:val="28"/>
        </w:rPr>
      </w:pPr>
      <w:r w:rsidRPr="007B6BC0">
        <w:rPr>
          <w:rFonts w:ascii="宋体" w:eastAsia="宋体" w:hAnsi="宋体" w:hint="eastAsia"/>
          <w:sz w:val="28"/>
          <w:szCs w:val="28"/>
        </w:rPr>
        <w:t>但截止目前，尚未</w:t>
      </w:r>
      <w:r w:rsidRPr="007B6BC0">
        <w:rPr>
          <w:rFonts w:ascii="宋体" w:eastAsia="宋体" w:hAnsi="宋体"/>
          <w:sz w:val="28"/>
          <w:szCs w:val="28"/>
        </w:rPr>
        <w:t>有与财税风险管理能力评价相关的现行国家标</w:t>
      </w:r>
      <w:r w:rsidRPr="007B6BC0">
        <w:rPr>
          <w:rFonts w:ascii="宋体" w:eastAsia="宋体" w:hAnsi="宋体" w:hint="eastAsia"/>
          <w:sz w:val="28"/>
          <w:szCs w:val="28"/>
        </w:rPr>
        <w:t>准、行业标准，本项目的提出，旨在借助标准化手段，填补相关领域标准空白，推动中小企业管理水平的高质量发展。</w:t>
      </w:r>
    </w:p>
    <w:p w:rsidR="009D532B" w:rsidRDefault="00400730" w:rsidP="00B779CD">
      <w:pPr>
        <w:spacing w:line="360" w:lineRule="auto"/>
        <w:ind w:firstLineChars="200" w:firstLine="562"/>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rsidR="009D532B" w:rsidRDefault="00400730">
      <w:pPr>
        <w:spacing w:line="360" w:lineRule="auto"/>
        <w:jc w:val="left"/>
        <w:rPr>
          <w:rFonts w:ascii="宋体" w:eastAsia="宋体" w:hAnsi="宋体"/>
          <w:sz w:val="28"/>
          <w:szCs w:val="28"/>
        </w:rPr>
      </w:pPr>
      <w:r>
        <w:rPr>
          <w:rFonts w:ascii="宋体" w:eastAsia="宋体" w:hAnsi="宋体" w:hint="eastAsia"/>
          <w:sz w:val="28"/>
          <w:szCs w:val="28"/>
        </w:rPr>
        <w:t xml:space="preserve">    2024 年</w:t>
      </w:r>
      <w:r w:rsidR="007B6BC0">
        <w:rPr>
          <w:rFonts w:ascii="宋体" w:eastAsia="宋体" w:hAnsi="宋体" w:hint="eastAsia"/>
          <w:sz w:val="28"/>
          <w:szCs w:val="28"/>
        </w:rPr>
        <w:t>12</w:t>
      </w:r>
      <w:r>
        <w:rPr>
          <w:rFonts w:ascii="宋体" w:eastAsia="宋体" w:hAnsi="宋体" w:hint="eastAsia"/>
          <w:sz w:val="28"/>
          <w:szCs w:val="28"/>
        </w:rPr>
        <w:t>月，完成《</w:t>
      </w:r>
      <w:r w:rsidR="007B6BC0">
        <w:rPr>
          <w:rFonts w:ascii="宋体" w:eastAsia="宋体" w:hAnsi="宋体" w:hint="eastAsia"/>
          <w:sz w:val="28"/>
          <w:szCs w:val="28"/>
        </w:rPr>
        <w:t>财税风险管理能力评价规范</w:t>
      </w:r>
      <w:r>
        <w:rPr>
          <w:rFonts w:ascii="宋体" w:eastAsia="宋体" w:hAnsi="宋体" w:hint="eastAsia"/>
          <w:sz w:val="28"/>
          <w:szCs w:val="28"/>
        </w:rPr>
        <w:t>》的立项。标准立项计划下达后，根据相关文件的要求，明确小组成员工作任务并制定了详细的工作计划。</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6E1B00">
        <w:rPr>
          <w:rFonts w:ascii="宋体" w:eastAsia="宋体" w:hAnsi="宋体" w:hint="eastAsia"/>
          <w:sz w:val="28"/>
          <w:szCs w:val="28"/>
        </w:rPr>
        <w:t>5</w:t>
      </w:r>
      <w:r>
        <w:rPr>
          <w:rFonts w:ascii="宋体" w:eastAsia="宋体" w:hAnsi="宋体" w:hint="eastAsia"/>
          <w:sz w:val="28"/>
          <w:szCs w:val="28"/>
        </w:rPr>
        <w:t xml:space="preserve"> 年 </w:t>
      </w:r>
      <w:r w:rsidR="006E1B00">
        <w:rPr>
          <w:rFonts w:ascii="宋体" w:eastAsia="宋体" w:hAnsi="宋体" w:hint="eastAsia"/>
          <w:sz w:val="28"/>
          <w:szCs w:val="28"/>
        </w:rPr>
        <w:t>1</w:t>
      </w:r>
      <w:r>
        <w:rPr>
          <w:rFonts w:ascii="宋体" w:eastAsia="宋体" w:hAnsi="宋体" w:hint="eastAsia"/>
          <w:sz w:val="28"/>
          <w:szCs w:val="28"/>
        </w:rPr>
        <w:t>月</w:t>
      </w:r>
      <w:r w:rsidR="007F487B">
        <w:rPr>
          <w:rFonts w:ascii="宋体" w:eastAsia="宋体" w:hAnsi="宋体" w:hint="eastAsia"/>
          <w:sz w:val="28"/>
          <w:szCs w:val="28"/>
        </w:rPr>
        <w:t>-</w:t>
      </w:r>
      <w:r w:rsidR="006E1B00">
        <w:rPr>
          <w:rFonts w:ascii="宋体" w:eastAsia="宋体" w:hAnsi="宋体" w:hint="eastAsia"/>
          <w:sz w:val="28"/>
          <w:szCs w:val="28"/>
        </w:rPr>
        <w:t>2</w:t>
      </w:r>
      <w:r w:rsidR="007F487B">
        <w:rPr>
          <w:rFonts w:ascii="宋体" w:eastAsia="宋体" w:hAnsi="宋体" w:hint="eastAsia"/>
          <w:sz w:val="28"/>
          <w:szCs w:val="28"/>
        </w:rPr>
        <w:t>月</w:t>
      </w:r>
      <w:r>
        <w:rPr>
          <w:rFonts w:ascii="宋体" w:eastAsia="宋体" w:hAnsi="宋体" w:hint="eastAsia"/>
          <w:sz w:val="28"/>
          <w:szCs w:val="28"/>
        </w:rPr>
        <w:t>，标准编制组对国内外的相关行业、标准、科</w:t>
      </w:r>
      <w:r>
        <w:rPr>
          <w:rFonts w:ascii="宋体" w:eastAsia="宋体" w:hAnsi="宋体" w:hint="eastAsia"/>
          <w:sz w:val="28"/>
          <w:szCs w:val="28"/>
        </w:rPr>
        <w:lastRenderedPageBreak/>
        <w:t>研成果、专著等开展广泛、深入的调研，在此基础上完成《</w:t>
      </w:r>
      <w:r w:rsidR="007B6BC0">
        <w:rPr>
          <w:rFonts w:ascii="宋体" w:eastAsia="宋体" w:hAnsi="宋体" w:hint="eastAsia"/>
          <w:sz w:val="28"/>
          <w:szCs w:val="28"/>
        </w:rPr>
        <w:t>财税风险管理能力评价规范</w:t>
      </w:r>
      <w:r>
        <w:rPr>
          <w:rFonts w:ascii="宋体" w:eastAsia="宋体" w:hAnsi="宋体" w:hint="eastAsia"/>
          <w:sz w:val="28"/>
          <w:szCs w:val="28"/>
        </w:rPr>
        <w:t>》的草案。随后标准制定小组与相关专家经多次研究、讨论对草案进行数次修改，于202</w:t>
      </w:r>
      <w:r w:rsidR="006E1B00">
        <w:rPr>
          <w:rFonts w:ascii="宋体" w:eastAsia="宋体" w:hAnsi="宋体" w:hint="eastAsia"/>
          <w:sz w:val="28"/>
          <w:szCs w:val="28"/>
        </w:rPr>
        <w:t>5</w:t>
      </w:r>
      <w:r>
        <w:rPr>
          <w:rFonts w:ascii="宋体" w:eastAsia="宋体" w:hAnsi="宋体" w:hint="eastAsia"/>
          <w:sz w:val="28"/>
          <w:szCs w:val="28"/>
        </w:rPr>
        <w:t>年</w:t>
      </w:r>
      <w:r w:rsidR="006E1B00">
        <w:rPr>
          <w:rFonts w:ascii="宋体" w:eastAsia="宋体" w:hAnsi="宋体" w:hint="eastAsia"/>
          <w:sz w:val="28"/>
          <w:szCs w:val="28"/>
        </w:rPr>
        <w:t>2</w:t>
      </w:r>
      <w:r>
        <w:rPr>
          <w:rFonts w:ascii="宋体" w:eastAsia="宋体" w:hAnsi="宋体" w:hint="eastAsia"/>
          <w:sz w:val="28"/>
          <w:szCs w:val="28"/>
        </w:rPr>
        <w:t>月</w:t>
      </w:r>
      <w:r w:rsidR="001F643D">
        <w:rPr>
          <w:rFonts w:ascii="宋体" w:eastAsia="宋体" w:hAnsi="宋体" w:hint="eastAsia"/>
          <w:sz w:val="28"/>
          <w:szCs w:val="28"/>
        </w:rPr>
        <w:t>下</w:t>
      </w:r>
      <w:r w:rsidR="00B779CD">
        <w:rPr>
          <w:rFonts w:ascii="宋体" w:eastAsia="宋体" w:hAnsi="宋体" w:hint="eastAsia"/>
          <w:sz w:val="28"/>
          <w:szCs w:val="28"/>
        </w:rPr>
        <w:t>旬</w:t>
      </w:r>
      <w:r>
        <w:rPr>
          <w:rFonts w:ascii="宋体" w:eastAsia="宋体" w:hAnsi="宋体" w:hint="eastAsia"/>
          <w:sz w:val="28"/>
          <w:szCs w:val="28"/>
        </w:rPr>
        <w:t>提交《</w:t>
      </w:r>
      <w:r w:rsidR="007B6BC0">
        <w:rPr>
          <w:rFonts w:ascii="宋体" w:eastAsia="宋体" w:hAnsi="宋体" w:hint="eastAsia"/>
          <w:sz w:val="28"/>
          <w:szCs w:val="28"/>
        </w:rPr>
        <w:t>财税风险管理能力评价规范</w:t>
      </w:r>
      <w:r>
        <w:rPr>
          <w:rFonts w:ascii="宋体" w:eastAsia="宋体" w:hAnsi="宋体" w:hint="eastAsia"/>
          <w:sz w:val="28"/>
          <w:szCs w:val="28"/>
        </w:rPr>
        <w:t>》标准征求意见稿及征求意见稿编制说明，拟定在网上公示征求意见稿，广泛征求各方意见和建议。</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制定小组将根据各方意见和建议对标准进行修改后形成送审稿。</w:t>
      </w:r>
    </w:p>
    <w:p w:rsidR="009D532B" w:rsidRDefault="009D532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rsidR="009D532B" w:rsidRDefault="00400730" w:rsidP="001F643D">
      <w:pPr>
        <w:spacing w:line="360" w:lineRule="auto"/>
        <w:ind w:firstLine="560"/>
        <w:jc w:val="left"/>
        <w:rPr>
          <w:rFonts w:ascii="宋体" w:eastAsia="宋体" w:hAnsi="宋体"/>
          <w:sz w:val="28"/>
          <w:szCs w:val="28"/>
        </w:rPr>
      </w:pPr>
      <w:proofErr w:type="gramStart"/>
      <w:r>
        <w:rPr>
          <w:rFonts w:ascii="宋体" w:eastAsia="宋体" w:hAnsi="宋体" w:hint="eastAsia"/>
          <w:sz w:val="28"/>
          <w:szCs w:val="28"/>
        </w:rPr>
        <w:t>由</w:t>
      </w:r>
      <w:r w:rsidR="006E1B00" w:rsidRPr="006E1B00">
        <w:rPr>
          <w:rFonts w:ascii="宋体" w:eastAsia="宋体" w:hAnsi="宋体" w:hint="eastAsia"/>
          <w:sz w:val="28"/>
          <w:szCs w:val="28"/>
        </w:rPr>
        <w:t>标联</w:t>
      </w:r>
      <w:proofErr w:type="gramEnd"/>
      <w:r w:rsidR="006E1B00" w:rsidRPr="006E1B00">
        <w:rPr>
          <w:rFonts w:ascii="宋体" w:eastAsia="宋体" w:hAnsi="宋体" w:hint="eastAsia"/>
          <w:sz w:val="28"/>
          <w:szCs w:val="28"/>
        </w:rPr>
        <w:t>国际认证有限公司</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rsidR="009D532B" w:rsidRPr="00147751" w:rsidRDefault="009D532B">
      <w:pPr>
        <w:spacing w:line="360" w:lineRule="auto"/>
        <w:ind w:firstLine="560"/>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rsidR="009D532B" w:rsidRDefault="009D532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sidR="005333C6">
        <w:rPr>
          <w:rFonts w:ascii="宋体" w:eastAsia="宋体" w:hAnsi="宋体" w:hint="eastAsia"/>
          <w:sz w:val="28"/>
          <w:szCs w:val="28"/>
        </w:rPr>
        <w:t>术语和定义</w:t>
      </w:r>
      <w:r>
        <w:rPr>
          <w:rFonts w:ascii="宋体" w:eastAsia="宋体" w:hAnsi="宋体" w:hint="eastAsia"/>
          <w:sz w:val="28"/>
          <w:szCs w:val="28"/>
        </w:rPr>
        <w:t>：</w:t>
      </w:r>
      <w:r w:rsidR="006E1B00">
        <w:rPr>
          <w:rFonts w:ascii="宋体" w:eastAsia="宋体" w:hAnsi="宋体" w:hint="eastAsia"/>
          <w:sz w:val="28"/>
          <w:szCs w:val="28"/>
        </w:rPr>
        <w:t>本文件</w:t>
      </w:r>
      <w:r w:rsidR="006E1B00">
        <w:rPr>
          <w:rFonts w:ascii="宋体" w:eastAsia="宋体" w:hAnsi="宋体"/>
          <w:sz w:val="28"/>
          <w:szCs w:val="28"/>
        </w:rPr>
        <w:t>没有需要界定的术语和定义</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w:t>
      </w:r>
      <w:r w:rsidR="00E46304">
        <w:rPr>
          <w:rFonts w:ascii="宋体" w:eastAsia="宋体" w:hAnsi="宋体" w:hint="eastAsia"/>
          <w:sz w:val="28"/>
          <w:szCs w:val="28"/>
        </w:rPr>
        <w:t>一般</w:t>
      </w:r>
      <w:r w:rsidR="00350E9D">
        <w:rPr>
          <w:rFonts w:ascii="宋体" w:eastAsia="宋体" w:hAnsi="宋体" w:hint="eastAsia"/>
          <w:sz w:val="28"/>
          <w:szCs w:val="28"/>
        </w:rPr>
        <w:t>规定：对评价目的、评价范围和评价原则的要求</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sidR="00350E9D">
        <w:rPr>
          <w:rFonts w:ascii="宋体" w:eastAsia="宋体" w:hAnsi="宋体" w:hint="eastAsia"/>
          <w:sz w:val="28"/>
          <w:szCs w:val="28"/>
        </w:rPr>
        <w:t>评价内容：对组织能力、</w:t>
      </w:r>
      <w:r w:rsidR="00350E9D" w:rsidRPr="00350E9D">
        <w:rPr>
          <w:rFonts w:ascii="宋体" w:eastAsia="宋体" w:hAnsi="宋体" w:hint="eastAsia"/>
          <w:sz w:val="28"/>
          <w:szCs w:val="28"/>
        </w:rPr>
        <w:t>风险识别能力、风险应对能力和风</w:t>
      </w:r>
      <w:r w:rsidR="00350E9D" w:rsidRPr="00350E9D">
        <w:rPr>
          <w:rFonts w:ascii="宋体" w:eastAsia="宋体" w:hAnsi="宋体" w:hint="eastAsia"/>
          <w:sz w:val="28"/>
          <w:szCs w:val="28"/>
        </w:rPr>
        <w:lastRenderedPageBreak/>
        <w:t>险控制能力做出要求</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5、</w:t>
      </w:r>
      <w:r w:rsidR="00350E9D">
        <w:rPr>
          <w:rFonts w:ascii="宋体" w:eastAsia="宋体" w:hAnsi="宋体" w:hint="eastAsia"/>
          <w:sz w:val="28"/>
          <w:szCs w:val="28"/>
        </w:rPr>
        <w:t>评价方式</w:t>
      </w:r>
      <w:r>
        <w:rPr>
          <w:rFonts w:ascii="宋体" w:eastAsia="宋体" w:hAnsi="宋体" w:hint="eastAsia"/>
          <w:sz w:val="28"/>
          <w:szCs w:val="28"/>
        </w:rPr>
        <w:t>：</w:t>
      </w:r>
      <w:r w:rsidR="00E46304">
        <w:rPr>
          <w:rFonts w:ascii="宋体" w:eastAsia="宋体" w:hAnsi="宋体" w:hint="eastAsia"/>
          <w:sz w:val="28"/>
          <w:szCs w:val="28"/>
        </w:rPr>
        <w:t>对</w:t>
      </w:r>
      <w:r w:rsidR="00350E9D">
        <w:rPr>
          <w:rFonts w:ascii="宋体" w:eastAsia="宋体" w:hAnsi="宋体" w:hint="eastAsia"/>
          <w:sz w:val="28"/>
          <w:szCs w:val="28"/>
        </w:rPr>
        <w:t>自我评价、专项评价和三方评价的规定</w:t>
      </w:r>
      <w:r>
        <w:rPr>
          <w:rFonts w:ascii="宋体" w:eastAsia="宋体" w:hAnsi="宋体" w:hint="eastAsia"/>
          <w:sz w:val="28"/>
          <w:szCs w:val="28"/>
        </w:rPr>
        <w:t>。</w:t>
      </w:r>
    </w:p>
    <w:p w:rsidR="009D532B" w:rsidRDefault="009411A8" w:rsidP="00C3573B">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6、</w:t>
      </w:r>
      <w:r w:rsidR="00350E9D">
        <w:rPr>
          <w:rFonts w:ascii="宋体" w:eastAsia="宋体" w:hAnsi="宋体" w:hint="eastAsia"/>
          <w:sz w:val="28"/>
          <w:szCs w:val="28"/>
        </w:rPr>
        <w:t>评价流程：对评价流程的规定</w:t>
      </w:r>
      <w:r>
        <w:rPr>
          <w:rFonts w:ascii="宋体" w:eastAsia="宋体" w:hAnsi="宋体" w:hint="eastAsia"/>
          <w:sz w:val="28"/>
          <w:szCs w:val="28"/>
        </w:rPr>
        <w:t>。</w:t>
      </w:r>
    </w:p>
    <w:p w:rsidR="00C3573B" w:rsidRDefault="00C3573B" w:rsidP="00C3573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rsidR="009D532B" w:rsidRDefault="00400730">
      <w:pPr>
        <w:spacing w:line="360" w:lineRule="auto"/>
        <w:jc w:val="left"/>
        <w:rPr>
          <w:rFonts w:ascii="宋体" w:eastAsia="宋体" w:hAnsi="宋体"/>
          <w:sz w:val="28"/>
          <w:szCs w:val="28"/>
        </w:rPr>
      </w:pPr>
      <w:r>
        <w:rPr>
          <w:rFonts w:ascii="宋体" w:eastAsia="宋体" w:hAnsi="宋体" w:hint="eastAsia"/>
          <w:sz w:val="28"/>
          <w:szCs w:val="28"/>
        </w:rPr>
        <w:t xml:space="preserve">     结合国内外行业情况及公司的实践进行验证。</w:t>
      </w:r>
    </w:p>
    <w:p w:rsidR="00712175" w:rsidRDefault="00712175">
      <w:pPr>
        <w:spacing w:line="360" w:lineRule="auto"/>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rsidR="00712175" w:rsidRDefault="00350E9D" w:rsidP="00712175">
      <w:pPr>
        <w:spacing w:line="360" w:lineRule="auto"/>
        <w:ind w:firstLine="570"/>
        <w:jc w:val="left"/>
        <w:rPr>
          <w:rFonts w:ascii="宋体" w:eastAsia="宋体" w:hAnsi="宋体" w:hint="eastAsia"/>
          <w:sz w:val="28"/>
          <w:szCs w:val="28"/>
        </w:rPr>
      </w:pPr>
      <w:r>
        <w:rPr>
          <w:rFonts w:ascii="宋体" w:eastAsia="宋体" w:hAnsi="宋体"/>
          <w:sz w:val="28"/>
          <w:szCs w:val="28"/>
        </w:rPr>
        <w:t>无。</w:t>
      </w:r>
    </w:p>
    <w:p w:rsidR="00350E9D" w:rsidRPr="00E46304" w:rsidRDefault="00350E9D" w:rsidP="00712175">
      <w:pPr>
        <w:spacing w:line="360" w:lineRule="auto"/>
        <w:ind w:firstLine="57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rsidR="00461A40" w:rsidRPr="00461A40" w:rsidRDefault="00461A40" w:rsidP="00461A40">
      <w:pPr>
        <w:tabs>
          <w:tab w:val="left" w:pos="4875"/>
        </w:tabs>
        <w:autoSpaceDE w:val="0"/>
        <w:spacing w:line="360" w:lineRule="auto"/>
        <w:ind w:firstLineChars="200" w:firstLine="560"/>
        <w:rPr>
          <w:rFonts w:ascii="宋体" w:eastAsia="宋体" w:hAnsi="宋体"/>
          <w:sz w:val="28"/>
          <w:szCs w:val="28"/>
        </w:rPr>
      </w:pPr>
      <w:r w:rsidRPr="00461A40">
        <w:rPr>
          <w:rFonts w:ascii="宋体" w:eastAsia="宋体" w:hAnsi="宋体" w:hint="eastAsia"/>
          <w:sz w:val="28"/>
          <w:szCs w:val="28"/>
        </w:rPr>
        <w:t>财税风险管理</w:t>
      </w:r>
      <w:r w:rsidRPr="00461A40">
        <w:rPr>
          <w:rFonts w:ascii="宋体" w:eastAsia="宋体" w:hAnsi="宋体"/>
          <w:sz w:val="28"/>
          <w:szCs w:val="28"/>
        </w:rPr>
        <w:t>能力</w:t>
      </w:r>
      <w:r w:rsidRPr="00461A40">
        <w:rPr>
          <w:rFonts w:ascii="宋体" w:eastAsia="宋体" w:hAnsi="宋体" w:hint="eastAsia"/>
          <w:sz w:val="28"/>
          <w:szCs w:val="28"/>
        </w:rPr>
        <w:t>评价对企业自身以及外部利益相关者都极为重要。针对企业自身：</w:t>
      </w:r>
    </w:p>
    <w:p w:rsidR="00461A40" w:rsidRPr="00461A40" w:rsidRDefault="00461A40" w:rsidP="00461A40">
      <w:pPr>
        <w:tabs>
          <w:tab w:val="left" w:pos="4875"/>
        </w:tabs>
        <w:autoSpaceDE w:val="0"/>
        <w:spacing w:line="360" w:lineRule="auto"/>
        <w:ind w:firstLineChars="200" w:firstLine="560"/>
        <w:rPr>
          <w:rFonts w:ascii="宋体" w:eastAsia="宋体" w:hAnsi="宋体" w:hint="eastAsia"/>
          <w:sz w:val="28"/>
          <w:szCs w:val="28"/>
        </w:rPr>
      </w:pPr>
      <w:r w:rsidRPr="00461A40">
        <w:rPr>
          <w:rFonts w:ascii="宋体" w:eastAsia="宋体" w:hAnsi="宋体" w:hint="eastAsia"/>
          <w:sz w:val="28"/>
          <w:szCs w:val="28"/>
        </w:rPr>
        <w:t>1、财税风险管理</w:t>
      </w:r>
      <w:r w:rsidRPr="00461A40">
        <w:rPr>
          <w:rFonts w:ascii="宋体" w:eastAsia="宋体" w:hAnsi="宋体"/>
          <w:sz w:val="28"/>
          <w:szCs w:val="28"/>
        </w:rPr>
        <w:t>能力</w:t>
      </w:r>
      <w:r w:rsidRPr="00461A40">
        <w:rPr>
          <w:rFonts w:ascii="宋体" w:eastAsia="宋体" w:hAnsi="宋体" w:hint="eastAsia"/>
          <w:sz w:val="28"/>
          <w:szCs w:val="28"/>
        </w:rPr>
        <w:t>评价</w:t>
      </w:r>
      <w:r w:rsidRPr="00461A40">
        <w:rPr>
          <w:rFonts w:ascii="宋体" w:eastAsia="宋体" w:hAnsi="宋体"/>
          <w:sz w:val="28"/>
          <w:szCs w:val="28"/>
        </w:rPr>
        <w:t>能够帮助企业识别潜在的财务风险</w:t>
      </w:r>
      <w:r w:rsidRPr="00461A40">
        <w:rPr>
          <w:rFonts w:ascii="宋体" w:eastAsia="宋体" w:hAnsi="宋体" w:hint="eastAsia"/>
          <w:sz w:val="28"/>
          <w:szCs w:val="28"/>
        </w:rPr>
        <w:t>，</w:t>
      </w:r>
      <w:r w:rsidRPr="00461A40">
        <w:rPr>
          <w:rFonts w:ascii="宋体" w:eastAsia="宋体" w:hAnsi="宋体"/>
          <w:sz w:val="28"/>
          <w:szCs w:val="28"/>
        </w:rPr>
        <w:t>提前规划资金安排，优化债务结构，</w:t>
      </w:r>
      <w:r w:rsidRPr="00461A40">
        <w:rPr>
          <w:rFonts w:ascii="宋体" w:eastAsia="宋体" w:hAnsi="宋体" w:hint="eastAsia"/>
          <w:sz w:val="28"/>
          <w:szCs w:val="28"/>
        </w:rPr>
        <w:t>保障企业财务稳定性；</w:t>
      </w:r>
    </w:p>
    <w:p w:rsidR="00461A40" w:rsidRPr="00461A40" w:rsidRDefault="00461A40" w:rsidP="00461A40">
      <w:pPr>
        <w:tabs>
          <w:tab w:val="left" w:pos="4875"/>
        </w:tabs>
        <w:autoSpaceDE w:val="0"/>
        <w:spacing w:line="360" w:lineRule="auto"/>
        <w:ind w:firstLineChars="200" w:firstLine="560"/>
        <w:rPr>
          <w:rFonts w:ascii="宋体" w:eastAsia="宋体" w:hAnsi="宋体" w:hint="eastAsia"/>
          <w:sz w:val="28"/>
          <w:szCs w:val="28"/>
        </w:rPr>
      </w:pPr>
      <w:r w:rsidRPr="00461A40">
        <w:rPr>
          <w:rFonts w:ascii="宋体" w:eastAsia="宋体" w:hAnsi="宋体" w:hint="eastAsia"/>
          <w:sz w:val="28"/>
          <w:szCs w:val="28"/>
        </w:rPr>
        <w:t>2、</w:t>
      </w:r>
      <w:r w:rsidRPr="00461A40">
        <w:rPr>
          <w:rFonts w:ascii="宋体" w:eastAsia="宋体" w:hAnsi="宋体"/>
          <w:sz w:val="28"/>
          <w:szCs w:val="28"/>
        </w:rPr>
        <w:t>有效的财税风险管理能力评价</w:t>
      </w:r>
      <w:r w:rsidRPr="00461A40">
        <w:rPr>
          <w:rFonts w:ascii="宋体" w:eastAsia="宋体" w:hAnsi="宋体" w:hint="eastAsia"/>
          <w:sz w:val="28"/>
          <w:szCs w:val="28"/>
        </w:rPr>
        <w:t>可以为企业的经营管理提供决策依据；</w:t>
      </w:r>
    </w:p>
    <w:p w:rsidR="00461A40" w:rsidRPr="00461A40" w:rsidRDefault="00461A40" w:rsidP="00461A40">
      <w:pPr>
        <w:tabs>
          <w:tab w:val="left" w:pos="4875"/>
        </w:tabs>
        <w:autoSpaceDE w:val="0"/>
        <w:spacing w:line="360" w:lineRule="auto"/>
        <w:ind w:firstLineChars="200" w:firstLine="560"/>
        <w:rPr>
          <w:rFonts w:ascii="宋体" w:eastAsia="宋体" w:hAnsi="宋体" w:hint="eastAsia"/>
          <w:sz w:val="28"/>
          <w:szCs w:val="28"/>
        </w:rPr>
      </w:pPr>
      <w:r w:rsidRPr="00461A40">
        <w:rPr>
          <w:rFonts w:ascii="宋体" w:eastAsia="宋体" w:hAnsi="宋体" w:hint="eastAsia"/>
          <w:sz w:val="28"/>
          <w:szCs w:val="28"/>
        </w:rPr>
        <w:t>3、</w:t>
      </w:r>
      <w:r w:rsidRPr="00461A40">
        <w:rPr>
          <w:rFonts w:ascii="宋体" w:eastAsia="宋体" w:hAnsi="宋体"/>
          <w:sz w:val="28"/>
          <w:szCs w:val="28"/>
        </w:rPr>
        <w:t>财税风险管理能力评价能够系统地检查企业在财务会计核算和税务申报缴纳等方面的合</w:t>
      </w:r>
      <w:proofErr w:type="gramStart"/>
      <w:r w:rsidRPr="00461A40">
        <w:rPr>
          <w:rFonts w:ascii="宋体" w:eastAsia="宋体" w:hAnsi="宋体"/>
          <w:sz w:val="28"/>
          <w:szCs w:val="28"/>
        </w:rPr>
        <w:t>规</w:t>
      </w:r>
      <w:proofErr w:type="gramEnd"/>
      <w:r w:rsidRPr="00461A40">
        <w:rPr>
          <w:rFonts w:ascii="宋体" w:eastAsia="宋体" w:hAnsi="宋体"/>
          <w:sz w:val="28"/>
          <w:szCs w:val="28"/>
        </w:rPr>
        <w:t>性</w:t>
      </w:r>
      <w:r w:rsidRPr="00461A40">
        <w:rPr>
          <w:rFonts w:ascii="宋体" w:eastAsia="宋体" w:hAnsi="宋体" w:hint="eastAsia"/>
          <w:sz w:val="28"/>
          <w:szCs w:val="28"/>
        </w:rPr>
        <w:t>，</w:t>
      </w:r>
      <w:r w:rsidRPr="00461A40">
        <w:rPr>
          <w:rFonts w:ascii="宋体" w:eastAsia="宋体" w:hAnsi="宋体"/>
          <w:sz w:val="28"/>
          <w:szCs w:val="28"/>
        </w:rPr>
        <w:t>帮助企业</w:t>
      </w:r>
      <w:r w:rsidRPr="00461A40">
        <w:rPr>
          <w:rFonts w:ascii="宋体" w:eastAsia="宋体" w:hAnsi="宋体" w:hint="eastAsia"/>
          <w:sz w:val="28"/>
          <w:szCs w:val="28"/>
        </w:rPr>
        <w:t>规避因财税问题引发的</w:t>
      </w:r>
      <w:r w:rsidRPr="00461A40">
        <w:rPr>
          <w:rFonts w:ascii="宋体" w:eastAsia="宋体" w:hAnsi="宋体"/>
          <w:sz w:val="28"/>
          <w:szCs w:val="28"/>
        </w:rPr>
        <w:t>法律诉讼风险</w:t>
      </w:r>
      <w:r w:rsidRPr="00461A40">
        <w:rPr>
          <w:rFonts w:ascii="宋体" w:eastAsia="宋体" w:hAnsi="宋体" w:hint="eastAsia"/>
          <w:sz w:val="28"/>
          <w:szCs w:val="28"/>
        </w:rPr>
        <w:t>，维护企业的合</w:t>
      </w:r>
      <w:proofErr w:type="gramStart"/>
      <w:r w:rsidRPr="00461A40">
        <w:rPr>
          <w:rFonts w:ascii="宋体" w:eastAsia="宋体" w:hAnsi="宋体" w:hint="eastAsia"/>
          <w:sz w:val="28"/>
          <w:szCs w:val="28"/>
        </w:rPr>
        <w:t>规</w:t>
      </w:r>
      <w:proofErr w:type="gramEnd"/>
      <w:r w:rsidRPr="00461A40">
        <w:rPr>
          <w:rFonts w:ascii="宋体" w:eastAsia="宋体" w:hAnsi="宋体" w:hint="eastAsia"/>
          <w:sz w:val="28"/>
          <w:szCs w:val="28"/>
        </w:rPr>
        <w:t>经营。</w:t>
      </w:r>
    </w:p>
    <w:p w:rsidR="00461A40" w:rsidRPr="00461A40" w:rsidRDefault="00461A40" w:rsidP="00461A40">
      <w:pPr>
        <w:tabs>
          <w:tab w:val="left" w:pos="4875"/>
        </w:tabs>
        <w:autoSpaceDE w:val="0"/>
        <w:spacing w:line="360" w:lineRule="auto"/>
        <w:rPr>
          <w:rFonts w:ascii="宋体" w:eastAsia="宋体" w:hAnsi="宋体" w:hint="eastAsia"/>
          <w:sz w:val="28"/>
          <w:szCs w:val="28"/>
        </w:rPr>
      </w:pPr>
      <w:r w:rsidRPr="00461A40">
        <w:rPr>
          <w:rFonts w:ascii="宋体" w:eastAsia="宋体" w:hAnsi="宋体" w:hint="eastAsia"/>
          <w:sz w:val="28"/>
          <w:szCs w:val="28"/>
        </w:rPr>
        <w:t>针对外部利益相关者：</w:t>
      </w:r>
    </w:p>
    <w:p w:rsidR="00461A40" w:rsidRDefault="00461A40" w:rsidP="00461A40">
      <w:pPr>
        <w:numPr>
          <w:ilvl w:val="0"/>
          <w:numId w:val="4"/>
        </w:numPr>
        <w:tabs>
          <w:tab w:val="left" w:pos="4875"/>
        </w:tabs>
        <w:autoSpaceDE w:val="0"/>
        <w:spacing w:line="360" w:lineRule="auto"/>
        <w:rPr>
          <w:rFonts w:ascii="宋体" w:eastAsia="宋体" w:hAnsi="宋体" w:hint="eastAsia"/>
          <w:sz w:val="28"/>
          <w:szCs w:val="28"/>
        </w:rPr>
      </w:pPr>
      <w:r w:rsidRPr="00461A40">
        <w:rPr>
          <w:rFonts w:ascii="宋体" w:eastAsia="宋体" w:hAnsi="宋体"/>
          <w:sz w:val="28"/>
          <w:szCs w:val="28"/>
        </w:rPr>
        <w:t>透明、有效</w:t>
      </w:r>
      <w:r w:rsidRPr="00461A40">
        <w:rPr>
          <w:rFonts w:ascii="宋体" w:eastAsia="宋体" w:hAnsi="宋体" w:hint="eastAsia"/>
          <w:sz w:val="28"/>
          <w:szCs w:val="28"/>
        </w:rPr>
        <w:t>的</w:t>
      </w:r>
      <w:r w:rsidRPr="00461A40">
        <w:rPr>
          <w:rFonts w:ascii="宋体" w:eastAsia="宋体" w:hAnsi="宋体"/>
          <w:sz w:val="28"/>
          <w:szCs w:val="28"/>
        </w:rPr>
        <w:t>财税风险管理能力评价结果可以让投资者更准</w:t>
      </w:r>
    </w:p>
    <w:p w:rsidR="00461A40" w:rsidRDefault="00461A40" w:rsidP="00461A40">
      <w:pPr>
        <w:numPr>
          <w:ilvl w:val="0"/>
          <w:numId w:val="4"/>
        </w:numPr>
        <w:tabs>
          <w:tab w:val="left" w:pos="4875"/>
        </w:tabs>
        <w:autoSpaceDE w:val="0"/>
        <w:spacing w:line="360" w:lineRule="auto"/>
        <w:rPr>
          <w:rFonts w:ascii="宋体" w:eastAsia="宋体" w:hAnsi="宋体" w:hint="eastAsia"/>
          <w:sz w:val="28"/>
          <w:szCs w:val="28"/>
        </w:rPr>
      </w:pPr>
      <w:r w:rsidRPr="00461A40">
        <w:rPr>
          <w:rFonts w:ascii="宋体" w:eastAsia="宋体" w:hAnsi="宋体"/>
          <w:sz w:val="28"/>
          <w:szCs w:val="28"/>
        </w:rPr>
        <w:t>财税风险管理能力评价</w:t>
      </w:r>
      <w:r w:rsidRPr="00461A40">
        <w:rPr>
          <w:rFonts w:ascii="宋体" w:eastAsia="宋体" w:hAnsi="宋体" w:hint="eastAsia"/>
          <w:sz w:val="28"/>
          <w:szCs w:val="28"/>
        </w:rPr>
        <w:t>有助于银行等金融机构对企业进行风</w:t>
      </w:r>
    </w:p>
    <w:p w:rsidR="00461A40" w:rsidRPr="00461A40" w:rsidRDefault="00461A40" w:rsidP="00461A40">
      <w:pPr>
        <w:tabs>
          <w:tab w:val="left" w:pos="4875"/>
        </w:tabs>
        <w:autoSpaceDE w:val="0"/>
        <w:spacing w:line="360" w:lineRule="auto"/>
        <w:ind w:left="480"/>
        <w:rPr>
          <w:rFonts w:ascii="宋体" w:eastAsia="宋体" w:hAnsi="宋体"/>
          <w:sz w:val="28"/>
          <w:szCs w:val="28"/>
        </w:rPr>
      </w:pPr>
      <w:r w:rsidRPr="00461A40">
        <w:rPr>
          <w:rFonts w:ascii="宋体" w:eastAsia="宋体" w:hAnsi="宋体" w:hint="eastAsia"/>
          <w:sz w:val="28"/>
          <w:szCs w:val="28"/>
        </w:rPr>
        <w:t>险评估；</w:t>
      </w:r>
    </w:p>
    <w:p w:rsidR="00461A40" w:rsidRPr="00461A40" w:rsidRDefault="00461A40" w:rsidP="00461A40">
      <w:pPr>
        <w:tabs>
          <w:tab w:val="left" w:pos="4875"/>
        </w:tabs>
        <w:autoSpaceDE w:val="0"/>
        <w:spacing w:line="360" w:lineRule="auto"/>
        <w:rPr>
          <w:rFonts w:ascii="宋体" w:eastAsia="宋体" w:hAnsi="宋体" w:hint="eastAsia"/>
          <w:sz w:val="28"/>
          <w:szCs w:val="28"/>
        </w:rPr>
      </w:pPr>
      <w:r w:rsidRPr="00461A40">
        <w:rPr>
          <w:rFonts w:ascii="宋体" w:eastAsia="宋体" w:hAnsi="宋体" w:hint="eastAsia"/>
          <w:sz w:val="28"/>
          <w:szCs w:val="28"/>
        </w:rPr>
        <w:lastRenderedPageBreak/>
        <w:t xml:space="preserve">    3、</w:t>
      </w:r>
      <w:r w:rsidRPr="00461A40">
        <w:rPr>
          <w:rFonts w:ascii="宋体" w:eastAsia="宋体" w:hAnsi="宋体"/>
          <w:sz w:val="28"/>
          <w:szCs w:val="28"/>
        </w:rPr>
        <w:t>税务机关等监管部门可以利用企业的财税风险管理能力评价来提高监管效率</w:t>
      </w:r>
      <w:r w:rsidRPr="00461A40">
        <w:rPr>
          <w:rFonts w:ascii="宋体" w:eastAsia="宋体" w:hAnsi="宋体" w:hint="eastAsia"/>
          <w:sz w:val="28"/>
          <w:szCs w:val="28"/>
        </w:rPr>
        <w:t>，同时</w:t>
      </w:r>
      <w:r w:rsidRPr="00461A40">
        <w:rPr>
          <w:rFonts w:ascii="宋体" w:eastAsia="宋体" w:hAnsi="宋体"/>
          <w:sz w:val="28"/>
          <w:szCs w:val="28"/>
        </w:rPr>
        <w:t>通过企业的评价结果来发现行业内普遍存在的财税问题，进而完善税收政策和监管制度</w:t>
      </w:r>
      <w:r w:rsidRPr="00461A40">
        <w:rPr>
          <w:rFonts w:ascii="宋体" w:eastAsia="宋体" w:hAnsi="宋体" w:hint="eastAsia"/>
          <w:sz w:val="28"/>
          <w:szCs w:val="28"/>
        </w:rPr>
        <w:t>。</w:t>
      </w:r>
    </w:p>
    <w:p w:rsidR="00461A40" w:rsidRPr="00461A40" w:rsidRDefault="00461A40" w:rsidP="00461A40">
      <w:pPr>
        <w:spacing w:line="360" w:lineRule="auto"/>
        <w:rPr>
          <w:rFonts w:ascii="宋体" w:eastAsia="宋体" w:hAnsi="宋体"/>
          <w:sz w:val="28"/>
          <w:szCs w:val="28"/>
        </w:rPr>
      </w:pPr>
      <w:r w:rsidRPr="00461A40">
        <w:rPr>
          <w:rFonts w:ascii="宋体" w:eastAsia="宋体" w:hAnsi="宋体" w:hint="eastAsia"/>
          <w:sz w:val="28"/>
          <w:szCs w:val="28"/>
        </w:rPr>
        <w:t xml:space="preserve">   综上所述，《财税风险管理</w:t>
      </w:r>
      <w:r w:rsidRPr="00461A40">
        <w:rPr>
          <w:rFonts w:ascii="宋体" w:eastAsia="宋体" w:hAnsi="宋体"/>
          <w:sz w:val="28"/>
          <w:szCs w:val="28"/>
        </w:rPr>
        <w:t>能力</w:t>
      </w:r>
      <w:r w:rsidRPr="00461A40">
        <w:rPr>
          <w:rFonts w:ascii="宋体" w:eastAsia="宋体" w:hAnsi="宋体" w:hint="eastAsia"/>
          <w:sz w:val="28"/>
          <w:szCs w:val="28"/>
        </w:rPr>
        <w:t>评价规范》标准的编制必将获得多方的认可和推崇，具有广阔的应用前景。</w:t>
      </w:r>
    </w:p>
    <w:p w:rsidR="0008492B" w:rsidRPr="00461A40" w:rsidRDefault="0008492B" w:rsidP="0008492B">
      <w:pPr>
        <w:spacing w:line="360" w:lineRule="auto"/>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符合现行相关法律、法规、规章及相关标准，与强制性标准协调一致。</w:t>
      </w:r>
    </w:p>
    <w:p w:rsidR="009D532B" w:rsidRDefault="009D532B">
      <w:pPr>
        <w:spacing w:line="360" w:lineRule="auto"/>
        <w:ind w:firstLine="562"/>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（七）重大分歧意见的处理经过和依据</w:t>
      </w:r>
    </w:p>
    <w:p w:rsidR="009D532B" w:rsidRDefault="00400730">
      <w:pPr>
        <w:spacing w:line="360" w:lineRule="auto"/>
        <w:ind w:firstLine="560"/>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ind w:firstLine="560"/>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（八）标准性质的建议说明</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本标准为团体标准，供社会各界自愿使用。</w:t>
      </w:r>
    </w:p>
    <w:p w:rsidR="009D532B" w:rsidRDefault="009D532B">
      <w:pPr>
        <w:spacing w:line="360" w:lineRule="auto"/>
        <w:ind w:firstLine="562"/>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（九）贯彻标准的要求和措施建议</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1、组织线下宣传活动、线</w:t>
      </w:r>
      <w:proofErr w:type="gramStart"/>
      <w:r>
        <w:rPr>
          <w:rFonts w:ascii="宋体" w:eastAsia="宋体" w:hAnsi="宋体" w:hint="eastAsia"/>
          <w:sz w:val="28"/>
          <w:szCs w:val="28"/>
        </w:rPr>
        <w:t>上渠道</w:t>
      </w:r>
      <w:proofErr w:type="gramEnd"/>
      <w:r>
        <w:rPr>
          <w:rFonts w:ascii="宋体" w:eastAsia="宋体" w:hAnsi="宋体" w:hint="eastAsia"/>
          <w:sz w:val="28"/>
          <w:szCs w:val="28"/>
        </w:rPr>
        <w:t>推广，进行标准的内容宣传。</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2、组织相关专家进行培训和讲座，介绍本标准并进行答疑。</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3、与相关协会、机构、企业等合作伙伴共通普及和推广。</w:t>
      </w:r>
    </w:p>
    <w:p w:rsidR="009D532B" w:rsidRDefault="009D532B">
      <w:pPr>
        <w:spacing w:line="360" w:lineRule="auto"/>
        <w:ind w:firstLine="562"/>
        <w:jc w:val="left"/>
        <w:rPr>
          <w:rFonts w:ascii="宋体" w:eastAsia="宋体" w:hAnsi="宋体"/>
          <w:b/>
          <w:bCs/>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（十）废止现行相关标准的建议</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ind w:firstLine="562"/>
        <w:jc w:val="left"/>
        <w:rPr>
          <w:rFonts w:ascii="宋体" w:eastAsia="宋体" w:hAnsi="宋体"/>
          <w:b/>
          <w:bCs/>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lastRenderedPageBreak/>
        <w:t>（十一）其他应予说明的事项</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jc w:val="left"/>
        <w:rPr>
          <w:rFonts w:ascii="宋体" w:eastAsia="宋体" w:hAnsi="宋体"/>
          <w:b/>
          <w:bCs/>
          <w:sz w:val="28"/>
          <w:szCs w:val="28"/>
        </w:rPr>
      </w:pP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7B6BC0">
        <w:rPr>
          <w:rFonts w:ascii="宋体" w:eastAsia="宋体" w:hAnsi="宋体" w:hint="eastAsia"/>
          <w:sz w:val="28"/>
          <w:szCs w:val="28"/>
        </w:rPr>
        <w:t>财税风险管理能力评价规范</w:t>
      </w:r>
      <w:r>
        <w:rPr>
          <w:rFonts w:ascii="宋体" w:eastAsia="宋体" w:hAnsi="宋体" w:hint="eastAsia"/>
          <w:sz w:val="28"/>
          <w:szCs w:val="28"/>
        </w:rPr>
        <w:t>》起草组</w:t>
      </w:r>
      <w:r>
        <w:rPr>
          <w:rFonts w:ascii="宋体" w:eastAsia="宋体" w:hAnsi="宋体"/>
          <w:sz w:val="28"/>
          <w:szCs w:val="28"/>
        </w:rPr>
        <w:t xml:space="preserve"> </w:t>
      </w: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w:t>
      </w:r>
      <w:r w:rsidR="000C2D42">
        <w:rPr>
          <w:rFonts w:ascii="宋体" w:eastAsia="宋体" w:hAnsi="宋体" w:hint="eastAsia"/>
          <w:sz w:val="28"/>
          <w:szCs w:val="28"/>
        </w:rPr>
        <w:t>5</w:t>
      </w:r>
      <w:r>
        <w:rPr>
          <w:rFonts w:ascii="宋体" w:eastAsia="宋体" w:hAnsi="宋体"/>
          <w:sz w:val="28"/>
          <w:szCs w:val="28"/>
        </w:rPr>
        <w:t>年</w:t>
      </w:r>
      <w:r w:rsidR="000C2D42">
        <w:rPr>
          <w:rFonts w:ascii="宋体" w:eastAsia="宋体" w:hAnsi="宋体" w:hint="eastAsia"/>
          <w:sz w:val="28"/>
          <w:szCs w:val="28"/>
        </w:rPr>
        <w:t>2</w:t>
      </w:r>
      <w:r>
        <w:rPr>
          <w:rFonts w:ascii="宋体" w:eastAsia="宋体" w:hAnsi="宋体"/>
          <w:sz w:val="28"/>
          <w:szCs w:val="28"/>
        </w:rPr>
        <w:t>月</w:t>
      </w:r>
      <w:r w:rsidR="000C2D42">
        <w:rPr>
          <w:rFonts w:ascii="宋体" w:eastAsia="宋体" w:hAnsi="宋体" w:hint="eastAsia"/>
          <w:sz w:val="28"/>
          <w:szCs w:val="28"/>
        </w:rPr>
        <w:t>28</w:t>
      </w:r>
      <w:bookmarkStart w:id="0" w:name="_GoBack"/>
      <w:bookmarkEnd w:id="0"/>
      <w:r>
        <w:rPr>
          <w:rFonts w:ascii="宋体" w:eastAsia="宋体" w:hAnsi="宋体"/>
          <w:sz w:val="28"/>
          <w:szCs w:val="28"/>
        </w:rPr>
        <w:t>日</w:t>
      </w:r>
    </w:p>
    <w:sectPr w:rsidR="009D532B">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D3" w:rsidRDefault="002B70D3" w:rsidP="00902454">
      <w:r>
        <w:separator/>
      </w:r>
    </w:p>
  </w:endnote>
  <w:endnote w:type="continuationSeparator" w:id="0">
    <w:p w:rsidR="002B70D3" w:rsidRDefault="002B70D3" w:rsidP="0090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D3" w:rsidRDefault="002B70D3" w:rsidP="00902454">
      <w:r>
        <w:separator/>
      </w:r>
    </w:p>
  </w:footnote>
  <w:footnote w:type="continuationSeparator" w:id="0">
    <w:p w:rsidR="002B70D3" w:rsidRDefault="002B70D3" w:rsidP="00902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hybridMultilevel"/>
    <w:tmpl w:val="0053208E"/>
    <w:lvl w:ilvl="0" w:tplc="FFFFFFFF">
      <w:start w:val="1"/>
      <w:numFmt w:val="decimal"/>
      <w:suff w:val="nothing"/>
      <w:lvlText w:val="（%1）"/>
      <w:lvlJc w:val="left"/>
      <w:rPr>
        <w:rFonts w:ascii="Times New Roman" w:eastAsia="宋体"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7E47852"/>
    <w:multiLevelType w:val="multilevel"/>
    <w:tmpl w:val="6076E5A4"/>
    <w:lvl w:ilvl="0">
      <w:start w:val="1"/>
      <w:numFmt w:val="decimal"/>
      <w:suff w:val="nothing"/>
      <w:lvlText w:val="%1、"/>
      <w:lvlJc w:val="left"/>
      <w:pPr>
        <w:ind w:left="48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777E3B"/>
    <w:multiLevelType w:val="multilevel"/>
    <w:tmpl w:val="C690F92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5917C3"/>
    <w:multiLevelType w:val="multilevel"/>
    <w:tmpl w:val="631EF14E"/>
    <w:lvl w:ilvl="0">
      <w:start w:val="1"/>
      <w:numFmt w:val="none"/>
      <w:pStyle w:val="a"/>
      <w:lvlText w:val="%1——"/>
      <w:lvlJc w:val="left"/>
      <w:pPr>
        <w:tabs>
          <w:tab w:val="num"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492B"/>
    <w:rsid w:val="00086D78"/>
    <w:rsid w:val="00096631"/>
    <w:rsid w:val="000C2D42"/>
    <w:rsid w:val="000D7E80"/>
    <w:rsid w:val="00100F6C"/>
    <w:rsid w:val="00100FA1"/>
    <w:rsid w:val="0010711D"/>
    <w:rsid w:val="001171FC"/>
    <w:rsid w:val="00122E25"/>
    <w:rsid w:val="00124E74"/>
    <w:rsid w:val="00147751"/>
    <w:rsid w:val="001552ED"/>
    <w:rsid w:val="00172D1B"/>
    <w:rsid w:val="00184316"/>
    <w:rsid w:val="001A1C3A"/>
    <w:rsid w:val="001A3971"/>
    <w:rsid w:val="001A7B8A"/>
    <w:rsid w:val="001C17B8"/>
    <w:rsid w:val="001E5452"/>
    <w:rsid w:val="001E59E1"/>
    <w:rsid w:val="001F643D"/>
    <w:rsid w:val="00200A33"/>
    <w:rsid w:val="002212B2"/>
    <w:rsid w:val="00223390"/>
    <w:rsid w:val="00227D9E"/>
    <w:rsid w:val="00233775"/>
    <w:rsid w:val="00237A71"/>
    <w:rsid w:val="00253FA1"/>
    <w:rsid w:val="00276C1B"/>
    <w:rsid w:val="0029410D"/>
    <w:rsid w:val="002A116B"/>
    <w:rsid w:val="002A16BD"/>
    <w:rsid w:val="002B70D3"/>
    <w:rsid w:val="002C7C84"/>
    <w:rsid w:val="002E34E6"/>
    <w:rsid w:val="002F3F4D"/>
    <w:rsid w:val="00301337"/>
    <w:rsid w:val="003073A8"/>
    <w:rsid w:val="00350E9D"/>
    <w:rsid w:val="00374298"/>
    <w:rsid w:val="003824F8"/>
    <w:rsid w:val="003C4C2B"/>
    <w:rsid w:val="003F6507"/>
    <w:rsid w:val="00400730"/>
    <w:rsid w:val="004357F5"/>
    <w:rsid w:val="00461A40"/>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333C6"/>
    <w:rsid w:val="00543CA9"/>
    <w:rsid w:val="00544CD0"/>
    <w:rsid w:val="00555D75"/>
    <w:rsid w:val="00560FA5"/>
    <w:rsid w:val="00566FEC"/>
    <w:rsid w:val="00576B39"/>
    <w:rsid w:val="00587745"/>
    <w:rsid w:val="005C7B43"/>
    <w:rsid w:val="00612447"/>
    <w:rsid w:val="006379F1"/>
    <w:rsid w:val="00647F5C"/>
    <w:rsid w:val="006770FA"/>
    <w:rsid w:val="006771DA"/>
    <w:rsid w:val="0068107B"/>
    <w:rsid w:val="00683BC8"/>
    <w:rsid w:val="00693278"/>
    <w:rsid w:val="00696DC6"/>
    <w:rsid w:val="006A2989"/>
    <w:rsid w:val="006A7619"/>
    <w:rsid w:val="006E1B00"/>
    <w:rsid w:val="00712175"/>
    <w:rsid w:val="007236F7"/>
    <w:rsid w:val="00780878"/>
    <w:rsid w:val="00793EA3"/>
    <w:rsid w:val="007A285E"/>
    <w:rsid w:val="007B647A"/>
    <w:rsid w:val="007B6BC0"/>
    <w:rsid w:val="007D143A"/>
    <w:rsid w:val="007D4ACF"/>
    <w:rsid w:val="007E71D6"/>
    <w:rsid w:val="007E765D"/>
    <w:rsid w:val="007F46FC"/>
    <w:rsid w:val="007F487B"/>
    <w:rsid w:val="007F784F"/>
    <w:rsid w:val="00802198"/>
    <w:rsid w:val="00820BE7"/>
    <w:rsid w:val="00831C13"/>
    <w:rsid w:val="008374F8"/>
    <w:rsid w:val="00850CF3"/>
    <w:rsid w:val="00855EF3"/>
    <w:rsid w:val="008639DD"/>
    <w:rsid w:val="00873DB6"/>
    <w:rsid w:val="00895E54"/>
    <w:rsid w:val="008F2746"/>
    <w:rsid w:val="00901136"/>
    <w:rsid w:val="00902454"/>
    <w:rsid w:val="00905D53"/>
    <w:rsid w:val="00921AEC"/>
    <w:rsid w:val="00925E06"/>
    <w:rsid w:val="009349E7"/>
    <w:rsid w:val="009411A8"/>
    <w:rsid w:val="009468CF"/>
    <w:rsid w:val="00954D9A"/>
    <w:rsid w:val="009603D3"/>
    <w:rsid w:val="00963FCF"/>
    <w:rsid w:val="00975BD6"/>
    <w:rsid w:val="0098444C"/>
    <w:rsid w:val="009D3675"/>
    <w:rsid w:val="009D498C"/>
    <w:rsid w:val="009D532B"/>
    <w:rsid w:val="009D796E"/>
    <w:rsid w:val="00A32DBC"/>
    <w:rsid w:val="00A3749C"/>
    <w:rsid w:val="00A76277"/>
    <w:rsid w:val="00A824EF"/>
    <w:rsid w:val="00A869F3"/>
    <w:rsid w:val="00A86B89"/>
    <w:rsid w:val="00B36263"/>
    <w:rsid w:val="00B379B8"/>
    <w:rsid w:val="00B5633A"/>
    <w:rsid w:val="00B779CD"/>
    <w:rsid w:val="00B77F39"/>
    <w:rsid w:val="00B82572"/>
    <w:rsid w:val="00B83264"/>
    <w:rsid w:val="00BA05BC"/>
    <w:rsid w:val="00BB60E1"/>
    <w:rsid w:val="00BE3B0F"/>
    <w:rsid w:val="00BF54BF"/>
    <w:rsid w:val="00C12B64"/>
    <w:rsid w:val="00C21702"/>
    <w:rsid w:val="00C21C0E"/>
    <w:rsid w:val="00C27EC1"/>
    <w:rsid w:val="00C312CC"/>
    <w:rsid w:val="00C3266C"/>
    <w:rsid w:val="00C336CE"/>
    <w:rsid w:val="00C352B8"/>
    <w:rsid w:val="00C3573B"/>
    <w:rsid w:val="00C44BF8"/>
    <w:rsid w:val="00C53848"/>
    <w:rsid w:val="00C71078"/>
    <w:rsid w:val="00C72DAC"/>
    <w:rsid w:val="00C76401"/>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345D3"/>
    <w:rsid w:val="00E46304"/>
    <w:rsid w:val="00E50746"/>
    <w:rsid w:val="00E650FA"/>
    <w:rsid w:val="00E7235B"/>
    <w:rsid w:val="00EA1735"/>
    <w:rsid w:val="00EC3FE9"/>
    <w:rsid w:val="00ED4E5B"/>
    <w:rsid w:val="00F30933"/>
    <w:rsid w:val="00F61EFF"/>
    <w:rsid w:val="00F7230A"/>
    <w:rsid w:val="00F724A6"/>
    <w:rsid w:val="00F829FC"/>
    <w:rsid w:val="00F92024"/>
    <w:rsid w:val="00FA1182"/>
    <w:rsid w:val="00FC34D9"/>
    <w:rsid w:val="00FE27EF"/>
    <w:rsid w:val="00FF28A7"/>
    <w:rsid w:val="00FF2BFC"/>
    <w:rsid w:val="077633E2"/>
    <w:rsid w:val="0D9633F1"/>
    <w:rsid w:val="0F913D0D"/>
    <w:rsid w:val="1BF34DB3"/>
    <w:rsid w:val="1D9236E6"/>
    <w:rsid w:val="1E8E65A3"/>
    <w:rsid w:val="208337BA"/>
    <w:rsid w:val="20A57BD4"/>
    <w:rsid w:val="233E073A"/>
    <w:rsid w:val="24101808"/>
    <w:rsid w:val="29177872"/>
    <w:rsid w:val="292F6A67"/>
    <w:rsid w:val="35E6686D"/>
    <w:rsid w:val="39096AFA"/>
    <w:rsid w:val="459A64D3"/>
    <w:rsid w:val="46EA14CF"/>
    <w:rsid w:val="4C070C02"/>
    <w:rsid w:val="4C324162"/>
    <w:rsid w:val="5200731B"/>
    <w:rsid w:val="525E7A5F"/>
    <w:rsid w:val="52833022"/>
    <w:rsid w:val="53334A48"/>
    <w:rsid w:val="53AF7E46"/>
    <w:rsid w:val="5AE40D1D"/>
    <w:rsid w:val="5CA72002"/>
    <w:rsid w:val="5F994A9B"/>
    <w:rsid w:val="68AE1786"/>
    <w:rsid w:val="68EA193E"/>
    <w:rsid w:val="6A6D6639"/>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semiHidden/>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2"/>
    <w:uiPriority w:val="99"/>
    <w:unhideWhenUsed/>
    <w:qFormat/>
    <w:rPr>
      <w:color w:val="0563C1" w:themeColor="hyperlink"/>
      <w:u w:val="single"/>
    </w:rPr>
  </w:style>
  <w:style w:type="character" w:customStyle="1" w:styleId="Char">
    <w:name w:val="日期 Char"/>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Char2">
    <w:name w:val="页眉 Char"/>
    <w:basedOn w:val="a2"/>
    <w:link w:val="a8"/>
    <w:uiPriority w:val="99"/>
    <w:qFormat/>
    <w:rPr>
      <w:sz w:val="18"/>
      <w:szCs w:val="18"/>
    </w:rPr>
  </w:style>
  <w:style w:type="character" w:customStyle="1" w:styleId="Char1">
    <w:name w:val="页脚 Char"/>
    <w:basedOn w:val="a2"/>
    <w:link w:val="a7"/>
    <w:uiPriority w:val="99"/>
    <w:qFormat/>
    <w:rPr>
      <w:sz w:val="18"/>
      <w:szCs w:val="18"/>
    </w:rPr>
  </w:style>
  <w:style w:type="character" w:customStyle="1" w:styleId="Char0">
    <w:name w:val="批注框文本 Char"/>
    <w:basedOn w:val="a2"/>
    <w:link w:val="a6"/>
    <w:uiPriority w:val="99"/>
    <w:semiHidden/>
    <w:qFormat/>
    <w:rPr>
      <w:sz w:val="18"/>
      <w:szCs w:val="18"/>
    </w:rPr>
  </w:style>
  <w:style w:type="paragraph" w:styleId="aa">
    <w:name w:val="List Paragraph"/>
    <w:basedOn w:val="a1"/>
    <w:uiPriority w:val="99"/>
    <w:unhideWhenUsed/>
    <w:rsid w:val="00C21702"/>
    <w:pPr>
      <w:ind w:firstLineChars="200" w:firstLine="420"/>
    </w:pPr>
  </w:style>
  <w:style w:type="paragraph" w:customStyle="1" w:styleId="ab">
    <w:name w:val="标准文件_段"/>
    <w:link w:val="Char3"/>
    <w:rsid w:val="00E46304"/>
    <w:pPr>
      <w:autoSpaceDE w:val="0"/>
      <w:autoSpaceDN w:val="0"/>
      <w:ind w:firstLineChars="200" w:firstLine="200"/>
      <w:jc w:val="both"/>
    </w:pPr>
    <w:rPr>
      <w:rFonts w:ascii="宋体" w:eastAsia="宋体" w:hAnsi="Times New Roman" w:cs="Times New Roman"/>
      <w:noProof/>
      <w:sz w:val="21"/>
    </w:rPr>
  </w:style>
  <w:style w:type="paragraph" w:customStyle="1" w:styleId="a">
    <w:name w:val="标准文件_一级项"/>
    <w:rsid w:val="00E46304"/>
    <w:pPr>
      <w:numPr>
        <w:numId w:val="3"/>
      </w:numPr>
    </w:pPr>
    <w:rPr>
      <w:rFonts w:ascii="宋体" w:eastAsia="宋体" w:hAnsi="Times New Roman" w:cs="Times New Roman"/>
      <w:sz w:val="21"/>
    </w:rPr>
  </w:style>
  <w:style w:type="paragraph" w:customStyle="1" w:styleId="a0">
    <w:name w:val="标准文件_三级项"/>
    <w:basedOn w:val="a1"/>
    <w:rsid w:val="00E46304"/>
    <w:pPr>
      <w:numPr>
        <w:ilvl w:val="2"/>
        <w:numId w:val="3"/>
      </w:numPr>
      <w:adjustRightInd w:val="0"/>
      <w:spacing w:line="-300" w:lineRule="auto"/>
    </w:pPr>
    <w:rPr>
      <w:rFonts w:ascii="Times New Roman" w:eastAsia="宋体" w:hAnsi="Times New Roman" w:cs="Times New Roman"/>
      <w:szCs w:val="21"/>
    </w:rPr>
  </w:style>
  <w:style w:type="character" w:customStyle="1" w:styleId="Char3">
    <w:name w:val="标准文件_段 Char"/>
    <w:link w:val="ab"/>
    <w:locked/>
    <w:rsid w:val="00E46304"/>
    <w:rPr>
      <w:rFonts w:ascii="宋体" w:eastAsia="宋体" w:hAnsi="Times New Roman" w:cs="Times New Roman"/>
      <w:noProof/>
      <w:sz w:val="21"/>
    </w:rPr>
  </w:style>
  <w:style w:type="paragraph" w:customStyle="1" w:styleId="2">
    <w:name w:val="标准文件_二级项2"/>
    <w:basedOn w:val="ab"/>
    <w:qFormat/>
    <w:rsid w:val="00E46304"/>
    <w:pPr>
      <w:numPr>
        <w:ilvl w:val="1"/>
        <w:numId w:val="3"/>
      </w:numPr>
      <w:tabs>
        <w:tab w:val="num" w:pos="1440"/>
      </w:tabs>
      <w:ind w:left="144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semiHidden/>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2"/>
    <w:uiPriority w:val="99"/>
    <w:unhideWhenUsed/>
    <w:qFormat/>
    <w:rPr>
      <w:color w:val="0563C1" w:themeColor="hyperlink"/>
      <w:u w:val="single"/>
    </w:rPr>
  </w:style>
  <w:style w:type="character" w:customStyle="1" w:styleId="Char">
    <w:name w:val="日期 Char"/>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Char2">
    <w:name w:val="页眉 Char"/>
    <w:basedOn w:val="a2"/>
    <w:link w:val="a8"/>
    <w:uiPriority w:val="99"/>
    <w:qFormat/>
    <w:rPr>
      <w:sz w:val="18"/>
      <w:szCs w:val="18"/>
    </w:rPr>
  </w:style>
  <w:style w:type="character" w:customStyle="1" w:styleId="Char1">
    <w:name w:val="页脚 Char"/>
    <w:basedOn w:val="a2"/>
    <w:link w:val="a7"/>
    <w:uiPriority w:val="99"/>
    <w:qFormat/>
    <w:rPr>
      <w:sz w:val="18"/>
      <w:szCs w:val="18"/>
    </w:rPr>
  </w:style>
  <w:style w:type="character" w:customStyle="1" w:styleId="Char0">
    <w:name w:val="批注框文本 Char"/>
    <w:basedOn w:val="a2"/>
    <w:link w:val="a6"/>
    <w:uiPriority w:val="99"/>
    <w:semiHidden/>
    <w:qFormat/>
    <w:rPr>
      <w:sz w:val="18"/>
      <w:szCs w:val="18"/>
    </w:rPr>
  </w:style>
  <w:style w:type="paragraph" w:styleId="aa">
    <w:name w:val="List Paragraph"/>
    <w:basedOn w:val="a1"/>
    <w:uiPriority w:val="99"/>
    <w:unhideWhenUsed/>
    <w:rsid w:val="00C21702"/>
    <w:pPr>
      <w:ind w:firstLineChars="200" w:firstLine="420"/>
    </w:pPr>
  </w:style>
  <w:style w:type="paragraph" w:customStyle="1" w:styleId="ab">
    <w:name w:val="标准文件_段"/>
    <w:link w:val="Char3"/>
    <w:rsid w:val="00E46304"/>
    <w:pPr>
      <w:autoSpaceDE w:val="0"/>
      <w:autoSpaceDN w:val="0"/>
      <w:ind w:firstLineChars="200" w:firstLine="200"/>
      <w:jc w:val="both"/>
    </w:pPr>
    <w:rPr>
      <w:rFonts w:ascii="宋体" w:eastAsia="宋体" w:hAnsi="Times New Roman" w:cs="Times New Roman"/>
      <w:noProof/>
      <w:sz w:val="21"/>
    </w:rPr>
  </w:style>
  <w:style w:type="paragraph" w:customStyle="1" w:styleId="a">
    <w:name w:val="标准文件_一级项"/>
    <w:rsid w:val="00E46304"/>
    <w:pPr>
      <w:numPr>
        <w:numId w:val="3"/>
      </w:numPr>
    </w:pPr>
    <w:rPr>
      <w:rFonts w:ascii="宋体" w:eastAsia="宋体" w:hAnsi="Times New Roman" w:cs="Times New Roman"/>
      <w:sz w:val="21"/>
    </w:rPr>
  </w:style>
  <w:style w:type="paragraph" w:customStyle="1" w:styleId="a0">
    <w:name w:val="标准文件_三级项"/>
    <w:basedOn w:val="a1"/>
    <w:rsid w:val="00E46304"/>
    <w:pPr>
      <w:numPr>
        <w:ilvl w:val="2"/>
        <w:numId w:val="3"/>
      </w:numPr>
      <w:adjustRightInd w:val="0"/>
      <w:spacing w:line="-300" w:lineRule="auto"/>
    </w:pPr>
    <w:rPr>
      <w:rFonts w:ascii="Times New Roman" w:eastAsia="宋体" w:hAnsi="Times New Roman" w:cs="Times New Roman"/>
      <w:szCs w:val="21"/>
    </w:rPr>
  </w:style>
  <w:style w:type="character" w:customStyle="1" w:styleId="Char3">
    <w:name w:val="标准文件_段 Char"/>
    <w:link w:val="ab"/>
    <w:locked/>
    <w:rsid w:val="00E46304"/>
    <w:rPr>
      <w:rFonts w:ascii="宋体" w:eastAsia="宋体" w:hAnsi="Times New Roman" w:cs="Times New Roman"/>
      <w:noProof/>
      <w:sz w:val="21"/>
    </w:rPr>
  </w:style>
  <w:style w:type="paragraph" w:customStyle="1" w:styleId="2">
    <w:name w:val="标准文件_二级项2"/>
    <w:basedOn w:val="ab"/>
    <w:qFormat/>
    <w:rsid w:val="00E46304"/>
    <w:pPr>
      <w:numPr>
        <w:ilvl w:val="1"/>
        <w:numId w:val="3"/>
      </w:numPr>
      <w:tabs>
        <w:tab w:val="num" w:pos="1440"/>
      </w:tabs>
      <w:ind w:left="144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458">
      <w:bodyDiv w:val="1"/>
      <w:marLeft w:val="0"/>
      <w:marRight w:val="0"/>
      <w:marTop w:val="0"/>
      <w:marBottom w:val="0"/>
      <w:divBdr>
        <w:top w:val="none" w:sz="0" w:space="0" w:color="auto"/>
        <w:left w:val="none" w:sz="0" w:space="0" w:color="auto"/>
        <w:bottom w:val="none" w:sz="0" w:space="0" w:color="auto"/>
        <w:right w:val="none" w:sz="0" w:space="0" w:color="auto"/>
      </w:divBdr>
    </w:div>
    <w:div w:id="243147328">
      <w:bodyDiv w:val="1"/>
      <w:marLeft w:val="0"/>
      <w:marRight w:val="0"/>
      <w:marTop w:val="0"/>
      <w:marBottom w:val="0"/>
      <w:divBdr>
        <w:top w:val="none" w:sz="0" w:space="0" w:color="auto"/>
        <w:left w:val="none" w:sz="0" w:space="0" w:color="auto"/>
        <w:bottom w:val="none" w:sz="0" w:space="0" w:color="auto"/>
        <w:right w:val="none" w:sz="0" w:space="0" w:color="auto"/>
      </w:divBdr>
    </w:div>
    <w:div w:id="294336741">
      <w:bodyDiv w:val="1"/>
      <w:marLeft w:val="0"/>
      <w:marRight w:val="0"/>
      <w:marTop w:val="0"/>
      <w:marBottom w:val="0"/>
      <w:divBdr>
        <w:top w:val="none" w:sz="0" w:space="0" w:color="auto"/>
        <w:left w:val="none" w:sz="0" w:space="0" w:color="auto"/>
        <w:bottom w:val="none" w:sz="0" w:space="0" w:color="auto"/>
        <w:right w:val="none" w:sz="0" w:space="0" w:color="auto"/>
      </w:divBdr>
    </w:div>
    <w:div w:id="303511903">
      <w:bodyDiv w:val="1"/>
      <w:marLeft w:val="0"/>
      <w:marRight w:val="0"/>
      <w:marTop w:val="0"/>
      <w:marBottom w:val="0"/>
      <w:divBdr>
        <w:top w:val="none" w:sz="0" w:space="0" w:color="auto"/>
        <w:left w:val="none" w:sz="0" w:space="0" w:color="auto"/>
        <w:bottom w:val="none" w:sz="0" w:space="0" w:color="auto"/>
        <w:right w:val="none" w:sz="0" w:space="0" w:color="auto"/>
      </w:divBdr>
    </w:div>
    <w:div w:id="1119177972">
      <w:bodyDiv w:val="1"/>
      <w:marLeft w:val="0"/>
      <w:marRight w:val="0"/>
      <w:marTop w:val="0"/>
      <w:marBottom w:val="0"/>
      <w:divBdr>
        <w:top w:val="none" w:sz="0" w:space="0" w:color="auto"/>
        <w:left w:val="none" w:sz="0" w:space="0" w:color="auto"/>
        <w:bottom w:val="none" w:sz="0" w:space="0" w:color="auto"/>
        <w:right w:val="none" w:sz="0" w:space="0" w:color="auto"/>
      </w:divBdr>
    </w:div>
    <w:div w:id="150046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E2928-F3DC-4C28-ADEE-8CF255B4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315</Words>
  <Characters>1799</Characters>
  <Application>Microsoft Office Word</Application>
  <DocSecurity>0</DocSecurity>
  <Lines>14</Lines>
  <Paragraphs>4</Paragraphs>
  <ScaleCrop>false</ScaleCrop>
  <Company>Windsoft</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鲍</cp:lastModifiedBy>
  <cp:revision>71</cp:revision>
  <cp:lastPrinted>2022-05-11T05:51:00Z</cp:lastPrinted>
  <dcterms:created xsi:type="dcterms:W3CDTF">2022-04-21T01:39:00Z</dcterms:created>
  <dcterms:modified xsi:type="dcterms:W3CDTF">2025-02-28T05:59:00Z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363D128E8E8C4C2EBD8506CCEEF208AF_12</vt:lpwstr>
  </property>
</Properties>
</file>