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3217A">
      <w:pPr>
        <w:pStyle w:val="198"/>
        <w:framePr/>
      </w:pPr>
      <w:r>
        <w:t>T/</w:t>
      </w:r>
      <w:r>
        <w:fldChar w:fldCharType="begin">
          <w:ffData>
            <w:name w:val="文字1"/>
            <w:enabled/>
            <w:calcOnExit w:val="0"/>
            <w:textInput>
              <w:default w:val="UNP"/>
            </w:textInput>
          </w:ffData>
        </w:fldChar>
      </w:r>
      <w:bookmarkStart w:id="0" w:name="文字1"/>
      <w:r>
        <w:instrText xml:space="preserve"> FORMTEXT </w:instrText>
      </w:r>
      <w:r>
        <w:fldChar w:fldCharType="separate"/>
      </w:r>
      <w:r>
        <w:t>UNP</w:t>
      </w:r>
      <w:r>
        <w:fldChar w:fldCharType="end"/>
      </w:r>
      <w:bookmarkEnd w:id="0"/>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252809CF">
      <w:pPr>
        <w:pStyle w:val="199"/>
        <w:framePr/>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tbl>
      <w:tblPr>
        <w:tblStyle w:val="29"/>
        <w:tblW w:w="9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3"/>
        <w:gridCol w:w="8855"/>
      </w:tblGrid>
      <w:tr w14:paraId="3768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Pr>
          <w:p w14:paraId="0C0CFE6E">
            <w:pPr>
              <w:pStyle w:val="19"/>
              <w:framePr w:wrap="notBeside" w:vAnchor="page" w:hAnchor="page" w:x="1372" w:y="568"/>
              <w:tabs>
                <w:tab w:val="clear" w:pos="4153"/>
                <w:tab w:val="clear" w:pos="8306"/>
              </w:tabs>
              <w:adjustRightInd w:val="0"/>
              <w:spacing w:line="280" w:lineRule="exact"/>
              <w:jc w:val="left"/>
              <w:rPr>
                <w:rFonts w:ascii="Times New Roman" w:hAnsi="Times New Roman" w:eastAsia="黑体"/>
                <w:sz w:val="21"/>
                <w:szCs w:val="21"/>
              </w:rPr>
            </w:pPr>
            <w:bookmarkStart w:id="4" w:name="OLE_LINK2"/>
            <w:r>
              <w:rPr>
                <w:rFonts w:ascii="Times New Roman" w:hAnsi="Times New Roman" w:eastAsia="黑体"/>
                <w:sz w:val="21"/>
                <w:szCs w:val="21"/>
              </w:rPr>
              <w:t>ICS</w:t>
            </w:r>
            <w:bookmarkEnd w:id="4"/>
          </w:p>
          <w:p w14:paraId="69896639">
            <w:pPr>
              <w:pStyle w:val="19"/>
              <w:framePr w:wrap="notBeside" w:vAnchor="page" w:hAnchor="page" w:x="1372" w:y="568"/>
              <w:tabs>
                <w:tab w:val="clear" w:pos="4153"/>
                <w:tab w:val="clear" w:pos="8306"/>
              </w:tabs>
              <w:adjustRightInd w:val="0"/>
              <w:spacing w:line="260" w:lineRule="exact"/>
              <w:jc w:val="left"/>
              <w:rPr>
                <w:rFonts w:hint="eastAsia" w:ascii="黑体" w:hAnsi="黑体" w:eastAsia="黑体"/>
                <w:sz w:val="21"/>
                <w:szCs w:val="21"/>
              </w:rPr>
            </w:pPr>
            <w:r>
              <w:rPr>
                <w:rFonts w:hint="eastAsia" w:ascii="Times New Roman" w:hAnsi="Times New Roman" w:eastAsia="黑体"/>
                <w:sz w:val="21"/>
                <w:szCs w:val="21"/>
              </w:rPr>
              <w:t>UNSPSC</w:t>
            </w:r>
            <w:r>
              <w:rPr>
                <w:rFonts w:ascii="黑体" w:hAnsi="黑体" w:eastAsia="黑体"/>
                <w:sz w:val="21"/>
                <w:szCs w:val="21"/>
              </w:rPr>
              <w:t xml:space="preserve">  </w:t>
            </w:r>
          </w:p>
        </w:tc>
        <w:tc>
          <w:tcPr>
            <w:tcW w:w="8855" w:type="dxa"/>
          </w:tcPr>
          <w:p w14:paraId="5723959D">
            <w:pPr>
              <w:pStyle w:val="19"/>
              <w:framePr w:wrap="notBeside" w:vAnchor="page" w:hAnchor="page" w:x="1372" w:y="568"/>
              <w:tabs>
                <w:tab w:val="clear" w:pos="4153"/>
                <w:tab w:val="clear" w:pos="8306"/>
              </w:tabs>
              <w:adjustRightInd w:val="0"/>
              <w:spacing w:line="240" w:lineRule="auto"/>
              <w:jc w:val="both"/>
              <w:rPr>
                <w:rFonts w:hint="eastAsia" w:ascii="黑体" w:hAnsi="黑体" w:eastAsia="黑体"/>
                <w:sz w:val="21"/>
                <w:szCs w:val="21"/>
              </w:rPr>
            </w:pPr>
            <w:r>
              <w:rPr>
                <w:rFonts w:hint="eastAsia" w:ascii="黑体" w:hAnsi="黑体" w:eastAsia="黑体"/>
                <w:sz w:val="21"/>
                <w:szCs w:val="21"/>
              </w:rPr>
              <w:t>33.180.01</w:t>
            </w:r>
          </w:p>
          <w:p w14:paraId="0B2F7A03">
            <w:pPr>
              <w:pStyle w:val="19"/>
              <w:framePr w:wrap="notBeside" w:vAnchor="page" w:hAnchor="page" w:x="1372" w:y="568"/>
              <w:tabs>
                <w:tab w:val="clear" w:pos="4153"/>
                <w:tab w:val="clear" w:pos="8306"/>
              </w:tabs>
              <w:adjustRightInd w:val="0"/>
              <w:spacing w:line="240" w:lineRule="auto"/>
              <w:jc w:val="both"/>
              <w:rPr>
                <w:rFonts w:hint="eastAsia" w:ascii="黑体" w:hAnsi="黑体" w:eastAsia="黑体"/>
                <w:sz w:val="21"/>
                <w:szCs w:val="21"/>
              </w:rPr>
            </w:pPr>
          </w:p>
        </w:tc>
      </w:tr>
      <w:tr w14:paraId="5AD9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Pr>
          <w:p w14:paraId="3C42773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36620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CE4DFAF">
                  <w:pPr>
                    <w:pStyle w:val="52"/>
                    <w:framePr w:wrap="notBeside" w:vAnchor="page" w:hAnchor="page" w:x="1372" w:y="568"/>
                    <w:ind w:left="420" w:right="624"/>
                    <w:rPr>
                      <w:rFonts w:hint="eastAsia" w:ascii="宋体" w:hAnsi="宋体"/>
                      <w:sz w:val="28"/>
                      <w:szCs w:val="28"/>
                    </w:rPr>
                  </w:pPr>
                  <w:r>
                    <w:drawing>
                      <wp:anchor distT="0" distB="0" distL="114300" distR="114300" simplePos="0" relativeHeight="251661312" behindDoc="0" locked="0" layoutInCell="1" allowOverlap="1">
                        <wp:simplePos x="0" y="0"/>
                        <wp:positionH relativeFrom="column">
                          <wp:posOffset>3663315</wp:posOffset>
                        </wp:positionH>
                        <wp:positionV relativeFrom="paragraph">
                          <wp:posOffset>-929640</wp:posOffset>
                        </wp:positionV>
                        <wp:extent cx="1115060" cy="1048385"/>
                        <wp:effectExtent l="0" t="0" r="8890" b="0"/>
                        <wp:wrapNone/>
                        <wp:docPr id="1783675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751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b="5967"/>
                                <a:stretch>
                                  <a:fillRect/>
                                </a:stretch>
                              </pic:blipFill>
                              <pic:spPr>
                                <a:xfrm>
                                  <a:off x="0" y="0"/>
                                  <a:ext cx="1115060" cy="1048385"/>
                                </a:xfrm>
                                <a:prstGeom prst="rect">
                                  <a:avLst/>
                                </a:prstGeom>
                                <a:noFill/>
                                <a:ln>
                                  <a:noFill/>
                                </a:ln>
                              </pic:spPr>
                            </pic:pic>
                          </a:graphicData>
                        </a:graphic>
                      </wp:anchor>
                    </w:drawing>
                  </w:r>
                  <w:r>
                    <w:rPr>
                      <w:sz w:val="21"/>
                      <w:szCs w:val="21"/>
                    </w:rPr>
                    <w:t xml:space="preserve"> </w:t>
                  </w:r>
                </w:p>
              </w:tc>
            </w:tr>
          </w:tbl>
          <w:p w14:paraId="1006403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M 30</w:t>
            </w:r>
          </w:p>
        </w:tc>
      </w:tr>
    </w:tbl>
    <w:p w14:paraId="747C07D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5463187">
      <w:pPr>
        <w:pStyle w:val="53"/>
        <w:framePr w:w="9639" w:h="6976" w:hRule="exact" w:hSpace="0" w:vSpace="0" w:wrap="around" w:hAnchor="page" w:y="6408"/>
        <w:jc w:val="center"/>
        <w:rPr>
          <w:rFonts w:hint="eastAsia" w:ascii="黑体" w:hAnsi="黑体" w:eastAsia="黑体"/>
          <w:b w:val="0"/>
          <w:bCs w:val="0"/>
          <w:w w:val="100"/>
        </w:rPr>
      </w:pPr>
    </w:p>
    <w:p w14:paraId="00E6E149">
      <w:pPr>
        <w:pStyle w:val="200"/>
        <w:framePr w:h="6974" w:hRule="exact" w:wrap="around" w:x="1419" w:anchorLock="1"/>
        <w:rPr>
          <w:rFonts w:hint="eastAsia"/>
        </w:rPr>
      </w:pPr>
      <w:r>
        <w:rPr>
          <w:rFonts w:hint="eastAsia"/>
        </w:rPr>
        <w:t>光通信系统安全技术规范</w:t>
      </w:r>
    </w:p>
    <w:p w14:paraId="345D6DCF">
      <w:pPr>
        <w:framePr w:w="9639" w:h="6974" w:hRule="exact" w:wrap="around" w:vAnchor="page" w:hAnchor="page" w:x="1419" w:y="6408" w:anchorLock="1"/>
        <w:ind w:left="-1418"/>
      </w:pPr>
    </w:p>
    <w:p w14:paraId="7F4A7231">
      <w:pPr>
        <w:pStyle w:val="128"/>
        <w:framePr w:w="9639" w:h="6974" w:hRule="exact" w:wrap="around" w:vAnchor="page" w:hAnchor="page" w:x="1419" w:y="6408" w:anchorLock="1"/>
        <w:textAlignment w:val="bottom"/>
        <w:rPr>
          <w:rFonts w:eastAsia="黑体"/>
          <w:szCs w:val="28"/>
        </w:rPr>
      </w:pPr>
      <w:r>
        <w:rPr>
          <w:rFonts w:hint="eastAsia" w:eastAsia="黑体"/>
          <w:szCs w:val="28"/>
        </w:rPr>
        <w:t>Safety technical specification for optical communication system</w:t>
      </w:r>
    </w:p>
    <w:p w14:paraId="660BBEE4">
      <w:pPr>
        <w:framePr w:w="9639" w:h="6974" w:hRule="exact" w:wrap="around" w:vAnchor="page" w:hAnchor="page" w:x="1419" w:y="6408" w:anchorLock="1"/>
        <w:spacing w:line="760" w:lineRule="exact"/>
        <w:ind w:left="-1418"/>
      </w:pPr>
    </w:p>
    <w:p w14:paraId="6BA72770">
      <w:pPr>
        <w:pStyle w:val="128"/>
        <w:framePr w:w="9639" w:h="6974" w:hRule="exact" w:wrap="around" w:vAnchor="page" w:hAnchor="page" w:x="1419" w:y="6408" w:anchorLock="1"/>
        <w:textAlignment w:val="bottom"/>
        <w:rPr>
          <w:rFonts w:eastAsia="黑体"/>
          <w:szCs w:val="28"/>
        </w:rPr>
      </w:pPr>
    </w:p>
    <w:p w14:paraId="06A0E223">
      <w:pPr>
        <w:pStyle w:val="128"/>
        <w:framePr w:w="9639" w:h="6974" w:hRule="exact" w:wrap="around" w:vAnchor="page" w:hAnchor="page" w:x="1419" w:y="6408" w:anchorLock="1"/>
        <w:spacing w:before="440" w:after="160"/>
        <w:textAlignment w:val="bottom"/>
        <w:rPr>
          <w:sz w:val="24"/>
          <w:szCs w:val="28"/>
        </w:rPr>
      </w:pPr>
      <w:bookmarkStart w:id="5" w:name="下拉1"/>
      <w:r>
        <w:rPr>
          <w:rFonts w:hint="eastAsia"/>
          <w:sz w:val="24"/>
          <w:szCs w:val="28"/>
        </w:rPr>
        <w:t>征求意见稿</w:t>
      </w:r>
      <w:bookmarkEnd w:id="5"/>
    </w:p>
    <w:p w14:paraId="6510024C">
      <w:pPr>
        <w:pStyle w:val="128"/>
        <w:framePr w:w="9639" w:h="6974" w:hRule="exact" w:wrap="around" w:vAnchor="page" w:hAnchor="page" w:x="1419" w:y="6408" w:anchorLock="1"/>
        <w:spacing w:before="180" w:line="240" w:lineRule="atLeast"/>
        <w:textAlignment w:val="bottom"/>
        <w:rPr>
          <w:sz w:val="21"/>
          <w:szCs w:val="28"/>
        </w:rPr>
      </w:pPr>
      <w:r>
        <w:rPr>
          <w:rFonts w:hint="eastAsia"/>
          <w:sz w:val="21"/>
          <w:szCs w:val="28"/>
        </w:rPr>
        <w:t>2025-2-XX</w:t>
      </w:r>
    </w:p>
    <w:p w14:paraId="3235168B">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14:paraId="39AEB2C8">
      <w:pPr>
        <w:pStyle w:val="196"/>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hint="eastAsia"/>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hint="eastAsia"/>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7E0D65CA">
      <w:pPr>
        <w:pStyle w:val="197"/>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hint="eastAsia"/>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hint="eastAsia"/>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6306ECFE">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default w:val="中国联合国采购促进会"/>
            </w:textInput>
          </w:ffData>
        </w:fldChar>
      </w:r>
      <w:bookmarkStart w:id="13" w:name="fm"/>
      <w:r>
        <w:rPr>
          <w:rFonts w:hAnsi="黑体"/>
          <w:w w:val="100"/>
          <w:sz w:val="28"/>
        </w:rPr>
        <w:instrText xml:space="preserve"> FORMTEXT </w:instrText>
      </w:r>
      <w:r>
        <w:rPr>
          <w:rFonts w:hAnsi="黑体"/>
          <w:w w:val="100"/>
          <w:sz w:val="28"/>
        </w:rPr>
        <w:fldChar w:fldCharType="separate"/>
      </w:r>
      <w:r>
        <w:rPr>
          <w:rFonts w:hAnsi="黑体"/>
          <w:w w:val="100"/>
          <w:sz w:val="28"/>
        </w:rPr>
        <w:t>中国联合国采购促进会</w:t>
      </w:r>
      <w:r>
        <w:rPr>
          <w:rFonts w:hAnsi="黑体"/>
          <w:w w:val="100"/>
          <w:sz w:val="28"/>
        </w:rPr>
        <w:fldChar w:fldCharType="end"/>
      </w:r>
      <w:bookmarkEnd w:id="13"/>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1BBEBACC">
      <w:pPr>
        <w:pStyle w:val="53"/>
        <w:framePr w:w="9639" w:h="979" w:hRule="exact" w:hSpace="181" w:vSpace="181" w:wrap="around" w:hAnchor="page" w:x="1305" w:y="2093"/>
        <w:rPr>
          <w:rFonts w:hint="eastAsia" w:ascii="黑体" w:hAnsi="黑体" w:eastAsia="黑体"/>
          <w:b w:val="0"/>
          <w:bCs w:val="0"/>
          <w:w w:val="100"/>
          <w:sz w:val="72"/>
          <w:szCs w:val="72"/>
        </w:rPr>
      </w:pPr>
      <w:bookmarkStart w:id="14" w:name="_Hlk26473981"/>
      <w:r>
        <w:rPr>
          <w:rFonts w:ascii="黑体" w:eastAsia="黑体"/>
          <w:b w:val="0"/>
          <w:w w:val="100"/>
          <w:sz w:val="72"/>
          <w:szCs w:val="72"/>
        </w:rPr>
        <w:fldChar w:fldCharType="begin">
          <w:ffData>
            <w:name w:val="c2"/>
            <w:enabled/>
            <w:calcOnExit w:val="0"/>
            <w:textInput>
              <w:default w:val="团体标准"/>
            </w:textInput>
          </w:ffData>
        </w:fldChar>
      </w:r>
      <w:bookmarkStart w:id="15" w:name="c2"/>
      <w:r>
        <w:rPr>
          <w:rFonts w:ascii="黑体" w:eastAsia="黑体"/>
          <w:b w:val="0"/>
          <w:w w:val="100"/>
          <w:sz w:val="72"/>
          <w:szCs w:val="72"/>
        </w:rPr>
        <w:instrText xml:space="preserve"> FORMTEXT </w:instrText>
      </w:r>
      <w:r>
        <w:rPr>
          <w:rFonts w:ascii="黑体" w:eastAsia="黑体"/>
          <w:b w:val="0"/>
          <w:w w:val="100"/>
          <w:sz w:val="72"/>
          <w:szCs w:val="72"/>
        </w:rPr>
        <w:fldChar w:fldCharType="separate"/>
      </w:r>
      <w:r>
        <w:rPr>
          <w:rFonts w:hint="eastAsia" w:ascii="黑体" w:eastAsia="黑体"/>
          <w:b w:val="0"/>
          <w:w w:val="100"/>
          <w:sz w:val="72"/>
          <w:szCs w:val="72"/>
        </w:rPr>
        <w:t>团体标准</w:t>
      </w:r>
      <w:r>
        <w:rPr>
          <w:rFonts w:ascii="黑体" w:eastAsia="黑体"/>
          <w:b w:val="0"/>
          <w:w w:val="100"/>
          <w:sz w:val="72"/>
          <w:szCs w:val="72"/>
        </w:rPr>
        <w:fldChar w:fldCharType="end"/>
      </w:r>
      <w:bookmarkEnd w:id="15"/>
    </w:p>
    <w:bookmarkEnd w:id="14"/>
    <w:p w14:paraId="7CCB401D">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3B58C77">
      <w:pPr>
        <w:pStyle w:val="94"/>
        <w:spacing w:after="360"/>
      </w:pPr>
      <w:bookmarkStart w:id="16" w:name="BookMark2"/>
      <w:r>
        <w:rPr>
          <w:rFonts w:hint="eastAsia"/>
          <w:spacing w:val="320"/>
        </w:rPr>
        <w:t>目</w:t>
      </w:r>
      <w:r>
        <w:rPr>
          <w:rFonts w:hint="eastAsia"/>
        </w:rPr>
        <w:t>次</w:t>
      </w:r>
    </w:p>
    <w:p w14:paraId="26DA9A35">
      <w:pPr>
        <w:pStyle w:val="20"/>
        <w:tabs>
          <w:tab w:val="right" w:leader="dot" w:pos="9354"/>
        </w:tabs>
        <w:rPr>
          <w:rFonts w:hint="eastAsia" w:hAnsi="宋体" w:cs="宋体"/>
        </w:rPr>
      </w:pPr>
      <w:r>
        <w:fldChar w:fldCharType="begin"/>
      </w:r>
      <w:r>
        <w:instrText xml:space="preserve"> </w:instrText>
      </w:r>
      <w:r>
        <w:rPr>
          <w:rFonts w:hint="eastAsia"/>
        </w:rPr>
        <w:instrText xml:space="preserve">TOC \o "1-1" \h</w:instrText>
      </w:r>
      <w:r>
        <w:instrText xml:space="preserve"> </w:instrText>
      </w:r>
      <w:r>
        <w:fldChar w:fldCharType="separate"/>
      </w:r>
      <w:r>
        <w:fldChar w:fldCharType="begin"/>
      </w:r>
      <w:r>
        <w:instrText xml:space="preserve"> HYPERLINK \l "_Toc12504" </w:instrText>
      </w:r>
      <w:r>
        <w:fldChar w:fldCharType="separate"/>
      </w:r>
      <w:r>
        <w:rPr>
          <w:rFonts w:hint="eastAsia" w:hAnsi="宋体" w:cs="宋体"/>
        </w:rPr>
        <w:t>前言</w:t>
      </w:r>
      <w:r>
        <w:rPr>
          <w:rFonts w:hint="eastAsia" w:hAnsi="宋体" w:cs="宋体"/>
        </w:rPr>
        <w:tab/>
      </w:r>
      <w:r>
        <w:rPr>
          <w:rFonts w:hint="eastAsia" w:hAnsi="宋体" w:cs="宋体"/>
        </w:rPr>
        <w:fldChar w:fldCharType="begin"/>
      </w:r>
      <w:r>
        <w:rPr>
          <w:rFonts w:hint="eastAsia" w:hAnsi="宋体" w:cs="宋体"/>
        </w:rPr>
        <w:instrText xml:space="preserve"> PAGEREF _Toc12504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14:paraId="2B5AA917">
      <w:pPr>
        <w:pStyle w:val="20"/>
        <w:tabs>
          <w:tab w:val="right" w:leader="dot" w:pos="9354"/>
        </w:tabs>
        <w:rPr>
          <w:rFonts w:hint="eastAsia" w:hAnsi="宋体" w:cs="宋体"/>
        </w:rPr>
      </w:pPr>
      <w:r>
        <w:fldChar w:fldCharType="begin"/>
      </w:r>
      <w:r>
        <w:instrText xml:space="preserve"> HYPERLINK \l "_Toc30492" </w:instrText>
      </w:r>
      <w:r>
        <w:fldChar w:fldCharType="separate"/>
      </w:r>
      <w:r>
        <w:rPr>
          <w:rFonts w:hint="eastAsia" w:hAnsi="宋体" w:cs="宋体"/>
        </w:rPr>
        <w:t>引言</w:t>
      </w:r>
      <w:r>
        <w:rPr>
          <w:rFonts w:hint="eastAsia" w:hAnsi="宋体" w:cs="宋体"/>
        </w:rPr>
        <w:tab/>
      </w:r>
      <w:r>
        <w:rPr>
          <w:rFonts w:hint="eastAsia" w:hAnsi="宋体" w:cs="宋体"/>
        </w:rPr>
        <w:fldChar w:fldCharType="begin"/>
      </w:r>
      <w:r>
        <w:rPr>
          <w:rFonts w:hint="eastAsia" w:hAnsi="宋体" w:cs="宋体"/>
        </w:rPr>
        <w:instrText xml:space="preserve"> PAGEREF _Toc30492 \h </w:instrText>
      </w:r>
      <w:r>
        <w:rPr>
          <w:rFonts w:hint="eastAsia" w:hAnsi="宋体" w:cs="宋体"/>
        </w:rPr>
        <w:fldChar w:fldCharType="separate"/>
      </w:r>
      <w:r>
        <w:rPr>
          <w:rFonts w:hint="eastAsia" w:hAnsi="宋体" w:cs="宋体"/>
        </w:rPr>
        <w:t>III</w:t>
      </w:r>
      <w:r>
        <w:rPr>
          <w:rFonts w:hint="eastAsia" w:hAnsi="宋体" w:cs="宋体"/>
        </w:rPr>
        <w:fldChar w:fldCharType="end"/>
      </w:r>
      <w:r>
        <w:rPr>
          <w:rFonts w:hint="eastAsia" w:hAnsi="宋体" w:cs="宋体"/>
        </w:rPr>
        <w:fldChar w:fldCharType="end"/>
      </w:r>
    </w:p>
    <w:p w14:paraId="501595EC">
      <w:pPr>
        <w:pStyle w:val="20"/>
        <w:tabs>
          <w:tab w:val="right" w:leader="dot" w:pos="9354"/>
        </w:tabs>
        <w:rPr>
          <w:rFonts w:hint="eastAsia" w:hAnsi="宋体" w:cs="宋体"/>
        </w:rPr>
      </w:pPr>
      <w:r>
        <w:fldChar w:fldCharType="begin"/>
      </w:r>
      <w:r>
        <w:instrText xml:space="preserve"> HYPERLINK \l "_Toc24744"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_Toc24744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67254BE9">
      <w:pPr>
        <w:pStyle w:val="20"/>
        <w:tabs>
          <w:tab w:val="right" w:leader="dot" w:pos="9354"/>
        </w:tabs>
        <w:rPr>
          <w:rFonts w:hint="eastAsia" w:hAnsi="宋体" w:cs="宋体"/>
        </w:rPr>
      </w:pPr>
      <w:r>
        <w:fldChar w:fldCharType="begin"/>
      </w:r>
      <w:r>
        <w:instrText xml:space="preserve"> HYPERLINK \l "_Toc18862"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_Toc18862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1CDE06EF">
      <w:pPr>
        <w:pStyle w:val="20"/>
        <w:tabs>
          <w:tab w:val="right" w:leader="dot" w:pos="9354"/>
        </w:tabs>
        <w:rPr>
          <w:rFonts w:hint="eastAsia" w:hAnsi="宋体" w:cs="宋体"/>
        </w:rPr>
      </w:pPr>
      <w:r>
        <w:fldChar w:fldCharType="begin"/>
      </w:r>
      <w:r>
        <w:instrText xml:space="preserve"> HYPERLINK \l "_Toc19852" </w:instrText>
      </w:r>
      <w:r>
        <w:fldChar w:fldCharType="separate"/>
      </w:r>
      <w:r>
        <w:rPr>
          <w:rFonts w:hint="eastAsia" w:hAnsi="宋体" w:cs="宋体"/>
        </w:rPr>
        <w:t>3 术语和定义</w:t>
      </w:r>
      <w:r>
        <w:rPr>
          <w:rFonts w:hint="eastAsia" w:hAnsi="宋体" w:cs="宋体"/>
        </w:rPr>
        <w:tab/>
      </w:r>
      <w:r>
        <w:rPr>
          <w:rFonts w:hint="eastAsia" w:hAnsi="宋体" w:cs="宋体"/>
        </w:rPr>
        <w:fldChar w:fldCharType="begin"/>
      </w:r>
      <w:r>
        <w:rPr>
          <w:rFonts w:hint="eastAsia" w:hAnsi="宋体" w:cs="宋体"/>
        </w:rPr>
        <w:instrText xml:space="preserve"> PAGEREF _Toc19852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0CBCB7C6">
      <w:pPr>
        <w:pStyle w:val="20"/>
        <w:tabs>
          <w:tab w:val="right" w:leader="dot" w:pos="9354"/>
        </w:tabs>
        <w:rPr>
          <w:rFonts w:hint="eastAsia" w:hAnsi="宋体" w:cs="宋体"/>
        </w:rPr>
      </w:pPr>
      <w:r>
        <w:fldChar w:fldCharType="begin"/>
      </w:r>
      <w:r>
        <w:instrText xml:space="preserve"> HYPERLINK \l "_Toc13655" </w:instrText>
      </w:r>
      <w:r>
        <w:fldChar w:fldCharType="separate"/>
      </w:r>
      <w:r>
        <w:rPr>
          <w:rFonts w:hint="eastAsia" w:hAnsi="宋体" w:cs="宋体"/>
        </w:rPr>
        <w:t>4 安全技术要求</w:t>
      </w:r>
      <w:r>
        <w:rPr>
          <w:rFonts w:hint="eastAsia" w:hAnsi="宋体" w:cs="宋体"/>
        </w:rPr>
        <w:tab/>
      </w:r>
      <w:r>
        <w:rPr>
          <w:rFonts w:hint="eastAsia" w:hAnsi="宋体" w:cs="宋体"/>
        </w:rPr>
        <w:fldChar w:fldCharType="begin"/>
      </w:r>
      <w:r>
        <w:rPr>
          <w:rFonts w:hint="eastAsia" w:hAnsi="宋体" w:cs="宋体"/>
        </w:rPr>
        <w:instrText xml:space="preserve"> PAGEREF _Toc13655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3EE2DC34">
      <w:pPr>
        <w:pStyle w:val="20"/>
        <w:tabs>
          <w:tab w:val="right" w:leader="dot" w:pos="9354"/>
        </w:tabs>
        <w:rPr>
          <w:rFonts w:hint="eastAsia" w:hAnsi="宋体" w:cs="宋体"/>
        </w:rPr>
      </w:pPr>
      <w:r>
        <w:fldChar w:fldCharType="begin"/>
      </w:r>
      <w:r>
        <w:instrText xml:space="preserve"> HYPERLINK \l "_Toc21302" </w:instrText>
      </w:r>
      <w:r>
        <w:fldChar w:fldCharType="separate"/>
      </w:r>
      <w:r>
        <w:rPr>
          <w:rFonts w:hint="eastAsia" w:hAnsi="宋体" w:cs="宋体"/>
        </w:rPr>
        <w:t>5 安全管理要求</w:t>
      </w:r>
      <w:r>
        <w:rPr>
          <w:rFonts w:hint="eastAsia" w:hAnsi="宋体" w:cs="宋体"/>
        </w:rPr>
        <w:tab/>
      </w:r>
      <w:r>
        <w:rPr>
          <w:rFonts w:hint="eastAsia" w:hAnsi="宋体" w:cs="宋体"/>
        </w:rPr>
        <w:fldChar w:fldCharType="begin"/>
      </w:r>
      <w:r>
        <w:rPr>
          <w:rFonts w:hint="eastAsia" w:hAnsi="宋体" w:cs="宋体"/>
        </w:rPr>
        <w:instrText xml:space="preserve"> PAGEREF _Toc21302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2026965A">
      <w:pPr>
        <w:pStyle w:val="20"/>
        <w:tabs>
          <w:tab w:val="right" w:leader="dot" w:pos="9354"/>
        </w:tabs>
      </w:pPr>
      <w:r>
        <w:fldChar w:fldCharType="begin"/>
      </w:r>
      <w:r>
        <w:instrText xml:space="preserve"> HYPERLINK \l "_Toc11142" </w:instrText>
      </w:r>
      <w:r>
        <w:fldChar w:fldCharType="separate"/>
      </w:r>
      <w:r>
        <w:rPr>
          <w:rFonts w:hint="eastAsia" w:hAnsi="宋体" w:cs="宋体"/>
        </w:rPr>
        <w:t>6 安全检测与评估</w:t>
      </w:r>
      <w:r>
        <w:rPr>
          <w:rFonts w:hint="eastAsia" w:hAnsi="宋体" w:cs="宋体"/>
        </w:rPr>
        <w:tab/>
      </w:r>
      <w:r>
        <w:rPr>
          <w:rFonts w:hint="eastAsia" w:hAnsi="宋体" w:cs="宋体"/>
        </w:rPr>
        <w:fldChar w:fldCharType="begin"/>
      </w:r>
      <w:r>
        <w:rPr>
          <w:rFonts w:hint="eastAsia" w:hAnsi="宋体" w:cs="宋体"/>
        </w:rPr>
        <w:instrText xml:space="preserve"> PAGEREF _Toc11142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0362BDE9">
      <w:pPr>
        <w:pStyle w:val="92"/>
        <w:numPr>
          <w:ilvl w:val="0"/>
          <w:numId w:val="0"/>
        </w:numPr>
        <w:spacing w:after="360"/>
        <w:jc w:val="both"/>
      </w:pPr>
      <w:r>
        <w:fldChar w:fldCharType="end"/>
      </w:r>
    </w:p>
    <w:p w14:paraId="6AB7820F">
      <w:pPr>
        <w:pStyle w:val="92"/>
        <w:spacing w:after="360"/>
        <w:ind w:left="0" w:firstLine="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p>
    <w:p w14:paraId="1D7CA676">
      <w:pPr>
        <w:pStyle w:val="92"/>
        <w:spacing w:after="360"/>
        <w:ind w:left="0" w:firstLine="0"/>
      </w:pPr>
      <w:bookmarkStart w:id="17" w:name="_Toc12504"/>
      <w:r>
        <w:rPr>
          <w:spacing w:val="320"/>
        </w:rPr>
        <w:t>前</w:t>
      </w:r>
      <w:r>
        <w:t>言</w:t>
      </w:r>
      <w:bookmarkEnd w:id="17"/>
    </w:p>
    <w:p w14:paraId="520ACD1D">
      <w:pPr>
        <w:pStyle w:val="59"/>
        <w:ind w:firstLine="420"/>
      </w:pPr>
      <w:r>
        <w:rPr>
          <w:rFonts w:hint="eastAsia"/>
        </w:rPr>
        <w:t>本文件按照GB/T 1.1—2020《标准化工作导则  第1部分：标准化文件的结构和起草规则》的规定起草。</w:t>
      </w:r>
    </w:p>
    <w:p w14:paraId="036BBFFC">
      <w:pPr>
        <w:pStyle w:val="59"/>
        <w:ind w:firstLine="420"/>
      </w:pPr>
      <w:r>
        <w:rPr>
          <w:rFonts w:hint="eastAsia"/>
        </w:rPr>
        <w:t>请注意本文件的某些内容可能涉及专利。本文件的发布机构不承担识别专利的责任。</w:t>
      </w:r>
    </w:p>
    <w:p w14:paraId="57B0CFFB">
      <w:pPr>
        <w:pStyle w:val="59"/>
        <w:ind w:firstLine="420"/>
      </w:pPr>
      <w:r>
        <w:rPr>
          <w:rFonts w:hint="eastAsia"/>
        </w:rPr>
        <w:t>本文件由××××提出。</w:t>
      </w:r>
    </w:p>
    <w:p w14:paraId="3527BB2F">
      <w:pPr>
        <w:pStyle w:val="59"/>
        <w:ind w:firstLine="420"/>
      </w:pPr>
      <w:r>
        <w:rPr>
          <w:rFonts w:hint="eastAsia"/>
        </w:rPr>
        <w:t>本文件由××××归口。</w:t>
      </w:r>
    </w:p>
    <w:p w14:paraId="5044BC3C">
      <w:pPr>
        <w:pStyle w:val="59"/>
        <w:ind w:firstLine="420"/>
      </w:pPr>
      <w:r>
        <w:rPr>
          <w:rFonts w:hint="eastAsia"/>
        </w:rPr>
        <w:t>本文件起草单位：深圳市嘉万光通信有限公司、</w:t>
      </w:r>
    </w:p>
    <w:p w14:paraId="77F6328B">
      <w:pPr>
        <w:pStyle w:val="59"/>
        <w:ind w:firstLine="420"/>
      </w:pPr>
      <w:r>
        <w:rPr>
          <w:rFonts w:hint="eastAsia"/>
        </w:rPr>
        <w:t>本文件主要起草人：</w:t>
      </w:r>
    </w:p>
    <w:p w14:paraId="3AFDFC27">
      <w:pPr>
        <w:pStyle w:val="59"/>
        <w:ind w:firstLine="420"/>
      </w:pPr>
    </w:p>
    <w:p w14:paraId="454D9F71">
      <w:pPr>
        <w:pStyle w:val="59"/>
        <w:ind w:firstLine="420"/>
        <w:sectPr>
          <w:footerReference r:id="rId13" w:type="default"/>
          <w:pgSz w:w="11906" w:h="16838"/>
          <w:pgMar w:top="1928" w:right="1134" w:bottom="1134" w:left="1134" w:header="1418" w:footer="1134" w:gutter="284"/>
          <w:pgNumType w:fmt="upperRoman" w:start="2"/>
          <w:cols w:space="425" w:num="1"/>
          <w:formProt w:val="0"/>
          <w:docGrid w:linePitch="312" w:charSpace="0"/>
        </w:sectPr>
      </w:pPr>
    </w:p>
    <w:bookmarkEnd w:id="16"/>
    <w:p w14:paraId="0D817E02">
      <w:pPr>
        <w:pStyle w:val="92"/>
        <w:spacing w:after="360"/>
        <w:ind w:left="0" w:firstLine="0"/>
      </w:pPr>
      <w:bookmarkStart w:id="18" w:name="_Toc30492"/>
      <w:bookmarkStart w:id="19" w:name="BookMark3"/>
      <w:r>
        <w:rPr>
          <w:rFonts w:hint="eastAsia"/>
          <w:spacing w:val="320"/>
        </w:rPr>
        <w:t>引</w:t>
      </w:r>
      <w:r>
        <w:rPr>
          <w:rFonts w:hint="eastAsia"/>
        </w:rPr>
        <w:t>言</w:t>
      </w:r>
      <w:bookmarkEnd w:id="18"/>
    </w:p>
    <w:p w14:paraId="3BCBD018">
      <w:pPr>
        <w:pStyle w:val="59"/>
        <w:ind w:firstLine="420"/>
      </w:pPr>
      <w:r>
        <w:rPr>
          <w:rFonts w:hint="eastAsia"/>
        </w:rPr>
        <w:t>为助力中国企业参与国际贸易，推动企业高质量发展，中国联合国采购促进会依托联合国采购体系，制定服务于国际贸易的系列标准，这些标准在国际贸易过程中发挥了越来越重要的作用，对促进贸易效率提升，减少交易成本和不确定性，确保产品质量与安全，增强消费者信心具有重要的意义。</w:t>
      </w:r>
    </w:p>
    <w:p w14:paraId="14FAF97F">
      <w:pPr>
        <w:pStyle w:val="59"/>
        <w:ind w:firstLine="420"/>
      </w:pPr>
      <w:r>
        <w:rPr>
          <w:rFonts w:hint="eastAsia"/>
        </w:rPr>
        <w:t>联合国标准产品与服务分类代码（UNSPSC，United Nations Standard Products and Services Code）是联合国制定的标准，用于高效、准确地对产品和服务进行分类。在全球国际化采购中发挥着至关重要的作用，它为采购商和供应商提供了一个共同的语言和平台，促进了全球贸易的高效、有序发展。</w:t>
      </w:r>
    </w:p>
    <w:p w14:paraId="7B422944">
      <w:pPr>
        <w:pStyle w:val="59"/>
        <w:ind w:firstLine="420"/>
      </w:pPr>
      <w:r>
        <w:rPr>
          <w:rFonts w:hint="eastAsia"/>
        </w:rPr>
        <w:t>围绕UNSPSC进行相关产品、技术和服务团体标准的制定，对助力企业融入国际采购，提升国际竞争力具有十分重要的作用和意义。</w:t>
      </w:r>
    </w:p>
    <w:p w14:paraId="34361562">
      <w:pPr>
        <w:pStyle w:val="59"/>
        <w:ind w:firstLine="420"/>
      </w:pPr>
      <w:r>
        <w:rPr>
          <w:rFonts w:hint="eastAsia"/>
        </w:rPr>
        <w:t>本文件采用UNSPSC分类代码由6位组成，对应原分类中的大类、中类和小类并用小数点分割。</w:t>
      </w:r>
    </w:p>
    <w:p w14:paraId="19DF17DC">
      <w:pPr>
        <w:pStyle w:val="59"/>
        <w:ind w:firstLine="420"/>
      </w:pPr>
      <w:r>
        <w:rPr>
          <w:rFonts w:hint="eastAsia"/>
          <w:highlight w:val="yellow"/>
        </w:rPr>
        <w:t>本文件UNSPSC代码为“43.21.21”，由3段组成。其中：第1段为大类，“43”表示“信息技术广播和电信”，第2段为中类，“21”表示“计算机设备及配件”，第3段为小类，“21”表示“计算机打印机”。</w:t>
      </w:r>
      <w:r>
        <w:rPr>
          <w:rFonts w:hint="eastAsia"/>
          <w:color w:val="000000" w:themeColor="text1"/>
          <w:highlight w:val="green"/>
          <w14:textFill>
            <w14:solidFill>
              <w14:schemeClr w14:val="tx1"/>
            </w14:solidFill>
          </w14:textFill>
        </w:rPr>
        <w:t>（这个地方大家根据自己的修改）</w:t>
      </w:r>
    </w:p>
    <w:p w14:paraId="1EA322CC">
      <w:pPr>
        <w:pStyle w:val="59"/>
        <w:ind w:firstLine="420"/>
      </w:pPr>
    </w:p>
    <w:p w14:paraId="34158679">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19"/>
    <w:p w14:paraId="45E6A585">
      <w:pPr>
        <w:spacing w:line="20" w:lineRule="exact"/>
        <w:jc w:val="center"/>
        <w:rPr>
          <w:rFonts w:hint="eastAsia" w:ascii="黑体" w:hAnsi="黑体" w:eastAsia="黑体"/>
          <w:sz w:val="32"/>
          <w:szCs w:val="32"/>
        </w:rPr>
      </w:pPr>
      <w:bookmarkStart w:id="20" w:name="BookMark4"/>
    </w:p>
    <w:p w14:paraId="3C68C871">
      <w:pPr>
        <w:spacing w:line="20" w:lineRule="exact"/>
        <w:jc w:val="center"/>
        <w:rPr>
          <w:rFonts w:hint="eastAsia" w:ascii="黑体" w:hAnsi="黑体" w:eastAsia="黑体"/>
          <w:sz w:val="32"/>
          <w:szCs w:val="32"/>
        </w:rPr>
      </w:pPr>
    </w:p>
    <w:sdt>
      <w:sdtPr>
        <w:tag w:val="NEW_STAND_NAME"/>
        <w:id w:val="595910757"/>
        <w:lock w:val="sdtLocked"/>
        <w:placeholder>
          <w:docPart w:val="016E3787E326452FA34F4318F9DD355F"/>
        </w:placeholder>
      </w:sdtPr>
      <w:sdtContent>
        <w:p w14:paraId="1ADE6AD3">
          <w:pPr>
            <w:pStyle w:val="180"/>
            <w:rPr>
              <w:rFonts w:hint="eastAsia"/>
            </w:rPr>
          </w:pPr>
          <w:bookmarkStart w:id="21" w:name="NEW_STAND_NAME"/>
          <w:r>
            <w:rPr>
              <w:rFonts w:hint="eastAsia"/>
            </w:rPr>
            <w:t>光通信系统安全技术规范</w:t>
          </w:r>
        </w:p>
      </w:sdtContent>
    </w:sdt>
    <w:bookmarkEnd w:id="21"/>
    <w:p w14:paraId="61B4D6F9">
      <w:pPr>
        <w:pStyle w:val="107"/>
        <w:spacing w:before="240" w:after="240"/>
      </w:pPr>
      <w:bookmarkStart w:id="22" w:name="_Toc24884218"/>
      <w:bookmarkStart w:id="23" w:name="_Toc24884211"/>
      <w:bookmarkStart w:id="24" w:name="_Toc26986771"/>
      <w:bookmarkStart w:id="25" w:name="_Toc17233333"/>
      <w:bookmarkStart w:id="26" w:name="_Toc97192964"/>
      <w:bookmarkStart w:id="27" w:name="_Toc24744"/>
      <w:bookmarkStart w:id="28" w:name="_Toc26986530"/>
      <w:bookmarkStart w:id="29" w:name="_Toc26718930"/>
      <w:bookmarkStart w:id="30" w:name="_Toc17233325"/>
      <w:bookmarkStart w:id="31" w:name="_Toc26648465"/>
      <w:r>
        <w:rPr>
          <w:rFonts w:hint="eastAsia"/>
        </w:rPr>
        <w:t>范围</w:t>
      </w:r>
      <w:bookmarkEnd w:id="22"/>
      <w:bookmarkEnd w:id="23"/>
      <w:bookmarkEnd w:id="24"/>
      <w:bookmarkEnd w:id="25"/>
      <w:bookmarkEnd w:id="26"/>
      <w:bookmarkEnd w:id="27"/>
      <w:bookmarkEnd w:id="28"/>
      <w:bookmarkEnd w:id="29"/>
      <w:bookmarkEnd w:id="30"/>
      <w:bookmarkEnd w:id="31"/>
    </w:p>
    <w:p w14:paraId="71A802BE">
      <w:pPr>
        <w:pStyle w:val="59"/>
        <w:ind w:firstLine="420"/>
        <w:rPr>
          <w:highlight w:val="yellow"/>
        </w:rPr>
      </w:pPr>
      <w:r>
        <w:rPr>
          <w:rFonts w:hint="eastAsia"/>
        </w:rPr>
        <w:t>本文件规定了光通信系统安全技术规范、安全技术要求、安全管理要求、安全检测与评估。</w:t>
      </w:r>
    </w:p>
    <w:p w14:paraId="557E2FA1">
      <w:pPr>
        <w:pStyle w:val="59"/>
        <w:ind w:firstLine="420"/>
      </w:pPr>
      <w:r>
        <w:rPr>
          <w:rFonts w:hint="eastAsia"/>
        </w:rPr>
        <w:t>本文件适用于光通信系统的设计、建设、运维和管理。</w:t>
      </w:r>
    </w:p>
    <w:p w14:paraId="64F61006">
      <w:pPr>
        <w:pStyle w:val="107"/>
        <w:spacing w:before="240" w:after="240"/>
      </w:pPr>
      <w:bookmarkStart w:id="32" w:name="_Toc14927"/>
      <w:bookmarkStart w:id="33" w:name="_Toc18862"/>
      <w:r>
        <w:rPr>
          <w:rFonts w:hint="eastAsia"/>
        </w:rPr>
        <w:t>规范性引用文件</w:t>
      </w:r>
      <w:bookmarkEnd w:id="32"/>
      <w:bookmarkEnd w:id="33"/>
    </w:p>
    <w:p w14:paraId="4ED19C88">
      <w:pPr>
        <w:pStyle w:val="233"/>
        <w:ind w:firstLine="420"/>
      </w:pPr>
      <w:sdt>
        <w:sdtPr>
          <w:rPr>
            <w:rFonts w:hint="eastAsia"/>
          </w:rPr>
          <w:alias w:val="规范性引用文件文字描述选择"/>
          <w:tag w:val="规范性引用文件文字描述选择"/>
          <w:id w:val="147451836"/>
          <w:placeholder>
            <w:docPart w:val="{7a567e32-ec65-4d1f-9184-f849ba27729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5A6EEBE4">
      <w:pPr>
        <w:pStyle w:val="59"/>
        <w:ind w:firstLine="420"/>
      </w:pPr>
      <w:r>
        <w:t>GB/T 2887</w:t>
      </w:r>
      <w:r>
        <w:rPr>
          <w:rFonts w:hint="eastAsia"/>
        </w:rPr>
        <w:t xml:space="preserve">  计算机场地通用规范</w:t>
      </w:r>
    </w:p>
    <w:p w14:paraId="6C5C658A">
      <w:pPr>
        <w:pStyle w:val="59"/>
        <w:ind w:firstLine="420"/>
      </w:pPr>
      <w:r>
        <w:rPr>
          <w:rFonts w:hint="eastAsia"/>
        </w:rPr>
        <w:t>GB/T 22239  信息安全技术 网络安全等级保护基本要求</w:t>
      </w:r>
    </w:p>
    <w:p w14:paraId="2FB04590">
      <w:pPr>
        <w:pStyle w:val="59"/>
        <w:ind w:firstLine="420"/>
      </w:pPr>
      <w:r>
        <w:rPr>
          <w:rFonts w:hint="eastAsia"/>
        </w:rPr>
        <w:t>GB/T 25069  信息安全技术 术语</w:t>
      </w:r>
    </w:p>
    <w:p w14:paraId="1869647B">
      <w:pPr>
        <w:pStyle w:val="59"/>
        <w:ind w:firstLine="420"/>
        <w:rPr>
          <w:highlight w:val="yellow"/>
        </w:rPr>
      </w:pPr>
      <w:r>
        <w:t>GB 50174</w:t>
      </w:r>
      <w:r>
        <w:rPr>
          <w:rFonts w:hint="eastAsia"/>
        </w:rPr>
        <w:t xml:space="preserve">  数据中心设计规范</w:t>
      </w:r>
    </w:p>
    <w:p w14:paraId="1E407AE2">
      <w:pPr>
        <w:pStyle w:val="59"/>
        <w:ind w:firstLine="420"/>
      </w:pPr>
      <w:r>
        <w:rPr>
          <w:rFonts w:hint="eastAsia"/>
        </w:rPr>
        <w:t>GB 50689  通信局（站）防雷与接地工程设计规范</w:t>
      </w:r>
    </w:p>
    <w:p w14:paraId="2AB6EC6C">
      <w:pPr>
        <w:pStyle w:val="107"/>
        <w:spacing w:before="240" w:after="240"/>
      </w:pPr>
      <w:bookmarkStart w:id="34" w:name="_Toc21526"/>
      <w:bookmarkStart w:id="35" w:name="_Toc19852"/>
      <w:r>
        <w:rPr>
          <w:rFonts w:hint="eastAsia"/>
        </w:rPr>
        <w:t>术语和定义</w:t>
      </w:r>
      <w:bookmarkEnd w:id="34"/>
      <w:bookmarkEnd w:id="35"/>
    </w:p>
    <w:sdt>
      <w:sdtPr>
        <w:alias w:val="术语和定义文字描述选择"/>
        <w:tag w:val="术语和定义文字描述选择"/>
        <w:id w:val="147468611"/>
        <w:placeholder>
          <w:docPart w:val="{7a567e32-ec65-4d1f-9184-f849ba277298}"/>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698A72D">
          <w:pPr>
            <w:pStyle w:val="233"/>
            <w:ind w:firstLine="420"/>
          </w:pPr>
          <w:r>
            <w:rPr>
              <w:rFonts w:hint="eastAsia"/>
            </w:rPr>
            <w:t>GB/T 25069</w:t>
          </w:r>
          <w:r>
            <w:t>界定的以及下列术语和定义适用于本文件。</w:t>
          </w:r>
        </w:p>
      </w:sdtContent>
    </w:sdt>
    <w:p w14:paraId="69524F2C">
      <w:pPr>
        <w:pStyle w:val="226"/>
        <w:ind w:left="420" w:hanging="420" w:hangingChars="200"/>
        <w:rPr>
          <w:rFonts w:hint="eastAsia" w:ascii="黑体" w:hAnsi="黑体" w:eastAsia="黑体"/>
        </w:rPr>
      </w:pPr>
    </w:p>
    <w:p w14:paraId="15B4456C">
      <w:pPr>
        <w:pStyle w:val="59"/>
        <w:ind w:firstLine="420"/>
        <w:rPr>
          <w:rFonts w:hint="eastAsia" w:ascii="黑体" w:hAnsi="黑体" w:eastAsia="黑体"/>
        </w:rPr>
      </w:pPr>
      <w:r>
        <w:rPr>
          <w:rFonts w:ascii="黑体" w:hAnsi="黑体" w:eastAsia="黑体"/>
        </w:rPr>
        <w:t>光通信系统</w:t>
      </w:r>
      <w:r>
        <w:rPr>
          <w:rFonts w:hint="eastAsia" w:ascii="黑体" w:hAnsi="黑体" w:eastAsia="黑体"/>
        </w:rPr>
        <w:t xml:space="preserve"> </w:t>
      </w:r>
      <w:r>
        <w:rPr>
          <w:rFonts w:ascii="黑体" w:hAnsi="黑体" w:eastAsia="黑体"/>
        </w:rPr>
        <w:t>optical communication system</w:t>
      </w:r>
    </w:p>
    <w:p w14:paraId="3FD7EC11">
      <w:pPr>
        <w:pStyle w:val="59"/>
        <w:ind w:firstLine="420"/>
        <w:rPr>
          <w:rFonts w:hint="eastAsia" w:ascii="黑体" w:hAnsi="黑体" w:eastAsia="黑体"/>
        </w:rPr>
      </w:pPr>
      <w:r>
        <w:t>利用光信号进行信息传输的通信系统，包括光发送机、光接收机、光传输介质、光放大器、光交换机等设备及相关软件</w:t>
      </w:r>
      <w:r>
        <w:rPr>
          <w:rFonts w:hint="eastAsia"/>
        </w:rPr>
        <w:t>。</w:t>
      </w:r>
    </w:p>
    <w:p w14:paraId="59882BFB">
      <w:pPr>
        <w:pStyle w:val="107"/>
        <w:spacing w:before="240" w:after="240"/>
        <w:rPr>
          <w:szCs w:val="21"/>
        </w:rPr>
      </w:pPr>
      <w:bookmarkStart w:id="36" w:name="_Toc13655"/>
      <w:r>
        <w:rPr>
          <w:rFonts w:hint="eastAsia"/>
          <w:szCs w:val="21"/>
        </w:rPr>
        <w:t>安全技术要求</w:t>
      </w:r>
      <w:bookmarkEnd w:id="36"/>
    </w:p>
    <w:p w14:paraId="580C13EC">
      <w:pPr>
        <w:pStyle w:val="108"/>
        <w:spacing w:before="120" w:after="120"/>
      </w:pPr>
      <w:r>
        <w:t>物理安全</w:t>
      </w:r>
    </w:p>
    <w:p w14:paraId="62653979">
      <w:pPr>
        <w:pStyle w:val="68"/>
        <w:spacing w:before="120" w:after="120"/>
      </w:pPr>
      <w:r>
        <w:t>设备安全</w:t>
      </w:r>
    </w:p>
    <w:p w14:paraId="605AB0A5">
      <w:pPr>
        <w:pStyle w:val="167"/>
      </w:pPr>
      <w:r>
        <w:t>光通信设备应具备良好的机械防护性能，外壳应坚固耐用，防止外力撞击、挤压等造成的损坏。</w:t>
      </w:r>
    </w:p>
    <w:p w14:paraId="1237940B">
      <w:pPr>
        <w:pStyle w:val="167"/>
      </w:pPr>
      <w:r>
        <w:t>设备内部电路应设计合理，具备过压、过流、短路等保护功能。</w:t>
      </w:r>
    </w:p>
    <w:p w14:paraId="79372543">
      <w:pPr>
        <w:pStyle w:val="167"/>
      </w:pPr>
      <w:r>
        <w:t>关键设备应采用冗余配置，如电源模块、光模块等，当主设备出现故障时，备用设备应能自动切换，</w:t>
      </w:r>
      <w:r>
        <w:rPr>
          <w:rFonts w:hint="eastAsia"/>
        </w:rPr>
        <w:t>保证</w:t>
      </w:r>
      <w:r>
        <w:t>系统不间断运行。</w:t>
      </w:r>
    </w:p>
    <w:p w14:paraId="539D6F2E">
      <w:pPr>
        <w:pStyle w:val="68"/>
        <w:spacing w:before="120" w:after="120"/>
      </w:pPr>
      <w:r>
        <w:t>线路安全</w:t>
      </w:r>
    </w:p>
    <w:p w14:paraId="59BF0AA8">
      <w:pPr>
        <w:pStyle w:val="167"/>
      </w:pPr>
      <w:r>
        <w:t>光缆敷设应符合相关要求，</w:t>
      </w:r>
      <w:r>
        <w:rPr>
          <w:rFonts w:hint="eastAsia"/>
        </w:rPr>
        <w:t>不应</w:t>
      </w:r>
      <w:r>
        <w:t>在易受外力破坏、电磁干扰等区域敷设。光缆应具有良好的抗拉伸、抗弯曲性能，外皮应具备防水、防潮、防腐蚀功能。</w:t>
      </w:r>
    </w:p>
    <w:p w14:paraId="1108ABCC">
      <w:pPr>
        <w:pStyle w:val="167"/>
      </w:pPr>
      <w:r>
        <w:t>对光缆线路应进行定期巡检，及时发现并修复线路破损、老化等问题。在光缆线路上应设置明显的标识，防止施工等人为因素造成线路损坏。</w:t>
      </w:r>
    </w:p>
    <w:p w14:paraId="14B35FA5">
      <w:pPr>
        <w:pStyle w:val="167"/>
      </w:pPr>
      <w:r>
        <w:t>对于重要的光缆线路，应采用冗余路由设计，当一条路由出现故障时，可通过备用路由进行通信。</w:t>
      </w:r>
    </w:p>
    <w:p w14:paraId="4068E8B3">
      <w:pPr>
        <w:pStyle w:val="68"/>
        <w:spacing w:before="120" w:after="120"/>
      </w:pPr>
      <w:r>
        <w:t>环境安全</w:t>
      </w:r>
    </w:p>
    <w:p w14:paraId="13B3F7DE">
      <w:pPr>
        <w:pStyle w:val="167"/>
      </w:pPr>
      <w:r>
        <w:t>光通信设备机房应具备良好的防火、防水、防盗、防雷击等设施。机房内应配备火灾报警系统、灭火设备，设置防水门槛、地漏等防水设施，安装防盗门窗、监控摄像头等防盗设备，以及防雷接地装置。</w:t>
      </w:r>
      <w:r>
        <w:rPr>
          <w:rFonts w:hint="eastAsia"/>
        </w:rPr>
        <w:t>防雷与接地工程设计应符合GB 50689的规定。</w:t>
      </w:r>
    </w:p>
    <w:p w14:paraId="7A38B525">
      <w:pPr>
        <w:pStyle w:val="167"/>
      </w:pPr>
      <w:r>
        <w:t>机房环境温度、湿度应保持在设备正常运行要求的范围内，应配备空调、加湿器、除湿器等环境调节设备，并定期进行维护和保养。</w:t>
      </w:r>
    </w:p>
    <w:p w14:paraId="6C8A40CD">
      <w:pPr>
        <w:pStyle w:val="167"/>
      </w:pPr>
      <w:r>
        <w:t>机房应具备良好的电磁屏蔽性能，防止外界电磁干扰对光通信设备的影响，同时避免设备自身产生的电磁辐射对其他设备造成干扰。</w:t>
      </w:r>
    </w:p>
    <w:p w14:paraId="0EE4FC20">
      <w:pPr>
        <w:pStyle w:val="167"/>
      </w:pPr>
      <w:r>
        <w:t>计算机机房场地应满足GB/T 2887的要求，机房设计应满足GB 50174的要求</w:t>
      </w:r>
      <w:r>
        <w:rPr>
          <w:rFonts w:hint="eastAsia"/>
        </w:rPr>
        <w:t>。</w:t>
      </w:r>
    </w:p>
    <w:p w14:paraId="01A910A6">
      <w:pPr>
        <w:pStyle w:val="108"/>
        <w:spacing w:before="120" w:after="120"/>
      </w:pPr>
      <w:r>
        <w:t>网络安全</w:t>
      </w:r>
    </w:p>
    <w:p w14:paraId="4DF06C8C">
      <w:pPr>
        <w:pStyle w:val="68"/>
        <w:spacing w:before="120" w:after="120"/>
      </w:pPr>
      <w:r>
        <w:t>网络架构安全</w:t>
      </w:r>
    </w:p>
    <w:p w14:paraId="1B811233">
      <w:pPr>
        <w:pStyle w:val="167"/>
      </w:pPr>
      <w:r>
        <w:t>光通信网络应采用分层、分区的架构设计，不同层次、区域之间应采取有效的隔离措施，防止安全风险的扩散。如核心层、汇聚层和接入层之间应通过防火墙、VLAN 等技术进行隔离。</w:t>
      </w:r>
    </w:p>
    <w:p w14:paraId="41A3FD94">
      <w:pPr>
        <w:pStyle w:val="167"/>
      </w:pPr>
      <w:r>
        <w:t>网络拓扑结构应具备一定的冗余性和可靠性，避免因单点故障导致网络瘫痪。</w:t>
      </w:r>
      <w:r>
        <w:rPr>
          <w:rFonts w:hint="eastAsia"/>
        </w:rPr>
        <w:t>宜</w:t>
      </w:r>
      <w:r>
        <w:t>采用双核心、双链路等拓扑结构，在部分链路或设备出现故障时，网络仍能正常运行。</w:t>
      </w:r>
    </w:p>
    <w:p w14:paraId="4B43E271">
      <w:pPr>
        <w:pStyle w:val="68"/>
        <w:spacing w:before="120" w:after="120"/>
      </w:pPr>
      <w:r>
        <w:t>网络协议安全</w:t>
      </w:r>
    </w:p>
    <w:p w14:paraId="0652F46D">
      <w:pPr>
        <w:pStyle w:val="167"/>
      </w:pPr>
      <w:r>
        <w:t>光通信网络所采用的各类协议应符合相关要求，具备良好的安全性。</w:t>
      </w:r>
      <w:r>
        <w:rPr>
          <w:rFonts w:hint="eastAsia"/>
        </w:rPr>
        <w:t>宜</w:t>
      </w:r>
      <w:r>
        <w:t>采用安全的路由协议（如 OSPFv3、BGP4 + 等）。</w:t>
      </w:r>
    </w:p>
    <w:p w14:paraId="3777B83D">
      <w:pPr>
        <w:pStyle w:val="167"/>
      </w:pPr>
      <w:r>
        <w:t>对网络协议进行定期的安全评估和漏洞扫描，及时发现并修复协议漏洞。对于存在安全风险的协议，应采取相应的防护措施，启用协议加密、访问控制等功能。</w:t>
      </w:r>
    </w:p>
    <w:p w14:paraId="06E3D04F">
      <w:pPr>
        <w:pStyle w:val="68"/>
        <w:spacing w:before="120" w:after="120"/>
      </w:pPr>
      <w:r>
        <w:t>网络设备安全</w:t>
      </w:r>
    </w:p>
    <w:p w14:paraId="6CBB1980">
      <w:pPr>
        <w:pStyle w:val="167"/>
      </w:pPr>
      <w:r>
        <w:t xml:space="preserve">根据GB/T 22239及数据安全等级设定相应网络安全设备，建立相一致的网络环境安全管理制度。 </w:t>
      </w:r>
    </w:p>
    <w:p w14:paraId="60CE232F">
      <w:pPr>
        <w:pStyle w:val="167"/>
      </w:pPr>
      <w:r>
        <w:t>网络设备（如光交换机、路由器等）应设置强密码策略，密码应包含数字、字母、特殊字符，长度不小于 8 位，并定期更换密码。</w:t>
      </w:r>
    </w:p>
    <w:p w14:paraId="5F289A43">
      <w:pPr>
        <w:pStyle w:val="167"/>
      </w:pPr>
      <w:r>
        <w:t>网络设备应关闭不必要的服务和端口，只开放业务所需的服务和端口。</w:t>
      </w:r>
    </w:p>
    <w:p w14:paraId="33B2F487">
      <w:pPr>
        <w:pStyle w:val="167"/>
      </w:pPr>
      <w:r>
        <w:rPr>
          <w:rFonts w:hint="eastAsia"/>
        </w:rPr>
        <w:t>应</w:t>
      </w:r>
      <w:r>
        <w:t>定期对网络设备的固件进行升级，及时修复设备存在的安全漏洞。</w:t>
      </w:r>
    </w:p>
    <w:p w14:paraId="735BA001">
      <w:pPr>
        <w:pStyle w:val="108"/>
        <w:spacing w:before="120" w:after="120"/>
      </w:pPr>
      <w:r>
        <w:t>数据安全</w:t>
      </w:r>
    </w:p>
    <w:p w14:paraId="1D1632B6">
      <w:pPr>
        <w:pStyle w:val="68"/>
        <w:spacing w:before="120" w:after="120"/>
      </w:pPr>
      <w:r>
        <w:t>数据加密</w:t>
      </w:r>
    </w:p>
    <w:p w14:paraId="77A43CC4">
      <w:pPr>
        <w:pStyle w:val="167"/>
      </w:pPr>
      <w:r>
        <w:t>对光通信系统中传输和存储的敏感数据应进行加密处理，可采用对称加密算法（如 AES）或非对称加密算法（如 RSA）进行数据加密。</w:t>
      </w:r>
    </w:p>
    <w:p w14:paraId="72BC246F">
      <w:pPr>
        <w:pStyle w:val="167"/>
      </w:pPr>
      <w:r>
        <w:t>加密密钥的管理应严格按照相关要求进行，密钥应定期更换，采用安全的密钥分发机制，防止密钥被窃取或泄露。</w:t>
      </w:r>
    </w:p>
    <w:p w14:paraId="36CEB2A2">
      <w:pPr>
        <w:pStyle w:val="167"/>
      </w:pPr>
      <w:r>
        <w:t>数据的安全保密应符合GA/T 708第二级基本要求的规定</w:t>
      </w:r>
      <w:r>
        <w:rPr>
          <w:rFonts w:hint="eastAsia"/>
        </w:rPr>
        <w:t>。</w:t>
      </w:r>
    </w:p>
    <w:p w14:paraId="32A7B184">
      <w:pPr>
        <w:pStyle w:val="68"/>
        <w:spacing w:before="120" w:after="120"/>
      </w:pPr>
      <w:r>
        <w:t>数据备份与恢复</w:t>
      </w:r>
    </w:p>
    <w:p w14:paraId="6651E56D">
      <w:pPr>
        <w:pStyle w:val="167"/>
      </w:pPr>
      <w:r>
        <w:t>应制定完善的数据备份策略，定期对光通信系统中的重要数据进行备份。备份数据应存储在安全的介质中，并异地存放。</w:t>
      </w:r>
    </w:p>
    <w:p w14:paraId="6EDB6395">
      <w:pPr>
        <w:pStyle w:val="167"/>
      </w:pPr>
      <w:r>
        <w:rPr>
          <w:rFonts w:hint="eastAsia"/>
        </w:rPr>
        <w:t>应</w:t>
      </w:r>
      <w:r>
        <w:t>定期进行数据恢复测试，在系统出现故障或数据丢失时，应能及时、准确地恢复数据，保障业务的连续性。</w:t>
      </w:r>
    </w:p>
    <w:p w14:paraId="718834ED">
      <w:pPr>
        <w:pStyle w:val="167"/>
      </w:pPr>
      <w:r>
        <w:rPr>
          <w:rFonts w:hint="eastAsia"/>
        </w:rPr>
        <w:t>数据备份恢复包括：</w:t>
      </w:r>
    </w:p>
    <w:p w14:paraId="11635439">
      <w:pPr>
        <w:pStyle w:val="177"/>
        <w:numPr>
          <w:ilvl w:val="0"/>
          <w:numId w:val="32"/>
        </w:numPr>
      </w:pPr>
      <w:r>
        <w:rPr>
          <w:rFonts w:hint="eastAsia"/>
        </w:rPr>
        <w:t>应有数据备份机制, 并对备份数据进行保护；</w:t>
      </w:r>
    </w:p>
    <w:p w14:paraId="2AA2C661">
      <w:pPr>
        <w:pStyle w:val="177"/>
        <w:numPr>
          <w:ilvl w:val="0"/>
          <w:numId w:val="32"/>
        </w:numPr>
      </w:pPr>
      <w:r>
        <w:rPr>
          <w:rFonts w:hint="eastAsia"/>
        </w:rPr>
        <w:t>在使用恢复的数据前应校验其可用性、完整性；</w:t>
      </w:r>
    </w:p>
    <w:p w14:paraId="41A14F81">
      <w:pPr>
        <w:pStyle w:val="177"/>
        <w:numPr>
          <w:ilvl w:val="0"/>
          <w:numId w:val="32"/>
        </w:numPr>
      </w:pPr>
      <w:r>
        <w:rPr>
          <w:rFonts w:hint="eastAsia"/>
        </w:rPr>
        <w:t>日志数据、采集数据、基础数据、主题数据、业务数据和知识库数据采用每日全量备份的策略备份；</w:t>
      </w:r>
    </w:p>
    <w:p w14:paraId="6473E0A7">
      <w:pPr>
        <w:pStyle w:val="177"/>
        <w:numPr>
          <w:ilvl w:val="0"/>
          <w:numId w:val="32"/>
        </w:numPr>
      </w:pPr>
      <w:r>
        <w:rPr>
          <w:rFonts w:hint="eastAsia"/>
        </w:rPr>
        <w:t>采用反向代理技术实现 WEB 集群服务的负载均衡，支撑数据存储、处理、运算及应急处置的系统应保证硬件冗余，避免关键节点存在单点故障。</w:t>
      </w:r>
    </w:p>
    <w:p w14:paraId="4C7E49DF">
      <w:pPr>
        <w:pStyle w:val="68"/>
        <w:spacing w:before="120" w:after="120"/>
      </w:pPr>
      <w:r>
        <w:t>数据防泄漏</w:t>
      </w:r>
    </w:p>
    <w:p w14:paraId="23E4DCBC">
      <w:pPr>
        <w:pStyle w:val="167"/>
      </w:pPr>
      <w:r>
        <w:t>采用数据防泄漏（DLP）技术，对光通信系统中数据的传输、存储和使用进行监控和管理，防止敏感数据被非法获取或泄露。</w:t>
      </w:r>
    </w:p>
    <w:p w14:paraId="1DF4E148">
      <w:pPr>
        <w:pStyle w:val="167"/>
      </w:pPr>
      <w:r>
        <w:t>建立完善的数据访问控制机制，根据用户的角色和权限，对数据进行细粒度的访问控制，只有授权用户才能访问和使用敏感数据。</w:t>
      </w:r>
    </w:p>
    <w:p w14:paraId="5673377C">
      <w:pPr>
        <w:pStyle w:val="108"/>
        <w:spacing w:before="120" w:after="120"/>
      </w:pPr>
      <w:r>
        <w:t>应用安全</w:t>
      </w:r>
    </w:p>
    <w:p w14:paraId="1D246FF5">
      <w:pPr>
        <w:pStyle w:val="68"/>
        <w:spacing w:before="120" w:after="120"/>
      </w:pPr>
      <w:r>
        <w:t>应用系统安全</w:t>
      </w:r>
    </w:p>
    <w:p w14:paraId="19E7D0AA">
      <w:pPr>
        <w:pStyle w:val="167"/>
      </w:pPr>
      <w:r>
        <w:t>光通信系统所承载的各类应用系统应进行安全设计和开发，遵循安全编码规范。采用身份认证、授权管理、数据加密、访问控制等安全技术，并对用户操作进行审计和追溯，防止非法操作和数据泄露</w:t>
      </w:r>
      <w:r>
        <w:rPr>
          <w:rFonts w:hint="eastAsia"/>
        </w:rPr>
        <w:t>。</w:t>
      </w:r>
    </w:p>
    <w:p w14:paraId="6D3CC83F">
      <w:pPr>
        <w:pStyle w:val="167"/>
      </w:pPr>
      <w:r>
        <w:t>定期对应用系统进行安全漏洞扫描和修复，及时发现并解决应用系统存在的安全问题。对应用系统的升级和变更应进行严格的安全评估和测试，</w:t>
      </w:r>
      <w:r>
        <w:rPr>
          <w:rFonts w:hint="eastAsia"/>
        </w:rPr>
        <w:t>保证</w:t>
      </w:r>
      <w:r>
        <w:t>升级和变更后的系统安全性不受影响。</w:t>
      </w:r>
    </w:p>
    <w:p w14:paraId="4FDB0575">
      <w:pPr>
        <w:pStyle w:val="68"/>
        <w:spacing w:before="120" w:after="120"/>
      </w:pPr>
      <w:r>
        <w:t>用户认证与授权</w:t>
      </w:r>
    </w:p>
    <w:p w14:paraId="206D3AFD">
      <w:pPr>
        <w:pStyle w:val="167"/>
      </w:pPr>
      <w:r>
        <w:t>应用系统应采用多因素认证机制，如用户名/密码、短信验证码、指纹识别等，用户身份</w:t>
      </w:r>
      <w:r>
        <w:rPr>
          <w:rFonts w:hint="eastAsia"/>
        </w:rPr>
        <w:t>应</w:t>
      </w:r>
      <w:r>
        <w:t>真实</w:t>
      </w:r>
      <w:r>
        <w:rPr>
          <w:rFonts w:hint="eastAsia"/>
        </w:rPr>
        <w:t>、</w:t>
      </w:r>
      <w:r>
        <w:t>合法。</w:t>
      </w:r>
    </w:p>
    <w:p w14:paraId="197CBB74">
      <w:pPr>
        <w:pStyle w:val="167"/>
      </w:pPr>
      <w:r>
        <w:t>建立完善的用户授权体系，根据用户的角色和职责，为用户分配相应的操作权限。权限分配应遵循最小化原则，即用户仅拥有完成其工作所需的最小权限。</w:t>
      </w:r>
    </w:p>
    <w:p w14:paraId="613005D0">
      <w:pPr>
        <w:pStyle w:val="68"/>
        <w:spacing w:before="120" w:after="120"/>
      </w:pPr>
      <w:r>
        <w:t>应用审计</w:t>
      </w:r>
    </w:p>
    <w:p w14:paraId="0A5BF101">
      <w:pPr>
        <w:pStyle w:val="167"/>
      </w:pPr>
      <w:r>
        <w:t>应用系统应具备完善的审计功能，对用户的操作行为进行记录和审计。审计日志应包括用户登录时间、IP 地址、操作内容等信息，并保存一定的时间期限，</w:t>
      </w:r>
      <w:r>
        <w:rPr>
          <w:rFonts w:hint="eastAsia"/>
        </w:rPr>
        <w:t>便于</w:t>
      </w:r>
      <w:r>
        <w:t>进行安全事件的追溯和分析。</w:t>
      </w:r>
    </w:p>
    <w:p w14:paraId="0439712F">
      <w:pPr>
        <w:pStyle w:val="167"/>
      </w:pPr>
      <w:r>
        <w:t>定期对审计日志进行分析，及时发现异常操作行为和安全隐患，并采取相应的措施进行处理。</w:t>
      </w:r>
    </w:p>
    <w:p w14:paraId="2AB7C5EF">
      <w:pPr>
        <w:pStyle w:val="107"/>
        <w:spacing w:before="240" w:after="240"/>
        <w:rPr>
          <w:szCs w:val="21"/>
        </w:rPr>
      </w:pPr>
      <w:bookmarkStart w:id="37" w:name="_Toc21302"/>
      <w:r>
        <w:rPr>
          <w:szCs w:val="21"/>
        </w:rPr>
        <w:t>安全管理要求</w:t>
      </w:r>
      <w:bookmarkEnd w:id="37"/>
    </w:p>
    <w:p w14:paraId="67311B98">
      <w:pPr>
        <w:pStyle w:val="108"/>
        <w:spacing w:before="120" w:after="120"/>
      </w:pPr>
      <w:r>
        <w:t>安全管理制度</w:t>
      </w:r>
    </w:p>
    <w:p w14:paraId="61FC71C8">
      <w:pPr>
        <w:pStyle w:val="68"/>
        <w:spacing w:before="120" w:after="120"/>
      </w:pPr>
      <w:r>
        <w:t>安全策略</w:t>
      </w:r>
    </w:p>
    <w:p w14:paraId="2CA5DE26">
      <w:pPr>
        <w:pStyle w:val="167"/>
      </w:pPr>
      <w:r>
        <w:t>制定光通信系统的安全策略，明确系统的安全目标、安全原则和安全措施。</w:t>
      </w:r>
    </w:p>
    <w:p w14:paraId="72481F22">
      <w:pPr>
        <w:pStyle w:val="167"/>
      </w:pPr>
      <w:r>
        <w:t>安全策略应根据国家法律法规、行业</w:t>
      </w:r>
      <w:r>
        <w:rPr>
          <w:rFonts w:hint="eastAsia"/>
        </w:rPr>
        <w:t>要求</w:t>
      </w:r>
      <w:r>
        <w:t>以及系统的实际情况进行制定，并定期进行更新和完善。</w:t>
      </w:r>
    </w:p>
    <w:p w14:paraId="53DF588E">
      <w:pPr>
        <w:pStyle w:val="68"/>
        <w:spacing w:before="120" w:after="120"/>
      </w:pPr>
      <w:r>
        <w:t>安全规划</w:t>
      </w:r>
    </w:p>
    <w:p w14:paraId="3A552D82">
      <w:pPr>
        <w:pStyle w:val="167"/>
      </w:pPr>
      <w:r>
        <w:t>制定光通信系统的安全规划，包括安全建设规划、安全运维规划等。</w:t>
      </w:r>
    </w:p>
    <w:p w14:paraId="70BF999C">
      <w:pPr>
        <w:pStyle w:val="167"/>
      </w:pPr>
      <w:r>
        <w:t>安全规划应明确安全建设和运维的目标、任务、步骤和时间节点</w:t>
      </w:r>
      <w:r>
        <w:rPr>
          <w:rFonts w:hint="eastAsia"/>
        </w:rPr>
        <w:t>等</w:t>
      </w:r>
      <w:r>
        <w:t>。</w:t>
      </w:r>
    </w:p>
    <w:p w14:paraId="0174D728">
      <w:pPr>
        <w:pStyle w:val="68"/>
        <w:spacing w:before="120" w:after="120"/>
      </w:pPr>
      <w:r>
        <w:t>安全操作规程</w:t>
      </w:r>
    </w:p>
    <w:p w14:paraId="7A6ED924">
      <w:pPr>
        <w:pStyle w:val="167"/>
      </w:pPr>
      <w:r>
        <w:t>制定光通信系统设备操作、维护、管理等方面的安全操作规程，规范人员的操作行为。</w:t>
      </w:r>
    </w:p>
    <w:p w14:paraId="098D4274">
      <w:pPr>
        <w:pStyle w:val="167"/>
      </w:pPr>
      <w:r>
        <w:t>安全操作规程应包括设备的开机、关机、配置、故障处理等操作流程，并定期对操作人员进行培训和考核。</w:t>
      </w:r>
    </w:p>
    <w:p w14:paraId="0B3B0B46">
      <w:pPr>
        <w:pStyle w:val="68"/>
        <w:spacing w:before="120" w:after="120"/>
      </w:pPr>
      <w:r>
        <w:t>安全培训计划</w:t>
      </w:r>
    </w:p>
    <w:p w14:paraId="732C3992">
      <w:pPr>
        <w:pStyle w:val="167"/>
      </w:pPr>
      <w:r>
        <w:t>制定光通信系统安全培训计划，定期对系统管理人员、运维人员、操作人员等进行安全培训。</w:t>
      </w:r>
    </w:p>
    <w:p w14:paraId="02A97846">
      <w:pPr>
        <w:pStyle w:val="167"/>
      </w:pPr>
      <w:r>
        <w:t>培训内容应包括安全法律法规、安全技术知识、安全操作规程、应急处理方法等。</w:t>
      </w:r>
    </w:p>
    <w:p w14:paraId="3A77CE00">
      <w:pPr>
        <w:pStyle w:val="108"/>
        <w:spacing w:before="120" w:after="120"/>
      </w:pPr>
      <w:r>
        <w:t>安全运维管理</w:t>
      </w:r>
    </w:p>
    <w:p w14:paraId="2126B52A">
      <w:pPr>
        <w:pStyle w:val="68"/>
        <w:spacing w:before="120" w:after="120"/>
      </w:pPr>
      <w:r>
        <w:t>安全运维计划</w:t>
      </w:r>
    </w:p>
    <w:p w14:paraId="6500CA99">
      <w:pPr>
        <w:pStyle w:val="167"/>
      </w:pPr>
      <w:r>
        <w:t>制定光通信系统的安全运维计划，明确运维工作的内容、方法、时间安排等。</w:t>
      </w:r>
    </w:p>
    <w:p w14:paraId="6A692E37">
      <w:pPr>
        <w:pStyle w:val="167"/>
      </w:pPr>
      <w:r>
        <w:t>安全运维计划应包括设备巡检、故障处理、安全漏洞修复、数据备份等工作，并定期对运维计划的执行情况进行检查和评估。</w:t>
      </w:r>
    </w:p>
    <w:p w14:paraId="601EDDA1">
      <w:pPr>
        <w:pStyle w:val="68"/>
        <w:spacing w:before="120" w:after="120"/>
      </w:pPr>
      <w:r>
        <w:t>应急响应机制</w:t>
      </w:r>
    </w:p>
    <w:p w14:paraId="1B2947AD">
      <w:pPr>
        <w:pStyle w:val="59"/>
        <w:ind w:firstLine="420"/>
      </w:pPr>
      <w:r>
        <w:t>建立光通信系统的应急响应机制，制定应急预案，明确应急响应流程、责任分工、应急处置措施等。应急预案应定期进行演练和更新，在系统出现安全事件或故障时，</w:t>
      </w:r>
      <w:r>
        <w:rPr>
          <w:rFonts w:hint="eastAsia"/>
        </w:rPr>
        <w:t>应</w:t>
      </w:r>
      <w:r>
        <w:t>迅速、有效地进行应急处置，降低损失和影响。</w:t>
      </w:r>
    </w:p>
    <w:p w14:paraId="7B8F6B7B">
      <w:pPr>
        <w:pStyle w:val="107"/>
        <w:spacing w:before="240" w:after="240"/>
        <w:rPr>
          <w:highlight w:val="none"/>
        </w:rPr>
      </w:pPr>
      <w:r>
        <w:rPr>
          <w:highlight w:val="none"/>
        </w:rPr>
        <w:t>安全检测</w:t>
      </w:r>
    </w:p>
    <w:p w14:paraId="481B5800">
      <w:pPr>
        <w:pStyle w:val="68"/>
        <w:spacing w:before="120" w:after="120"/>
      </w:pPr>
      <w:r>
        <w:t>物理安全检测</w:t>
      </w:r>
    </w:p>
    <w:p w14:paraId="5C0BDDD3">
      <w:pPr>
        <w:pStyle w:val="167"/>
      </w:pPr>
      <w:r>
        <w:t>定期对光通信系统的物理安全设施进行检测，包括设备外壳完整性、防护功能、电气安全性能、线路状况、环境安全设施等。</w:t>
      </w:r>
      <w:bookmarkStart w:id="39" w:name="_GoBack"/>
      <w:bookmarkEnd w:id="39"/>
    </w:p>
    <w:p w14:paraId="4E49E216">
      <w:pPr>
        <w:pStyle w:val="167"/>
      </w:pPr>
      <w:r>
        <w:t>检测方法可采用目视检查、仪器测量等。</w:t>
      </w:r>
    </w:p>
    <w:p w14:paraId="03733831">
      <w:pPr>
        <w:pStyle w:val="68"/>
        <w:spacing w:before="120" w:after="120"/>
      </w:pPr>
      <w:r>
        <w:t>网络安全检测</w:t>
      </w:r>
    </w:p>
    <w:p w14:paraId="763F6D3D">
      <w:pPr>
        <w:pStyle w:val="167"/>
      </w:pPr>
      <w:r>
        <w:t>采用网络安全检测工具（如漏洞扫描器、入侵检测系统等）对光通信网络进行定期检测，包括网络架构安全性、网络协议安全性、网络设备安全性等。</w:t>
      </w:r>
    </w:p>
    <w:p w14:paraId="7A4EBB43">
      <w:pPr>
        <w:pStyle w:val="167"/>
      </w:pPr>
      <w:r>
        <w:t>检测内容应包括网络漏洞、安全配置错误、恶意攻击行为等。</w:t>
      </w:r>
    </w:p>
    <w:p w14:paraId="3972EE27">
      <w:pPr>
        <w:pStyle w:val="68"/>
        <w:spacing w:before="120" w:after="120"/>
      </w:pPr>
      <w:r>
        <w:t>数据安全检测</w:t>
      </w:r>
    </w:p>
    <w:p w14:paraId="09272EE7">
      <w:pPr>
        <w:pStyle w:val="167"/>
      </w:pPr>
      <w:r>
        <w:t>对光通信系统中数据的加密、备份、防泄漏等措施进行检测。</w:t>
      </w:r>
    </w:p>
    <w:p w14:paraId="3F3F1A80">
      <w:pPr>
        <w:pStyle w:val="167"/>
      </w:pPr>
      <w:r>
        <w:t>检测方法可采用数据加密强度测试、备份数据恢复测试、数据防泄漏功能测试等。</w:t>
      </w:r>
    </w:p>
    <w:p w14:paraId="72E87E62">
      <w:pPr>
        <w:pStyle w:val="68"/>
        <w:spacing w:before="120" w:after="120"/>
      </w:pPr>
      <w:r>
        <w:t>应用安全检测</w:t>
      </w:r>
    </w:p>
    <w:p w14:paraId="5C45664B">
      <w:pPr>
        <w:pStyle w:val="167"/>
      </w:pPr>
      <w:r>
        <w:t>对光通信系统所承载的应用系统进行安全检测，包括应用系统漏洞、用户认证与授权机制、应用审计功能等。</w:t>
      </w:r>
    </w:p>
    <w:p w14:paraId="6D722C47">
      <w:pPr>
        <w:pStyle w:val="167"/>
      </w:pPr>
      <w:r>
        <w:t>检测方法可采用漏洞扫描、渗透测试、代码审计等。</w:t>
      </w:r>
    </w:p>
    <w:p w14:paraId="50198240">
      <w:pPr>
        <w:pStyle w:val="107"/>
        <w:spacing w:before="240" w:after="240"/>
      </w:pPr>
      <w:r>
        <w:t>安全评估</w:t>
      </w:r>
    </w:p>
    <w:p w14:paraId="7DA69ECC">
      <w:pPr>
        <w:pStyle w:val="68"/>
        <w:spacing w:before="120" w:after="120"/>
      </w:pPr>
      <w:r>
        <w:t>安全评估指标体系</w:t>
      </w:r>
    </w:p>
    <w:p w14:paraId="7C26F83C">
      <w:pPr>
        <w:pStyle w:val="167"/>
      </w:pPr>
      <w:r>
        <w:t>建立光通信系统的安全评估指标体系，包括物理安全、网络安全、数据安全、应用安全、安全管理等方面的评估指标。</w:t>
      </w:r>
    </w:p>
    <w:p w14:paraId="7E0E0703">
      <w:pPr>
        <w:pStyle w:val="167"/>
      </w:pPr>
      <w:r>
        <w:t>评估指标应具有科学性、合理性、可操作性，全面、准确地反映光通信系统的安全状况。</w:t>
      </w:r>
    </w:p>
    <w:p w14:paraId="7B2FE99C">
      <w:pPr>
        <w:pStyle w:val="68"/>
        <w:spacing w:before="120" w:after="120"/>
      </w:pPr>
      <w:r>
        <w:t>改进措施和建议</w:t>
      </w:r>
    </w:p>
    <w:p w14:paraId="7821F8AF">
      <w:pPr>
        <w:pStyle w:val="167"/>
      </w:pPr>
      <w:r>
        <w:t>根据安全检测和评估结果，提出针对性的改进措施和建议。</w:t>
      </w:r>
    </w:p>
    <w:p w14:paraId="4A4E4AE2">
      <w:pPr>
        <w:pStyle w:val="167"/>
      </w:pPr>
      <w:r>
        <w:t>对于存在的安全问题，应明确整改责任人和整改时间，跟踪整改情况。</w:t>
      </w:r>
    </w:p>
    <w:p w14:paraId="389B9CF0">
      <w:pPr>
        <w:pStyle w:val="167"/>
        <w:numPr>
          <w:ilvl w:val="4"/>
          <w:numId w:val="0"/>
        </w:numPr>
      </w:pPr>
    </w:p>
    <w:p w14:paraId="44E07F0D">
      <w:pPr>
        <w:pStyle w:val="59"/>
        <w:ind w:firstLine="420"/>
      </w:pPr>
    </w:p>
    <w:p w14:paraId="7376E3B8">
      <w:pPr>
        <w:pStyle w:val="59"/>
        <w:ind w:firstLine="420"/>
      </w:pPr>
    </w:p>
    <w:bookmarkEnd w:id="20"/>
    <w:p w14:paraId="330B0D6B">
      <w:pPr>
        <w:pStyle w:val="59"/>
        <w:ind w:firstLine="0" w:firstLineChars="0"/>
        <w:jc w:val="center"/>
      </w:pPr>
      <w:bookmarkStart w:id="38"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8"/>
    </w:p>
    <w:sectPr>
      <w:pgSz w:w="11906" w:h="16838"/>
      <w:pgMar w:top="1928" w:right="1134" w:bottom="1134" w:left="1134"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5EDA">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D44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EC5C">
    <w:pPr>
      <w:pStyle w:val="55"/>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22C8">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77C">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w:t>
    </w:r>
    <w:r>
      <w:rPr>
        <w:rFonts w:hint="eastAsia" w:ascii="黑体" w:hAnsi="黑体" w:eastAsia="黑体"/>
      </w:rPr>
      <w:t>～</w:t>
    </w:r>
    <w:r>
      <w:rPr>
        <w:rFonts w:ascii="黑体" w:hAnsi="黑体" w:eastAsia="黑体"/>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F970">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384D">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D8A2F">
    <w:pPr>
      <w:pStyle w:val="64"/>
      <w:rPr>
        <w:rFonts w:hint="eastAsia"/>
      </w:rPr>
    </w:pPr>
    <w:r>
      <w:fldChar w:fldCharType="begin"/>
    </w:r>
    <w:r>
      <w:instrText xml:space="preserve"> STYLEREF  标准文件_文件编号  \* MERGEFORMAT </w:instrText>
    </w:r>
    <w:r>
      <w:fldChar w:fldCharType="separate"/>
    </w:r>
    <w:r>
      <w:t>T/UNP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8F418">
    <w:pPr>
      <w:pStyle w:val="19"/>
      <w:jc w:val="right"/>
    </w:pPr>
    <w:r>
      <w:fldChar w:fldCharType="begin"/>
    </w:r>
    <w:r>
      <w:instrText xml:space="preserve"> STYLEREF  标准文件_文件编号  \* MERGEFORMAT </w:instrText>
    </w:r>
    <w:r>
      <w:fldChar w:fldCharType="separate"/>
    </w:r>
    <w:r>
      <w:t>T/UNP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0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748"/>
    <w:rsid w:val="00067F1E"/>
    <w:rsid w:val="00071CC0"/>
    <w:rsid w:val="00071CFC"/>
    <w:rsid w:val="00073C8C"/>
    <w:rsid w:val="0007743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004"/>
    <w:rsid w:val="000E4C9E"/>
    <w:rsid w:val="000E6FD7"/>
    <w:rsid w:val="000E7144"/>
    <w:rsid w:val="000F06E1"/>
    <w:rsid w:val="000F0E3C"/>
    <w:rsid w:val="000F19D5"/>
    <w:rsid w:val="000F4050"/>
    <w:rsid w:val="000F4AEA"/>
    <w:rsid w:val="000F67E9"/>
    <w:rsid w:val="00104926"/>
    <w:rsid w:val="00113B1E"/>
    <w:rsid w:val="0011711C"/>
    <w:rsid w:val="00121BA6"/>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30"/>
    <w:rsid w:val="001B71D0"/>
    <w:rsid w:val="001B71EE"/>
    <w:rsid w:val="001C04A8"/>
    <w:rsid w:val="001C2C03"/>
    <w:rsid w:val="001C42F7"/>
    <w:rsid w:val="001C49E5"/>
    <w:rsid w:val="001C5489"/>
    <w:rsid w:val="001C61AB"/>
    <w:rsid w:val="001C680C"/>
    <w:rsid w:val="001C7FEA"/>
    <w:rsid w:val="001D0499"/>
    <w:rsid w:val="001D0BBE"/>
    <w:rsid w:val="001D0ED4"/>
    <w:rsid w:val="001D212F"/>
    <w:rsid w:val="001D29D7"/>
    <w:rsid w:val="001D2DE7"/>
    <w:rsid w:val="001D411C"/>
    <w:rsid w:val="001E0F4B"/>
    <w:rsid w:val="001E1B6A"/>
    <w:rsid w:val="001E2484"/>
    <w:rsid w:val="001E34B9"/>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F75"/>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F30"/>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D27"/>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F89"/>
    <w:rsid w:val="00306063"/>
    <w:rsid w:val="00313B85"/>
    <w:rsid w:val="00317988"/>
    <w:rsid w:val="003221B4"/>
    <w:rsid w:val="0032258D"/>
    <w:rsid w:val="00322E62"/>
    <w:rsid w:val="00324D13"/>
    <w:rsid w:val="00324EDD"/>
    <w:rsid w:val="003331E4"/>
    <w:rsid w:val="00336C64"/>
    <w:rsid w:val="00337162"/>
    <w:rsid w:val="0034194F"/>
    <w:rsid w:val="00344605"/>
    <w:rsid w:val="00346119"/>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54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0E27"/>
    <w:rsid w:val="004232F2"/>
    <w:rsid w:val="00432DAA"/>
    <w:rsid w:val="00434305"/>
    <w:rsid w:val="00435DF7"/>
    <w:rsid w:val="0044083F"/>
    <w:rsid w:val="00441AE7"/>
    <w:rsid w:val="00445574"/>
    <w:rsid w:val="004467FB"/>
    <w:rsid w:val="00452D6B"/>
    <w:rsid w:val="00454484"/>
    <w:rsid w:val="0045517B"/>
    <w:rsid w:val="00460B19"/>
    <w:rsid w:val="00463B77"/>
    <w:rsid w:val="00463C7B"/>
    <w:rsid w:val="004644A6"/>
    <w:rsid w:val="004645F1"/>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B39"/>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5F6C"/>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45F"/>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8A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1DC"/>
    <w:rsid w:val="006840A6"/>
    <w:rsid w:val="006850CD"/>
    <w:rsid w:val="00685AAB"/>
    <w:rsid w:val="006A07AA"/>
    <w:rsid w:val="006A25E5"/>
    <w:rsid w:val="006A2B46"/>
    <w:rsid w:val="006A336D"/>
    <w:rsid w:val="006A37B9"/>
    <w:rsid w:val="006A7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763A"/>
    <w:rsid w:val="006F03A8"/>
    <w:rsid w:val="006F2094"/>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6CF"/>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615"/>
    <w:rsid w:val="008027CE"/>
    <w:rsid w:val="00802F42"/>
    <w:rsid w:val="00804383"/>
    <w:rsid w:val="00804BB7"/>
    <w:rsid w:val="00804D41"/>
    <w:rsid w:val="0080543B"/>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08E"/>
    <w:rsid w:val="00850FC2"/>
    <w:rsid w:val="0085173A"/>
    <w:rsid w:val="0085264F"/>
    <w:rsid w:val="008603CE"/>
    <w:rsid w:val="008620FC"/>
    <w:rsid w:val="008627A5"/>
    <w:rsid w:val="00863E05"/>
    <w:rsid w:val="00865ACA"/>
    <w:rsid w:val="00865D28"/>
    <w:rsid w:val="00865F85"/>
    <w:rsid w:val="00867C10"/>
    <w:rsid w:val="00870439"/>
    <w:rsid w:val="00870772"/>
    <w:rsid w:val="00870DA1"/>
    <w:rsid w:val="00883F93"/>
    <w:rsid w:val="00884DB3"/>
    <w:rsid w:val="00885A9D"/>
    <w:rsid w:val="008864F6"/>
    <w:rsid w:val="0089049D"/>
    <w:rsid w:val="008928C9"/>
    <w:rsid w:val="008930CB"/>
    <w:rsid w:val="008938DC"/>
    <w:rsid w:val="00893FD1"/>
    <w:rsid w:val="00894310"/>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36D"/>
    <w:rsid w:val="008F662C"/>
    <w:rsid w:val="008F70BD"/>
    <w:rsid w:val="008F788F"/>
    <w:rsid w:val="008F7EA2"/>
    <w:rsid w:val="00902722"/>
    <w:rsid w:val="009027BC"/>
    <w:rsid w:val="009062E6"/>
    <w:rsid w:val="00911BE5"/>
    <w:rsid w:val="0091304E"/>
    <w:rsid w:val="00913CA9"/>
    <w:rsid w:val="009145AE"/>
    <w:rsid w:val="009146CE"/>
    <w:rsid w:val="00914CA7"/>
    <w:rsid w:val="00915C3E"/>
    <w:rsid w:val="009161A8"/>
    <w:rsid w:val="009245AE"/>
    <w:rsid w:val="009245F5"/>
    <w:rsid w:val="009249EC"/>
    <w:rsid w:val="009273B3"/>
    <w:rsid w:val="009305B5"/>
    <w:rsid w:val="00933118"/>
    <w:rsid w:val="00937152"/>
    <w:rsid w:val="009378DD"/>
    <w:rsid w:val="009429D5"/>
    <w:rsid w:val="00942BF1"/>
    <w:rsid w:val="00945180"/>
    <w:rsid w:val="00945428"/>
    <w:rsid w:val="0094607B"/>
    <w:rsid w:val="00953604"/>
    <w:rsid w:val="0095496B"/>
    <w:rsid w:val="00960F1E"/>
    <w:rsid w:val="009610DC"/>
    <w:rsid w:val="00961490"/>
    <w:rsid w:val="00961DE6"/>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3D3"/>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FB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68A"/>
    <w:rsid w:val="00A83D8D"/>
    <w:rsid w:val="00A8446B"/>
    <w:rsid w:val="00A8473F"/>
    <w:rsid w:val="00A862D6"/>
    <w:rsid w:val="00A8715E"/>
    <w:rsid w:val="00A9295B"/>
    <w:rsid w:val="00A93B09"/>
    <w:rsid w:val="00A952D7"/>
    <w:rsid w:val="00A963F7"/>
    <w:rsid w:val="00A96AD8"/>
    <w:rsid w:val="00A96B4E"/>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367"/>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D35"/>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1AC"/>
    <w:rsid w:val="00B96D40"/>
    <w:rsid w:val="00B97386"/>
    <w:rsid w:val="00BA263B"/>
    <w:rsid w:val="00BA3803"/>
    <w:rsid w:val="00BA42B2"/>
    <w:rsid w:val="00BA58D4"/>
    <w:rsid w:val="00BA5B9E"/>
    <w:rsid w:val="00BA7C9A"/>
    <w:rsid w:val="00BB5F8F"/>
    <w:rsid w:val="00BB657A"/>
    <w:rsid w:val="00BC1A4E"/>
    <w:rsid w:val="00BC5709"/>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7A0"/>
    <w:rsid w:val="00C103E5"/>
    <w:rsid w:val="00C126F1"/>
    <w:rsid w:val="00C13319"/>
    <w:rsid w:val="00C13EE9"/>
    <w:rsid w:val="00C21540"/>
    <w:rsid w:val="00C21906"/>
    <w:rsid w:val="00C21BFA"/>
    <w:rsid w:val="00C2240B"/>
    <w:rsid w:val="00C24C8D"/>
    <w:rsid w:val="00C25FE2"/>
    <w:rsid w:val="00C26B53"/>
    <w:rsid w:val="00C279B2"/>
    <w:rsid w:val="00C30FD3"/>
    <w:rsid w:val="00C3133C"/>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509"/>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7BE"/>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EDA"/>
    <w:rsid w:val="00D4162B"/>
    <w:rsid w:val="00D4514F"/>
    <w:rsid w:val="00D451E2"/>
    <w:rsid w:val="00D45E89"/>
    <w:rsid w:val="00D45E8D"/>
    <w:rsid w:val="00D466AE"/>
    <w:rsid w:val="00D4734F"/>
    <w:rsid w:val="00D51BF3"/>
    <w:rsid w:val="00D66846"/>
    <w:rsid w:val="00D675FB"/>
    <w:rsid w:val="00D71F25"/>
    <w:rsid w:val="00D72A9C"/>
    <w:rsid w:val="00D7387C"/>
    <w:rsid w:val="00D77031"/>
    <w:rsid w:val="00D84941"/>
    <w:rsid w:val="00D84FA1"/>
    <w:rsid w:val="00D851F0"/>
    <w:rsid w:val="00D86DB7"/>
    <w:rsid w:val="00D87BF5"/>
    <w:rsid w:val="00D90721"/>
    <w:rsid w:val="00D926D0"/>
    <w:rsid w:val="00D93030"/>
    <w:rsid w:val="00D946BE"/>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455"/>
    <w:rsid w:val="00DE6E81"/>
    <w:rsid w:val="00DE703F"/>
    <w:rsid w:val="00DE7595"/>
    <w:rsid w:val="00DF0981"/>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741"/>
    <w:rsid w:val="00E73B58"/>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46"/>
    <w:rsid w:val="00EB1E69"/>
    <w:rsid w:val="00EB2086"/>
    <w:rsid w:val="00EB31ED"/>
    <w:rsid w:val="00EB5EDF"/>
    <w:rsid w:val="00EB60FE"/>
    <w:rsid w:val="00EB74DB"/>
    <w:rsid w:val="00EB7E60"/>
    <w:rsid w:val="00EC5359"/>
    <w:rsid w:val="00EC562A"/>
    <w:rsid w:val="00ED067A"/>
    <w:rsid w:val="00ED2B50"/>
    <w:rsid w:val="00EE0350"/>
    <w:rsid w:val="00EE0719"/>
    <w:rsid w:val="00EE0E80"/>
    <w:rsid w:val="00EE4223"/>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33D"/>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F9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5C3"/>
    <w:rsid w:val="00FE1FBE"/>
    <w:rsid w:val="00FE3901"/>
    <w:rsid w:val="00FE39D3"/>
    <w:rsid w:val="00FE4BCE"/>
    <w:rsid w:val="00FE54AE"/>
    <w:rsid w:val="00FE576A"/>
    <w:rsid w:val="00FE7E79"/>
    <w:rsid w:val="00FF3E7D"/>
    <w:rsid w:val="00FF5B99"/>
    <w:rsid w:val="00FF730C"/>
    <w:rsid w:val="00FF73F4"/>
    <w:rsid w:val="00FF7CE4"/>
    <w:rsid w:val="00FF7E39"/>
    <w:rsid w:val="01192C1F"/>
    <w:rsid w:val="01822573"/>
    <w:rsid w:val="01BE7323"/>
    <w:rsid w:val="01F34BEA"/>
    <w:rsid w:val="02191E9F"/>
    <w:rsid w:val="026B3007"/>
    <w:rsid w:val="02C60B85"/>
    <w:rsid w:val="02FA0BF1"/>
    <w:rsid w:val="0328714A"/>
    <w:rsid w:val="03795BF7"/>
    <w:rsid w:val="03C54999"/>
    <w:rsid w:val="03F2767D"/>
    <w:rsid w:val="03F60FF6"/>
    <w:rsid w:val="04073203"/>
    <w:rsid w:val="046B3792"/>
    <w:rsid w:val="04844854"/>
    <w:rsid w:val="04B01D5C"/>
    <w:rsid w:val="04D05CEB"/>
    <w:rsid w:val="05021DE0"/>
    <w:rsid w:val="05263B5D"/>
    <w:rsid w:val="05432019"/>
    <w:rsid w:val="05AD007F"/>
    <w:rsid w:val="05E82BC0"/>
    <w:rsid w:val="05F31C91"/>
    <w:rsid w:val="063B6BB3"/>
    <w:rsid w:val="06E4782C"/>
    <w:rsid w:val="072A7934"/>
    <w:rsid w:val="07560C45"/>
    <w:rsid w:val="07713099"/>
    <w:rsid w:val="077948BA"/>
    <w:rsid w:val="078B5EF9"/>
    <w:rsid w:val="07A50D69"/>
    <w:rsid w:val="07C2642E"/>
    <w:rsid w:val="07C338E5"/>
    <w:rsid w:val="084F6F27"/>
    <w:rsid w:val="08C41DB9"/>
    <w:rsid w:val="093305F6"/>
    <w:rsid w:val="098D193E"/>
    <w:rsid w:val="09AF2373"/>
    <w:rsid w:val="09CD41B6"/>
    <w:rsid w:val="0A0F4BBF"/>
    <w:rsid w:val="0A2E1A6A"/>
    <w:rsid w:val="0A2F5262"/>
    <w:rsid w:val="0A656279"/>
    <w:rsid w:val="0AEA1189"/>
    <w:rsid w:val="0B8D4DCB"/>
    <w:rsid w:val="0C5114BF"/>
    <w:rsid w:val="0C84057B"/>
    <w:rsid w:val="0C877D40"/>
    <w:rsid w:val="0CCA2D3C"/>
    <w:rsid w:val="0D0C3638"/>
    <w:rsid w:val="0D1D5845"/>
    <w:rsid w:val="0D31309F"/>
    <w:rsid w:val="0D505C1B"/>
    <w:rsid w:val="0E214EC1"/>
    <w:rsid w:val="0F0B522A"/>
    <w:rsid w:val="0F1669F0"/>
    <w:rsid w:val="0F24158C"/>
    <w:rsid w:val="0F421593"/>
    <w:rsid w:val="0F4672D5"/>
    <w:rsid w:val="0F895414"/>
    <w:rsid w:val="0F971432"/>
    <w:rsid w:val="105E064F"/>
    <w:rsid w:val="105E41AB"/>
    <w:rsid w:val="106A2B50"/>
    <w:rsid w:val="10AF0EAA"/>
    <w:rsid w:val="10E01064"/>
    <w:rsid w:val="11047F89"/>
    <w:rsid w:val="11C37460"/>
    <w:rsid w:val="11E84D9B"/>
    <w:rsid w:val="128679E9"/>
    <w:rsid w:val="12B91B6C"/>
    <w:rsid w:val="13054DB2"/>
    <w:rsid w:val="130C6140"/>
    <w:rsid w:val="13712447"/>
    <w:rsid w:val="13963C5C"/>
    <w:rsid w:val="13CF716E"/>
    <w:rsid w:val="13FD3CDB"/>
    <w:rsid w:val="141B23B3"/>
    <w:rsid w:val="14357918"/>
    <w:rsid w:val="14A800EA"/>
    <w:rsid w:val="14F25809"/>
    <w:rsid w:val="158009CE"/>
    <w:rsid w:val="15C471A6"/>
    <w:rsid w:val="161662EE"/>
    <w:rsid w:val="16C84A74"/>
    <w:rsid w:val="17215F32"/>
    <w:rsid w:val="172A3039"/>
    <w:rsid w:val="174F6F43"/>
    <w:rsid w:val="179B30D6"/>
    <w:rsid w:val="17D11706"/>
    <w:rsid w:val="17EA27C8"/>
    <w:rsid w:val="18185587"/>
    <w:rsid w:val="187A7FF0"/>
    <w:rsid w:val="19241D82"/>
    <w:rsid w:val="19BE2060"/>
    <w:rsid w:val="19DF45AE"/>
    <w:rsid w:val="1A3F329F"/>
    <w:rsid w:val="1AAC0209"/>
    <w:rsid w:val="1B010554"/>
    <w:rsid w:val="1BCB46BE"/>
    <w:rsid w:val="1BCF75B2"/>
    <w:rsid w:val="1C1D13BE"/>
    <w:rsid w:val="1C273FEB"/>
    <w:rsid w:val="1C2C33AF"/>
    <w:rsid w:val="1D220702"/>
    <w:rsid w:val="1DCA7781"/>
    <w:rsid w:val="1DE5415D"/>
    <w:rsid w:val="1E7B6870"/>
    <w:rsid w:val="1E7C028A"/>
    <w:rsid w:val="1E99039C"/>
    <w:rsid w:val="1F262338"/>
    <w:rsid w:val="1F884DA0"/>
    <w:rsid w:val="1FC55BF9"/>
    <w:rsid w:val="20020FF7"/>
    <w:rsid w:val="2011123A"/>
    <w:rsid w:val="2040567B"/>
    <w:rsid w:val="204213F3"/>
    <w:rsid w:val="20511636"/>
    <w:rsid w:val="20B00A53"/>
    <w:rsid w:val="20C938C2"/>
    <w:rsid w:val="20F72035"/>
    <w:rsid w:val="214B42D7"/>
    <w:rsid w:val="218C669E"/>
    <w:rsid w:val="21AE1E97"/>
    <w:rsid w:val="22547AEC"/>
    <w:rsid w:val="225E003A"/>
    <w:rsid w:val="226E2FD8"/>
    <w:rsid w:val="227A3848"/>
    <w:rsid w:val="22A05A4C"/>
    <w:rsid w:val="22A10E2B"/>
    <w:rsid w:val="22A55C69"/>
    <w:rsid w:val="230D7D88"/>
    <w:rsid w:val="23137077"/>
    <w:rsid w:val="23297026"/>
    <w:rsid w:val="235356C5"/>
    <w:rsid w:val="2355768F"/>
    <w:rsid w:val="23622AA8"/>
    <w:rsid w:val="23E32EED"/>
    <w:rsid w:val="23EB3B50"/>
    <w:rsid w:val="240B41F2"/>
    <w:rsid w:val="24AD7057"/>
    <w:rsid w:val="24C06D8A"/>
    <w:rsid w:val="24D80578"/>
    <w:rsid w:val="24DE5462"/>
    <w:rsid w:val="25083BE5"/>
    <w:rsid w:val="2535374E"/>
    <w:rsid w:val="253D03DB"/>
    <w:rsid w:val="259F4BF2"/>
    <w:rsid w:val="25A0409B"/>
    <w:rsid w:val="25A20B86"/>
    <w:rsid w:val="25A93CC2"/>
    <w:rsid w:val="25AC5561"/>
    <w:rsid w:val="265956E8"/>
    <w:rsid w:val="26C012C4"/>
    <w:rsid w:val="2750759B"/>
    <w:rsid w:val="28072F22"/>
    <w:rsid w:val="28304227"/>
    <w:rsid w:val="283D12EA"/>
    <w:rsid w:val="28E514B5"/>
    <w:rsid w:val="28FA4F22"/>
    <w:rsid w:val="291D5004"/>
    <w:rsid w:val="294F611B"/>
    <w:rsid w:val="295B1778"/>
    <w:rsid w:val="29DD1DCE"/>
    <w:rsid w:val="29FF65A7"/>
    <w:rsid w:val="2A225DF1"/>
    <w:rsid w:val="2A3E70CF"/>
    <w:rsid w:val="2A53244F"/>
    <w:rsid w:val="2A8B1F32"/>
    <w:rsid w:val="2AEA4B61"/>
    <w:rsid w:val="2B514BE0"/>
    <w:rsid w:val="2B664EC0"/>
    <w:rsid w:val="2BFF0A8F"/>
    <w:rsid w:val="2C0F476E"/>
    <w:rsid w:val="2C8B5ED0"/>
    <w:rsid w:val="2C924EF1"/>
    <w:rsid w:val="2CA64AB8"/>
    <w:rsid w:val="2CF47F19"/>
    <w:rsid w:val="2D281971"/>
    <w:rsid w:val="2D4D13D7"/>
    <w:rsid w:val="2D6D42B4"/>
    <w:rsid w:val="2D6D7CCB"/>
    <w:rsid w:val="2DF33D2D"/>
    <w:rsid w:val="2E232138"/>
    <w:rsid w:val="2E6E5AA9"/>
    <w:rsid w:val="2ECD6C74"/>
    <w:rsid w:val="2F422373"/>
    <w:rsid w:val="2F4D56BE"/>
    <w:rsid w:val="2F6B62C7"/>
    <w:rsid w:val="2F903918"/>
    <w:rsid w:val="2FA01C92"/>
    <w:rsid w:val="2FE80B17"/>
    <w:rsid w:val="30395C43"/>
    <w:rsid w:val="30455DA2"/>
    <w:rsid w:val="309A0DD7"/>
    <w:rsid w:val="30D50061"/>
    <w:rsid w:val="312E0D5F"/>
    <w:rsid w:val="319D4FDA"/>
    <w:rsid w:val="31DD2753"/>
    <w:rsid w:val="327D5F99"/>
    <w:rsid w:val="328D328A"/>
    <w:rsid w:val="32AE0B6A"/>
    <w:rsid w:val="32D00899"/>
    <w:rsid w:val="33030EB6"/>
    <w:rsid w:val="334B460B"/>
    <w:rsid w:val="336C5A75"/>
    <w:rsid w:val="33843679"/>
    <w:rsid w:val="33A1247D"/>
    <w:rsid w:val="33CA19D4"/>
    <w:rsid w:val="345C1AE2"/>
    <w:rsid w:val="346F257B"/>
    <w:rsid w:val="34CA77B1"/>
    <w:rsid w:val="353135B0"/>
    <w:rsid w:val="358B0CEF"/>
    <w:rsid w:val="35DB7EC8"/>
    <w:rsid w:val="36483084"/>
    <w:rsid w:val="36554D38"/>
    <w:rsid w:val="366C6D72"/>
    <w:rsid w:val="36704ABB"/>
    <w:rsid w:val="36877708"/>
    <w:rsid w:val="368A369C"/>
    <w:rsid w:val="36965B9D"/>
    <w:rsid w:val="37264D8C"/>
    <w:rsid w:val="374750E9"/>
    <w:rsid w:val="375241BA"/>
    <w:rsid w:val="376911FA"/>
    <w:rsid w:val="37DE5A4E"/>
    <w:rsid w:val="3885411B"/>
    <w:rsid w:val="38912BFC"/>
    <w:rsid w:val="38CF5396"/>
    <w:rsid w:val="391009E5"/>
    <w:rsid w:val="398402F3"/>
    <w:rsid w:val="39CD3D2B"/>
    <w:rsid w:val="39D72754"/>
    <w:rsid w:val="39EB421B"/>
    <w:rsid w:val="3A604588"/>
    <w:rsid w:val="3AA12D62"/>
    <w:rsid w:val="3AAA2E0E"/>
    <w:rsid w:val="3ABB2076"/>
    <w:rsid w:val="3B3E362E"/>
    <w:rsid w:val="3B7640B5"/>
    <w:rsid w:val="3BA90120"/>
    <w:rsid w:val="3BD57167"/>
    <w:rsid w:val="3BF82E56"/>
    <w:rsid w:val="3C790261"/>
    <w:rsid w:val="3C850B8E"/>
    <w:rsid w:val="3CB7686D"/>
    <w:rsid w:val="3CCD42E3"/>
    <w:rsid w:val="3D581DFE"/>
    <w:rsid w:val="3DA6700D"/>
    <w:rsid w:val="3DF22091"/>
    <w:rsid w:val="3E1877DF"/>
    <w:rsid w:val="3E4B1963"/>
    <w:rsid w:val="3EC82FB3"/>
    <w:rsid w:val="3F2A5A1C"/>
    <w:rsid w:val="3F3D74FE"/>
    <w:rsid w:val="3F9B4224"/>
    <w:rsid w:val="3FC73E49"/>
    <w:rsid w:val="40210BCD"/>
    <w:rsid w:val="40710FCD"/>
    <w:rsid w:val="409A44DC"/>
    <w:rsid w:val="409F7D44"/>
    <w:rsid w:val="40B74210"/>
    <w:rsid w:val="40BC26A4"/>
    <w:rsid w:val="416A2100"/>
    <w:rsid w:val="42BA2C13"/>
    <w:rsid w:val="43447D35"/>
    <w:rsid w:val="439671DC"/>
    <w:rsid w:val="43FE5490"/>
    <w:rsid w:val="44185E43"/>
    <w:rsid w:val="443A04B0"/>
    <w:rsid w:val="446E0159"/>
    <w:rsid w:val="44935E12"/>
    <w:rsid w:val="44A14902"/>
    <w:rsid w:val="44D426B2"/>
    <w:rsid w:val="44EA3D4C"/>
    <w:rsid w:val="458C786E"/>
    <w:rsid w:val="46357180"/>
    <w:rsid w:val="46A2058E"/>
    <w:rsid w:val="46FB4C77"/>
    <w:rsid w:val="47060224"/>
    <w:rsid w:val="475F3D89"/>
    <w:rsid w:val="47C307BC"/>
    <w:rsid w:val="47E1511C"/>
    <w:rsid w:val="48A405ED"/>
    <w:rsid w:val="48D569F9"/>
    <w:rsid w:val="48F549A5"/>
    <w:rsid w:val="490B5F77"/>
    <w:rsid w:val="4961028C"/>
    <w:rsid w:val="49891591"/>
    <w:rsid w:val="4ACC5BD9"/>
    <w:rsid w:val="4B0607DF"/>
    <w:rsid w:val="4B0709C0"/>
    <w:rsid w:val="4B436A33"/>
    <w:rsid w:val="4B5F07FC"/>
    <w:rsid w:val="4B6C066C"/>
    <w:rsid w:val="4B7778F3"/>
    <w:rsid w:val="4C453FFA"/>
    <w:rsid w:val="4CDD5E7C"/>
    <w:rsid w:val="4D2F41FE"/>
    <w:rsid w:val="4D4B1038"/>
    <w:rsid w:val="4E0833CC"/>
    <w:rsid w:val="4E114502"/>
    <w:rsid w:val="4E934F9B"/>
    <w:rsid w:val="4F0771E0"/>
    <w:rsid w:val="4F4B17C3"/>
    <w:rsid w:val="4F8741D0"/>
    <w:rsid w:val="4FE4694F"/>
    <w:rsid w:val="4FFC0D0F"/>
    <w:rsid w:val="504A2EA5"/>
    <w:rsid w:val="51031C29"/>
    <w:rsid w:val="510734C7"/>
    <w:rsid w:val="51121E6C"/>
    <w:rsid w:val="513403C7"/>
    <w:rsid w:val="515F3303"/>
    <w:rsid w:val="516A1CA8"/>
    <w:rsid w:val="51FA74D0"/>
    <w:rsid w:val="523C53F3"/>
    <w:rsid w:val="5314011E"/>
    <w:rsid w:val="53417424"/>
    <w:rsid w:val="53581C9E"/>
    <w:rsid w:val="537C375C"/>
    <w:rsid w:val="53CC09F8"/>
    <w:rsid w:val="541505F1"/>
    <w:rsid w:val="541F4FCC"/>
    <w:rsid w:val="5486504B"/>
    <w:rsid w:val="54C46B74"/>
    <w:rsid w:val="54E53F02"/>
    <w:rsid w:val="55110DB9"/>
    <w:rsid w:val="55911B18"/>
    <w:rsid w:val="55C405D1"/>
    <w:rsid w:val="55DE4F03"/>
    <w:rsid w:val="560C1580"/>
    <w:rsid w:val="56C9121F"/>
    <w:rsid w:val="56DC53F6"/>
    <w:rsid w:val="56E8330D"/>
    <w:rsid w:val="57160576"/>
    <w:rsid w:val="572D17AE"/>
    <w:rsid w:val="57631674"/>
    <w:rsid w:val="57BD5228"/>
    <w:rsid w:val="57FB7AFE"/>
    <w:rsid w:val="580F34EB"/>
    <w:rsid w:val="59224D50"/>
    <w:rsid w:val="59260BAB"/>
    <w:rsid w:val="595219A0"/>
    <w:rsid w:val="59DE2291"/>
    <w:rsid w:val="59DF7429"/>
    <w:rsid w:val="5A7F4A16"/>
    <w:rsid w:val="5AFE1DDF"/>
    <w:rsid w:val="5B90055D"/>
    <w:rsid w:val="5B991B08"/>
    <w:rsid w:val="5BA109BC"/>
    <w:rsid w:val="5C2F5FC8"/>
    <w:rsid w:val="5C45759A"/>
    <w:rsid w:val="5CB14C2F"/>
    <w:rsid w:val="5D0639FB"/>
    <w:rsid w:val="5D632661"/>
    <w:rsid w:val="5E48511F"/>
    <w:rsid w:val="5E48773B"/>
    <w:rsid w:val="5E6261E1"/>
    <w:rsid w:val="5E79177D"/>
    <w:rsid w:val="5F087BC9"/>
    <w:rsid w:val="5FCA5D96"/>
    <w:rsid w:val="5FD650D9"/>
    <w:rsid w:val="5FFE462F"/>
    <w:rsid w:val="60026C70"/>
    <w:rsid w:val="600C0AFA"/>
    <w:rsid w:val="6038228F"/>
    <w:rsid w:val="60790A8D"/>
    <w:rsid w:val="60CB2763"/>
    <w:rsid w:val="610B7004"/>
    <w:rsid w:val="615D7134"/>
    <w:rsid w:val="61B53EC8"/>
    <w:rsid w:val="61D36618"/>
    <w:rsid w:val="61E3588B"/>
    <w:rsid w:val="61E84C4F"/>
    <w:rsid w:val="628A21AA"/>
    <w:rsid w:val="6290707C"/>
    <w:rsid w:val="62C236F2"/>
    <w:rsid w:val="630E06E5"/>
    <w:rsid w:val="633B5253"/>
    <w:rsid w:val="63A86D8C"/>
    <w:rsid w:val="63D27965"/>
    <w:rsid w:val="646D3B32"/>
    <w:rsid w:val="64D81657"/>
    <w:rsid w:val="6502071E"/>
    <w:rsid w:val="65071890"/>
    <w:rsid w:val="658D52B6"/>
    <w:rsid w:val="65A45331"/>
    <w:rsid w:val="65C90626"/>
    <w:rsid w:val="661275CF"/>
    <w:rsid w:val="66216982"/>
    <w:rsid w:val="66794A10"/>
    <w:rsid w:val="669E7FD2"/>
    <w:rsid w:val="66A109EB"/>
    <w:rsid w:val="66B71094"/>
    <w:rsid w:val="67A07D7A"/>
    <w:rsid w:val="67CA7269"/>
    <w:rsid w:val="67F327FA"/>
    <w:rsid w:val="680734FC"/>
    <w:rsid w:val="6809591F"/>
    <w:rsid w:val="68175259"/>
    <w:rsid w:val="68642C76"/>
    <w:rsid w:val="68A044D6"/>
    <w:rsid w:val="69674FF3"/>
    <w:rsid w:val="69801C11"/>
    <w:rsid w:val="6A2E78BF"/>
    <w:rsid w:val="6ABC4ECB"/>
    <w:rsid w:val="6AE42500"/>
    <w:rsid w:val="6B0074AE"/>
    <w:rsid w:val="6B016D82"/>
    <w:rsid w:val="6B1C1E0E"/>
    <w:rsid w:val="6B742445"/>
    <w:rsid w:val="6B91677C"/>
    <w:rsid w:val="6BF1329A"/>
    <w:rsid w:val="6C054650"/>
    <w:rsid w:val="6C1F552A"/>
    <w:rsid w:val="6C335D7B"/>
    <w:rsid w:val="6D156541"/>
    <w:rsid w:val="6D4D4500"/>
    <w:rsid w:val="6D9B170F"/>
    <w:rsid w:val="6DE53C4F"/>
    <w:rsid w:val="6F173018"/>
    <w:rsid w:val="6F370FC4"/>
    <w:rsid w:val="703C33F6"/>
    <w:rsid w:val="709A3F00"/>
    <w:rsid w:val="709B5583"/>
    <w:rsid w:val="711C4915"/>
    <w:rsid w:val="712324FF"/>
    <w:rsid w:val="719552C0"/>
    <w:rsid w:val="71CB1E97"/>
    <w:rsid w:val="71F238C8"/>
    <w:rsid w:val="721D26F3"/>
    <w:rsid w:val="72390E26"/>
    <w:rsid w:val="724265FE"/>
    <w:rsid w:val="724C4D86"/>
    <w:rsid w:val="729460B7"/>
    <w:rsid w:val="72987C62"/>
    <w:rsid w:val="72BC16D7"/>
    <w:rsid w:val="72BD0FFB"/>
    <w:rsid w:val="72D45068"/>
    <w:rsid w:val="735759D8"/>
    <w:rsid w:val="736B56E0"/>
    <w:rsid w:val="738543DC"/>
    <w:rsid w:val="738B7B30"/>
    <w:rsid w:val="73B716FA"/>
    <w:rsid w:val="7434641A"/>
    <w:rsid w:val="744321B9"/>
    <w:rsid w:val="747E2DEB"/>
    <w:rsid w:val="748A428C"/>
    <w:rsid w:val="751A116C"/>
    <w:rsid w:val="753812B9"/>
    <w:rsid w:val="765406AD"/>
    <w:rsid w:val="76CF3D32"/>
    <w:rsid w:val="772067E2"/>
    <w:rsid w:val="77324E93"/>
    <w:rsid w:val="775766A7"/>
    <w:rsid w:val="785E3A65"/>
    <w:rsid w:val="788542AD"/>
    <w:rsid w:val="78B75DBE"/>
    <w:rsid w:val="78F85C68"/>
    <w:rsid w:val="7A212F9C"/>
    <w:rsid w:val="7A546ECE"/>
    <w:rsid w:val="7A637111"/>
    <w:rsid w:val="7B0C77A9"/>
    <w:rsid w:val="7B18614D"/>
    <w:rsid w:val="7B220D7A"/>
    <w:rsid w:val="7B3D1190"/>
    <w:rsid w:val="7B51340D"/>
    <w:rsid w:val="7B7A0AB8"/>
    <w:rsid w:val="7BCB31C0"/>
    <w:rsid w:val="7C1D1542"/>
    <w:rsid w:val="7C266648"/>
    <w:rsid w:val="7C741AA9"/>
    <w:rsid w:val="7C896BD7"/>
    <w:rsid w:val="7CEC1640"/>
    <w:rsid w:val="7CEF1130"/>
    <w:rsid w:val="7D036989"/>
    <w:rsid w:val="7D82453B"/>
    <w:rsid w:val="7D9C12B8"/>
    <w:rsid w:val="7DC91981"/>
    <w:rsid w:val="7DE44A0D"/>
    <w:rsid w:val="7DF05160"/>
    <w:rsid w:val="7DF6029C"/>
    <w:rsid w:val="7E543940"/>
    <w:rsid w:val="7E5F606D"/>
    <w:rsid w:val="7E6A252A"/>
    <w:rsid w:val="7EB9789E"/>
    <w:rsid w:val="7EE051D4"/>
    <w:rsid w:val="7EFE565A"/>
    <w:rsid w:val="7F7B442D"/>
    <w:rsid w:val="7F8C0EB8"/>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9"/>
    <w:qFormat/>
    <w:uiPriority w:val="0"/>
    <w:pPr>
      <w:keepNext/>
      <w:keepLines/>
      <w:spacing w:before="260" w:after="260" w:line="416" w:lineRule="auto"/>
      <w:outlineLvl w:val="2"/>
    </w:pPr>
    <w:rPr>
      <w:b/>
      <w:bCs/>
      <w:sz w:val="32"/>
      <w:szCs w:val="32"/>
    </w:rPr>
  </w:style>
  <w:style w:type="paragraph" w:styleId="2">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9"/>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0"/>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3"/>
    <w:qFormat/>
    <w:uiPriority w:val="0"/>
    <w:rPr>
      <w:b/>
      <w:bCs/>
      <w:kern w:val="44"/>
      <w:sz w:val="44"/>
      <w:szCs w:val="44"/>
    </w:rPr>
  </w:style>
  <w:style w:type="character" w:customStyle="1" w:styleId="38">
    <w:name w:val="标题 2 字符"/>
    <w:link w:val="4"/>
    <w:qFormat/>
    <w:uiPriority w:val="0"/>
    <w:rPr>
      <w:rFonts w:ascii="Arial" w:hAnsi="Arial" w:eastAsia="黑体"/>
      <w:b/>
      <w:bCs/>
      <w:kern w:val="2"/>
      <w:sz w:val="32"/>
      <w:szCs w:val="32"/>
    </w:rPr>
  </w:style>
  <w:style w:type="character" w:customStyle="1" w:styleId="39">
    <w:name w:val="标题 3 字符"/>
    <w:link w:val="5"/>
    <w:qFormat/>
    <w:uiPriority w:val="0"/>
    <w:rPr>
      <w:b/>
      <w:bCs/>
      <w:kern w:val="2"/>
      <w:sz w:val="32"/>
      <w:szCs w:val="32"/>
    </w:rPr>
  </w:style>
  <w:style w:type="character" w:customStyle="1" w:styleId="40">
    <w:name w:val="标题 4 字符"/>
    <w:link w:val="2"/>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234">
    <w:name w:val="标准书眉_奇数页"/>
    <w:next w:val="1"/>
    <w:autoRedefine/>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35">
    <w:name w:val="标准书眉_偶数页"/>
    <w:basedOn w:val="234"/>
    <w:next w:val="1"/>
    <w:autoRedefine/>
    <w:qFormat/>
    <w:uiPriority w:val="0"/>
    <w:pPr>
      <w:jc w:val="left"/>
    </w:pPr>
  </w:style>
  <w:style w:type="paragraph" w:customStyle="1" w:styleId="236">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37">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38">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9">
    <w:name w:val="批注文字 字符"/>
    <w:basedOn w:val="30"/>
    <w:link w:val="13"/>
    <w:semiHidden/>
    <w:qFormat/>
    <w:uiPriority w:val="99"/>
    <w:rPr>
      <w:kern w:val="2"/>
      <w:sz w:val="21"/>
      <w:szCs w:val="21"/>
    </w:rPr>
  </w:style>
  <w:style w:type="character" w:customStyle="1" w:styleId="240">
    <w:name w:val="批注主题 字符"/>
    <w:basedOn w:val="239"/>
    <w:link w:val="27"/>
    <w:semiHidden/>
    <w:qFormat/>
    <w:uiPriority w:val="99"/>
    <w:rPr>
      <w:b/>
      <w:bCs/>
      <w:kern w:val="2"/>
      <w:sz w:val="21"/>
      <w:szCs w:val="21"/>
    </w:rPr>
  </w:style>
  <w:style w:type="paragraph" w:customStyle="1" w:styleId="241">
    <w:name w:val="Revision"/>
    <w:hidden/>
    <w:unhideWhenUsed/>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6E3787E326452FA34F4318F9DD355F"/>
        <w:style w:val=""/>
        <w:category>
          <w:name w:val="常规"/>
          <w:gallery w:val="placeholder"/>
        </w:category>
        <w:types>
          <w:type w:val="bbPlcHdr"/>
        </w:types>
        <w:behaviors>
          <w:behavior w:val="content"/>
        </w:behaviors>
        <w:description w:val=""/>
        <w:guid w:val="{267BE175-6B67-4ABD-9AB3-6F48D2E61922}"/>
      </w:docPartPr>
      <w:docPartBody>
        <w:p w14:paraId="09FDE44D">
          <w:pPr>
            <w:pStyle w:val="5"/>
            <w:rPr>
              <w:rFonts w:hint="eastAsia"/>
            </w:rPr>
          </w:pPr>
          <w:r>
            <w:rPr>
              <w:rStyle w:val="4"/>
              <w:rFonts w:hint="eastAsia"/>
            </w:rPr>
            <w:t>单击或点击此处输入文字。</w:t>
          </w:r>
        </w:p>
      </w:docPartBody>
    </w:docPart>
    <w:docPart>
      <w:docPartPr>
        <w:name w:val="{7a567e32-ec65-4d1f-9184-f849ba277298}"/>
        <w:style w:val=""/>
        <w:category>
          <w:name w:val="常规"/>
          <w:gallery w:val="placeholder"/>
        </w:category>
        <w:types>
          <w:type w:val="bbPlcHdr"/>
        </w:types>
        <w:behaviors>
          <w:behavior w:val="content"/>
        </w:behaviors>
        <w:description w:val=""/>
        <w:guid w:val="{7A567E32-EC65-4D1F-9184-F849BA277298}"/>
      </w:docPartPr>
      <w:docPartBody>
        <w:p w14:paraId="609D2A46">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55"/>
    <w:rsid w:val="000451D3"/>
    <w:rsid w:val="00053BC9"/>
    <w:rsid w:val="000870DA"/>
    <w:rsid w:val="00121BA6"/>
    <w:rsid w:val="00196774"/>
    <w:rsid w:val="001B7130"/>
    <w:rsid w:val="001D5B33"/>
    <w:rsid w:val="001E34B9"/>
    <w:rsid w:val="002A6175"/>
    <w:rsid w:val="00591F0D"/>
    <w:rsid w:val="005B5F6C"/>
    <w:rsid w:val="005E185C"/>
    <w:rsid w:val="00652DFF"/>
    <w:rsid w:val="00655982"/>
    <w:rsid w:val="006745D0"/>
    <w:rsid w:val="0080543B"/>
    <w:rsid w:val="00811DCC"/>
    <w:rsid w:val="00850FC2"/>
    <w:rsid w:val="00925446"/>
    <w:rsid w:val="00937152"/>
    <w:rsid w:val="00961A9F"/>
    <w:rsid w:val="009B6255"/>
    <w:rsid w:val="00A8068A"/>
    <w:rsid w:val="00B71601"/>
    <w:rsid w:val="00C72509"/>
    <w:rsid w:val="00D946BE"/>
    <w:rsid w:val="00DF0981"/>
    <w:rsid w:val="00E21727"/>
    <w:rsid w:val="00E86A87"/>
    <w:rsid w:val="00F10181"/>
    <w:rsid w:val="00F34FDD"/>
    <w:rsid w:val="00FE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6E3787E326452FA34F4318F9DD35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28E8159288E40C2AB02C9C3B73C502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AD5EA-DF3E-40AC-9079-1C83C9A547E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4038</Words>
  <Characters>4325</Characters>
  <Lines>37</Lines>
  <Paragraphs>10</Paragraphs>
  <TotalTime>22</TotalTime>
  <ScaleCrop>false</ScaleCrop>
  <LinksUpToDate>false</LinksUpToDate>
  <CharactersWithSpaces>4408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2022-04-24T10:43:00Z</dcterms:created>
  <dc:creator>z z</dc:creator>
  <dc:description>&lt;config cover="true" show_menu="true" version="1.0.0" doctype="SDKXY"&gt;_x000d_
&lt;/config&gt;</dc:description>
  <cp:lastModifiedBy>color</cp:lastModifiedBy>
  <cp:lastPrinted>2021-02-02T08:22:00Z</cp:lastPrinted>
  <dcterms:modified xsi:type="dcterms:W3CDTF">2025-02-20T09:23:06Z</dcterms:modified>
  <dc:title>团体标准</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eyJoZGlkIjoiZTNiMmJjMGUyMDNhMGI0MjllZTc4OTE3ODRjOTBjMWQiLCJ1c2VySWQiOiIyMjE3MTg5ODIifQ==</vt:lpwstr>
  </property>
  <property fmtid="{D5CDD505-2E9C-101B-9397-08002B2CF9AE}" pid="15" name="KSOProductBuildVer">
    <vt:lpwstr>2052-12.1.0.19770</vt:lpwstr>
  </property>
  <property fmtid="{D5CDD505-2E9C-101B-9397-08002B2CF9AE}" pid="16" name="ICV">
    <vt:lpwstr>345CBF42077348CC9A98151F4B493495_12</vt:lpwstr>
  </property>
</Properties>
</file>