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652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BA77C85">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360DEDF">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4607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A9CEA5">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495E9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1696D60">
                  <w:pPr>
                    <w:pStyle w:val="55"/>
                    <w:framePr w:wrap="notBeside" w:vAnchor="page" w:hAnchor="page" w:x="1372" w:y="568"/>
                    <w:ind w:left="420" w:right="624"/>
                    <w:rPr>
                      <w:rFonts w:hint="eastAsia" w:ascii="宋体" w:hAnsi="宋体"/>
                      <w:sz w:val="28"/>
                      <w:szCs w:val="28"/>
                    </w:rPr>
                  </w:pPr>
                  <w:r>
                    <w:rPr>
                      <w:sz w:val="21"/>
                      <w:szCs w:val="21"/>
                    </w:rPr>
                    <w:t xml:space="preserve"> </w:t>
                  </w:r>
                </w:p>
              </w:tc>
            </w:tr>
          </w:tbl>
          <w:p w14:paraId="261D1DA9">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kern w:val="0"/>
                <w:sz w:val="10"/>
                <w:szCs w:val="10"/>
              </w:rPr>
              <w:drawing>
                <wp:anchor distT="0" distB="0" distL="114300" distR="114300" simplePos="0" relativeHeight="251659264" behindDoc="0" locked="0" layoutInCell="1" allowOverlap="1">
                  <wp:simplePos x="0" y="0"/>
                  <wp:positionH relativeFrom="column">
                    <wp:posOffset>3818890</wp:posOffset>
                  </wp:positionH>
                  <wp:positionV relativeFrom="paragraph">
                    <wp:posOffset>-530860</wp:posOffset>
                  </wp:positionV>
                  <wp:extent cx="1818640" cy="1628775"/>
                  <wp:effectExtent l="0" t="0" r="0" b="0"/>
                  <wp:wrapNone/>
                  <wp:docPr id="212422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29550"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8640" cy="1628775"/>
                          </a:xfrm>
                          <a:prstGeom prst="rect">
                            <a:avLst/>
                          </a:prstGeom>
                        </pic:spPr>
                      </pic:pic>
                    </a:graphicData>
                  </a:graphic>
                </wp:anchor>
              </w:drawing>
            </w: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2C1B84B1">
      <w:pPr>
        <w:pStyle w:val="56"/>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6BE4EAC">
      <w:pPr>
        <w:pStyle w:val="200"/>
        <w:framePr/>
      </w:pPr>
      <w:r>
        <w:t>T/</w:t>
      </w:r>
      <w:r>
        <w:rPr>
          <w:rFonts w:hint="eastAsia"/>
        </w:rPr>
        <w:t>CCPITCSC</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3DDCE431">
      <w:pPr>
        <w:pStyle w:val="201"/>
        <w:framePr/>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5E2AFF1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28A2181">
      <w:pPr>
        <w:pStyle w:val="56"/>
        <w:framePr w:w="9639" w:h="6976" w:hRule="exact" w:hSpace="0" w:vSpace="0" w:wrap="around" w:hAnchor="page" w:y="6408"/>
        <w:jc w:val="center"/>
        <w:rPr>
          <w:rFonts w:hint="eastAsia" w:ascii="黑体" w:hAnsi="黑体" w:eastAsia="黑体"/>
          <w:b w:val="0"/>
          <w:bCs w:val="0"/>
          <w:w w:val="100"/>
        </w:rPr>
      </w:pPr>
    </w:p>
    <w:p w14:paraId="78341226">
      <w:pPr>
        <w:pStyle w:val="202"/>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企业税务合规管理规范</w:t>
      </w:r>
      <w:r>
        <w:fldChar w:fldCharType="end"/>
      </w:r>
      <w:bookmarkEnd w:id="6"/>
    </w:p>
    <w:p w14:paraId="00A9362B">
      <w:pPr>
        <w:framePr w:w="9639" w:h="6974" w:hRule="exact" w:wrap="around" w:vAnchor="page" w:hAnchor="page" w:x="1419" w:y="6408" w:anchorLock="1"/>
        <w:ind w:left="-1418"/>
      </w:pPr>
    </w:p>
    <w:p w14:paraId="768FB48F">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Specifications for enterprise tax compliance management"/>
            </w:textInput>
          </w:ffData>
        </w:fldChar>
      </w:r>
      <w:bookmarkStart w:id="7" w:name="ESTD_NAME"/>
      <w:r>
        <w:rPr>
          <w:rFonts w:eastAsia="黑体"/>
          <w:szCs w:val="28"/>
        </w:rPr>
        <w:instrText xml:space="preserve"> FORMTEXT </w:instrText>
      </w:r>
      <w:r>
        <w:rPr>
          <w:rFonts w:eastAsia="黑体"/>
          <w:szCs w:val="28"/>
        </w:rPr>
        <w:fldChar w:fldCharType="separate"/>
      </w:r>
      <w:r>
        <w:rPr>
          <w:rFonts w:eastAsia="黑体"/>
          <w:szCs w:val="28"/>
        </w:rPr>
        <w:t>Specifications for enterprise tax compliance management</w:t>
      </w:r>
      <w:r>
        <w:rPr>
          <w:rFonts w:eastAsia="黑体"/>
          <w:szCs w:val="28"/>
        </w:rPr>
        <w:fldChar w:fldCharType="end"/>
      </w:r>
      <w:bookmarkEnd w:id="7"/>
    </w:p>
    <w:p w14:paraId="020EC0D9">
      <w:pPr>
        <w:framePr w:w="9639" w:h="6974" w:hRule="exact" w:wrap="around" w:vAnchor="page" w:hAnchor="page" w:x="1419" w:y="6408" w:anchorLock="1"/>
        <w:spacing w:line="760" w:lineRule="exact"/>
        <w:ind w:left="-1418"/>
      </w:pPr>
    </w:p>
    <w:p w14:paraId="0B08FD42">
      <w:pPr>
        <w:pStyle w:val="130"/>
        <w:framePr w:w="9639" w:h="6974" w:hRule="exact" w:wrap="around" w:vAnchor="page" w:hAnchor="page" w:x="1419" w:y="6408" w:anchorLock="1"/>
        <w:textAlignment w:val="bottom"/>
        <w:rPr>
          <w:rFonts w:eastAsia="黑体"/>
          <w:szCs w:val="28"/>
        </w:rPr>
      </w:pPr>
    </w:p>
    <w:p w14:paraId="72E877D6">
      <w:pPr>
        <w:pStyle w:val="130"/>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5B4A39AD">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499396F6">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3E133189">
      <w:pPr>
        <w:pStyle w:val="198"/>
        <w:framePr w:wrap="around" w:y="14176"/>
      </w:pPr>
      <w:r>
        <w:rPr>
          <w:rFonts w:hint="eastAsia" w:ascii="黑体"/>
        </w:rPr>
        <w:t>2025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01602A44">
      <w:pPr>
        <w:pStyle w:val="199"/>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61422FD8">
      <w:pPr>
        <w:pStyle w:val="156"/>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中国国际贸易促进委员会商业行业委员</w:t>
      </w:r>
      <w:r>
        <w:rPr>
          <w:rFonts w:hAnsi="黑体"/>
          <w:w w:val="100"/>
          <w:sz w:val="28"/>
        </w:rPr>
        <w:fldChar w:fldCharType="end"/>
      </w:r>
      <w:bookmarkEnd w:id="16"/>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541E899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CC1E459">
      <w:pPr>
        <w:pStyle w:val="97"/>
        <w:spacing w:after="360"/>
      </w:pPr>
      <w:bookmarkStart w:id="17" w:name="BookMark1"/>
      <w:bookmarkStart w:id="18" w:name="_Toc187133929"/>
      <w:bookmarkStart w:id="19" w:name="_Toc187133889"/>
      <w:bookmarkStart w:id="20" w:name="_Toc188363478"/>
      <w:r>
        <w:rPr>
          <w:rFonts w:hint="eastAsia"/>
          <w:spacing w:val="320"/>
        </w:rPr>
        <w:t>目</w:t>
      </w:r>
      <w:r>
        <w:rPr>
          <w:rFonts w:hint="eastAsia"/>
        </w:rPr>
        <w:t>次</w:t>
      </w:r>
    </w:p>
    <w:p w14:paraId="356220DF">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"_Toc188519702" </w:instrText>
      </w:r>
      <w:r>
        <w:fldChar w:fldCharType="separate"/>
      </w:r>
      <w:r>
        <w:rPr>
          <w:rStyle w:val="36"/>
          <w:rFonts w:hint="eastAsia"/>
        </w:rPr>
        <w:t>前言</w:t>
      </w:r>
      <w:r>
        <w:rPr>
          <w:rFonts w:hint="eastAsia"/>
        </w:rPr>
        <w:tab/>
      </w:r>
      <w:r>
        <w:rPr>
          <w:rFonts w:hint="eastAsia"/>
        </w:rPr>
        <w:fldChar w:fldCharType="begin"/>
      </w:r>
      <w:r>
        <w:rPr>
          <w:rFonts w:hint="eastAsia"/>
        </w:rPr>
        <w:instrText xml:space="preserve"> </w:instrText>
      </w:r>
      <w:r>
        <w:instrText xml:space="preserve">PAGEREF _Toc188519702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093CC47">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"_Toc188519703" </w:instrText>
      </w:r>
      <w:r>
        <w:fldChar w:fldCharType="separate"/>
      </w:r>
      <w:r>
        <w:rPr>
          <w:rStyle w:val="36"/>
          <w:rFonts w:hint="eastAsia"/>
        </w:rPr>
        <w:t>引言</w:t>
      </w:r>
      <w:r>
        <w:rPr>
          <w:rFonts w:hint="eastAsia"/>
        </w:rPr>
        <w:tab/>
      </w:r>
      <w:r>
        <w:rPr>
          <w:rFonts w:hint="eastAsia"/>
        </w:rPr>
        <w:fldChar w:fldCharType="begin"/>
      </w:r>
      <w:r>
        <w:rPr>
          <w:rFonts w:hint="eastAsia"/>
        </w:rPr>
        <w:instrText xml:space="preserve"> </w:instrText>
      </w:r>
      <w:r>
        <w:instrText xml:space="preserve">PAGEREF _Toc188519703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1107B4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"_Toc188519704" </w:instrText>
      </w:r>
      <w:r>
        <w:fldChar w:fldCharType="separate"/>
      </w:r>
      <w:r>
        <w:rPr>
          <w:rStyle w:val="36"/>
          <w:rFonts w:hint="eastAsia"/>
        </w:rPr>
        <w:t>1</w:t>
      </w:r>
      <w:r>
        <w:rPr>
          <w:rStyle w:val="36"/>
        </w:rPr>
        <w:t xml:space="preserve"> </w:t>
      </w:r>
      <w:r>
        <w:rPr>
          <w:rStyle w:val="36"/>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_Toc188519704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5681E7">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"_Toc188519705" </w:instrText>
      </w:r>
      <w:r>
        <w:fldChar w:fldCharType="separate"/>
      </w:r>
      <w:r>
        <w:rPr>
          <w:rStyle w:val="36"/>
          <w:rFonts w:hint="eastAsia"/>
        </w:rPr>
        <w:t>2</w:t>
      </w:r>
      <w:r>
        <w:rPr>
          <w:rStyle w:val="36"/>
        </w:rPr>
        <w:t xml:space="preserve"> </w:t>
      </w:r>
      <w:r>
        <w:rPr>
          <w:rStyle w:val="36"/>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_Toc188519705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C2415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"_Toc188519706" </w:instrText>
      </w:r>
      <w:r>
        <w:fldChar w:fldCharType="separate"/>
      </w:r>
      <w:r>
        <w:rPr>
          <w:rStyle w:val="36"/>
          <w:rFonts w:hint="eastAsia"/>
        </w:rPr>
        <w:t>3</w:t>
      </w:r>
      <w:r>
        <w:rPr>
          <w:rStyle w:val="36"/>
        </w:rPr>
        <w:t xml:space="preserve"> </w:t>
      </w:r>
      <w:r>
        <w:rPr>
          <w:rStyle w:val="36"/>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_Toc188519706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51E9A5">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"_Toc188519707" </w:instrText>
      </w:r>
      <w:r>
        <w:fldChar w:fldCharType="separate"/>
      </w:r>
      <w:r>
        <w:rPr>
          <w:rStyle w:val="36"/>
          <w:rFonts w:hint="eastAsia"/>
        </w:rPr>
        <w:t>4</w:t>
      </w:r>
      <w:r>
        <w:rPr>
          <w:rStyle w:val="36"/>
        </w:rPr>
        <w:t xml:space="preserve"> </w:t>
      </w:r>
      <w:r>
        <w:rPr>
          <w:rStyle w:val="36"/>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_Toc188519707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57D3182">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"_Toc188519710" </w:instrText>
      </w:r>
      <w:r>
        <w:fldChar w:fldCharType="separate"/>
      </w:r>
      <w:r>
        <w:rPr>
          <w:rStyle w:val="36"/>
          <w:rFonts w:hint="eastAsia"/>
        </w:rPr>
        <w:t>5</w:t>
      </w:r>
      <w:r>
        <w:rPr>
          <w:rStyle w:val="36"/>
        </w:rPr>
        <w:t xml:space="preserve"> </w:t>
      </w:r>
      <w:r>
        <w:rPr>
          <w:rStyle w:val="36"/>
          <w:rFonts w:hint="eastAsia"/>
        </w:rPr>
        <w:t xml:space="preserve"> 税务合规管理制度</w:t>
      </w:r>
      <w:r>
        <w:rPr>
          <w:rFonts w:hint="eastAsia"/>
        </w:rPr>
        <w:tab/>
      </w:r>
      <w:r>
        <w:rPr>
          <w:rFonts w:hint="eastAsia"/>
        </w:rPr>
        <w:fldChar w:fldCharType="begin"/>
      </w:r>
      <w:r>
        <w:rPr>
          <w:rFonts w:hint="eastAsia"/>
        </w:rPr>
        <w:instrText xml:space="preserve"> </w:instrText>
      </w:r>
      <w:r>
        <w:instrText xml:space="preserve">PAGEREF _Toc188519710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EE14EDF">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"_Toc188519711" </w:instrText>
      </w:r>
      <w:r>
        <w:fldChar w:fldCharType="separate"/>
      </w:r>
      <w:r>
        <w:rPr>
          <w:rStyle w:val="36"/>
          <w:rFonts w:hint="eastAsia"/>
        </w:rPr>
        <w:t>6</w:t>
      </w:r>
      <w:r>
        <w:rPr>
          <w:rStyle w:val="36"/>
        </w:rPr>
        <w:t xml:space="preserve"> </w:t>
      </w:r>
      <w:r>
        <w:rPr>
          <w:rStyle w:val="36"/>
          <w:rFonts w:hint="eastAsia"/>
        </w:rPr>
        <w:t xml:space="preserve"> 税务合规管理内容</w:t>
      </w:r>
      <w:r>
        <w:rPr>
          <w:rFonts w:hint="eastAsia"/>
        </w:rPr>
        <w:tab/>
      </w:r>
      <w:r>
        <w:rPr>
          <w:rFonts w:hint="eastAsia"/>
        </w:rPr>
        <w:fldChar w:fldCharType="begin"/>
      </w:r>
      <w:r>
        <w:rPr>
          <w:rFonts w:hint="eastAsia"/>
        </w:rPr>
        <w:instrText xml:space="preserve"> </w:instrText>
      </w:r>
      <w:r>
        <w:instrText xml:space="preserve">PAGEREF _Toc188519711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49BAA97">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"_Toc188519720" </w:instrText>
      </w:r>
      <w:r>
        <w:fldChar w:fldCharType="separate"/>
      </w:r>
      <w:r>
        <w:rPr>
          <w:rStyle w:val="36"/>
          <w:rFonts w:hint="eastAsia"/>
        </w:rPr>
        <w:t>7</w:t>
      </w:r>
      <w:r>
        <w:rPr>
          <w:rStyle w:val="36"/>
        </w:rPr>
        <w:t xml:space="preserve"> </w:t>
      </w:r>
      <w:r>
        <w:rPr>
          <w:rStyle w:val="36"/>
          <w:rFonts w:hint="eastAsia"/>
        </w:rPr>
        <w:t xml:space="preserve"> 运行机制</w:t>
      </w:r>
      <w:r>
        <w:rPr>
          <w:rFonts w:hint="eastAsia"/>
        </w:rPr>
        <w:tab/>
      </w:r>
      <w:r>
        <w:rPr>
          <w:rFonts w:hint="eastAsia"/>
        </w:rPr>
        <w:fldChar w:fldCharType="begin"/>
      </w:r>
      <w:r>
        <w:rPr>
          <w:rFonts w:hint="eastAsia"/>
        </w:rPr>
        <w:instrText xml:space="preserve"> </w:instrText>
      </w:r>
      <w:r>
        <w:instrText xml:space="preserve">PAGEREF _Toc188519720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2EC13B5">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"_Toc188519721" </w:instrText>
      </w:r>
      <w:r>
        <w:fldChar w:fldCharType="separate"/>
      </w:r>
      <w:r>
        <w:rPr>
          <w:rStyle w:val="36"/>
          <w:rFonts w:hint="eastAsia"/>
        </w:rPr>
        <w:t>8</w:t>
      </w:r>
      <w:r>
        <w:rPr>
          <w:rStyle w:val="36"/>
        </w:rPr>
        <w:t xml:space="preserve"> </w:t>
      </w:r>
      <w:r>
        <w:rPr>
          <w:rStyle w:val="36"/>
          <w:rFonts w:hint="eastAsia"/>
        </w:rPr>
        <w:t xml:space="preserve"> 税务合规日常管理</w:t>
      </w:r>
      <w:r>
        <w:rPr>
          <w:rFonts w:hint="eastAsia"/>
        </w:rPr>
        <w:tab/>
      </w:r>
      <w:r>
        <w:rPr>
          <w:rFonts w:hint="eastAsia"/>
        </w:rPr>
        <w:fldChar w:fldCharType="begin"/>
      </w:r>
      <w:r>
        <w:rPr>
          <w:rFonts w:hint="eastAsia"/>
        </w:rPr>
        <w:instrText xml:space="preserve"> </w:instrText>
      </w:r>
      <w:r>
        <w:instrText xml:space="preserve">PAGEREF _Toc188519721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5BCF114">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"_Toc188519722" </w:instrText>
      </w:r>
      <w:r>
        <w:fldChar w:fldCharType="separate"/>
      </w:r>
      <w:r>
        <w:rPr>
          <w:rStyle w:val="36"/>
          <w:rFonts w:hint="eastAsia"/>
        </w:rPr>
        <w:t>9</w:t>
      </w:r>
      <w:r>
        <w:rPr>
          <w:rStyle w:val="36"/>
        </w:rPr>
        <w:t xml:space="preserve"> </w:t>
      </w:r>
      <w:r>
        <w:rPr>
          <w:rStyle w:val="36"/>
          <w:rFonts w:hint="eastAsia"/>
        </w:rPr>
        <w:t xml:space="preserve"> 税务高风险事项合规管理</w:t>
      </w:r>
      <w:r>
        <w:rPr>
          <w:rFonts w:hint="eastAsia"/>
        </w:rPr>
        <w:tab/>
      </w:r>
      <w:r>
        <w:rPr>
          <w:rFonts w:hint="eastAsia"/>
        </w:rPr>
        <w:fldChar w:fldCharType="begin"/>
      </w:r>
      <w:r>
        <w:rPr>
          <w:rFonts w:hint="eastAsia"/>
        </w:rPr>
        <w:instrText xml:space="preserve"> </w:instrText>
      </w:r>
      <w:r>
        <w:instrText xml:space="preserve">PAGEREF _Toc188519722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C795C71">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"_Toc188519723" </w:instrText>
      </w:r>
      <w:r>
        <w:fldChar w:fldCharType="separate"/>
      </w:r>
      <w:r>
        <w:rPr>
          <w:rStyle w:val="36"/>
          <w:rFonts w:hint="eastAsia"/>
        </w:rPr>
        <w:t>10</w:t>
      </w:r>
      <w:r>
        <w:rPr>
          <w:rStyle w:val="36"/>
        </w:rPr>
        <w:t xml:space="preserve"> </w:t>
      </w:r>
      <w:r>
        <w:rPr>
          <w:rStyle w:val="36"/>
          <w:rFonts w:hint="eastAsia"/>
        </w:rPr>
        <w:t xml:space="preserve"> 税务合规管理数字化</w:t>
      </w:r>
      <w:r>
        <w:rPr>
          <w:rFonts w:hint="eastAsia"/>
        </w:rPr>
        <w:tab/>
      </w:r>
      <w:r>
        <w:rPr>
          <w:rFonts w:hint="eastAsia"/>
        </w:rPr>
        <w:fldChar w:fldCharType="begin"/>
      </w:r>
      <w:r>
        <w:rPr>
          <w:rFonts w:hint="eastAsia"/>
        </w:rPr>
        <w:instrText xml:space="preserve"> </w:instrText>
      </w:r>
      <w:r>
        <w:instrText xml:space="preserve">PAGEREF _Toc188519723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6DC1C2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"_Toc188519724" </w:instrText>
      </w:r>
      <w:r>
        <w:fldChar w:fldCharType="separate"/>
      </w:r>
      <w:r>
        <w:rPr>
          <w:rStyle w:val="36"/>
          <w:rFonts w:hint="eastAsia"/>
        </w:rPr>
        <w:t>11</w:t>
      </w:r>
      <w:r>
        <w:rPr>
          <w:rStyle w:val="36"/>
        </w:rPr>
        <w:t xml:space="preserve"> </w:t>
      </w:r>
      <w:r>
        <w:rPr>
          <w:rStyle w:val="36"/>
          <w:rFonts w:hint="eastAsia"/>
        </w:rPr>
        <w:t xml:space="preserve"> 税务合规文化建设</w:t>
      </w:r>
      <w:r>
        <w:rPr>
          <w:rFonts w:hint="eastAsia"/>
        </w:rPr>
        <w:tab/>
      </w:r>
      <w:r>
        <w:rPr>
          <w:rFonts w:hint="eastAsia"/>
        </w:rPr>
        <w:fldChar w:fldCharType="begin"/>
      </w:r>
      <w:r>
        <w:rPr>
          <w:rFonts w:hint="eastAsia"/>
        </w:rPr>
        <w:instrText xml:space="preserve"> </w:instrText>
      </w:r>
      <w:r>
        <w:instrText xml:space="preserve">PAGEREF _Toc188519724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5314B2D">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"_Toc188519725" </w:instrText>
      </w:r>
      <w:r>
        <w:fldChar w:fldCharType="separate"/>
      </w:r>
      <w:r>
        <w:rPr>
          <w:rStyle w:val="36"/>
          <w:rFonts w:hint="eastAsia"/>
        </w:rPr>
        <w:t>附录A（资料性）</w:t>
      </w:r>
      <w:r>
        <w:rPr>
          <w:rStyle w:val="36"/>
        </w:rPr>
        <w:t xml:space="preserve"> </w:t>
      </w:r>
      <w:r>
        <w:rPr>
          <w:rStyle w:val="36"/>
          <w:rFonts w:hint="eastAsia"/>
        </w:rPr>
        <w:t xml:space="preserve"> 企业税务合规管理框架</w:t>
      </w:r>
      <w:r>
        <w:rPr>
          <w:rFonts w:hint="eastAsia"/>
        </w:rPr>
        <w:tab/>
      </w:r>
      <w:r>
        <w:rPr>
          <w:rFonts w:hint="eastAsia"/>
        </w:rPr>
        <w:fldChar w:fldCharType="begin"/>
      </w:r>
      <w:r>
        <w:rPr>
          <w:rFonts w:hint="eastAsia"/>
        </w:rPr>
        <w:instrText xml:space="preserve"> </w:instrText>
      </w:r>
      <w:r>
        <w:instrText xml:space="preserve">PAGEREF _Toc188519725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F1DE7F9">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"_Toc188519726" </w:instrText>
      </w:r>
      <w:r>
        <w:fldChar w:fldCharType="separate"/>
      </w:r>
      <w:r>
        <w:rPr>
          <w:rStyle w:val="36"/>
          <w:rFonts w:hint="eastAsia"/>
        </w:rPr>
        <w:t>附录B（资料性）</w:t>
      </w:r>
      <w:r>
        <w:rPr>
          <w:rStyle w:val="36"/>
        </w:rPr>
        <w:t xml:space="preserve"> </w:t>
      </w:r>
      <w:r>
        <w:rPr>
          <w:rStyle w:val="36"/>
          <w:rFonts w:hint="eastAsia"/>
        </w:rPr>
        <w:t xml:space="preserve"> 企业税务合规管理案例</w:t>
      </w:r>
      <w:r>
        <w:rPr>
          <w:rFonts w:hint="eastAsia"/>
        </w:rPr>
        <w:tab/>
      </w:r>
      <w:r>
        <w:rPr>
          <w:rFonts w:hint="eastAsia"/>
        </w:rPr>
        <w:fldChar w:fldCharType="begin"/>
      </w:r>
      <w:r>
        <w:rPr>
          <w:rFonts w:hint="eastAsia"/>
        </w:rPr>
        <w:instrText xml:space="preserve"> </w:instrText>
      </w:r>
      <w:r>
        <w:instrText xml:space="preserve">PAGEREF _Toc188519726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9590124">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"_Toc188519727" </w:instrText>
      </w:r>
      <w:r>
        <w:fldChar w:fldCharType="separate"/>
      </w:r>
      <w:r>
        <w:rPr>
          <w:rStyle w:val="36"/>
          <w:rFonts w:hint="eastAsia"/>
        </w:rPr>
        <w:t>附录C（资料性）</w:t>
      </w:r>
      <w:r>
        <w:rPr>
          <w:rStyle w:val="36"/>
        </w:rPr>
        <w:t xml:space="preserve"> </w:t>
      </w:r>
      <w:r>
        <w:rPr>
          <w:rStyle w:val="36"/>
          <w:rFonts w:hint="eastAsia"/>
        </w:rPr>
        <w:t xml:space="preserve"> 主要税种合规管理重点</w:t>
      </w:r>
      <w:r>
        <w:rPr>
          <w:rFonts w:hint="eastAsia"/>
        </w:rPr>
        <w:tab/>
      </w:r>
      <w:r>
        <w:rPr>
          <w:rFonts w:hint="eastAsia"/>
        </w:rPr>
        <w:fldChar w:fldCharType="begin"/>
      </w:r>
      <w:r>
        <w:rPr>
          <w:rFonts w:hint="eastAsia"/>
        </w:rPr>
        <w:instrText xml:space="preserve"> </w:instrText>
      </w:r>
      <w:r>
        <w:instrText xml:space="preserve">PAGEREF _Toc188519727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568D9912">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"_Toc188519728" </w:instrText>
      </w:r>
      <w:r>
        <w:fldChar w:fldCharType="separate"/>
      </w:r>
      <w:r>
        <w:rPr>
          <w:rStyle w:val="36"/>
          <w:rFonts w:hint="eastAsia"/>
        </w:rPr>
        <w:t>附录D（资料性）</w:t>
      </w:r>
      <w:r>
        <w:rPr>
          <w:rStyle w:val="36"/>
        </w:rPr>
        <w:t xml:space="preserve"> </w:t>
      </w:r>
      <w:r>
        <w:rPr>
          <w:rStyle w:val="36"/>
          <w:rFonts w:hint="eastAsia"/>
        </w:rPr>
        <w:t xml:space="preserve"> 小微企业的税务合规管理</w:t>
      </w:r>
      <w:r>
        <w:rPr>
          <w:rFonts w:hint="eastAsia"/>
        </w:rPr>
        <w:tab/>
      </w:r>
      <w:r>
        <w:rPr>
          <w:rFonts w:hint="eastAsia"/>
        </w:rPr>
        <w:fldChar w:fldCharType="begin"/>
      </w:r>
      <w:r>
        <w:rPr>
          <w:rFonts w:hint="eastAsia"/>
        </w:rPr>
        <w:instrText xml:space="preserve"> </w:instrText>
      </w:r>
      <w:r>
        <w:instrText xml:space="preserve">PAGEREF _Toc188519728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11361CF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"_Toc188519729" </w:instrText>
      </w:r>
      <w:r>
        <w:fldChar w:fldCharType="separate"/>
      </w:r>
      <w:r>
        <w:rPr>
          <w:rStyle w:val="36"/>
          <w:rFonts w:hint="eastAsia"/>
        </w:rPr>
        <w:t>参考文献</w:t>
      </w:r>
      <w:r>
        <w:rPr>
          <w:rFonts w:hint="eastAsia"/>
        </w:rPr>
        <w:tab/>
      </w:r>
      <w:r>
        <w:rPr>
          <w:rFonts w:hint="eastAsia"/>
        </w:rPr>
        <w:fldChar w:fldCharType="begin"/>
      </w:r>
      <w:r>
        <w:rPr>
          <w:rFonts w:hint="eastAsia"/>
        </w:rPr>
        <w:instrText xml:space="preserve"> </w:instrText>
      </w:r>
      <w:r>
        <w:instrText xml:space="preserve">PAGEREF _Toc188519729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0FA2718B">
      <w:pPr>
        <w:pStyle w:val="97"/>
        <w:spacing w:after="360"/>
        <w:sectPr>
          <w:footerReference r:id="rId11" w:type="default"/>
          <w:pgSz w:w="11906" w:h="16838"/>
          <w:pgMar w:top="1928" w:right="1134" w:bottom="1134" w:left="1134" w:header="1418" w:footer="1134" w:gutter="284"/>
          <w:pgNumType w:fmt="upperRoman" w:start="1"/>
          <w:cols w:space="425" w:num="1"/>
          <w:formProt w:val="0"/>
          <w:docGrid w:linePitch="312" w:charSpace="0"/>
        </w:sectPr>
      </w:pPr>
      <w:r>
        <w:fldChar w:fldCharType="end"/>
      </w:r>
    </w:p>
    <w:bookmarkEnd w:id="17"/>
    <w:p w14:paraId="321DF77C">
      <w:pPr>
        <w:pStyle w:val="95"/>
        <w:spacing w:before="900" w:after="360"/>
      </w:pPr>
      <w:bookmarkStart w:id="21" w:name="_Toc188519702"/>
      <w:bookmarkStart w:id="22" w:name="BookMark2"/>
      <w:r>
        <w:rPr>
          <w:rFonts w:hint="eastAsia"/>
          <w:spacing w:val="320"/>
        </w:rPr>
        <w:t>前</w:t>
      </w:r>
      <w:r>
        <w:rPr>
          <w:rFonts w:hint="eastAsia"/>
        </w:rPr>
        <w:t>言</w:t>
      </w:r>
      <w:bookmarkEnd w:id="18"/>
      <w:bookmarkEnd w:id="19"/>
      <w:bookmarkEnd w:id="20"/>
      <w:bookmarkEnd w:id="21"/>
    </w:p>
    <w:p w14:paraId="42AC2E88">
      <w:pPr>
        <w:pStyle w:val="62"/>
        <w:ind w:firstLine="420"/>
      </w:pPr>
      <w:r>
        <w:rPr>
          <w:rFonts w:hint="eastAsia"/>
        </w:rPr>
        <w:t>本文件按照GB/T 1.1—2020《标准化工作导则  第1部分：标准化文件的结构和起草规则》的规定起草。</w:t>
      </w:r>
    </w:p>
    <w:p w14:paraId="6281F31E">
      <w:pPr>
        <w:pStyle w:val="62"/>
        <w:ind w:firstLine="420"/>
      </w:pPr>
      <w:r>
        <w:rPr>
          <w:rFonts w:hint="eastAsia"/>
        </w:rPr>
        <w:t>请注意本文件的某些内容可能涉及专利。本文件的发布机构不承担识别专利的责任。</w:t>
      </w:r>
    </w:p>
    <w:p w14:paraId="2E58AC54">
      <w:pPr>
        <w:pStyle w:val="62"/>
        <w:ind w:firstLine="420"/>
      </w:pPr>
      <w:r>
        <w:rPr>
          <w:rFonts w:hint="eastAsia"/>
        </w:rPr>
        <w:t>本文件由中国国际贸易促进委员会商业行业委员会提出并归口。</w:t>
      </w:r>
    </w:p>
    <w:p w14:paraId="1AD7D19C">
      <w:pPr>
        <w:pStyle w:val="62"/>
        <w:ind w:firstLine="420"/>
      </w:pPr>
      <w:r>
        <w:rPr>
          <w:rFonts w:hint="eastAsia"/>
        </w:rPr>
        <w:t>本文件起草单位：</w:t>
      </w:r>
    </w:p>
    <w:p w14:paraId="6490FEE6">
      <w:pPr>
        <w:pStyle w:val="62"/>
        <w:ind w:firstLine="420"/>
      </w:pPr>
      <w:r>
        <w:rPr>
          <w:rFonts w:hint="eastAsia"/>
        </w:rPr>
        <w:t>本文件主要起草人：</w:t>
      </w:r>
    </w:p>
    <w:p w14:paraId="298FA45C">
      <w:pPr>
        <w:pStyle w:val="62"/>
        <w:ind w:firstLine="420"/>
      </w:pPr>
      <w:r>
        <w:rPr>
          <w:rFonts w:hint="eastAsia"/>
        </w:rPr>
        <w:t>本文件响应了联合国2023可持续发展目标中的第8项“体面工作和经济增长”和第12项“负责任的消费和生产”。</w:t>
      </w:r>
    </w:p>
    <w:p w14:paraId="194E6489">
      <w:pPr>
        <w:pStyle w:val="62"/>
        <w:ind w:firstLine="0" w:firstLineChars="0"/>
        <w:sectPr>
          <w:pgSz w:w="11906" w:h="16838"/>
          <w:pgMar w:top="1928" w:right="1134" w:bottom="1134" w:left="1134" w:header="1418" w:footer="1134" w:gutter="284"/>
          <w:pgNumType w:fmt="upperRoman"/>
          <w:cols w:space="425" w:num="1"/>
          <w:formProt w:val="0"/>
          <w:docGrid w:linePitch="312" w:charSpace="0"/>
        </w:sectPr>
      </w:pPr>
    </w:p>
    <w:bookmarkEnd w:id="22"/>
    <w:p w14:paraId="6D488B42">
      <w:pPr>
        <w:pStyle w:val="95"/>
        <w:spacing w:after="360"/>
      </w:pPr>
      <w:bookmarkStart w:id="23" w:name="_Toc187133890"/>
      <w:bookmarkStart w:id="24" w:name="_Toc187133930"/>
      <w:bookmarkStart w:id="25" w:name="_Toc188363479"/>
      <w:bookmarkStart w:id="26" w:name="_Toc188519703"/>
      <w:bookmarkStart w:id="27" w:name="BookMark3"/>
      <w:r>
        <w:rPr>
          <w:rFonts w:hint="eastAsia"/>
          <w:spacing w:val="320"/>
        </w:rPr>
        <w:t>引</w:t>
      </w:r>
      <w:r>
        <w:rPr>
          <w:rFonts w:hint="eastAsia"/>
        </w:rPr>
        <w:t>言</w:t>
      </w:r>
      <w:bookmarkEnd w:id="23"/>
      <w:bookmarkEnd w:id="24"/>
      <w:bookmarkEnd w:id="25"/>
      <w:bookmarkEnd w:id="26"/>
    </w:p>
    <w:p w14:paraId="13134BA8">
      <w:pPr>
        <w:pStyle w:val="62"/>
        <w:ind w:firstLine="420"/>
        <w:rPr>
          <w:rFonts w:ascii="Calibri" w:hAnsi="Calibri"/>
          <w:kern w:val="2"/>
          <w:szCs w:val="21"/>
        </w:rPr>
      </w:pPr>
      <w:r>
        <w:rPr>
          <w:rFonts w:hint="eastAsia" w:ascii="Calibri" w:hAnsi="Calibri"/>
          <w:kern w:val="2"/>
          <w:szCs w:val="21"/>
        </w:rPr>
        <w:t>在新的历史起点上，为适应新时代社会主义市场经济的发展需求，响应党中央关于深化税收征管制度改革的精神，我们认识到加强企业内部税务合规管理的重要性。面对日益复杂多变的国内外经济环境，以及国家对于依法治税、优化服务、强化监管和推进共治格局的明确要求，企业应主动适应变化，积极采用现代化信息技术，以满足精确执法、精细服务、精准监管、精诚共治的征管趋势。</w:t>
      </w:r>
    </w:p>
    <w:p w14:paraId="664A1610">
      <w:pPr>
        <w:pStyle w:val="62"/>
        <w:ind w:firstLine="420"/>
        <w:rPr>
          <w:rFonts w:ascii="Calibri" w:hAnsi="Calibri"/>
          <w:kern w:val="2"/>
          <w:szCs w:val="21"/>
        </w:rPr>
      </w:pPr>
      <w:r>
        <w:rPr>
          <w:rFonts w:hint="eastAsia" w:ascii="Calibri" w:hAnsi="Calibri"/>
          <w:kern w:val="2"/>
          <w:szCs w:val="21"/>
        </w:rPr>
        <w:t>为适应这一新形势，我们制定了《企业税务合规管理规范》团体标准。本文件根据《中华人民共和国税收征收管理法》及实施细则、各税种法律法规的细则规定，结合财政部颁布的《企业内部控制基本规范》及标准，以二十大三中全会我国未来财税改革的目标为导向，构建一个全面且合法合规的税务管理标准，既能够满足监管要求，又能够有效地管理和降低税务风险为核心驱动，为企业提供一个系统化、规范化和可操作性强的税务合规指南，指导企业建立健全内部税务控制体系，提高税务治理能力。</w:t>
      </w:r>
    </w:p>
    <w:p w14:paraId="433D6032">
      <w:pPr>
        <w:pStyle w:val="62"/>
        <w:ind w:firstLine="420"/>
        <w:rPr>
          <w:rFonts w:ascii="Calibri" w:hAnsi="Calibri"/>
          <w:kern w:val="2"/>
          <w:szCs w:val="21"/>
        </w:rPr>
      </w:pPr>
      <w:r>
        <w:rPr>
          <w:rFonts w:hint="eastAsia" w:ascii="Calibri" w:hAnsi="Calibri"/>
          <w:kern w:val="2"/>
          <w:szCs w:val="21"/>
        </w:rPr>
        <w:t>本文件明确提出企业税务合规管理的框架，包括合规管理制度构成、合规建设内容、运行机制、日常管理和高风险事项合规管理标准等，也明确阐述税务合规管理的数字化及合规文化建设是解决企业税务风险的长效机制。同时，为了便于企业操作和对规范的广泛推广，我们以附录的形式增加了企业税务合规管理案例和主要税种合规管理的重点操作指南，特别是针对小微企业设有小微企业税务合规管理的规范纲要附录，填补了我国税务合规管理规范的空白。</w:t>
      </w:r>
      <w:r>
        <w:rPr>
          <w:rFonts w:ascii="Calibri" w:hAnsi="Calibri"/>
          <w:kern w:val="2"/>
          <w:szCs w:val="21"/>
        </w:rPr>
        <w:t>根据</w:t>
      </w:r>
      <w:r>
        <w:rPr>
          <w:rFonts w:hint="eastAsia" w:ascii="Calibri" w:hAnsi="Calibri"/>
          <w:kern w:val="2"/>
          <w:szCs w:val="21"/>
        </w:rPr>
        <w:t>我国</w:t>
      </w:r>
      <w:r>
        <w:rPr>
          <w:rFonts w:ascii="Calibri" w:hAnsi="Calibri"/>
          <w:kern w:val="2"/>
          <w:szCs w:val="21"/>
        </w:rPr>
        <w:t>2024年统计数据，全国小微企业占总企业数量的80%以上，创造的最终产品和服务价值占GDP的60%，纳税占国家税收总额的50%，显示其在经济中的重要性。然而，这类企业的税务合规管理缺乏明确指导规范。为此，本</w:t>
      </w:r>
      <w:r>
        <w:rPr>
          <w:rFonts w:hint="eastAsia" w:ascii="Calibri" w:hAnsi="Calibri"/>
          <w:kern w:val="2"/>
          <w:szCs w:val="21"/>
        </w:rPr>
        <w:t>文件</w:t>
      </w:r>
      <w:r>
        <w:rPr>
          <w:rFonts w:ascii="Calibri" w:hAnsi="Calibri"/>
          <w:kern w:val="2"/>
          <w:szCs w:val="21"/>
        </w:rPr>
        <w:t>附录中对小微企业的税务合规管理提供补充，依据其发展阶段和财税服务模式</w:t>
      </w:r>
      <w:r>
        <w:rPr>
          <w:rFonts w:hint="eastAsia" w:ascii="Calibri" w:hAnsi="Calibri"/>
          <w:kern w:val="2"/>
          <w:szCs w:val="21"/>
        </w:rPr>
        <w:t>，对税务合规管理参照什么标准指明方向，为企业对标查漏，动态矫正提供范式参照，以帮助小微企业能健康发展，提高信誉度和长期竞争力。</w:t>
      </w:r>
    </w:p>
    <w:p w14:paraId="24A025B9">
      <w:pPr>
        <w:pStyle w:val="62"/>
        <w:ind w:firstLine="420"/>
        <w:rPr>
          <w:rFonts w:ascii="Calibri" w:hAnsi="Calibri"/>
          <w:kern w:val="2"/>
          <w:szCs w:val="21"/>
        </w:rPr>
      </w:pPr>
      <w:r>
        <w:rPr>
          <w:rFonts w:hint="eastAsia" w:ascii="Calibri" w:hAnsi="Calibri"/>
          <w:kern w:val="2"/>
          <w:szCs w:val="21"/>
        </w:rPr>
        <w:t>本文件旨在建立和完善符合企业实际情况的税务风险防控体系，以提高自身税务规划能力，保障企业的所有涉税行为在严格遵守法律法规的前提下能够健康稳定发展。同时，我们也致力于营造良好的纳税文化，倡导诚信纳税的价值观，与社会各界共同努力，推动形成公平公正、和谐共赢的良好税收生态，促进形成良好的行业秩序和社会风气，提升中国企业整体税务管理水平。</w:t>
      </w:r>
    </w:p>
    <w:p w14:paraId="5B0FD15D">
      <w:pPr>
        <w:pStyle w:val="62"/>
        <w:ind w:firstLine="420"/>
        <w:rPr>
          <w:rFonts w:ascii="Calibri" w:hAnsi="Calibri"/>
          <w:kern w:val="2"/>
          <w:szCs w:val="21"/>
        </w:rPr>
        <w:sectPr>
          <w:pgSz w:w="11906" w:h="16838"/>
          <w:pgMar w:top="1928" w:right="1134" w:bottom="1134" w:left="1134" w:header="1418" w:footer="1134" w:gutter="284"/>
          <w:pgNumType w:fmt="upperRoman"/>
          <w:cols w:space="425" w:num="1"/>
          <w:formProt w:val="0"/>
          <w:docGrid w:linePitch="312" w:charSpace="0"/>
        </w:sectPr>
      </w:pPr>
    </w:p>
    <w:bookmarkEnd w:id="27"/>
    <w:p w14:paraId="139B5557">
      <w:pPr>
        <w:spacing w:line="20" w:lineRule="exact"/>
        <w:jc w:val="center"/>
        <w:rPr>
          <w:rFonts w:hint="eastAsia" w:ascii="黑体" w:hAnsi="黑体" w:eastAsia="黑体"/>
          <w:sz w:val="32"/>
          <w:szCs w:val="32"/>
        </w:rPr>
      </w:pPr>
      <w:bookmarkStart w:id="28" w:name="BookMark4"/>
    </w:p>
    <w:p w14:paraId="4925AA25">
      <w:pPr>
        <w:spacing w:line="20" w:lineRule="exact"/>
        <w:jc w:val="center"/>
        <w:rPr>
          <w:rFonts w:hint="eastAsia" w:ascii="黑体" w:hAnsi="黑体" w:eastAsia="黑体"/>
          <w:sz w:val="32"/>
          <w:szCs w:val="32"/>
        </w:rPr>
      </w:pPr>
    </w:p>
    <w:sdt>
      <w:sdtPr>
        <w:tag w:val="NEW_STAND_NAME"/>
        <w:id w:val="595910757"/>
        <w:lock w:val="sdtLocked"/>
        <w:placeholder>
          <w:docPart w:val="7064C8A4DC7F4E4F93A4DF7C5495650F"/>
        </w:placeholder>
      </w:sdtPr>
      <w:sdtContent>
        <w:p w14:paraId="44FD287B">
          <w:pPr>
            <w:pStyle w:val="182"/>
            <w:spacing w:before="240" w:beforeLines="100" w:after="528" w:afterLines="220"/>
            <w:rPr>
              <w:rFonts w:hint="eastAsia"/>
            </w:rPr>
          </w:pPr>
          <w:bookmarkStart w:id="29" w:name="NEW_STAND_NAME"/>
          <w:r>
            <w:rPr>
              <w:rFonts w:hint="eastAsia"/>
            </w:rPr>
            <w:t>企业税务合规管理规范</w:t>
          </w:r>
        </w:p>
      </w:sdtContent>
    </w:sdt>
    <w:bookmarkEnd w:id="29"/>
    <w:p w14:paraId="3F06C4C2">
      <w:pPr>
        <w:pStyle w:val="109"/>
        <w:spacing w:before="240" w:after="240"/>
      </w:pPr>
      <w:bookmarkStart w:id="30" w:name="_Toc17233325"/>
      <w:bookmarkStart w:id="31" w:name="_Toc26718930"/>
      <w:bookmarkStart w:id="32" w:name="_Toc187133931"/>
      <w:bookmarkStart w:id="33" w:name="_Toc26648465"/>
      <w:bookmarkStart w:id="34" w:name="_Toc26986771"/>
      <w:bookmarkStart w:id="35" w:name="_Toc24884211"/>
      <w:bookmarkStart w:id="36" w:name="_Toc17233333"/>
      <w:bookmarkStart w:id="37" w:name="_Toc188519704"/>
      <w:bookmarkStart w:id="38" w:name="_Toc97192964"/>
      <w:bookmarkStart w:id="39" w:name="_Toc188363480"/>
      <w:bookmarkStart w:id="40" w:name="_Toc26986530"/>
      <w:bookmarkStart w:id="41" w:name="_Toc187133891"/>
      <w:bookmarkStart w:id="42" w:name="_Toc24884218"/>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14:paraId="01B72AA9">
      <w:pPr>
        <w:pStyle w:val="62"/>
        <w:ind w:firstLine="420"/>
      </w:pPr>
      <w:bookmarkStart w:id="43" w:name="_Toc24884219"/>
      <w:bookmarkStart w:id="44" w:name="_Toc17233326"/>
      <w:bookmarkStart w:id="45" w:name="_Toc26648466"/>
      <w:bookmarkStart w:id="46" w:name="_Toc17233334"/>
      <w:bookmarkStart w:id="47" w:name="_Toc24884212"/>
      <w:r>
        <w:rPr>
          <w:rFonts w:hint="eastAsia"/>
        </w:rPr>
        <w:t>本文件规定了企业税务合规管理建设的规则，涵盖了企业税务合规管理原则、管理制度、管理内容、管理体系的运行机制、日常管理、高风险事项合规管理、管理数字化和文化建设等。</w:t>
      </w:r>
    </w:p>
    <w:p w14:paraId="6AEC4340">
      <w:pPr>
        <w:pStyle w:val="62"/>
        <w:ind w:firstLine="420"/>
      </w:pPr>
      <w:r>
        <w:rPr>
          <w:rFonts w:hint="eastAsia"/>
        </w:rPr>
        <w:t>本文件适用于各类企业、非营利组织、特定项目与重大投资、并购、重组活动，宜指导企业在其整个生命周期和所有经营环节过程中进行企业税务合规管理。</w:t>
      </w:r>
    </w:p>
    <w:p w14:paraId="04DCCE64">
      <w:pPr>
        <w:pStyle w:val="109"/>
        <w:spacing w:before="240" w:after="240"/>
      </w:pPr>
      <w:bookmarkStart w:id="48" w:name="_Toc97192965"/>
      <w:bookmarkStart w:id="49" w:name="_Toc26986772"/>
      <w:bookmarkStart w:id="50" w:name="_Toc188363481"/>
      <w:bookmarkStart w:id="51" w:name="_Toc188519705"/>
      <w:bookmarkStart w:id="52" w:name="_Toc26718931"/>
      <w:bookmarkStart w:id="53" w:name="_Toc26986531"/>
      <w:bookmarkStart w:id="54" w:name="_Toc187133892"/>
      <w:bookmarkStart w:id="55" w:name="_Toc187133932"/>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286B272619064D05AB073E164C64FE4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5E6782B">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9CD90C">
      <w:pPr>
        <w:pStyle w:val="62"/>
        <w:ind w:firstLine="420"/>
        <w:rPr>
          <w:rFonts w:ascii="Times New Roman"/>
        </w:rPr>
      </w:pPr>
      <w:r>
        <w:rPr>
          <w:rFonts w:ascii="Times New Roman"/>
        </w:rPr>
        <w:t>GB/T 35770-2022 合规管理体系 要求及使用指南</w:t>
      </w:r>
    </w:p>
    <w:p w14:paraId="3D3F6984">
      <w:pPr>
        <w:pStyle w:val="62"/>
        <w:ind w:firstLine="420"/>
        <w:rPr>
          <w:rFonts w:ascii="Times New Roman"/>
        </w:rPr>
      </w:pPr>
      <w:r>
        <w:rPr>
          <w:rFonts w:ascii="Times New Roman"/>
        </w:rPr>
        <w:t xml:space="preserve">ISO 37301:2021 </w:t>
      </w:r>
      <w:r>
        <w:t>合规管理体系 要求及使用指南</w:t>
      </w:r>
      <w:r>
        <w:rPr>
          <w:rFonts w:ascii="Times New Roman"/>
        </w:rPr>
        <w:t>（Compliance management systems — Requirements with guidance for use）</w:t>
      </w:r>
    </w:p>
    <w:p w14:paraId="44BFC3B8">
      <w:pPr>
        <w:pStyle w:val="109"/>
        <w:spacing w:before="240" w:after="240"/>
      </w:pPr>
      <w:bookmarkStart w:id="56" w:name="_Toc188363482"/>
      <w:bookmarkStart w:id="57" w:name="_Toc97192966"/>
      <w:bookmarkStart w:id="58" w:name="_Toc187133933"/>
      <w:bookmarkStart w:id="59" w:name="_Toc188519706"/>
      <w:bookmarkStart w:id="60" w:name="_Toc187133893"/>
      <w:r>
        <w:rPr>
          <w:rFonts w:hint="eastAsia"/>
          <w:szCs w:val="21"/>
        </w:rPr>
        <w:t>术语和定义</w:t>
      </w:r>
      <w:bookmarkEnd w:id="56"/>
      <w:bookmarkEnd w:id="57"/>
      <w:bookmarkEnd w:id="58"/>
      <w:bookmarkEnd w:id="59"/>
      <w:bookmarkEnd w:id="60"/>
    </w:p>
    <w:sdt>
      <w:sdtPr>
        <w:id w:val="-1909835108"/>
        <w:placeholder>
          <w:docPart w:val="1E9B0ECD82434D58A2627B158907E3B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FF0000"/>
        </w:rPr>
      </w:sdtEndPr>
      <w:sdtContent>
        <w:p w14:paraId="0BC450B9">
          <w:pPr>
            <w:pStyle w:val="62"/>
            <w:ind w:firstLine="420"/>
          </w:pPr>
          <w:bookmarkStart w:id="61" w:name="_Toc26986532"/>
          <w:bookmarkEnd w:id="61"/>
          <w:r>
            <w:t>下列术语和定义适用于本文件。</w:t>
          </w:r>
        </w:p>
      </w:sdtContent>
    </w:sdt>
    <w:p w14:paraId="05598BBF">
      <w:pPr>
        <w:pStyle w:val="110"/>
        <w:spacing w:before="120" w:after="120"/>
      </w:pPr>
    </w:p>
    <w:p w14:paraId="5752DD40">
      <w:pPr>
        <w:pStyle w:val="110"/>
        <w:numPr>
          <w:ilvl w:val="0"/>
          <w:numId w:val="0"/>
        </w:numPr>
        <w:spacing w:before="120" w:after="120"/>
        <w:ind w:firstLine="420" w:firstLineChars="200"/>
        <w:rPr>
          <w:rFonts w:eastAsia="宋体"/>
        </w:rPr>
      </w:pPr>
      <w:r>
        <w:rPr>
          <w:rFonts w:hint="eastAsia"/>
        </w:rPr>
        <w:t>税务合规</w:t>
      </w:r>
      <w:r>
        <w:rPr>
          <w:rStyle w:val="37"/>
          <w:rFonts w:hint="eastAsia" w:ascii="Calibri" w:hAnsi="Calibri" w:eastAsia="宋体"/>
          <w:kern w:val="2"/>
        </w:rPr>
        <w:t xml:space="preserve"> </w:t>
      </w:r>
      <w:r>
        <w:rPr>
          <w:rStyle w:val="37"/>
          <w:rFonts w:ascii="Times New Roman" w:eastAsia="宋体"/>
          <w:kern w:val="2"/>
        </w:rPr>
        <w:t>t</w:t>
      </w:r>
      <w:r>
        <w:rPr>
          <w:rFonts w:ascii="Times New Roman"/>
        </w:rPr>
        <w:t>ax compliance</w:t>
      </w:r>
    </w:p>
    <w:p w14:paraId="20FEC94D">
      <w:pPr>
        <w:pStyle w:val="62"/>
        <w:ind w:firstLine="420"/>
      </w:pPr>
      <w:r>
        <w:rPr>
          <w:rFonts w:hint="eastAsia"/>
        </w:rPr>
        <w:t>企业在税收方面遵循国家税收法律法规、依法履行纳税义务、配合税务机关进行税务管理和监督的全过程。</w:t>
      </w:r>
    </w:p>
    <w:p w14:paraId="697D5BC6">
      <w:pPr>
        <w:pStyle w:val="184"/>
      </w:pPr>
      <w:r>
        <w:rPr>
          <w:rFonts w:hint="eastAsia"/>
        </w:rPr>
        <w:t>税务合规更侧重于企业的深层次治理结构，包含了一系列制度和机制的设计，旨在预防潜在的税务风险，培养企业职业道德与诚信文化，并将这些原则内化为企业操作指南的一部分。</w:t>
      </w:r>
    </w:p>
    <w:p w14:paraId="09369BBE">
      <w:pPr>
        <w:pStyle w:val="110"/>
        <w:spacing w:before="120" w:after="120"/>
      </w:pPr>
    </w:p>
    <w:p w14:paraId="0F016F37">
      <w:pPr>
        <w:pStyle w:val="110"/>
        <w:numPr>
          <w:ilvl w:val="0"/>
          <w:numId w:val="0"/>
        </w:numPr>
        <w:spacing w:before="120" w:after="120"/>
        <w:ind w:firstLine="420" w:firstLineChars="200"/>
      </w:pPr>
      <w:r>
        <w:rPr>
          <w:rFonts w:hint="eastAsia"/>
        </w:rPr>
        <w:t xml:space="preserve">税务合规管理 </w:t>
      </w:r>
      <w:r>
        <w:rPr>
          <w:rStyle w:val="37"/>
          <w:rFonts w:ascii="Times New Roman" w:eastAsia="宋体"/>
          <w:kern w:val="2"/>
        </w:rPr>
        <w:t>tax compliance management</w:t>
      </w:r>
    </w:p>
    <w:p w14:paraId="45144462">
      <w:pPr>
        <w:pStyle w:val="62"/>
        <w:ind w:firstLine="420"/>
      </w:pPr>
      <w:r>
        <w:rPr>
          <w:rFonts w:hint="eastAsia"/>
        </w:rPr>
        <w:t>企业为确保其所有涉税行为符合国家税收法律法规，防控税务风险，建立相关管理制度、机制、流程和措施以及组织落实的一系列管理活动。</w:t>
      </w:r>
    </w:p>
    <w:p w14:paraId="35902E4E">
      <w:pPr>
        <w:pStyle w:val="184"/>
      </w:pPr>
      <w:r>
        <w:rPr>
          <w:rFonts w:hint="eastAsia"/>
        </w:rPr>
        <w:t>它涵盖了企业从设立到运营各个阶段的税务处理，其核心要素包括组织体系、制度建设、人员培训、流程控制、风险管理、沟通与合作、持续改进、文档保存、税务事前规划等，是一个全面且系统的工程，能有效防控税务风险，是支持企业发展战略的长效管理机制。</w:t>
      </w:r>
    </w:p>
    <w:p w14:paraId="774D43D8">
      <w:pPr>
        <w:pStyle w:val="110"/>
        <w:spacing w:before="120" w:after="120"/>
      </w:pPr>
    </w:p>
    <w:p w14:paraId="6A30A9AE">
      <w:pPr>
        <w:pStyle w:val="110"/>
        <w:numPr>
          <w:ilvl w:val="0"/>
          <w:numId w:val="0"/>
        </w:numPr>
        <w:spacing w:before="120" w:after="120"/>
        <w:ind w:firstLine="420" w:firstLineChars="200"/>
        <w:rPr>
          <w:rFonts w:ascii="Times New Roman"/>
        </w:rPr>
      </w:pPr>
      <w:r>
        <w:rPr>
          <w:rFonts w:hint="eastAsia"/>
        </w:rPr>
        <w:t>税务合规运行机制</w:t>
      </w:r>
      <w:r>
        <w:rPr>
          <w:rFonts w:ascii="Times New Roman"/>
        </w:rPr>
        <w:t xml:space="preserve"> tax compliance operation mechanism</w:t>
      </w:r>
    </w:p>
    <w:p w14:paraId="67EA6DEC">
      <w:pPr>
        <w:pStyle w:val="62"/>
        <w:ind w:firstLine="420"/>
      </w:pPr>
      <w:r>
        <w:rPr>
          <w:rFonts w:hint="eastAsia"/>
        </w:rPr>
        <w:t>企业遵循国家税收法规，确保税务活动合法合规而构建的一套涵盖组织体系、制度建设、流程管控、人员培训、风险管理、沟通合作、奖惩机制及持续改进的系统化流程与机制。</w:t>
      </w:r>
    </w:p>
    <w:p w14:paraId="2787DE49">
      <w:pPr>
        <w:pStyle w:val="110"/>
        <w:spacing w:before="120" w:after="120"/>
      </w:pPr>
    </w:p>
    <w:p w14:paraId="22677169">
      <w:pPr>
        <w:pStyle w:val="110"/>
        <w:numPr>
          <w:ilvl w:val="0"/>
          <w:numId w:val="0"/>
        </w:numPr>
        <w:spacing w:before="120" w:after="120"/>
        <w:ind w:firstLine="420" w:firstLineChars="200"/>
      </w:pPr>
      <w:r>
        <w:rPr>
          <w:rFonts w:hint="eastAsia"/>
        </w:rPr>
        <w:t xml:space="preserve">税务合规组织体系 </w:t>
      </w:r>
      <w:r>
        <w:rPr>
          <w:rFonts w:ascii="Times New Roman"/>
        </w:rPr>
        <w:t>tax compliance organizational system</w:t>
      </w:r>
    </w:p>
    <w:p w14:paraId="75768948">
      <w:pPr>
        <w:pStyle w:val="62"/>
        <w:ind w:firstLine="420"/>
      </w:pPr>
      <w:r>
        <w:rPr>
          <w:rFonts w:hint="eastAsia"/>
        </w:rPr>
        <w:t>企业在内部构建一个由最高领导层支持，财务、税务和合规部门具体实施，涉及多部门合作的自治架构。</w:t>
      </w:r>
    </w:p>
    <w:p w14:paraId="5F7D7B93">
      <w:pPr>
        <w:pStyle w:val="184"/>
      </w:pPr>
      <w:r>
        <w:rPr>
          <w:rFonts w:hint="eastAsia"/>
        </w:rPr>
        <w:t>该体系包括负责税务合规管理的领导层、部门或岗位及其职责，以及配套的管理制度、工作流程和协作机制，旨在确保企业税务活动符合法律法规要求，有效管理和降低税务风险。</w:t>
      </w:r>
    </w:p>
    <w:p w14:paraId="6BFAB04F">
      <w:pPr>
        <w:pStyle w:val="110"/>
        <w:spacing w:before="120" w:after="120"/>
      </w:pPr>
    </w:p>
    <w:p w14:paraId="0B4AB4D9">
      <w:pPr>
        <w:pStyle w:val="110"/>
        <w:numPr>
          <w:ilvl w:val="0"/>
          <w:numId w:val="0"/>
        </w:numPr>
        <w:spacing w:before="120" w:after="120"/>
        <w:ind w:firstLine="420" w:firstLineChars="200"/>
        <w:rPr>
          <w:rFonts w:ascii="Times New Roman"/>
        </w:rPr>
      </w:pPr>
      <w:r>
        <w:rPr>
          <w:rFonts w:hint="eastAsia"/>
        </w:rPr>
        <w:t xml:space="preserve">税务合规风险防控 </w:t>
      </w:r>
      <w:r>
        <w:rPr>
          <w:rFonts w:ascii="Times New Roman"/>
        </w:rPr>
        <w:t>tax compliance risk prevention and control</w:t>
      </w:r>
    </w:p>
    <w:p w14:paraId="4C089CE8">
      <w:pPr>
        <w:pStyle w:val="62"/>
        <w:ind w:firstLine="420"/>
      </w:pPr>
      <w:r>
        <w:rPr>
          <w:rFonts w:hint="eastAsia"/>
        </w:rPr>
        <w:t>企业识别、评估税务风险并采取预防措施的过程，旨在应对源自税务法规理解、税务处理及市场变化等因素的风险。</w:t>
      </w:r>
    </w:p>
    <w:p w14:paraId="01785357">
      <w:pPr>
        <w:pStyle w:val="184"/>
      </w:pPr>
      <w:r>
        <w:rPr>
          <w:rFonts w:hint="eastAsia"/>
        </w:rPr>
        <w:t>主要通过定期审查、风险评估、预警系统建立及内部控制加强等措施，确保企业税务行为合法合规，防范行政、刑事处罚及声誉损失。</w:t>
      </w:r>
    </w:p>
    <w:p w14:paraId="0021E908">
      <w:pPr>
        <w:pStyle w:val="110"/>
        <w:spacing w:before="120" w:after="120"/>
      </w:pPr>
    </w:p>
    <w:p w14:paraId="2FF582C5">
      <w:pPr>
        <w:pStyle w:val="110"/>
        <w:numPr>
          <w:ilvl w:val="0"/>
          <w:numId w:val="0"/>
        </w:numPr>
        <w:spacing w:before="120" w:after="120"/>
        <w:ind w:firstLine="420" w:firstLineChars="200"/>
        <w:rPr>
          <w:rFonts w:ascii="Times New Roman"/>
        </w:rPr>
      </w:pPr>
      <w:r>
        <w:rPr>
          <w:rFonts w:hint="eastAsia"/>
        </w:rPr>
        <w:t xml:space="preserve">税务合规整改问责机制 </w:t>
      </w:r>
      <w:r>
        <w:rPr>
          <w:rFonts w:ascii="Times New Roman"/>
        </w:rPr>
        <w:t>tax compliance rectification accountability mechanism</w:t>
      </w:r>
    </w:p>
    <w:p w14:paraId="78A67AA4">
      <w:pPr>
        <w:pStyle w:val="62"/>
        <w:ind w:firstLine="420"/>
      </w:pPr>
      <w:r>
        <w:rPr>
          <w:rFonts w:hint="eastAsia"/>
        </w:rPr>
        <w:t>企业在税务管理中，针对税务合规风险和问题，建立一套用于整改并追究相关责任人责任的机制。</w:t>
      </w:r>
    </w:p>
    <w:p w14:paraId="25BBED6D">
      <w:pPr>
        <w:pStyle w:val="184"/>
      </w:pPr>
      <w:r>
        <w:rPr>
          <w:rFonts w:hint="eastAsia"/>
        </w:rPr>
        <w:t>该机制通常包含明确的责任分配、具体的惩戒和整改措施、时限规定及后续监督等内容，旨在保证问题得到有效解决，并防止类似事件再次发生。</w:t>
      </w:r>
    </w:p>
    <w:p w14:paraId="35902E36">
      <w:pPr>
        <w:pStyle w:val="110"/>
        <w:spacing w:before="120" w:after="120"/>
      </w:pPr>
      <w:bookmarkStart w:id="62" w:name="_Hlk186742952"/>
    </w:p>
    <w:p w14:paraId="7749AF9F">
      <w:pPr>
        <w:pStyle w:val="110"/>
        <w:numPr>
          <w:ilvl w:val="0"/>
          <w:numId w:val="0"/>
        </w:numPr>
        <w:spacing w:before="120" w:after="120"/>
        <w:ind w:firstLine="420" w:firstLineChars="200"/>
        <w:rPr>
          <w:rFonts w:ascii="Times New Roman"/>
        </w:rPr>
      </w:pPr>
      <w:r>
        <w:rPr>
          <w:rFonts w:hint="eastAsia"/>
        </w:rPr>
        <w:t xml:space="preserve">运营活动的税务合规管理 </w:t>
      </w:r>
      <w:r>
        <w:rPr>
          <w:rFonts w:hint="eastAsia" w:ascii="Times New Roman"/>
        </w:rPr>
        <w:t>t</w:t>
      </w:r>
      <w:r>
        <w:rPr>
          <w:rFonts w:ascii="Times New Roman"/>
        </w:rPr>
        <w:t>ax compliance management of operational activities</w:t>
      </w:r>
    </w:p>
    <w:bookmarkEnd w:id="62"/>
    <w:p w14:paraId="60E35714">
      <w:pPr>
        <w:pStyle w:val="62"/>
        <w:ind w:firstLine="420"/>
      </w:pPr>
      <w:r>
        <w:rPr>
          <w:rFonts w:hint="eastAsia"/>
        </w:rPr>
        <w:t>企业在战略规划、经营管理、投融资决策等关键环节中，全面且系统地遵循国内外税收法律法规，通过有效的税务策划与风险管理，优化税务成本、保障企业利益，并维护良好的信誉与社会责任形象的综合管理框架。</w:t>
      </w:r>
    </w:p>
    <w:p w14:paraId="0C907EE6">
      <w:pPr>
        <w:pStyle w:val="110"/>
        <w:spacing w:before="120" w:after="120"/>
      </w:pPr>
    </w:p>
    <w:p w14:paraId="1E60EEDC">
      <w:pPr>
        <w:pStyle w:val="110"/>
        <w:numPr>
          <w:ilvl w:val="0"/>
          <w:numId w:val="0"/>
        </w:numPr>
        <w:spacing w:before="120" w:after="120"/>
        <w:ind w:firstLine="420" w:firstLineChars="200"/>
        <w:rPr>
          <w:rFonts w:ascii="Times New Roman"/>
        </w:rPr>
      </w:pPr>
      <w:r>
        <w:rPr>
          <w:rFonts w:hint="eastAsia"/>
        </w:rPr>
        <w:t xml:space="preserve">关联交易方 </w:t>
      </w:r>
      <w:r>
        <w:rPr>
          <w:rFonts w:ascii="Times New Roman"/>
        </w:rPr>
        <w:t>related party transactions</w:t>
      </w:r>
    </w:p>
    <w:p w14:paraId="07B83555">
      <w:pPr>
        <w:pStyle w:val="62"/>
        <w:ind w:firstLine="420"/>
      </w:pPr>
      <w:r>
        <w:rPr>
          <w:rFonts w:hint="eastAsia"/>
        </w:rPr>
        <w:t>发生在具有直接或间接控制关系、共同控制或重大影响的企业之间，或者是同一实际控制人下的不同实体之间的经济往来。</w:t>
      </w:r>
    </w:p>
    <w:p w14:paraId="40E2B553">
      <w:pPr>
        <w:pStyle w:val="184"/>
      </w:pPr>
      <w:r>
        <w:rPr>
          <w:rFonts w:hint="eastAsia"/>
        </w:rPr>
        <w:t>企业与其关联方之间的业务往来，不符合独立交易原则而减少企业或者其关联方应纳税收入或者所得额的，税务机关有权按照合理方法调整。</w:t>
      </w:r>
    </w:p>
    <w:p w14:paraId="54531AE0">
      <w:pPr>
        <w:pStyle w:val="110"/>
        <w:spacing w:before="120" w:after="120"/>
      </w:pPr>
    </w:p>
    <w:p w14:paraId="133AE888">
      <w:pPr>
        <w:pStyle w:val="110"/>
        <w:numPr>
          <w:ilvl w:val="0"/>
          <w:numId w:val="0"/>
        </w:numPr>
        <w:spacing w:before="120" w:after="120"/>
        <w:ind w:firstLine="420" w:firstLineChars="200"/>
      </w:pPr>
      <w:r>
        <w:rPr>
          <w:rFonts w:hint="eastAsia"/>
        </w:rPr>
        <w:t xml:space="preserve">税务高风险事项 </w:t>
      </w:r>
      <w:r>
        <w:rPr>
          <w:rFonts w:ascii="Times New Roman"/>
        </w:rPr>
        <w:t xml:space="preserve">high risk tax matters </w:t>
      </w:r>
    </w:p>
    <w:p w14:paraId="55F76520">
      <w:pPr>
        <w:pStyle w:val="62"/>
        <w:ind w:firstLine="420"/>
      </w:pPr>
      <w:r>
        <w:rPr>
          <w:rFonts w:hint="eastAsia"/>
        </w:rPr>
        <w:t>企业在税务方面存在较高风险的行为或情况，如果处理不当，极有可能给企业带来重大财务损失或法律责任。</w:t>
      </w:r>
    </w:p>
    <w:p w14:paraId="0EEF4D8D">
      <w:pPr>
        <w:pStyle w:val="184"/>
      </w:pPr>
      <w:r>
        <w:rPr>
          <w:rFonts w:hint="eastAsia"/>
        </w:rPr>
        <w:t>这类事项往往涉及到税收违法责任追究较为严厉的行为（如偷逃税、妨碍或逃避追缴欠税、骗取出口退税、虚开发票等）和税收政策较为复杂的情况（如企业重组、跨境交易和关联交易转让定价等），需要特别关注和谨慎处理。</w:t>
      </w:r>
    </w:p>
    <w:p w14:paraId="0D7ED44C">
      <w:pPr>
        <w:pStyle w:val="110"/>
        <w:spacing w:before="120" w:after="120"/>
      </w:pPr>
    </w:p>
    <w:p w14:paraId="55A31251">
      <w:pPr>
        <w:pStyle w:val="110"/>
        <w:numPr>
          <w:ilvl w:val="0"/>
          <w:numId w:val="0"/>
        </w:numPr>
        <w:spacing w:before="120" w:after="120"/>
        <w:ind w:firstLine="420" w:firstLineChars="200"/>
      </w:pPr>
      <w:r>
        <w:rPr>
          <w:rFonts w:hint="eastAsia"/>
        </w:rPr>
        <w:t xml:space="preserve">风险控制策略 </w:t>
      </w:r>
      <w:r>
        <w:rPr>
          <w:rFonts w:ascii="Times New Roman"/>
        </w:rPr>
        <w:t>risk control strategy</w:t>
      </w:r>
    </w:p>
    <w:p w14:paraId="6C029BCB">
      <w:pPr>
        <w:pStyle w:val="62"/>
        <w:ind w:firstLine="420"/>
      </w:pPr>
      <w:r>
        <w:rPr>
          <w:rFonts w:hint="eastAsia"/>
        </w:rPr>
        <w:t>企业为降低或消除已识别的风险所采取的具体行动方案。</w:t>
      </w:r>
    </w:p>
    <w:p w14:paraId="3B1FA9F1">
      <w:pPr>
        <w:pStyle w:val="184"/>
      </w:pPr>
      <w:r>
        <w:rPr>
          <w:rFonts w:hint="eastAsia"/>
        </w:rPr>
        <w:t>这些策略应包括但不限于：改进内部控制、加强员工培训、调整业务流程、采用数字化等新技术工具等，目的是将风险水平控制在一个可接受范围内。</w:t>
      </w:r>
    </w:p>
    <w:p w14:paraId="48C74B4E">
      <w:pPr>
        <w:pStyle w:val="110"/>
        <w:spacing w:before="120" w:after="120"/>
      </w:pPr>
    </w:p>
    <w:p w14:paraId="20A0D77D">
      <w:pPr>
        <w:pStyle w:val="110"/>
        <w:numPr>
          <w:ilvl w:val="0"/>
          <w:numId w:val="0"/>
        </w:numPr>
        <w:spacing w:before="120" w:after="120"/>
        <w:ind w:firstLine="420" w:firstLineChars="200"/>
      </w:pPr>
      <w:r>
        <w:rPr>
          <w:rFonts w:hint="eastAsia"/>
        </w:rPr>
        <w:t xml:space="preserve">税务合规管理数字化 </w:t>
      </w:r>
      <w:r>
        <w:rPr>
          <w:rFonts w:ascii="Times New Roman"/>
        </w:rPr>
        <w:t>digitalization of tax compliance management</w:t>
      </w:r>
    </w:p>
    <w:p w14:paraId="55779C51">
      <w:pPr>
        <w:pStyle w:val="62"/>
        <w:ind w:firstLine="420"/>
      </w:pPr>
      <w:r>
        <w:rPr>
          <w:rFonts w:hint="eastAsia"/>
        </w:rPr>
        <w:t>利用信息技术手段提升税务管理效率和准确性的一种方式。</w:t>
      </w:r>
    </w:p>
    <w:p w14:paraId="68B4BB52">
      <w:pPr>
        <w:pStyle w:val="184"/>
      </w:pPr>
      <w:r>
        <w:rPr>
          <w:rFonts w:hint="eastAsia"/>
        </w:rPr>
        <w:t>税务合规管理数字化可以通过自动化处理日常税务任务、实时监控税务数据变化、提示税务风险预警信息、预测未来趋势等方式帮助企业更好地遵守税法，提高税务合规管理水平。</w:t>
      </w:r>
    </w:p>
    <w:p w14:paraId="78832834">
      <w:pPr>
        <w:pStyle w:val="110"/>
        <w:spacing w:before="120" w:after="120"/>
      </w:pPr>
    </w:p>
    <w:p w14:paraId="5AAA56EA">
      <w:pPr>
        <w:pStyle w:val="110"/>
        <w:numPr>
          <w:ilvl w:val="0"/>
          <w:numId w:val="0"/>
        </w:numPr>
        <w:spacing w:before="120" w:after="120"/>
        <w:ind w:firstLine="420" w:firstLineChars="200"/>
      </w:pPr>
      <w:r>
        <w:rPr>
          <w:rFonts w:hint="eastAsia"/>
        </w:rPr>
        <w:t xml:space="preserve">税务数据共享 </w:t>
      </w:r>
      <w:r>
        <w:rPr>
          <w:rFonts w:ascii="Times New Roman"/>
        </w:rPr>
        <w:t>tax data sharing</w:t>
      </w:r>
    </w:p>
    <w:p w14:paraId="53D52AF2">
      <w:pPr>
        <w:pStyle w:val="62"/>
        <w:ind w:firstLine="420"/>
      </w:pPr>
      <w:r>
        <w:rPr>
          <w:rFonts w:hint="eastAsia"/>
        </w:rPr>
        <w:t>不同部门之间或不同企业之间按照一定规则交换税务相关信息的行为。这种共享有助于提高透明度，促进合作，简化流程，并能为政策制定者提供更加准确的数据支持。但同时也需要注意保护敏感信息和个人隐私。</w:t>
      </w:r>
    </w:p>
    <w:p w14:paraId="33DD5AE2">
      <w:pPr>
        <w:pStyle w:val="110"/>
        <w:spacing w:before="120" w:after="120"/>
      </w:pPr>
    </w:p>
    <w:p w14:paraId="4DF46931">
      <w:pPr>
        <w:pStyle w:val="110"/>
        <w:numPr>
          <w:ilvl w:val="0"/>
          <w:numId w:val="0"/>
        </w:numPr>
        <w:spacing w:before="120" w:after="120"/>
        <w:ind w:firstLine="420" w:firstLineChars="200"/>
        <w:rPr>
          <w:rFonts w:ascii="Times New Roman"/>
        </w:rPr>
      </w:pPr>
      <w:r>
        <w:rPr>
          <w:rFonts w:hint="eastAsia"/>
        </w:rPr>
        <w:t xml:space="preserve">税务合规文化建设 </w:t>
      </w:r>
      <w:r>
        <w:rPr>
          <w:rFonts w:ascii="Times New Roman"/>
        </w:rPr>
        <w:t>construction of corporate tax compliance culture</w:t>
      </w:r>
    </w:p>
    <w:p w14:paraId="34745584">
      <w:pPr>
        <w:pStyle w:val="62"/>
        <w:ind w:firstLine="420"/>
      </w:pPr>
      <w:r>
        <w:rPr>
          <w:rFonts w:hint="eastAsia"/>
        </w:rPr>
        <w:t>通过一系列教育、培训和激励措施，在整个企业内部营造一种重视和尊重税务法律法规的文化氛围。这种文化强调诚信纳税的重要性，鼓励员工自觉遵守税法，形成自我约束机制，从而从根本上降低税务合规风险。</w:t>
      </w:r>
    </w:p>
    <w:p w14:paraId="6E018530">
      <w:pPr>
        <w:pStyle w:val="110"/>
        <w:spacing w:before="120" w:after="120"/>
      </w:pPr>
    </w:p>
    <w:p w14:paraId="4B5F7347">
      <w:pPr>
        <w:pStyle w:val="110"/>
        <w:numPr>
          <w:ilvl w:val="255"/>
          <w:numId w:val="0"/>
        </w:numPr>
        <w:spacing w:before="120" w:after="120"/>
        <w:ind w:firstLine="420" w:firstLineChars="200"/>
      </w:pPr>
      <w:r>
        <w:t xml:space="preserve"> 税收策划  </w:t>
      </w:r>
      <w:r>
        <w:rPr>
          <w:rFonts w:ascii="Times New Roman"/>
        </w:rPr>
        <w:t>tax planning</w:t>
      </w:r>
    </w:p>
    <w:p w14:paraId="27D659EA">
      <w:pPr>
        <w:spacing w:line="240" w:lineRule="auto"/>
        <w:ind w:firstLine="420" w:firstLineChars="200"/>
      </w:pPr>
      <w:r>
        <w:rPr>
          <w:rFonts w:hint="eastAsia"/>
        </w:rPr>
        <w:t>企业在遵守税法的前提下，通过合法合理的安排和优化企业的经营活动、投资行为、资本结构等，以达到降低税负、提高经济效益和实现财务目标的动态过程。</w:t>
      </w:r>
    </w:p>
    <w:p w14:paraId="654427CB">
      <w:pPr>
        <w:pStyle w:val="109"/>
        <w:spacing w:before="240" w:after="240"/>
      </w:pPr>
      <w:bookmarkStart w:id="63" w:name="_Toc188519707"/>
      <w:bookmarkStart w:id="64" w:name="_Toc187133894"/>
      <w:bookmarkStart w:id="65" w:name="_Toc187133934"/>
      <w:bookmarkStart w:id="66" w:name="_Toc188363483"/>
      <w:r>
        <w:rPr>
          <w:rFonts w:hint="eastAsia"/>
        </w:rPr>
        <w:t>基本原则</w:t>
      </w:r>
      <w:bookmarkEnd w:id="63"/>
      <w:bookmarkEnd w:id="64"/>
      <w:bookmarkEnd w:id="65"/>
      <w:bookmarkEnd w:id="66"/>
    </w:p>
    <w:p w14:paraId="02B78306">
      <w:pPr>
        <w:pStyle w:val="110"/>
        <w:spacing w:before="120" w:after="120"/>
      </w:pPr>
      <w:r>
        <w:rPr>
          <w:rFonts w:hint="eastAsia"/>
        </w:rPr>
        <w:t>合法性原则</w:t>
      </w:r>
    </w:p>
    <w:p w14:paraId="552A1C59">
      <w:pPr>
        <w:pStyle w:val="62"/>
        <w:ind w:firstLine="420"/>
      </w:pPr>
      <w:r>
        <w:rPr>
          <w:rFonts w:hint="eastAsia"/>
        </w:rPr>
        <w:t>企业的一切税务行为严格遵守国家和地方的税法、法规及相关政策。企业通过定期审查自身的税务操作，确保所有申报、缴纳等活动均符合现行法律法规要求，并且适应新的法律法规变化。</w:t>
      </w:r>
    </w:p>
    <w:p w14:paraId="4B8E71C1">
      <w:pPr>
        <w:pStyle w:val="110"/>
        <w:spacing w:before="120" w:after="120"/>
      </w:pPr>
      <w:r>
        <w:rPr>
          <w:rFonts w:hint="eastAsia"/>
        </w:rPr>
        <w:t>真实性原则</w:t>
      </w:r>
    </w:p>
    <w:p w14:paraId="32AEC76A">
      <w:pPr>
        <w:pStyle w:val="62"/>
        <w:ind w:firstLine="420"/>
      </w:pPr>
      <w:r>
        <w:rPr>
          <w:rFonts w:hint="eastAsia"/>
        </w:rPr>
        <w:t>企业保证提供的所有涉税信息真实、准确、完整，并建立严格的内部审核机制，确保财务记录与实际业务相符，避免虚假账务处理或隐瞒收入、虚增成本等违法行为。</w:t>
      </w:r>
    </w:p>
    <w:p w14:paraId="7625003A">
      <w:pPr>
        <w:pStyle w:val="110"/>
        <w:spacing w:before="120" w:after="120"/>
      </w:pPr>
      <w:r>
        <w:rPr>
          <w:rFonts w:hint="eastAsia"/>
        </w:rPr>
        <w:t>完整性原则</w:t>
      </w:r>
    </w:p>
    <w:p w14:paraId="04869F4B">
      <w:pPr>
        <w:pStyle w:val="62"/>
        <w:ind w:firstLine="420"/>
      </w:pPr>
      <w:r>
        <w:rPr>
          <w:rFonts w:hint="eastAsia"/>
        </w:rPr>
        <w:t>企业确保财务报表完整地反映自身的财务状况、经营成果和现金流量，不遗漏重要会计事项。按照税收法律法规的规定，完整填报税务申报表，涵盖所有相关的税种和税目。</w:t>
      </w:r>
    </w:p>
    <w:p w14:paraId="3B99BB37">
      <w:pPr>
        <w:pStyle w:val="110"/>
        <w:spacing w:before="120" w:after="120"/>
      </w:pPr>
      <w:r>
        <w:rPr>
          <w:rFonts w:hint="eastAsia"/>
        </w:rPr>
        <w:t>一致性原则</w:t>
      </w:r>
    </w:p>
    <w:p w14:paraId="13B004F3">
      <w:pPr>
        <w:pStyle w:val="62"/>
        <w:ind w:firstLine="420"/>
      </w:pPr>
      <w:r>
        <w:rPr>
          <w:rFonts w:hint="eastAsia"/>
        </w:rPr>
        <w:t>财务报表各项目之间、财务报表数据与税务申报数据之间、与相关文件之间均应该保持一致，没有矛盾之处。</w:t>
      </w:r>
    </w:p>
    <w:p w14:paraId="62BA9B31">
      <w:pPr>
        <w:pStyle w:val="110"/>
        <w:spacing w:before="120" w:after="120"/>
      </w:pPr>
      <w:r>
        <w:rPr>
          <w:rFonts w:hint="eastAsia"/>
        </w:rPr>
        <w:t>持续改进原则</w:t>
      </w:r>
    </w:p>
    <w:p w14:paraId="2BE09A7E">
      <w:pPr>
        <w:pStyle w:val="62"/>
        <w:ind w:firstLine="420"/>
      </w:pPr>
      <w:r>
        <w:rPr>
          <w:rFonts w:hint="eastAsia"/>
        </w:rPr>
        <w:t>企业不断优化和完善企业的税务合规管理体系，提高管理水平和效率。并根据外部环境的变化以及内部运营情况调整税务策略；鼓励员工提出改进建议，实施持续的学习和发展计划。</w:t>
      </w:r>
    </w:p>
    <w:p w14:paraId="629398A1">
      <w:pPr>
        <w:pStyle w:val="109"/>
        <w:spacing w:before="240" w:after="240"/>
      </w:pPr>
      <w:bookmarkStart w:id="67" w:name="_Toc188519708"/>
      <w:bookmarkEnd w:id="67"/>
      <w:bookmarkStart w:id="68" w:name="_Toc188519709"/>
      <w:bookmarkEnd w:id="68"/>
      <w:bookmarkStart w:id="69" w:name="_Toc188519710"/>
      <w:bookmarkStart w:id="70" w:name="_Toc187133935"/>
      <w:bookmarkStart w:id="71" w:name="_Toc187133895"/>
      <w:bookmarkStart w:id="72" w:name="_Toc188363484"/>
      <w:r>
        <w:rPr>
          <w:rFonts w:hint="eastAsia"/>
        </w:rPr>
        <w:t>税务合规管理制度</w:t>
      </w:r>
      <w:bookmarkEnd w:id="69"/>
      <w:bookmarkEnd w:id="70"/>
      <w:bookmarkEnd w:id="71"/>
      <w:bookmarkEnd w:id="72"/>
    </w:p>
    <w:p w14:paraId="535355EB">
      <w:pPr>
        <w:pStyle w:val="110"/>
        <w:spacing w:before="120" w:after="120"/>
      </w:pPr>
      <w:r>
        <w:rPr>
          <w:rFonts w:hint="eastAsia" w:hAnsi="黑体" w:cs="黑体"/>
        </w:rPr>
        <w:t>税务合规的内部控制制度</w:t>
      </w:r>
    </w:p>
    <w:p w14:paraId="3F13F4C2">
      <w:pPr>
        <w:pStyle w:val="62"/>
        <w:ind w:firstLine="420"/>
      </w:pPr>
      <w:r>
        <w:rPr>
          <w:rFonts w:hint="eastAsia"/>
        </w:rPr>
        <w:t>企业应制定税务合规的内部管理控制制度，包括但不限于：</w:t>
      </w:r>
    </w:p>
    <w:p w14:paraId="7BA18EE3">
      <w:pPr>
        <w:pStyle w:val="137"/>
      </w:pPr>
      <w:r>
        <w:rPr>
          <w:rFonts w:hint="eastAsia"/>
        </w:rPr>
        <w:t>企业根据发展阶段和纳税环境变化及时识别潜在税务风险点，设计并实施有效的内部控制措施；</w:t>
      </w:r>
    </w:p>
    <w:p w14:paraId="7FF3A78D">
      <w:pPr>
        <w:pStyle w:val="137"/>
      </w:pPr>
      <w:r>
        <w:rPr>
          <w:rFonts w:hint="eastAsia"/>
        </w:rPr>
        <w:t>建立税务内部控制规范与合规标准，预防不合规行为或舞弊行发生。。</w:t>
      </w:r>
    </w:p>
    <w:p w14:paraId="416FCDA0">
      <w:pPr>
        <w:pStyle w:val="110"/>
        <w:spacing w:before="120" w:after="120"/>
      </w:pPr>
      <w:r>
        <w:rPr>
          <w:rFonts w:hint="eastAsia"/>
        </w:rPr>
        <w:t>内部管理流程的审核制度</w:t>
      </w:r>
    </w:p>
    <w:p w14:paraId="79304146">
      <w:pPr>
        <w:pStyle w:val="62"/>
        <w:ind w:firstLine="420"/>
      </w:pPr>
      <w:r>
        <w:rPr>
          <w:rFonts w:hint="eastAsia"/>
        </w:rPr>
        <w:t>企业应制定内部管理流程的审核制度，包括但不限于：</w:t>
      </w:r>
    </w:p>
    <w:p w14:paraId="4B450594">
      <w:pPr>
        <w:pStyle w:val="137"/>
      </w:pPr>
      <w:r>
        <w:rPr>
          <w:rFonts w:hint="eastAsia"/>
        </w:rPr>
        <w:t>建立内部管理程序和详细的流程，指导日常操作中的税务处理；</w:t>
      </w:r>
    </w:p>
    <w:p w14:paraId="31F3CF04">
      <w:pPr>
        <w:pStyle w:val="137"/>
      </w:pPr>
      <w:r>
        <w:rPr>
          <w:rFonts w:hint="eastAsia"/>
        </w:rPr>
        <w:t>通过系列的措施确保企业的所有财务和税务活动都在法律框架内进行，提高工作效率。</w:t>
      </w:r>
    </w:p>
    <w:p w14:paraId="71599488">
      <w:pPr>
        <w:pStyle w:val="110"/>
        <w:spacing w:before="120" w:after="120"/>
      </w:pPr>
      <w:r>
        <w:rPr>
          <w:rFonts w:hint="eastAsia" w:hAnsi="黑体" w:cs="黑体"/>
        </w:rPr>
        <w:t>定期培训和发展制度</w:t>
      </w:r>
    </w:p>
    <w:p w14:paraId="14A41B92">
      <w:pPr>
        <w:pStyle w:val="62"/>
        <w:ind w:firstLine="420"/>
      </w:pPr>
      <w:r>
        <w:rPr>
          <w:rFonts w:hint="eastAsia"/>
        </w:rPr>
        <w:t>企业应制定定期培训和发展制度，包括但不限于：</w:t>
      </w:r>
    </w:p>
    <w:p w14:paraId="76C274BF">
      <w:pPr>
        <w:pStyle w:val="137"/>
      </w:pPr>
      <w:r>
        <w:rPr>
          <w:rFonts w:hint="eastAsia"/>
        </w:rPr>
        <w:t>企业应定期为员工提供税务知识培训，确保员工能够准确理解和执行相关的法律法规；</w:t>
      </w:r>
    </w:p>
    <w:p w14:paraId="1D05B2E2">
      <w:pPr>
        <w:pStyle w:val="137"/>
      </w:pPr>
      <w:r>
        <w:rPr>
          <w:rFonts w:hint="eastAsia"/>
        </w:rPr>
        <w:t>鼓励和支持设置内部税务专业岗位，鼓励专业人员参加继续教育课程以保持其专业资格。</w:t>
      </w:r>
    </w:p>
    <w:p w14:paraId="7EAC465D">
      <w:pPr>
        <w:pStyle w:val="110"/>
        <w:spacing w:before="120" w:after="120"/>
      </w:pPr>
      <w:r>
        <w:rPr>
          <w:rFonts w:hint="eastAsia" w:hAnsi="黑体" w:cs="黑体"/>
        </w:rPr>
        <w:t>定期信息交流与沟通制度</w:t>
      </w:r>
    </w:p>
    <w:p w14:paraId="32145BD1">
      <w:pPr>
        <w:pStyle w:val="62"/>
        <w:ind w:firstLine="420"/>
      </w:pPr>
      <w:r>
        <w:rPr>
          <w:rFonts w:hint="eastAsia"/>
        </w:rPr>
        <w:t>企业应制定定期信息交流与沟通制度，包括但不限于：</w:t>
      </w:r>
    </w:p>
    <w:p w14:paraId="5213287B">
      <w:pPr>
        <w:pStyle w:val="137"/>
      </w:pPr>
      <w:r>
        <w:rPr>
          <w:rFonts w:hint="eastAsia"/>
        </w:rPr>
        <w:t>建立内外部利益相关者的沟通机制，形成畅通的信息流通渠道，使各部门能及时交流相关税务问题；</w:t>
      </w:r>
    </w:p>
    <w:p w14:paraId="4404E26E">
      <w:pPr>
        <w:pStyle w:val="137"/>
      </w:pPr>
      <w:r>
        <w:rPr>
          <w:rFonts w:hint="eastAsia"/>
        </w:rPr>
        <w:t>可以定期开展确保税收合规建设有效性的各种活动。</w:t>
      </w:r>
    </w:p>
    <w:p w14:paraId="0A6F7772">
      <w:pPr>
        <w:pStyle w:val="110"/>
        <w:spacing w:before="120" w:after="120"/>
      </w:pPr>
      <w:r>
        <w:rPr>
          <w:rFonts w:hint="eastAsia" w:hAnsi="黑体" w:cs="黑体"/>
        </w:rPr>
        <w:t>监督和审计制度</w:t>
      </w:r>
    </w:p>
    <w:p w14:paraId="71460FF3">
      <w:pPr>
        <w:pStyle w:val="62"/>
        <w:ind w:firstLine="420"/>
      </w:pPr>
      <w:r>
        <w:rPr>
          <w:rFonts w:hint="eastAsia"/>
        </w:rPr>
        <w:t>企业应制定监督和审计制度，包括但不限于：</w:t>
      </w:r>
    </w:p>
    <w:p w14:paraId="27DEDEAE">
      <w:pPr>
        <w:pStyle w:val="137"/>
      </w:pPr>
      <w:r>
        <w:rPr>
          <w:rFonts w:hint="eastAsia"/>
        </w:rPr>
        <w:t>内部审计部门应定期检查税务合规情况，也可接受外部独立审计师的审查；</w:t>
      </w:r>
    </w:p>
    <w:p w14:paraId="2C11875D">
      <w:pPr>
        <w:pStyle w:val="137"/>
      </w:pPr>
      <w:r>
        <w:rPr>
          <w:rFonts w:hint="eastAsia"/>
        </w:rPr>
        <w:t>可以增加能有效增强透明度和公信力的具体手段和方法。</w:t>
      </w:r>
    </w:p>
    <w:p w14:paraId="3782BF92">
      <w:pPr>
        <w:pStyle w:val="110"/>
        <w:spacing w:before="120" w:after="120"/>
      </w:pPr>
      <w:r>
        <w:rPr>
          <w:rFonts w:hint="eastAsia" w:hAnsi="黑体" w:cs="黑体"/>
        </w:rPr>
        <w:t>报告和披露制度</w:t>
      </w:r>
    </w:p>
    <w:p w14:paraId="2DFC1424">
      <w:pPr>
        <w:pStyle w:val="62"/>
        <w:ind w:firstLine="420"/>
      </w:pPr>
      <w:r>
        <w:rPr>
          <w:rFonts w:hint="eastAsia"/>
        </w:rPr>
        <w:t>企业应制定报告和披露制度，包括但不限于：</w:t>
      </w:r>
    </w:p>
    <w:p w14:paraId="3A9D6339">
      <w:pPr>
        <w:pStyle w:val="137"/>
      </w:pPr>
      <w:r>
        <w:rPr>
          <w:rFonts w:hint="eastAsia"/>
        </w:rPr>
        <w:t>企业应向税务征管机关提交所有必要报表和申报表单，建立向股东和其他利益相关方公开必要的税务信息的机制。</w:t>
      </w:r>
    </w:p>
    <w:p w14:paraId="42F459BF">
      <w:pPr>
        <w:pStyle w:val="137"/>
      </w:pPr>
      <w:r>
        <w:rPr>
          <w:rFonts w:hint="eastAsia"/>
        </w:rPr>
        <w:t>可根据需求向不同主体提供透明、准确、及时的财务和税务信息。</w:t>
      </w:r>
    </w:p>
    <w:p w14:paraId="3323DEA3">
      <w:pPr>
        <w:pStyle w:val="110"/>
        <w:spacing w:before="120" w:after="120"/>
      </w:pPr>
      <w:r>
        <w:rPr>
          <w:rFonts w:hint="eastAsia" w:hAnsi="黑体" w:cs="黑体"/>
        </w:rPr>
        <w:t>绩效和考核制度</w:t>
      </w:r>
    </w:p>
    <w:p w14:paraId="0220DC6D">
      <w:pPr>
        <w:pStyle w:val="62"/>
        <w:ind w:firstLine="420"/>
      </w:pPr>
      <w:r>
        <w:rPr>
          <w:rFonts w:hint="eastAsia"/>
        </w:rPr>
        <w:t>企业应制定绩效和考核制度，包括但不限于：</w:t>
      </w:r>
    </w:p>
    <w:p w14:paraId="41B4E078">
      <w:pPr>
        <w:pStyle w:val="137"/>
      </w:pPr>
      <w:r>
        <w:rPr>
          <w:rFonts w:hint="eastAsia"/>
        </w:rPr>
        <w:t>包括组织体系与组织目标匹配，部门和岗位职责明确，有可控参考的控制流程标准；</w:t>
      </w:r>
    </w:p>
    <w:p w14:paraId="53142F24">
      <w:pPr>
        <w:pStyle w:val="137"/>
      </w:pPr>
      <w:r>
        <w:rPr>
          <w:rFonts w:hint="eastAsia"/>
        </w:rPr>
        <w:t>构建与环境相适应的绩效评价体系，设有一套科学合理的考核指标，并纳入年度绩效考核中；</w:t>
      </w:r>
    </w:p>
    <w:p w14:paraId="486156DD">
      <w:pPr>
        <w:pStyle w:val="137"/>
      </w:pPr>
      <w:r>
        <w:rPr>
          <w:rFonts w:hint="eastAsia"/>
        </w:rPr>
        <w:t>有明确的奖惩措施。</w:t>
      </w:r>
    </w:p>
    <w:p w14:paraId="594E2D82">
      <w:pPr>
        <w:pStyle w:val="109"/>
        <w:spacing w:before="240" w:after="240"/>
      </w:pPr>
      <w:bookmarkStart w:id="73" w:name="_Toc188519711"/>
      <w:r>
        <w:rPr>
          <w:rFonts w:hint="eastAsia"/>
        </w:rPr>
        <w:t>税务合规管理内容</w:t>
      </w:r>
      <w:bookmarkEnd w:id="73"/>
    </w:p>
    <w:p w14:paraId="2734AA2C">
      <w:pPr>
        <w:pStyle w:val="110"/>
        <w:spacing w:before="120" w:after="120"/>
      </w:pPr>
      <w:r>
        <w:rPr>
          <w:rFonts w:hint="eastAsia"/>
        </w:rPr>
        <w:t>明确税务合规目标</w:t>
      </w:r>
    </w:p>
    <w:p w14:paraId="2A711A93">
      <w:pPr>
        <w:pStyle w:val="62"/>
        <w:ind w:firstLine="420"/>
      </w:pPr>
      <w:r>
        <w:rPr>
          <w:rFonts w:hint="eastAsia"/>
        </w:rPr>
        <w:t>企业应明确税务合规目标，包括但不限于：</w:t>
      </w:r>
    </w:p>
    <w:p w14:paraId="501542E8">
      <w:pPr>
        <w:pStyle w:val="137"/>
      </w:pPr>
      <w:r>
        <w:rPr>
          <w:rFonts w:hint="eastAsia"/>
        </w:rPr>
        <w:t>明确自身的税务合规愿景和长期目标，确保其与企业整体战略相一致；</w:t>
      </w:r>
    </w:p>
    <w:p w14:paraId="5AB49F63">
      <w:pPr>
        <w:pStyle w:val="137"/>
      </w:pPr>
      <w:r>
        <w:rPr>
          <w:rFonts w:hint="eastAsia"/>
        </w:rPr>
        <w:t>制定具体的、可衡量的短、中期目标，如减少税务风险、优化税负、提高申报准确性和及时性等。</w:t>
      </w:r>
    </w:p>
    <w:p w14:paraId="5E538263">
      <w:pPr>
        <w:pStyle w:val="110"/>
        <w:spacing w:before="120" w:after="120"/>
      </w:pPr>
      <w:r>
        <w:rPr>
          <w:rFonts w:hint="eastAsia"/>
        </w:rPr>
        <w:t>设立税务合规团队</w:t>
      </w:r>
    </w:p>
    <w:p w14:paraId="44BDFF9C">
      <w:pPr>
        <w:pStyle w:val="62"/>
        <w:ind w:firstLine="420"/>
      </w:pPr>
      <w:r>
        <w:rPr>
          <w:rFonts w:hint="eastAsia"/>
        </w:rPr>
        <w:t>企业应设立税务合规团队，包括但不限于：</w:t>
      </w:r>
    </w:p>
    <w:p w14:paraId="4803CFE0">
      <w:pPr>
        <w:pStyle w:val="137"/>
      </w:pPr>
      <w:r>
        <w:rPr>
          <w:rFonts w:hint="eastAsia"/>
        </w:rPr>
        <w:t>建立负责税务合规事务的部门或团队，明确职责分工，包括税务策划、申报、审计应对等；</w:t>
      </w:r>
    </w:p>
    <w:p w14:paraId="554A93CC">
      <w:pPr>
        <w:pStyle w:val="137"/>
      </w:pPr>
      <w:r>
        <w:rPr>
          <w:rFonts w:hint="eastAsia"/>
        </w:rPr>
        <w:t>招聘具备专业资格和经验丰富的税务专家，同时考虑外部顾问的支持。</w:t>
      </w:r>
    </w:p>
    <w:p w14:paraId="2914E7A1">
      <w:pPr>
        <w:pStyle w:val="110"/>
        <w:spacing w:before="120" w:after="120"/>
      </w:pPr>
      <w:r>
        <w:rPr>
          <w:rFonts w:hint="eastAsia"/>
        </w:rPr>
        <w:t>完善合规制度与流程</w:t>
      </w:r>
    </w:p>
    <w:p w14:paraId="2206E242">
      <w:pPr>
        <w:pStyle w:val="62"/>
        <w:ind w:firstLine="420"/>
      </w:pPr>
      <w:r>
        <w:rPr>
          <w:rFonts w:hint="eastAsia"/>
        </w:rPr>
        <w:t>企业应完善合规制度与流程，包括但不限于：</w:t>
      </w:r>
    </w:p>
    <w:p w14:paraId="7D22BE7D">
      <w:pPr>
        <w:pStyle w:val="137"/>
      </w:pPr>
      <w:r>
        <w:rPr>
          <w:rFonts w:hint="eastAsia"/>
        </w:rPr>
        <w:t>编写详细的税务合规管理手册，涵盖所有适用的税务法律法规、内部操作规程以及应急处理机制；</w:t>
      </w:r>
    </w:p>
    <w:p w14:paraId="38F2AA4F">
      <w:pPr>
        <w:pStyle w:val="137"/>
      </w:pPr>
      <w:r>
        <w:rPr>
          <w:rFonts w:hint="eastAsia"/>
        </w:rPr>
        <w:t>设计标准化的工作流程图，指导日常税务管理活动，例如发票处理、账务记录、申报准备等。</w:t>
      </w:r>
    </w:p>
    <w:p w14:paraId="507C7DED">
      <w:pPr>
        <w:pStyle w:val="110"/>
        <w:spacing w:before="120" w:after="120"/>
      </w:pPr>
      <w:r>
        <w:rPr>
          <w:rFonts w:hint="eastAsia"/>
        </w:rPr>
        <w:t>合规风险点排查</w:t>
      </w:r>
    </w:p>
    <w:p w14:paraId="52F7D625">
      <w:pPr>
        <w:pStyle w:val="62"/>
        <w:ind w:firstLine="420"/>
      </w:pPr>
      <w:r>
        <w:rPr>
          <w:rFonts w:hint="eastAsia"/>
        </w:rPr>
        <w:t>企业应加强合规风险点排查和对应处理，包括但不限于：</w:t>
      </w:r>
    </w:p>
    <w:p w14:paraId="08DF3C9C">
      <w:pPr>
        <w:pStyle w:val="137"/>
      </w:pPr>
      <w:r>
        <w:rPr>
          <w:rFonts w:hint="eastAsia"/>
        </w:rPr>
        <w:t>定期进行税务风险评估，识别潜在的风险点，并对其进行优先级排序；</w:t>
      </w:r>
    </w:p>
    <w:p w14:paraId="7724E71D">
      <w:pPr>
        <w:pStyle w:val="137"/>
      </w:pPr>
      <w:r>
        <w:rPr>
          <w:rFonts w:hint="eastAsia"/>
        </w:rPr>
        <w:t>实施有效的内部控制措施，如审批权限设置、双人复核制度、随机抽查等，以防止错误和舞弊行为的发生。</w:t>
      </w:r>
    </w:p>
    <w:p w14:paraId="5DC33773">
      <w:pPr>
        <w:pStyle w:val="110"/>
        <w:spacing w:before="120" w:after="120"/>
      </w:pPr>
      <w:r>
        <w:rPr>
          <w:rFonts w:hint="eastAsia"/>
        </w:rPr>
        <w:t>员工的合规培训与教育</w:t>
      </w:r>
    </w:p>
    <w:p w14:paraId="2533109E">
      <w:pPr>
        <w:pStyle w:val="62"/>
        <w:ind w:firstLine="420"/>
      </w:pPr>
      <w:r>
        <w:rPr>
          <w:rFonts w:hint="eastAsia"/>
        </w:rPr>
        <w:t>企业应加强员工合规培训与教育，包括但不限于：</w:t>
      </w:r>
    </w:p>
    <w:p w14:paraId="33114F12">
      <w:pPr>
        <w:pStyle w:val="137"/>
      </w:pPr>
      <w:r>
        <w:rPr>
          <w:rFonts w:hint="eastAsia"/>
        </w:rPr>
        <w:t>为全体员工尤其是财务和税务相关人员提供定期的税务知识更新和技能培训课程；</w:t>
      </w:r>
    </w:p>
    <w:p w14:paraId="3A133EEE">
      <w:pPr>
        <w:pStyle w:val="137"/>
      </w:pPr>
      <w:r>
        <w:rPr>
          <w:rFonts w:hint="eastAsia"/>
        </w:rPr>
        <w:t>通过讲座、研讨会、在线学习平台等多种形式，提升全员对税务合规重要性的认识，鼓励遵守相关税务法律法规。</w:t>
      </w:r>
    </w:p>
    <w:p w14:paraId="0F61FEB0">
      <w:pPr>
        <w:pStyle w:val="110"/>
        <w:spacing w:before="120" w:after="120"/>
      </w:pPr>
      <w:r>
        <w:rPr>
          <w:rFonts w:hint="eastAsia"/>
        </w:rPr>
        <w:t>信息管理与技术支持</w:t>
      </w:r>
    </w:p>
    <w:p w14:paraId="3D7471B1">
      <w:pPr>
        <w:pStyle w:val="62"/>
        <w:ind w:firstLine="420"/>
      </w:pPr>
      <w:r>
        <w:rPr>
          <w:rFonts w:hint="eastAsia"/>
        </w:rPr>
        <w:t>企业应提升信息管理与技术支持能力，包括但不限于：</w:t>
      </w:r>
    </w:p>
    <w:p w14:paraId="373A5F47">
      <w:pPr>
        <w:pStyle w:val="137"/>
      </w:pPr>
      <w:r>
        <w:rPr>
          <w:rFonts w:hint="eastAsia"/>
        </w:rPr>
        <w:t>引入先进的税务管理系统，实现自动化数据采集、处理和报告功能，提高工作效率；</w:t>
      </w:r>
    </w:p>
    <w:p w14:paraId="556607AD">
      <w:pPr>
        <w:pStyle w:val="137"/>
      </w:pPr>
      <w:r>
        <w:rPr>
          <w:rFonts w:hint="eastAsia"/>
        </w:rPr>
        <w:t>确保涉税信息的安全存储和传输，采用加密技术和访问控制机制保护敏感资料。</w:t>
      </w:r>
    </w:p>
    <w:p w14:paraId="46414C5E">
      <w:pPr>
        <w:pStyle w:val="110"/>
        <w:spacing w:before="120" w:after="120"/>
      </w:pPr>
      <w:r>
        <w:rPr>
          <w:rFonts w:hint="eastAsia"/>
        </w:rPr>
        <w:t>构建合规管理的内外部环境</w:t>
      </w:r>
    </w:p>
    <w:p w14:paraId="521B87CA">
      <w:pPr>
        <w:pStyle w:val="62"/>
        <w:ind w:firstLine="420"/>
      </w:pPr>
      <w:r>
        <w:rPr>
          <w:rFonts w:hint="eastAsia"/>
        </w:rPr>
        <w:t>企业应构建合规管理的内外部环境，包括但不限于：</w:t>
      </w:r>
    </w:p>
    <w:p w14:paraId="053541D4">
      <w:pPr>
        <w:pStyle w:val="137"/>
      </w:pPr>
      <w:r>
        <w:rPr>
          <w:rFonts w:hint="eastAsia"/>
        </w:rPr>
        <w:t>促进跨部门间的协作与交流，建立畅通的信息传递渠道，确保各部门理解和支持税务合规工作；</w:t>
      </w:r>
    </w:p>
    <w:p w14:paraId="672B15A4">
      <w:pPr>
        <w:pStyle w:val="137"/>
      </w:pPr>
      <w:r>
        <w:rPr>
          <w:rFonts w:hint="eastAsia"/>
        </w:rPr>
        <w:t>加强与政府机构、行业协会及其他利益相关者的联系，及时了解最新政策动态，获取必要的支持和服务。</w:t>
      </w:r>
    </w:p>
    <w:p w14:paraId="7AEA142F">
      <w:pPr>
        <w:pStyle w:val="110"/>
        <w:spacing w:before="120" w:after="120"/>
      </w:pPr>
      <w:r>
        <w:rPr>
          <w:rFonts w:hint="eastAsia"/>
        </w:rPr>
        <w:t>文档管理与记录保存</w:t>
      </w:r>
    </w:p>
    <w:p w14:paraId="01154697">
      <w:pPr>
        <w:pStyle w:val="62"/>
        <w:ind w:firstLine="420"/>
      </w:pPr>
      <w:r>
        <w:rPr>
          <w:rFonts w:hint="eastAsia"/>
        </w:rPr>
        <w:t>企业应规范文档管理与记录保存，包括但不限于：</w:t>
      </w:r>
    </w:p>
    <w:p w14:paraId="2841B78B">
      <w:pPr>
        <w:pStyle w:val="137"/>
      </w:pPr>
      <w:r>
        <w:rPr>
          <w:rFonts w:hint="eastAsia"/>
        </w:rPr>
        <w:t>规范各类税务文件的格式和内容要求，确保所有文档清晰、完整且易于检索；</w:t>
      </w:r>
    </w:p>
    <w:p w14:paraId="7C2B1B2C">
      <w:pPr>
        <w:pStyle w:val="137"/>
      </w:pPr>
      <w:r>
        <w:rPr>
          <w:rFonts w:hint="eastAsia"/>
        </w:rPr>
        <w:t>制定严格的档案管理制度，规定纸质和电子版文档的保存期限及销毁程序，保证历史记录的真实性和完整性。</w:t>
      </w:r>
    </w:p>
    <w:p w14:paraId="1CBE5DDC">
      <w:pPr>
        <w:pStyle w:val="110"/>
        <w:spacing w:before="120" w:after="120"/>
      </w:pPr>
      <w:r>
        <w:rPr>
          <w:rFonts w:hint="eastAsia"/>
        </w:rPr>
        <w:t>持续改进与监督</w:t>
      </w:r>
    </w:p>
    <w:p w14:paraId="4E238E52">
      <w:pPr>
        <w:pStyle w:val="62"/>
        <w:ind w:firstLine="420"/>
      </w:pPr>
      <w:r>
        <w:rPr>
          <w:rFonts w:hint="eastAsia"/>
        </w:rPr>
        <w:t>企业应持续改进与监督常态化，包括但不限于：</w:t>
      </w:r>
    </w:p>
    <w:p w14:paraId="4517D1FB">
      <w:pPr>
        <w:pStyle w:val="137"/>
      </w:pPr>
      <w:r>
        <w:rPr>
          <w:rFonts w:hint="eastAsia"/>
        </w:rPr>
        <w:t>设立税务合规关键指标，定期评估税务合规工作的成效，找出需要改进的地方；</w:t>
      </w:r>
    </w:p>
    <w:p w14:paraId="3DDF5D21">
      <w:pPr>
        <w:pStyle w:val="137"/>
      </w:pPr>
      <w:r>
        <w:rPr>
          <w:rFonts w:hint="eastAsia"/>
        </w:rPr>
        <w:t>建立开放的反馈渠道，鼓励相关业务的员工提出意见和建议，以便不断优化制度和流程。</w:t>
      </w:r>
    </w:p>
    <w:p w14:paraId="3D0497C0">
      <w:pPr>
        <w:pStyle w:val="109"/>
        <w:spacing w:before="240" w:after="240"/>
      </w:pPr>
      <w:bookmarkStart w:id="74" w:name="_Toc188519718"/>
      <w:bookmarkEnd w:id="74"/>
      <w:bookmarkStart w:id="75" w:name="_Toc188519716"/>
      <w:bookmarkEnd w:id="75"/>
      <w:bookmarkStart w:id="76" w:name="_Toc188519717"/>
      <w:bookmarkEnd w:id="76"/>
      <w:bookmarkStart w:id="77" w:name="_Toc188519712"/>
      <w:bookmarkEnd w:id="77"/>
      <w:bookmarkStart w:id="78" w:name="_Toc188519713"/>
      <w:bookmarkEnd w:id="78"/>
      <w:bookmarkStart w:id="79" w:name="_Toc188519715"/>
      <w:bookmarkEnd w:id="79"/>
      <w:bookmarkStart w:id="80" w:name="_Toc188519714"/>
      <w:bookmarkEnd w:id="80"/>
      <w:bookmarkStart w:id="81" w:name="_Toc188519719"/>
      <w:bookmarkEnd w:id="81"/>
      <w:bookmarkStart w:id="82" w:name="_Toc187133936"/>
      <w:bookmarkStart w:id="83" w:name="_Toc188363485"/>
      <w:bookmarkStart w:id="84" w:name="_Toc188519720"/>
      <w:bookmarkStart w:id="85" w:name="_Toc187133896"/>
      <w:r>
        <w:rPr>
          <w:rFonts w:hint="eastAsia"/>
        </w:rPr>
        <w:t>运行机制</w:t>
      </w:r>
      <w:bookmarkEnd w:id="82"/>
      <w:bookmarkEnd w:id="83"/>
      <w:bookmarkEnd w:id="84"/>
      <w:bookmarkEnd w:id="85"/>
    </w:p>
    <w:p w14:paraId="743E75A4">
      <w:pPr>
        <w:pStyle w:val="110"/>
        <w:spacing w:before="120" w:after="120"/>
      </w:pPr>
      <w:r>
        <w:rPr>
          <w:rFonts w:hint="eastAsia"/>
        </w:rPr>
        <w:t>组织体系</w:t>
      </w:r>
    </w:p>
    <w:p w14:paraId="1B340D11">
      <w:pPr>
        <w:pStyle w:val="71"/>
        <w:spacing w:before="120" w:after="120"/>
      </w:pPr>
      <w:r>
        <w:rPr>
          <w:rFonts w:hint="eastAsia"/>
        </w:rPr>
        <w:t>董事会</w:t>
      </w:r>
    </w:p>
    <w:p w14:paraId="36E5FBA6">
      <w:pPr>
        <w:pStyle w:val="62"/>
        <w:ind w:firstLine="420"/>
      </w:pPr>
      <w:r>
        <w:rPr>
          <w:rFonts w:hint="eastAsia"/>
        </w:rPr>
        <w:t>董事会是企业税务合规管理的第一责任方，发挥把方向、定战略、降风险、促实施的作用，应承担以下职责：</w:t>
      </w:r>
    </w:p>
    <w:p w14:paraId="2FF3EB2B">
      <w:pPr>
        <w:pStyle w:val="137"/>
      </w:pPr>
      <w:r>
        <w:rPr>
          <w:rFonts w:hint="eastAsia"/>
        </w:rPr>
        <w:t>审核、批准税务合规管理目标、制度和年度工作计划及报告；</w:t>
      </w:r>
    </w:p>
    <w:p w14:paraId="3B919E9F">
      <w:pPr>
        <w:pStyle w:val="137"/>
      </w:pPr>
      <w:r>
        <w:rPr>
          <w:rFonts w:hint="eastAsia"/>
        </w:rPr>
        <w:t>确定监事会、经理层、主要负责人、业务与职能部门的税务合规职能；</w:t>
      </w:r>
    </w:p>
    <w:p w14:paraId="5C7F16F9">
      <w:pPr>
        <w:pStyle w:val="137"/>
      </w:pPr>
      <w:r>
        <w:rPr>
          <w:rFonts w:hint="eastAsia"/>
        </w:rPr>
        <w:t>确定合规委员会、首席合规官及税务合规负责人（企业副总裁）的设置、职责和任免；</w:t>
      </w:r>
    </w:p>
    <w:p w14:paraId="12A126CD">
      <w:pPr>
        <w:pStyle w:val="137"/>
      </w:pPr>
      <w:r>
        <w:rPr>
          <w:rFonts w:hint="eastAsia"/>
        </w:rPr>
        <w:t>研究、审定税务合规管理的重大事项。</w:t>
      </w:r>
    </w:p>
    <w:p w14:paraId="4B5A3FDE">
      <w:pPr>
        <w:pStyle w:val="71"/>
        <w:spacing w:before="120" w:after="120"/>
      </w:pPr>
      <w:r>
        <w:rPr>
          <w:rFonts w:hint="eastAsia"/>
        </w:rPr>
        <w:t>经营管理层</w:t>
      </w:r>
    </w:p>
    <w:p w14:paraId="605106BB">
      <w:pPr>
        <w:pStyle w:val="62"/>
        <w:ind w:firstLine="420"/>
      </w:pPr>
      <w:r>
        <w:rPr>
          <w:rFonts w:hint="eastAsia"/>
        </w:rPr>
        <w:t>经营管理层的税务合规职责包括：</w:t>
      </w:r>
    </w:p>
    <w:p w14:paraId="1F7C2108">
      <w:pPr>
        <w:pStyle w:val="137"/>
      </w:pPr>
      <w:r>
        <w:rPr>
          <w:rFonts w:hint="eastAsia"/>
        </w:rPr>
        <w:t>拟定各部门和所属单位的税务合规管理制度和工作计划；</w:t>
      </w:r>
    </w:p>
    <w:p w14:paraId="780BF55D">
      <w:pPr>
        <w:pStyle w:val="137"/>
      </w:pPr>
      <w:r>
        <w:rPr>
          <w:rFonts w:hint="eastAsia"/>
        </w:rPr>
        <w:t>明确各部门和所属单位税务合规管理工作流程和岗位职责；</w:t>
      </w:r>
    </w:p>
    <w:p w14:paraId="7DD0D93B">
      <w:pPr>
        <w:pStyle w:val="137"/>
      </w:pPr>
      <w:r>
        <w:rPr>
          <w:rFonts w:hint="eastAsia"/>
        </w:rPr>
        <w:t>拟定税务合规管理考核指标并纳入企业KPI体系；</w:t>
      </w:r>
    </w:p>
    <w:p w14:paraId="502AB4BA">
      <w:pPr>
        <w:pStyle w:val="137"/>
      </w:pPr>
      <w:r>
        <w:rPr>
          <w:rFonts w:hint="eastAsia"/>
        </w:rPr>
        <w:t>组织处置本部门和所属单位重大税务合规风险事件；</w:t>
      </w:r>
    </w:p>
    <w:p w14:paraId="11642CFF">
      <w:pPr>
        <w:pStyle w:val="71"/>
        <w:spacing w:before="120" w:after="120"/>
      </w:pPr>
      <w:r>
        <w:rPr>
          <w:rFonts w:hint="eastAsia"/>
        </w:rPr>
        <w:t>税务合规负责人（企业副总裁）</w:t>
      </w:r>
    </w:p>
    <w:p w14:paraId="4B1EFBEB">
      <w:pPr>
        <w:pStyle w:val="62"/>
        <w:ind w:firstLine="420"/>
      </w:pPr>
      <w:r>
        <w:rPr>
          <w:rFonts w:hint="eastAsia"/>
        </w:rPr>
        <w:t>税务合规负责人统筹管理企业的涉税事宜，确保税务工作的合规性，可选择具有注册会计师、律师或税务师专业资格，同时具有十年以上财税工作经验的专业人士担任。其主要职责包括：</w:t>
      </w:r>
    </w:p>
    <w:p w14:paraId="7EB33292">
      <w:pPr>
        <w:pStyle w:val="137"/>
      </w:pPr>
      <w:r>
        <w:rPr>
          <w:rFonts w:hint="eastAsia"/>
        </w:rPr>
        <w:t>组织拟定税务合规管理制度、岗位职责、工作计划、工作流程和年度报告；</w:t>
      </w:r>
    </w:p>
    <w:p w14:paraId="3BA800D4">
      <w:pPr>
        <w:pStyle w:val="137"/>
      </w:pPr>
      <w:r>
        <w:rPr>
          <w:rFonts w:hint="eastAsia"/>
        </w:rPr>
        <w:t>审查经济合同和在重大决策的税务合规风险并提出意见；</w:t>
      </w:r>
    </w:p>
    <w:p w14:paraId="37348D2C">
      <w:pPr>
        <w:pStyle w:val="137"/>
      </w:pPr>
      <w:r>
        <w:rPr>
          <w:rFonts w:hint="eastAsia"/>
        </w:rPr>
        <w:t>组织税务合规培训，提升员工依法纳税意识；</w:t>
      </w:r>
    </w:p>
    <w:p w14:paraId="7618A7C0">
      <w:pPr>
        <w:pStyle w:val="137"/>
      </w:pPr>
      <w:r>
        <w:rPr>
          <w:rFonts w:hint="eastAsia"/>
        </w:rPr>
        <w:t>对组织税务违规举报开展调查和责任追究；</w:t>
      </w:r>
    </w:p>
    <w:p w14:paraId="2AE857A1">
      <w:pPr>
        <w:pStyle w:val="137"/>
      </w:pPr>
      <w:r>
        <w:rPr>
          <w:rFonts w:hint="eastAsia"/>
        </w:rPr>
        <w:t>与税务机关沟通，协调处置涉税风险及争议；</w:t>
      </w:r>
    </w:p>
    <w:p w14:paraId="2E767E1A">
      <w:pPr>
        <w:pStyle w:val="137"/>
      </w:pPr>
      <w:r>
        <w:rPr>
          <w:rFonts w:hint="eastAsia"/>
        </w:rPr>
        <w:t>向企业董事会报告税务合规重大事项、管理绩效和改进需求。</w:t>
      </w:r>
    </w:p>
    <w:p w14:paraId="12D07148">
      <w:pPr>
        <w:pStyle w:val="110"/>
        <w:spacing w:before="120" w:after="120"/>
      </w:pPr>
      <w:r>
        <w:rPr>
          <w:rFonts w:hint="eastAsia"/>
        </w:rPr>
        <w:t>税务合规风险防控</w:t>
      </w:r>
    </w:p>
    <w:p w14:paraId="619695B8">
      <w:pPr>
        <w:pStyle w:val="71"/>
        <w:spacing w:before="120" w:after="120"/>
      </w:pPr>
      <w:r>
        <w:rPr>
          <w:rFonts w:hint="eastAsia"/>
        </w:rPr>
        <w:t>税务合规风险防控机制</w:t>
      </w:r>
    </w:p>
    <w:p w14:paraId="68FAA762">
      <w:pPr>
        <w:pStyle w:val="62"/>
        <w:ind w:firstLine="420"/>
      </w:pPr>
      <w:r>
        <w:rPr>
          <w:rFonts w:hint="eastAsia"/>
        </w:rPr>
        <w:t>企业应建立健全税务合规风险防控机制，包括但不限于展开以下工作：</w:t>
      </w:r>
    </w:p>
    <w:p w14:paraId="72F437E2">
      <w:pPr>
        <w:pStyle w:val="137"/>
      </w:pPr>
      <w:r>
        <w:rPr>
          <w:rFonts w:hint="eastAsia"/>
        </w:rPr>
        <w:t>全面梳理经营管理活动中的税务合规风险，建立并定期更新税务合规风险数据库，开展税务合规风险分析评估，对重大税务合规风险及时预警；</w:t>
      </w:r>
    </w:p>
    <w:p w14:paraId="1E10DEC7">
      <w:pPr>
        <w:pStyle w:val="137"/>
      </w:pPr>
      <w:r>
        <w:rPr>
          <w:rFonts w:hint="eastAsia"/>
        </w:rPr>
        <w:t>明确税务风险防控的责任主体和工作流程；</w:t>
      </w:r>
    </w:p>
    <w:p w14:paraId="083F2D92">
      <w:pPr>
        <w:pStyle w:val="137"/>
      </w:pPr>
      <w:r>
        <w:rPr>
          <w:rFonts w:hint="eastAsia"/>
        </w:rPr>
        <w:t>建立防控机制以及时识别并有效处置税务合规风险。</w:t>
      </w:r>
    </w:p>
    <w:p w14:paraId="7AC3F322">
      <w:pPr>
        <w:pStyle w:val="71"/>
        <w:spacing w:before="120" w:after="120"/>
      </w:pPr>
      <w:r>
        <w:rPr>
          <w:rFonts w:hint="eastAsia"/>
        </w:rPr>
        <w:t>税务合规审查机制</w:t>
      </w:r>
    </w:p>
    <w:p w14:paraId="4A5348ED">
      <w:pPr>
        <w:pStyle w:val="62"/>
        <w:ind w:firstLine="420"/>
      </w:pPr>
      <w:r>
        <w:rPr>
          <w:rFonts w:hint="eastAsia"/>
        </w:rPr>
        <w:t>企业应注重税务合规审查机制，包括但不限于展开以下工作：</w:t>
      </w:r>
    </w:p>
    <w:p w14:paraId="78218363">
      <w:pPr>
        <w:pStyle w:val="137"/>
      </w:pPr>
      <w:r>
        <w:rPr>
          <w:rFonts w:hint="eastAsia"/>
        </w:rPr>
        <w:t>将税务合规审查嵌入经营管理全过程，重大合同和决策事项，应由税务合规负责人（企业副总裁）审查、提出意见并签字；</w:t>
      </w:r>
    </w:p>
    <w:p w14:paraId="38BA5E42">
      <w:pPr>
        <w:pStyle w:val="137"/>
      </w:pPr>
      <w:r>
        <w:rPr>
          <w:rFonts w:hint="eastAsia"/>
        </w:rPr>
        <w:t>合规委员会、业务及职能部门负责审查本部门重要事项的税务合规审查。</w:t>
      </w:r>
    </w:p>
    <w:p w14:paraId="60BED607">
      <w:pPr>
        <w:pStyle w:val="71"/>
        <w:spacing w:before="120" w:after="120"/>
      </w:pPr>
      <w:r>
        <w:rPr>
          <w:rFonts w:hint="eastAsia"/>
        </w:rPr>
        <w:t>税务违规举报机制</w:t>
      </w:r>
    </w:p>
    <w:p w14:paraId="1425B266">
      <w:pPr>
        <w:pStyle w:val="62"/>
        <w:ind w:firstLine="420"/>
      </w:pPr>
      <w:r>
        <w:rPr>
          <w:rFonts w:hint="eastAsia"/>
        </w:rPr>
        <w:t>企业应建立健全税务违规举报机制，包括但不限于展开以下工作：</w:t>
      </w:r>
    </w:p>
    <w:p w14:paraId="05399D18">
      <w:pPr>
        <w:pStyle w:val="137"/>
      </w:pPr>
      <w:r>
        <w:rPr>
          <w:rFonts w:hint="eastAsia"/>
        </w:rPr>
        <w:t>提供安全、保密的渠道，鼓励员工和相关方报告违法违规行为；</w:t>
      </w:r>
    </w:p>
    <w:p w14:paraId="0E4C5160">
      <w:pPr>
        <w:pStyle w:val="137"/>
      </w:pPr>
      <w:r>
        <w:rPr>
          <w:rFonts w:hint="eastAsia"/>
        </w:rPr>
        <w:t>举报机制应包括匿名举报选项，设立多种渠道并确保易用性；</w:t>
      </w:r>
    </w:p>
    <w:p w14:paraId="20DA976F">
      <w:pPr>
        <w:pStyle w:val="137"/>
      </w:pPr>
      <w:r>
        <w:rPr>
          <w:rFonts w:hint="eastAsia"/>
        </w:rPr>
        <w:t>明确举报处理流程及时间框架，确保调查由独立、公正的部门或第三方负责，预防打击报复行为；</w:t>
      </w:r>
    </w:p>
    <w:p w14:paraId="7CF042B4">
      <w:pPr>
        <w:pStyle w:val="137"/>
      </w:pPr>
      <w:r>
        <w:rPr>
          <w:rFonts w:hint="eastAsia"/>
        </w:rPr>
        <w:t>制定举报人保护措施，提供反馈并重视调查结果的落实；</w:t>
      </w:r>
    </w:p>
    <w:p w14:paraId="283BFB3D">
      <w:pPr>
        <w:pStyle w:val="137"/>
      </w:pPr>
      <w:r>
        <w:rPr>
          <w:rFonts w:hint="eastAsia"/>
        </w:rPr>
        <w:t>通过完善的举报机制，及时发现、识别和处置税务违规事项。</w:t>
      </w:r>
    </w:p>
    <w:p w14:paraId="202212C7">
      <w:pPr>
        <w:pStyle w:val="71"/>
        <w:spacing w:before="120" w:after="120"/>
      </w:pPr>
      <w:r>
        <w:rPr>
          <w:rFonts w:hint="eastAsia"/>
        </w:rPr>
        <w:t>税务合规整改问责机制</w:t>
      </w:r>
    </w:p>
    <w:p w14:paraId="563717EF">
      <w:pPr>
        <w:pStyle w:val="62"/>
        <w:ind w:firstLine="420"/>
      </w:pPr>
      <w:r>
        <w:rPr>
          <w:rFonts w:hint="eastAsia"/>
        </w:rPr>
        <w:t>企业应建立健全税务合规整改问责机制，包括但不限于展开以下工作：</w:t>
      </w:r>
    </w:p>
    <w:p w14:paraId="1A9E1C25">
      <w:pPr>
        <w:pStyle w:val="137"/>
      </w:pPr>
      <w:r>
        <w:rPr>
          <w:rFonts w:hint="eastAsia"/>
        </w:rPr>
        <w:t>针对识别出的税务合规问题，分析根本原因，制定整改措施并明确责任；</w:t>
      </w:r>
    </w:p>
    <w:p w14:paraId="3EAA75A2">
      <w:pPr>
        <w:pStyle w:val="137"/>
      </w:pPr>
      <w:r>
        <w:rPr>
          <w:rFonts w:hint="eastAsia"/>
        </w:rPr>
        <w:t>结合调查分析制定具体整改计划，明确时间框架和责任人，确保措施切实可行；</w:t>
      </w:r>
    </w:p>
    <w:p w14:paraId="2C6F988D">
      <w:pPr>
        <w:pStyle w:val="137"/>
      </w:pPr>
      <w:r>
        <w:rPr>
          <w:rFonts w:hint="eastAsia"/>
        </w:rPr>
        <w:t>跟踪整改进展，评估成效，并对相关责任人进行公开问责；</w:t>
      </w:r>
    </w:p>
    <w:p w14:paraId="503C24C0">
      <w:pPr>
        <w:pStyle w:val="137"/>
      </w:pPr>
      <w:r>
        <w:rPr>
          <w:rFonts w:hint="eastAsia"/>
        </w:rPr>
        <w:t>整改过程应记录在案，总结经验，融入持续改进体系，确保问题有效解决，防止复发。</w:t>
      </w:r>
    </w:p>
    <w:p w14:paraId="2E5AB730">
      <w:pPr>
        <w:pStyle w:val="71"/>
        <w:spacing w:before="120" w:after="120"/>
      </w:pPr>
      <w:r>
        <w:rPr>
          <w:rFonts w:hint="eastAsia"/>
        </w:rPr>
        <w:t>考核评价机制</w:t>
      </w:r>
    </w:p>
    <w:p w14:paraId="69327351">
      <w:pPr>
        <w:pStyle w:val="62"/>
        <w:ind w:firstLine="420"/>
      </w:pPr>
      <w:r>
        <w:rPr>
          <w:rFonts w:hint="eastAsia"/>
        </w:rPr>
        <w:t>企业应建立健全税务合规评价考核机制，包括但不限于展开以下工作：</w:t>
      </w:r>
    </w:p>
    <w:p w14:paraId="4F7EE42F">
      <w:pPr>
        <w:pStyle w:val="137"/>
      </w:pPr>
      <w:r>
        <w:rPr>
          <w:rFonts w:hint="eastAsia"/>
        </w:rPr>
        <w:t>明确考核目标和标准，重点评估税务合规管理的执行情况和成效；</w:t>
      </w:r>
    </w:p>
    <w:p w14:paraId="5204BF48">
      <w:pPr>
        <w:pStyle w:val="137"/>
      </w:pPr>
      <w:r>
        <w:rPr>
          <w:rFonts w:hint="eastAsia"/>
        </w:rPr>
        <w:t>通过自评、主管评估和绩效面谈等方式，全面获取考核结果，注重过程中的持续反馈，及时改进不足；</w:t>
      </w:r>
    </w:p>
    <w:p w14:paraId="1B2B0FB1">
      <w:pPr>
        <w:pStyle w:val="137"/>
      </w:pPr>
      <w:r>
        <w:rPr>
          <w:rFonts w:hint="eastAsia"/>
        </w:rPr>
        <w:t>结合考核评价结果制定改进计划，提供培训和资源支持，提升税务合规能力；</w:t>
      </w:r>
    </w:p>
    <w:p w14:paraId="5E05A74E">
      <w:pPr>
        <w:pStyle w:val="137"/>
      </w:pPr>
      <w:r>
        <w:rPr>
          <w:rFonts w:hint="eastAsia"/>
        </w:rPr>
        <w:t>将税务合规考核融入企业总体考核体系，结果与激励机制挂钩，不断优化企业税务合规管理水平；</w:t>
      </w:r>
    </w:p>
    <w:p w14:paraId="19F04969">
      <w:pPr>
        <w:pStyle w:val="137"/>
      </w:pPr>
      <w:r>
        <w:rPr>
          <w:rFonts w:hint="eastAsia"/>
        </w:rPr>
        <w:t>引入涉税专业服务机构或人员，帮助企业制定税务合规管理制度，构建税务合规管理体系；</w:t>
      </w:r>
    </w:p>
    <w:p w14:paraId="323CEE1A">
      <w:pPr>
        <w:pStyle w:val="137"/>
      </w:pPr>
      <w:r>
        <w:rPr>
          <w:rFonts w:hint="eastAsia"/>
        </w:rPr>
        <w:t>遵守合规管理体系国际标准(ISO 37301)和国家标准(GB 35770)，提高税务合规管理水平。</w:t>
      </w:r>
    </w:p>
    <w:p w14:paraId="668734AF">
      <w:pPr>
        <w:pStyle w:val="110"/>
        <w:spacing w:before="120" w:after="120"/>
      </w:pPr>
      <w:r>
        <w:rPr>
          <w:rFonts w:hint="eastAsia"/>
        </w:rPr>
        <w:t>运营活动的税务合规管理</w:t>
      </w:r>
    </w:p>
    <w:p w14:paraId="6BFD0439">
      <w:pPr>
        <w:pStyle w:val="71"/>
        <w:spacing w:before="120" w:after="120"/>
      </w:pPr>
      <w:r>
        <w:rPr>
          <w:rFonts w:hint="eastAsia"/>
        </w:rPr>
        <w:t>战略税务合规</w:t>
      </w:r>
    </w:p>
    <w:p w14:paraId="6497F910">
      <w:pPr>
        <w:pStyle w:val="62"/>
        <w:ind w:firstLine="420"/>
      </w:pPr>
      <w:r>
        <w:rPr>
          <w:rFonts w:hint="eastAsia"/>
        </w:rPr>
        <w:t>企业应将税务合规融入战略规划和决策全过程，确保企业战略发展符合税务法律法规和税务合规制度。</w:t>
      </w:r>
    </w:p>
    <w:p w14:paraId="353ACC7B">
      <w:pPr>
        <w:pStyle w:val="71"/>
        <w:spacing w:before="120" w:after="120"/>
      </w:pPr>
      <w:r>
        <w:rPr>
          <w:rFonts w:hint="eastAsia"/>
        </w:rPr>
        <w:t>经营管理税务合规</w:t>
      </w:r>
    </w:p>
    <w:p w14:paraId="2BC35337">
      <w:pPr>
        <w:pStyle w:val="62"/>
        <w:ind w:firstLine="420"/>
      </w:pPr>
      <w:r>
        <w:rPr>
          <w:rFonts w:hint="eastAsia"/>
        </w:rPr>
        <w:t>企业应注重经营管理税务合规，包括但不限于展开以下工作：</w:t>
      </w:r>
    </w:p>
    <w:p w14:paraId="7F5C3839">
      <w:pPr>
        <w:pStyle w:val="137"/>
      </w:pPr>
      <w:r>
        <w:rPr>
          <w:rFonts w:hint="eastAsia"/>
        </w:rPr>
        <w:t>将税务合规管理融入生产、供给和销售等日常运营中，最大限度保证“五流一致”，即主体流、业务流、资金流、合同流和发票流的一致性；</w:t>
      </w:r>
    </w:p>
    <w:p w14:paraId="0FE5DB58">
      <w:pPr>
        <w:pStyle w:val="137"/>
      </w:pPr>
      <w:r>
        <w:rPr>
          <w:rFonts w:hint="eastAsia"/>
        </w:rPr>
        <w:t>对于非正常损失等需要留存报备的业务，企业需留存详尽的书面、图片、视频及外部证据，以佐证非正常损失等业务的真实性和合理性。</w:t>
      </w:r>
    </w:p>
    <w:p w14:paraId="001C8388">
      <w:pPr>
        <w:pStyle w:val="71"/>
        <w:spacing w:before="120" w:after="120"/>
      </w:pPr>
      <w:r>
        <w:rPr>
          <w:rFonts w:hint="eastAsia"/>
        </w:rPr>
        <w:t>投融资税务合规</w:t>
      </w:r>
    </w:p>
    <w:p w14:paraId="60EEB399">
      <w:pPr>
        <w:pStyle w:val="62"/>
        <w:ind w:firstLine="420"/>
      </w:pPr>
      <w:r>
        <w:rPr>
          <w:rFonts w:hint="eastAsia"/>
        </w:rPr>
        <w:t>企业应建立健全投资和融资税务合规机制，确保投资和融资活动符合税务法律法规和税务合规制度，包括但不限于展开以下工作：</w:t>
      </w:r>
    </w:p>
    <w:p w14:paraId="406CE174">
      <w:pPr>
        <w:pStyle w:val="137"/>
      </w:pPr>
      <w:r>
        <w:rPr>
          <w:rFonts w:hint="eastAsia"/>
        </w:rPr>
        <w:t>制定覆盖尽职调查、决策审批、交易执行和监控的合规政策，严格评估投资标的的法律、财务和税务风险；</w:t>
      </w:r>
    </w:p>
    <w:p w14:paraId="2C120472">
      <w:pPr>
        <w:pStyle w:val="137"/>
      </w:pPr>
      <w:r>
        <w:rPr>
          <w:rFonts w:hint="eastAsia"/>
        </w:rPr>
        <w:t>开展税务合规审核与尽职调查，防范潜在风险，通过实时监控和定期报告，强化融资合规管控，及时索取符合税法要求的利息和手续费凭证。</w:t>
      </w:r>
    </w:p>
    <w:p w14:paraId="4A415311">
      <w:pPr>
        <w:pStyle w:val="71"/>
        <w:spacing w:before="120" w:after="120"/>
      </w:pPr>
      <w:r>
        <w:rPr>
          <w:rFonts w:hint="eastAsia"/>
        </w:rPr>
        <w:t>招投标税务合规</w:t>
      </w:r>
    </w:p>
    <w:p w14:paraId="471CA238">
      <w:pPr>
        <w:pStyle w:val="62"/>
        <w:ind w:firstLine="420"/>
      </w:pPr>
      <w:r>
        <w:rPr>
          <w:rFonts w:hint="eastAsia"/>
        </w:rPr>
        <w:t>企业应加强招投标税务合规管理，包括但不限于展开以下工作：</w:t>
      </w:r>
    </w:p>
    <w:p w14:paraId="30881F87">
      <w:pPr>
        <w:pStyle w:val="137"/>
      </w:pPr>
      <w:r>
        <w:rPr>
          <w:rFonts w:hint="eastAsia"/>
        </w:rPr>
        <w:t>在招投标环节强化税务审核，确保供应商资质合法有效，重点核查其资信证明和纳税信用等级证明，调查其历年的经营合规记录；</w:t>
      </w:r>
    </w:p>
    <w:p w14:paraId="712E4812">
      <w:pPr>
        <w:pStyle w:val="137"/>
      </w:pPr>
      <w:r>
        <w:rPr>
          <w:rFonts w:hint="eastAsia"/>
        </w:rPr>
        <w:t>建立采购合同税务条款审查机制，应主动对合作方征信、纳税信用评级等开展调研，对其开具发票进行核验，建立供应商信用评级系统，提前识别涉税风险；</w:t>
      </w:r>
    </w:p>
    <w:p w14:paraId="178FC610">
      <w:pPr>
        <w:pStyle w:val="137"/>
      </w:pPr>
      <w:r>
        <w:rPr>
          <w:rFonts w:hint="eastAsia"/>
        </w:rPr>
        <w:t>若发现其经营异常，应主动报告合规委员会或董事会，采取税务合规风险预防措施，包括终止合同等，规避涉税风险外溢。</w:t>
      </w:r>
    </w:p>
    <w:p w14:paraId="01AE2078">
      <w:pPr>
        <w:pStyle w:val="71"/>
        <w:spacing w:before="120" w:after="120"/>
      </w:pPr>
      <w:r>
        <w:rPr>
          <w:rFonts w:hint="eastAsia"/>
        </w:rPr>
        <w:t>关联方交易税务合规</w:t>
      </w:r>
    </w:p>
    <w:p w14:paraId="1020481B">
      <w:pPr>
        <w:pStyle w:val="62"/>
        <w:ind w:firstLine="420"/>
      </w:pPr>
      <w:r>
        <w:rPr>
          <w:rFonts w:hint="eastAsia"/>
        </w:rPr>
        <w:t>企业应建立关联交易识别与管理机制，包括但不限于展开以下工作：</w:t>
      </w:r>
    </w:p>
    <w:p w14:paraId="417AE33E">
      <w:pPr>
        <w:pStyle w:val="137"/>
      </w:pPr>
      <w:r>
        <w:rPr>
          <w:rFonts w:hint="eastAsia"/>
        </w:rPr>
        <w:t>全面梳理关联关系，准确披露交易信息，确保定价公允；</w:t>
      </w:r>
    </w:p>
    <w:p w14:paraId="226C8B2E">
      <w:pPr>
        <w:pStyle w:val="137"/>
      </w:pPr>
      <w:r>
        <w:rPr>
          <w:rFonts w:hint="eastAsia"/>
        </w:rPr>
        <w:t>通过信息化手段实现关联交易数据的动态监控，建立关联方交易风险报告机制，定期评估关联方涉税风险；</w:t>
      </w:r>
    </w:p>
    <w:p w14:paraId="39242C64">
      <w:pPr>
        <w:pStyle w:val="137"/>
      </w:pPr>
      <w:r>
        <w:rPr>
          <w:rFonts w:hint="eastAsia"/>
        </w:rPr>
        <w:t>强化关联交易合同和定价政策的税务审核，确保符合独立交易原则；</w:t>
      </w:r>
    </w:p>
    <w:p w14:paraId="3BC7D983">
      <w:pPr>
        <w:pStyle w:val="137"/>
      </w:pPr>
      <w:r>
        <w:rPr>
          <w:rFonts w:hint="eastAsia"/>
        </w:rPr>
        <w:t>定期开展关联交易风险评估，完善同期资料管理，防范关联方利润转移行为，关注交易双方是否实际税负相同，是否处于同时亏损或同时盈利状态，防范转移税负的风险。</w:t>
      </w:r>
    </w:p>
    <w:p w14:paraId="7CF0409E">
      <w:pPr>
        <w:pStyle w:val="71"/>
        <w:spacing w:before="120" w:after="120"/>
      </w:pPr>
      <w:r>
        <w:rPr>
          <w:rFonts w:hint="eastAsia"/>
        </w:rPr>
        <w:t>企业重组税务合规</w:t>
      </w:r>
    </w:p>
    <w:p w14:paraId="27EBD8EC">
      <w:pPr>
        <w:pStyle w:val="62"/>
        <w:ind w:firstLine="420"/>
      </w:pPr>
      <w:r>
        <w:rPr>
          <w:rFonts w:hint="eastAsia"/>
        </w:rPr>
        <w:t>企业应注重企业重组税务合规管理，包括但不限于展开以下工作：</w:t>
      </w:r>
    </w:p>
    <w:p w14:paraId="1DEDA263">
      <w:pPr>
        <w:pStyle w:val="137"/>
      </w:pPr>
      <w:r>
        <w:rPr>
          <w:rFonts w:hint="eastAsia"/>
        </w:rPr>
        <w:t>在重组前开展税务尽职调查，全面评估交易各方的税务状况及潜在风险，确保交易方案符合税收法律法规及政策要求；</w:t>
      </w:r>
    </w:p>
    <w:p w14:paraId="407B82D6">
      <w:pPr>
        <w:pStyle w:val="137"/>
      </w:pPr>
      <w:r>
        <w:rPr>
          <w:rFonts w:hint="eastAsia"/>
        </w:rPr>
        <w:t>重组过程中，加强对资产评估、交易定价及税务处理的合规性审查，依法运用特殊性或一般性税务处理方法，避免税务争议，防范税务风险；</w:t>
      </w:r>
    </w:p>
    <w:p w14:paraId="5D572189">
      <w:pPr>
        <w:pStyle w:val="137"/>
      </w:pPr>
      <w:r>
        <w:rPr>
          <w:rFonts w:hint="eastAsia"/>
        </w:rPr>
        <w:t>企业重组中，股份转让应遵循公允价值原则，准备完整资料，确保商业合理性和税务合规，降低涉税风险。</w:t>
      </w:r>
    </w:p>
    <w:p w14:paraId="72AE5DC8">
      <w:pPr>
        <w:pStyle w:val="71"/>
        <w:spacing w:before="120" w:after="120"/>
      </w:pPr>
      <w:r>
        <w:rPr>
          <w:rFonts w:hint="eastAsia"/>
        </w:rPr>
        <w:t>破产清算税务合规</w:t>
      </w:r>
    </w:p>
    <w:p w14:paraId="2650B9C5">
      <w:pPr>
        <w:pStyle w:val="62"/>
        <w:ind w:firstLine="420"/>
      </w:pPr>
      <w:r>
        <w:rPr>
          <w:rFonts w:hint="eastAsia"/>
        </w:rPr>
        <w:t>企业应注重破产清算税务合规管理，包括但不限于展开以下工作：</w:t>
      </w:r>
    </w:p>
    <w:p w14:paraId="01F374A4">
      <w:pPr>
        <w:pStyle w:val="137"/>
      </w:pPr>
      <w:r>
        <w:rPr>
          <w:rFonts w:hint="eastAsia"/>
        </w:rPr>
        <w:t>在破产清算过程中全面梳理税务事项，核查历史税务记录，清理未缴税款、发票及未报税务事项，确保税务处理合法合规；</w:t>
      </w:r>
    </w:p>
    <w:p w14:paraId="73CE6249">
      <w:pPr>
        <w:pStyle w:val="137"/>
      </w:pPr>
      <w:r>
        <w:rPr>
          <w:rFonts w:hint="eastAsia"/>
        </w:rPr>
        <w:t>加强对资产处置、债务清偿及清算分配的税务审核，准确计算相关税费，依法履行纳税义务；</w:t>
      </w:r>
    </w:p>
    <w:p w14:paraId="4F9D78E4">
      <w:pPr>
        <w:pStyle w:val="137"/>
      </w:pPr>
      <w:r>
        <w:rPr>
          <w:rFonts w:hint="eastAsia"/>
        </w:rPr>
        <w:t>建立与税务机关的协调机制，及时完成清算税务申报及备案工作，确保清算过程透明合规。</w:t>
      </w:r>
    </w:p>
    <w:p w14:paraId="6733A2A9">
      <w:pPr>
        <w:pStyle w:val="109"/>
        <w:spacing w:before="240" w:after="240"/>
      </w:pPr>
      <w:bookmarkStart w:id="86" w:name="_Toc187133897"/>
      <w:bookmarkStart w:id="87" w:name="_Toc188519721"/>
      <w:bookmarkStart w:id="88" w:name="_Toc188363486"/>
      <w:bookmarkStart w:id="89" w:name="_Toc187133937"/>
      <w:r>
        <w:rPr>
          <w:rFonts w:hint="eastAsia"/>
        </w:rPr>
        <w:t>税务合规日常管理</w:t>
      </w:r>
      <w:bookmarkEnd w:id="86"/>
      <w:bookmarkEnd w:id="87"/>
      <w:bookmarkEnd w:id="88"/>
      <w:bookmarkEnd w:id="89"/>
    </w:p>
    <w:p w14:paraId="42F41372">
      <w:pPr>
        <w:pStyle w:val="110"/>
        <w:spacing w:before="120" w:after="120"/>
      </w:pPr>
      <w:r>
        <w:rPr>
          <w:rFonts w:hint="eastAsia"/>
        </w:rPr>
        <w:t>税务登记</w:t>
      </w:r>
    </w:p>
    <w:p w14:paraId="289AE564">
      <w:pPr>
        <w:pStyle w:val="62"/>
        <w:ind w:firstLine="420"/>
      </w:pPr>
      <w:r>
        <w:rPr>
          <w:rFonts w:hint="eastAsia"/>
        </w:rPr>
        <w:t>税务登记涵盖设立登记、变更登记、注销登记和临时登记等环节。</w:t>
      </w:r>
    </w:p>
    <w:p w14:paraId="595EF329">
      <w:pPr>
        <w:pStyle w:val="62"/>
        <w:ind w:firstLine="420"/>
      </w:pPr>
      <w:r>
        <w:rPr>
          <w:rFonts w:hint="eastAsia"/>
        </w:rPr>
        <w:t>企业应按规定在设立、信息变更或终止经营时及时办理相关手续，确保登记信息的准确性和完整性。</w:t>
      </w:r>
    </w:p>
    <w:p w14:paraId="2AA350D3">
      <w:pPr>
        <w:pStyle w:val="110"/>
        <w:spacing w:before="120" w:after="120"/>
      </w:pPr>
      <w:r>
        <w:rPr>
          <w:rFonts w:hint="eastAsia"/>
        </w:rPr>
        <w:t>纳税申报</w:t>
      </w:r>
    </w:p>
    <w:p w14:paraId="56607BD4">
      <w:pPr>
        <w:pStyle w:val="62"/>
        <w:ind w:firstLine="420"/>
      </w:pPr>
      <w:r>
        <w:rPr>
          <w:rFonts w:hint="eastAsia"/>
        </w:rPr>
        <w:t>企业应履行纳税申报的法律义务，按税种、申报方式和期限分类，包括增值税、企业所得税等税种的定期或临时申报，包括但不限于展开以下工作：</w:t>
      </w:r>
    </w:p>
    <w:p w14:paraId="4E7B514D">
      <w:pPr>
        <w:pStyle w:val="62"/>
        <w:ind w:firstLine="420"/>
      </w:pPr>
      <w:r>
        <w:rPr>
          <w:rFonts w:hint="eastAsia"/>
        </w:rPr>
        <w:t>——确保申报信息准确，遵守申报时限，依法运用税收优惠政策，按照税务机关的要求填报数据和提供补充资料；</w:t>
      </w:r>
    </w:p>
    <w:p w14:paraId="6BEAD647">
      <w:pPr>
        <w:pStyle w:val="62"/>
        <w:ind w:firstLine="420"/>
      </w:pPr>
      <w:r>
        <w:rPr>
          <w:rFonts w:hint="eastAsia"/>
        </w:rPr>
        <w:t>——避免逾期申报、虚假申报、不申报引发的税务合规风险。</w:t>
      </w:r>
    </w:p>
    <w:p w14:paraId="2B2B63CC">
      <w:pPr>
        <w:pStyle w:val="110"/>
        <w:spacing w:before="120" w:after="120"/>
      </w:pPr>
      <w:r>
        <w:rPr>
          <w:rFonts w:hint="eastAsia"/>
        </w:rPr>
        <w:t>发票管理</w:t>
      </w:r>
    </w:p>
    <w:p w14:paraId="3AA04248">
      <w:pPr>
        <w:pStyle w:val="62"/>
        <w:ind w:firstLine="420"/>
      </w:pPr>
      <w:r>
        <w:rPr>
          <w:rFonts w:hint="eastAsia"/>
        </w:rPr>
        <w:t>企业应妥善管理发票，涵盖发票的取得、保管、使用、核销和审计全过程，包括但不限于展开以下工作：</w:t>
      </w:r>
    </w:p>
    <w:p w14:paraId="311B8E56">
      <w:pPr>
        <w:pStyle w:val="137"/>
      </w:pPr>
      <w:r>
        <w:rPr>
          <w:rFonts w:hint="eastAsia"/>
        </w:rPr>
        <w:t>确保发票来源合法；</w:t>
      </w:r>
    </w:p>
    <w:p w14:paraId="09304C57">
      <w:pPr>
        <w:pStyle w:val="137"/>
      </w:pPr>
      <w:r>
        <w:rPr>
          <w:rFonts w:hint="eastAsia"/>
        </w:rPr>
        <w:t>规范开具与使用，通过严格核销与审计，确保发票与业务真实匹配；</w:t>
      </w:r>
    </w:p>
    <w:p w14:paraId="1CED69F1">
      <w:pPr>
        <w:pStyle w:val="137"/>
      </w:pPr>
      <w:r>
        <w:rPr>
          <w:rFonts w:hint="eastAsia"/>
        </w:rPr>
        <w:t>完善登记台账，防范丢失、伪造及违规使用风险；</w:t>
      </w:r>
    </w:p>
    <w:p w14:paraId="5B060F33">
      <w:pPr>
        <w:pStyle w:val="137"/>
      </w:pPr>
      <w:r>
        <w:rPr>
          <w:rFonts w:hint="eastAsia"/>
        </w:rPr>
        <w:t>严防虚开、虚抵增值税专用发票。</w:t>
      </w:r>
    </w:p>
    <w:p w14:paraId="128210C4">
      <w:pPr>
        <w:pStyle w:val="110"/>
        <w:spacing w:before="120" w:after="120"/>
      </w:pPr>
      <w:r>
        <w:rPr>
          <w:rFonts w:hint="eastAsia"/>
        </w:rPr>
        <w:t>税务档案</w:t>
      </w:r>
    </w:p>
    <w:p w14:paraId="22C9DEA3">
      <w:pPr>
        <w:pStyle w:val="62"/>
        <w:ind w:firstLine="420"/>
      </w:pPr>
      <w:r>
        <w:rPr>
          <w:rFonts w:hint="eastAsia"/>
        </w:rPr>
        <w:t>纳税人和扣缴义务人应按照税务就按备案的要求准备税务档案，涵盖税务登记、发票、申报、缴纳、稽查及税收优惠等资料，包括但不限于展开以下工作：</w:t>
      </w:r>
    </w:p>
    <w:p w14:paraId="356EC5DE">
      <w:pPr>
        <w:pStyle w:val="137"/>
      </w:pPr>
      <w:r>
        <w:rPr>
          <w:rFonts w:hint="eastAsia"/>
        </w:rPr>
        <w:t>确保税务档案全面、准确，分类存储，定期整理，并按规定保存至少10年；</w:t>
      </w:r>
    </w:p>
    <w:p w14:paraId="75A9A764">
      <w:pPr>
        <w:pStyle w:val="137"/>
      </w:pPr>
      <w:r>
        <w:rPr>
          <w:rFonts w:hint="eastAsia"/>
        </w:rPr>
        <w:t>通过信息化管理系统和电子化存储，提升档案管理效率与安全性；</w:t>
      </w:r>
    </w:p>
    <w:p w14:paraId="0887AE0E">
      <w:pPr>
        <w:pStyle w:val="137"/>
      </w:pPr>
      <w:r>
        <w:rPr>
          <w:rFonts w:hint="eastAsia"/>
        </w:rPr>
        <w:t>明确管理职责，防范篡改与丢失风险。</w:t>
      </w:r>
    </w:p>
    <w:p w14:paraId="582CF2FA">
      <w:pPr>
        <w:pStyle w:val="110"/>
        <w:spacing w:before="120" w:after="120"/>
      </w:pPr>
      <w:r>
        <w:rPr>
          <w:rFonts w:hint="eastAsia"/>
        </w:rPr>
        <w:t>纳税信用管理</w:t>
      </w:r>
    </w:p>
    <w:p w14:paraId="4F723AE2">
      <w:pPr>
        <w:pStyle w:val="62"/>
        <w:tabs>
          <w:tab w:val="left" w:pos="1245"/>
        </w:tabs>
        <w:ind w:firstLine="420"/>
      </w:pPr>
      <w:r>
        <w:rPr>
          <w:rFonts w:hint="eastAsia"/>
        </w:rPr>
        <w:t>企业应高度重视纳税信用管理，包括但不限于展开以下工作：</w:t>
      </w:r>
    </w:p>
    <w:p w14:paraId="6C49D6AD">
      <w:pPr>
        <w:pStyle w:val="137"/>
      </w:pPr>
      <w:r>
        <w:rPr>
          <w:rFonts w:hint="eastAsia"/>
        </w:rPr>
        <w:t>将纳税信用等级列入年度绩效考核，鼓励企业成为A级纳税人，建立健全内部控制机制，确保申报、缴税、发票管理、核算等环节的合规性与准确性；</w:t>
      </w:r>
    </w:p>
    <w:p w14:paraId="67BD9E3C">
      <w:pPr>
        <w:pStyle w:val="137"/>
      </w:pPr>
      <w:r>
        <w:rPr>
          <w:rFonts w:hint="eastAsia"/>
        </w:rPr>
        <w:t>通过规范税务行为，防止因逾期申报、少缴税款或虚开发票等问题导致信用等级下降；</w:t>
      </w:r>
    </w:p>
    <w:p w14:paraId="706C5982">
      <w:pPr>
        <w:pStyle w:val="137"/>
      </w:pPr>
      <w:r>
        <w:rPr>
          <w:rFonts w:hint="eastAsia"/>
        </w:rPr>
        <w:t>定期自查完善，及时修复信用，避免纳税信用等级降低直接影响企业税收优惠、融资能力及商业信誉，持续优化税务合规管理水平。</w:t>
      </w:r>
    </w:p>
    <w:p w14:paraId="07B2B7C8">
      <w:pPr>
        <w:pStyle w:val="110"/>
        <w:spacing w:before="120" w:after="120"/>
      </w:pPr>
      <w:r>
        <w:rPr>
          <w:rFonts w:hint="eastAsia"/>
        </w:rPr>
        <w:t>税务优惠合规</w:t>
      </w:r>
    </w:p>
    <w:p w14:paraId="6E412854">
      <w:pPr>
        <w:pStyle w:val="62"/>
        <w:ind w:firstLine="420"/>
      </w:pPr>
      <w:r>
        <w:rPr>
          <w:rFonts w:hint="eastAsia"/>
        </w:rPr>
        <w:t>企业应全面梳理适用的税收优惠政策，保证税务优惠合规，包括但不限于展开以下工作：</w:t>
      </w:r>
    </w:p>
    <w:p w14:paraId="54B512F4">
      <w:pPr>
        <w:pStyle w:val="137"/>
      </w:pPr>
      <w:r>
        <w:rPr>
          <w:rFonts w:hint="eastAsia"/>
        </w:rPr>
        <w:t>梳理小微企业税费减免、高新技术企业所得税优惠、研发费用加计扣除等，确保政策申报和备案程序的合规性；</w:t>
      </w:r>
    </w:p>
    <w:p w14:paraId="41A4FEF8">
      <w:pPr>
        <w:pStyle w:val="137"/>
      </w:pPr>
      <w:r>
        <w:rPr>
          <w:rFonts w:hint="eastAsia"/>
        </w:rPr>
        <w:t>建立健全内部审核机制，规范优惠政策的申请、使用和记录，防止因申报错误、资料不全或随意扩大范围等导致优惠资格取消或追责。</w:t>
      </w:r>
    </w:p>
    <w:p w14:paraId="71D6523F">
      <w:pPr>
        <w:pStyle w:val="110"/>
        <w:spacing w:before="120" w:after="120"/>
      </w:pPr>
      <w:r>
        <w:rPr>
          <w:rFonts w:hint="eastAsia"/>
        </w:rPr>
        <w:t>涉外税务合规</w:t>
      </w:r>
    </w:p>
    <w:p w14:paraId="461E3924">
      <w:pPr>
        <w:pStyle w:val="62"/>
        <w:ind w:firstLine="420"/>
      </w:pPr>
      <w:r>
        <w:rPr>
          <w:rFonts w:hint="eastAsia"/>
        </w:rPr>
        <w:t>企业应严谨处理涉外税务合规，包括但不限于展开以下工作：</w:t>
      </w:r>
    </w:p>
    <w:p w14:paraId="1082F678">
      <w:pPr>
        <w:pStyle w:val="137"/>
      </w:pPr>
      <w:r>
        <w:rPr>
          <w:rFonts w:hint="eastAsia"/>
        </w:rPr>
        <w:t>在从事国际业务时，应遵守我国对外签订的税收条约，熟悉所在国的税务法律法规，了解OECD发布的BEPS、CRS等税务规则，准确履行跨境纳税申报和预提税扣缴及信息交换义务；</w:t>
      </w:r>
    </w:p>
    <w:p w14:paraId="0B360BA6">
      <w:pPr>
        <w:pStyle w:val="137"/>
      </w:pPr>
      <w:r>
        <w:rPr>
          <w:rFonts w:hint="eastAsia"/>
        </w:rPr>
        <w:t>避免利用资金聚合支付等方式侵蚀税基、关联交易转移定价、受控外国企业（CFC）、资本弱化等手段避税，防范税务风险；</w:t>
      </w:r>
    </w:p>
    <w:p w14:paraId="33699FAB">
      <w:pPr>
        <w:pStyle w:val="137"/>
      </w:pPr>
      <w:r>
        <w:rPr>
          <w:rFonts w:hint="eastAsia"/>
        </w:rPr>
        <w:t>通过加强涉外税务规划、完善税务合规管理机制及与税务机关的沟通协调，降低涉外税务风险，维护合法权益，提升国际竞争力。</w:t>
      </w:r>
    </w:p>
    <w:p w14:paraId="761F3E15">
      <w:pPr>
        <w:pStyle w:val="109"/>
        <w:spacing w:before="240" w:after="240"/>
      </w:pPr>
      <w:bookmarkStart w:id="90" w:name="_Toc188519722"/>
      <w:bookmarkStart w:id="91" w:name="_Toc187133898"/>
      <w:bookmarkStart w:id="92" w:name="_Toc187133938"/>
      <w:bookmarkStart w:id="93" w:name="_Toc188363487"/>
      <w:r>
        <w:rPr>
          <w:rFonts w:hint="eastAsia"/>
        </w:rPr>
        <w:t>税务高风险事项合规管理</w:t>
      </w:r>
      <w:bookmarkEnd w:id="90"/>
      <w:bookmarkEnd w:id="91"/>
      <w:bookmarkEnd w:id="92"/>
      <w:bookmarkEnd w:id="93"/>
    </w:p>
    <w:p w14:paraId="279D991A">
      <w:pPr>
        <w:pStyle w:val="110"/>
        <w:spacing w:before="120" w:after="120"/>
      </w:pPr>
      <w:r>
        <w:rPr>
          <w:rFonts w:hint="eastAsia"/>
        </w:rPr>
        <w:t>企业税务高风险识别</w:t>
      </w:r>
    </w:p>
    <w:p w14:paraId="64073C75">
      <w:pPr>
        <w:pStyle w:val="71"/>
        <w:spacing w:before="120" w:after="120"/>
      </w:pPr>
      <w:r>
        <w:rPr>
          <w:rFonts w:hint="eastAsia"/>
        </w:rPr>
        <w:t>概述</w:t>
      </w:r>
    </w:p>
    <w:p w14:paraId="04A72F52">
      <w:pPr>
        <w:pStyle w:val="62"/>
        <w:ind w:firstLine="420"/>
      </w:pPr>
      <w:r>
        <w:rPr>
          <w:rFonts w:hint="eastAsia"/>
        </w:rPr>
        <w:t>企业应将发票管理、纳税申报与其实际经营、财务核算联系起来，全面识别可能发生的税务高风险事项。为保证企业税务高风险识别的全面性、准确性和系统性，应重点警惕并防范偷逃税、妨碍或逃避追缴欠税、骗取出口退税、虚开发票等高风险行为，并构建符合自身的风险识别管理体系。</w:t>
      </w:r>
    </w:p>
    <w:p w14:paraId="1CCF15F6">
      <w:pPr>
        <w:pStyle w:val="71"/>
        <w:spacing w:before="120" w:after="120"/>
      </w:pPr>
      <w:r>
        <w:rPr>
          <w:rFonts w:hint="eastAsia"/>
        </w:rPr>
        <w:t>偷逃税风险的识别</w:t>
      </w:r>
    </w:p>
    <w:p w14:paraId="4F8A488C">
      <w:pPr>
        <w:pStyle w:val="62"/>
        <w:ind w:firstLine="420"/>
      </w:pPr>
      <w:r>
        <w:rPr>
          <w:rFonts w:hint="eastAsia"/>
        </w:rPr>
        <w:t>企业应警惕并防范偷逃税行为，这通常涉及采取欺骗、隐瞒手段进行虚假纳税申报或者不申报，不缴、少缴税款或已扣、已收税款的行为。具有下列情形之一的，应识别为偷逃税的风险：</w:t>
      </w:r>
    </w:p>
    <w:p w14:paraId="070DF5F5">
      <w:pPr>
        <w:pStyle w:val="137"/>
      </w:pPr>
      <w:r>
        <w:rPr>
          <w:rFonts w:hint="eastAsia"/>
        </w:rPr>
        <w:t>采取欺骗、隐瞒手段进行虚假纳税申报，不缴、少缴税款的，包括：</w:t>
      </w:r>
    </w:p>
    <w:p w14:paraId="3DA17C57">
      <w:pPr>
        <w:pStyle w:val="192"/>
      </w:pPr>
      <w:r>
        <w:rPr>
          <w:rFonts w:hint="eastAsia"/>
        </w:rPr>
        <w:t>伪造、变造、转移、隐匿、擅自销毁账簿、记账凭证或者其他涉税资料的；</w:t>
      </w:r>
    </w:p>
    <w:p w14:paraId="772BE241">
      <w:pPr>
        <w:pStyle w:val="192"/>
      </w:pPr>
      <w:r>
        <w:rPr>
          <w:rFonts w:hint="eastAsia"/>
        </w:rPr>
        <w:t>在账簿上不列、少列收入，或以签订“阴阳合同”等形式隐匿或者以他人名义分解收入、财产的；</w:t>
      </w:r>
    </w:p>
    <w:p w14:paraId="6993D0D8">
      <w:pPr>
        <w:pStyle w:val="192"/>
      </w:pPr>
      <w:r>
        <w:rPr>
          <w:rFonts w:hint="eastAsia"/>
        </w:rPr>
        <w:t>在账簿上多列支出，或虚列支出、虚抵进项税额或者虚报专项附加扣除的；</w:t>
      </w:r>
    </w:p>
    <w:p w14:paraId="66BFEAC6">
      <w:pPr>
        <w:pStyle w:val="192"/>
      </w:pPr>
      <w:r>
        <w:rPr>
          <w:rFonts w:hint="eastAsia"/>
        </w:rPr>
        <w:t>提供虚假材料，骗取税收优惠的；</w:t>
      </w:r>
    </w:p>
    <w:p w14:paraId="6B9E94E1">
      <w:pPr>
        <w:pStyle w:val="192"/>
      </w:pPr>
      <w:r>
        <w:rPr>
          <w:rFonts w:hint="eastAsia"/>
        </w:rPr>
        <w:t>编造虚假计税依据的；</w:t>
      </w:r>
    </w:p>
    <w:p w14:paraId="3DC26B9B">
      <w:pPr>
        <w:pStyle w:val="192"/>
      </w:pPr>
      <w:r>
        <w:rPr>
          <w:rFonts w:hint="eastAsia"/>
        </w:rPr>
        <w:t>为不缴、少缴税款而采取的其他欺骗、隐瞒手段。</w:t>
      </w:r>
    </w:p>
    <w:p w14:paraId="66A6FA7D">
      <w:pPr>
        <w:pStyle w:val="137"/>
      </w:pPr>
      <w:r>
        <w:rPr>
          <w:rFonts w:hint="eastAsia"/>
        </w:rPr>
        <w:t>不申报，不缴、少缴税款的，包括：</w:t>
      </w:r>
    </w:p>
    <w:p w14:paraId="2EE47DCE">
      <w:pPr>
        <w:pStyle w:val="192"/>
      </w:pPr>
      <w:r>
        <w:rPr>
          <w:rFonts w:hint="eastAsia"/>
        </w:rPr>
        <w:t>依法在登记机关办理设立登记的，发生应税行为而不申报纳税的；</w:t>
      </w:r>
    </w:p>
    <w:p w14:paraId="0EBB0D00">
      <w:pPr>
        <w:pStyle w:val="192"/>
      </w:pPr>
      <w:r>
        <w:rPr>
          <w:rFonts w:hint="eastAsia"/>
        </w:rPr>
        <w:t>依法不需要在登记机关办理设立登记或者未依法办理设立登记的，发生应税行为，经税务机关依法通知其申报而不申报纳税的；</w:t>
      </w:r>
    </w:p>
    <w:p w14:paraId="38EE5F37">
      <w:pPr>
        <w:pStyle w:val="192"/>
      </w:pPr>
      <w:r>
        <w:rPr>
          <w:rFonts w:hint="eastAsia"/>
        </w:rPr>
        <w:t>其他明知应依法申报纳税而不申报纳税的。</w:t>
      </w:r>
    </w:p>
    <w:p w14:paraId="2BC78CE2">
      <w:pPr>
        <w:pStyle w:val="137"/>
      </w:pPr>
      <w:r>
        <w:rPr>
          <w:rFonts w:hint="eastAsia"/>
        </w:rPr>
        <w:t>采取前款所列手段，不缴或者少缴其作为扣缴义务人承诺为纳税人代付税款，在向纳税人支付税后所得时的已扣、已收税款。</w:t>
      </w:r>
    </w:p>
    <w:p w14:paraId="21749405">
      <w:pPr>
        <w:pStyle w:val="71"/>
        <w:spacing w:before="120" w:after="120"/>
      </w:pPr>
      <w:r>
        <w:rPr>
          <w:rFonts w:hint="eastAsia"/>
        </w:rPr>
        <w:t>妨碍或逃避追缴欠税风险的识别</w:t>
      </w:r>
    </w:p>
    <w:p w14:paraId="105F3619">
      <w:pPr>
        <w:pStyle w:val="62"/>
        <w:ind w:firstLine="420"/>
      </w:pPr>
      <w:r>
        <w:rPr>
          <w:rFonts w:hint="eastAsia"/>
        </w:rPr>
        <w:t>企业应警惕并防范妨碍或逃避追缴欠税行为，这通常指采取转移或者隐匿财产的手段，妨碍税务机关追缴欠缴税款的行为。具有下列情形之一，应识别为妨碍或逃避追缴欠税风险：</w:t>
      </w:r>
    </w:p>
    <w:p w14:paraId="2FAB0BFD">
      <w:pPr>
        <w:pStyle w:val="137"/>
      </w:pPr>
      <w:r>
        <w:rPr>
          <w:rFonts w:hint="eastAsia"/>
        </w:rPr>
        <w:t>放弃到期债权的；</w:t>
      </w:r>
    </w:p>
    <w:p w14:paraId="4FF7B782">
      <w:pPr>
        <w:pStyle w:val="137"/>
      </w:pPr>
      <w:r>
        <w:rPr>
          <w:rFonts w:hint="eastAsia"/>
        </w:rPr>
        <w:t>无偿转让财产的；</w:t>
      </w:r>
    </w:p>
    <w:p w14:paraId="6D47E4D1">
      <w:pPr>
        <w:pStyle w:val="137"/>
      </w:pPr>
      <w:r>
        <w:rPr>
          <w:rFonts w:hint="eastAsia"/>
        </w:rPr>
        <w:t>以明显不合理的价格进行交易的；</w:t>
      </w:r>
    </w:p>
    <w:p w14:paraId="7A222A05">
      <w:pPr>
        <w:pStyle w:val="137"/>
      </w:pPr>
      <w:r>
        <w:rPr>
          <w:rFonts w:hint="eastAsia"/>
        </w:rPr>
        <w:t>隐匿财产的；</w:t>
      </w:r>
    </w:p>
    <w:p w14:paraId="0BB30B03">
      <w:pPr>
        <w:pStyle w:val="137"/>
      </w:pPr>
      <w:r>
        <w:rPr>
          <w:rFonts w:hint="eastAsia"/>
        </w:rPr>
        <w:t>不履行税收义务并脱离税务机关监管的；</w:t>
      </w:r>
    </w:p>
    <w:p w14:paraId="6EBA3C0B">
      <w:pPr>
        <w:pStyle w:val="137"/>
      </w:pPr>
      <w:r>
        <w:rPr>
          <w:rFonts w:hint="eastAsia"/>
        </w:rPr>
        <w:t>以其他手段转移或者隐匿财产的。</w:t>
      </w:r>
    </w:p>
    <w:p w14:paraId="799E568C">
      <w:pPr>
        <w:pStyle w:val="71"/>
        <w:spacing w:before="120" w:after="120"/>
      </w:pPr>
      <w:r>
        <w:rPr>
          <w:rFonts w:hint="eastAsia"/>
        </w:rPr>
        <w:t>骗取出口退税风险的识别</w:t>
      </w:r>
    </w:p>
    <w:p w14:paraId="4A6B3012">
      <w:pPr>
        <w:pStyle w:val="62"/>
        <w:ind w:firstLine="420"/>
      </w:pPr>
      <w:r>
        <w:rPr>
          <w:rFonts w:hint="eastAsia"/>
        </w:rPr>
        <w:t>企业应警惕并防范骗取出口退税行为，这通常指企业以假报出口或者其他欺骗手段，骗取国家出口退税款的行为。</w:t>
      </w:r>
    </w:p>
    <w:p w14:paraId="0D1FFC15">
      <w:pPr>
        <w:pStyle w:val="62"/>
        <w:ind w:firstLine="420"/>
      </w:pPr>
      <w:r>
        <w:rPr>
          <w:rFonts w:hint="eastAsia"/>
        </w:rPr>
        <w:t>具有下列情形之一的，应识别为骗取出口退税的风险：</w:t>
      </w:r>
    </w:p>
    <w:p w14:paraId="1F16676E">
      <w:pPr>
        <w:pStyle w:val="137"/>
      </w:pPr>
      <w:r>
        <w:rPr>
          <w:rFonts w:hint="eastAsia"/>
        </w:rPr>
        <w:t>使用虚开、非法购买或者以其他非法手段取得的增值税专用发票或者其他可以用于出口退税的发票申报出口退税的；</w:t>
      </w:r>
    </w:p>
    <w:p w14:paraId="398AAA79">
      <w:pPr>
        <w:pStyle w:val="137"/>
      </w:pPr>
      <w:r>
        <w:rPr>
          <w:rFonts w:hint="eastAsia"/>
        </w:rPr>
        <w:t>将未负税或者免税的出口业务申报为已税的出口业务的；</w:t>
      </w:r>
    </w:p>
    <w:p w14:paraId="17BAB0B0">
      <w:pPr>
        <w:pStyle w:val="137"/>
      </w:pPr>
      <w:r>
        <w:rPr>
          <w:rFonts w:hint="eastAsia"/>
        </w:rPr>
        <w:t>冒用他人出口业务申报出口退税的；</w:t>
      </w:r>
    </w:p>
    <w:p w14:paraId="70190369">
      <w:pPr>
        <w:pStyle w:val="137"/>
      </w:pPr>
      <w:r>
        <w:rPr>
          <w:rFonts w:hint="eastAsia"/>
        </w:rPr>
        <w:t>虽有出口，但虚构应退税出口业务的品名、数量、单价等要素，以虚增出口退税额申报出口退税的；</w:t>
      </w:r>
    </w:p>
    <w:p w14:paraId="0AA4CB2F">
      <w:pPr>
        <w:pStyle w:val="137"/>
      </w:pPr>
      <w:r>
        <w:rPr>
          <w:rFonts w:hint="eastAsia"/>
        </w:rPr>
        <w:t>伪造、签订虚假的销售合同，或者以伪造、变造等非法手段取得出口报关单、运输单据等出口业务相关单据、凭证，虚构出口事实申报出口退税的；</w:t>
      </w:r>
    </w:p>
    <w:p w14:paraId="6F137D3F">
      <w:pPr>
        <w:pStyle w:val="137"/>
      </w:pPr>
      <w:r>
        <w:rPr>
          <w:rFonts w:hint="eastAsia"/>
        </w:rPr>
        <w:t>在货物出口后，又转入境内或者将境外同种货物转入境内循环进出口并申报出口退税的；</w:t>
      </w:r>
    </w:p>
    <w:p w14:paraId="59B8DC69">
      <w:pPr>
        <w:pStyle w:val="137"/>
      </w:pPr>
      <w:r>
        <w:rPr>
          <w:rFonts w:hint="eastAsia"/>
        </w:rPr>
        <w:t>虚报出口产品的功能、用途等，将不享受退税政策的产品申报为退税产品的；</w:t>
      </w:r>
    </w:p>
    <w:p w14:paraId="23EC922C">
      <w:pPr>
        <w:pStyle w:val="137"/>
      </w:pPr>
      <w:r>
        <w:rPr>
          <w:rFonts w:hint="eastAsia"/>
        </w:rPr>
        <w:t>缴纳税款后，采取前款所列的欺骗方法，骗取所缴纳的税款的；</w:t>
      </w:r>
    </w:p>
    <w:p w14:paraId="45B05649">
      <w:pPr>
        <w:pStyle w:val="137"/>
      </w:pPr>
      <w:r>
        <w:rPr>
          <w:rFonts w:hint="eastAsia"/>
        </w:rPr>
        <w:t>以其他欺骗手段骗取出口退税款的。</w:t>
      </w:r>
    </w:p>
    <w:p w14:paraId="18EB001F">
      <w:pPr>
        <w:pStyle w:val="71"/>
        <w:spacing w:before="120" w:after="120"/>
      </w:pPr>
      <w:r>
        <w:rPr>
          <w:rFonts w:hint="eastAsia"/>
        </w:rPr>
        <w:t>虚开发票罪的风险识别</w:t>
      </w:r>
    </w:p>
    <w:p w14:paraId="0A705153">
      <w:pPr>
        <w:pStyle w:val="62"/>
        <w:ind w:firstLine="420"/>
      </w:pPr>
      <w:r>
        <w:rPr>
          <w:rFonts w:hint="eastAsia"/>
        </w:rPr>
        <w:t>企业应警惕并防范虚开发票行为，这通常涉及为他人虚开、为自己虚开、让他人为自己虚开、介绍他人虚开与实际经营业务情况不符的发票的行为。具有下列行为之一的，应识别为虚开发票的风险:</w:t>
      </w:r>
    </w:p>
    <w:p w14:paraId="11EC8923">
      <w:pPr>
        <w:pStyle w:val="137"/>
      </w:pPr>
      <w:r>
        <w:rPr>
          <w:rFonts w:hint="eastAsia"/>
        </w:rPr>
        <w:t xml:space="preserve">虚开与实际经营业务情况不符的发票,一是无实际经营活动却开具或取得发票，二是虽有经营活动，但发票信息如购买方、销售方、商品名称、金额等与实际不符； </w:t>
      </w:r>
    </w:p>
    <w:p w14:paraId="3A55CF18">
      <w:pPr>
        <w:pStyle w:val="137"/>
      </w:pPr>
      <w:r>
        <w:rPr>
          <w:rFonts w:hint="eastAsia"/>
        </w:rPr>
        <w:t>非法篡改发票相关电子信息的；</w:t>
      </w:r>
    </w:p>
    <w:p w14:paraId="08F69B39">
      <w:pPr>
        <w:pStyle w:val="137"/>
      </w:pPr>
      <w:r>
        <w:rPr>
          <w:rFonts w:hint="eastAsia"/>
        </w:rPr>
        <w:t>违反规定以其他手段虚开的。</w:t>
      </w:r>
    </w:p>
    <w:p w14:paraId="77AD8277">
      <w:pPr>
        <w:pStyle w:val="110"/>
        <w:spacing w:before="120" w:after="120"/>
      </w:pPr>
      <w:r>
        <w:rPr>
          <w:rFonts w:hint="eastAsia"/>
        </w:rPr>
        <w:t>企业税务高风险事项合规管理措施</w:t>
      </w:r>
    </w:p>
    <w:p w14:paraId="5673083D">
      <w:pPr>
        <w:pStyle w:val="71"/>
        <w:spacing w:before="120" w:after="120"/>
      </w:pPr>
      <w:r>
        <w:rPr>
          <w:rFonts w:hint="eastAsia"/>
        </w:rPr>
        <w:t>税务高风险事项事前、事中合规管理</w:t>
      </w:r>
    </w:p>
    <w:p w14:paraId="160FF37D">
      <w:pPr>
        <w:pStyle w:val="100"/>
        <w:spacing w:before="120" w:after="120"/>
      </w:pPr>
      <w:r>
        <w:rPr>
          <w:rFonts w:hint="eastAsia"/>
        </w:rPr>
        <w:t>会计核算合规管理</w:t>
      </w:r>
    </w:p>
    <w:p w14:paraId="7CFCC864">
      <w:pPr>
        <w:pStyle w:val="62"/>
        <w:ind w:firstLine="420"/>
        <w:rPr>
          <w:rFonts w:hint="eastAsia" w:hAnsi="宋体"/>
        </w:rPr>
      </w:pPr>
      <w:r>
        <w:rPr>
          <w:rFonts w:hint="eastAsia" w:hAnsi="宋体"/>
        </w:rPr>
        <w:t>企业应加强会计核算合规管理，包括但不限于展开以下工作：</w:t>
      </w:r>
    </w:p>
    <w:p w14:paraId="08A09732">
      <w:pPr>
        <w:pStyle w:val="137"/>
      </w:pPr>
      <w:r>
        <w:rPr>
          <w:rFonts w:hint="eastAsia"/>
        </w:rPr>
        <w:t>根据实际经济业务，按照国家统一的会计制度进行会计核算，填制会计凭证，登记会计账簿，编制财务会计报告；</w:t>
      </w:r>
    </w:p>
    <w:p w14:paraId="13D51E2D">
      <w:pPr>
        <w:pStyle w:val="137"/>
      </w:pPr>
      <w:r>
        <w:rPr>
          <w:rFonts w:hint="eastAsia"/>
          <w:color w:val="000000" w:themeColor="text1"/>
          <w14:textFill>
            <w14:solidFill>
              <w14:schemeClr w14:val="tx1"/>
            </w14:solidFill>
          </w14:textFill>
        </w:rPr>
        <w:t>根据实际经济业务，遵循国家会计制度进行核算，避免虚假记账和报告；</w:t>
      </w:r>
    </w:p>
    <w:p w14:paraId="71F362FC">
      <w:pPr>
        <w:pStyle w:val="137"/>
      </w:pPr>
      <w:r>
        <w:rPr>
          <w:rFonts w:hint="eastAsia"/>
          <w:color w:val="000000" w:themeColor="text1"/>
          <w14:textFill>
            <w14:solidFill>
              <w14:schemeClr w14:val="tx1"/>
            </w14:solidFill>
          </w14:textFill>
        </w:rPr>
        <w:t>会计处理方法应保持一致，必要变更须依规操作并在财务报告中说明，避免</w:t>
      </w:r>
      <w:r>
        <w:rPr>
          <w:rFonts w:hint="eastAsia"/>
        </w:rPr>
        <w:t>随意改变资产、负债、所有者权益确认标准或者计量方法，确保收入费用列报准确；</w:t>
      </w:r>
    </w:p>
    <w:p w14:paraId="2129580F">
      <w:pPr>
        <w:pStyle w:val="137"/>
        <w:rPr>
          <w:color w:val="000000" w:themeColor="text1"/>
          <w14:textFill>
            <w14:solidFill>
              <w14:schemeClr w14:val="tx1"/>
            </w14:solidFill>
          </w14:textFill>
        </w:rPr>
      </w:pPr>
      <w:r>
        <w:rPr>
          <w:rFonts w:hint="eastAsia"/>
        </w:rPr>
        <w:t>发生的各项经济业务事项应在依法设置的会计账簿上统一登记核算，保证财务会计报告真实完整</w:t>
      </w:r>
      <w:r>
        <w:rPr>
          <w:rFonts w:hint="eastAsia"/>
          <w:color w:val="000000" w:themeColor="text1"/>
          <w14:textFill>
            <w14:solidFill>
              <w14:schemeClr w14:val="tx1"/>
            </w14:solidFill>
          </w14:textFill>
        </w:rPr>
        <w:t>，避免私设会计账簿，伪造、变造会计凭证、会计账簿及其他会计资料，防范税务高风险事项。</w:t>
      </w:r>
    </w:p>
    <w:p w14:paraId="4A23EA53">
      <w:pPr>
        <w:pStyle w:val="100"/>
        <w:spacing w:before="120" w:after="120"/>
      </w:pPr>
      <w:r>
        <w:rPr>
          <w:rFonts w:hint="eastAsia"/>
        </w:rPr>
        <w:t>收入的税务合规管理</w:t>
      </w:r>
    </w:p>
    <w:p w14:paraId="5EE158CD">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企业应根据各项应税交易的合同内容，货物去向，劳务完成进度和开具发票的情况，重点测试应税收入的真实性、及时性和准确性，以实现收入的税务合规管理，包括但不限于展开以下工作：</w:t>
      </w:r>
    </w:p>
    <w:p w14:paraId="0618AAD6">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各项应税交易需实际对价，包括货币性收入和非货币性收入，都应全数计入应税收入，并依税种征税范围确定适用税率，按纳税义务发生时间及时确认应税收入；</w:t>
      </w:r>
    </w:p>
    <w:p w14:paraId="7B5E789B">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确认当期应税收入时，会计制度与税收规定存在差异的，应按照税收规定进行调整；</w:t>
      </w:r>
    </w:p>
    <w:p w14:paraId="7245BA3B">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与关联方之间的交易计税价格明显偏低或偏高且不具有合理商业目的，造成国家税款实际减少或后延的，应按独立交易原则调整应税收入。</w:t>
      </w:r>
    </w:p>
    <w:p w14:paraId="7806673C">
      <w:pPr>
        <w:pStyle w:val="100"/>
        <w:spacing w:before="120" w:after="120"/>
      </w:pPr>
      <w:r>
        <w:rPr>
          <w:rFonts w:hint="eastAsia"/>
        </w:rPr>
        <w:t>成本费用的税务合规管理</w:t>
      </w:r>
    </w:p>
    <w:p w14:paraId="28B3681A">
      <w:pPr>
        <w:pStyle w:val="62"/>
        <w:ind w:firstLine="420"/>
      </w:pPr>
      <w:r>
        <w:rPr>
          <w:rFonts w:hint="eastAsia"/>
        </w:rPr>
        <w:t>企业应加强对成本费用的税务合规管理，包括但不限于展开以下工作：</w:t>
      </w:r>
    </w:p>
    <w:p w14:paraId="05AD784D">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对每一笔已抵扣的增值税进项税额，逐笔测试其抵扣凭证、抵扣范围、抵扣金额的合规性；</w:t>
      </w:r>
    </w:p>
    <w:p w14:paraId="6AECE70E">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对存在以外购或委托加工应税消费品为原料既生产应税消费品又同时生产非应税消费品的情形，逐笔对其已抵扣消费税税款进行合规性测试；</w:t>
      </w:r>
    </w:p>
    <w:p w14:paraId="1D68F00F">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对在计算企业所得税应纳税所得额时扣除的每笔成本费用，对其真实性、相关性、合理性以及扣税凭证的合法性进行合规性测试；</w:t>
      </w:r>
    </w:p>
    <w:p w14:paraId="5DCE3F8C">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对支付境外单位和个人相关费用时，属于我国征税范围的，应依法履行增值税、企业所得税、个人所得税等税收代扣代缴义务；</w:t>
      </w:r>
    </w:p>
    <w:p w14:paraId="4C68BE5E">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支付给境内个人除经营所得之外的所得时，应进行个人所得税全员全额扣缴申报；</w:t>
      </w:r>
    </w:p>
    <w:p w14:paraId="695BF430">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在确认当期成本费用时，会计制度与税收规定存在差异的，应按照税收规定进行调整；</w:t>
      </w:r>
    </w:p>
    <w:p w14:paraId="07B3BFB1">
      <w:pPr>
        <w:pStyle w:val="137"/>
        <w:rPr>
          <w:color w:val="000000" w:themeColor="text1"/>
          <w14:textFill>
            <w14:solidFill>
              <w14:schemeClr w14:val="tx1"/>
            </w14:solidFill>
          </w14:textFill>
        </w:rPr>
      </w:pPr>
      <w:r>
        <w:rPr>
          <w:rFonts w:hint="eastAsia"/>
          <w:color w:val="000000" w:themeColor="text1"/>
          <w14:textFill>
            <w14:solidFill>
              <w14:schemeClr w14:val="tx1"/>
            </w14:solidFill>
          </w14:textFill>
        </w:rPr>
        <w:t>与关联方之间分摊成本费用，出现明显不合理且造成国家税款实际减少或滞延的问题，应按独立交易原则进行调整。</w:t>
      </w:r>
    </w:p>
    <w:p w14:paraId="15CD8C25">
      <w:pPr>
        <w:pStyle w:val="100"/>
        <w:spacing w:before="120" w:after="120"/>
      </w:pPr>
      <w:r>
        <w:rPr>
          <w:rFonts w:hint="eastAsia"/>
        </w:rPr>
        <w:t>资产处理的合规管理</w:t>
      </w:r>
    </w:p>
    <w:p w14:paraId="09862CAE">
      <w:pPr>
        <w:pStyle w:val="62"/>
        <w:ind w:firstLine="420"/>
      </w:pPr>
      <w:r>
        <w:rPr>
          <w:rFonts w:hint="eastAsia"/>
        </w:rPr>
        <w:t>企业应依照各项资产的增减变动和使用情况，对其所涉及的全部税种的纳税申报情况进行合规性测试，加强资产处理的合规管理，包括但不限于展开以下工作：</w:t>
      </w:r>
    </w:p>
    <w:p w14:paraId="7B6CBC64">
      <w:pPr>
        <w:pStyle w:val="137"/>
      </w:pPr>
      <w:r>
        <w:rPr>
          <w:rFonts w:hint="eastAsia"/>
        </w:rPr>
        <w:t>根据房产权属登记和房产使用或出租出借情况，对房产税纳税申报的计税依据进行合规性测试；</w:t>
      </w:r>
    </w:p>
    <w:p w14:paraId="1584367A">
      <w:pPr>
        <w:pStyle w:val="137"/>
      </w:pPr>
      <w:r>
        <w:rPr>
          <w:rFonts w:hint="eastAsia"/>
        </w:rPr>
        <w:t>根据土地使用权的权属登记和土地实际占用情况，对城镇土地使用税纳税申报的计税依据进行合规性测试；</w:t>
      </w:r>
    </w:p>
    <w:p w14:paraId="0C2A9A66">
      <w:pPr>
        <w:pStyle w:val="137"/>
      </w:pPr>
      <w:r>
        <w:rPr>
          <w:rFonts w:hint="eastAsia"/>
        </w:rPr>
        <w:t>根据承受土地、房屋权属的情况，对契税纳税申报的计税依据进行合规性测试；</w:t>
      </w:r>
    </w:p>
    <w:p w14:paraId="5971F7BF">
      <w:pPr>
        <w:pStyle w:val="137"/>
      </w:pPr>
      <w:r>
        <w:rPr>
          <w:rFonts w:hint="eastAsia"/>
        </w:rPr>
        <w:t>根据转让国有土地使用权、地上建筑物及其附着物情况，对土地增值税纳税申报的增值额进行合规性测试；</w:t>
      </w:r>
    </w:p>
    <w:p w14:paraId="043A392D">
      <w:pPr>
        <w:pStyle w:val="137"/>
      </w:pPr>
      <w:r>
        <w:rPr>
          <w:rFonts w:hint="eastAsia"/>
        </w:rPr>
        <w:t>根据资产购置的历史成本、使用状态和处置情况，对企业所得税申报的资产的计税基础、折旧或摊销费用、处置所得或损失进行合规性测试。</w:t>
      </w:r>
    </w:p>
    <w:p w14:paraId="48B01E35">
      <w:pPr>
        <w:pStyle w:val="100"/>
        <w:spacing w:before="120" w:after="120"/>
      </w:pPr>
      <w:r>
        <w:rPr>
          <w:rFonts w:hint="eastAsia"/>
        </w:rPr>
        <w:t>欠税的合规管理</w:t>
      </w:r>
    </w:p>
    <w:p w14:paraId="2783AD33">
      <w:pPr>
        <w:pStyle w:val="62"/>
        <w:ind w:firstLine="420"/>
      </w:pPr>
      <w:r>
        <w:rPr>
          <w:rFonts w:hint="eastAsia"/>
        </w:rPr>
        <w:t>企业因有特殊困难不能按期缴纳税款的，应按法定程序向主管税务机关申请延期缴纳税款。企业对欠税的管理，应注意以下合规要点，包括但不限于：</w:t>
      </w:r>
    </w:p>
    <w:p w14:paraId="01983E1F">
      <w:pPr>
        <w:pStyle w:val="137"/>
      </w:pPr>
      <w:r>
        <w:rPr>
          <w:rFonts w:hint="eastAsia"/>
        </w:rPr>
        <w:t>欠税及滞纳金逾期未结清的企业应制定清缴计划，提出分期清缴方案及资金筹措办法，定期向税务机关报告生产经营、资金往来、债权债务及清缴情况；</w:t>
      </w:r>
    </w:p>
    <w:p w14:paraId="4893CE67">
      <w:pPr>
        <w:pStyle w:val="137"/>
      </w:pPr>
      <w:r>
        <w:rPr>
          <w:rFonts w:hint="eastAsia"/>
        </w:rPr>
        <w:t>在欠税期间发生合并、分立或者因为破产、撤销、解散而进行资产债务清算的，企业应在15日内向主管税务机关进行书面报告；</w:t>
      </w:r>
    </w:p>
    <w:p w14:paraId="69622686">
      <w:pPr>
        <w:pStyle w:val="137"/>
      </w:pPr>
      <w:r>
        <w:rPr>
          <w:rFonts w:hint="eastAsia"/>
        </w:rPr>
        <w:t>企业在未缴清欠税期间，法定代表人需要出境的，应在出境前向税务机关结清应纳税款及滞纳金，或提供担保；</w:t>
      </w:r>
    </w:p>
    <w:p w14:paraId="756CD791">
      <w:pPr>
        <w:pStyle w:val="137"/>
      </w:pPr>
      <w:r>
        <w:rPr>
          <w:rFonts w:hint="eastAsia"/>
        </w:rPr>
        <w:t>欠税金额超过5万元的，在处置不动产或大额资产前，应向主管税务机关提交书面报告。</w:t>
      </w:r>
    </w:p>
    <w:p w14:paraId="6B96BD4D">
      <w:pPr>
        <w:pStyle w:val="100"/>
        <w:spacing w:before="120" w:after="120"/>
      </w:pPr>
      <w:r>
        <w:rPr>
          <w:rFonts w:hint="eastAsia"/>
        </w:rPr>
        <w:t>出口退税的税务合规管理</w:t>
      </w:r>
    </w:p>
    <w:p w14:paraId="10E914E8">
      <w:pPr>
        <w:pStyle w:val="62"/>
        <w:ind w:firstLine="420"/>
      </w:pPr>
      <w:r>
        <w:rPr>
          <w:rFonts w:hint="eastAsia"/>
        </w:rPr>
        <w:t>企业出口货物适用退税规定的，应向海关办理出口手续，凭出口报关单等有关凭证，在规定的申报期内办理出口货物的退税。企业办理出口退税时，应重点关注以下合规要点，包括但不限于：</w:t>
      </w:r>
    </w:p>
    <w:p w14:paraId="58D3CB57">
      <w:pPr>
        <w:pStyle w:val="137"/>
      </w:pPr>
      <w:r>
        <w:rPr>
          <w:rFonts w:hint="eastAsia"/>
        </w:rPr>
        <w:t>避免没有出口货物，而向税务机关提供办理出口退税资料，冒充已出口货物等假报出口；</w:t>
      </w:r>
    </w:p>
    <w:p w14:paraId="502CB83F">
      <w:pPr>
        <w:pStyle w:val="137"/>
      </w:pPr>
      <w:r>
        <w:rPr>
          <w:rFonts w:hint="eastAsia"/>
        </w:rPr>
        <w:t>避免虚报出口商品的数量以少报多，虚报出口商品价格，以低报高，虚报出口商品种类，以低税率商品报高税率商品；</w:t>
      </w:r>
    </w:p>
    <w:p w14:paraId="5EA53B73">
      <w:pPr>
        <w:pStyle w:val="137"/>
      </w:pPr>
      <w:r>
        <w:rPr>
          <w:rFonts w:hint="eastAsia"/>
        </w:rPr>
        <w:t>适用不同退税率的货物劳务，应分开报关、核算并申报退（免）税，未分开报关、核算或划分不清的，从低适用退税率；</w:t>
      </w:r>
    </w:p>
    <w:p w14:paraId="03E6A092">
      <w:pPr>
        <w:pStyle w:val="137"/>
      </w:pPr>
      <w:r>
        <w:rPr>
          <w:rFonts w:hint="eastAsia"/>
        </w:rPr>
        <w:t>应分别核算、分别申请享受增值税即征即退、先征后退和免抵退税政策，增值税即征即退和先征后退项目不参与出口项目免抵退税计算；</w:t>
      </w:r>
    </w:p>
    <w:p w14:paraId="41AAA2D5">
      <w:pPr>
        <w:pStyle w:val="137"/>
      </w:pPr>
      <w:r>
        <w:rPr>
          <w:rFonts w:hint="eastAsia"/>
        </w:rPr>
        <w:t>开展进料加工业务的，若发生未经海关批准将海关保税进口料件作价销售给其他企业加工的，应按规定缴纳增值税、消费税。</w:t>
      </w:r>
    </w:p>
    <w:p w14:paraId="4A359C25">
      <w:pPr>
        <w:pStyle w:val="100"/>
        <w:spacing w:before="120" w:after="120"/>
      </w:pPr>
      <w:r>
        <w:rPr>
          <w:rFonts w:hint="eastAsia"/>
        </w:rPr>
        <w:t>虚开发票的风险控制策略</w:t>
      </w:r>
    </w:p>
    <w:p w14:paraId="05B41E52">
      <w:pPr>
        <w:pStyle w:val="137"/>
        <w:numPr>
          <w:ilvl w:val="0"/>
          <w:numId w:val="0"/>
        </w:numPr>
        <w:ind w:firstLine="420" w:firstLineChars="200"/>
        <w:rPr>
          <w:color w:val="000000" w:themeColor="text1"/>
          <w14:textFill>
            <w14:solidFill>
              <w14:schemeClr w14:val="tx1"/>
            </w14:solidFill>
          </w14:textFill>
        </w:rPr>
      </w:pPr>
      <w:r>
        <w:rPr>
          <w:rFonts w:hint="eastAsia"/>
        </w:rPr>
        <w:t>企业应加强虚开发票风险防控，仅在真实经营业务确认为营业收入时开具发票，严禁虚构交易开票，且仅对实际应抵扣业务开具或取得增值税专用发票。</w:t>
      </w:r>
      <w:r>
        <w:rPr>
          <w:rFonts w:hint="eastAsia"/>
          <w:color w:val="000000" w:themeColor="text1"/>
          <w14:textFill>
            <w14:solidFill>
              <w14:schemeClr w14:val="tx1"/>
            </w14:solidFill>
          </w14:textFill>
        </w:rPr>
        <w:t>企业应重点关注接受虚开发票的风险，注意以下合规要点，包括但不限于：</w:t>
      </w:r>
    </w:p>
    <w:p w14:paraId="69FBF253">
      <w:pPr>
        <w:pStyle w:val="137"/>
      </w:pPr>
      <w:r>
        <w:rPr>
          <w:rFonts w:hint="eastAsia"/>
        </w:rPr>
        <w:t>交易前，应关注供应商的经营范围、经营规模、纳税资格等信息，确保交易的真实性和发票来源的合法性；</w:t>
      </w:r>
    </w:p>
    <w:p w14:paraId="018C3F62">
      <w:pPr>
        <w:pStyle w:val="137"/>
      </w:pPr>
      <w:r>
        <w:rPr>
          <w:rFonts w:hint="eastAsia"/>
        </w:rPr>
        <w:t>取得发票后，应仔细核对发票信息，确保供应商名称、印章、货物数量、金额及税额等全部内容与实际相符；</w:t>
      </w:r>
    </w:p>
    <w:p w14:paraId="7C685549">
      <w:pPr>
        <w:pStyle w:val="137"/>
      </w:pPr>
      <w:r>
        <w:rPr>
          <w:rFonts w:hint="eastAsia"/>
        </w:rPr>
        <w:t>核对异常的发票，应要求供应商换开合法有效发票，才能作为财务报销凭证。</w:t>
      </w:r>
    </w:p>
    <w:p w14:paraId="499CC4AF">
      <w:pPr>
        <w:pStyle w:val="71"/>
        <w:spacing w:before="120" w:after="120"/>
      </w:pPr>
      <w:r>
        <w:rPr>
          <w:rFonts w:hint="eastAsia"/>
        </w:rPr>
        <w:t>税务高风险事项事后合规管理</w:t>
      </w:r>
    </w:p>
    <w:p w14:paraId="1E3259FF">
      <w:pPr>
        <w:pStyle w:val="137"/>
        <w:numPr>
          <w:ilvl w:val="0"/>
          <w:numId w:val="0"/>
        </w:numPr>
        <w:ind w:firstLine="420" w:firstLineChars="200"/>
      </w:pPr>
      <w:r>
        <w:rPr>
          <w:rFonts w:hint="eastAsia"/>
        </w:rPr>
        <w:t>企业触发税务高风险事项的，应做好事后的合规管理，包括但不限于展开以下工作：</w:t>
      </w:r>
    </w:p>
    <w:p w14:paraId="0CB35F1C">
      <w:pPr>
        <w:pStyle w:val="137"/>
      </w:pPr>
      <w:r>
        <w:rPr>
          <w:rFonts w:hint="eastAsia"/>
        </w:rPr>
        <w:t>针对出现的高风险事项，认真分析原因，查询相关税收政策，制定解决方案；</w:t>
      </w:r>
    </w:p>
    <w:p w14:paraId="585475FC">
      <w:pPr>
        <w:pStyle w:val="137"/>
      </w:pPr>
      <w:r>
        <w:rPr>
          <w:rFonts w:hint="eastAsia"/>
        </w:rPr>
        <w:t>存在涉税违法行为的，立即停止并改正；</w:t>
      </w:r>
    </w:p>
    <w:p w14:paraId="3B3F22F5">
      <w:pPr>
        <w:pStyle w:val="192"/>
      </w:pPr>
      <w:r>
        <w:rPr>
          <w:rFonts w:hint="eastAsia"/>
        </w:rPr>
        <w:t>涉及少缴税款的，主动及时补缴税款及滞纳金；</w:t>
      </w:r>
    </w:p>
    <w:p w14:paraId="002CE5C1">
      <w:pPr>
        <w:pStyle w:val="192"/>
      </w:pPr>
      <w:r>
        <w:rPr>
          <w:rFonts w:hint="eastAsia"/>
        </w:rPr>
        <w:t>涉及税务行政处罚的，主动按时缴纳罚款；</w:t>
      </w:r>
    </w:p>
    <w:p w14:paraId="5576BAEF">
      <w:pPr>
        <w:pStyle w:val="192"/>
      </w:pPr>
      <w:r>
        <w:rPr>
          <w:rFonts w:hint="eastAsia"/>
        </w:rPr>
        <w:t>涉嫌犯罪的，积极整改，争取减轻或免予追究刑事责任。</w:t>
      </w:r>
    </w:p>
    <w:p w14:paraId="46EE47E7">
      <w:pPr>
        <w:pStyle w:val="137"/>
      </w:pPr>
      <w:r>
        <w:rPr>
          <w:rFonts w:hint="eastAsia"/>
        </w:rPr>
        <w:t>不存在涉税违法行为的，将相关证据资料收集齐全，形成书面报告，向税务机关作出合理解释；</w:t>
      </w:r>
    </w:p>
    <w:p w14:paraId="3E49526B">
      <w:pPr>
        <w:pStyle w:val="137"/>
      </w:pPr>
      <w:r>
        <w:rPr>
          <w:rFonts w:hint="eastAsia"/>
        </w:rPr>
        <w:t>对税务机关所作出的决定不服的，应依法使用陈述权、申辩权，提请行政复议权或提请行政诉讼权；</w:t>
      </w:r>
    </w:p>
    <w:p w14:paraId="1DEBA31F">
      <w:pPr>
        <w:pStyle w:val="137"/>
      </w:pPr>
      <w:r>
        <w:rPr>
          <w:rFonts w:hint="eastAsia"/>
        </w:rPr>
        <w:t>因执行税务机关的决定而造成直接经济损失的，应依法行使请求国家赔偿权。</w:t>
      </w:r>
    </w:p>
    <w:p w14:paraId="73DDA457">
      <w:pPr>
        <w:pStyle w:val="109"/>
        <w:spacing w:before="240" w:after="240"/>
      </w:pPr>
      <w:bookmarkStart w:id="94" w:name="_Toc188519723"/>
      <w:bookmarkStart w:id="95" w:name="_Toc187133939"/>
      <w:bookmarkStart w:id="96" w:name="_Toc187133899"/>
      <w:bookmarkStart w:id="97" w:name="_Toc188363488"/>
      <w:r>
        <w:rPr>
          <w:rFonts w:hint="eastAsia"/>
        </w:rPr>
        <w:t>税务合规管理数字化</w:t>
      </w:r>
      <w:bookmarkEnd w:id="94"/>
      <w:bookmarkEnd w:id="95"/>
      <w:bookmarkEnd w:id="96"/>
      <w:bookmarkEnd w:id="97"/>
    </w:p>
    <w:p w14:paraId="18F693C5">
      <w:pPr>
        <w:pStyle w:val="110"/>
        <w:spacing w:before="120" w:after="120"/>
      </w:pPr>
      <w:r>
        <w:rPr>
          <w:rFonts w:hint="eastAsia"/>
        </w:rPr>
        <w:t>规范税务合规流程</w:t>
      </w:r>
    </w:p>
    <w:p w14:paraId="468FB147">
      <w:pPr>
        <w:pStyle w:val="62"/>
        <w:ind w:firstLine="420"/>
      </w:pPr>
      <w:r>
        <w:rPr>
          <w:rFonts w:hint="eastAsia"/>
        </w:rPr>
        <w:t>企业应建立税务合规管理信息系统，加强税务合规管理数字化建设，实现规范税务合规管理流程，包括但不限于展开以下工作：</w:t>
      </w:r>
    </w:p>
    <w:p w14:paraId="1190B9ED">
      <w:pPr>
        <w:pStyle w:val="137"/>
      </w:pPr>
      <w:r>
        <w:rPr>
          <w:rFonts w:hint="eastAsia"/>
        </w:rPr>
        <w:t>实现税务登记、申报、缴纳、发票管理及税务档案存储全流程的制度化、规范化，并依托电子税务局、财务信息化系统及税务管理信息化工具，实现税务合规管理数字化；</w:t>
      </w:r>
    </w:p>
    <w:p w14:paraId="7839775C">
      <w:pPr>
        <w:pStyle w:val="137"/>
      </w:pPr>
      <w:r>
        <w:rPr>
          <w:rFonts w:hint="eastAsia"/>
        </w:rPr>
        <w:t>通过数据实时对接与自动化处理，确保税务信息的准确性与合规性，降低人工操作风险；建立税务合规风险预警系统，动态监控税务合规情况，及时发现并整改问题。</w:t>
      </w:r>
    </w:p>
    <w:p w14:paraId="4FA50273">
      <w:pPr>
        <w:pStyle w:val="110"/>
        <w:spacing w:before="120" w:after="120"/>
      </w:pPr>
      <w:r>
        <w:rPr>
          <w:rFonts w:hint="eastAsia"/>
        </w:rPr>
        <w:t>基础架构</w:t>
      </w:r>
    </w:p>
    <w:p w14:paraId="085BE3B3">
      <w:pPr>
        <w:pStyle w:val="62"/>
        <w:ind w:firstLine="420"/>
      </w:pPr>
      <w:r>
        <w:rPr>
          <w:rFonts w:hint="eastAsia"/>
        </w:rPr>
        <w:t>税务合规数字化管理基础架构应对接电子税务局、数电票平台以企业ERP 、财务管理信息系统，整合税务登记、申报、缴纳、发票管理及税务档案存储、税务合规风险防控等功能，构建以数据分析平台为核心的税务合规数字化系统。</w:t>
      </w:r>
    </w:p>
    <w:p w14:paraId="483B0F69">
      <w:pPr>
        <w:pStyle w:val="110"/>
        <w:spacing w:before="120" w:after="120"/>
      </w:pPr>
      <w:r>
        <w:rPr>
          <w:rFonts w:hint="eastAsia"/>
        </w:rPr>
        <w:t>数据共享</w:t>
      </w:r>
    </w:p>
    <w:p w14:paraId="1CCB10A1">
      <w:pPr>
        <w:pStyle w:val="62"/>
        <w:ind w:firstLine="420"/>
      </w:pPr>
      <w:r>
        <w:rPr>
          <w:rFonts w:hint="eastAsia"/>
        </w:rPr>
        <w:t>税务合规数字化系统应打通与企业ERP 、财务、业务等信息系统的联系，实现业、财、税信息的实时共享与管理，并通过与电子税务局、数电票平台对接，确保税务合规数据完整、准确，提升税务合规管理的效率与透明度。</w:t>
      </w:r>
    </w:p>
    <w:p w14:paraId="3549B007">
      <w:pPr>
        <w:pStyle w:val="110"/>
        <w:spacing w:before="120" w:after="120"/>
      </w:pPr>
      <w:r>
        <w:rPr>
          <w:rFonts w:hint="eastAsia"/>
        </w:rPr>
        <w:t>动态监测</w:t>
      </w:r>
    </w:p>
    <w:p w14:paraId="66F2D794">
      <w:pPr>
        <w:pStyle w:val="62"/>
        <w:ind w:firstLine="420"/>
      </w:pPr>
      <w:r>
        <w:rPr>
          <w:rFonts w:hint="eastAsia"/>
        </w:rPr>
        <w:t>企业应建立税务风险监控系统，包括但不限于展开以下工作：</w:t>
      </w:r>
    </w:p>
    <w:p w14:paraId="0D453D35">
      <w:pPr>
        <w:pStyle w:val="137"/>
      </w:pPr>
      <w:r>
        <w:rPr>
          <w:rFonts w:hint="eastAsia"/>
        </w:rPr>
        <w:t>联动合同、发票、支付等关键数据，动态分析异常交易、税负波动及发票合规性；</w:t>
      </w:r>
    </w:p>
    <w:p w14:paraId="3449D812">
      <w:pPr>
        <w:pStyle w:val="137"/>
      </w:pPr>
      <w:r>
        <w:rPr>
          <w:rFonts w:hint="eastAsia"/>
        </w:rPr>
        <w:t>密切关注税收政策调整及行业监管动态，实现税务合规风险的实时监测。</w:t>
      </w:r>
    </w:p>
    <w:p w14:paraId="0FF2FEC3">
      <w:pPr>
        <w:pStyle w:val="109"/>
        <w:spacing w:before="240" w:after="240"/>
      </w:pPr>
      <w:bookmarkStart w:id="98" w:name="_Toc187133900"/>
      <w:bookmarkStart w:id="99" w:name="_Toc188519724"/>
      <w:bookmarkStart w:id="100" w:name="_Toc187133940"/>
      <w:bookmarkStart w:id="101" w:name="_Toc188363489"/>
      <w:r>
        <w:rPr>
          <w:rFonts w:hint="eastAsia"/>
        </w:rPr>
        <w:t>税务合规文化建设</w:t>
      </w:r>
      <w:bookmarkEnd w:id="98"/>
      <w:bookmarkEnd w:id="99"/>
      <w:bookmarkEnd w:id="100"/>
      <w:bookmarkEnd w:id="101"/>
    </w:p>
    <w:p w14:paraId="7824389B">
      <w:pPr>
        <w:pStyle w:val="110"/>
        <w:spacing w:before="120" w:after="120"/>
      </w:pPr>
      <w:r>
        <w:rPr>
          <w:rFonts w:hint="eastAsia"/>
        </w:rPr>
        <w:t>理念塑造</w:t>
      </w:r>
    </w:p>
    <w:p w14:paraId="209C943D">
      <w:pPr>
        <w:pStyle w:val="62"/>
        <w:ind w:firstLine="420"/>
      </w:pPr>
      <w:r>
        <w:rPr>
          <w:rFonts w:hint="eastAsia"/>
        </w:rPr>
        <w:t>企业应加强税务合规理念塑造，包括但不限于展开以下工作：</w:t>
      </w:r>
    </w:p>
    <w:p w14:paraId="31EF9A70">
      <w:pPr>
        <w:pStyle w:val="137"/>
      </w:pPr>
      <w:r>
        <w:t>企业主要负责人和高级管理人员应</w:t>
      </w:r>
      <w:r>
        <w:rPr>
          <w:rFonts w:hint="eastAsia"/>
        </w:rPr>
        <w:t>认同税务合规的重要性，</w:t>
      </w:r>
      <w:r>
        <w:t>并将其作为行动的指导原则</w:t>
      </w:r>
      <w:r>
        <w:rPr>
          <w:rFonts w:hint="eastAsia"/>
        </w:rPr>
        <w:t>；</w:t>
      </w:r>
    </w:p>
    <w:p w14:paraId="50048FF5">
      <w:pPr>
        <w:pStyle w:val="137"/>
      </w:pPr>
      <w:r>
        <w:rPr>
          <w:rFonts w:hint="eastAsia"/>
        </w:rPr>
        <w:t>税务合规意识深度嵌入企业日常管理，通过领导层的表率作用、全员参与、宣传、培训等方式，培育和形成税务合规文化。</w:t>
      </w:r>
    </w:p>
    <w:p w14:paraId="5A13789A">
      <w:pPr>
        <w:pStyle w:val="110"/>
        <w:spacing w:before="120" w:after="120"/>
      </w:pPr>
      <w:r>
        <w:rPr>
          <w:rFonts w:hint="eastAsia"/>
        </w:rPr>
        <w:t>宣传培训</w:t>
      </w:r>
    </w:p>
    <w:p w14:paraId="38069A8A">
      <w:pPr>
        <w:pStyle w:val="62"/>
        <w:ind w:firstLine="420"/>
      </w:pPr>
      <w:r>
        <w:rPr>
          <w:rFonts w:hint="eastAsia"/>
        </w:rPr>
        <w:t>以提高全员税务合规意识为目标，企业应加强税法宣传培训业务，包括但不限于展开以下工作：</w:t>
      </w:r>
    </w:p>
    <w:p w14:paraId="70637DDE">
      <w:pPr>
        <w:pStyle w:val="137"/>
      </w:pPr>
      <w:r>
        <w:rPr>
          <w:rFonts w:hint="eastAsia"/>
        </w:rPr>
        <w:t>以税务法律法规和税务合规制度等为主要内容，制定税务合规宣传、培训计划，结合岗位需求提供定制化课程，采用线上线下相结合等方式；</w:t>
      </w:r>
    </w:p>
    <w:p w14:paraId="33E09068">
      <w:pPr>
        <w:pStyle w:val="137"/>
      </w:pPr>
      <w:r>
        <w:rPr>
          <w:rFonts w:hint="eastAsia"/>
        </w:rPr>
        <w:t>高级管理层应支持并参与税务合规宣传、培训，发挥示范作用，并制定相应的奖惩机制，不断提升宣传、培训质量。</w:t>
      </w:r>
    </w:p>
    <w:p w14:paraId="4910A8D8">
      <w:pPr>
        <w:pStyle w:val="110"/>
        <w:spacing w:before="120" w:after="120"/>
      </w:pPr>
      <w:r>
        <w:rPr>
          <w:rFonts w:hint="eastAsia"/>
        </w:rPr>
        <w:t>行为规范</w:t>
      </w:r>
    </w:p>
    <w:p w14:paraId="1F2A2FC0">
      <w:pPr>
        <w:pStyle w:val="62"/>
        <w:ind w:firstLine="420"/>
      </w:pPr>
      <w:r>
        <w:rPr>
          <w:rFonts w:hint="eastAsia"/>
        </w:rPr>
        <w:t>企业应通过制定员工税务合规行为准则或手册，规范员工在经济交往、产品销售与采购、发票开具与接收、交易结算等环节的税务合规行为，以促进税务合规文化建设。</w:t>
      </w:r>
    </w:p>
    <w:p w14:paraId="3076A4F4">
      <w:pPr>
        <w:pStyle w:val="110"/>
        <w:spacing w:before="120" w:after="120"/>
      </w:pPr>
      <w:r>
        <w:rPr>
          <w:rFonts w:hint="eastAsia"/>
        </w:rPr>
        <w:t>激励约束</w:t>
      </w:r>
    </w:p>
    <w:p w14:paraId="52A2F410">
      <w:pPr>
        <w:pStyle w:val="62"/>
        <w:ind w:firstLine="420"/>
      </w:pPr>
      <w:r>
        <w:rPr>
          <w:rFonts w:hint="eastAsia"/>
        </w:rPr>
        <w:t>企业应制定并实施税务合规考核激励约束制度，并融入企业整体绩效考评体系，促进税务合规目标实现。</w:t>
      </w:r>
    </w:p>
    <w:p w14:paraId="504C6C29">
      <w:pPr>
        <w:pStyle w:val="137"/>
        <w:sectPr>
          <w:pgSz w:w="11906" w:h="16838"/>
          <w:pgMar w:top="1928" w:right="1134" w:bottom="1134" w:left="1134" w:header="1418" w:footer="1134" w:gutter="284"/>
          <w:pgNumType w:start="1"/>
          <w:cols w:space="425" w:num="1"/>
          <w:formProt w:val="0"/>
          <w:docGrid w:linePitch="312" w:charSpace="0"/>
        </w:sectPr>
      </w:pPr>
    </w:p>
    <w:p w14:paraId="7238ABA5">
      <w:pPr>
        <w:pStyle w:val="203"/>
        <w:rPr>
          <w:rFonts w:hint="eastAsia"/>
          <w:vanish w:val="0"/>
        </w:rPr>
      </w:pPr>
    </w:p>
    <w:p w14:paraId="031DBFD2">
      <w:pPr>
        <w:pStyle w:val="204"/>
        <w:rPr>
          <w:vanish w:val="0"/>
        </w:rPr>
      </w:pPr>
    </w:p>
    <w:p w14:paraId="27549DE7">
      <w:pPr>
        <w:pStyle w:val="204"/>
      </w:pPr>
      <w:r>
        <w:br w:type="textWrapping"/>
      </w:r>
      <w:r>
        <w:rPr>
          <w:rFonts w:hint="eastAsia"/>
        </w:rPr>
        <w:t>（资料性）</w:t>
      </w:r>
      <w:r>
        <w:br w:type="textWrapping"/>
      </w:r>
      <w:r>
        <w:rPr>
          <w:rFonts w:hint="eastAsia"/>
        </w:rPr>
        <w:t>企业税务合规管理框架</w:t>
      </w:r>
    </w:p>
    <w:p w14:paraId="743A6CC0">
      <w:pPr>
        <w:pStyle w:val="204"/>
      </w:pPr>
      <w:r>
        <w:br w:type="textWrapping"/>
      </w:r>
      <w:r>
        <w:rPr>
          <w:rFonts w:hint="eastAsia"/>
        </w:rPr>
        <w:t>（资料性）</w:t>
      </w:r>
      <w:r>
        <w:br w:type="textWrapping"/>
      </w:r>
      <w:r>
        <w:rPr>
          <w:rFonts w:hint="eastAsia"/>
        </w:rPr>
        <w:t>企业税务合规管理框架</w:t>
      </w:r>
    </w:p>
    <w:p w14:paraId="006AFDB0">
      <w:pPr>
        <w:pStyle w:val="204"/>
      </w:pPr>
      <w:r>
        <w:br w:type="textWrapping"/>
      </w:r>
      <w:r>
        <w:rPr>
          <w:rFonts w:hint="eastAsia"/>
        </w:rPr>
        <w:t>（资料性）</w:t>
      </w:r>
      <w:r>
        <w:br w:type="textWrapping"/>
      </w:r>
      <w:r>
        <w:rPr>
          <w:rFonts w:hint="eastAsia"/>
        </w:rPr>
        <w:t>企业税务合规管理框架</w:t>
      </w:r>
    </w:p>
    <w:p w14:paraId="2392E6D6">
      <w:pPr>
        <w:pStyle w:val="204"/>
      </w:pPr>
      <w:r>
        <w:br w:type="textWrapping"/>
      </w:r>
      <w:r>
        <w:rPr>
          <w:rFonts w:hint="eastAsia"/>
        </w:rPr>
        <w:t>（资料性）</w:t>
      </w:r>
      <w:r>
        <w:br w:type="textWrapping"/>
      </w:r>
      <w:r>
        <w:rPr>
          <w:rFonts w:hint="eastAsia"/>
        </w:rPr>
        <w:t>企业税务合规管理框架</w:t>
      </w:r>
    </w:p>
    <w:p w14:paraId="55AE656D">
      <w:pPr>
        <w:pStyle w:val="204"/>
      </w:pPr>
      <w:r>
        <w:br w:type="textWrapping"/>
      </w:r>
      <w:r>
        <w:rPr>
          <w:rFonts w:hint="eastAsia"/>
        </w:rPr>
        <w:t>（资料性）</w:t>
      </w:r>
      <w:r>
        <w:br w:type="textWrapping"/>
      </w:r>
      <w:r>
        <w:rPr>
          <w:rFonts w:hint="eastAsia"/>
        </w:rPr>
        <w:t>附录A企业税务合规管理框架</w:t>
      </w:r>
    </w:p>
    <w:p w14:paraId="1E75E918">
      <w:pPr>
        <w:pStyle w:val="204"/>
      </w:pPr>
      <w:r>
        <w:br w:type="textWrapping"/>
      </w:r>
      <w:r>
        <w:rPr>
          <w:rFonts w:hint="eastAsia"/>
        </w:rPr>
        <w:t>（资料性）</w:t>
      </w:r>
      <w:r>
        <w:br w:type="textWrapping"/>
      </w:r>
      <w:r>
        <w:rPr>
          <w:rFonts w:hint="eastAsia"/>
        </w:rPr>
        <w:t>附录A企业税务合规管理框架</w:t>
      </w:r>
    </w:p>
    <w:p w14:paraId="2C7BFB76">
      <w:pPr>
        <w:pStyle w:val="204"/>
      </w:pPr>
      <w:r>
        <w:br w:type="textWrapping"/>
      </w:r>
      <w:r>
        <w:rPr>
          <w:rFonts w:hint="eastAsia"/>
        </w:rPr>
        <w:t>（资料性）</w:t>
      </w:r>
      <w:r>
        <w:br w:type="textWrapping"/>
      </w:r>
      <w:r>
        <w:rPr>
          <w:rFonts w:hint="eastAsia"/>
        </w:rPr>
        <w:t>附录A企业税务合规管理框架</w:t>
      </w:r>
    </w:p>
    <w:p w14:paraId="1736A92F">
      <w:pPr>
        <w:pStyle w:val="204"/>
        <w:sectPr>
          <w:pgSz w:w="11906" w:h="16838"/>
          <w:pgMar w:top="1928" w:right="1134" w:bottom="1134" w:left="1134" w:header="1418" w:footer="1134" w:gutter="284"/>
          <w:cols w:space="425" w:num="1"/>
          <w:formProt w:val="0"/>
          <w:docGrid w:linePitch="312" w:charSpace="0"/>
        </w:sectPr>
      </w:pPr>
    </w:p>
    <w:p w14:paraId="36338227">
      <w:pPr>
        <w:pStyle w:val="203"/>
        <w:rPr>
          <w:rFonts w:hint="eastAsia"/>
          <w:vanish w:val="0"/>
        </w:rPr>
      </w:pPr>
    </w:p>
    <w:p w14:paraId="7114ED5A">
      <w:pPr>
        <w:pStyle w:val="204"/>
      </w:pPr>
    </w:p>
    <w:p w14:paraId="483880C4">
      <w:pPr>
        <w:pStyle w:val="204"/>
        <w:numPr>
          <w:ilvl w:val="0"/>
          <w:numId w:val="0"/>
        </w:numPr>
        <w:ind w:left="425"/>
        <w:jc w:val="both"/>
        <w:sectPr>
          <w:pgSz w:w="11906" w:h="16838"/>
          <w:pgMar w:top="1928" w:right="1134" w:bottom="1134" w:left="1134" w:header="1418" w:footer="1134" w:gutter="284"/>
          <w:cols w:space="425" w:num="1"/>
          <w:formProt w:val="0"/>
          <w:docGrid w:linePitch="312" w:charSpace="0"/>
        </w:sectPr>
      </w:pPr>
    </w:p>
    <w:p w14:paraId="71F0C679">
      <w:pPr>
        <w:pStyle w:val="203"/>
        <w:rPr>
          <w:rFonts w:hint="eastAsia"/>
          <w:vanish w:val="0"/>
        </w:rPr>
      </w:pPr>
    </w:p>
    <w:p w14:paraId="3CFB0B4A">
      <w:pPr>
        <w:pStyle w:val="204"/>
        <w:numPr>
          <w:ilvl w:val="0"/>
          <w:numId w:val="0"/>
        </w:numPr>
        <w:ind w:left="425"/>
        <w:jc w:val="both"/>
      </w:pPr>
      <w:r>
        <w:rPr>
          <w:rFonts w:hint="eastAsia"/>
        </w:rPr>
        <w:t>（资料性）</w:t>
      </w:r>
    </w:p>
    <w:p w14:paraId="05ECEF20">
      <w:pPr>
        <w:pStyle w:val="204"/>
        <w:numPr>
          <w:ilvl w:val="0"/>
          <w:numId w:val="0"/>
        </w:numPr>
        <w:ind w:left="425"/>
        <w:jc w:val="both"/>
      </w:pPr>
      <w:r>
        <w:rPr>
          <w:rFonts w:hint="eastAsia"/>
        </w:rPr>
        <w:t>主要税种合规管理重点（按税种）</w:t>
      </w:r>
    </w:p>
    <w:p w14:paraId="6D9E5EE9">
      <w:pPr>
        <w:pStyle w:val="203"/>
        <w:rPr>
          <w:rFonts w:hint="eastAsia"/>
        </w:rPr>
      </w:pPr>
      <w:r>
        <w:rPr>
          <w:rFonts w:hint="eastAsia"/>
        </w:rPr>
        <w:t>在展业促销活动中，向个人无偿赠送的与销售额无直接联系的礼品，未按“偶然所得”扣缴个人所得税。</w:t>
      </w:r>
      <w:bookmarkEnd w:id="28"/>
      <w:bookmarkStart w:id="102" w:name="_Toc187133945"/>
      <w:r>
        <w:rPr>
          <w:rFonts w:hint="eastAsia"/>
        </w:rPr>
        <w:br w:type="page"/>
      </w:r>
    </w:p>
    <w:p w14:paraId="6FAC0B00">
      <w:pPr>
        <w:pStyle w:val="203"/>
        <w:numPr>
          <w:ilvl w:val="0"/>
          <w:numId w:val="0"/>
        </w:numPr>
        <w:ind w:left="420"/>
        <w:jc w:val="both"/>
        <w:rPr>
          <w:rFonts w:ascii="宋体" w:hAnsi="Times New Roman"/>
          <w:szCs w:val="20"/>
        </w:rPr>
      </w:pPr>
      <w:bookmarkStart w:id="103" w:name="BookMark5"/>
    </w:p>
    <w:p w14:paraId="362EF0AB">
      <w:pPr>
        <w:pStyle w:val="203"/>
        <w:rPr>
          <w:rFonts w:hint="eastAsia"/>
          <w:vanish w:val="0"/>
        </w:rPr>
      </w:pPr>
    </w:p>
    <w:p w14:paraId="41D398BA">
      <w:pPr>
        <w:pStyle w:val="204"/>
        <w:rPr>
          <w:vanish w:val="0"/>
        </w:rPr>
      </w:pPr>
    </w:p>
    <w:p w14:paraId="6D96F1C8">
      <w:pPr>
        <w:pStyle w:val="82"/>
        <w:spacing w:after="120"/>
        <w:ind w:left="0"/>
      </w:pPr>
      <w:r>
        <w:br w:type="textWrapping"/>
      </w:r>
      <w:bookmarkStart w:id="104" w:name="_Toc188519725"/>
      <w:bookmarkStart w:id="105" w:name="_Toc188363491"/>
      <w:r>
        <w:rPr>
          <w:rFonts w:hint="eastAsia"/>
        </w:rPr>
        <w:t>（资料性）</w:t>
      </w:r>
      <w:r>
        <w:br w:type="textWrapping"/>
      </w:r>
      <w:r>
        <w:rPr>
          <w:rFonts w:hint="eastAsia"/>
        </w:rPr>
        <w:t>企业税务合规管理框架</w:t>
      </w:r>
      <w:bookmarkEnd w:id="104"/>
      <w:bookmarkEnd w:id="105"/>
    </w:p>
    <w:p w14:paraId="52C67A2B">
      <w:pPr>
        <w:pStyle w:val="62"/>
        <w:ind w:firstLine="420"/>
      </w:pPr>
      <w:r>
        <w:rPr>
          <w:rFonts w:hint="eastAsia"/>
        </w:rPr>
        <w:t>企业税务合规管理框架符合图A.1的形式，表现出一个连续的、循环的、动态的过程，贯穿于企业决策和经营管理的各个环节。</w:t>
      </w:r>
    </w:p>
    <w:p w14:paraId="2349AED8">
      <w:pPr>
        <w:pStyle w:val="62"/>
        <w:ind w:firstLine="420"/>
      </w:pPr>
      <w:r>
        <mc:AlternateContent>
          <mc:Choice Requires="wpg">
            <w:drawing>
              <wp:anchor distT="0" distB="0" distL="114300" distR="114300" simplePos="0" relativeHeight="251662336" behindDoc="0" locked="0" layoutInCell="1" allowOverlap="1">
                <wp:simplePos x="0" y="0"/>
                <wp:positionH relativeFrom="margin">
                  <wp:posOffset>743585</wp:posOffset>
                </wp:positionH>
                <wp:positionV relativeFrom="page">
                  <wp:posOffset>2739390</wp:posOffset>
                </wp:positionV>
                <wp:extent cx="4435475" cy="5146040"/>
                <wp:effectExtent l="0" t="38100" r="0" b="16510"/>
                <wp:wrapSquare wrapText="bothSides"/>
                <wp:docPr id="1972137197" name="页-1"/>
                <wp:cNvGraphicFramePr/>
                <a:graphic xmlns:a="http://schemas.openxmlformats.org/drawingml/2006/main">
                  <a:graphicData uri="http://schemas.microsoft.com/office/word/2010/wordprocessingGroup">
                    <wpg:wgp>
                      <wpg:cNvGrpSpPr/>
                      <wpg:grpSpPr>
                        <a:xfrm>
                          <a:off x="0" y="0"/>
                          <a:ext cx="4435993" cy="5146040"/>
                          <a:chOff x="1785000" y="87000"/>
                          <a:chExt cx="3012222" cy="3799803"/>
                        </a:xfrm>
                      </wpg:grpSpPr>
                      <wps:wsp>
                        <wps:cNvPr id="1172274440" name="跨页引用"/>
                        <wps:cNvSpPr/>
                        <wps:spPr>
                          <a:xfrm>
                            <a:off x="1785000" y="87000"/>
                            <a:ext cx="2955000" cy="444000"/>
                          </a:xfrm>
                          <a:custGeom>
                            <a:avLst/>
                            <a:gdLst>
                              <a:gd name="connsiteX0" fmla="*/ 0 w 2955000"/>
                              <a:gd name="connsiteY0" fmla="*/ 222000 h 444000"/>
                              <a:gd name="connsiteX1" fmla="*/ 1477500 w 2955000"/>
                              <a:gd name="connsiteY1" fmla="*/ 0 h 444000"/>
                              <a:gd name="connsiteX2" fmla="*/ 2955000 w 2955000"/>
                              <a:gd name="connsiteY2" fmla="*/ 222000 h 444000"/>
                              <a:gd name="connsiteX3" fmla="*/ 1477500 w 2955000"/>
                              <a:gd name="connsiteY3" fmla="*/ 444000 h 444000"/>
                            </a:gdLst>
                            <a:ahLst/>
                            <a:cxnLst>
                              <a:cxn ang="0">
                                <a:pos x="connsiteX0" y="connsiteY0"/>
                              </a:cxn>
                              <a:cxn ang="0">
                                <a:pos x="connsiteX1" y="connsiteY1"/>
                              </a:cxn>
                              <a:cxn ang="0">
                                <a:pos x="connsiteX2" y="connsiteY2"/>
                              </a:cxn>
                              <a:cxn ang="0">
                                <a:pos x="connsiteX3" y="connsiteY3"/>
                              </a:cxn>
                            </a:cxnLst>
                            <a:rect l="l" t="t" r="r" b="b"/>
                            <a:pathLst>
                              <a:path w="2955000" h="444000" stroke="0">
                                <a:moveTo>
                                  <a:pt x="2955000" y="222000"/>
                                </a:moveTo>
                                <a:lnTo>
                                  <a:pt x="2955000" y="0"/>
                                </a:lnTo>
                                <a:lnTo>
                                  <a:pt x="0" y="0"/>
                                </a:lnTo>
                                <a:lnTo>
                                  <a:pt x="0" y="222000"/>
                                </a:lnTo>
                                <a:lnTo>
                                  <a:pt x="1477500" y="444000"/>
                                </a:lnTo>
                                <a:lnTo>
                                  <a:pt x="2955000" y="222000"/>
                                </a:lnTo>
                                <a:close/>
                              </a:path>
                              <a:path w="2955000" h="444000" fill="none">
                                <a:moveTo>
                                  <a:pt x="2955000" y="222000"/>
                                </a:moveTo>
                                <a:lnTo>
                                  <a:pt x="2955000" y="0"/>
                                </a:lnTo>
                                <a:lnTo>
                                  <a:pt x="0" y="0"/>
                                </a:lnTo>
                                <a:lnTo>
                                  <a:pt x="0" y="222000"/>
                                </a:lnTo>
                                <a:lnTo>
                                  <a:pt x="1477500" y="444000"/>
                                </a:lnTo>
                                <a:lnTo>
                                  <a:pt x="2955000" y="222000"/>
                                </a:lnTo>
                                <a:close/>
                              </a:path>
                            </a:pathLst>
                          </a:custGeom>
                          <a:solidFill>
                            <a:srgbClr val="FFFFFF"/>
                          </a:solidFill>
                          <a:ln w="6000" cap="flat">
                            <a:solidFill>
                              <a:srgbClr val="101843"/>
                            </a:solidFill>
                          </a:ln>
                        </wps:spPr>
                        <wps:bodyPr/>
                      </wps:wsp>
                      <wps:wsp>
                        <wps:cNvPr id="174487676" name="特殊形状"/>
                        <wps:cNvSpPr/>
                        <wps:spPr>
                          <a:xfrm>
                            <a:off x="2393622" y="1076250"/>
                            <a:ext cx="1737750" cy="1737750"/>
                          </a:xfrm>
                          <a:custGeom>
                            <a:avLst/>
                            <a:gdLst>
                              <a:gd name="connsiteX0" fmla="*/ 0 w 1737750"/>
                              <a:gd name="connsiteY0" fmla="*/ 868875 h 1737750"/>
                              <a:gd name="connsiteX1" fmla="*/ 868875 w 1737750"/>
                              <a:gd name="connsiteY1" fmla="*/ 0 h 1737750"/>
                              <a:gd name="connsiteX2" fmla="*/ 1737750 w 1737750"/>
                              <a:gd name="connsiteY2" fmla="*/ 868875 h 1737750"/>
                              <a:gd name="connsiteX3" fmla="*/ 868875 w 1737750"/>
                              <a:gd name="connsiteY3" fmla="*/ 1737750 h 1737750"/>
                            </a:gdLst>
                            <a:ahLst/>
                            <a:cxnLst>
                              <a:cxn ang="0">
                                <a:pos x="connsiteX0" y="connsiteY0"/>
                              </a:cxn>
                              <a:cxn ang="0">
                                <a:pos x="connsiteX1" y="connsiteY1"/>
                              </a:cxn>
                              <a:cxn ang="0">
                                <a:pos x="connsiteX2" y="connsiteY2"/>
                              </a:cxn>
                              <a:cxn ang="0">
                                <a:pos x="connsiteX3" y="connsiteY3"/>
                              </a:cxn>
                            </a:cxnLst>
                            <a:rect l="l" t="t" r="r" b="b"/>
                            <a:pathLst>
                              <a:path w="1737750" h="1737750" stroke="0">
                                <a:moveTo>
                                  <a:pt x="829734" y="1737750"/>
                                </a:moveTo>
                                <a:lnTo>
                                  <a:pt x="789726" y="1737750"/>
                                </a:lnTo>
                                <a:cubicBezTo>
                                  <a:pt x="750300" y="1737750"/>
                                  <a:pt x="680142" y="1721496"/>
                                  <a:pt x="579250" y="1688994"/>
                                </a:cubicBezTo>
                                <a:cubicBezTo>
                                  <a:pt x="510831" y="1666938"/>
                                  <a:pt x="434872" y="1626894"/>
                                  <a:pt x="351377" y="1568850"/>
                                </a:cubicBezTo>
                                <a:cubicBezTo>
                                  <a:pt x="263243" y="1505004"/>
                                  <a:pt x="191344" y="1429554"/>
                                  <a:pt x="135680" y="1342488"/>
                                </a:cubicBezTo>
                                <a:cubicBezTo>
                                  <a:pt x="102050" y="1289094"/>
                                  <a:pt x="71899" y="1224084"/>
                                  <a:pt x="45227" y="1147470"/>
                                </a:cubicBezTo>
                                <a:cubicBezTo>
                                  <a:pt x="15076" y="1061568"/>
                                  <a:pt x="0" y="989022"/>
                                  <a:pt x="0" y="929820"/>
                                </a:cubicBezTo>
                                <a:lnTo>
                                  <a:pt x="0" y="903702"/>
                                </a:lnTo>
                                <a:lnTo>
                                  <a:pt x="556636" y="903702"/>
                                </a:lnTo>
                                <a:lnTo>
                                  <a:pt x="829734" y="1180554"/>
                                </a:lnTo>
                                <a:lnTo>
                                  <a:pt x="829734" y="1737750"/>
                                </a:lnTo>
                                <a:close/>
                              </a:path>
                              <a:path w="1737750" h="1737750" stroke="0">
                                <a:moveTo>
                                  <a:pt x="829734" y="561248"/>
                                </a:moveTo>
                                <a:lnTo>
                                  <a:pt x="560115" y="832308"/>
                                </a:lnTo>
                                <a:lnTo>
                                  <a:pt x="0" y="832308"/>
                                </a:lnTo>
                                <a:lnTo>
                                  <a:pt x="0" y="806244"/>
                                </a:lnTo>
                                <a:cubicBezTo>
                                  <a:pt x="0" y="805086"/>
                                  <a:pt x="8987" y="754404"/>
                                  <a:pt x="26962" y="654198"/>
                                </a:cubicBezTo>
                                <a:cubicBezTo>
                                  <a:pt x="44937" y="553998"/>
                                  <a:pt x="99731" y="447134"/>
                                  <a:pt x="191344" y="333610"/>
                                </a:cubicBezTo>
                                <a:cubicBezTo>
                                  <a:pt x="286435" y="214300"/>
                                  <a:pt x="387327" y="132052"/>
                                  <a:pt x="494015" y="86871"/>
                                </a:cubicBezTo>
                                <a:cubicBezTo>
                                  <a:pt x="562435" y="57923"/>
                                  <a:pt x="606504" y="41127"/>
                                  <a:pt x="626214" y="36484"/>
                                </a:cubicBezTo>
                                <a:cubicBezTo>
                                  <a:pt x="652890" y="30698"/>
                                  <a:pt x="678978" y="24332"/>
                                  <a:pt x="704490" y="17385"/>
                                </a:cubicBezTo>
                                <a:cubicBezTo>
                                  <a:pt x="754362" y="5795"/>
                                  <a:pt x="789726" y="0"/>
                                  <a:pt x="810600" y="0"/>
                                </a:cubicBezTo>
                                <a:lnTo>
                                  <a:pt x="829734" y="0"/>
                                </a:lnTo>
                                <a:lnTo>
                                  <a:pt x="829734" y="561248"/>
                                </a:lnTo>
                                <a:close/>
                              </a:path>
                              <a:path w="1737750" h="1737750" stroke="0">
                                <a:moveTo>
                                  <a:pt x="1737750" y="915888"/>
                                </a:moveTo>
                                <a:cubicBezTo>
                                  <a:pt x="1737750" y="979734"/>
                                  <a:pt x="1723254" y="1055766"/>
                                  <a:pt x="1694262" y="1143990"/>
                                </a:cubicBezTo>
                                <a:cubicBezTo>
                                  <a:pt x="1635120" y="1313472"/>
                                  <a:pt x="1534812" y="1453926"/>
                                  <a:pt x="1393332" y="1565370"/>
                                </a:cubicBezTo>
                                <a:cubicBezTo>
                                  <a:pt x="1342308" y="1605996"/>
                                  <a:pt x="1272726" y="1645464"/>
                                  <a:pt x="1184592" y="1683774"/>
                                </a:cubicBezTo>
                                <a:cubicBezTo>
                                  <a:pt x="1167198" y="1690734"/>
                                  <a:pt x="1131828" y="1700604"/>
                                  <a:pt x="1078482" y="1713372"/>
                                </a:cubicBezTo>
                                <a:cubicBezTo>
                                  <a:pt x="1015860" y="1729626"/>
                                  <a:pt x="970056" y="1737750"/>
                                  <a:pt x="941064" y="1737750"/>
                                </a:cubicBezTo>
                                <a:lnTo>
                                  <a:pt x="901056" y="1737750"/>
                                </a:lnTo>
                                <a:lnTo>
                                  <a:pt x="901056" y="1184040"/>
                                </a:lnTo>
                                <a:lnTo>
                                  <a:pt x="1182852" y="903702"/>
                                </a:lnTo>
                                <a:lnTo>
                                  <a:pt x="1737750" y="903702"/>
                                </a:lnTo>
                                <a:lnTo>
                                  <a:pt x="1737750" y="915888"/>
                                </a:lnTo>
                                <a:close/>
                              </a:path>
                              <a:path w="1737750" h="1737750" stroke="0">
                                <a:moveTo>
                                  <a:pt x="1737750" y="832308"/>
                                </a:moveTo>
                                <a:lnTo>
                                  <a:pt x="1175898" y="832308"/>
                                </a:lnTo>
                                <a:lnTo>
                                  <a:pt x="901056" y="554881"/>
                                </a:lnTo>
                                <a:lnTo>
                                  <a:pt x="901056" y="0"/>
                                </a:lnTo>
                                <a:lnTo>
                                  <a:pt x="920190" y="0"/>
                                </a:lnTo>
                                <a:cubicBezTo>
                                  <a:pt x="990930" y="0"/>
                                  <a:pt x="1079064" y="19652"/>
                                  <a:pt x="1184592" y="58957"/>
                                </a:cubicBezTo>
                                <a:cubicBezTo>
                                  <a:pt x="1200828" y="67046"/>
                                  <a:pt x="1225758" y="79181"/>
                                  <a:pt x="1259388" y="95360"/>
                                </a:cubicBezTo>
                                <a:cubicBezTo>
                                  <a:pt x="1370718" y="141611"/>
                                  <a:pt x="1472766" y="229472"/>
                                  <a:pt x="1565538" y="358939"/>
                                </a:cubicBezTo>
                                <a:cubicBezTo>
                                  <a:pt x="1649034" y="474531"/>
                                  <a:pt x="1700064" y="585507"/>
                                  <a:pt x="1718616" y="691866"/>
                                </a:cubicBezTo>
                                <a:cubicBezTo>
                                  <a:pt x="1729050" y="750816"/>
                                  <a:pt x="1735428" y="797628"/>
                                  <a:pt x="1737750" y="832308"/>
                                </a:cubicBezTo>
                                <a:close/>
                              </a:path>
                              <a:path w="1737750" h="1737750" fill="none">
                                <a:moveTo>
                                  <a:pt x="829734" y="1737750"/>
                                </a:moveTo>
                                <a:lnTo>
                                  <a:pt x="789726" y="1737750"/>
                                </a:lnTo>
                                <a:cubicBezTo>
                                  <a:pt x="750300" y="1737750"/>
                                  <a:pt x="680142" y="1721496"/>
                                  <a:pt x="579250" y="1688994"/>
                                </a:cubicBezTo>
                                <a:cubicBezTo>
                                  <a:pt x="510831" y="1666938"/>
                                  <a:pt x="434872" y="1626894"/>
                                  <a:pt x="351377" y="1568850"/>
                                </a:cubicBezTo>
                                <a:cubicBezTo>
                                  <a:pt x="263243" y="1505004"/>
                                  <a:pt x="191344" y="1429554"/>
                                  <a:pt x="135680" y="1342488"/>
                                </a:cubicBezTo>
                                <a:cubicBezTo>
                                  <a:pt x="102050" y="1289094"/>
                                  <a:pt x="71899" y="1224084"/>
                                  <a:pt x="45227" y="1147470"/>
                                </a:cubicBezTo>
                                <a:cubicBezTo>
                                  <a:pt x="15076" y="1061568"/>
                                  <a:pt x="0" y="989022"/>
                                  <a:pt x="0" y="929820"/>
                                </a:cubicBezTo>
                                <a:lnTo>
                                  <a:pt x="0" y="903702"/>
                                </a:lnTo>
                                <a:lnTo>
                                  <a:pt x="556636" y="903702"/>
                                </a:lnTo>
                                <a:lnTo>
                                  <a:pt x="829734" y="1180554"/>
                                </a:lnTo>
                                <a:lnTo>
                                  <a:pt x="829734" y="1737750"/>
                                </a:lnTo>
                                <a:close/>
                              </a:path>
                              <a:path w="1737750" h="1737750" fill="none">
                                <a:moveTo>
                                  <a:pt x="829734" y="561248"/>
                                </a:moveTo>
                                <a:lnTo>
                                  <a:pt x="560115" y="832308"/>
                                </a:lnTo>
                                <a:lnTo>
                                  <a:pt x="0" y="832308"/>
                                </a:lnTo>
                                <a:lnTo>
                                  <a:pt x="0" y="806244"/>
                                </a:lnTo>
                                <a:cubicBezTo>
                                  <a:pt x="0" y="805086"/>
                                  <a:pt x="8987" y="754404"/>
                                  <a:pt x="26962" y="654198"/>
                                </a:cubicBezTo>
                                <a:cubicBezTo>
                                  <a:pt x="44937" y="553998"/>
                                  <a:pt x="99731" y="447134"/>
                                  <a:pt x="191344" y="333610"/>
                                </a:cubicBezTo>
                                <a:cubicBezTo>
                                  <a:pt x="286435" y="214300"/>
                                  <a:pt x="387327" y="132052"/>
                                  <a:pt x="494015" y="86871"/>
                                </a:cubicBezTo>
                                <a:cubicBezTo>
                                  <a:pt x="562435" y="57923"/>
                                  <a:pt x="606504" y="41127"/>
                                  <a:pt x="626214" y="36484"/>
                                </a:cubicBezTo>
                                <a:cubicBezTo>
                                  <a:pt x="652890" y="30698"/>
                                  <a:pt x="678978" y="24332"/>
                                  <a:pt x="704490" y="17385"/>
                                </a:cubicBezTo>
                                <a:cubicBezTo>
                                  <a:pt x="754362" y="5795"/>
                                  <a:pt x="789726" y="0"/>
                                  <a:pt x="810600" y="0"/>
                                </a:cubicBezTo>
                                <a:lnTo>
                                  <a:pt x="829734" y="0"/>
                                </a:lnTo>
                                <a:lnTo>
                                  <a:pt x="829734" y="561248"/>
                                </a:lnTo>
                                <a:close/>
                              </a:path>
                              <a:path w="1737750" h="1737750" fill="none">
                                <a:moveTo>
                                  <a:pt x="1737750" y="915888"/>
                                </a:moveTo>
                                <a:cubicBezTo>
                                  <a:pt x="1737750" y="979734"/>
                                  <a:pt x="1723254" y="1055766"/>
                                  <a:pt x="1694262" y="1143990"/>
                                </a:cubicBezTo>
                                <a:cubicBezTo>
                                  <a:pt x="1635120" y="1313472"/>
                                  <a:pt x="1534812" y="1453926"/>
                                  <a:pt x="1393332" y="1565370"/>
                                </a:cubicBezTo>
                                <a:cubicBezTo>
                                  <a:pt x="1342308" y="1605996"/>
                                  <a:pt x="1272726" y="1645464"/>
                                  <a:pt x="1184592" y="1683774"/>
                                </a:cubicBezTo>
                                <a:cubicBezTo>
                                  <a:pt x="1167198" y="1690734"/>
                                  <a:pt x="1131828" y="1700604"/>
                                  <a:pt x="1078482" y="1713372"/>
                                </a:cubicBezTo>
                                <a:cubicBezTo>
                                  <a:pt x="1015860" y="1729626"/>
                                  <a:pt x="970056" y="1737750"/>
                                  <a:pt x="941064" y="1737750"/>
                                </a:cubicBezTo>
                                <a:lnTo>
                                  <a:pt x="901056" y="1737750"/>
                                </a:lnTo>
                                <a:lnTo>
                                  <a:pt x="901056" y="1184040"/>
                                </a:lnTo>
                                <a:lnTo>
                                  <a:pt x="1182852" y="903702"/>
                                </a:lnTo>
                                <a:lnTo>
                                  <a:pt x="1737750" y="903702"/>
                                </a:lnTo>
                                <a:lnTo>
                                  <a:pt x="1737750" y="915888"/>
                                </a:lnTo>
                                <a:close/>
                              </a:path>
                              <a:path w="1737750" h="1737750" fill="none">
                                <a:moveTo>
                                  <a:pt x="1737750" y="832308"/>
                                </a:moveTo>
                                <a:lnTo>
                                  <a:pt x="1175898" y="832308"/>
                                </a:lnTo>
                                <a:lnTo>
                                  <a:pt x="901056" y="554881"/>
                                </a:lnTo>
                                <a:lnTo>
                                  <a:pt x="901056" y="0"/>
                                </a:lnTo>
                                <a:lnTo>
                                  <a:pt x="920190" y="0"/>
                                </a:lnTo>
                                <a:cubicBezTo>
                                  <a:pt x="990930" y="0"/>
                                  <a:pt x="1079064" y="19652"/>
                                  <a:pt x="1184592" y="58957"/>
                                </a:cubicBezTo>
                                <a:cubicBezTo>
                                  <a:pt x="1200828" y="67046"/>
                                  <a:pt x="1225758" y="79181"/>
                                  <a:pt x="1259388" y="95360"/>
                                </a:cubicBezTo>
                                <a:cubicBezTo>
                                  <a:pt x="1370718" y="141611"/>
                                  <a:pt x="1472766" y="229472"/>
                                  <a:pt x="1565538" y="358939"/>
                                </a:cubicBezTo>
                                <a:cubicBezTo>
                                  <a:pt x="1649034" y="474531"/>
                                  <a:pt x="1700064" y="585507"/>
                                  <a:pt x="1718616" y="691866"/>
                                </a:cubicBezTo>
                                <a:cubicBezTo>
                                  <a:pt x="1729050" y="750816"/>
                                  <a:pt x="1735428" y="797628"/>
                                  <a:pt x="1737750" y="832308"/>
                                </a:cubicBezTo>
                                <a:close/>
                              </a:path>
                            </a:pathLst>
                          </a:custGeom>
                          <a:solidFill>
                            <a:srgbClr val="FFFFFF"/>
                          </a:solidFill>
                          <a:ln w="6000" cap="flat">
                            <a:solidFill>
                              <a:srgbClr val="101843"/>
                            </a:solidFill>
                          </a:ln>
                        </wps:spPr>
                        <wps:bodyPr/>
                      </wps:wsp>
                      <wpg:grpSp>
                        <wpg:cNvPr id="1148996234" name="Group 2"/>
                        <wpg:cNvGrpSpPr/>
                        <wpg:grpSpPr>
                          <a:xfrm>
                            <a:off x="2985499" y="1849349"/>
                            <a:ext cx="554003" cy="249301"/>
                            <a:chOff x="2985499" y="1849349"/>
                            <a:chExt cx="554003" cy="249301"/>
                          </a:xfrm>
                        </wpg:grpSpPr>
                        <wps:wsp>
                          <wps:cNvPr id="1033427754" name="Rectangle"/>
                          <wps:cNvSpPr/>
                          <wps:spPr>
                            <a:xfrm>
                              <a:off x="2985499" y="1849349"/>
                              <a:ext cx="554003" cy="249301"/>
                            </a:xfrm>
                            <a:custGeom>
                              <a:avLst/>
                              <a:gdLst/>
                              <a:ahLst/>
                              <a:cxnLst/>
                              <a:rect l="l" t="t" r="r" b="b"/>
                              <a:pathLst>
                                <a:path w="554003" h="249301" stroke="0">
                                  <a:moveTo>
                                    <a:pt x="0" y="0"/>
                                  </a:moveTo>
                                  <a:lnTo>
                                    <a:pt x="554003" y="0"/>
                                  </a:lnTo>
                                  <a:lnTo>
                                    <a:pt x="554003" y="249301"/>
                                  </a:lnTo>
                                  <a:lnTo>
                                    <a:pt x="0" y="249301"/>
                                  </a:lnTo>
                                  <a:lnTo>
                                    <a:pt x="0" y="0"/>
                                  </a:lnTo>
                                  <a:close/>
                                </a:path>
                                <a:path w="554003" h="249301" fill="none">
                                  <a:moveTo>
                                    <a:pt x="0" y="0"/>
                                  </a:moveTo>
                                  <a:lnTo>
                                    <a:pt x="554003" y="0"/>
                                  </a:lnTo>
                                  <a:lnTo>
                                    <a:pt x="554003" y="249301"/>
                                  </a:lnTo>
                                  <a:lnTo>
                                    <a:pt x="0" y="249301"/>
                                  </a:lnTo>
                                  <a:lnTo>
                                    <a:pt x="0" y="0"/>
                                  </a:lnTo>
                                  <a:close/>
                                </a:path>
                              </a:pathLst>
                            </a:custGeom>
                            <a:noFill/>
                            <a:ln w="6000" cap="flat">
                              <a:noFill/>
                            </a:ln>
                          </wps:spPr>
                          <wps:bodyPr/>
                        </wps:wsp>
                        <wps:wsp>
                          <wps:cNvPr id="1342462255" name="Text 3"/>
                          <wps:cNvSpPr txBox="1"/>
                          <wps:spPr>
                            <a:xfrm>
                              <a:off x="2985499" y="1812000"/>
                              <a:ext cx="554003" cy="324000"/>
                            </a:xfrm>
                            <a:prstGeom prst="rect">
                              <a:avLst/>
                            </a:prstGeom>
                            <a:noFill/>
                          </wps:spPr>
                          <wps:txbx>
                            <w:txbxContent>
                              <w:p w14:paraId="4C75697E">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企业税务合规管理规范</w:t>
                                </w:r>
                              </w:p>
                            </w:txbxContent>
                          </wps:txbx>
                          <wps:bodyPr wrap="square" lIns="22860" tIns="22860" rIns="22860" bIns="22860" rtlCol="0" anchor="ctr"/>
                        </wps:wsp>
                      </wpg:grpSp>
                      <wpg:grpSp>
                        <wpg:cNvPr id="1613260966" name="Group 4"/>
                        <wpg:cNvGrpSpPr/>
                        <wpg:grpSpPr>
                          <a:xfrm>
                            <a:off x="2623387" y="2094601"/>
                            <a:ext cx="551421" cy="335399"/>
                            <a:chOff x="2623387" y="2094601"/>
                            <a:chExt cx="551421" cy="335399"/>
                          </a:xfrm>
                        </wpg:grpSpPr>
                        <wps:wsp>
                          <wps:cNvPr id="192958135" name="Rectangle"/>
                          <wps:cNvSpPr/>
                          <wps:spPr>
                            <a:xfrm>
                              <a:off x="2623387" y="2094601"/>
                              <a:ext cx="551421" cy="335399"/>
                            </a:xfrm>
                            <a:custGeom>
                              <a:avLst/>
                              <a:gdLst/>
                              <a:ahLst/>
                              <a:cxnLst/>
                              <a:rect l="l" t="t" r="r" b="b"/>
                              <a:pathLst>
                                <a:path w="551421" h="335399" stroke="0">
                                  <a:moveTo>
                                    <a:pt x="0" y="0"/>
                                  </a:moveTo>
                                  <a:lnTo>
                                    <a:pt x="551421" y="0"/>
                                  </a:lnTo>
                                  <a:lnTo>
                                    <a:pt x="551421" y="335399"/>
                                  </a:lnTo>
                                  <a:lnTo>
                                    <a:pt x="0" y="335399"/>
                                  </a:lnTo>
                                  <a:lnTo>
                                    <a:pt x="0" y="0"/>
                                  </a:lnTo>
                                  <a:close/>
                                </a:path>
                                <a:path w="551421" h="335399" fill="none">
                                  <a:moveTo>
                                    <a:pt x="0" y="0"/>
                                  </a:moveTo>
                                  <a:lnTo>
                                    <a:pt x="551421" y="0"/>
                                  </a:lnTo>
                                  <a:lnTo>
                                    <a:pt x="551421" y="335399"/>
                                  </a:lnTo>
                                  <a:lnTo>
                                    <a:pt x="0" y="335399"/>
                                  </a:lnTo>
                                  <a:lnTo>
                                    <a:pt x="0" y="0"/>
                                  </a:lnTo>
                                  <a:close/>
                                </a:path>
                              </a:pathLst>
                            </a:custGeom>
                            <a:noFill/>
                            <a:ln w="6000" cap="flat">
                              <a:noFill/>
                            </a:ln>
                          </wps:spPr>
                          <wps:bodyPr/>
                        </wps:wsp>
                        <wps:wsp>
                          <wps:cNvPr id="1573556255" name="Text 5"/>
                          <wps:cNvSpPr txBox="1"/>
                          <wps:spPr>
                            <a:xfrm>
                              <a:off x="2623387" y="2094601"/>
                              <a:ext cx="551421" cy="335399"/>
                            </a:xfrm>
                            <a:prstGeom prst="rect">
                              <a:avLst/>
                            </a:prstGeom>
                            <a:noFill/>
                          </wps:spPr>
                          <wps:txbx>
                            <w:txbxContent>
                              <w:p w14:paraId="3ADF44AA">
                                <w:pPr>
                                  <w:snapToGrid w:val="0"/>
                                  <w:spacing w:line="240" w:lineRule="auto"/>
                                  <w:jc w:val="left"/>
                                  <w:rPr>
                                    <w:rFonts w:hint="eastAsia" w:ascii="黑体" w:hAnsi="黑体" w:eastAsia="黑体"/>
                                    <w:bCs/>
                                    <w:color w:val="191919"/>
                                    <w:sz w:val="18"/>
                                    <w:szCs w:val="18"/>
                                  </w:rPr>
                                </w:pPr>
                                <w:r>
                                  <w:rPr>
                                    <w:rFonts w:hint="eastAsia" w:ascii="黑体" w:hAnsi="黑体" w:eastAsia="黑体"/>
                                    <w:bCs/>
                                    <w:color w:val="191919"/>
                                    <w:sz w:val="18"/>
                                    <w:szCs w:val="18"/>
                                  </w:rPr>
                                  <w:t>税务高风险事项合规管理</w:t>
                                </w:r>
                              </w:p>
                            </w:txbxContent>
                          </wps:txbx>
                          <wps:bodyPr wrap="square" lIns="22860" tIns="22860" rIns="22860" bIns="22860" rtlCol="0" anchor="ctr"/>
                        </wps:wsp>
                      </wpg:grpSp>
                      <wpg:grpSp>
                        <wpg:cNvPr id="1631859330" name="Group 6"/>
                        <wpg:cNvGrpSpPr/>
                        <wpg:grpSpPr>
                          <a:xfrm>
                            <a:off x="3416154" y="1279349"/>
                            <a:ext cx="408000" cy="249301"/>
                            <a:chOff x="3416154" y="1279349"/>
                            <a:chExt cx="408000" cy="249301"/>
                          </a:xfrm>
                        </wpg:grpSpPr>
                        <wps:wsp>
                          <wps:cNvPr id="955275362" name="Rectangle"/>
                          <wps:cNvSpPr/>
                          <wps:spPr>
                            <a:xfrm>
                              <a:off x="3416154" y="1279349"/>
                              <a:ext cx="408000" cy="249301"/>
                            </a:xfrm>
                            <a:custGeom>
                              <a:avLst/>
                              <a:gdLst/>
                              <a:ahLst/>
                              <a:cxnLst/>
                              <a:rect l="l" t="t" r="r" b="b"/>
                              <a:pathLst>
                                <a:path w="408000" h="249301" stroke="0">
                                  <a:moveTo>
                                    <a:pt x="0" y="0"/>
                                  </a:moveTo>
                                  <a:lnTo>
                                    <a:pt x="408000" y="0"/>
                                  </a:lnTo>
                                  <a:lnTo>
                                    <a:pt x="408000" y="249301"/>
                                  </a:lnTo>
                                  <a:lnTo>
                                    <a:pt x="0" y="249301"/>
                                  </a:lnTo>
                                  <a:lnTo>
                                    <a:pt x="0" y="0"/>
                                  </a:lnTo>
                                  <a:close/>
                                </a:path>
                                <a:path w="408000" h="249301" fill="none">
                                  <a:moveTo>
                                    <a:pt x="0" y="0"/>
                                  </a:moveTo>
                                  <a:lnTo>
                                    <a:pt x="408000" y="0"/>
                                  </a:lnTo>
                                  <a:lnTo>
                                    <a:pt x="408000" y="249301"/>
                                  </a:lnTo>
                                  <a:lnTo>
                                    <a:pt x="0" y="249301"/>
                                  </a:lnTo>
                                  <a:lnTo>
                                    <a:pt x="0" y="0"/>
                                  </a:lnTo>
                                  <a:close/>
                                </a:path>
                              </a:pathLst>
                            </a:custGeom>
                            <a:noFill/>
                            <a:ln w="6000" cap="flat">
                              <a:noFill/>
                            </a:ln>
                          </wps:spPr>
                          <wps:bodyPr/>
                        </wps:wsp>
                        <wps:wsp>
                          <wps:cNvPr id="1169364303" name="Text 7"/>
                          <wps:cNvSpPr txBox="1"/>
                          <wps:spPr>
                            <a:xfrm>
                              <a:off x="3416154" y="1242000"/>
                              <a:ext cx="408000" cy="324000"/>
                            </a:xfrm>
                            <a:prstGeom prst="rect">
                              <a:avLst/>
                            </a:prstGeom>
                            <a:noFill/>
                          </wps:spPr>
                          <wps:txbx>
                            <w:txbxContent>
                              <w:p w14:paraId="6F13D618">
                                <w:pPr>
                                  <w:snapToGrid w:val="0"/>
                                  <w:spacing w:line="240" w:lineRule="auto"/>
                                  <w:jc w:val="left"/>
                                  <w:rPr>
                                    <w:rFonts w:hint="eastAsia" w:ascii="黑体" w:hAnsi="黑体" w:eastAsia="黑体"/>
                                    <w:bCs/>
                                    <w:color w:val="191919"/>
                                    <w:sz w:val="18"/>
                                    <w:szCs w:val="18"/>
                                  </w:rPr>
                                </w:pPr>
                                <w:r>
                                  <w:rPr>
                                    <w:rFonts w:hint="eastAsia" w:ascii="黑体" w:hAnsi="黑体" w:eastAsia="黑体"/>
                                    <w:bCs/>
                                    <w:color w:val="191919"/>
                                    <w:sz w:val="18"/>
                                    <w:szCs w:val="18"/>
                                  </w:rPr>
                                  <w:t>税务合规日常管理</w:t>
                                </w:r>
                              </w:p>
                            </w:txbxContent>
                          </wps:txbx>
                          <wps:bodyPr wrap="square" lIns="22860" tIns="22860" rIns="22860" bIns="22860" rtlCol="0" anchor="ctr"/>
                        </wps:wsp>
                      </wpg:grpSp>
                      <wpg:grpSp>
                        <wpg:cNvPr id="890658534" name="Group 8"/>
                        <wpg:cNvGrpSpPr/>
                        <wpg:grpSpPr>
                          <a:xfrm>
                            <a:off x="2623387" y="1236301"/>
                            <a:ext cx="563998" cy="335399"/>
                            <a:chOff x="2623387" y="1236301"/>
                            <a:chExt cx="563998" cy="335399"/>
                          </a:xfrm>
                        </wpg:grpSpPr>
                        <wps:wsp>
                          <wps:cNvPr id="1608614349" name="Rectangle"/>
                          <wps:cNvSpPr/>
                          <wps:spPr>
                            <a:xfrm>
                              <a:off x="2623387" y="1236301"/>
                              <a:ext cx="563998" cy="335399"/>
                            </a:xfrm>
                            <a:custGeom>
                              <a:avLst/>
                              <a:gdLst/>
                              <a:ahLst/>
                              <a:cxnLst/>
                              <a:rect l="l" t="t" r="r" b="b"/>
                              <a:pathLst>
                                <a:path w="563998" h="335399" stroke="0">
                                  <a:moveTo>
                                    <a:pt x="0" y="0"/>
                                  </a:moveTo>
                                  <a:lnTo>
                                    <a:pt x="563998" y="0"/>
                                  </a:lnTo>
                                  <a:lnTo>
                                    <a:pt x="563998" y="335399"/>
                                  </a:lnTo>
                                  <a:lnTo>
                                    <a:pt x="0" y="335399"/>
                                  </a:lnTo>
                                  <a:lnTo>
                                    <a:pt x="0" y="0"/>
                                  </a:lnTo>
                                  <a:close/>
                                </a:path>
                                <a:path w="563998" h="335399" fill="none">
                                  <a:moveTo>
                                    <a:pt x="0" y="0"/>
                                  </a:moveTo>
                                  <a:lnTo>
                                    <a:pt x="563998" y="0"/>
                                  </a:lnTo>
                                  <a:lnTo>
                                    <a:pt x="563998" y="335399"/>
                                  </a:lnTo>
                                  <a:lnTo>
                                    <a:pt x="0" y="335399"/>
                                  </a:lnTo>
                                  <a:lnTo>
                                    <a:pt x="0" y="0"/>
                                  </a:lnTo>
                                  <a:close/>
                                </a:path>
                              </a:pathLst>
                            </a:custGeom>
                            <a:noFill/>
                            <a:ln w="6000" cap="flat">
                              <a:noFill/>
                            </a:ln>
                          </wps:spPr>
                          <wps:bodyPr/>
                        </wps:wsp>
                        <wps:wsp>
                          <wps:cNvPr id="926795020" name="Text 9"/>
                          <wps:cNvSpPr txBox="1"/>
                          <wps:spPr>
                            <a:xfrm>
                              <a:off x="2623387" y="1236301"/>
                              <a:ext cx="563998" cy="336000"/>
                            </a:xfrm>
                            <a:prstGeom prst="rect">
                              <a:avLst/>
                            </a:prstGeom>
                            <a:noFill/>
                          </wps:spPr>
                          <wps:txbx>
                            <w:txbxContent>
                              <w:p w14:paraId="68EBB500">
                                <w:pPr>
                                  <w:snapToGrid w:val="0"/>
                                  <w:spacing w:line="240" w:lineRule="auto"/>
                                  <w:jc w:val="center"/>
                                  <w:rPr>
                                    <w:rFonts w:hint="eastAsia" w:ascii="宋体" w:hAnsi="宋体"/>
                                    <w:color w:val="000000"/>
                                    <w:sz w:val="15"/>
                                    <w:szCs w:val="15"/>
                                  </w:rPr>
                                </w:pPr>
                                <w:r>
                                  <w:rPr>
                                    <w:rFonts w:hint="eastAsia" w:ascii="黑体" w:hAnsi="黑体" w:eastAsia="黑体"/>
                                    <w:bCs/>
                                    <w:color w:val="191919"/>
                                    <w:sz w:val="18"/>
                                    <w:szCs w:val="18"/>
                                  </w:rPr>
                                  <w:t>运营活动的税务合规管理</w:t>
                                </w:r>
                              </w:p>
                            </w:txbxContent>
                          </wps:txbx>
                          <wps:bodyPr wrap="square" lIns="22860" tIns="22860" rIns="22860" bIns="22860" rtlCol="0" anchor="ctr"/>
                        </wps:wsp>
                      </wpg:grpSp>
                      <wpg:grpSp>
                        <wpg:cNvPr id="245846924" name="Group 10"/>
                        <wpg:cNvGrpSpPr/>
                        <wpg:grpSpPr>
                          <a:xfrm>
                            <a:off x="3416150" y="2089498"/>
                            <a:ext cx="528691" cy="334802"/>
                            <a:chOff x="3416150" y="2089498"/>
                            <a:chExt cx="528691" cy="334802"/>
                          </a:xfrm>
                        </wpg:grpSpPr>
                        <wps:wsp>
                          <wps:cNvPr id="171297386" name="Rectangle"/>
                          <wps:cNvSpPr/>
                          <wps:spPr>
                            <a:xfrm>
                              <a:off x="3416150" y="2100300"/>
                              <a:ext cx="528691" cy="324000"/>
                            </a:xfrm>
                            <a:custGeom>
                              <a:avLst/>
                              <a:gdLst/>
                              <a:ahLst/>
                              <a:cxnLst/>
                              <a:rect l="l" t="t" r="r" b="b"/>
                              <a:pathLst>
                                <a:path w="528691" h="324000" stroke="0">
                                  <a:moveTo>
                                    <a:pt x="0" y="0"/>
                                  </a:moveTo>
                                  <a:lnTo>
                                    <a:pt x="528691" y="0"/>
                                  </a:lnTo>
                                  <a:lnTo>
                                    <a:pt x="528691" y="324000"/>
                                  </a:lnTo>
                                  <a:lnTo>
                                    <a:pt x="0" y="324000"/>
                                  </a:lnTo>
                                  <a:lnTo>
                                    <a:pt x="0" y="0"/>
                                  </a:lnTo>
                                  <a:close/>
                                </a:path>
                                <a:path w="528691" h="324000" fill="none">
                                  <a:moveTo>
                                    <a:pt x="0" y="0"/>
                                  </a:moveTo>
                                  <a:lnTo>
                                    <a:pt x="528691" y="0"/>
                                  </a:lnTo>
                                  <a:lnTo>
                                    <a:pt x="528691" y="324000"/>
                                  </a:lnTo>
                                  <a:lnTo>
                                    <a:pt x="0" y="324000"/>
                                  </a:lnTo>
                                  <a:lnTo>
                                    <a:pt x="0" y="0"/>
                                  </a:lnTo>
                                  <a:close/>
                                </a:path>
                              </a:pathLst>
                            </a:custGeom>
                            <a:noFill/>
                            <a:ln w="6000" cap="flat">
                              <a:noFill/>
                            </a:ln>
                          </wps:spPr>
                          <wps:bodyPr/>
                        </wps:wsp>
                        <wps:wsp>
                          <wps:cNvPr id="160376062" name="Text 11"/>
                          <wps:cNvSpPr txBox="1"/>
                          <wps:spPr>
                            <a:xfrm>
                              <a:off x="3416150" y="2089498"/>
                              <a:ext cx="528691" cy="324000"/>
                            </a:xfrm>
                            <a:prstGeom prst="rect">
                              <a:avLst/>
                            </a:prstGeom>
                            <a:noFill/>
                          </wps:spPr>
                          <wps:txbx>
                            <w:txbxContent>
                              <w:p w14:paraId="48699426">
                                <w:pPr>
                                  <w:snapToGrid w:val="0"/>
                                  <w:spacing w:line="240" w:lineRule="auto"/>
                                  <w:jc w:val="left"/>
                                  <w:rPr>
                                    <w:rFonts w:hint="eastAsia" w:ascii="黑体" w:hAnsi="黑体" w:eastAsia="黑体"/>
                                    <w:bCs/>
                                    <w:color w:val="191919"/>
                                    <w:sz w:val="18"/>
                                    <w:szCs w:val="18"/>
                                  </w:rPr>
                                </w:pPr>
                                <w:r>
                                  <w:rPr>
                                    <w:rFonts w:hint="eastAsia" w:ascii="黑体" w:hAnsi="黑体" w:eastAsia="黑体"/>
                                    <w:bCs/>
                                    <w:color w:val="191919"/>
                                    <w:sz w:val="18"/>
                                    <w:szCs w:val="18"/>
                                  </w:rPr>
                                  <w:t>税务合规管理数字化</w:t>
                                </w:r>
                              </w:p>
                            </w:txbxContent>
                          </wps:txbx>
                          <wps:bodyPr wrap="square" lIns="22860" tIns="22860" rIns="22860" bIns="22860" rtlCol="0" anchor="ctr"/>
                        </wps:wsp>
                      </wpg:grpSp>
                      <wpg:grpSp>
                        <wpg:cNvPr id="1156573295" name="Group 12"/>
                        <wpg:cNvGrpSpPr/>
                        <wpg:grpSpPr>
                          <a:xfrm>
                            <a:off x="3355808" y="1569744"/>
                            <a:ext cx="742409" cy="264000"/>
                            <a:chOff x="3355808" y="1569744"/>
                            <a:chExt cx="742409" cy="264000"/>
                          </a:xfrm>
                        </wpg:grpSpPr>
                        <wps:wsp>
                          <wps:cNvPr id="201307369" name="Rectangle"/>
                          <wps:cNvSpPr/>
                          <wps:spPr>
                            <a:xfrm>
                              <a:off x="3355808" y="1577093"/>
                              <a:ext cx="528691" cy="249301"/>
                            </a:xfrm>
                            <a:custGeom>
                              <a:avLst/>
                              <a:gdLst/>
                              <a:ahLst/>
                              <a:cxnLst/>
                              <a:rect l="l" t="t" r="r" b="b"/>
                              <a:pathLst>
                                <a:path w="528691" h="249301" stroke="0">
                                  <a:moveTo>
                                    <a:pt x="0" y="0"/>
                                  </a:moveTo>
                                  <a:lnTo>
                                    <a:pt x="528691" y="0"/>
                                  </a:lnTo>
                                  <a:lnTo>
                                    <a:pt x="528691" y="249301"/>
                                  </a:lnTo>
                                  <a:lnTo>
                                    <a:pt x="0" y="249301"/>
                                  </a:lnTo>
                                  <a:lnTo>
                                    <a:pt x="0" y="0"/>
                                  </a:lnTo>
                                  <a:close/>
                                </a:path>
                                <a:path w="528691" h="249301" fill="none">
                                  <a:moveTo>
                                    <a:pt x="0" y="0"/>
                                  </a:moveTo>
                                  <a:lnTo>
                                    <a:pt x="528691" y="0"/>
                                  </a:lnTo>
                                  <a:lnTo>
                                    <a:pt x="528691" y="249301"/>
                                  </a:lnTo>
                                  <a:lnTo>
                                    <a:pt x="0" y="249301"/>
                                  </a:lnTo>
                                  <a:lnTo>
                                    <a:pt x="0" y="0"/>
                                  </a:lnTo>
                                  <a:close/>
                                </a:path>
                              </a:pathLst>
                            </a:custGeom>
                            <a:noFill/>
                            <a:ln w="6000" cap="flat">
                              <a:noFill/>
                            </a:ln>
                          </wps:spPr>
                          <wps:bodyPr/>
                        </wps:wsp>
                        <wps:wsp>
                          <wps:cNvPr id="2095780765" name="Text 13"/>
                          <wps:cNvSpPr txBox="1"/>
                          <wps:spPr>
                            <a:xfrm>
                              <a:off x="3455386" y="1569744"/>
                              <a:ext cx="642831" cy="264000"/>
                            </a:xfrm>
                            <a:prstGeom prst="rect">
                              <a:avLst/>
                            </a:prstGeom>
                            <a:noFill/>
                          </wps:spPr>
                          <wps:txbx>
                            <w:txbxContent>
                              <w:p w14:paraId="68AAB5C3">
                                <w:pPr>
                                  <w:snapToGrid w:val="0"/>
                                  <w:spacing w:line="240" w:lineRule="auto"/>
                                  <w:jc w:val="left"/>
                                  <w:rPr>
                                    <w:rFonts w:hint="eastAsia" w:ascii="宋体" w:hAnsi="宋体"/>
                                    <w:color w:val="000000"/>
                                    <w:sz w:val="15"/>
                                    <w:szCs w:val="15"/>
                                  </w:rPr>
                                </w:pPr>
                                <w:r>
                                  <w:rPr>
                                    <w:rFonts w:hint="eastAsia" w:ascii="宋体" w:hAnsi="宋体"/>
                                    <w:color w:val="191919"/>
                                    <w:sz w:val="15"/>
                                    <w:szCs w:val="15"/>
                                  </w:rPr>
                                  <w:t>税务登记、纳税申报、发票管理等</w:t>
                                </w:r>
                              </w:p>
                            </w:txbxContent>
                          </wps:txbx>
                          <wps:bodyPr wrap="square" lIns="22860" tIns="22860" rIns="22860" bIns="22860" rtlCol="0" anchor="ctr"/>
                        </wps:wsp>
                      </wpg:grpSp>
                      <wpg:grpSp>
                        <wpg:cNvPr id="1617051261" name="Group 14"/>
                        <wpg:cNvGrpSpPr/>
                        <wpg:grpSpPr>
                          <a:xfrm>
                            <a:off x="2715449" y="2351699"/>
                            <a:ext cx="367297" cy="308106"/>
                            <a:chOff x="2715449" y="2351699"/>
                            <a:chExt cx="367297" cy="308106"/>
                          </a:xfrm>
                        </wpg:grpSpPr>
                        <wps:wsp>
                          <wps:cNvPr id="1980203575" name="Rectangle"/>
                          <wps:cNvSpPr/>
                          <wps:spPr>
                            <a:xfrm>
                              <a:off x="2715449" y="2400899"/>
                              <a:ext cx="367297" cy="165602"/>
                            </a:xfrm>
                            <a:custGeom>
                              <a:avLst/>
                              <a:gdLst/>
                              <a:ahLst/>
                              <a:cxnLst/>
                              <a:rect l="l" t="t" r="r" b="b"/>
                              <a:pathLst>
                                <a:path w="367297" h="165602" stroke="0">
                                  <a:moveTo>
                                    <a:pt x="0" y="0"/>
                                  </a:moveTo>
                                  <a:lnTo>
                                    <a:pt x="367297" y="0"/>
                                  </a:lnTo>
                                  <a:lnTo>
                                    <a:pt x="367297" y="165602"/>
                                  </a:lnTo>
                                  <a:lnTo>
                                    <a:pt x="0" y="165602"/>
                                  </a:lnTo>
                                  <a:lnTo>
                                    <a:pt x="0" y="0"/>
                                  </a:lnTo>
                                  <a:close/>
                                </a:path>
                                <a:path w="367297" h="165602" fill="none">
                                  <a:moveTo>
                                    <a:pt x="0" y="0"/>
                                  </a:moveTo>
                                  <a:lnTo>
                                    <a:pt x="367297" y="0"/>
                                  </a:lnTo>
                                  <a:lnTo>
                                    <a:pt x="367297" y="165602"/>
                                  </a:lnTo>
                                  <a:lnTo>
                                    <a:pt x="0" y="165602"/>
                                  </a:lnTo>
                                  <a:lnTo>
                                    <a:pt x="0" y="0"/>
                                  </a:lnTo>
                                  <a:close/>
                                </a:path>
                              </a:pathLst>
                            </a:custGeom>
                            <a:noFill/>
                            <a:ln w="6000" cap="flat">
                              <a:noFill/>
                            </a:ln>
                          </wps:spPr>
                          <wps:bodyPr/>
                        </wps:wsp>
                        <wps:wsp>
                          <wps:cNvPr id="300796900" name="Text 15"/>
                          <wps:cNvSpPr txBox="1"/>
                          <wps:spPr>
                            <a:xfrm>
                              <a:off x="2715449" y="2351699"/>
                              <a:ext cx="367297" cy="308106"/>
                            </a:xfrm>
                            <a:prstGeom prst="rect">
                              <a:avLst/>
                            </a:prstGeom>
                            <a:noFill/>
                          </wps:spPr>
                          <wps:txbx>
                            <w:txbxContent>
                              <w:p w14:paraId="7A039D86">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风险识别</w:t>
                                </w:r>
                              </w:p>
                              <w:p w14:paraId="77BF206D">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合规管理</w:t>
                                </w:r>
                              </w:p>
                            </w:txbxContent>
                          </wps:txbx>
                          <wps:bodyPr wrap="square" lIns="22860" tIns="22860" rIns="22860" bIns="22860" rtlCol="0" anchor="ctr"/>
                        </wps:wsp>
                      </wpg:grpSp>
                      <wpg:grpSp>
                        <wpg:cNvPr id="327807868" name="Group 16"/>
                        <wpg:cNvGrpSpPr/>
                        <wpg:grpSpPr>
                          <a:xfrm>
                            <a:off x="2476087" y="1533300"/>
                            <a:ext cx="658661" cy="348000"/>
                            <a:chOff x="2476087" y="1533300"/>
                            <a:chExt cx="658661" cy="348000"/>
                          </a:xfrm>
                        </wpg:grpSpPr>
                        <wps:wsp>
                          <wps:cNvPr id="1017363973" name="Rectangle"/>
                          <wps:cNvSpPr/>
                          <wps:spPr>
                            <a:xfrm>
                              <a:off x="2491656" y="1539601"/>
                              <a:ext cx="643092" cy="335399"/>
                            </a:xfrm>
                            <a:custGeom>
                              <a:avLst/>
                              <a:gdLst/>
                              <a:ahLst/>
                              <a:cxnLst/>
                              <a:rect l="l" t="t" r="r" b="b"/>
                              <a:pathLst>
                                <a:path w="643092" h="335399" stroke="0">
                                  <a:moveTo>
                                    <a:pt x="0" y="0"/>
                                  </a:moveTo>
                                  <a:lnTo>
                                    <a:pt x="643092" y="0"/>
                                  </a:lnTo>
                                  <a:lnTo>
                                    <a:pt x="643092" y="335399"/>
                                  </a:lnTo>
                                  <a:lnTo>
                                    <a:pt x="0" y="335399"/>
                                  </a:lnTo>
                                  <a:lnTo>
                                    <a:pt x="0" y="0"/>
                                  </a:lnTo>
                                  <a:close/>
                                </a:path>
                                <a:path w="643092" h="335399" fill="none">
                                  <a:moveTo>
                                    <a:pt x="0" y="0"/>
                                  </a:moveTo>
                                  <a:lnTo>
                                    <a:pt x="643092" y="0"/>
                                  </a:lnTo>
                                  <a:lnTo>
                                    <a:pt x="643092" y="335399"/>
                                  </a:lnTo>
                                  <a:lnTo>
                                    <a:pt x="0" y="335399"/>
                                  </a:lnTo>
                                  <a:lnTo>
                                    <a:pt x="0" y="0"/>
                                  </a:lnTo>
                                  <a:close/>
                                </a:path>
                              </a:pathLst>
                            </a:custGeom>
                            <a:noFill/>
                            <a:ln w="6000" cap="flat">
                              <a:noFill/>
                            </a:ln>
                          </wps:spPr>
                          <wps:bodyPr/>
                        </wps:wsp>
                        <wps:wsp>
                          <wps:cNvPr id="1785016048" name="Text 17"/>
                          <wps:cNvSpPr txBox="1"/>
                          <wps:spPr>
                            <a:xfrm>
                              <a:off x="2476087" y="1533300"/>
                              <a:ext cx="631665" cy="348000"/>
                            </a:xfrm>
                            <a:prstGeom prst="rect">
                              <a:avLst/>
                            </a:prstGeom>
                            <a:noFill/>
                          </wps:spPr>
                          <wps:txbx>
                            <w:txbxContent>
                              <w:p w14:paraId="4EEDCD8C">
                                <w:pPr>
                                  <w:snapToGrid w:val="0"/>
                                  <w:spacing w:line="240" w:lineRule="auto"/>
                                  <w:jc w:val="left"/>
                                  <w:rPr>
                                    <w:rFonts w:hint="eastAsia" w:ascii="宋体" w:hAnsi="宋体"/>
                                    <w:color w:val="000000"/>
                                    <w:sz w:val="15"/>
                                    <w:szCs w:val="15"/>
                                  </w:rPr>
                                </w:pPr>
                                <w:r>
                                  <w:rPr>
                                    <w:rFonts w:hint="eastAsia" w:ascii="宋体" w:hAnsi="宋体"/>
                                    <w:color w:val="191919"/>
                                    <w:sz w:val="15"/>
                                    <w:szCs w:val="15"/>
                                  </w:rPr>
                                  <w:t>战略合规、经营管理合规、投融资合规和关联方交易合规</w:t>
                                </w:r>
                              </w:p>
                            </w:txbxContent>
                          </wps:txbx>
                          <wps:bodyPr wrap="square" lIns="22860" tIns="22860" rIns="22860" bIns="22860" rtlCol="0" anchor="ctr"/>
                        </wps:wsp>
                      </wpg:grpSp>
                      <wpg:grpSp>
                        <wpg:cNvPr id="1533726359" name="Group 18"/>
                        <wpg:cNvGrpSpPr/>
                        <wpg:grpSpPr>
                          <a:xfrm>
                            <a:off x="3357506" y="2340898"/>
                            <a:ext cx="528673" cy="331590"/>
                            <a:chOff x="3357506" y="2340898"/>
                            <a:chExt cx="528673" cy="331590"/>
                          </a:xfrm>
                        </wpg:grpSpPr>
                        <wps:wsp>
                          <wps:cNvPr id="1252702271" name="Rectangle"/>
                          <wps:cNvSpPr/>
                          <wps:spPr>
                            <a:xfrm>
                              <a:off x="3387308" y="2351700"/>
                              <a:ext cx="465691" cy="264000"/>
                            </a:xfrm>
                            <a:custGeom>
                              <a:avLst/>
                              <a:gdLst/>
                              <a:ahLst/>
                              <a:cxnLst/>
                              <a:rect l="l" t="t" r="r" b="b"/>
                              <a:pathLst>
                                <a:path w="465691" h="264000" stroke="0">
                                  <a:moveTo>
                                    <a:pt x="0" y="0"/>
                                  </a:moveTo>
                                  <a:lnTo>
                                    <a:pt x="465691" y="0"/>
                                  </a:lnTo>
                                  <a:lnTo>
                                    <a:pt x="465691" y="264000"/>
                                  </a:lnTo>
                                  <a:lnTo>
                                    <a:pt x="0" y="264000"/>
                                  </a:lnTo>
                                  <a:lnTo>
                                    <a:pt x="0" y="0"/>
                                  </a:lnTo>
                                  <a:close/>
                                </a:path>
                                <a:path w="465691" h="264000" fill="none">
                                  <a:moveTo>
                                    <a:pt x="0" y="0"/>
                                  </a:moveTo>
                                  <a:lnTo>
                                    <a:pt x="465691" y="0"/>
                                  </a:lnTo>
                                  <a:lnTo>
                                    <a:pt x="465691" y="264000"/>
                                  </a:lnTo>
                                  <a:lnTo>
                                    <a:pt x="0" y="264000"/>
                                  </a:lnTo>
                                  <a:lnTo>
                                    <a:pt x="0" y="0"/>
                                  </a:lnTo>
                                  <a:close/>
                                </a:path>
                              </a:pathLst>
                            </a:custGeom>
                            <a:noFill/>
                            <a:ln w="6000" cap="flat">
                              <a:noFill/>
                            </a:ln>
                          </wps:spPr>
                          <wps:bodyPr/>
                        </wps:wsp>
                        <wps:wsp>
                          <wps:cNvPr id="1543140177" name="Text 19"/>
                          <wps:cNvSpPr txBox="1"/>
                          <wps:spPr>
                            <a:xfrm>
                              <a:off x="3357506" y="2340898"/>
                              <a:ext cx="528673" cy="331590"/>
                            </a:xfrm>
                            <a:prstGeom prst="rect">
                              <a:avLst/>
                            </a:prstGeom>
                            <a:noFill/>
                          </wps:spPr>
                          <wps:txbx>
                            <w:txbxContent>
                              <w:p w14:paraId="7893D6B6">
                                <w:pPr>
                                  <w:snapToGrid w:val="0"/>
                                  <w:spacing w:line="240" w:lineRule="auto"/>
                                  <w:jc w:val="left"/>
                                  <w:rPr>
                                    <w:rFonts w:hint="eastAsia" w:ascii="宋体" w:hAnsi="宋体"/>
                                    <w:color w:val="000000"/>
                                    <w:sz w:val="15"/>
                                    <w:szCs w:val="15"/>
                                  </w:rPr>
                                </w:pPr>
                                <w:r>
                                  <w:rPr>
                                    <w:rFonts w:hint="eastAsia" w:ascii="宋体" w:hAnsi="宋体"/>
                                    <w:color w:val="191919"/>
                                    <w:sz w:val="15"/>
                                    <w:szCs w:val="15"/>
                                  </w:rPr>
                                  <w:t>基础架构、数据共享、动态监测</w:t>
                                </w:r>
                              </w:p>
                            </w:txbxContent>
                          </wps:txbx>
                          <wps:bodyPr wrap="square" lIns="22860" tIns="22860" rIns="22860" bIns="22860" rtlCol="0" anchor="ctr"/>
                        </wps:wsp>
                      </wpg:grpSp>
                      <wps:wsp>
                        <wps:cNvPr id="789741123" name="跨页引用"/>
                        <wps:cNvSpPr/>
                        <wps:spPr>
                          <a:xfrm rot="-10800000">
                            <a:off x="1785000" y="2952000"/>
                            <a:ext cx="2955000" cy="450000"/>
                          </a:xfrm>
                          <a:custGeom>
                            <a:avLst/>
                            <a:gdLst>
                              <a:gd name="connsiteX0" fmla="*/ 0 w 2955000"/>
                              <a:gd name="connsiteY0" fmla="*/ 225000 h 450000"/>
                              <a:gd name="connsiteX1" fmla="*/ 1477500 w 2955000"/>
                              <a:gd name="connsiteY1" fmla="*/ 0 h 450000"/>
                              <a:gd name="connsiteX2" fmla="*/ 2955000 w 2955000"/>
                              <a:gd name="connsiteY2" fmla="*/ 225000 h 450000"/>
                              <a:gd name="connsiteX3" fmla="*/ 1477500 w 2955000"/>
                              <a:gd name="connsiteY3" fmla="*/ 450000 h 450000"/>
                            </a:gdLst>
                            <a:ahLst/>
                            <a:cxnLst>
                              <a:cxn ang="0">
                                <a:pos x="connsiteX0" y="connsiteY0"/>
                              </a:cxn>
                              <a:cxn ang="0">
                                <a:pos x="connsiteX1" y="connsiteY1"/>
                              </a:cxn>
                              <a:cxn ang="0">
                                <a:pos x="connsiteX2" y="connsiteY2"/>
                              </a:cxn>
                              <a:cxn ang="0">
                                <a:pos x="connsiteX3" y="connsiteY3"/>
                              </a:cxn>
                            </a:cxnLst>
                            <a:rect l="l" t="t" r="r" b="b"/>
                            <a:pathLst>
                              <a:path w="2955000" h="450000" stroke="0">
                                <a:moveTo>
                                  <a:pt x="2955000" y="225000"/>
                                </a:moveTo>
                                <a:lnTo>
                                  <a:pt x="2955000" y="0"/>
                                </a:lnTo>
                                <a:lnTo>
                                  <a:pt x="0" y="0"/>
                                </a:lnTo>
                                <a:lnTo>
                                  <a:pt x="0" y="225000"/>
                                </a:lnTo>
                                <a:lnTo>
                                  <a:pt x="1477500" y="450000"/>
                                </a:lnTo>
                                <a:lnTo>
                                  <a:pt x="2955000" y="225000"/>
                                </a:lnTo>
                                <a:close/>
                              </a:path>
                              <a:path w="2955000" h="450000" fill="none">
                                <a:moveTo>
                                  <a:pt x="2955000" y="225000"/>
                                </a:moveTo>
                                <a:lnTo>
                                  <a:pt x="2955000" y="0"/>
                                </a:lnTo>
                                <a:lnTo>
                                  <a:pt x="0" y="0"/>
                                </a:lnTo>
                                <a:lnTo>
                                  <a:pt x="0" y="225000"/>
                                </a:lnTo>
                                <a:lnTo>
                                  <a:pt x="1477500" y="450000"/>
                                </a:lnTo>
                                <a:lnTo>
                                  <a:pt x="2955000" y="225000"/>
                                </a:lnTo>
                                <a:close/>
                              </a:path>
                            </a:pathLst>
                          </a:custGeom>
                          <a:solidFill>
                            <a:srgbClr val="FFFFFF"/>
                          </a:solidFill>
                          <a:ln w="6000" cap="flat">
                            <a:solidFill>
                              <a:srgbClr val="101843"/>
                            </a:solidFill>
                          </a:ln>
                        </wps:spPr>
                        <wps:bodyPr/>
                      </wps:wsp>
                      <wpg:grpSp>
                        <wpg:cNvPr id="1849846898" name="Group 20"/>
                        <wpg:cNvGrpSpPr/>
                        <wpg:grpSpPr>
                          <a:xfrm>
                            <a:off x="2957502" y="2952001"/>
                            <a:ext cx="587857" cy="255228"/>
                            <a:chOff x="2957502" y="2952001"/>
                            <a:chExt cx="587857" cy="255228"/>
                          </a:xfrm>
                        </wpg:grpSpPr>
                        <wps:wsp>
                          <wps:cNvPr id="1290971796" name="Rectangle"/>
                          <wps:cNvSpPr/>
                          <wps:spPr>
                            <a:xfrm>
                              <a:off x="2957502" y="2952001"/>
                              <a:ext cx="582000" cy="229750"/>
                            </a:xfrm>
                            <a:custGeom>
                              <a:avLst/>
                              <a:gdLst/>
                              <a:ahLst/>
                              <a:cxnLst/>
                              <a:rect l="l" t="t" r="r" b="b"/>
                              <a:pathLst>
                                <a:path w="582000" h="229750" stroke="0">
                                  <a:moveTo>
                                    <a:pt x="0" y="0"/>
                                  </a:moveTo>
                                  <a:lnTo>
                                    <a:pt x="582000" y="0"/>
                                  </a:lnTo>
                                  <a:lnTo>
                                    <a:pt x="582000" y="229750"/>
                                  </a:lnTo>
                                  <a:lnTo>
                                    <a:pt x="0" y="229750"/>
                                  </a:lnTo>
                                  <a:lnTo>
                                    <a:pt x="0" y="0"/>
                                  </a:lnTo>
                                  <a:close/>
                                </a:path>
                                <a:path w="582000" h="229750" fill="none">
                                  <a:moveTo>
                                    <a:pt x="0" y="0"/>
                                  </a:moveTo>
                                  <a:lnTo>
                                    <a:pt x="582000" y="0"/>
                                  </a:lnTo>
                                  <a:lnTo>
                                    <a:pt x="582000" y="229750"/>
                                  </a:lnTo>
                                  <a:lnTo>
                                    <a:pt x="0" y="229750"/>
                                  </a:lnTo>
                                  <a:lnTo>
                                    <a:pt x="0" y="0"/>
                                  </a:lnTo>
                                  <a:close/>
                                </a:path>
                              </a:pathLst>
                            </a:custGeom>
                            <a:noFill/>
                            <a:ln w="6000" cap="flat">
                              <a:noFill/>
                            </a:ln>
                          </wps:spPr>
                          <wps:bodyPr/>
                        </wps:wsp>
                        <wps:wsp>
                          <wps:cNvPr id="996454300" name="Text 21"/>
                          <wps:cNvSpPr txBox="1"/>
                          <wps:spPr>
                            <a:xfrm>
                              <a:off x="2963359" y="2977479"/>
                              <a:ext cx="582000" cy="229750"/>
                            </a:xfrm>
                            <a:prstGeom prst="rect">
                              <a:avLst/>
                            </a:prstGeom>
                            <a:noFill/>
                          </wps:spPr>
                          <wps:txbx>
                            <w:txbxContent>
                              <w:p w14:paraId="6F43831E">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运行机制</w:t>
                                </w:r>
                              </w:p>
                            </w:txbxContent>
                          </wps:txbx>
                          <wps:bodyPr wrap="square" lIns="22860" tIns="22860" rIns="22860" bIns="22860" rtlCol="0" anchor="ctr"/>
                        </wps:wsp>
                      </wpg:grpSp>
                      <wps:wsp>
                        <wps:cNvPr id="1588818496" name="跨页引用"/>
                        <wps:cNvSpPr/>
                        <wps:spPr>
                          <a:xfrm rot="10800000">
                            <a:off x="1785000" y="3436803"/>
                            <a:ext cx="2955000" cy="450000"/>
                          </a:xfrm>
                          <a:custGeom>
                            <a:avLst/>
                            <a:gdLst>
                              <a:gd name="connsiteX0" fmla="*/ 0 w 2955000"/>
                              <a:gd name="connsiteY0" fmla="*/ 225000 h 450000"/>
                              <a:gd name="connsiteX1" fmla="*/ 1477500 w 2955000"/>
                              <a:gd name="connsiteY1" fmla="*/ 0 h 450000"/>
                              <a:gd name="connsiteX2" fmla="*/ 2955000 w 2955000"/>
                              <a:gd name="connsiteY2" fmla="*/ 225000 h 450000"/>
                              <a:gd name="connsiteX3" fmla="*/ 1477500 w 2955000"/>
                              <a:gd name="connsiteY3" fmla="*/ 450000 h 450000"/>
                            </a:gdLst>
                            <a:ahLst/>
                            <a:cxnLst>
                              <a:cxn ang="0">
                                <a:pos x="connsiteX0" y="connsiteY0"/>
                              </a:cxn>
                              <a:cxn ang="0">
                                <a:pos x="connsiteX1" y="connsiteY1"/>
                              </a:cxn>
                              <a:cxn ang="0">
                                <a:pos x="connsiteX2" y="connsiteY2"/>
                              </a:cxn>
                              <a:cxn ang="0">
                                <a:pos x="connsiteX3" y="connsiteY3"/>
                              </a:cxn>
                            </a:cxnLst>
                            <a:rect l="l" t="t" r="r" b="b"/>
                            <a:pathLst>
                              <a:path w="2955000" h="450000" stroke="0">
                                <a:moveTo>
                                  <a:pt x="2955000" y="225000"/>
                                </a:moveTo>
                                <a:lnTo>
                                  <a:pt x="2955000" y="0"/>
                                </a:lnTo>
                                <a:lnTo>
                                  <a:pt x="0" y="0"/>
                                </a:lnTo>
                                <a:lnTo>
                                  <a:pt x="0" y="225000"/>
                                </a:lnTo>
                                <a:lnTo>
                                  <a:pt x="1477500" y="450000"/>
                                </a:lnTo>
                                <a:lnTo>
                                  <a:pt x="2955000" y="225000"/>
                                </a:lnTo>
                                <a:close/>
                              </a:path>
                              <a:path w="2955000" h="450000" fill="none">
                                <a:moveTo>
                                  <a:pt x="2955000" y="225000"/>
                                </a:moveTo>
                                <a:lnTo>
                                  <a:pt x="2955000" y="0"/>
                                </a:lnTo>
                                <a:lnTo>
                                  <a:pt x="0" y="0"/>
                                </a:lnTo>
                                <a:lnTo>
                                  <a:pt x="0" y="225000"/>
                                </a:lnTo>
                                <a:lnTo>
                                  <a:pt x="1477500" y="450000"/>
                                </a:lnTo>
                                <a:lnTo>
                                  <a:pt x="2955000" y="225000"/>
                                </a:lnTo>
                                <a:close/>
                              </a:path>
                            </a:pathLst>
                          </a:custGeom>
                          <a:solidFill>
                            <a:srgbClr val="FFFFFF"/>
                          </a:solidFill>
                          <a:ln w="6000" cap="flat">
                            <a:solidFill>
                              <a:srgbClr val="101843"/>
                            </a:solidFill>
                          </a:ln>
                        </wps:spPr>
                        <wps:bodyPr/>
                      </wps:wsp>
                      <wpg:grpSp>
                        <wpg:cNvPr id="1934153658" name="Group 22"/>
                        <wpg:cNvGrpSpPr/>
                        <wpg:grpSpPr>
                          <a:xfrm>
                            <a:off x="2324652" y="3160199"/>
                            <a:ext cx="1974690" cy="207602"/>
                            <a:chOff x="2324652" y="3160199"/>
                            <a:chExt cx="1974690" cy="207602"/>
                          </a:xfrm>
                        </wpg:grpSpPr>
                        <wps:wsp>
                          <wps:cNvPr id="1029947850" name="Rectangle"/>
                          <wps:cNvSpPr/>
                          <wps:spPr>
                            <a:xfrm>
                              <a:off x="2324652" y="3160199"/>
                              <a:ext cx="1974690" cy="207602"/>
                            </a:xfrm>
                            <a:custGeom>
                              <a:avLst/>
                              <a:gdLst/>
                              <a:ahLst/>
                              <a:cxnLst/>
                              <a:rect l="l" t="t" r="r" b="b"/>
                              <a:pathLst>
                                <a:path w="1974690" h="207602" stroke="0">
                                  <a:moveTo>
                                    <a:pt x="0" y="0"/>
                                  </a:moveTo>
                                  <a:lnTo>
                                    <a:pt x="1974690" y="0"/>
                                  </a:lnTo>
                                  <a:lnTo>
                                    <a:pt x="1974690" y="207602"/>
                                  </a:lnTo>
                                  <a:lnTo>
                                    <a:pt x="0" y="207602"/>
                                  </a:lnTo>
                                  <a:lnTo>
                                    <a:pt x="0" y="0"/>
                                  </a:lnTo>
                                  <a:close/>
                                </a:path>
                                <a:path w="1974690" h="207602" fill="none">
                                  <a:moveTo>
                                    <a:pt x="0" y="0"/>
                                  </a:moveTo>
                                  <a:lnTo>
                                    <a:pt x="1974690" y="0"/>
                                  </a:lnTo>
                                  <a:lnTo>
                                    <a:pt x="1974690" y="207602"/>
                                  </a:lnTo>
                                  <a:lnTo>
                                    <a:pt x="0" y="207602"/>
                                  </a:lnTo>
                                  <a:lnTo>
                                    <a:pt x="0" y="0"/>
                                  </a:lnTo>
                                  <a:close/>
                                </a:path>
                              </a:pathLst>
                            </a:custGeom>
                            <a:noFill/>
                            <a:ln w="6000" cap="flat">
                              <a:noFill/>
                            </a:ln>
                          </wps:spPr>
                          <wps:bodyPr/>
                        </wps:wsp>
                        <wps:wsp>
                          <wps:cNvPr id="1462358707" name="Text 23"/>
                          <wps:cNvSpPr txBox="1"/>
                          <wps:spPr>
                            <a:xfrm>
                              <a:off x="2324652" y="3159000"/>
                              <a:ext cx="1974690" cy="210000"/>
                            </a:xfrm>
                            <a:prstGeom prst="rect">
                              <a:avLst/>
                            </a:prstGeom>
                            <a:noFill/>
                          </wps:spPr>
                          <wps:txbx>
                            <w:txbxContent>
                              <w:p w14:paraId="792CDEB4">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组织体系、税务合规风险防控、税务合规管理机制</w:t>
                                </w:r>
                              </w:p>
                            </w:txbxContent>
                          </wps:txbx>
                          <wps:bodyPr wrap="square" lIns="22860" tIns="22860" rIns="22860" bIns="22860" rtlCol="0" anchor="ctr"/>
                        </wps:wsp>
                      </wpg:grpSp>
                      <wpg:grpSp>
                        <wpg:cNvPr id="421467004" name="Group 24"/>
                        <wpg:cNvGrpSpPr/>
                        <wpg:grpSpPr>
                          <a:xfrm>
                            <a:off x="2957502" y="3444001"/>
                            <a:ext cx="587857" cy="259479"/>
                            <a:chOff x="2957502" y="3444001"/>
                            <a:chExt cx="587857" cy="259479"/>
                          </a:xfrm>
                        </wpg:grpSpPr>
                        <wps:wsp>
                          <wps:cNvPr id="1554809158" name="Rectangle"/>
                          <wps:cNvSpPr/>
                          <wps:spPr>
                            <a:xfrm>
                              <a:off x="2957502" y="3444001"/>
                              <a:ext cx="582000" cy="229750"/>
                            </a:xfrm>
                            <a:custGeom>
                              <a:avLst/>
                              <a:gdLst/>
                              <a:ahLst/>
                              <a:cxnLst/>
                              <a:rect l="l" t="t" r="r" b="b"/>
                              <a:pathLst>
                                <a:path w="582000" h="229750" stroke="0">
                                  <a:moveTo>
                                    <a:pt x="0" y="0"/>
                                  </a:moveTo>
                                  <a:lnTo>
                                    <a:pt x="582000" y="0"/>
                                  </a:lnTo>
                                  <a:lnTo>
                                    <a:pt x="582000" y="229750"/>
                                  </a:lnTo>
                                  <a:lnTo>
                                    <a:pt x="0" y="229750"/>
                                  </a:lnTo>
                                  <a:lnTo>
                                    <a:pt x="0" y="0"/>
                                  </a:lnTo>
                                  <a:close/>
                                </a:path>
                                <a:path w="582000" h="229750" fill="none">
                                  <a:moveTo>
                                    <a:pt x="0" y="0"/>
                                  </a:moveTo>
                                  <a:lnTo>
                                    <a:pt x="582000" y="0"/>
                                  </a:lnTo>
                                  <a:lnTo>
                                    <a:pt x="582000" y="229750"/>
                                  </a:lnTo>
                                  <a:lnTo>
                                    <a:pt x="0" y="229750"/>
                                  </a:lnTo>
                                  <a:lnTo>
                                    <a:pt x="0" y="0"/>
                                  </a:lnTo>
                                  <a:close/>
                                </a:path>
                              </a:pathLst>
                            </a:custGeom>
                            <a:noFill/>
                            <a:ln w="6000" cap="flat">
                              <a:noFill/>
                            </a:ln>
                          </wps:spPr>
                          <wps:bodyPr/>
                        </wps:wsp>
                        <wps:wsp>
                          <wps:cNvPr id="2018550100" name="Text 25"/>
                          <wps:cNvSpPr txBox="1"/>
                          <wps:spPr>
                            <a:xfrm>
                              <a:off x="2963359" y="3469480"/>
                              <a:ext cx="582000" cy="234000"/>
                            </a:xfrm>
                            <a:prstGeom prst="rect">
                              <a:avLst/>
                            </a:prstGeom>
                            <a:noFill/>
                          </wps:spPr>
                          <wps:txbx>
                            <w:txbxContent>
                              <w:p w14:paraId="4EDBEF3D">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文化建设</w:t>
                                </w:r>
                              </w:p>
                            </w:txbxContent>
                          </wps:txbx>
                          <wps:bodyPr wrap="square" lIns="22860" tIns="22860" rIns="22860" bIns="22860" rtlCol="0" anchor="ctr"/>
                        </wps:wsp>
                      </wpg:grpSp>
                      <wpg:grpSp>
                        <wpg:cNvPr id="123475350" name="Group 26"/>
                        <wpg:cNvGrpSpPr/>
                        <wpg:grpSpPr>
                          <a:xfrm>
                            <a:off x="2491656" y="3647101"/>
                            <a:ext cx="1541688" cy="207898"/>
                            <a:chOff x="2491656" y="3647101"/>
                            <a:chExt cx="1541688" cy="207898"/>
                          </a:xfrm>
                        </wpg:grpSpPr>
                        <wps:wsp>
                          <wps:cNvPr id="601549423" name="Rectangle"/>
                          <wps:cNvSpPr/>
                          <wps:spPr>
                            <a:xfrm>
                              <a:off x="2491656" y="3647101"/>
                              <a:ext cx="1541688" cy="207898"/>
                            </a:xfrm>
                            <a:custGeom>
                              <a:avLst/>
                              <a:gdLst/>
                              <a:ahLst/>
                              <a:cxnLst/>
                              <a:rect l="l" t="t" r="r" b="b"/>
                              <a:pathLst>
                                <a:path w="1541688" h="207898" stroke="0">
                                  <a:moveTo>
                                    <a:pt x="0" y="0"/>
                                  </a:moveTo>
                                  <a:lnTo>
                                    <a:pt x="1541688" y="0"/>
                                  </a:lnTo>
                                  <a:lnTo>
                                    <a:pt x="1541688" y="207898"/>
                                  </a:lnTo>
                                  <a:lnTo>
                                    <a:pt x="0" y="207898"/>
                                  </a:lnTo>
                                  <a:lnTo>
                                    <a:pt x="0" y="0"/>
                                  </a:lnTo>
                                  <a:close/>
                                </a:path>
                                <a:path w="1541688" h="207898" fill="none">
                                  <a:moveTo>
                                    <a:pt x="0" y="0"/>
                                  </a:moveTo>
                                  <a:lnTo>
                                    <a:pt x="1541688" y="0"/>
                                  </a:lnTo>
                                  <a:lnTo>
                                    <a:pt x="1541688" y="207898"/>
                                  </a:lnTo>
                                  <a:lnTo>
                                    <a:pt x="0" y="207898"/>
                                  </a:lnTo>
                                  <a:lnTo>
                                    <a:pt x="0" y="0"/>
                                  </a:lnTo>
                                  <a:close/>
                                </a:path>
                              </a:pathLst>
                            </a:custGeom>
                            <a:noFill/>
                            <a:ln w="6000" cap="flat">
                              <a:noFill/>
                            </a:ln>
                          </wps:spPr>
                          <wps:bodyPr/>
                        </wps:wsp>
                        <wps:wsp>
                          <wps:cNvPr id="68994423" name="Text 27"/>
                          <wps:cNvSpPr txBox="1"/>
                          <wps:spPr>
                            <a:xfrm>
                              <a:off x="2491656" y="3646050"/>
                              <a:ext cx="1541688" cy="210000"/>
                            </a:xfrm>
                            <a:prstGeom prst="rect">
                              <a:avLst/>
                            </a:prstGeom>
                            <a:noFill/>
                          </wps:spPr>
                          <wps:txbx>
                            <w:txbxContent>
                              <w:p w14:paraId="4F3EF16C">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理念塑造、宣传培训、行为规范、激励约束</w:t>
                                </w:r>
                              </w:p>
                            </w:txbxContent>
                          </wps:txbx>
                          <wps:bodyPr wrap="square" lIns="22860" tIns="22860" rIns="22860" bIns="22860" rtlCol="0" anchor="ctr"/>
                        </wps:wsp>
                      </wpg:grpSp>
                      <wpg:grpSp>
                        <wpg:cNvPr id="919653293" name="Group 28"/>
                        <wpg:cNvGrpSpPr/>
                        <wpg:grpSpPr>
                          <a:xfrm>
                            <a:off x="2859230" y="87000"/>
                            <a:ext cx="905538" cy="162000"/>
                            <a:chOff x="2859230" y="87000"/>
                            <a:chExt cx="905538" cy="162000"/>
                          </a:xfrm>
                        </wpg:grpSpPr>
                        <wps:wsp>
                          <wps:cNvPr id="1168758283" name="Rectangle"/>
                          <wps:cNvSpPr/>
                          <wps:spPr>
                            <a:xfrm>
                              <a:off x="2859230" y="87000"/>
                              <a:ext cx="905538" cy="162000"/>
                            </a:xfrm>
                            <a:custGeom>
                              <a:avLst/>
                              <a:gdLst/>
                              <a:ahLst/>
                              <a:cxnLst/>
                              <a:rect l="l" t="t" r="r" b="b"/>
                              <a:pathLst>
                                <a:path w="905538" h="162000" stroke="0">
                                  <a:moveTo>
                                    <a:pt x="0" y="0"/>
                                  </a:moveTo>
                                  <a:lnTo>
                                    <a:pt x="905538" y="0"/>
                                  </a:lnTo>
                                  <a:lnTo>
                                    <a:pt x="905538" y="162000"/>
                                  </a:lnTo>
                                  <a:lnTo>
                                    <a:pt x="0" y="162000"/>
                                  </a:lnTo>
                                  <a:lnTo>
                                    <a:pt x="0" y="0"/>
                                  </a:lnTo>
                                  <a:close/>
                                </a:path>
                                <a:path w="905538" h="162000" fill="none">
                                  <a:moveTo>
                                    <a:pt x="0" y="0"/>
                                  </a:moveTo>
                                  <a:lnTo>
                                    <a:pt x="905538" y="0"/>
                                  </a:lnTo>
                                  <a:lnTo>
                                    <a:pt x="905538" y="162000"/>
                                  </a:lnTo>
                                  <a:lnTo>
                                    <a:pt x="0" y="162000"/>
                                  </a:lnTo>
                                  <a:lnTo>
                                    <a:pt x="0" y="0"/>
                                  </a:lnTo>
                                  <a:close/>
                                </a:path>
                              </a:pathLst>
                            </a:custGeom>
                            <a:noFill/>
                            <a:ln w="6000" cap="flat">
                              <a:noFill/>
                            </a:ln>
                          </wps:spPr>
                          <wps:bodyPr/>
                        </wps:wsp>
                        <wps:wsp>
                          <wps:cNvPr id="951554575" name="Text 29"/>
                          <wps:cNvSpPr txBox="1"/>
                          <wps:spPr>
                            <a:xfrm>
                              <a:off x="2859230" y="54000"/>
                              <a:ext cx="905538" cy="228000"/>
                            </a:xfrm>
                            <a:prstGeom prst="rect">
                              <a:avLst/>
                            </a:prstGeom>
                            <a:noFill/>
                          </wps:spPr>
                          <wps:txbx>
                            <w:txbxContent>
                              <w:p w14:paraId="4688E333">
                                <w:pPr>
                                  <w:snapToGrid w:val="0"/>
                                  <w:spacing w:line="240" w:lineRule="auto"/>
                                  <w:jc w:val="center"/>
                                  <w:rPr>
                                    <w:rFonts w:hint="eastAsia" w:ascii="黑体" w:hAnsi="黑体" w:eastAsia="黑体"/>
                                    <w:bCs/>
                                    <w:color w:val="000000"/>
                                    <w:sz w:val="18"/>
                                    <w:szCs w:val="18"/>
                                  </w:rPr>
                                </w:pPr>
                                <w:r>
                                  <w:rPr>
                                    <w:rFonts w:hint="eastAsia" w:ascii="黑体" w:hAnsi="黑体" w:eastAsia="黑体"/>
                                    <w:bCs/>
                                    <w:color w:val="191919"/>
                                    <w:sz w:val="18"/>
                                    <w:szCs w:val="18"/>
                                  </w:rPr>
                                  <w:t>税务合规管理定义</w:t>
                                </w:r>
                              </w:p>
                            </w:txbxContent>
                          </wps:txbx>
                          <wps:bodyPr wrap="square" lIns="22860" tIns="22860" rIns="22860" bIns="22860" rtlCol="0" anchor="ctr"/>
                        </wps:wsp>
                      </wpg:grpSp>
                      <wpg:grpSp>
                        <wpg:cNvPr id="1396076984" name="Group 30"/>
                        <wpg:cNvGrpSpPr/>
                        <wpg:grpSpPr>
                          <a:xfrm>
                            <a:off x="1902000" y="188127"/>
                            <a:ext cx="2895222" cy="210000"/>
                            <a:chOff x="1902000" y="188127"/>
                            <a:chExt cx="2895222" cy="210000"/>
                          </a:xfrm>
                        </wpg:grpSpPr>
                        <wps:wsp>
                          <wps:cNvPr id="1178270433" name="Rectangle"/>
                          <wps:cNvSpPr/>
                          <wps:spPr>
                            <a:xfrm>
                              <a:off x="1902000" y="189000"/>
                              <a:ext cx="2895222" cy="162000"/>
                            </a:xfrm>
                            <a:custGeom>
                              <a:avLst/>
                              <a:gdLst/>
                              <a:ahLst/>
                              <a:cxnLst/>
                              <a:rect l="l" t="t" r="r" b="b"/>
                              <a:pathLst>
                                <a:path w="2895222" h="162000" stroke="0">
                                  <a:moveTo>
                                    <a:pt x="0" y="0"/>
                                  </a:moveTo>
                                  <a:lnTo>
                                    <a:pt x="2895222" y="0"/>
                                  </a:lnTo>
                                  <a:lnTo>
                                    <a:pt x="2895222" y="162000"/>
                                  </a:lnTo>
                                  <a:lnTo>
                                    <a:pt x="0" y="162000"/>
                                  </a:lnTo>
                                  <a:lnTo>
                                    <a:pt x="0" y="0"/>
                                  </a:lnTo>
                                  <a:close/>
                                </a:path>
                                <a:path w="2895222" h="162000" fill="none">
                                  <a:moveTo>
                                    <a:pt x="0" y="0"/>
                                  </a:moveTo>
                                  <a:lnTo>
                                    <a:pt x="2895222" y="0"/>
                                  </a:lnTo>
                                  <a:lnTo>
                                    <a:pt x="2895222" y="162000"/>
                                  </a:lnTo>
                                  <a:lnTo>
                                    <a:pt x="0" y="162000"/>
                                  </a:lnTo>
                                  <a:lnTo>
                                    <a:pt x="0" y="0"/>
                                  </a:lnTo>
                                  <a:close/>
                                </a:path>
                              </a:pathLst>
                            </a:custGeom>
                            <a:noFill/>
                            <a:ln w="6000" cap="flat">
                              <a:noFill/>
                            </a:ln>
                          </wps:spPr>
                          <wps:bodyPr/>
                        </wps:wsp>
                        <wps:wsp>
                          <wps:cNvPr id="353527766" name="Text 31"/>
                          <wps:cNvSpPr txBox="1"/>
                          <wps:spPr>
                            <a:xfrm>
                              <a:off x="2038646" y="188127"/>
                              <a:ext cx="2488315" cy="210000"/>
                            </a:xfrm>
                            <a:prstGeom prst="rect">
                              <a:avLst/>
                            </a:prstGeom>
                            <a:noFill/>
                          </wps:spPr>
                          <wps:txbx>
                            <w:txbxContent>
                              <w:p w14:paraId="49FE8C92">
                                <w:pPr>
                                  <w:snapToGrid w:val="0"/>
                                  <w:spacing w:line="240" w:lineRule="auto"/>
                                  <w:jc w:val="left"/>
                                  <w:rPr>
                                    <w:rFonts w:hint="eastAsia" w:ascii="宋体" w:hAnsi="宋体"/>
                                    <w:color w:val="000000"/>
                                    <w:sz w:val="15"/>
                                    <w:szCs w:val="15"/>
                                  </w:rPr>
                                </w:pPr>
                                <w:r>
                                  <w:rPr>
                                    <w:rFonts w:hint="eastAsia" w:ascii="宋体" w:hAnsi="宋体"/>
                                    <w:color w:val="000000"/>
                                    <w:sz w:val="15"/>
                                    <w:szCs w:val="15"/>
                                  </w:rPr>
                                  <w:t>税务合规 税务合规管理 税务合规运行机制 税务合规组织体系 税务合规风险防控...</w:t>
                                </w:r>
                              </w:p>
                            </w:txbxContent>
                          </wps:txbx>
                          <wps:bodyPr wrap="square" lIns="22860" tIns="22860" rIns="22860" bIns="22860" rtlCol="0" anchor="ctr"/>
                        </wps:wsp>
                      </wpg:grpSp>
                      <wps:wsp>
                        <wps:cNvPr id="1838170284" name="跨页引用"/>
                        <wps:cNvSpPr/>
                        <wps:spPr>
                          <a:xfrm>
                            <a:off x="1785000" y="546000"/>
                            <a:ext cx="2955000" cy="444000"/>
                          </a:xfrm>
                          <a:custGeom>
                            <a:avLst/>
                            <a:gdLst>
                              <a:gd name="connsiteX0" fmla="*/ 0 w 2955000"/>
                              <a:gd name="connsiteY0" fmla="*/ 222000 h 444000"/>
                              <a:gd name="connsiteX1" fmla="*/ 1477500 w 2955000"/>
                              <a:gd name="connsiteY1" fmla="*/ 0 h 444000"/>
                              <a:gd name="connsiteX2" fmla="*/ 2955000 w 2955000"/>
                              <a:gd name="connsiteY2" fmla="*/ 222000 h 444000"/>
                              <a:gd name="connsiteX3" fmla="*/ 1477500 w 2955000"/>
                              <a:gd name="connsiteY3" fmla="*/ 444000 h 444000"/>
                            </a:gdLst>
                            <a:ahLst/>
                            <a:cxnLst>
                              <a:cxn ang="0">
                                <a:pos x="connsiteX0" y="connsiteY0"/>
                              </a:cxn>
                              <a:cxn ang="0">
                                <a:pos x="connsiteX1" y="connsiteY1"/>
                              </a:cxn>
                              <a:cxn ang="0">
                                <a:pos x="connsiteX2" y="connsiteY2"/>
                              </a:cxn>
                              <a:cxn ang="0">
                                <a:pos x="connsiteX3" y="connsiteY3"/>
                              </a:cxn>
                            </a:cxnLst>
                            <a:rect l="l" t="t" r="r" b="b"/>
                            <a:pathLst>
                              <a:path w="2955000" h="444000" stroke="0">
                                <a:moveTo>
                                  <a:pt x="2955000" y="222000"/>
                                </a:moveTo>
                                <a:lnTo>
                                  <a:pt x="2955000" y="0"/>
                                </a:lnTo>
                                <a:lnTo>
                                  <a:pt x="0" y="0"/>
                                </a:lnTo>
                                <a:lnTo>
                                  <a:pt x="0" y="222000"/>
                                </a:lnTo>
                                <a:lnTo>
                                  <a:pt x="1477500" y="444000"/>
                                </a:lnTo>
                                <a:lnTo>
                                  <a:pt x="2955000" y="222000"/>
                                </a:lnTo>
                                <a:close/>
                              </a:path>
                              <a:path w="2955000" h="444000" fill="none">
                                <a:moveTo>
                                  <a:pt x="2955000" y="222000"/>
                                </a:moveTo>
                                <a:lnTo>
                                  <a:pt x="2955000" y="0"/>
                                </a:lnTo>
                                <a:lnTo>
                                  <a:pt x="0" y="0"/>
                                </a:lnTo>
                                <a:lnTo>
                                  <a:pt x="0" y="222000"/>
                                </a:lnTo>
                                <a:lnTo>
                                  <a:pt x="1477500" y="444000"/>
                                </a:lnTo>
                                <a:lnTo>
                                  <a:pt x="2955000" y="222000"/>
                                </a:lnTo>
                                <a:close/>
                              </a:path>
                            </a:pathLst>
                          </a:custGeom>
                          <a:solidFill>
                            <a:srgbClr val="FFFFFF"/>
                          </a:solidFill>
                          <a:ln w="6000" cap="flat">
                            <a:solidFill>
                              <a:srgbClr val="101843"/>
                            </a:solidFill>
                          </a:ln>
                        </wps:spPr>
                        <wps:bodyPr/>
                      </wps:wsp>
                      <wpg:grpSp>
                        <wpg:cNvPr id="177412786" name="Group 32"/>
                        <wpg:cNvGrpSpPr/>
                        <wpg:grpSpPr>
                          <a:xfrm>
                            <a:off x="2775904" y="546001"/>
                            <a:ext cx="945198" cy="174875"/>
                            <a:chOff x="2775904" y="546001"/>
                            <a:chExt cx="945198" cy="174875"/>
                          </a:xfrm>
                        </wpg:grpSpPr>
                        <wps:wsp>
                          <wps:cNvPr id="1655536954" name="Rectangle"/>
                          <wps:cNvSpPr/>
                          <wps:spPr>
                            <a:xfrm>
                              <a:off x="2775904" y="546001"/>
                              <a:ext cx="945198" cy="174875"/>
                            </a:xfrm>
                            <a:custGeom>
                              <a:avLst/>
                              <a:gdLst/>
                              <a:ahLst/>
                              <a:cxnLst/>
                              <a:rect l="l" t="t" r="r" b="b"/>
                              <a:pathLst>
                                <a:path w="945198" h="174875" stroke="0">
                                  <a:moveTo>
                                    <a:pt x="0" y="0"/>
                                  </a:moveTo>
                                  <a:lnTo>
                                    <a:pt x="945198" y="0"/>
                                  </a:lnTo>
                                  <a:lnTo>
                                    <a:pt x="945198" y="174875"/>
                                  </a:lnTo>
                                  <a:lnTo>
                                    <a:pt x="0" y="174875"/>
                                  </a:lnTo>
                                  <a:lnTo>
                                    <a:pt x="0" y="0"/>
                                  </a:lnTo>
                                  <a:close/>
                                </a:path>
                                <a:path w="945198" h="174875" fill="none">
                                  <a:moveTo>
                                    <a:pt x="0" y="0"/>
                                  </a:moveTo>
                                  <a:lnTo>
                                    <a:pt x="945198" y="0"/>
                                  </a:lnTo>
                                  <a:lnTo>
                                    <a:pt x="945198" y="174875"/>
                                  </a:lnTo>
                                  <a:lnTo>
                                    <a:pt x="0" y="174875"/>
                                  </a:lnTo>
                                  <a:lnTo>
                                    <a:pt x="0" y="0"/>
                                  </a:lnTo>
                                  <a:close/>
                                </a:path>
                              </a:pathLst>
                            </a:custGeom>
                            <a:noFill/>
                            <a:ln w="6000" cap="flat">
                              <a:noFill/>
                            </a:ln>
                          </wps:spPr>
                          <wps:bodyPr/>
                        </wps:wsp>
                        <wps:wsp>
                          <wps:cNvPr id="733467271" name="Text 33"/>
                          <wps:cNvSpPr txBox="1"/>
                          <wps:spPr>
                            <a:xfrm>
                              <a:off x="2775904" y="519438"/>
                              <a:ext cx="945198" cy="228000"/>
                            </a:xfrm>
                            <a:prstGeom prst="rect">
                              <a:avLst/>
                            </a:prstGeom>
                            <a:noFill/>
                          </wps:spPr>
                          <wps:txbx>
                            <w:txbxContent>
                              <w:p w14:paraId="1938608F">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税务合规管理原则</w:t>
                                </w:r>
                              </w:p>
                            </w:txbxContent>
                          </wps:txbx>
                          <wps:bodyPr wrap="square" lIns="22860" tIns="22860" rIns="22860" bIns="22860" rtlCol="0" anchor="ctr"/>
                        </wps:wsp>
                      </wpg:grpSp>
                      <wpg:grpSp>
                        <wpg:cNvPr id="38584000" name="Group 34"/>
                        <wpg:cNvGrpSpPr/>
                        <wpg:grpSpPr>
                          <a:xfrm>
                            <a:off x="2443122" y="662136"/>
                            <a:ext cx="1737750" cy="261716"/>
                            <a:chOff x="2443122" y="662136"/>
                            <a:chExt cx="1737750" cy="261716"/>
                          </a:xfrm>
                        </wpg:grpSpPr>
                        <wps:wsp>
                          <wps:cNvPr id="590124910" name="Rectangle"/>
                          <wps:cNvSpPr/>
                          <wps:spPr>
                            <a:xfrm>
                              <a:off x="2443122" y="662136"/>
                              <a:ext cx="1737750" cy="211727"/>
                            </a:xfrm>
                            <a:custGeom>
                              <a:avLst/>
                              <a:gdLst>
                                <a:gd name="connsiteX0" fmla="*/ 868875 w 1737750"/>
                                <a:gd name="connsiteY0" fmla="*/ 0 h 211727"/>
                              </a:gdLst>
                              <a:ahLst/>
                              <a:cxnLst>
                                <a:cxn ang="0">
                                  <a:pos x="connsiteX0" y="connsiteY0"/>
                                </a:cxn>
                              </a:cxnLst>
                              <a:rect l="l" t="t" r="r" b="b"/>
                              <a:pathLst>
                                <a:path w="1737750" h="211727" stroke="0">
                                  <a:moveTo>
                                    <a:pt x="0" y="0"/>
                                  </a:moveTo>
                                  <a:lnTo>
                                    <a:pt x="1737750" y="0"/>
                                  </a:lnTo>
                                  <a:lnTo>
                                    <a:pt x="1737750" y="211727"/>
                                  </a:lnTo>
                                  <a:lnTo>
                                    <a:pt x="0" y="211727"/>
                                  </a:lnTo>
                                  <a:lnTo>
                                    <a:pt x="0" y="0"/>
                                  </a:lnTo>
                                  <a:close/>
                                </a:path>
                                <a:path w="1737750" h="211727" fill="none">
                                  <a:moveTo>
                                    <a:pt x="0" y="0"/>
                                  </a:moveTo>
                                  <a:lnTo>
                                    <a:pt x="1737750" y="0"/>
                                  </a:lnTo>
                                  <a:lnTo>
                                    <a:pt x="1737750" y="211727"/>
                                  </a:lnTo>
                                  <a:lnTo>
                                    <a:pt x="0" y="211727"/>
                                  </a:lnTo>
                                  <a:lnTo>
                                    <a:pt x="0" y="0"/>
                                  </a:lnTo>
                                  <a:close/>
                                </a:path>
                              </a:pathLst>
                            </a:custGeom>
                            <a:noFill/>
                            <a:ln w="6000" cap="flat">
                              <a:noFill/>
                            </a:ln>
                          </wps:spPr>
                          <wps:bodyPr/>
                        </wps:wsp>
                        <wps:wsp>
                          <wps:cNvPr id="977331121" name="Text 35"/>
                          <wps:cNvSpPr txBox="1"/>
                          <wps:spPr>
                            <a:xfrm>
                              <a:off x="2502731" y="712125"/>
                              <a:ext cx="1572206" cy="211727"/>
                            </a:xfrm>
                            <a:prstGeom prst="rect">
                              <a:avLst/>
                            </a:prstGeom>
                            <a:noFill/>
                          </wps:spPr>
                          <wps:txbx>
                            <w:txbxContent>
                              <w:p w14:paraId="153E90BF">
                                <w:pPr>
                                  <w:snapToGrid w:val="0"/>
                                  <w:spacing w:line="240" w:lineRule="auto"/>
                                  <w:jc w:val="left"/>
                                  <w:rPr>
                                    <w:rFonts w:hint="eastAsia" w:ascii="宋体" w:hAnsi="宋体"/>
                                    <w:color w:val="000000"/>
                                    <w:sz w:val="15"/>
                                    <w:szCs w:val="15"/>
                                  </w:rPr>
                                </w:pPr>
                                <w:r>
                                  <w:rPr>
                                    <w:rFonts w:hint="eastAsia" w:ascii="宋体" w:hAnsi="宋体"/>
                                    <w:color w:val="000000"/>
                                    <w:sz w:val="15"/>
                                    <w:szCs w:val="15"/>
                                  </w:rPr>
                                  <w:t>合法性 真实性 完整性 一致性 合作共赢 持续改进</w:t>
                                </w:r>
                              </w:p>
                            </w:txbxContent>
                          </wps:txbx>
                          <wps:bodyPr wrap="square" lIns="22860" tIns="22860" rIns="22860" bIns="22860" rtlCol="0" anchor="ctr"/>
                        </wps:wsp>
                      </wpg:grpSp>
                    </wpg:wgp>
                  </a:graphicData>
                </a:graphic>
              </wp:anchor>
            </w:drawing>
          </mc:Choice>
          <mc:Fallback>
            <w:pict>
              <v:group id="页-1" o:spid="_x0000_s1026" o:spt="203" style="position:absolute;left:0pt;margin-left:58.55pt;margin-top:215.7pt;height:405.2pt;width:349.25pt;mso-position-horizontal-relative:margin;mso-position-vertical-relative:page;mso-wrap-distance-bottom:0pt;mso-wrap-distance-left:9pt;mso-wrap-distance-right:9pt;mso-wrap-distance-top:0pt;z-index:251662336;mso-width-relative:page;mso-height-relative:page;" coordorigin="1785000,87000" coordsize="3012222,3799803" o:gfxdata="UEsDBAoAAAAAAIdO4kAAAAAAAAAAAAAAAAAEAAAAZHJzL1BLAwQUAAAACACHTuJAlHpitdoAAAAM&#10;AQAADwAAAGRycy9kb3ducmV2LnhtbE2PQUvDQBCF74L/YRnBm91sm9YQsylS1FMRbAXxNs1Ok9Ds&#10;bshuk/bfO570+Hgfb74p1hfbiZGG0HqnQc0SEOQqb1pXa/jcvz5kIEJEZ7DzjjRcKcC6vL0pMDd+&#10;ch807mIteMSFHDU0Mfa5lKFqyGKY+Z4cd0c/WIwch1qaAScet52cJ8lKWmwdX2iwp01D1Wl3thre&#10;JpyeF+pl3J6Om+v3fvn+tVWk9f2dSp5ARLrEPxh+9VkdSnY6+LMzQXSc1aNiVEO6UCkIJjK1XIE4&#10;cDVPVQayLOT/J8ofUEsDBBQAAAAIAIdO4kBmcZIb7RYAADG3AAAOAAAAZHJzL2Uyb0RvYy54bWzt&#10;Xd2OKzdyvg+QdxB0GcCeZv+wuwceL7Dr2AiwSIzYAdaXOhrND6KRlJbOmeO8QfY6eYDdq73KXRIE&#10;SB5n4+Qt8hXJYhelbnWrR2c01uoYcEsjdpEsFutjFavIL37x8Wk++jCr1o/Lxc1YfR6NR7PFdHn7&#10;uLi/Gf/d919/VoxH681kcTuZLxezm/GPs/X4F1/++Z998by6nsXLh+X8dlaNQGSxvn5e3YwfNpvV&#10;9dXVevowe5qsP1+uZgv8eLesniYbfK3ur26ryTOoP82v4ijSV8/L6nZVLaez9Rp//cr+OHYUqz4E&#10;l3d3j9PZV8vp+6fZYmOpVrP5ZIMurR8eV+vxl6a1d3ez6eZv7u7Ws81ofjNGTzfm/6gEn9/R/6++&#10;/GJyfV9NVg+PU9eESZ8mbPXpafK4QKWe1FeTzWT0vnrcIfX0OK2W6+Xd5vPp8unKdsRwBL1Q0RZv&#10;vqmW71emL/fXz/crz3QM1BbXB5Od/vWHb6vR4y0kocxjleR4jEeLyRNG/v9+92+fKeLQ8+r+GgW/&#10;qVbfrb6t3B/u7Tfq9Me76ome6M7oo+Htj563s4+b0RR/TNMkK8tkPJrit0ylOkod96cPGCJ6T+VF&#10;FkUYGZQocvpkRmf68JeORhKpGP8sjSQvyyJKqMwVN+GKWuob9ryChK5rtq1fxrbvHiarmRmNNXGD&#10;2abyOM7TFL1xbPvf//gDOPfH//qXn/75D5Z7prxn3fp6DS428K2l/8zBuMwse4iDVKFlkO/85Hr6&#10;fr35ZrY0YzH58Ov1xvDv/hafjGzeuhZOl4vF+nEz+w3afPc0h8D/xdUoGj2PuAr33lbxH2RxjAMa&#10;MHoY1S2B9O/UoEQNKs1z9KC7HvlSdxWQB98J14HuKoKX+nUFsuvr6d0V+ZLlVMAyDJ4fnskDj9j0&#10;48INGT6NJqSYI6NdVss1TRQ5fpAF/orxsZMBb9F4d7wMLsuXzUxHe/q9DP7Jl+ODagZT5Ms8h03N&#10;tgWu+xX0N2nuudHcm/EImrsymvsdVTi5Xk02xDX+OHq+GbMMjx78LAGeVcu/h0azXHxafph9vzTv&#10;bIid/g00yoq1601dcL5oe4F5ziX4uTKkrTLrUyaomInw0xJzQmeYV886MIyL8dMWb+0WF5vOl+uZ&#10;lRjiYxcT7x7nGIoFFgVGFmvmdFRXF+SKd1/ow6E+Zd4CFzEgXixJmoVSXi/nj7dfg4/E63V1/+5X&#10;82r0YQK2fm3+ObkLis0XJNXaAON0ggXXHRY6ZgSCYgE1Faki5WklihlZAV4SMloQok/vlrc/Glg3&#10;fwdiEuK/BnQCNotc55qR86d/+s//+dff/vG/f//Tb/+dWEGtANJ2I2eclImmhQFmsIpyHWdGWCbX&#10;jJ0qTwh77MqBv1jR58WLHKdB4CnINiBhAJ6FLoo8AxLsf+c3EgjdO88d7/wg3yHw7KhCAqErCvTc&#10;/9IP8qW+fZFI2Lcv8h1uXNAjCPQFP3miHwc/eegJP/3n/QBaxGWepHb2uYlm51ab6s8LGBuY9jRd&#10;gxcYIabv3z1Ofzn7R4m6mL+Jsw7ES1C2Bml1EanUaQAYMmmp3QrB/JrlJekEUyHmXlmmTtWGFYXf&#10;LOFMRUVi10pKa10mhSScJlBhrlod68IS5kYlGSwq2FPUzwz1WrVkQEH2r6naWCcxVLh9NcKy2bSY&#10;CatSJanjeEpAH/6aoDLX2ySN08I0uVe1KopRma02Lsoo7E+uwDr3Y5xGRVBrmsEQsj9ipZLmjNdh&#10;78JvlsUqg862b0aaGCU5bBtToi1Q8BArZoH7e1wWcXNNLEu2Dlc8SvKIF6tcgJ9uvDOtE9uasru0&#10;FH1VRG4gDM5a2Q2Jy+LNgt++JmOhHzYxM60gCE7q2+ZlpiOlMjMSRRInEZfnTvBTsrR/wUjHkFmr&#10;GZhSkzjYoQIzoyKYxEVZWPnKM1i/gezFutR2FuosVSW3O6QefrN9SNMysUSzLIFDQUpYCa1mJ36a&#10;5phv8jcxAZMk0apZBJtqjAsNV4jhMdQUaTQh1EmRJzyJEszEQOLTMo14dHSRe4Mt0JVNVWZgvKuS&#10;FKHBC55GOtIZeEl6JlUKdYvWQKGhiea3RKd2tvfSIjoj3WFfjHTIVU3KHz5GVIhWJUEP8wjjYd+D&#10;tBcZNaZXhZAILAANUfTQvMcdFFgTsLpQERbV5pXmwWMRtYIiZi4X5wL83CkYzDkutcfqGjDD/Stg&#10;Z6mywqv6eoo3SUTwWm7QW4w7XFpJDEgx4AOdlutgHipdppAM+zNEuMSQ9R0opYGJUNiGdIJJBfCU&#10;NWfAU+VIp5iRWCXIn7HOJ5Exb2c6gzLvXzOQkDSaeVdHcEaGpOMc/zkU0mmW6nC+w6DKSlezLoDq&#10;rMlC9obfrEQopeFW5ZrLiNZKslMqUUXsfobbE57R4OcoL9LC1Qw1lFiO9ZoWsAOzQvOEiqEjgz6X&#10;qC3bWYbxxClTzBAnBAFWhX1kubZ9LeHF3iXZioeyODjsfMKtxRUxCkqRxrAHOAdS3o3lQXE5l7iL&#10;n27qBiBaT12umOUoz4CBpvfBC1yMnztDgWVJUTBecCl+7pTmOcUF+OkKYqPC6ejtgqFguOJYQyZC&#10;zbJ0wUwvvXiVAIxA5sVsQ5czg0r9JB5eaZ5MGnASyDt2DzKw0DAwL5XliG9QnGFtb38sswSzprdO&#10;gxrCythqllRpZTjt6ULFkQIlmY3jckfhaSw87LsJupqU/avVwEpndmG9nWGtIrUKbaC46ZsV2DkI&#10;kF2hvVrZRmlwwir4fhzO45JNBJhkBagE1SZZ6pQZcEXjY/irdcOAF4EEh5Jz6Dzr8EwK6OYpboe2&#10;baKJJUP4As+EsLlW0C/maW2bidUxjPKLeWrFLZQaliUrPVZD9sC07GdlnvafmcFauW1iXuxTqU0v&#10;9unFPvXuMAFyvHJhDcNPq2lEwWDOcakjgy8DqFmyy0V1PcdDvWhbGbx2MVCxSw3fzMVANaLNK+uL&#10;gcp+zleYu8FyvZ67XLObtepioXZt7MD7dbFQbbjfGVmoMJ3PIOjDBU9+4kBTlWIXUcfkurCBpibO&#10;dWQ8QAeGmmL3L0t5S7LAXk5q/Cd14Ac8XxGCRE3UaYzfI+ck8UGnrRTqsNNmGhhxGzpyiqDTKIE3&#10;G64Uz8K/RaQcAgXnMzIQ+sfNDGOf73oY3bQVNWP8PttBjeaPQ8L6eBAQleDGsSOqT/gc0d42xGKy&#10;cEjtXzaLgrUcgTADID+lOd+74HbVe9bg3A7Bhw4j+6wYAY636dnFkiLrjIC1x8z5Qmbo3k4oHIVp&#10;IIItw8aw1YnfU+ia2akVs3m0+fjLJdkCPMtbIslDpUYrDrdw5ng4liIKJUecifsdPOFouFVlQ8lH&#10;9AFBt1AvJuaQ5ziNgytCbr+ardTaOrRw8/HdR6eQbJTh6Bm5Fjfj9T+8n1Sz8Wj+VwtE5cfYE4eU&#10;buSXSn55J79Um/mvljadY7KYPiwREzzdVMSROn6x1sk2e8HkBHxiWNMqiXVUkqtfwprZzDsU1oCO&#10;CAWwewaIwUFYhnX81OMHvypiE8z4JRS5YH+vYa2NgoS1JhpeBmoWUrICDeunz6Uo4SsuFIUqWA4O&#10;RLW2vu/nnu/5q6KaHQNo88QO45FQzZLtgWq+oKufptF+VOtd8CBU2+HDkVDN92+7NSFgZ0hJoglF&#10;+tDPp1djBCo6S1TL8gT7FduoZsJzhqDai+c1Q9YF1fYnG4r0No3gFGyM0xa+RDWz6XsgqiW0N85h&#10;RXG+a6whopRWIu3GWiuFGtWaaXjdfgJUw/ZnnCOgAGErL0G11r4zqnX0/BVRjVsibJT9AeT9TBQm&#10;24lqomBvE6x3wW0c2WOrcTsEH46Cakz3jTPiXFEN8Y8Ih03IrWQntLHVTHzNAFQL53W6a6vxaF9s&#10;NXvCwBFy3RGcrBEUte2BNNspB4IatqC9qabiRHsPI6vlTJu48n6mWkChBrVmGqcENaURnI/YX/hb&#10;X4RqA9nnu/6KqMaDcGxbzclHpzLn+k9jolgLhVJRuR2CD0dBNab7xhlxpqiGSHskTiD7i+ezATXj&#10;VhoAagdOa5PdbD0PFwfkYefC1KZanGZFqsvY7wnZbTWbmnQgqtlFiV2WxxGyGjmHx6MaXLald0Cm&#10;hU2qgzbmw1xaKQhUa6ThVfsJTDWERVMqK9LOXgRqQd8V9h933O+y503u9z3J6Jgmk+vjbau5lpAy&#10;tw05jgPSke3W5XVBV38PB6TkGLvx+Cn33w4w1ZCwZuRZ8OE4oFb3b7s1YYu5AYTuffvXu+B21Ts2&#10;65mCGlapSY4MR+96MaBm8zMGoFowrzu1ohzFC6oNRTXkI2u4kbExxDrZwdqQcBG49rOCcwAzXeIA&#10;knBfLcc2bASThmztWPO+qIS1Ngo1rDXTOCWsIWMrQdahfqGtFnIvz5HYFXKPdZjhng+28T1/TVut&#10;VufOsXcyWOvtWOxdsFObC1ttlw8ng7Xe/etdsJMRZwprcYSUyAJnZnidaHFtaLhIklIOos0GhLrd&#10;VYsaKX10FEKoFsXEvmyszXqd4llba9gKyyOkwmuwVW6s4bwFrIAPNNfiHPtq5Ioj2EKCveZ4EDbX&#10;Eo2sTcSTGB8ycjYjl7TpzbVWCjWuNdPwQnAKcw0HgMZRgpxe5uHAgBHJPoA+HXJjzKwm9imNLDSz&#10;+PBdf0Vg40GAneIachRgY7Kd9pooGDCCjRl+SjOsd8FOfV4DG7dD8OEowMZ03zgjzhTY4CjJS11S&#10;DIDYWcOZN0Yl+sMAe4dBynndXy2KeX3BtUNxDccXYWWCA/54CJ25NiRgJE5hvLswSJXh5JdtPxo2&#10;8TQBqIE1OCH59xrW2ijUsNZMw8vAKWAtQvYjdoVyv8E8ENbSklSvWRWAfeVOFCltYtOZNoZ9MuqN&#10;3RWv5obklpD77YhxkEy2U5uLgicI/6thjdsh+HAUWGO6b5wRZwpr5mB3+CJx/l6Aa0NDRrr1YoKj&#10;KrEoDvWi12mQt+oS3k/3UHTduiDsNeAPzgfDJQY8hg7YhgSNQMfguBirmZEHB4PDHZPDBgd50kj9&#10;W82sMnvCWuiHbKZQA1szDS8EpwC2GJGQOMYTRxe+bH+Njkl0blwyd3HUUWivpYA93p2s3bi+669o&#10;r3FLoNBdQ45irzHZTn0uCgaMYDuNn9Je613wAHuN2yH4cBRgY7pvnBHnCmw4dlPhUFI641gabEPD&#10;RgbqRTGxzwrYXiHlio46o3Nfvalx2O01o2qJ7MDPcEQ2bC9oYYpNcLcAydtssHu3G9dK54LROwbk&#10;UvrI+qSH+UEV7d42A2L+ipYe98zI4si9RAPochbfkqYagFy+ht6XwMiXuquAQearcDw69D6bXl3B&#10;kPt6endFvmQ5FbAMM/FyHr/ZhgEnjnMev58mgE4nmx1LCP8GQNGKNa2O0KC2JHj5As9BXhjwUy4Q&#10;+pQJKmYi/LTEgvts/KxDO7kYP21x2cpG6jtRLbVd7d8VTOxYf/hX/tS5iAFpS04UV8u89ftsXudo&#10;ExxBghhMc0iv3NSzNxQcuqmHTV4E5NpNPQOg20ngBS7Mc5t6yLFEFr21gmrvZxsFYSQ20sCQWww+&#10;iZGIE4NzhX0AXlMO9H62dd7b2Lg4gpcfOJgXvHZqssfyw+wOHi8I07WEjCPbkA4Nj4WLMHja1Hrm&#10;yIqirFH5aTWrKBgwgkvxU2JA74LMVSayR0tzOwQfOpT0WTFij6L152sQOLbdB+YLGQh9M2eb4Kwn&#10;HKdPezfSRkSy/cBNvVLDTHSxDiXO4c+3NutZish3Fkgpz+uLjdjm+my54pSulcCJ7LVGHmIkdtmI&#10;CW7wcPe51sd3+UUYDWZtmXl82uvJu9iI5hpffz1oYFj2M3eluXexEQ3qCnZaq6rfhangJETYv3yx&#10;EY12JqvPrbp4fcDPi40IDu1njl39NNrCr8zFPUuXi43o7D6+MBznniAaA2EnvB6yG4n2drtDbUSk&#10;ANHdKebcIuwwq+3IRVznjpxACIpZDSFkeCdRD1c9NZOojcQWIh6FT2ElRjEucaQL45mLA63Ett6z&#10;ldjV970rkOOaib4pZB/ZoTyKnejpdiocWdK1wGIgqxt+BpailzpjlzRdi2gV2bay22Mp+oYIVhzF&#10;VPSE3zov9mhcbwf+DI1FhVMwcQ8SLlTieW1SG+ydhQNS9kLthjgKu96oLQw/4EZBIlnXL0jO0lx8&#10;FTcoTtJLcfkWXSsZeEEHpTYINx6uvEV0/l4vKDDBuQMavaABhRrgIHDCk8o0TopvOKG1iOhGR+bh&#10;QHzrZt/FC3rxgi7kRdvsQDMWmvCLM7jzMwB56UDnAvyUBTtB/kyBDTm4dAsfAIYntAW2wbkNwg2a&#10;YIkPbWF3f3jhyqNocA0xhhdcm1bL9fJu8/l0cC46YjVxkmNtczjLbVhuQx2cj9PkclzVGo4fMvoU&#10;roz3lpuPEa2BTcT3ByRqYGshckpkg5GKKxtwFy/Pg4HA1tZ5lv+urr+m4cZDaa0Vsz18jAMxfRe7&#10;jRVuAel0pOfYeGOIAatofkpV3btgp06vAzF8kwUrjmO4iR5utyfsnG/CaXhxpviGoIcyFbPaotvw&#10;DIdAO+K67i1084N4MduOdipmqXAPM05a8ZrZwduQDAdc013iunXjmIQ1v2114wZhc+sxjZ7SdWxo&#10;jW3N79fI1kzhlMCGa94LXH+GkxJeiGzNXWdc6+j4K8IatwSq3I3hUdyRTLYT1ETBWoY6MK13wW0M&#10;2eOM5HYIPhwF0pjuG2fEmQJamSn4YMTZEhbRhqY2SIVId5Jt4RmPtYGzmDOZvTq7ZOw9Tg/NRFeU&#10;8ZxrBGSyPrZ4BlQykUf318ju+6Zafbf6tnJ/MNcE0XU3HP9YZzOUOGmEbHcCLETDxGZlU7uR4wIR&#10;mtjCs/ts3o0MbcwHYqoWCjWktdDwQnCKbTZkcSBlL01eiGlh53e98EHXAx3NXvhXS0X3TRHq/BjG&#10;mqfbqc5lyYAXbMfwUxprvQseAGy+IYIVR0E2T/it8+JMsQ1HLCATN6+vKjPYhhO+jB48/JyVCKeH&#10;pe6giSblmBY4Pszlo8deOXrFdmbo9gppe6pICqQ9xzW2HRaS2ZKnl+Gmue2VSRiCSRtwrEF6qOZP&#10;EIJJMEw5Z74lny5Nb28VQTSlTWU8NE2vV1eAvC9M0zPdCFiGmXdJ0/uEIZhWcDqsYT+xAIJYOtbz&#10;qi2fQ77Ac5CXAvyUS4I+ZYKKmQg/LbEgTc9PCYgQF+OnLS5b2Uh9jyXt38WCw03wUceCw7/yp87F&#10;PUuVSwjmVggmskZgwdXH/DvDcMiR0nQLd0mRLpA/A59b23hlminsthi7UOUpPIR2m8/bhW0Earuw&#10;mYRfPZ3CLNQZ/Le6fPH944OY53v+mr5ON4xkCdlR7NDuYUhjm0rnoe20g0TBWopadbDzU3hx6yi4&#10;DRR7NDS3Q/ChQ0GfFSPAyLZc6J9z1GWeIIQkF+cyWXvQrJCGBF3Kaa3KNNk63YqF6OLsPNreXVLg&#10;8h9aQgYRl7jg7nBXZ5ziUB9yZUIpaR2rxJ0VzRtQOJwS44uazPDhGGu1c5h0C4Ua0lpoeM1+AkwD&#10;iiucPI/rkhwLh8alHMI9pTDraIx8z/diWrc5jYNXscSAIcocBu0GA/kH9NJblWROx7Iln8o2RCeR&#10;LPfr9YbaVM2mm9H8Zjwfj3CE0GY8qm7G1Xj07mb8zq6QvKIV0SMseoAf1+KjwDAzi0R+GwxD60aW&#10;DHjGxfgpDbHeBbfr3gPEviGCFUdBYk/4rfPiTLEYKe1JghO5/BmJFosHx4niCJGc7m7AcOJ2MxU7&#10;+8Nr8yyH7wG+W6PNpRZg994ZpcsbWHm+Xxl9e19NVg+P068mm4n8bs5NuJ7Fy4fl/HZWff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BkAAFtD&#10;b250ZW50X1R5cGVzXS54bWxQSwECFAAKAAAAAACHTuJAAAAAAAAAAAAAAAAABgAAAAAAAAAAABAA&#10;AABCGAAAX3JlbHMvUEsBAhQAFAAAAAgAh07iQIoUZjzRAAAAlAEAAAsAAAAAAAAAAQAgAAAAZhgA&#10;AF9yZWxzLy5yZWxzUEsBAhQACgAAAAAAh07iQAAAAAAAAAAAAAAAAAQAAAAAAAAAAAAQAAAAAAAA&#10;AGRycy9QSwECFAAUAAAACACHTuJAlHpitdoAAAAMAQAADwAAAAAAAAABACAAAAAiAAAAZHJzL2Rv&#10;d25yZXYueG1sUEsBAhQAFAAAAAgAh07iQGZxkhvtFgAAMbcAAA4AAAAAAAAAAQAgAAAAKQEAAGRy&#10;cy9lMm9Eb2MueG1sUEsFBgAAAAAGAAYAWQEAAIgaAAAAAA==&#10;">
                <o:lock v:ext="edit" aspectratio="f"/>
                <v:shape id="跨页引用" o:spid="_x0000_s1026" o:spt="100" style="position:absolute;left:1785000;top:87000;height:444000;width:2955000;" fillcolor="#FFFFFF" filled="t" stroked="t" coordsize="2955000,444000" o:gfxdata="UEsDBAoAAAAAAIdO4kAAAAAAAAAAAAAAAAAEAAAAZHJzL1BLAwQUAAAACACHTuJAh3M0L8QAAADj&#10;AAAADwAAAGRycy9kb3ducmV2LnhtbEWPQU/DMAyF70j8h8iTuLG0pWyjLJsQEgiJyxaQuFqNaao1&#10;TmnCNv49PiBxtP383vvW23MY1JGm1Ec2UM4LUMRtdD13Bt7fnq5XoFJGdjhEJgM/lGC7ubxYY+Pi&#10;ifd0tLlTYsKpQQM+57HROrWeAqZ5HInl9hmngFnGqdNuwpOYh0FXRbHQAXuWBI8jPXpqD/Y7GLiL&#10;X/XOvq6eu97HW5vsTXzIH8ZczcriHlSmc/4X/32/OKlfLqtqWde1UAiTLEBv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3M0L8QAAADjAAAADwAAAAAAAAABACAAAAAiAAAAZHJzL2Rvd25yZXYueG1sUEsBAhQAFAAAAAgA&#10;h07iQDMvBZ47AAAAOQAAABAAAAAAAAAAAQAgAAAAEwEAAGRycy9zaGFwZXhtbC54bWxQSwUGAAAA&#10;AAYABgBbAQAAvQMAAAAA&#10;" path="m2955000,222000nsl2955000,0,0,0,0,222000,1477500,444000,2955000,222000xem2955000,222000nfl2955000,0,0,0,0,222000,1477500,444000,2955000,222000xe">
                  <v:path o:connectlocs="0,222000;1477500,0;2955000,222000;1477500,444000" o:connectangles="0,0,0,0"/>
                  <v:fill on="t" focussize="0,0"/>
                  <v:stroke weight="0.47244094488189pt" color="#101843" joinstyle="round"/>
                  <v:imagedata o:title=""/>
                  <o:lock v:ext="edit" aspectratio="f"/>
                </v:shape>
                <v:shape id="特殊形状" o:spid="_x0000_s1026" o:spt="100" style="position:absolute;left:2393622;top:1076250;height:1737750;width:1737750;" fillcolor="#FFFFFF" filled="t" stroked="t" coordsize="1737750,1737750" o:gfxdata="UEsDBAoAAAAAAIdO4kAAAAAAAAAAAAAAAAAEAAAAZHJzL1BLAwQUAAAACACHTuJADi44/8AAAADi&#10;AAAADwAAAGRycy9kb3ducmV2LnhtbEVPz0vDMBS+C/4P4QleZEsmo+3q0iGK4GEITnfY7dE829Lk&#10;pTSx6/57IwgeP77f293srJhoDJ1nDaulAkFce9Nxo+Hz42VRgAgR2aD1TBouFGBXXV9tsTT+zO80&#10;HWIjUgiHEjW0MQ6llKFuyWFY+oE4cV9+dBgTHBtpRjyncGflvVKZdNhxamhxoKeW6v7w7TTY093j&#10;Phz7+bJn+/bso5lUsdH69malHkBEmuO/+M/9atL8fL0u8izP4PdSwi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Ljj/&#10;wAAAAOIAAAAPAAAAAAAAAAEAIAAAACIAAABkcnMvZG93bnJldi54bWxQSwECFAAUAAAACACHTuJA&#10;My8FnjsAAAA5AAAAEAAAAAAAAAABACAAAAAPAQAAZHJzL3NoYXBleG1sLnhtbFBLBQYAAAAABgAG&#10;AFsBAAC5AwAAAAA=&#10;" path="m829734,1737750nsl789726,1737750c750300,1737750,680142,1721496,579250,1688994c510831,1666938,434872,1626894,351377,1568850c263243,1505004,191344,1429554,135680,1342488c102050,1289094,71899,1224084,45227,1147470c15076,1061568,0,989022,0,929820l0,903702,556636,903702,829734,1180554,829734,1737750xem829734,561248nsl560115,832308,0,832308,0,806244c0,805086,8987,754404,26962,654198c44937,553998,99731,447134,191344,333610c286435,214300,387327,132052,494015,86871c562435,57923,606504,41127,626214,36484c652890,30698,678978,24332,704490,17385c754362,5795,789726,0,810600,0l829734,0,829734,561248xem1737750,915888nsc1737750,979734,1723254,1055766,1694262,1143990c1635120,1313472,1534812,1453926,1393332,1565370c1342308,1605996,1272726,1645464,1184592,1683774c1167198,1690734,1131828,1700604,1078482,1713372c1015860,1729626,970056,1737750,941064,1737750l901056,1737750,901056,1184040,1182852,903702,1737750,903702,1737750,915888xem1737750,832308nsl1175898,832308,901056,554881,901056,0,920190,0c990930,0,1079064,19652,1184592,58957c1200828,67046,1225758,79181,1259388,95360c1370718,141611,1472766,229472,1565538,358939c1649034,474531,1700064,585507,1718616,691866c1729050,750816,1735428,797628,1737750,832308xem829734,1737750nfl789726,1737750c750300,1737750,680142,1721496,579250,1688994c510831,1666938,434872,1626894,351377,1568850c263243,1505004,191344,1429554,135680,1342488c102050,1289094,71899,1224084,45227,1147470c15076,1061568,0,989022,0,929820l0,903702,556636,903702,829734,1180554,829734,1737750xem829734,561248nfl560115,832308,0,832308,0,806244c0,805086,8987,754404,26962,654198c44937,553998,99731,447134,191344,333610c286435,214300,387327,132052,494015,86871c562435,57923,606504,41127,626214,36484c652890,30698,678978,24332,704490,17385c754362,5795,789726,0,810600,0l829734,0,829734,561248xem1737750,915888nfc1737750,979734,1723254,1055766,1694262,1143990c1635120,1313472,1534812,1453926,1393332,1565370c1342308,1605996,1272726,1645464,1184592,1683774c1167198,1690734,1131828,1700604,1078482,1713372c1015860,1729626,970056,1737750,941064,1737750l901056,1737750,901056,1184040,1182852,903702,1737750,903702,1737750,915888xem1737750,832308nfl1175898,832308,901056,554881,901056,0,920190,0c990930,0,1079064,19652,1184592,58957c1200828,67046,1225758,79181,1259388,95360c1370718,141611,1472766,229472,1565538,358939c1649034,474531,1700064,585507,1718616,691866c1729050,750816,1735428,797628,1737750,832308xe">
                  <v:path o:connectlocs="0,868875;868875,0;1737750,868875;868875,1737750" o:connectangles="0,0,0,0"/>
                  <v:fill on="t" focussize="0,0"/>
                  <v:stroke weight="0.47244094488189pt" color="#101843" joinstyle="round"/>
                  <v:imagedata o:title=""/>
                  <o:lock v:ext="edit" aspectratio="f"/>
                </v:shape>
                <v:group id="Group 2" o:spid="_x0000_s1026" o:spt="203" style="position:absolute;left:2985499;top:1849349;height:249301;width:554003;" coordorigin="2985499,1849349" coordsize="554003,249301" o:gfxdata="UEsDBAoAAAAAAIdO4kAAAAAAAAAAAAAAAAAEAAAAZHJzL1BLAwQUAAAACACHTuJAoqmH48IAAADj&#10;AAAADwAAAGRycy9kb3ducmV2LnhtbEVPS2vCQBC+F/wPywi91c2qFY2uIlJLD1LwAeJtyI5JMDsb&#10;smui/75bKPQ433sWq4etREuNLx1rUIMEBHHmTMm5htNx+zYF4QOywcoxaXiSh9Wy97LA1LiO99Qe&#10;Qi5iCPsUNRQh1KmUPivIoh+4mjhyV9dYDPFscmka7GK4reQwSSbSYsmxocCaNgVlt8PdavjssFuP&#10;1Ee7u103z8vx/fu8U6T1a18lcxCBHuFf/Of+MnG+Gk9ns8lwNIbfnyIAcvk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iqYfjwgAAAOMAAAAPAAAAAAAAAAEAIAAAACIAAABkcnMvZG93bnJl&#10;di54bWxQSwECFAAUAAAACACHTuJAMy8FnjsAAAA5AAAAFQAAAAAAAAABACAAAAARAQAAZHJzL2dy&#10;b3Vwc2hhcGV4bWwueG1sUEsFBgAAAAAGAAYAYAEAAM4DAAAAAA==&#10;">
                  <o:lock v:ext="edit" aspectratio="f"/>
                  <v:shape id="Rectangle" o:spid="_x0000_s1026" o:spt="100" style="position:absolute;left:2985499;top:1849349;height:249301;width:554003;" filled="f" stroked="f" coordsize="554003,249301" o:gfxdata="UEsDBAoAAAAAAIdO4kAAAAAAAAAAAAAAAAAEAAAAZHJzL1BLAwQUAAAACACHTuJAhckkxMIAAADj&#10;AAAADwAAAGRycy9kb3ducmV2LnhtbEVPzWoCMRC+F3yHMIKXosmq1bo1ehAKvXhQS9vjsJnubt1M&#10;liR1rU9vBKHH+f5nuT7bRpzIh9qxhmykQBAXztRcang/vA6fQYSIbLBxTBr+KMB61XtYYm5cxzs6&#10;7WMpUgiHHDVUMba5lKGoyGIYuZY4cd/OW4zp9KU0HrsUbhs5VmomLdacGipsaVNRcdz/Wg2d7x7r&#10;D+W3x0X4/Mm+Dot4sVutB/1MvYCIdI7/4rv7zaT5ajKZjufzpyncfkoAy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XJ&#10;JMTCAAAA4wAAAA8AAAAAAAAAAQAgAAAAIgAAAGRycy9kb3ducmV2LnhtbFBLAQIUABQAAAAIAIdO&#10;4kAzLwWeOwAAADkAAAAQAAAAAAAAAAEAIAAAABEBAABkcnMvc2hhcGV4bWwueG1sUEsFBgAAAAAG&#10;AAYAWwEAALsDAAAAAA==&#10;" path="m0,0nsl554003,0,554003,249301,0,249301,0,0xem0,0nfl554003,0,554003,249301,0,249301,0,0xe">
                    <v:fill on="f" focussize="0,0"/>
                    <v:stroke on="f" weight="0.47244094488189pt"/>
                    <v:imagedata o:title=""/>
                    <o:lock v:ext="edit" aspectratio="f"/>
                  </v:shape>
                  <v:shape id="Text 3" o:spid="_x0000_s1026" o:spt="202" type="#_x0000_t202" style="position:absolute;left:2985499;top:1812000;height:324000;width:554003;v-text-anchor:middle;" filled="f" stroked="f" coordsize="21600,21600" o:gfxdata="UEsDBAoAAAAAAIdO4kAAAAAAAAAAAAAAAAAEAAAAZHJzL1BLAwQUAAAACACHTuJAcTkpOMMAAADj&#10;AAAADwAAAGRycy9kb3ducmV2LnhtbEVPS0/CQBC+m/gfNmPCTbYUKKSwEGPERzwYChy4jd2x3did&#10;bbpLwX/Pmph4nO89y/XFNqKnzhvHCkbDBARx6bThSsF+t7mfg/ABWWPjmBT8kIf16vZmibl2Z95S&#10;X4RKxBD2OSqoQ2hzKX1Zk0U/dC1x5L5cZzHEs6uk7vAcw20j0yTJpEXDsaHGlh5rKr+Lk1VweHtv&#10;+swcXz7C+LB/eH6aGSo+lRrcjZIFiECX8C/+c7/qOH88SSdZmk6n8PtTBECur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OSk4wwAAAOMAAAAPAAAAAAAAAAEAIAAAACIAAABkcnMvZG93bnJldi54bWxQSwECFAAUAAAACACH&#10;TuJAMy8FnjsAAAA5AAAAEAAAAAAAAAABACAAAAASAQAAZHJzL3NoYXBleG1sLnhtbFBLBQYAAAAA&#10;BgAGAFsBAAC8AwAAAAA=&#10;">
                    <v:fill on="f" focussize="0,0"/>
                    <v:stroke on="f"/>
                    <v:imagedata o:title=""/>
                    <o:lock v:ext="edit" aspectratio="f"/>
                    <v:textbox inset="0.635mm,0.635mm,0.635mm,0.635mm">
                      <w:txbxContent>
                        <w:p w14:paraId="4C75697E">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企业税务合规管理规范</w:t>
                          </w:r>
                        </w:p>
                      </w:txbxContent>
                    </v:textbox>
                  </v:shape>
                </v:group>
                <v:group id="Group 4" o:spid="_x0000_s1026" o:spt="203" style="position:absolute;left:2623387;top:2094601;height:335399;width:551421;" coordorigin="2623387,2094601" coordsize="551421,335399" o:gfxdata="UEsDBAoAAAAAAIdO4kAAAAAAAAAAAAAAAAAEAAAAZHJzL1BLAwQUAAAACACHTuJAVkAoZsEAAADj&#10;AAAADwAAAGRycy9kb3ducmV2LnhtbEVPX0vDMBB/F/wO4YS9uSQbBq3Lhgw39jAEN0F8O5pbW9Zc&#10;ShPb7dsbQfDxfv9vsbr4VgzUxyawBT1VIIjL4BquLHwcN/ePIGJCdtgGJgtXirBa3t4ssHBh5Hca&#10;DqkSOYRjgRbqlLpCyljW5DFOQ0ecuVPoPaZ89pV0PY453LdyppSRHhvODTV2tK6pPB++vYXtiOPL&#10;XL8O+/Npff06Prx97jVZO7nT6hlEokv6F/+5dy7PN3o+M+rJGPj9KQMglz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FZAKGbBAAAA4wAAAA8AAAAAAAAAAQAgAAAAIgAAAGRycy9kb3ducmV2&#10;LnhtbFBLAQIUABQAAAAIAIdO4kAzLwWeOwAAADkAAAAVAAAAAAAAAAEAIAAAABABAABkcnMvZ3Jv&#10;dXBzaGFwZXhtbC54bWxQSwUGAAAAAAYABgBgAQAAzQMAAAAA&#10;">
                  <o:lock v:ext="edit" aspectratio="f"/>
                  <v:shape id="Rectangle" o:spid="_x0000_s1026" o:spt="100" style="position:absolute;left:2623387;top:2094601;height:335399;width:551421;" filled="f" stroked="f" coordsize="551421,335399" o:gfxdata="UEsDBAoAAAAAAIdO4kAAAAAAAAAAAAAAAAAEAAAAZHJzL1BLAwQUAAAACACHTuJAzw80tsIAAADi&#10;AAAADwAAAGRycy9kb3ducmV2LnhtbEVPTWvCQBC9F/wPywheim6iWGJ09VCtSKEFo4jehuyYhGZn&#10;Y3ar9t+7hUKPj/c9W9xNLa7UusqygngQgSDOra64ULDfvfUTEM4ja6wtk4IfcrCYd55mmGp74y1d&#10;M1+IEMIuRQWl900qpctLMugGtiEO3Nm2Bn2AbSF1i7cQbmo5jKIXabDi0FBiQ68l5V/Zt1Gw/lht&#10;15+n52OcZfyebJbmshodlOp142gKwtPd/4v/3Bsd5k+Gk3ESj8bweylgkPM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8P&#10;NLbCAAAA4gAAAA8AAAAAAAAAAQAgAAAAIgAAAGRycy9kb3ducmV2LnhtbFBLAQIUABQAAAAIAIdO&#10;4kAzLwWeOwAAADkAAAAQAAAAAAAAAAEAIAAAABEBAABkcnMvc2hhcGV4bWwueG1sUEsFBgAAAAAG&#10;AAYAWwEAALsDAAAAAA==&#10;" path="m0,0nsl551421,0,551421,335399,0,335399,0,0xem0,0nfl551421,0,551421,335399,0,335399,0,0xe">
                    <v:fill on="f" focussize="0,0"/>
                    <v:stroke on="f" weight="0.47244094488189pt"/>
                    <v:imagedata o:title=""/>
                    <o:lock v:ext="edit" aspectratio="f"/>
                  </v:shape>
                  <v:shape id="Text 5" o:spid="_x0000_s1026" o:spt="202" type="#_x0000_t202" style="position:absolute;left:2623387;top:2094601;height:335399;width:551421;v-text-anchor:middle;" filled="f" stroked="f" coordsize="21600,21600" o:gfxdata="UEsDBAoAAAAAAIdO4kAAAAAAAAAAAAAAAAAEAAAAZHJzL1BLAwQUAAAACACHTuJAPo4c1MMAAADj&#10;AAAADwAAAGRycy9kb3ducmV2LnhtbEVPT0/CMBS/m/gdmkfCTTogHWZSiDGKGg7GAQduz/WxNa6v&#10;y1oHfntrYuLx/f6/5friWjFQH6xnDdNJBoK48sZyrWG/e7q5BREissHWM2n4pgDr1fXVEgvjz/xO&#10;QxlrkUI4FKihibErpAxVQw7DxHfEiTv53mFMZ19L0+M5hbtWzrIslw4tp4YGO3poqPosv5yGw+u2&#10;HXJ7fH6L88P+fvO4sFR+aD0eTbM7EJEu8V/8534xab5azJXKZ0rB708JALn6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jhzUwwAAAOMAAAAPAAAAAAAAAAEAIAAAACIAAABkcnMvZG93bnJldi54bWxQSwECFAAUAAAACACH&#10;TuJAMy8FnjsAAAA5AAAAEAAAAAAAAAABACAAAAASAQAAZHJzL3NoYXBleG1sLnhtbFBLBQYAAAAA&#10;BgAGAFsBAAC8AwAAAAA=&#10;">
                    <v:fill on="f" focussize="0,0"/>
                    <v:stroke on="f"/>
                    <v:imagedata o:title=""/>
                    <o:lock v:ext="edit" aspectratio="f"/>
                    <v:textbox inset="0.635mm,0.635mm,0.635mm,0.635mm">
                      <w:txbxContent>
                        <w:p w14:paraId="3ADF44AA">
                          <w:pPr>
                            <w:snapToGrid w:val="0"/>
                            <w:spacing w:line="240" w:lineRule="auto"/>
                            <w:jc w:val="left"/>
                            <w:rPr>
                              <w:rFonts w:hint="eastAsia" w:ascii="黑体" w:hAnsi="黑体" w:eastAsia="黑体"/>
                              <w:bCs/>
                              <w:color w:val="191919"/>
                              <w:sz w:val="18"/>
                              <w:szCs w:val="18"/>
                            </w:rPr>
                          </w:pPr>
                          <w:r>
                            <w:rPr>
                              <w:rFonts w:hint="eastAsia" w:ascii="黑体" w:hAnsi="黑体" w:eastAsia="黑体"/>
                              <w:bCs/>
                              <w:color w:val="191919"/>
                              <w:sz w:val="18"/>
                              <w:szCs w:val="18"/>
                            </w:rPr>
                            <w:t>税务高风险事项合规管理</w:t>
                          </w:r>
                        </w:p>
                      </w:txbxContent>
                    </v:textbox>
                  </v:shape>
                </v:group>
                <v:group id="Group 6" o:spid="_x0000_s1026" o:spt="203" style="position:absolute;left:3416154;top:1279349;height:249301;width:408000;" coordorigin="3416154,1279349" coordsize="408000,249301" o:gfxdata="UEsDBAoAAAAAAIdO4kAAAAAAAAAAAAAAAAAEAAAAZHJzL1BLAwQUAAAACACHTuJAiJ37WsUAAADj&#10;AAAADwAAAGRycy9kb3ducmV2LnhtbEWPQWvCQBCF74X+h2UK3upmGxSbukoRLT1IoVoovQ3ZMQlm&#10;Z0N2TfTfdw6FHmfmzXvvW66vvlUD9bEJbMFMM1DEZXANVxa+jrvHBaiYkB22gcnCjSKsV/d3Syxc&#10;GPmThkOqlJhwLNBCnVJXaB3LmjzGaeiI5XYKvcckY19p1+Mo5r7VT1k21x4bloQaO9rUVJ4PF2/h&#10;bcTxNTfbYX8+bW4/x9nH996QtZMHk72ASnRN/+K/73cn9ee5Wcye81wohEkWoFe/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InftaxQAAAOMAAAAPAAAAAAAAAAEAIAAAACIAAABkcnMvZG93&#10;bnJldi54bWxQSwECFAAUAAAACACHTuJAMy8FnjsAAAA5AAAAFQAAAAAAAAABACAAAAAUAQAAZHJz&#10;L2dyb3Vwc2hhcGV4bWwueG1sUEsFBgAAAAAGAAYAYAEAANEDAAAAAA==&#10;">
                  <o:lock v:ext="edit" aspectratio="f"/>
                  <v:shape id="Rectangle" o:spid="_x0000_s1026" o:spt="100" style="position:absolute;left:3416154;top:1279349;height:249301;width:408000;" filled="f" stroked="f" coordsize="408000,249301" o:gfxdata="UEsDBAoAAAAAAIdO4kAAAAAAAAAAAAAAAAAEAAAAZHJzL1BLAwQUAAAACACHTuJAXxxGPMQAAADi&#10;AAAADwAAAGRycy9kb3ducmV2LnhtbEWP3WrCQBCF7wt9h2UK3tWNkcQ2ugqtKEoJUtsHmGbHJJid&#10;DdnVaJ++KxS8PJyfjzNbXEwjztS52rKC0TACQVxYXXOp4Ptr9fwCwnlkjY1lUnAlB4v548MMM217&#10;/qTz3pcijLDLUEHlfZtJ6YqKDLqhbYmDd7CdQR9kV0rdYR/GTSPjKEqlwZoDocKW3isqjvuTCdzt&#10;5KNZp9z2x3yT5z/F7/Ztt1Rq8DSKpiA8Xfw9/N/eaAWvSRJPknEaw+1SuANy/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xxGPMQAAADiAAAADwAAAAAAAAABACAAAAAiAAAAZHJzL2Rvd25yZXYueG1sUEsBAhQAFAAAAAgA&#10;h07iQDMvBZ47AAAAOQAAABAAAAAAAAAAAQAgAAAAEwEAAGRycy9zaGFwZXhtbC54bWxQSwUGAAAA&#10;AAYABgBbAQAAvQMAAAAA&#10;" path="m0,0nsl408000,0,408000,249301,0,249301,0,0xem0,0nfl408000,0,408000,249301,0,249301,0,0xe">
                    <v:fill on="f" focussize="0,0"/>
                    <v:stroke on="f" weight="0.47244094488189pt"/>
                    <v:imagedata o:title=""/>
                    <o:lock v:ext="edit" aspectratio="f"/>
                  </v:shape>
                  <v:shape id="Text 7" o:spid="_x0000_s1026" o:spt="202" type="#_x0000_t202" style="position:absolute;left:3416154;top:1242000;height:324000;width:408000;v-text-anchor:middle;" filled="f" stroked="f" coordsize="21600,21600" o:gfxdata="UEsDBAoAAAAAAIdO4kAAAAAAAAAAAAAAAAAEAAAAZHJzL1BLAwQUAAAACACHTuJAXmXxFsMAAADj&#10;AAAADwAAAGRycy9kb3ducmV2LnhtbEVPO0/DMBDekfgP1lVio3YISkuoWyHEq+qASNuB7YiviUV8&#10;jmKTln+PkZAY73vfYnVynRhpCNazhmyqQBDX3lhuNOy2j5dzECEiG+w8k4ZvCrBanp8tsDT+yG80&#10;VrERKYRDiRraGPtSylC35DBMfU+cuIMfHMZ0Do00Ax5TuOvklVKFdGg5NbTY031L9Wf15TTs15tu&#10;LOz782vM97u7p4eZpepD64tJpm5BRDrFf/Gf+8Wk+VlxkxfXucrh96cEgF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ZfEWwwAAAOMAAAAPAAAAAAAAAAEAIAAAACIAAABkcnMvZG93bnJldi54bWxQSwECFAAUAAAACACH&#10;TuJAMy8FnjsAAAA5AAAAEAAAAAAAAAABACAAAAASAQAAZHJzL3NoYXBleG1sLnhtbFBLBQYAAAAA&#10;BgAGAFsBAAC8AwAAAAA=&#10;">
                    <v:fill on="f" focussize="0,0"/>
                    <v:stroke on="f"/>
                    <v:imagedata o:title=""/>
                    <o:lock v:ext="edit" aspectratio="f"/>
                    <v:textbox inset="0.635mm,0.635mm,0.635mm,0.635mm">
                      <w:txbxContent>
                        <w:p w14:paraId="6F13D618">
                          <w:pPr>
                            <w:snapToGrid w:val="0"/>
                            <w:spacing w:line="240" w:lineRule="auto"/>
                            <w:jc w:val="left"/>
                            <w:rPr>
                              <w:rFonts w:hint="eastAsia" w:ascii="黑体" w:hAnsi="黑体" w:eastAsia="黑体"/>
                              <w:bCs/>
                              <w:color w:val="191919"/>
                              <w:sz w:val="18"/>
                              <w:szCs w:val="18"/>
                            </w:rPr>
                          </w:pPr>
                          <w:r>
                            <w:rPr>
                              <w:rFonts w:hint="eastAsia" w:ascii="黑体" w:hAnsi="黑体" w:eastAsia="黑体"/>
                              <w:bCs/>
                              <w:color w:val="191919"/>
                              <w:sz w:val="18"/>
                              <w:szCs w:val="18"/>
                            </w:rPr>
                            <w:t>税务合规日常管理</w:t>
                          </w:r>
                        </w:p>
                      </w:txbxContent>
                    </v:textbox>
                  </v:shape>
                </v:group>
                <v:group id="Group 8" o:spid="_x0000_s1026" o:spt="203" style="position:absolute;left:2623387;top:1236301;height:335399;width:563998;" coordorigin="2623387,1236301" coordsize="563998,335399" o:gfxdata="UEsDBAoAAAAAAIdO4kAAAAAAAAAAAAAAAAAEAAAAZHJzL1BLAwQUAAAACACHTuJATHMwF8UAAADi&#10;AAAADwAAAGRycy9kb3ducmV2LnhtbEWPT2vCQBTE70K/w/IKveluaiMxdZUibelBBP+A9PbIPpNg&#10;9m3IbhP99t1CweMwM79hFqurbURPna8da0gmCgRx4UzNpYbj4WOcgfAB2WDjmDTcyMNq+TBaYG7c&#10;wDvq96EUEcI+Rw1VCG0upS8qsugnriWO3tl1FkOUXSlNh0OE20Y+KzWTFmuOCxW2tK6ouOx/rIbP&#10;AYe3afLeby7n9e37kG5Pm4S0fnpM1CuIQNdwD/+3v4yGbK5maZZOX+Dv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MczAXxQAAAOIAAAAPAAAAAAAAAAEAIAAAACIAAABkcnMvZG93&#10;bnJldi54bWxQSwECFAAUAAAACACHTuJAMy8FnjsAAAA5AAAAFQAAAAAAAAABACAAAAAUAQAAZHJz&#10;L2dyb3Vwc2hhcGV4bWwueG1sUEsFBgAAAAAGAAYAYAEAANEDAAAAAA==&#10;">
                  <o:lock v:ext="edit" aspectratio="f"/>
                  <v:shape id="Rectangle" o:spid="_x0000_s1026" o:spt="100" style="position:absolute;left:2623387;top:1236301;height:335399;width:563998;" filled="f" stroked="f" coordsize="563998,335399" o:gfxdata="UEsDBAoAAAAAAIdO4kAAAAAAAAAAAAAAAAAEAAAAZHJzL1BLAwQUAAAACACHTuJAY10TscIAAADj&#10;AAAADwAAAGRycy9kb3ducmV2LnhtbEVPzWoCMRC+F/oOYYReiiZbZVlXo4fSglQ8+PMAw2bcrG4m&#10;yyZ19e2bQqHH+f5nub67VtyoD41nDdlEgSCuvGm41nA6fo4LECEiG2w9k4YHBVivnp+WWBo/8J5u&#10;h1iLFMKhRA02xq6UMlSWHIaJ74gTd/a9w5jOvpamxyGFu1a+KZVLhw2nBosdvVuqrodvp2E4Xs1u&#10;9/XYXF7tfJDTjyJst5XWL6NMLUBEusd/8Z97Y9L8XBV5NpvO5vD7UwJA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Nd&#10;E7HCAAAA4wAAAA8AAAAAAAAAAQAgAAAAIgAAAGRycy9kb3ducmV2LnhtbFBLAQIUABQAAAAIAIdO&#10;4kAzLwWeOwAAADkAAAAQAAAAAAAAAAEAIAAAABEBAABkcnMvc2hhcGV4bWwueG1sUEsFBgAAAAAG&#10;AAYAWwEAALsDAAAAAA==&#10;" path="m0,0nsl563998,0,563998,335399,0,335399,0,0xem0,0nfl563998,0,563998,335399,0,335399,0,0xe">
                    <v:fill on="f" focussize="0,0"/>
                    <v:stroke on="f" weight="0.47244094488189pt"/>
                    <v:imagedata o:title=""/>
                    <o:lock v:ext="edit" aspectratio="f"/>
                  </v:shape>
                  <v:shape id="Text 9" o:spid="_x0000_s1026" o:spt="202" type="#_x0000_t202" style="position:absolute;left:2623387;top:1236301;height:336000;width:563998;v-text-anchor:middle;" filled="f" stroked="f" coordsize="21600,21600" o:gfxdata="UEsDBAoAAAAAAIdO4kAAAAAAAAAAAAAAAAAEAAAAZHJzL1BLAwQUAAAACACHTuJAziF5acQAAADi&#10;AAAADwAAAGRycy9kb3ducmV2LnhtbEWPy07DMBBF90j8gzVI3VG7qUhpqFsh1AeIBSK0C3ZDPCQW&#10;8TiK3bT9e7xAYnl1XzqL1dm1YqA+WM8aJmMFgrjyxnKtYf+xub0HESKywdYzabhQgNXy+mqBhfEn&#10;fqehjLVIIxwK1NDE2BVShqohh2HsO+LkffveYUyyr6Xp8ZTGXSszpXLp0HJ6aLCjp4aqn/LoNBxe&#10;Xtsht5+7tzg97B+365ml8kvr0c1EPYCIdI7/4b/2s9Ewz/LZ/E5lCSIhJRyQy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iF5acQAAADiAAAADwAAAAAAAAABACAAAAAiAAAAZHJzL2Rvd25yZXYueG1sUEsBAhQAFAAAAAgA&#10;h07iQDMvBZ47AAAAOQAAABAAAAAAAAAAAQAgAAAAEwEAAGRycy9zaGFwZXhtbC54bWxQSwUGAAAA&#10;AAYABgBbAQAAvQMAAAAA&#10;">
                    <v:fill on="f" focussize="0,0"/>
                    <v:stroke on="f"/>
                    <v:imagedata o:title=""/>
                    <o:lock v:ext="edit" aspectratio="f"/>
                    <v:textbox inset="0.635mm,0.635mm,0.635mm,0.635mm">
                      <w:txbxContent>
                        <w:p w14:paraId="68EBB500">
                          <w:pPr>
                            <w:snapToGrid w:val="0"/>
                            <w:spacing w:line="240" w:lineRule="auto"/>
                            <w:jc w:val="center"/>
                            <w:rPr>
                              <w:rFonts w:hint="eastAsia" w:ascii="宋体" w:hAnsi="宋体"/>
                              <w:color w:val="000000"/>
                              <w:sz w:val="15"/>
                              <w:szCs w:val="15"/>
                            </w:rPr>
                          </w:pPr>
                          <w:r>
                            <w:rPr>
                              <w:rFonts w:hint="eastAsia" w:ascii="黑体" w:hAnsi="黑体" w:eastAsia="黑体"/>
                              <w:bCs/>
                              <w:color w:val="191919"/>
                              <w:sz w:val="18"/>
                              <w:szCs w:val="18"/>
                            </w:rPr>
                            <w:t>运营活动的税务合规管理</w:t>
                          </w:r>
                        </w:p>
                      </w:txbxContent>
                    </v:textbox>
                  </v:shape>
                </v:group>
                <v:group id="Group 10" o:spid="_x0000_s1026" o:spt="203" style="position:absolute;left:3416150;top:2089498;height:334802;width:528691;" coordorigin="3416150,2089498" coordsize="528691,334802" o:gfxdata="UEsDBAoAAAAAAIdO4kAAAAAAAAAAAAAAAAAEAAAAZHJzL1BLAwQUAAAACACHTuJAcBuoZsQAAADi&#10;AAAADwAAAGRycy9kb3ducmV2LnhtbEWPQWvCQBSE70L/w/IKvekmMYqmrlJExYMUqoXi7ZF9JsHs&#10;25DdJvrv3ULB4zAz3zCL1c3UoqPWVZYVxKMIBHFudcWFgu/TdjgD4TyyxtoyKbiTg9XyZbDATNue&#10;v6g7+kIECLsMFZTeN5mULi/JoBvZhjh4F9sa9EG2hdQt9gFuaplE0VQarDgslNjQuqT8evw1CnY9&#10;9h/jeNMdrpf1/XyafP4cYlLq7TWO3kF4uvln+L+91wqSdDJLp/Mkhb9L4Q7I5QN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HAbqGbEAAAA4gAAAA8AAAAAAAAAAQAgAAAAIgAAAGRycy9kb3du&#10;cmV2LnhtbFBLAQIUABQAAAAIAIdO4kAzLwWeOwAAADkAAAAVAAAAAAAAAAEAIAAAABMBAABkcnMv&#10;Z3JvdXBzaGFwZXhtbC54bWxQSwUGAAAAAAYABgBgAQAA0AMAAAAA&#10;">
                  <o:lock v:ext="edit" aspectratio="f"/>
                  <v:shape id="Rectangle" o:spid="_x0000_s1026" o:spt="100" style="position:absolute;left:3416150;top:2100300;height:324000;width:528691;" filled="f" stroked="f" coordsize="528691,324000" o:gfxdata="UEsDBAoAAAAAAIdO4kAAAAAAAAAAAAAAAAAEAAAAZHJzL1BLAwQUAAAACACHTuJAkRubbL8AAADi&#10;AAAADwAAAGRycy9kb3ducmV2LnhtbEVPy2oCMRTdF/yHcIVupCaj4GM0uhgR3NZaSneX5DozOLkZ&#10;J6k6f28KhS4P573ePlwjbtSF2rOGbKxAEBtvay41nD72bwsQISJbbDyThp4CbDeDlzXm1t/5nW7H&#10;WIoUwiFHDVWMbS5lMBU5DGPfEifu7DuHMcGulLbDewp3jZwoNZMOa04NFbZUVGQuxx+nYReawvaj&#10;5fXLfJv956hnVZynWr8OM7UCEekR/8V/7oNN8+fZZDmfLmbweylhkJs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bm2y/&#10;AAAA4gAAAA8AAAAAAAAAAQAgAAAAIgAAAGRycy9kb3ducmV2LnhtbFBLAQIUABQAAAAIAIdO4kAz&#10;LwWeOwAAADkAAAAQAAAAAAAAAAEAIAAAAA4BAABkcnMvc2hhcGV4bWwueG1sUEsFBgAAAAAGAAYA&#10;WwEAALgDAAAAAA==&#10;" path="m0,0nsl528691,0,528691,324000,0,324000,0,0xem0,0nfl528691,0,528691,324000,0,324000,0,0xe">
                    <v:fill on="f" focussize="0,0"/>
                    <v:stroke on="f" weight="0.47244094488189pt"/>
                    <v:imagedata o:title=""/>
                    <o:lock v:ext="edit" aspectratio="f"/>
                  </v:shape>
                  <v:shape id="Text 11" o:spid="_x0000_s1026" o:spt="202" type="#_x0000_t202" style="position:absolute;left:3416150;top:2089498;height:324000;width:528691;v-text-anchor:middle;" filled="f" stroked="f" coordsize="21600,21600" o:gfxdata="UEsDBAoAAAAAAIdO4kAAAAAAAAAAAAAAAAAEAAAAZHJzL1BLAwQUAAAACACHTuJADwnDfcAAAADi&#10;AAAADwAAAGRycy9kb3ducmV2LnhtbEVPy2oCMRTdF/yHcIXuaqJCLFOjFOmTLqRTXbi7Tm5ngpOb&#10;YZKO9u+bQqHLw3kv1xffioH66AIbmE4UCOIqWMe1gd3H480tiJiQLbaBycA3RVivRldLLGw48zsN&#10;ZapFDuFYoIEmpa6QMlYNeYyT0BFn7jP0HlOGfS1tj+cc7ls5U0pLj45zQ4MdbRqqTuWXN7B/fWsH&#10;7Q7P2zTf7+6fHhaOyqMx1+OpugOR6JL+xX/uF5vnazVfaKVn8HspY5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CcN9&#10;wAAAAOIAAAAPAAAAAAAAAAEAIAAAACIAAABkcnMvZG93bnJldi54bWxQSwECFAAUAAAACACHTuJA&#10;My8FnjsAAAA5AAAAEAAAAAAAAAABACAAAAAPAQAAZHJzL3NoYXBleG1sLnhtbFBLBQYAAAAABgAG&#10;AFsBAAC5AwAAAAA=&#10;">
                    <v:fill on="f" focussize="0,0"/>
                    <v:stroke on="f"/>
                    <v:imagedata o:title=""/>
                    <o:lock v:ext="edit" aspectratio="f"/>
                    <v:textbox inset="0.635mm,0.635mm,0.635mm,0.635mm">
                      <w:txbxContent>
                        <w:p w14:paraId="48699426">
                          <w:pPr>
                            <w:snapToGrid w:val="0"/>
                            <w:spacing w:line="240" w:lineRule="auto"/>
                            <w:jc w:val="left"/>
                            <w:rPr>
                              <w:rFonts w:hint="eastAsia" w:ascii="黑体" w:hAnsi="黑体" w:eastAsia="黑体"/>
                              <w:bCs/>
                              <w:color w:val="191919"/>
                              <w:sz w:val="18"/>
                              <w:szCs w:val="18"/>
                            </w:rPr>
                          </w:pPr>
                          <w:r>
                            <w:rPr>
                              <w:rFonts w:hint="eastAsia" w:ascii="黑体" w:hAnsi="黑体" w:eastAsia="黑体"/>
                              <w:bCs/>
                              <w:color w:val="191919"/>
                              <w:sz w:val="18"/>
                              <w:szCs w:val="18"/>
                            </w:rPr>
                            <w:t>税务合规管理数字化</w:t>
                          </w:r>
                        </w:p>
                      </w:txbxContent>
                    </v:textbox>
                  </v:shape>
                </v:group>
                <v:group id="Group 12" o:spid="_x0000_s1026" o:spt="203" style="position:absolute;left:3355808;top:1569744;height:264000;width:742409;" coordorigin="3355808,1569744" coordsize="742409,264000" o:gfxdata="UEsDBAoAAAAAAIdO4kAAAAAAAAAAAAAAAAAEAAAAZHJzL1BLAwQUAAAACACHTuJASzGvCsIAAADj&#10;AAAADwAAAGRycy9kb3ducmV2LnhtbEVPX2vCMBB/H+w7hBv4pmmUutkZZYiTPchgKohvR3O2xeZS&#10;mqzVb28Gwh7v9//my6utRUetrxxrUKMEBHHuTMWFhsP+c/gGwgdkg7Vj0nAjD8vF89McM+N6/qFu&#10;FwoRQ9hnqKEMocmk9HlJFv3INcSRO7vWYohnW0jTYh/DbS3HSTKVFiuODSU2tCopv+x+rYZNj/3H&#10;RK277eW8up326fdxq0jrwYtK3kEEuoZ/8cP9ZeJ8lU7T18l4lsLfTxEAubg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LMa8KwgAAAOMAAAAPAAAAAAAAAAEAIAAAACIAAABkcnMvZG93bnJl&#10;di54bWxQSwECFAAUAAAACACHTuJAMy8FnjsAAAA5AAAAFQAAAAAAAAABACAAAAARAQAAZHJzL2dy&#10;b3Vwc2hhcGV4bWwueG1sUEsFBgAAAAAGAAYAYAEAAM4DAAAAAA==&#10;">
                  <o:lock v:ext="edit" aspectratio="f"/>
                  <v:shape id="Rectangle" o:spid="_x0000_s1026" o:spt="100" style="position:absolute;left:3355808;top:1577093;height:249301;width:528691;" filled="f" stroked="f" coordsize="528691,249301" o:gfxdata="UEsDBAoAAAAAAIdO4kAAAAAAAAAAAAAAAAAEAAAAZHJzL1BLAwQUAAAACACHTuJAuTFtJMMAAADi&#10;AAAADwAAAGRycy9kb3ducmV2LnhtbEWPT2vCQBTE7wW/w/IEb3U3UWxNXT0IhXpRGku9vmZfk9Ts&#10;25Dd+Ofbu0LB4zAzv2EWq4ttxIk6XzvWkIwVCOLCmZpLDV/79+dXED4gG2wck4YreVgtB08LzIw7&#10;8yed8lCKCGGfoYYqhDaT0hcVWfRj1xJH79d1FkOUXSlNh+cIt41MlZpJizXHhQpbWldUHPPeauBt&#10;/5f/qHKLdX/Ybfomndrdt9ajYaLeQAS6hEf4v/1hNKQqmaiXyWwO90vxDsjl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MW0kwwAAAOIAAAAPAAAAAAAAAAEAIAAAACIAAABkcnMvZG93bnJldi54bWxQSwECFAAUAAAACACH&#10;TuJAMy8FnjsAAAA5AAAAEAAAAAAAAAABACAAAAASAQAAZHJzL3NoYXBleG1sLnhtbFBLBQYAAAAA&#10;BgAGAFsBAAC8AwAAAAA=&#10;" path="m0,0nsl528691,0,528691,249301,0,249301,0,0xem0,0nfl528691,0,528691,249301,0,249301,0,0xe">
                    <v:fill on="f" focussize="0,0"/>
                    <v:stroke on="f" weight="0.47244094488189pt"/>
                    <v:imagedata o:title=""/>
                    <o:lock v:ext="edit" aspectratio="f"/>
                  </v:shape>
                  <v:shape id="Text 13" o:spid="_x0000_s1026" o:spt="202" type="#_x0000_t202" style="position:absolute;left:3455386;top:1569744;height:264000;width:642831;v-text-anchor:middle;" filled="f" stroked="f" coordsize="21600,21600" o:gfxdata="UEsDBAoAAAAAAIdO4kAAAAAAAAAAAAAAAAAEAAAAZHJzL1BLAwQUAAAACACHTuJAHnJs2MYAAADj&#10;AAAADwAAAGRycy9kb3ducmV2LnhtbEWPzU7DMBCE70i8g7VI3KjdoiZtqFtViF9xQKTtgds23iZW&#10;43UUm7S8PUZC4jiamW80i9XZtWKgPljPGsYjBYK48sZyrWG7ebyZgQgR2WDrmTR8U4DV8vJigYXx&#10;J/6goYy1SBAOBWpoYuwKKUPVkMMw8h1x8g6+dxiT7GtpejwluGvlRKlMOrScFhrs6L6h6lh+OQ27&#10;17d2yOzn83u83W3XTw+5pXKv9fXVWN2BiHSO/+G/9ovRMFHzaT5TeTaF30/pD8jlD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ecmzYxgAAAOMAAAAPAAAAAAAAAAEAIAAAACIAAABkcnMvZG93bnJldi54bWxQSwECFAAUAAAA&#10;CACHTuJAMy8FnjsAAAA5AAAAEAAAAAAAAAABACAAAAAVAQAAZHJzL3NoYXBleG1sLnhtbFBLBQYA&#10;AAAABgAGAFsBAAC/AwAAAAA=&#10;">
                    <v:fill on="f" focussize="0,0"/>
                    <v:stroke on="f"/>
                    <v:imagedata o:title=""/>
                    <o:lock v:ext="edit" aspectratio="f"/>
                    <v:textbox inset="0.635mm,0.635mm,0.635mm,0.635mm">
                      <w:txbxContent>
                        <w:p w14:paraId="68AAB5C3">
                          <w:pPr>
                            <w:snapToGrid w:val="0"/>
                            <w:spacing w:line="240" w:lineRule="auto"/>
                            <w:jc w:val="left"/>
                            <w:rPr>
                              <w:rFonts w:hint="eastAsia" w:ascii="宋体" w:hAnsi="宋体"/>
                              <w:color w:val="000000"/>
                              <w:sz w:val="15"/>
                              <w:szCs w:val="15"/>
                            </w:rPr>
                          </w:pPr>
                          <w:r>
                            <w:rPr>
                              <w:rFonts w:hint="eastAsia" w:ascii="宋体" w:hAnsi="宋体"/>
                              <w:color w:val="191919"/>
                              <w:sz w:val="15"/>
                              <w:szCs w:val="15"/>
                            </w:rPr>
                            <w:t>税务登记、纳税申报、发票管理等</w:t>
                          </w:r>
                        </w:p>
                      </w:txbxContent>
                    </v:textbox>
                  </v:shape>
                </v:group>
                <v:group id="Group 14" o:spid="_x0000_s1026" o:spt="203" style="position:absolute;left:2715449;top:2351699;height:308106;width:367297;" coordorigin="2715449,2351699" coordsize="367297,308106" o:gfxdata="UEsDBAoAAAAAAIdO4kAAAAAAAAAAAAAAAAAEAAAAZHJzL1BLAwQUAAAACACHTuJA77ovEsEAAADj&#10;AAAADwAAAGRycy9kb3ducmV2LnhtbEVPX2vCMBB/H+w7hBvsbSZxWEdnlCFu+CADdTD2djRnW2wu&#10;pYmtfnsjCHu83/+bLc6uET11ofZsQI8UCOLC25pLAz/7z5c3ECEiW2w8k4ELBVjMHx9mmFs/8Jb6&#10;XSxFCuGQo4EqxjaXMhQVOQwj3xIn7uA7hzGdXSlth0MKd40cK5VJhzWnhgpbWlZUHHcnZ+BrwOHj&#10;Va/6zfGwvPztJ9+/G03GPD9p9Q4i0jn+i+/utU3zMz1VEz3ONNx+SgDI+RV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O+6LxLBAAAA4wAAAA8AAAAAAAAAAQAgAAAAIgAAAGRycy9kb3ducmV2&#10;LnhtbFBLAQIUABQAAAAIAIdO4kAzLwWeOwAAADkAAAAVAAAAAAAAAAEAIAAAABABAABkcnMvZ3Jv&#10;dXBzaGFwZXhtbC54bWxQSwUGAAAAAAYABgBgAQAAzQMAAAAA&#10;">
                  <o:lock v:ext="edit" aspectratio="f"/>
                  <v:shape id="Rectangle" o:spid="_x0000_s1026" o:spt="100" style="position:absolute;left:2715449;top:2400899;height:165602;width:367297;" filled="f" stroked="f" coordsize="367297,165602" o:gfxdata="UEsDBAoAAAAAAIdO4kAAAAAAAAAAAAAAAAAEAAAAZHJzL1BLAwQUAAAACACHTuJATElVhMAAAADj&#10;AAAADwAAAGRycy9kb3ducmV2LnhtbEVPX2vCMBB/F/Ydwg18m4kWp1ajDEHoBjKmfoCzOdticylJ&#10;Zt23XwYDH+/3/1abu23FjXxoHGsYjxQI4tKZhisNp+PuZQ4iRGSDrWPS8EMBNuunwQpz43r+otsh&#10;ViKFcMhRQx1jl0sZyposhpHriBN3cd5iTKevpPHYp3DbyolSr9Jiw6mhxo62NZXXw7fVsKeLL/bb&#10;d5ll1ceiOH9y1r+x1sPnsVqCiHSPD/G/uzBp/mKuJiqbzqbw91MC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VWE&#10;wAAAAOMAAAAPAAAAAAAAAAEAIAAAACIAAABkcnMvZG93bnJldi54bWxQSwECFAAUAAAACACHTuJA&#10;My8FnjsAAAA5AAAAEAAAAAAAAAABACAAAAAPAQAAZHJzL3NoYXBleG1sLnhtbFBLBQYAAAAABgAG&#10;AFsBAAC5AwAAAAA=&#10;" path="m0,0nsl367297,0,367297,165602,0,165602,0,0xem0,0nfl367297,0,367297,165602,0,165602,0,0xe">
                    <v:fill on="f" focussize="0,0"/>
                    <v:stroke on="f" weight="0.47244094488189pt"/>
                    <v:imagedata o:title=""/>
                    <o:lock v:ext="edit" aspectratio="f"/>
                  </v:shape>
                  <v:shape id="Text 15" o:spid="_x0000_s1026" o:spt="202" type="#_x0000_t202" style="position:absolute;left:2715449;top:2351699;height:308106;width:367297;v-text-anchor:middle;" filled="f" stroked="f" coordsize="21600,21600" o:gfxdata="UEsDBAoAAAAAAIdO4kAAAAAAAAAAAAAAAAAEAAAAZHJzL1BLAwQUAAAACACHTuJA9hvTm8MAAADi&#10;AAAADwAAAGRycy9kb3ducmV2LnhtbEWPy2oCMRSG94W+QziF7jRRYayjUUS0F1yUTnXh7nRyOhOc&#10;nAyTdLRv3yyELn/+G99idXWN6KkL1rOG0VCBIC69sVxpOHzuBk8gQkQ22HgmDb8UYLW8v1tgbvyF&#10;P6gvYiXSCIccNdQxtrmUoazJYRj6ljh5375zGJPsKmk6vKRx18ixUpl0aDk91NjSpqbyXPw4Dce3&#10;fdNn9vTyHifHw/p5O7VUfGn9+DBScxCRrvE/fGu/Gg0TpaazbKYSREJKOCC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2&#10;G9ObwwAAAOIAAAAPAAAAAAAAAAEAIAAAACIAAABkcnMvZG93bnJldi54bWxQSwECFAAUAAAACACH&#10;TuJAMy8FnjsAAAA5AAAAEAAAAAAAAAABACAAAAASAQAAZHJzL3NoYXBleG1sLnhtbFBLBQYAAAAA&#10;BgAGAFsBAAC8AwAAAAA=&#10;">
                    <v:fill on="f" focussize="0,0"/>
                    <v:stroke on="f"/>
                    <v:imagedata o:title=""/>
                    <o:lock v:ext="edit" aspectratio="f"/>
                    <v:textbox inset="0.635mm,0.635mm,0.635mm,0.635mm">
                      <w:txbxContent>
                        <w:p w14:paraId="7A039D86">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风险识别</w:t>
                          </w:r>
                        </w:p>
                        <w:p w14:paraId="77BF206D">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合规管理</w:t>
                          </w:r>
                        </w:p>
                      </w:txbxContent>
                    </v:textbox>
                  </v:shape>
                </v:group>
                <v:group id="Group 16" o:spid="_x0000_s1026" o:spt="203" style="position:absolute;left:2476087;top:1533300;height:348000;width:658661;" coordorigin="2476087,1533300" coordsize="658661,348000" o:gfxdata="UEsDBAoAAAAAAIdO4kAAAAAAAAAAAAAAAAAEAAAAZHJzL1BLAwQUAAAACACHTuJAqBGxrsEAAADi&#10;AAAADwAAAGRycy9kb3ducmV2LnhtbEVPz2vCMBS+D/wfwhO8zaSKWqpRhkzxIAN1MLw9mmdbbF5K&#10;E1v975fDYMeP7/dq87S16Kj1lWMNyViBIM6dqbjQ8H3ZvacgfEA2WDsmDS/ysFkP3laYGdfzibpz&#10;KEQMYZ+hhjKEJpPS5yVZ9GPXEEfu5lqLIcK2kKbFPobbWk6UmkuLFceGEhvalpTfzw+rYd9j/zFN&#10;Prvj/bZ9XS+zr59jQlqPholaggj0DP/iP/fBaJhOFqlapPO4OV6Kd0CufwF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KgRsa7BAAAA4gAAAA8AAAAAAAAAAQAgAAAAIgAAAGRycy9kb3ducmV2&#10;LnhtbFBLAQIUABQAAAAIAIdO4kAzLwWeOwAAADkAAAAVAAAAAAAAAAEAIAAAABABAABkcnMvZ3Jv&#10;dXBzaGFwZXhtbC54bWxQSwUGAAAAAAYABgBgAQAAzQMAAAAA&#10;">
                  <o:lock v:ext="edit" aspectratio="f"/>
                  <v:shape id="Rectangle" o:spid="_x0000_s1026" o:spt="100" style="position:absolute;left:2491656;top:1539601;height:335399;width:643092;" filled="f" stroked="f" coordsize="643092,335399" o:gfxdata="UEsDBAoAAAAAAIdO4kAAAAAAAAAAAAAAAAAEAAAAZHJzL1BLAwQUAAAACACHTuJAgNbDtsEAAADj&#10;AAAADwAAAGRycy9kb3ducmV2LnhtbEVPX2vCMBB/H+w7hBvsbSa1orMaBYWBbMKY7gOczdkUm0tt&#10;Mtt9+2Uw2OP9/t9yPbhG3KgLtWcN2UiBIC69qbnS8Hl8eXoGESKywcYzafimAOvV/d0SC+N7/qDb&#10;IVYihXAoUIONsS2kDKUlh2HkW+LEnX3nMKazq6TpsE/hrpFjpabSYc2pwWJLW0vl5fDlNLzv7MRM&#10;xpt2e3zrz3HY4/56etX68SFTCxCRhvgv/nPvTJqvslk+zeezHH5/SgDI1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NbD&#10;tsEAAADjAAAADwAAAAAAAAABACAAAAAiAAAAZHJzL2Rvd25yZXYueG1sUEsBAhQAFAAAAAgAh07i&#10;QDMvBZ47AAAAOQAAABAAAAAAAAAAAQAgAAAAEAEAAGRycy9zaGFwZXhtbC54bWxQSwUGAAAAAAYA&#10;BgBbAQAAugMAAAAA&#10;" path="m0,0nsl643092,0,643092,335399,0,335399,0,0xem0,0nfl643092,0,643092,335399,0,335399,0,0xe">
                    <v:fill on="f" focussize="0,0"/>
                    <v:stroke on="f" weight="0.47244094488189pt"/>
                    <v:imagedata o:title=""/>
                    <o:lock v:ext="edit" aspectratio="f"/>
                  </v:shape>
                  <v:shape id="Text 17" o:spid="_x0000_s1026" o:spt="202" type="#_x0000_t202" style="position:absolute;left:2476087;top:1533300;height:348000;width:631665;v-text-anchor:middle;" filled="f" stroked="f" coordsize="21600,21600" o:gfxdata="UEsDBAoAAAAAAIdO4kAAAAAAAAAAAAAAAAAEAAAAZHJzL1BLAwQUAAAACACHTuJANG750cYAAADj&#10;AAAADwAAAGRycy9kb3ducmV2LnhtbEWPS0/DMBCE70j8B2uRuFE7PNIq1K0Q4lVxQIT2wG2Jl8Qi&#10;XkexScu/Zw9IHHdndubb5foQejXRmHxkC8XMgCJuovPcWti+3Z8tQKWM7LCPTBZ+KMF6dXy0xMrF&#10;Pb/SVOdWSQinCi10OQ+V1qnpKGCaxYFYtM84Bswyjq12I+4lPPT63JhSB/QsDR0OdNtR81V/Bwu7&#10;zXM/lf798SVf7LY3D3dzT/WHtacnhbkGlemQ/81/109O8OeLK1OU5lKg5SdZgF79A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0bvnRxgAAAOMAAAAPAAAAAAAAAAEAIAAAACIAAABkcnMvZG93bnJldi54bWxQSwECFAAUAAAA&#10;CACHTuJAMy8FnjsAAAA5AAAAEAAAAAAAAAABACAAAAAVAQAAZHJzL3NoYXBleG1sLnhtbFBLBQYA&#10;AAAABgAGAFsBAAC/AwAAAAA=&#10;">
                    <v:fill on="f" focussize="0,0"/>
                    <v:stroke on="f"/>
                    <v:imagedata o:title=""/>
                    <o:lock v:ext="edit" aspectratio="f"/>
                    <v:textbox inset="0.635mm,0.635mm,0.635mm,0.635mm">
                      <w:txbxContent>
                        <w:p w14:paraId="4EEDCD8C">
                          <w:pPr>
                            <w:snapToGrid w:val="0"/>
                            <w:spacing w:line="240" w:lineRule="auto"/>
                            <w:jc w:val="left"/>
                            <w:rPr>
                              <w:rFonts w:hint="eastAsia" w:ascii="宋体" w:hAnsi="宋体"/>
                              <w:color w:val="000000"/>
                              <w:sz w:val="15"/>
                              <w:szCs w:val="15"/>
                            </w:rPr>
                          </w:pPr>
                          <w:r>
                            <w:rPr>
                              <w:rFonts w:hint="eastAsia" w:ascii="宋体" w:hAnsi="宋体"/>
                              <w:color w:val="191919"/>
                              <w:sz w:val="15"/>
                              <w:szCs w:val="15"/>
                            </w:rPr>
                            <w:t>战略合规、经营管理合规、投融资合规和关联方交易合规</w:t>
                          </w:r>
                        </w:p>
                      </w:txbxContent>
                    </v:textbox>
                  </v:shape>
                </v:group>
                <v:group id="Group 18" o:spid="_x0000_s1026" o:spt="203" style="position:absolute;left:3357506;top:2340898;height:331590;width:528673;" coordorigin="3357506,2340898" coordsize="528673,331590" o:gfxdata="UEsDBAoAAAAAAIdO4kAAAAAAAAAAAAAAAAAEAAAAZHJzL1BLAwQUAAAACACHTuJAsFY5osIAAADj&#10;AAAADwAAAGRycy9kb3ducmV2LnhtbEVPzWrCQBC+C32HZQredBNDbE1dpYgWD1KoFoq3ITsmwexs&#10;yK6Jvn1XEDzO9z/z5dXUoqPWVZYVxOMIBHFudcWFgt/DZvQOwnlkjbVlUnAjB8vFy2COmbY9/1C3&#10;94UIIewyVFB632RSurwkg25sG+LAnWxr0IezLaRusQ/hppaTKJpKgxWHhhIbWpWUn/cXo+Crx/4z&#10;idfd7nxa3Y6H9PtvF5NSw9c4+gDh6eqf4od7q8P8NEneJtMkncH9pwCAXPw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wVjmiwgAAAOMAAAAPAAAAAAAAAAEAIAAAACIAAABkcnMvZG93bnJl&#10;di54bWxQSwECFAAUAAAACACHTuJAMy8FnjsAAAA5AAAAFQAAAAAAAAABACAAAAARAQAAZHJzL2dy&#10;b3Vwc2hhcGV4bWwueG1sUEsFBgAAAAAGAAYAYAEAAM4DAAAAAA==&#10;">
                  <o:lock v:ext="edit" aspectratio="f"/>
                  <v:shape id="Rectangle" o:spid="_x0000_s1026" o:spt="100" style="position:absolute;left:3387308;top:2351700;height:264000;width:465691;" filled="f" stroked="f" coordsize="465691,264000" o:gfxdata="UEsDBAoAAAAAAIdO4kAAAAAAAAAAAAAAAAAEAAAAZHJzL1BLAwQUAAAACACHTuJAwZErv8AAAADj&#10;AAAADwAAAGRycy9kb3ducmV2LnhtbEVPS2sCMRC+F/ofwhS81WSD1rIaPVikXnrwAfY4bqa7i5vJ&#10;kqSr/vumUOhxvvcsVjfXiYFCbD0bKMYKBHHlbcu1geNh8/wKIiZki51nMnCnCKvl48MCS+uvvKNh&#10;n2qRQziWaKBJqS+ljFVDDuPY98SZ+/LBYcpnqKUNeM3hrpNaqRfpsOXc0GBP64aqy/7bGXDay7fz&#10;x26ymW4nw/v65MNFfhozeirUHESiW/oX/7m3Ns/XUz1TWs8K+P0pAyC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kSu/&#10;wAAAAOMAAAAPAAAAAAAAAAEAIAAAACIAAABkcnMvZG93bnJldi54bWxQSwECFAAUAAAACACHTuJA&#10;My8FnjsAAAA5AAAAEAAAAAAAAAABACAAAAAPAQAAZHJzL3NoYXBleG1sLnhtbFBLBQYAAAAABgAG&#10;AFsBAAC5AwAAAAA=&#10;" path="m0,0nsl465691,0,465691,264000,0,264000,0,0xem0,0nfl465691,0,465691,264000,0,264000,0,0xe">
                    <v:fill on="f" focussize="0,0"/>
                    <v:stroke on="f" weight="0.47244094488189pt"/>
                    <v:imagedata o:title=""/>
                    <o:lock v:ext="edit" aspectratio="f"/>
                  </v:shape>
                  <v:shape id="Text 19" o:spid="_x0000_s1026" o:spt="202" type="#_x0000_t202" style="position:absolute;left:3357506;top:2340898;height:331590;width:528673;v-text-anchor:middle;" filled="f" stroked="f" coordsize="21600,21600" o:gfxdata="UEsDBAoAAAAAAIdO4kAAAAAAAAAAAAAAAAAEAAAAZHJzL1BLAwQUAAAACACHTuJANGTWeMMAAADj&#10;AAAADwAAAGRycy9kb3ducmV2LnhtbEVPS08CMRC+m/gfmiHxJu0KsmalEGN8EQ6GBQ7exu2w27id&#10;brZ1wX9vTUg8zvee+fLkWjFQH6xnDdlYgSCuvLFca9htn6/vQISIbLD1TBp+KMBycXkxx8L4I29o&#10;KGMtUgiHAjU0MXaFlKFqyGEY+444cQffO4zp7GtpejymcNfKG6Vm0qHl1NBgR48NVV/lt9OwX63b&#10;YWY/Xt/jZL97eHnKLZWfWl+NMnUPItIp/ovP7jeT5t9OJ9lUZXkOfz8lAOTi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ZNZ4wwAAAOMAAAAPAAAAAAAAAAEAIAAAACIAAABkcnMvZG93bnJldi54bWxQSwECFAAUAAAACACH&#10;TuJAMy8FnjsAAAA5AAAAEAAAAAAAAAABACAAAAASAQAAZHJzL3NoYXBleG1sLnhtbFBLBQYAAAAA&#10;BgAGAFsBAAC8AwAAAAA=&#10;">
                    <v:fill on="f" focussize="0,0"/>
                    <v:stroke on="f"/>
                    <v:imagedata o:title=""/>
                    <o:lock v:ext="edit" aspectratio="f"/>
                    <v:textbox inset="0.635mm,0.635mm,0.635mm,0.635mm">
                      <w:txbxContent>
                        <w:p w14:paraId="7893D6B6">
                          <w:pPr>
                            <w:snapToGrid w:val="0"/>
                            <w:spacing w:line="240" w:lineRule="auto"/>
                            <w:jc w:val="left"/>
                            <w:rPr>
                              <w:rFonts w:hint="eastAsia" w:ascii="宋体" w:hAnsi="宋体"/>
                              <w:color w:val="000000"/>
                              <w:sz w:val="15"/>
                              <w:szCs w:val="15"/>
                            </w:rPr>
                          </w:pPr>
                          <w:r>
                            <w:rPr>
                              <w:rFonts w:hint="eastAsia" w:ascii="宋体" w:hAnsi="宋体"/>
                              <w:color w:val="191919"/>
                              <w:sz w:val="15"/>
                              <w:szCs w:val="15"/>
                            </w:rPr>
                            <w:t>基础架构、数据共享、动态监测</w:t>
                          </w:r>
                        </w:p>
                      </w:txbxContent>
                    </v:textbox>
                  </v:shape>
                </v:group>
                <v:shape id="跨页引用" o:spid="_x0000_s1026" o:spt="100" style="position:absolute;left:1785000;top:2952000;height:450000;width:2955000;rotation:11796480f;" fillcolor="#FFFFFF" filled="t" stroked="t" coordsize="2955000,450000" o:gfxdata="UEsDBAoAAAAAAIdO4kAAAAAAAAAAAAAAAAAEAAAAZHJzL1BLAwQUAAAACACHTuJApRCnWsQAAADi&#10;AAAADwAAAGRycy9kb3ducmV2LnhtbEWP3WrCQBSE7wu+w3IEb4rZxBZNoqsXStNeFIo/D3DIHpNo&#10;9mzIbqO+fbdQ6OUwM98wq83dtGKg3jWWFSRRDIK4tLrhSsHp+DZNQTiPrLG1TAoe5GCzHj2tMNf2&#10;xnsaDr4SAcIuRwW1910upStrMugi2xEH72x7gz7IvpK6x1uAm1bO4nguDTYcFmrsaFtTeT18GwWp&#10;3hZdsd+1l0fzmb0/64EL+lJqMk7iJQhPd/8f/mt/aAWLNFu8JsnsBX4vhTsg1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RCnWsQAAADiAAAADwAAAAAAAAABACAAAAAiAAAAZHJzL2Rvd25yZXYueG1sUEsBAhQAFAAAAAgA&#10;h07iQDMvBZ47AAAAOQAAABAAAAAAAAAAAQAgAAAAEwEAAGRycy9zaGFwZXhtbC54bWxQSwUGAAAA&#10;AAYABgBbAQAAvQMAAAAA&#10;" path="m2955000,225000nsl2955000,0,0,0,0,225000,1477500,450000,2955000,225000xem2955000,225000nfl2955000,0,0,0,0,225000,1477500,450000,2955000,225000xe">
                  <v:path o:connectlocs="0,225000;1477500,0;2955000,225000;1477500,450000" o:connectangles="0,0,0,0"/>
                  <v:fill on="t" focussize="0,0"/>
                  <v:stroke weight="0.47244094488189pt" color="#101843" joinstyle="round"/>
                  <v:imagedata o:title=""/>
                  <o:lock v:ext="edit" aspectratio="f"/>
                </v:shape>
                <v:group id="Group 20" o:spid="_x0000_s1026" o:spt="203" style="position:absolute;left:2957502;top:2952001;height:255228;width:587857;" coordorigin="2957502,2952001" coordsize="587857,255228" o:gfxdata="UEsDBAoAAAAAAIdO4kAAAAAAAAAAAAAAAAAEAAAAZHJzL1BLAwQUAAAACACHTuJAkYrnl8YAAADj&#10;AAAADwAAAGRycy9kb3ducmV2LnhtbEWPQWvCQBCF74X+h2UKvdVNrJUYXUWkLT2IoBaKtyE7JsHs&#10;bMhuE/33nUPB48x78943i9XVNaqnLtSeDaSjBBRx4W3NpYHv48dLBipEZIuNZzJwowCr5ePDAnPr&#10;B95Tf4ilkhAOORqoYmxzrUNRkcMw8i2xaGffOYwydqW2HQ4S7ho9TpKpdlizNFTY0qai4nL4dQY+&#10;BxzWr+l7v72cN7fT8W33s03JmOenNJmDinSNd/P/9ZcV/GwyyybTbCbQ8pMsQC//AF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kYrnl8YAAADjAAAADwAAAAAAAAABACAAAAAiAAAAZHJzL2Rv&#10;d25yZXYueG1sUEsBAhQAFAAAAAgAh07iQDMvBZ47AAAAOQAAABUAAAAAAAAAAQAgAAAAFQEAAGRy&#10;cy9ncm91cHNoYXBleG1sLnhtbFBLBQYAAAAABgAGAGABAADSAwAAAAA=&#10;">
                  <o:lock v:ext="edit" aspectratio="f"/>
                  <v:shape id="Rectangle" o:spid="_x0000_s1026" o:spt="100" style="position:absolute;left:2957502;top:2952001;height:229750;width:582000;" filled="f" stroked="f" coordsize="582000,229750" o:gfxdata="UEsDBAoAAAAAAIdO4kAAAAAAAAAAAAAAAAAEAAAAZHJzL1BLAwQUAAAACACHTuJAjWtTtsAAAADj&#10;AAAADwAAAGRycy9kb3ducmV2LnhtbEVPX0vDMBB/F/wO4QTfXNIiq63L9jAQHe5lmx/gaM6mtrmU&#10;JG712xtB2OP9/t9qM7tRnCnE3rOGYqFAELfe9Nxp+Di9PDyBiAnZ4OiZNPxQhM369maFjfEXPtD5&#10;mDqRQzg2qMGmNDVSxtaSw7jwE3HmPn1wmPIZOmkCXnK4G2Wp1FI67Dk3WJxoa6kdjt9OQ9lZG17b&#10;Lx+G4VDt9rv3+XFbaX1/V6hnEInmdBX/u99Mnl/Wqq6Kql7C308ZAL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a1O2&#10;wAAAAOMAAAAPAAAAAAAAAAEAIAAAACIAAABkcnMvZG93bnJldi54bWxQSwECFAAUAAAACACHTuJA&#10;My8FnjsAAAA5AAAAEAAAAAAAAAABACAAAAAPAQAAZHJzL3NoYXBleG1sLnhtbFBLBQYAAAAABgAG&#10;AFsBAAC5AwAAAAA=&#10;" path="m0,0nsl582000,0,582000,229750,0,229750,0,0xem0,0nfl582000,0,582000,229750,0,229750,0,0xe">
                    <v:fill on="f" focussize="0,0"/>
                    <v:stroke on="f" weight="0.47244094488189pt"/>
                    <v:imagedata o:title=""/>
                    <o:lock v:ext="edit" aspectratio="f"/>
                  </v:shape>
                  <v:shape id="Text 21" o:spid="_x0000_s1026" o:spt="202" type="#_x0000_t202" style="position:absolute;left:2963359;top:2977479;height:229750;width:582000;v-text-anchor:middle;" filled="f" stroked="f" coordsize="21600,21600" o:gfxdata="UEsDBAoAAAAAAIdO4kAAAAAAAAAAAAAAAAAEAAAAZHJzL1BLAwQUAAAACACHTuJA1nnwksQAAADi&#10;AAAADwAAAGRycy9kb3ducmV2LnhtbEWPy07DMBBF90j8gzVI3bV2X4GGuhVCBVqxQIR2wW6Ih8Rq&#10;PI5ik5a/x4tKLK/uS2e5PrtG9NQF61nDeKRAEJfeWK407D+ehncgQkQ22HgmDb8UYL26vlpibvyJ&#10;36kvYiXSCIccNdQxtrmUoazJYRj5ljh5375zGJPsKmk6PKVx18iJUpl0aDk91NjSY03lsfhxGg67&#10;16bP7OfLW5we9g/Pm1tLxZfWg5uxugcR6Rz/w5f21mhYLLLZfDZVCSIhJRyQq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nnwksQAAADiAAAADwAAAAAAAAABACAAAAAiAAAAZHJzL2Rvd25yZXYueG1sUEsBAhQAFAAAAAgA&#10;h07iQDMvBZ47AAAAOQAAABAAAAAAAAAAAQAgAAAAEwEAAGRycy9zaGFwZXhtbC54bWxQSwUGAAAA&#10;AAYABgBbAQAAvQMAAAAA&#10;">
                    <v:fill on="f" focussize="0,0"/>
                    <v:stroke on="f"/>
                    <v:imagedata o:title=""/>
                    <o:lock v:ext="edit" aspectratio="f"/>
                    <v:textbox inset="0.635mm,0.635mm,0.635mm,0.635mm">
                      <w:txbxContent>
                        <w:p w14:paraId="6F43831E">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运行机制</w:t>
                          </w:r>
                        </w:p>
                      </w:txbxContent>
                    </v:textbox>
                  </v:shape>
                </v:group>
                <v:shape id="跨页引用" o:spid="_x0000_s1026" o:spt="100" style="position:absolute;left:1785000;top:3436803;height:450000;width:2955000;rotation:11796480f;" fillcolor="#FFFFFF" filled="t" stroked="t" coordsize="2955000,450000" o:gfxdata="UEsDBAoAAAAAAIdO4kAAAAAAAAAAAAAAAAAEAAAAZHJzL1BLAwQUAAAACACHTuJA0bjmi8EAAADj&#10;AAAADwAAAGRycy9kb3ducmV2LnhtbEVPzWrCQBC+F3yHZYReim5SrKzR1YPS2EOh+PMAQ3ZMotnZ&#10;kN1GffuuIPQ43/8sVjfbiJ46XzvWkI4TEMSFMzWXGo6Hz5EC4QOywcYxabiTh9Vy8LLAzLgr76jf&#10;h1LEEPYZaqhCaDMpfVGRRT92LXHkTq6zGOLZldJ0eI3htpHvSTKVFmuODRW2tK6ouOx/rQZl1nmb&#10;7zbN+V5/z7ZvpuecfrR+HabJHESgW/gXP91fJs7/UEqlajKbwuOnCI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bjm&#10;i8EAAADjAAAADwAAAAAAAAABACAAAAAiAAAAZHJzL2Rvd25yZXYueG1sUEsBAhQAFAAAAAgAh07i&#10;QDMvBZ47AAAAOQAAABAAAAAAAAAAAQAgAAAAEAEAAGRycy9zaGFwZXhtbC54bWxQSwUGAAAAAAYA&#10;BgBbAQAAugMAAAAA&#10;" path="m2955000,225000nsl2955000,0,0,0,0,225000,1477500,450000,2955000,225000xem2955000,225000nfl2955000,0,0,0,0,225000,1477500,450000,2955000,225000xe">
                  <v:path o:connectlocs="0,225000;1477500,0;2955000,225000;1477500,450000" o:connectangles="0,0,0,0"/>
                  <v:fill on="t" focussize="0,0"/>
                  <v:stroke weight="0.47244094488189pt" color="#101843" joinstyle="round"/>
                  <v:imagedata o:title=""/>
                  <o:lock v:ext="edit" aspectratio="f"/>
                </v:shape>
                <v:group id="Group 22" o:spid="_x0000_s1026" o:spt="203" style="position:absolute;left:2324652;top:3160199;height:207602;width:1974690;" coordorigin="2324652,3160199" coordsize="1974690,207602" o:gfxdata="UEsDBAoAAAAAAIdO4kAAAAAAAAAAAAAAAAAEAAAAZHJzL1BLAwQUAAAACACHTuJAy7Jt5sUAAADj&#10;AAAADwAAAGRycy9kb3ducmV2LnhtbEWPQUvDQBCF74L/YRnBm92sMcXGbosUFQ9FsBWKtyE7TUKz&#10;syG7Ju2/dw6Cx5n35r1vluuz79RIQ2wDWzCzDBRxFVzLtYWv/evdI6iYkB12gcnChSKsV9dXSyxd&#10;mPiTxl2qlYRwLNFCk1Jfah2rhjzGWeiJRTuGwWOScai1G3CScN/p+yyba48tS0ODPW0aqk67H2/h&#10;bcLpOTcv4/Z03Fy+98XHYWvI2tsbkz2BSnRO/+a/63cn+Iv8wRT5vBBo+UkWoFe/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Lsm3mxQAAAOMAAAAPAAAAAAAAAAEAIAAAACIAAABkcnMvZG93&#10;bnJldi54bWxQSwECFAAUAAAACACHTuJAMy8FnjsAAAA5AAAAFQAAAAAAAAABACAAAAAUAQAAZHJz&#10;L2dyb3Vwc2hhcGV4bWwueG1sUEsFBgAAAAAGAAYAYAEAANEDAAAAAA==&#10;">
                  <o:lock v:ext="edit" aspectratio="f"/>
                  <v:shape id="Rectangle" o:spid="_x0000_s1026" o:spt="100" style="position:absolute;left:2324652;top:3160199;height:207602;width:1974690;" filled="f" stroked="f" coordsize="1974690,207602" o:gfxdata="UEsDBAoAAAAAAIdO4kAAAAAAAAAAAAAAAAAEAAAAZHJzL1BLAwQUAAAACACHTuJAwpxaXsMAAADj&#10;AAAADwAAAGRycy9kb3ducmV2LnhtbEWPT2/CMAzF75P4DpGRuI0EBKN0BA5DSOy4woGj13hptcap&#10;mow/334+TNrR9vN777fZ3UOnrjSkNrKF2dSAIq6ja9lbOJ8OzwWolJEddpHJwoMS7Lajpw2WLt74&#10;g65V9kpMOJVoocm5L7VOdUMB0zT2xHL7ikPALOPgtRvwJuah03NjXnTAliWhwZ7eGqq/q59goTi9&#10;L87L42G/xyrW+tNfjF9FayfjmXkFleme/8V/30cn9c18vV6siqVQCJMsQG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nFpewwAAAOMAAAAPAAAAAAAAAAEAIAAAACIAAABkcnMvZG93bnJldi54bWxQSwECFAAUAAAACACH&#10;TuJAMy8FnjsAAAA5AAAAEAAAAAAAAAABACAAAAASAQAAZHJzL3NoYXBleG1sLnhtbFBLBQYAAAAA&#10;BgAGAFsBAAC8AwAAAAA=&#10;" path="m0,0nsl1974690,0,1974690,207602,0,207602,0,0xem0,0nfl1974690,0,1974690,207602,0,207602,0,0xe">
                    <v:fill on="f" focussize="0,0"/>
                    <v:stroke on="f" weight="0.47244094488189pt"/>
                    <v:imagedata o:title=""/>
                    <o:lock v:ext="edit" aspectratio="f"/>
                  </v:shape>
                  <v:shape id="Text 23" o:spid="_x0000_s1026" o:spt="202" type="#_x0000_t202" style="position:absolute;left:2324652;top:3159000;height:210000;width:1974690;v-text-anchor:middle;" filled="f" stroked="f" coordsize="21600,21600" o:gfxdata="UEsDBAoAAAAAAIdO4kAAAAAAAAAAAAAAAAAEAAAAZHJzL1BLAwQUAAAACACHTuJAXW87tsMAAADj&#10;AAAADwAAAGRycy9kb3ducmV2LnhtbEVPS08CMRC+m/gfmiHxJi0gu2SlEGN8YDwYFzhwG7fDbuN2&#10;utnWBf+9NTHxON97luuza8VAfbCeNUzGCgRx5Y3lWsNu+3i9ABEissHWM2n4pgDr1eXFEgvjT/xO&#10;QxlrkUI4FKihibErpAxVQw7D2HfEiTv63mFMZ19L0+MphbtWTpXKpEPLqaHBju4bqj7LL6dh//La&#10;Dpk9PL/F2X539/SQWyo/tL4aTdQtiEjn+C/+c29Mmn+TTWfzRa5y+P0pAS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d&#10;bzu2wwAAAOMAAAAPAAAAAAAAAAEAIAAAACIAAABkcnMvZG93bnJldi54bWxQSwECFAAUAAAACACH&#10;TuJAMy8FnjsAAAA5AAAAEAAAAAAAAAABACAAAAASAQAAZHJzL3NoYXBleG1sLnhtbFBLBQYAAAAA&#10;BgAGAFsBAAC8AwAAAAA=&#10;">
                    <v:fill on="f" focussize="0,0"/>
                    <v:stroke on="f"/>
                    <v:imagedata o:title=""/>
                    <o:lock v:ext="edit" aspectratio="f"/>
                    <v:textbox inset="0.635mm,0.635mm,0.635mm,0.635mm">
                      <w:txbxContent>
                        <w:p w14:paraId="792CDEB4">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组织体系、税务合规风险防控、税务合规管理机制</w:t>
                          </w:r>
                        </w:p>
                      </w:txbxContent>
                    </v:textbox>
                  </v:shape>
                </v:group>
                <v:group id="Group 24" o:spid="_x0000_s1026" o:spt="203" style="position:absolute;left:2957502;top:3444001;height:259479;width:587857;" coordorigin="2957502,3444001" coordsize="587857,259479" o:gfxdata="UEsDBAoAAAAAAIdO4kAAAAAAAAAAAAAAAAAEAAAAZHJzL1BLAwQUAAAACACHTuJAYYa2EcQAAADi&#10;AAAADwAAAGRycy9kb3ducmV2LnhtbEWPQWsCMRSE7wX/Q3iF3moSu1XZGkWkLT2IoBaKt8fmubu4&#10;eVk26a7++6ZQ6HGYmW+YxerqGtFTF2rPBvRYgSAuvK25NPB5fHucgwgR2WLjmQzcKMBqObpbYG79&#10;wHvqD7EUCcIhRwNVjG0uZSgqchjGviVO3tl3DmOSXSlth0OCu0ZOlJpKhzWnhQpb2lRUXA7fzsD7&#10;gMP6Sb/228t5czsdn3dfW03GPNxr9QIi0jX+h//aH9ZANtHZdKZUBr+X0h2Qyx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GGGthHEAAAA4gAAAA8AAAAAAAAAAQAgAAAAIgAAAGRycy9kb3du&#10;cmV2LnhtbFBLAQIUABQAAAAIAIdO4kAzLwWeOwAAADkAAAAVAAAAAAAAAAEAIAAAABMBAABkcnMv&#10;Z3JvdXBzaGFwZXhtbC54bWxQSwUGAAAAAAYABgBgAQAA0AMAAAAA&#10;">
                  <o:lock v:ext="edit" aspectratio="f"/>
                  <v:shape id="Rectangle" o:spid="_x0000_s1026" o:spt="100" style="position:absolute;left:2957502;top:3444001;height:229750;width:582000;" filled="f" stroked="f" coordsize="582000,229750" o:gfxdata="UEsDBAoAAAAAAIdO4kAAAAAAAAAAAAAAAAAEAAAAZHJzL1BLAwQUAAAACACHTuJAndTpgsQAAADj&#10;AAAADwAAAGRycy9kb3ducmV2LnhtbEWPwW7CMBBE75X6D9ZW6q3YQaTQgOGAhApqL9B+wCrexiGx&#10;HdkGwt93D5V63J3Zmberzeh6caWY2uA1FBMFgnwdTOsbDd9fu5cFiJTRG+yDJw13SrBZPz6ssDLh&#10;5o90PeVGcIhPFWqwOQ+VlKm25DBNwkCetZ8QHWYeYyNNxBuHu15OlXqVDlvPDRYH2lqqu9PFaZg2&#10;1sb3+hxi1x3nh8/DxzjbzrV+firUEkSmMf+b/673hvHLcrZQb0XJ0PwTL0C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dTpgsQAAADjAAAADwAAAAAAAAABACAAAAAiAAAAZHJzL2Rvd25yZXYueG1sUEsBAhQAFAAAAAgA&#10;h07iQDMvBZ47AAAAOQAAABAAAAAAAAAAAQAgAAAAEwEAAGRycy9zaGFwZXhtbC54bWxQSwUGAAAA&#10;AAYABgBbAQAAvQMAAAAA&#10;" path="m0,0nsl582000,0,582000,229750,0,229750,0,0xem0,0nfl582000,0,582000,229750,0,229750,0,0xe">
                    <v:fill on="f" focussize="0,0"/>
                    <v:stroke on="f" weight="0.47244094488189pt"/>
                    <v:imagedata o:title=""/>
                    <o:lock v:ext="edit" aspectratio="f"/>
                  </v:shape>
                  <v:shape id="Text 25" o:spid="_x0000_s1026" o:spt="202" type="#_x0000_t202" style="position:absolute;left:2963359;top:3469480;height:234000;width:582000;v-text-anchor:middle;" filled="f" stroked="f" coordsize="21600,21600" o:gfxdata="UEsDBAoAAAAAAIdO4kAAAAAAAAAAAAAAAAAEAAAAZHJzL1BLAwQUAAAACACHTuJAlZGUP8UAAADj&#10;AAAADwAAAGRycy9kb3ducmV2LnhtbEWPy2oCMRSG94W+QzgFdzUZxQujUUqp2uJCOtWFu9PJ6Uzo&#10;5GSYxNG+fbModPnz3/iW65trRE9dsJ41ZEMFgrj0xnKl4fixeZyDCBHZYOOZNPxQgPXq/m6JufFX&#10;fqe+iJVIIxxy1FDH2OZShrImh2HoW+LkffnOYUyyq6Tp8JrGXSNHSk2lQ8vpocaWnmsqv4uL03B6&#10;2zf91J53hzg+HZ+2LzNLxafWg4dMLUBEusX/8F/71WgYqWw+mahMJYrElHhAr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WRlD/FAAAA4wAAAA8AAAAAAAAAAQAgAAAAIgAAAGRycy9kb3ducmV2LnhtbFBLAQIUABQAAAAI&#10;AIdO4kAzLwWeOwAAADkAAAAQAAAAAAAAAAEAIAAAABQBAABkcnMvc2hhcGV4bWwueG1sUEsFBgAA&#10;AAAGAAYAWwEAAL4DAAAAAA==&#10;">
                    <v:fill on="f" focussize="0,0"/>
                    <v:stroke on="f"/>
                    <v:imagedata o:title=""/>
                    <o:lock v:ext="edit" aspectratio="f"/>
                    <v:textbox inset="0.635mm,0.635mm,0.635mm,0.635mm">
                      <w:txbxContent>
                        <w:p w14:paraId="4EDBEF3D">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文化建设</w:t>
                          </w:r>
                        </w:p>
                      </w:txbxContent>
                    </v:textbox>
                  </v:shape>
                </v:group>
                <v:group id="Group 26" o:spid="_x0000_s1026" o:spt="203" style="position:absolute;left:2491656;top:3647101;height:207898;width:1541688;" coordorigin="2491656,3647101" coordsize="1541688,207898" o:gfxdata="UEsDBAoAAAAAAIdO4kAAAAAAAAAAAAAAAAAEAAAAZHJzL1BLAwQUAAAACACHTuJASrBOW8EAAADi&#10;AAAADwAAAGRycy9kb3ducmV2LnhtbEVPTWvCQBC9C/0PyxR6q5uYppXUVYrU0oMUqoXibciOSTA7&#10;G7Jrov++cyh4fLzvxeriWjVQHxrPBtJpAoq49LbhysDPfvM4BxUissXWMxm4UoDV8m6ywML6kb9p&#10;2MVKSQiHAg3UMXaF1qGsyWGY+o5YuKPvHUaBfaVtj6OEu1bPkuRZO2xYGmrsaF1TedqdnYGPEce3&#10;LH0ftqfj+nrY51+/25SMebhPk1dQkS7xJv53f1qZP8ueXvIslxNySTDo5R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EqwTlvBAAAA4gAAAA8AAAAAAAAAAQAgAAAAIgAAAGRycy9kb3ducmV2&#10;LnhtbFBLAQIUABQAAAAIAIdO4kAzLwWeOwAAADkAAAAVAAAAAAAAAAEAIAAAABABAABkcnMvZ3Jv&#10;dXBzaGFwZXhtbC54bWxQSwUGAAAAAAYABgBgAQAAzQMAAAAA&#10;">
                  <o:lock v:ext="edit" aspectratio="f"/>
                  <v:shape id="Rectangle" o:spid="_x0000_s1026" o:spt="100" style="position:absolute;left:2491656;top:3647101;height:207898;width:1541688;" filled="f" stroked="f" coordsize="1541688,207898" o:gfxdata="UEsDBAoAAAAAAIdO4kAAAAAAAAAAAAAAAAAEAAAAZHJzL1BLAwQUAAAACACHTuJA313iIcQAAADi&#10;AAAADwAAAGRycy9kb3ducmV2LnhtbEWPQUsDMRSE70L/Q3iCN5vsWhddm/ZQK3jQQ1sL6+2RPDeL&#10;m5dlE9vqrzeC0OMwM98w8+XJ9+JAY+wCayimCgSxCbbjVsPb7un6DkRMyBb7wKThmyIsF5OLOdY2&#10;HHlDh21qRYZwrFGDS2mopYzGkcc4DQNx9j7C6DFlObbSjnjMcN/LUqlKeuw4LzgcaOXIfG6/vAZs&#10;+HG/fi1/lHGNrdb7l/emN1pfXRbqAUSiUzqH/9vPVkOlitvZ/ay8gb9L+Q7Ix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13iIcQAAADiAAAADwAAAAAAAAABACAAAAAiAAAAZHJzL2Rvd25yZXYueG1sUEsBAhQAFAAAAAgA&#10;h07iQDMvBZ47AAAAOQAAABAAAAAAAAAAAQAgAAAAEwEAAGRycy9zaGFwZXhtbC54bWxQSwUGAAAA&#10;AAYABgBbAQAAvQMAAAAA&#10;" path="m0,0nsl1541688,0,1541688,207898,0,207898,0,0xem0,0nfl1541688,0,1541688,207898,0,207898,0,0xe">
                    <v:fill on="f" focussize="0,0"/>
                    <v:stroke on="f" weight="0.47244094488189pt"/>
                    <v:imagedata o:title=""/>
                    <o:lock v:ext="edit" aspectratio="f"/>
                  </v:shape>
                  <v:shape id="Text 27" o:spid="_x0000_s1026" o:spt="202" type="#_x0000_t202" style="position:absolute;left:2491656;top:3646050;height:210000;width:1541688;v-text-anchor:middle;" filled="f" stroked="f" coordsize="21600,21600" o:gfxdata="UEsDBAoAAAAAAIdO4kAAAAAAAAAAAAAAAAAEAAAAZHJzL1BLAwQUAAAACACHTuJApL5tYcUAAADh&#10;AAAADwAAAGRycy9kb3ducmV2LnhtbEWPS2/CMBCE75X6H6yt1FtxeChAikEVog/EoSLAobclXhKr&#10;8TqK3QD/vkaq1ONoZr7RzBYXW4uOWm8cK+j3EhDEhdOGSwX73evTBIQPyBprx6TgSh4W8/u7GWba&#10;nXlLXR5KESHsM1RQhdBkUvqiIou+5xri6J1cazFE2ZZSt3iOcFvLQZKk0qLhuFBhQ8uKiu/8xyo4&#10;rDd1l5qv988wPOxf3lZjQ/lRqceHfvIMItAl/If/2h9aQTqZTkejwRBuj+IbkPN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S+bWHFAAAA4QAAAA8AAAAAAAAAAQAgAAAAIgAAAGRycy9kb3ducmV2LnhtbFBLAQIUABQAAAAI&#10;AIdO4kAzLwWeOwAAADkAAAAQAAAAAAAAAAEAIAAAABQBAABkcnMvc2hhcGV4bWwueG1sUEsFBgAA&#10;AAAGAAYAWwEAAL4DAAAAAA==&#10;">
                    <v:fill on="f" focussize="0,0"/>
                    <v:stroke on="f"/>
                    <v:imagedata o:title=""/>
                    <o:lock v:ext="edit" aspectratio="f"/>
                    <v:textbox inset="0.635mm,0.635mm,0.635mm,0.635mm">
                      <w:txbxContent>
                        <w:p w14:paraId="4F3EF16C">
                          <w:pPr>
                            <w:snapToGrid w:val="0"/>
                            <w:spacing w:line="240" w:lineRule="auto"/>
                            <w:jc w:val="center"/>
                            <w:rPr>
                              <w:rFonts w:hint="eastAsia" w:ascii="宋体" w:hAnsi="宋体"/>
                              <w:color w:val="000000"/>
                              <w:sz w:val="15"/>
                              <w:szCs w:val="15"/>
                            </w:rPr>
                          </w:pPr>
                          <w:r>
                            <w:rPr>
                              <w:rFonts w:hint="eastAsia" w:ascii="宋体" w:hAnsi="宋体"/>
                              <w:color w:val="191919"/>
                              <w:sz w:val="15"/>
                              <w:szCs w:val="15"/>
                            </w:rPr>
                            <w:t>理念塑造、宣传培训、行为规范、激励约束</w:t>
                          </w:r>
                        </w:p>
                      </w:txbxContent>
                    </v:textbox>
                  </v:shape>
                </v:group>
                <v:group id="Group 28" o:spid="_x0000_s1026" o:spt="203" style="position:absolute;left:2859230;top:87000;height:162000;width:905538;" coordorigin="2859230,87000" coordsize="905538,162000" o:gfxdata="UEsDBAoAAAAAAIdO4kAAAAAAAAAAAAAAAAAEAAAAZHJzL1BLAwQUAAAACACHTuJA9c4LdsQAAADi&#10;AAAADwAAAGRycy9kb3ducmV2LnhtbEWPQWvCQBSE70L/w/IK3nSzBqVJXaVIKx5EqBZKb4/sMwlm&#10;34bsNtF/7xYKHoeZ+YZZrq+2ET11vnasQU0TEMSFMzWXGr5OH5MXED4gG2wck4YbeVivnkZLzI0b&#10;+JP6YyhFhLDPUUMVQptL6YuKLPqpa4mjd3adxRBlV0rT4RDhtpGzJFlIizXHhQpb2lRUXI6/VsN2&#10;wOEtVe/9/nLe3H5O88P3XpHW42eVvIIIdA2P8H97ZzRkKlvM01mWwt+leAfk6g5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PXOC3bEAAAA4gAAAA8AAAAAAAAAAQAgAAAAIgAAAGRycy9kb3du&#10;cmV2LnhtbFBLAQIUABQAAAAIAIdO4kAzLwWeOwAAADkAAAAVAAAAAAAAAAEAIAAAABMBAABkcnMv&#10;Z3JvdXBzaGFwZXhtbC54bWxQSwUGAAAAAAYABgBgAQAA0AMAAAAA&#10;">
                  <o:lock v:ext="edit" aspectratio="f"/>
                  <v:shape id="Rectangle" o:spid="_x0000_s1026" o:spt="100" style="position:absolute;left:2859230;top:87000;height:162000;width:905538;" filled="f" stroked="f" coordsize="905538,162000" o:gfxdata="UEsDBAoAAAAAAIdO4kAAAAAAAAAAAAAAAAAEAAAAZHJzL1BLAwQUAAAACACHTuJAwkMbVMUAAADj&#10;AAAADwAAAGRycy9kb3ducmV2LnhtbEWP0WrCQBBF3wX/YZmCL1I3MWhj6ioqWOpTNe0HDNlpEpqd&#10;Ddk1sf36bkHo48y9c8+d9fZmGtFT52rLCuJZBIK4sLrmUsHH+/ExBeE8ssbGMin4JgfbzXi0xkzb&#10;gS/U574UIYRdhgoq79tMSldUZNDNbEsctE/bGfRh7EqpOxxCuGnkPIqW0mDNgVBhS4eKiq/8agJ3&#10;N7wk/cm8DQdaTVf7nzw5N7VSk4c4egbh6eb/zffrVx3qx8v0aZHO0wT+fgoLkJ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JDG1TFAAAA4wAAAA8AAAAAAAAAAQAgAAAAIgAAAGRycy9kb3ducmV2LnhtbFBLAQIUABQAAAAI&#10;AIdO4kAzLwWeOwAAADkAAAAQAAAAAAAAAAEAIAAAABQBAABkcnMvc2hhcGV4bWwueG1sUEsFBgAA&#10;AAAGAAYAWwEAAL4DAAAAAA==&#10;" path="m0,0nsl905538,0,905538,162000,0,162000,0,0xem0,0nfl905538,0,905538,162000,0,162000,0,0xe">
                    <v:fill on="f" focussize="0,0"/>
                    <v:stroke on="f" weight="0.47244094488189pt"/>
                    <v:imagedata o:title=""/>
                    <o:lock v:ext="edit" aspectratio="f"/>
                  </v:shape>
                  <v:shape id="Text 29" o:spid="_x0000_s1026" o:spt="202" type="#_x0000_t202" style="position:absolute;left:2859230;top:54000;height:228000;width:905538;v-text-anchor:middle;" filled="f" stroked="f" coordsize="21600,21600" o:gfxdata="UEsDBAoAAAAAAIdO4kAAAAAAAAAAAAAAAAAEAAAAZHJzL1BLAwQUAAAACACHTuJAaJKjCcYAAADi&#10;AAAADwAAAGRycy9kb3ducmV2LnhtbEWPzU7DMBCE70i8g7VI3KgTwC1N61YI8VPEoWpoD71t4yWx&#10;iNdRbNLy9hgJieNoZr7RzJcn14qB+mA9a8hHGQjiyhvLtYbt+9PVHYgQkQ22nknDNwVYLs7P5lgY&#10;f+QNDWWsRYJwKFBDE2NXSBmqhhyGke+Ik/fhe4cxyb6WpsdjgrtWXmfZWDq0nBYa7Oihoeqz/HIa&#10;dq9v7TC2+5d1vNlt758fJ5bKg9aXF3k2AxHpFP/Df+2V0TBVuVK3aqLg91K6A3Lx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okqMJxgAAAOIAAAAPAAAAAAAAAAEAIAAAACIAAABkcnMvZG93bnJldi54bWxQSwECFAAUAAAA&#10;CACHTuJAMy8FnjsAAAA5AAAAEAAAAAAAAAABACAAAAAVAQAAZHJzL3NoYXBleG1sLnhtbFBLBQYA&#10;AAAABgAGAFsBAAC/AwAAAAA=&#10;">
                    <v:fill on="f" focussize="0,0"/>
                    <v:stroke on="f"/>
                    <v:imagedata o:title=""/>
                    <o:lock v:ext="edit" aspectratio="f"/>
                    <v:textbox inset="0.635mm,0.635mm,0.635mm,0.635mm">
                      <w:txbxContent>
                        <w:p w14:paraId="4688E333">
                          <w:pPr>
                            <w:snapToGrid w:val="0"/>
                            <w:spacing w:line="240" w:lineRule="auto"/>
                            <w:jc w:val="center"/>
                            <w:rPr>
                              <w:rFonts w:hint="eastAsia" w:ascii="黑体" w:hAnsi="黑体" w:eastAsia="黑体"/>
                              <w:bCs/>
                              <w:color w:val="000000"/>
                              <w:sz w:val="18"/>
                              <w:szCs w:val="18"/>
                            </w:rPr>
                          </w:pPr>
                          <w:r>
                            <w:rPr>
                              <w:rFonts w:hint="eastAsia" w:ascii="黑体" w:hAnsi="黑体" w:eastAsia="黑体"/>
                              <w:bCs/>
                              <w:color w:val="191919"/>
                              <w:sz w:val="18"/>
                              <w:szCs w:val="18"/>
                            </w:rPr>
                            <w:t>税务合规管理定义</w:t>
                          </w:r>
                        </w:p>
                      </w:txbxContent>
                    </v:textbox>
                  </v:shape>
                </v:group>
                <v:group id="Group 30" o:spid="_x0000_s1026" o:spt="203" style="position:absolute;left:1902000;top:188127;height:210000;width:2895222;" coordorigin="1902000,188127" coordsize="2895222,210000" o:gfxdata="UEsDBAoAAAAAAIdO4kAAAAAAAAAAAAAAAAAEAAAAZHJzL1BLAwQUAAAACACHTuJAoKuK7sMAAADj&#10;AAAADwAAAGRycy9kb3ducmV2LnhtbEVPS2vCQBC+C/0PyxS86W5qGzV1lSJt6UEKPkB6G7JjEszO&#10;huya6L/vFoQe53vPYnW1teio9ZVjDclYgSDOnam40HDYf4xmIHxANlg7Jg038rBaPgwWmBnX85a6&#10;XShEDGGfoYYyhCaT0uclWfRj1xBH7uRaiyGebSFNi30Mt7V8UiqVFiuODSU2tC4pP+8uVsNnj/3b&#10;JHnvNufT+vazf/k+bhLSeviYqFcQga7hX3x3f5k4fzJP1TSdz57h76cIgFz+Al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oKuK7sMAAADjAAAADwAAAAAAAAABACAAAAAiAAAAZHJzL2Rvd25y&#10;ZXYueG1sUEsBAhQAFAAAAAgAh07iQDMvBZ47AAAAOQAAABUAAAAAAAAAAQAgAAAAEgEAAGRycy9n&#10;cm91cHNoYXBleG1sLnhtbFBLBQYAAAAABgAGAGABAADPAwAAAAA=&#10;">
                  <o:lock v:ext="edit" aspectratio="f"/>
                  <v:shape id="Rectangle" o:spid="_x0000_s1026" o:spt="100" style="position:absolute;left:1902000;top:189000;height:162000;width:2895222;" filled="f" stroked="f" coordsize="2895222,162000" o:gfxdata="UEsDBAoAAAAAAIdO4kAAAAAAAAAAAAAAAAAEAAAAZHJzL1BLAwQUAAAACACHTuJAQYkcD8MAAADj&#10;AAAADwAAAGRycy9kb3ducmV2LnhtbEVPO0/DMBDekfgP1iGxIGqnrZo21O3QgoRgasoA2ym+OoH4&#10;HNnug3+PkZAY73vfcn1xvThRiJ1nDcVIgSBuvOnYanjbP93PQcSEbLD3TBq+KcJ6dX21xMr4M+/o&#10;VCcrcgjHCjW0KQ2VlLFpyWEc+YE4cwcfHKZ8BitNwHMOd70cKzWTDjvODS0OtGmp+aqPTsP0fbF5&#10;ufs4bm25tfXj62c9K0On9e1NoR5AJLqkf/Gf+9nk+UU5H5dqOpnA708ZALn6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iRwPwwAAAOMAAAAPAAAAAAAAAAEAIAAAACIAAABkcnMvZG93bnJldi54bWxQSwECFAAUAAAACACH&#10;TuJAMy8FnjsAAAA5AAAAEAAAAAAAAAABACAAAAASAQAAZHJzL3NoYXBleG1sLnhtbFBLBQYAAAAA&#10;BgAGAFsBAAC8AwAAAAA=&#10;" path="m0,0nsl2895222,0,2895222,162000,0,162000,0,0xem0,0nfl2895222,0,2895222,162000,0,162000,0,0xe">
                    <v:fill on="f" focussize="0,0"/>
                    <v:stroke on="f" weight="0.47244094488189pt"/>
                    <v:imagedata o:title=""/>
                    <o:lock v:ext="edit" aspectratio="f"/>
                  </v:shape>
                  <v:shape id="Text 31" o:spid="_x0000_s1026" o:spt="202" type="#_x0000_t202" style="position:absolute;left:2038646;top:188127;height:210000;width:2488315;v-text-anchor:middle;" filled="f" stroked="f" coordsize="21600,21600" o:gfxdata="UEsDBAoAAAAAAIdO4kAAAAAAAAAAAAAAAAAEAAAAZHJzL1BLAwQUAAAACACHTuJAAQSA/MYAAADi&#10;AAAADwAAAGRycy9kb3ducmV2LnhtbEWPQWvCQBSE70L/w/IK3nSjwaSkriLS2hYP0lQPvb1mX5Ol&#10;2bchu43233cLBY/DzHzDLNcX24qBem8cK5hNExDEldOGawXHt8fJHQgfkDW2jknBD3lYr25GSyy0&#10;O/MrDWWoRYSwL1BBE0JXSOmrhiz6qeuIo/fpeoshyr6WusdzhNtWzpMkkxYNx4UGO9o2VH2V31bB&#10;6WXfDpl5fzqE9HTc7B5yQ+WHUuPbWXIPItAlXMP/7WetIF2ki3meZxn8XYp3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BBID8xgAAAOIAAAAPAAAAAAAAAAEAIAAAACIAAABkcnMvZG93bnJldi54bWxQSwECFAAUAAAA&#10;CACHTuJAMy8FnjsAAAA5AAAAEAAAAAAAAAABACAAAAAVAQAAZHJzL3NoYXBleG1sLnhtbFBLBQYA&#10;AAAABgAGAFsBAAC/AwAAAAA=&#10;">
                    <v:fill on="f" focussize="0,0"/>
                    <v:stroke on="f"/>
                    <v:imagedata o:title=""/>
                    <o:lock v:ext="edit" aspectratio="f"/>
                    <v:textbox inset="0.635mm,0.635mm,0.635mm,0.635mm">
                      <w:txbxContent>
                        <w:p w14:paraId="49FE8C92">
                          <w:pPr>
                            <w:snapToGrid w:val="0"/>
                            <w:spacing w:line="240" w:lineRule="auto"/>
                            <w:jc w:val="left"/>
                            <w:rPr>
                              <w:rFonts w:hint="eastAsia" w:ascii="宋体" w:hAnsi="宋体"/>
                              <w:color w:val="000000"/>
                              <w:sz w:val="15"/>
                              <w:szCs w:val="15"/>
                            </w:rPr>
                          </w:pPr>
                          <w:r>
                            <w:rPr>
                              <w:rFonts w:hint="eastAsia" w:ascii="宋体" w:hAnsi="宋体"/>
                              <w:color w:val="000000"/>
                              <w:sz w:val="15"/>
                              <w:szCs w:val="15"/>
                            </w:rPr>
                            <w:t>税务合规 税务合规管理 税务合规运行机制 税务合规组织体系 税务合规风险防控...</w:t>
                          </w:r>
                        </w:p>
                      </w:txbxContent>
                    </v:textbox>
                  </v:shape>
                </v:group>
                <v:shape id="跨页引用" o:spid="_x0000_s1026" o:spt="100" style="position:absolute;left:1785000;top:546000;height:444000;width:2955000;" fillcolor="#FFFFFF" filled="t" stroked="t" coordsize="2955000,444000" o:gfxdata="UEsDBAoAAAAAAIdO4kAAAAAAAAAAAAAAAAAEAAAAZHJzL1BLAwQUAAAACACHTuJAy6H9lMAAAADj&#10;AAAADwAAAGRycy9kb3ducmV2LnhtbEVPzUoDMRC+C32HMII3m2xbNV2bFhGUgheNQq9hM24WNzPb&#10;TWzr25uC4HG+/1ltTrEXBxxTx2SgmioQSA37jloDH+9P1xpEyo6865nQwA8m2KwnFytXez7SGx5s&#10;bkUJoVQ7AyHnoZYyNQGjS1MekAr3yWN0uZxjK/3ojiU89nKm1K2MrqPSENyAjwGbL/sdDSx5v3i1&#10;L/q57QLf2GTn/JB3xlxdVuoeRMZT/hf/ube+zNdzXd2pmV7A+acC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of2U&#10;wAAAAOMAAAAPAAAAAAAAAAEAIAAAACIAAABkcnMvZG93bnJldi54bWxQSwECFAAUAAAACACHTuJA&#10;My8FnjsAAAA5AAAAEAAAAAAAAAABACAAAAAPAQAAZHJzL3NoYXBleG1sLnhtbFBLBQYAAAAABgAG&#10;AFsBAAC5AwAAAAA=&#10;" path="m2955000,222000nsl2955000,0,0,0,0,222000,1477500,444000,2955000,222000xem2955000,222000nfl2955000,0,0,0,0,222000,1477500,444000,2955000,222000xe">
                  <v:path o:connectlocs="0,222000;1477500,0;2955000,222000;1477500,444000" o:connectangles="0,0,0,0"/>
                  <v:fill on="t" focussize="0,0"/>
                  <v:stroke weight="0.47244094488189pt" color="#101843" joinstyle="round"/>
                  <v:imagedata o:title=""/>
                  <o:lock v:ext="edit" aspectratio="f"/>
                </v:shape>
                <v:group id="Group 32" o:spid="_x0000_s1026" o:spt="203" style="position:absolute;left:2775904;top:546001;height:174875;width:945198;" coordorigin="2775904,546001" coordsize="945198,174875" o:gfxdata="UEsDBAoAAAAAAIdO4kAAAAAAAAAAAAAAAAAEAAAAZHJzL1BLAwQUAAAACACHTuJAjcZBF8EAAADi&#10;AAAADwAAAGRycy9kb3ducmV2LnhtbEVPXWvCMBR9H+w/hDvY20yjs5XOKEPc2IMI04H4dmmubbG5&#10;KU3W6r9fBoKPh/M9X15sI3rqfO1YgxolIIgLZ2ouNfzsP15mIHxANtg4Jg1X8rBcPD7MMTdu4G/q&#10;d6EUMYR9jhqqENpcSl9UZNGPXEscuZPrLIYIu1KaDocYbhs5TpJUWqw5NlTY0qqi4rz7tRo+Bxze&#10;J2rdb86n1fW4n24PG0VaPz+p5A1EoEu4i2/uLxPnZ9mrGmezFP4vRQxy8Qd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I3GQRfBAAAA4gAAAA8AAAAAAAAAAQAgAAAAIgAAAGRycy9kb3ducmV2&#10;LnhtbFBLAQIUABQAAAAIAIdO4kAzLwWeOwAAADkAAAAVAAAAAAAAAAEAIAAAABABAABkcnMvZ3Jv&#10;dXBzaGFwZXhtbC54bWxQSwUGAAAAAAYABgBgAQAAzQMAAAAA&#10;">
                  <o:lock v:ext="edit" aspectratio="f"/>
                  <v:shape id="Rectangle" o:spid="_x0000_s1026" o:spt="100" style="position:absolute;left:2775904;top:546001;height:174875;width:945198;" filled="f" stroked="f" coordsize="945198,174875" o:gfxdata="UEsDBAoAAAAAAIdO4kAAAAAAAAAAAAAAAAAEAAAAZHJzL1BLAwQUAAAACACHTuJA6bQv2MIAAADj&#10;AAAADwAAAGRycy9kb3ducmV2LnhtbEVPS2vCQBC+F/oflil4KbpJ0wSbunooWCxVxAf0OmTHJDQ7&#10;G3ZXTf99t1DwON97ZovBdOJCzreWFaSTBARxZXXLtYLjYTmegvABWWNnmRT8kIfF/P5uhqW2V97R&#10;ZR9qEUPYl6igCaEvpfRVQwb9xPbEkTtZZzDE09VSO7zGcNPJpyQppMGWY0ODPb01VH3vz0bBl906&#10;+fjeLrNuNZw26YfL1vyp1OghTV5BBBrCTfzvXuk4v8jzPCte8mf4+ykCIO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m0&#10;L9jCAAAA4wAAAA8AAAAAAAAAAQAgAAAAIgAAAGRycy9kb3ducmV2LnhtbFBLAQIUABQAAAAIAIdO&#10;4kAzLwWeOwAAADkAAAAQAAAAAAAAAAEAIAAAABEBAABkcnMvc2hhcGV4bWwueG1sUEsFBgAAAAAG&#10;AAYAWwEAALsDAAAAAA==&#10;" path="m0,0nsl945198,0,945198,174875,0,174875,0,0xem0,0nfl945198,0,945198,174875,0,174875,0,0xe">
                    <v:fill on="f" focussize="0,0"/>
                    <v:stroke on="f" weight="0.47244094488189pt"/>
                    <v:imagedata o:title=""/>
                    <o:lock v:ext="edit" aspectratio="f"/>
                  </v:shape>
                  <v:shape id="Text 33" o:spid="_x0000_s1026" o:spt="202" type="#_x0000_t202" style="position:absolute;left:2775904;top:519438;height:228000;width:945198;v-text-anchor:middle;" filled="f" stroked="f" coordsize="21600,21600" o:gfxdata="UEsDBAoAAAAAAIdO4kAAAAAAAAAAAAAAAAAEAAAAZHJzL1BLAwQUAAAACACHTuJA6D2LUcUAAADi&#10;AAAADwAAAGRycy9kb3ducmV2LnhtbEWPQUvDQBSE74L/YXmCN7tJUxKJ3RYRtYqH0tgevL1mX5PF&#10;7NuQXdP677sFweMwM98w8+XJdmKkwRvHCtJJAoK4dtpwo2D7+XJ3D8IHZI2dY1LwSx6Wi+urOZba&#10;HXlDYxUaESHsS1TQhtCXUvq6JYt+4nri6B3cYDFEOTRSD3iMcNvJaZLk0qLhuNBiT08t1d/Vj1Ww&#10;e//oxtx8rdYh220fX58LQ9VeqdubNHkAEegU/sN/7TetoMiyWV5MixQul+IdkIsz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g9i1HFAAAA4gAAAA8AAAAAAAAAAQAgAAAAIgAAAGRycy9kb3ducmV2LnhtbFBLAQIUABQAAAAI&#10;AIdO4kAzLwWeOwAAADkAAAAQAAAAAAAAAAEAIAAAABQBAABkcnMvc2hhcGV4bWwueG1sUEsFBgAA&#10;AAAGAAYAWwEAAL4DAAAAAA==&#10;">
                    <v:fill on="f" focussize="0,0"/>
                    <v:stroke on="f"/>
                    <v:imagedata o:title=""/>
                    <o:lock v:ext="edit" aspectratio="f"/>
                    <v:textbox inset="0.635mm,0.635mm,0.635mm,0.635mm">
                      <w:txbxContent>
                        <w:p w14:paraId="1938608F">
                          <w:pPr>
                            <w:snapToGrid w:val="0"/>
                            <w:spacing w:line="240" w:lineRule="auto"/>
                            <w:jc w:val="center"/>
                            <w:rPr>
                              <w:rFonts w:hint="eastAsia" w:ascii="黑体" w:hAnsi="黑体" w:eastAsia="黑体"/>
                              <w:bCs/>
                              <w:color w:val="191919"/>
                              <w:sz w:val="18"/>
                              <w:szCs w:val="18"/>
                            </w:rPr>
                          </w:pPr>
                          <w:r>
                            <w:rPr>
                              <w:rFonts w:hint="eastAsia" w:ascii="黑体" w:hAnsi="黑体" w:eastAsia="黑体"/>
                              <w:bCs/>
                              <w:color w:val="191919"/>
                              <w:sz w:val="18"/>
                              <w:szCs w:val="18"/>
                            </w:rPr>
                            <w:t>税务合规管理原则</w:t>
                          </w:r>
                        </w:p>
                      </w:txbxContent>
                    </v:textbox>
                  </v:shape>
                </v:group>
                <v:group id="Group 34" o:spid="_x0000_s1026" o:spt="203" style="position:absolute;left:2443122;top:662136;height:261716;width:1737750;" coordorigin="2443122,662136" coordsize="1737750,261716" o:gfxdata="UEsDBAoAAAAAAIdO4kAAAAAAAAAAAAAAAAAEAAAAZHJzL1BLAwQUAAAACACHTuJAnZ3idcIAAADh&#10;AAAADwAAAGRycy9kb3ducmV2LnhtbEWPy2rCQBSG94W+w3AK3dWZeCkhdZQiWlyIYCyU7g6ZYxLM&#10;nAmZMdG3dxaCy5//xjdfXm0jeup87VhDMlIgiAtnai41/B43HykIH5ANNo5Jw408LBevL3PMjBv4&#10;QH0eShFH2GeooQqhzaT0RUUW/ci1xNE7uc5iiLIrpelwiOO2kWOlPqXFmuNDhS2tKirO+cVq+Blw&#10;+J4k6353Pq1u/8fZ/m+XkNbvb4n6AhHoGp7hR3trNEzSWTpVKjJEokgDcnE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dneJ1wgAAAOEAAAAPAAAAAAAAAAEAIAAAACIAAABkcnMvZG93bnJl&#10;di54bWxQSwECFAAUAAAACACHTuJAMy8FnjsAAAA5AAAAFQAAAAAAAAABACAAAAARAQAAZHJzL2dy&#10;b3Vwc2hhcGV4bWwueG1sUEsFBgAAAAAGAAYAYAEAAM4DAAAAAA==&#10;">
                  <o:lock v:ext="edit" aspectratio="f"/>
                  <v:shape id="Rectangle" o:spid="_x0000_s1026" o:spt="100" style="position:absolute;left:2443122;top:662136;height:211727;width:1737750;" filled="f" stroked="f" coordsize="1737750,211727" o:gfxdata="UEsDBAoAAAAAAIdO4kAAAAAAAAAAAAAAAAAEAAAAZHJzL1BLAwQUAAAACACHTuJAyfIz6sIAAADi&#10;AAAADwAAAGRycy9kb3ducmV2LnhtbEWPzWrCQBSF94W+w3AL7upMJEqNji6UQBdCMRW6vc1ck2Dm&#10;TshMk/j2nYXg8nD++Lb7ybZioN43jjUkcwWCuHSm4UrD5Tt//wDhA7LB1jFpuJOH/e71ZYuZcSOf&#10;aShCJeII+ww11CF0mZS+rMmin7uOOHpX11sMUfaVND2Ocdy2cqHUSlpsOD7U2NGhpvJW/FkN/p4X&#10;q+PVNscutT9fv7k/XNxJ69lbojYgAk3hGX60P42G5Voli3SdRIiIFHFA7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ny&#10;M+rCAAAA4gAAAA8AAAAAAAAAAQAgAAAAIgAAAGRycy9kb3ducmV2LnhtbFBLAQIUABQAAAAIAIdO&#10;4kAzLwWeOwAAADkAAAAQAAAAAAAAAAEAIAAAABEBAABkcnMvc2hhcGV4bWwueG1sUEsFBgAAAAAG&#10;AAYAWwEAALsDAAAAAA==&#10;" path="m0,0nsl1737750,0,1737750,211727,0,211727,0,0xem0,0nfl1737750,0,1737750,211727,0,211727,0,0xe">
                    <v:path o:connectlocs="868875,0" o:connectangles="0"/>
                    <v:fill on="f" focussize="0,0"/>
                    <v:stroke on="f" weight="0.47244094488189pt"/>
                    <v:imagedata o:title=""/>
                    <o:lock v:ext="edit" aspectratio="f"/>
                  </v:shape>
                  <v:shape id="Text 35" o:spid="_x0000_s1026" o:spt="202" type="#_x0000_t202" style="position:absolute;left:2502731;top:712125;height:211727;width:1572206;v-text-anchor:middle;" filled="f" stroked="f" coordsize="21600,21600" o:gfxdata="UEsDBAoAAAAAAIdO4kAAAAAAAAAAAAAAAAAEAAAAZHJzL1BLAwQUAAAACACHTuJADE/Ms8UAAADi&#10;AAAADwAAAGRycy9kb3ducmV2LnhtbEWPzWrDMBCE74W8g9hAb42sGOLWiRJC6S89lLrJIbettbVF&#10;rJWxVCd9+6pQ6HGYmW+Y1ebsOjHSEKxnDWqWgSCuvbHcaNi9319dgwgR2WDnmTR8U4DNenKxwtL4&#10;E7/RWMVGJAiHEjW0MfallKFuyWGY+Z44eZ9+cBiTHBppBjwluOvkPMsW0qHltNBiT7ct1cfqy2nY&#10;P79048IeHl9jvt9tH+4KS9WH1pdTlS1BRDrH//Bf+8louCmKPFdqruD3UroDcv0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xPzLPFAAAA4gAAAA8AAAAAAAAAAQAgAAAAIgAAAGRycy9kb3ducmV2LnhtbFBLAQIUABQAAAAI&#10;AIdO4kAzLwWeOwAAADkAAAAQAAAAAAAAAAEAIAAAABQBAABkcnMvc2hhcGV4bWwueG1sUEsFBgAA&#10;AAAGAAYAWwEAAL4DAAAAAA==&#10;">
                    <v:fill on="f" focussize="0,0"/>
                    <v:stroke on="f"/>
                    <v:imagedata o:title=""/>
                    <o:lock v:ext="edit" aspectratio="f"/>
                    <v:textbox inset="0.635mm,0.635mm,0.635mm,0.635mm">
                      <w:txbxContent>
                        <w:p w14:paraId="153E90BF">
                          <w:pPr>
                            <w:snapToGrid w:val="0"/>
                            <w:spacing w:line="240" w:lineRule="auto"/>
                            <w:jc w:val="left"/>
                            <w:rPr>
                              <w:rFonts w:hint="eastAsia" w:ascii="宋体" w:hAnsi="宋体"/>
                              <w:color w:val="000000"/>
                              <w:sz w:val="15"/>
                              <w:szCs w:val="15"/>
                            </w:rPr>
                          </w:pPr>
                          <w:r>
                            <w:rPr>
                              <w:rFonts w:hint="eastAsia" w:ascii="宋体" w:hAnsi="宋体"/>
                              <w:color w:val="000000"/>
                              <w:sz w:val="15"/>
                              <w:szCs w:val="15"/>
                            </w:rPr>
                            <w:t>合法性 真实性 完整性 一致性 合作共赢 持续改进</w:t>
                          </w:r>
                        </w:p>
                      </w:txbxContent>
                    </v:textbox>
                  </v:shape>
                </v:group>
                <w10:wrap type="square"/>
              </v:group>
            </w:pict>
          </mc:Fallback>
        </mc:AlternateContent>
      </w:r>
    </w:p>
    <w:p w14:paraId="5CC56B89">
      <w:pPr>
        <w:pStyle w:val="62"/>
        <w:ind w:firstLine="420"/>
      </w:pPr>
    </w:p>
    <w:p w14:paraId="1CBB4329">
      <w:pPr>
        <w:pStyle w:val="62"/>
        <w:ind w:firstLine="420"/>
      </w:pPr>
    </w:p>
    <w:p w14:paraId="570C2DF2">
      <w:pPr>
        <w:pStyle w:val="62"/>
        <w:ind w:firstLine="420"/>
      </w:pPr>
    </w:p>
    <w:p w14:paraId="094B83A5">
      <w:pPr>
        <w:pStyle w:val="62"/>
        <w:ind w:firstLine="420"/>
      </w:pPr>
    </w:p>
    <w:p w14:paraId="3106058B">
      <w:pPr>
        <w:pStyle w:val="62"/>
        <w:ind w:firstLine="420"/>
      </w:pPr>
    </w:p>
    <w:p w14:paraId="4F0F6C9A">
      <w:pPr>
        <w:pStyle w:val="62"/>
        <w:ind w:firstLine="420"/>
      </w:pPr>
    </w:p>
    <w:p w14:paraId="1DC6383F">
      <w:pPr>
        <w:pStyle w:val="62"/>
        <w:ind w:firstLine="420"/>
      </w:pPr>
    </w:p>
    <w:p w14:paraId="58689CBB">
      <w:pPr>
        <w:pStyle w:val="62"/>
        <w:ind w:firstLine="420"/>
      </w:pPr>
    </w:p>
    <w:p w14:paraId="40519597">
      <w:pPr>
        <w:pStyle w:val="62"/>
        <w:ind w:firstLine="420"/>
      </w:pPr>
    </w:p>
    <w:p w14:paraId="14E48BAA">
      <w:pPr>
        <w:pStyle w:val="62"/>
        <w:ind w:firstLine="420"/>
      </w:pPr>
    </w:p>
    <w:p w14:paraId="1ECEA904">
      <w:pPr>
        <w:pStyle w:val="62"/>
        <w:ind w:firstLine="420"/>
      </w:pPr>
    </w:p>
    <w:p w14:paraId="7936B107">
      <w:pPr>
        <w:pStyle w:val="62"/>
        <w:ind w:firstLine="420"/>
      </w:pPr>
    </w:p>
    <w:p w14:paraId="42324AAF">
      <w:pPr>
        <w:pStyle w:val="62"/>
        <w:ind w:firstLine="420"/>
      </w:pPr>
    </w:p>
    <w:p w14:paraId="1E680035">
      <w:pPr>
        <w:pStyle w:val="62"/>
        <w:ind w:firstLine="420"/>
      </w:pPr>
    </w:p>
    <w:p w14:paraId="16DCA28F">
      <w:pPr>
        <w:pStyle w:val="62"/>
        <w:ind w:firstLine="420"/>
      </w:pPr>
    </w:p>
    <w:p w14:paraId="29550F5C">
      <w:pPr>
        <w:pStyle w:val="62"/>
        <w:ind w:firstLine="420"/>
      </w:pPr>
    </w:p>
    <w:p w14:paraId="3F3AF3DF">
      <w:pPr>
        <w:pStyle w:val="62"/>
        <w:ind w:firstLine="420"/>
      </w:pPr>
    </w:p>
    <w:p w14:paraId="53AA755F">
      <w:pPr>
        <w:pStyle w:val="62"/>
        <w:ind w:firstLine="420"/>
      </w:pPr>
    </w:p>
    <w:p w14:paraId="4D65A2AA">
      <w:pPr>
        <w:pStyle w:val="62"/>
        <w:ind w:firstLine="420"/>
      </w:pPr>
    </w:p>
    <w:p w14:paraId="4F1E35D7">
      <w:pPr>
        <w:pStyle w:val="62"/>
        <w:ind w:firstLine="420"/>
      </w:pPr>
    </w:p>
    <w:p w14:paraId="55044A07">
      <w:pPr>
        <w:pStyle w:val="62"/>
        <w:ind w:firstLine="420"/>
      </w:pPr>
    </w:p>
    <w:p w14:paraId="2098CEFA">
      <w:pPr>
        <w:pStyle w:val="62"/>
        <w:ind w:firstLine="420"/>
      </w:pPr>
    </w:p>
    <w:p w14:paraId="21491DE5">
      <w:pPr>
        <w:pStyle w:val="62"/>
        <w:ind w:firstLine="420"/>
      </w:pPr>
    </w:p>
    <w:p w14:paraId="0D0CA233">
      <w:pPr>
        <w:pStyle w:val="62"/>
        <w:ind w:firstLine="420"/>
      </w:pPr>
    </w:p>
    <w:p w14:paraId="38B7475C">
      <w:pPr>
        <w:pStyle w:val="62"/>
        <w:ind w:firstLine="420"/>
      </w:pPr>
    </w:p>
    <w:p w14:paraId="6A395D2D">
      <w:pPr>
        <w:pStyle w:val="62"/>
        <w:ind w:firstLine="420"/>
      </w:pPr>
    </w:p>
    <w:p w14:paraId="35B86F80">
      <w:pPr>
        <w:pStyle w:val="62"/>
        <w:ind w:firstLine="420"/>
      </w:pPr>
    </w:p>
    <w:p w14:paraId="7F9A4768">
      <w:pPr>
        <w:pStyle w:val="62"/>
        <w:ind w:firstLine="420"/>
      </w:pPr>
    </w:p>
    <w:p w14:paraId="5CB24CAD">
      <w:pPr>
        <w:pStyle w:val="62"/>
        <w:ind w:firstLine="420"/>
      </w:pPr>
    </w:p>
    <w:p w14:paraId="3F347844">
      <w:pPr>
        <w:pStyle w:val="62"/>
        <w:ind w:firstLine="420"/>
      </w:pPr>
    </w:p>
    <w:p w14:paraId="5AF6A65D">
      <w:pPr>
        <w:pStyle w:val="62"/>
        <w:ind w:firstLine="420"/>
      </w:pPr>
    </w:p>
    <w:p w14:paraId="43591993">
      <w:pPr>
        <w:pStyle w:val="6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黑体" w:hAnsi="黑体" w:eastAsia="黑体" w:cs="黑体"/>
        </w:rPr>
      </w:pPr>
      <w:bookmarkStart w:id="115" w:name="_GoBack"/>
      <w:r>
        <w:rPr>
          <w:rFonts w:hint="eastAsia" w:ascii="黑体" w:hAnsi="黑体" w:eastAsia="黑体" w:cs="黑体"/>
        </w:rPr>
        <w:t>图A.1 企业税务合规管理框架</w:t>
      </w:r>
    </w:p>
    <w:bookmarkEnd w:id="115"/>
    <w:p w14:paraId="4C36E36F">
      <w:pPr>
        <w:widowControl/>
        <w:adjustRightInd/>
        <w:spacing w:line="240" w:lineRule="auto"/>
        <w:jc w:val="left"/>
      </w:pPr>
      <w:r>
        <w:br w:type="page"/>
      </w:r>
    </w:p>
    <w:bookmarkEnd w:id="102"/>
    <w:p w14:paraId="70BFFAA7">
      <w:pPr>
        <w:pStyle w:val="203"/>
        <w:rPr>
          <w:rFonts w:hint="eastAsia"/>
          <w:vanish w:val="0"/>
          <w:shd w:val="clear" w:color="auto" w:fill="FFFFFF"/>
        </w:rPr>
      </w:pPr>
    </w:p>
    <w:p w14:paraId="0FFFD700">
      <w:pPr>
        <w:pStyle w:val="204"/>
        <w:rPr>
          <w:vanish w:val="0"/>
        </w:rPr>
      </w:pPr>
    </w:p>
    <w:p w14:paraId="64E7D811">
      <w:pPr>
        <w:pStyle w:val="82"/>
        <w:spacing w:after="120"/>
        <w:ind w:left="0"/>
      </w:pPr>
      <w:r>
        <w:br w:type="textWrapping"/>
      </w:r>
      <w:bookmarkStart w:id="106" w:name="_Toc188519726"/>
      <w:bookmarkStart w:id="107" w:name="_Toc188363492"/>
      <w:r>
        <w:rPr>
          <w:rFonts w:hint="eastAsia"/>
        </w:rPr>
        <w:t>（资料性）</w:t>
      </w:r>
      <w:r>
        <w:br w:type="textWrapping"/>
      </w:r>
      <w:r>
        <w:rPr>
          <w:rFonts w:hint="eastAsia"/>
        </w:rPr>
        <w:t>企业税务合规管理案例</w:t>
      </w:r>
      <w:bookmarkEnd w:id="106"/>
      <w:bookmarkEnd w:id="107"/>
    </w:p>
    <w:p w14:paraId="2D58DF71">
      <w:pPr>
        <w:pStyle w:val="62"/>
        <w:spacing w:before="240" w:beforeLines="100" w:after="240" w:afterLines="100"/>
        <w:ind w:firstLine="0" w:firstLineChars="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B.1 建筑企业税务合规管理</w:t>
      </w:r>
    </w:p>
    <w:p w14:paraId="4580AEAB">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B.1.1 建筑安装行业涉税政策与案例分析</w:t>
      </w:r>
    </w:p>
    <w:p w14:paraId="74B9ADEF">
      <w:pPr>
        <w:pStyle w:val="71"/>
        <w:numPr>
          <w:ilvl w:val="255"/>
          <w:numId w:val="0"/>
        </w:numPr>
        <w:spacing w:before="120" w:after="120"/>
      </w:pPr>
      <w:r>
        <w:rPr>
          <w:rFonts w:hint="eastAsia"/>
        </w:rPr>
        <w:t>B.1.1.1 增值税</w:t>
      </w:r>
    </w:p>
    <w:p w14:paraId="1252A589">
      <w:pPr>
        <w:pStyle w:val="62"/>
        <w:ind w:firstLine="0" w:firstLineChars="0"/>
        <w:rPr>
          <w:rFonts w:hint="eastAsia" w:hAnsi="宋体" w:cs="宋体"/>
        </w:rPr>
      </w:pPr>
      <w:bookmarkStart w:id="108" w:name="_Hlk188279295"/>
      <w:r>
        <w:rPr>
          <w:rFonts w:hint="eastAsia" w:ascii="黑体" w:hAnsi="黑体" w:eastAsia="黑体" w:cs="宋体"/>
        </w:rPr>
        <w:t xml:space="preserve">B.1.1.1.1 </w:t>
      </w:r>
      <w:r>
        <w:rPr>
          <w:rFonts w:hint="eastAsia" w:hAnsi="宋体" w:cs="宋体"/>
        </w:rPr>
        <w:t>建筑劳务一般纳税人自2019年4月1日起，其税率调整为9%。</w:t>
      </w:r>
    </w:p>
    <w:p w14:paraId="07A5280E">
      <w:pPr>
        <w:pStyle w:val="62"/>
        <w:ind w:firstLine="0" w:firstLineChars="0"/>
        <w:rPr>
          <w:rFonts w:hint="eastAsia" w:hAnsi="宋体" w:cs="宋体"/>
        </w:rPr>
      </w:pPr>
      <w:r>
        <w:rPr>
          <w:rFonts w:hint="eastAsia" w:ascii="黑体" w:hAnsi="黑体" w:eastAsia="黑体" w:cs="宋体"/>
        </w:rPr>
        <w:t>B.1.1.1.2</w:t>
      </w:r>
      <w:r>
        <w:rPr>
          <w:rFonts w:hint="eastAsia" w:hAnsi="宋体" w:cs="宋体"/>
        </w:rPr>
        <w:t xml:space="preserve"> 建筑服务适用或选择适用“简易”计税方法的情形:</w:t>
      </w:r>
    </w:p>
    <w:p w14:paraId="65FE45CC">
      <w:pPr>
        <w:pStyle w:val="137"/>
      </w:pPr>
      <w:r>
        <w:rPr>
          <w:rFonts w:hint="eastAsia"/>
        </w:rPr>
        <w:t>清包工方式提供的施工服务,建设方不采购建筑工程所需材料或只采购辅助材料，而收取工时费、管理费或其他费用的施工服务；</w:t>
      </w:r>
    </w:p>
    <w:p w14:paraId="66C8A376">
      <w:pPr>
        <w:pStyle w:val="137"/>
      </w:pPr>
      <w:r>
        <w:rPr>
          <w:rFonts w:hint="eastAsia"/>
        </w:rPr>
        <w:t>提供甲供工程建筑服务,甲供工程由工程发包方自行采购全部或部分设备、材料、动力的建筑工程；</w:t>
      </w:r>
    </w:p>
    <w:p w14:paraId="3A33C57A">
      <w:pPr>
        <w:pStyle w:val="137"/>
      </w:pPr>
      <w:r>
        <w:rPr>
          <w:rFonts w:hint="eastAsia"/>
        </w:rPr>
        <w:t>建筑工程老项目施工服务；</w:t>
      </w:r>
    </w:p>
    <w:p w14:paraId="6F2BAA77">
      <w:pPr>
        <w:pStyle w:val="137"/>
      </w:pPr>
      <w:r>
        <w:rPr>
          <w:rFonts w:hint="eastAsia"/>
        </w:rPr>
        <w:t>小规模纳税人提供的建筑服务，年应税销售额小于500万；</w:t>
      </w:r>
    </w:p>
    <w:p w14:paraId="79378C91">
      <w:pPr>
        <w:pStyle w:val="137"/>
      </w:pPr>
      <w:r>
        <w:rPr>
          <w:rFonts w:hint="eastAsia"/>
        </w:rPr>
        <w:t>建筑工程总承包单位为房屋建筑的地基与基础、主体结构提供工程服务，建设单位自行采购全部或部分钢材、混凝土、砌体材料、预制构件的，适用简易计税。</w:t>
      </w:r>
    </w:p>
    <w:p w14:paraId="631881E5">
      <w:pPr>
        <w:pStyle w:val="62"/>
        <w:ind w:firstLine="0" w:firstLineChars="0"/>
        <w:rPr>
          <w:rFonts w:hint="eastAsia" w:hAnsi="宋体" w:cs="宋体"/>
        </w:rPr>
      </w:pPr>
      <w:r>
        <w:rPr>
          <w:rFonts w:hint="eastAsia" w:ascii="黑体" w:hAnsi="黑体" w:eastAsia="黑体" w:cs="宋体"/>
        </w:rPr>
        <w:t>B.1.1.1.4</w:t>
      </w:r>
      <w:r>
        <w:rPr>
          <w:rFonts w:hint="eastAsia" w:hAnsi="宋体" w:cs="宋体"/>
        </w:rPr>
        <w:t xml:space="preserve"> 企业有大量的进项税留抵，预缴的工程项目增值税可以暂缓征收。</w:t>
      </w:r>
    </w:p>
    <w:p w14:paraId="3E3C2BB2">
      <w:pPr>
        <w:pStyle w:val="62"/>
        <w:ind w:firstLine="0" w:firstLineChars="0"/>
        <w:rPr>
          <w:rFonts w:hint="eastAsia" w:hAnsi="宋体" w:cs="宋体"/>
        </w:rPr>
      </w:pPr>
      <w:r>
        <w:rPr>
          <w:rFonts w:hint="eastAsia" w:ascii="黑体" w:hAnsi="黑体" w:eastAsia="黑体" w:cs="宋体"/>
        </w:rPr>
        <w:t>B.1.1.1.5</w:t>
      </w:r>
      <w:r>
        <w:rPr>
          <w:rFonts w:hint="eastAsia" w:hAnsi="宋体" w:cs="宋体"/>
        </w:rPr>
        <w:t xml:space="preserve"> 建筑安装企业既有一般计税项目，也有简易计税项目，进项税额的抵扣政策。适用一般计税方法的纳税人，不能划分不可抵扣的进项税额，兼营简易计税项目和增值税项目的，重新计算不得抵扣的进项税额。</w:t>
      </w:r>
    </w:p>
    <w:p w14:paraId="25652F05">
      <w:pPr>
        <w:pStyle w:val="62"/>
        <w:ind w:firstLine="0" w:firstLineChars="0"/>
        <w:rPr>
          <w:rFonts w:hint="eastAsia" w:hAnsi="宋体" w:cs="宋体"/>
        </w:rPr>
      </w:pPr>
      <w:r>
        <w:rPr>
          <w:rFonts w:hint="eastAsia" w:ascii="黑体" w:hAnsi="黑体" w:eastAsia="黑体" w:cs="宋体"/>
        </w:rPr>
        <w:t xml:space="preserve">B.1.1.1.6 </w:t>
      </w:r>
      <w:r>
        <w:rPr>
          <w:rFonts w:hint="eastAsia" w:hAnsi="宋体" w:cs="宋体"/>
        </w:rPr>
        <w:t>销售自产商品，同时施工和安装服务不属于混合销售。纳税人在销售活动板房、机器设备、钢结构件等自产货物同时提供施工安装服务的，不属于混合销售，应分别按不同税率或征收率核算货物销售和服务销售额。</w:t>
      </w:r>
    </w:p>
    <w:p w14:paraId="35C9A71D">
      <w:pPr>
        <w:pStyle w:val="62"/>
        <w:ind w:firstLine="0" w:firstLineChars="0"/>
        <w:rPr>
          <w:rFonts w:hint="eastAsia" w:hAnsi="宋体" w:cs="宋体"/>
        </w:rPr>
      </w:pPr>
      <w:r>
        <w:rPr>
          <w:rFonts w:hint="eastAsia" w:ascii="黑体" w:hAnsi="黑体" w:eastAsia="黑体" w:cs="宋体"/>
        </w:rPr>
        <w:t>B.1.1.1.7</w:t>
      </w:r>
      <w:r>
        <w:rPr>
          <w:rFonts w:hint="eastAsia" w:hAnsi="宋体" w:cs="宋体"/>
        </w:rPr>
        <w:t xml:space="preserve"> 电梯销售电梯同时提供安装服务的计税方法一般纳税人在提供安装服务的同时销售电梯，其安装服务可选择适用简易计税方法按照甲供工程计税。</w:t>
      </w:r>
    </w:p>
    <w:p w14:paraId="141CC447">
      <w:pPr>
        <w:pStyle w:val="62"/>
        <w:ind w:firstLine="0" w:firstLineChars="0"/>
        <w:rPr>
          <w:rFonts w:hint="eastAsia" w:hAnsi="宋体" w:cs="宋体"/>
        </w:rPr>
      </w:pPr>
      <w:r>
        <w:rPr>
          <w:rFonts w:hint="eastAsia" w:ascii="黑体" w:hAnsi="黑体" w:eastAsia="黑体" w:cs="宋体"/>
        </w:rPr>
        <w:t>B.1.1.1.8</w:t>
      </w:r>
      <w:r>
        <w:rPr>
          <w:rFonts w:hint="eastAsia" w:hAnsi="宋体" w:cs="宋体"/>
        </w:rPr>
        <w:t xml:space="preserve"> 建安企业将施工设备对外出租的纳税处理。纳税人将建筑施工设备出租给他人使用并配备经营者的，按“建筑劳务”缴纳增值税税率为9%，纳税人只出租建筑施工设备给他人使用，不配备经营者的，属于“有形动产租赁服务”，税率为13%。</w:t>
      </w:r>
    </w:p>
    <w:p w14:paraId="2EA288DF">
      <w:pPr>
        <w:pStyle w:val="62"/>
        <w:ind w:firstLine="0" w:firstLineChars="0"/>
        <w:rPr>
          <w:rFonts w:hint="eastAsia" w:hAnsi="宋体" w:cs="宋体"/>
        </w:rPr>
      </w:pPr>
      <w:r>
        <w:rPr>
          <w:rFonts w:hint="eastAsia" w:ascii="黑体" w:hAnsi="黑体" w:eastAsia="黑体" w:cs="宋体"/>
        </w:rPr>
        <w:t>B.1.1.1.9</w:t>
      </w:r>
      <w:r>
        <w:rPr>
          <w:rFonts w:hint="eastAsia" w:hAnsi="宋体" w:cs="宋体"/>
        </w:rPr>
        <w:t xml:space="preserve"> 园林绿化工程采购苗木花卉涉税风险，开具农产品收购发票时，应核实农民或农业合作社的真实信息，确保交易主体合规，业务真实存在，并避免使用大额现金交易。</w:t>
      </w:r>
    </w:p>
    <w:p w14:paraId="2C69ABE1">
      <w:pPr>
        <w:pStyle w:val="71"/>
        <w:numPr>
          <w:ilvl w:val="3"/>
          <w:numId w:val="0"/>
        </w:numPr>
        <w:spacing w:before="120" w:after="120"/>
      </w:pPr>
      <w:r>
        <w:rPr>
          <w:rFonts w:hint="eastAsia"/>
        </w:rPr>
        <w:t>B.1.1.2 企业所得税</w:t>
      </w:r>
    </w:p>
    <w:p w14:paraId="6CF39A8C">
      <w:pPr>
        <w:pStyle w:val="62"/>
        <w:ind w:firstLine="0" w:firstLineChars="0"/>
        <w:rPr>
          <w:rFonts w:hint="eastAsia" w:hAnsi="宋体" w:cs="宋体"/>
        </w:rPr>
      </w:pPr>
      <w:r>
        <w:rPr>
          <w:rFonts w:hint="eastAsia" w:ascii="黑体" w:hAnsi="黑体" w:eastAsia="黑体" w:cs="宋体"/>
        </w:rPr>
        <w:t>B.1.1.2.1</w:t>
      </w:r>
      <w:r>
        <w:rPr>
          <w:rFonts w:hint="eastAsia" w:hAnsi="宋体" w:cs="宋体"/>
        </w:rPr>
        <w:t xml:space="preserve"> 征税范围。企业所得，包括销售货物所得、提供劳务所得、转让财产所得、股息红利等权益性投资所得、利息所得、租金所得、特许权使用费所得、接受捐赠所得和其他所得。</w:t>
      </w:r>
    </w:p>
    <w:p w14:paraId="587CD575">
      <w:pPr>
        <w:pStyle w:val="62"/>
        <w:ind w:firstLine="0" w:firstLineChars="0"/>
        <w:rPr>
          <w:rFonts w:hint="eastAsia" w:hAnsi="宋体" w:cs="宋体"/>
        </w:rPr>
      </w:pPr>
      <w:r>
        <w:rPr>
          <w:rFonts w:hint="eastAsia" w:ascii="黑体" w:hAnsi="黑体" w:eastAsia="黑体" w:cs="宋体"/>
        </w:rPr>
        <w:t>B.1.1.2.2</w:t>
      </w:r>
      <w:r>
        <w:rPr>
          <w:rFonts w:hint="eastAsia" w:hAnsi="宋体" w:cs="宋体"/>
        </w:rPr>
        <w:t xml:space="preserve"> 应税收入，企业以货币形式和非货币形式从各种来源取得的收入，为收入总额。</w:t>
      </w:r>
    </w:p>
    <w:p w14:paraId="4815D939">
      <w:pPr>
        <w:pStyle w:val="62"/>
        <w:ind w:firstLine="0" w:firstLineChars="0"/>
        <w:rPr>
          <w:rFonts w:hint="eastAsia" w:hAnsi="宋体" w:cs="宋体"/>
        </w:rPr>
      </w:pPr>
      <w:r>
        <w:rPr>
          <w:rFonts w:hint="eastAsia" w:ascii="黑体" w:hAnsi="黑体" w:eastAsia="黑体" w:cs="宋体"/>
        </w:rPr>
        <w:t>B.1.1.2.3</w:t>
      </w:r>
      <w:r>
        <w:rPr>
          <w:rFonts w:hint="eastAsia" w:hAnsi="宋体" w:cs="宋体"/>
        </w:rPr>
        <w:t xml:space="preserve"> 成本费用扣除，包括：</w:t>
      </w:r>
    </w:p>
    <w:p w14:paraId="093B32E2">
      <w:pPr>
        <w:pStyle w:val="137"/>
      </w:pPr>
      <w:r>
        <w:rPr>
          <w:rFonts w:hint="eastAsia"/>
        </w:rPr>
        <w:t>企业实际发生的成本、费用、税金损失等与取得收入有关的合理支出，准予在计算应纳税所得额时扣除；</w:t>
      </w:r>
    </w:p>
    <w:p w14:paraId="3F1BAD0B">
      <w:pPr>
        <w:pStyle w:val="137"/>
      </w:pPr>
      <w:r>
        <w:rPr>
          <w:rFonts w:hint="eastAsia"/>
        </w:rPr>
        <w:t>允许在计算应纳税所得额时一次性计入当期成本费用扣除，不再分年度计算折旧；</w:t>
      </w:r>
    </w:p>
    <w:p w14:paraId="23CA4787">
      <w:pPr>
        <w:pStyle w:val="137"/>
      </w:pPr>
      <w:r>
        <w:rPr>
          <w:rFonts w:hint="eastAsia"/>
        </w:rPr>
        <w:t>企业发生的不超过工资薪金总额8%的职工教育经费支出，准予在计算企业所得税应纳税所得额时扣除，超过部分，准予结转在以后纳税年度扣除；</w:t>
      </w:r>
    </w:p>
    <w:p w14:paraId="2226D94A">
      <w:pPr>
        <w:pStyle w:val="137"/>
      </w:pPr>
      <w:r>
        <w:rPr>
          <w:rFonts w:hint="eastAsia"/>
        </w:rPr>
        <w:t>明确税前扣除凭证的概念、适用范围、基本原则、凭证种类、基本情况的税务处理、特殊情况的税务处理等内容；</w:t>
      </w:r>
    </w:p>
    <w:p w14:paraId="476ABE27">
      <w:pPr>
        <w:pStyle w:val="137"/>
      </w:pPr>
      <w:r>
        <w:rPr>
          <w:rFonts w:hint="eastAsia"/>
        </w:rPr>
        <w:t>自2018年1月1日起，当年具备高新技术企业或科技型中小企业资格的企业，在符合资格年度各年度发生的亏损，准予结转以后年度弥补，结转年限最长由5年。</w:t>
      </w:r>
    </w:p>
    <w:p w14:paraId="650DC8F0">
      <w:pPr>
        <w:pStyle w:val="62"/>
        <w:ind w:firstLine="0" w:firstLineChars="0"/>
        <w:rPr>
          <w:rFonts w:hint="eastAsia" w:hAnsi="宋体" w:cs="宋体"/>
        </w:rPr>
      </w:pPr>
      <w:r>
        <w:rPr>
          <w:rFonts w:hint="eastAsia" w:ascii="黑体" w:hAnsi="黑体" w:eastAsia="黑体" w:cs="宋体"/>
        </w:rPr>
        <w:t>B.1.1.2.4</w:t>
      </w:r>
      <w:r>
        <w:rPr>
          <w:rFonts w:hAnsi="宋体" w:cs="宋体"/>
        </w:rPr>
        <w:t xml:space="preserve"> </w:t>
      </w:r>
      <w:r>
        <w:rPr>
          <w:rFonts w:hint="eastAsia" w:hAnsi="宋体" w:cs="宋体"/>
        </w:rPr>
        <w:t>建筑企业涉及研发业务时，享研发费用加计扣除和高新技术企业优惠，包括但不限于展开以下工作以获得优惠资格：</w:t>
      </w:r>
    </w:p>
    <w:bookmarkEnd w:id="108"/>
    <w:p w14:paraId="5CE2992B">
      <w:pPr>
        <w:pStyle w:val="137"/>
      </w:pPr>
      <w:r>
        <w:rPr>
          <w:rFonts w:hint="eastAsia"/>
        </w:rPr>
        <w:t>严格归集研发费用，确保费用归集真实、准确，重点关注人员费用、材料费用等项目的合规性，避免与日常费用混淆，并完善研发项目管理，保存立项报告、研发记录等资料，确保全程留痕；</w:t>
      </w:r>
    </w:p>
    <w:p w14:paraId="7C1AFBBB">
      <w:pPr>
        <w:pStyle w:val="137"/>
      </w:pPr>
      <w:r>
        <w:rPr>
          <w:rFonts w:hint="eastAsia"/>
        </w:rPr>
        <w:t>针对享受高新技术企业优惠，确保核心技术拥有自主知识产权，主营业务符合高新领域要求，研发费用占比等指标达标；</w:t>
      </w:r>
    </w:p>
    <w:p w14:paraId="32383177">
      <w:pPr>
        <w:pStyle w:val="137"/>
      </w:pPr>
      <w:r>
        <w:rPr>
          <w:rFonts w:hint="eastAsia"/>
        </w:rPr>
        <w:t>定期开展税务自查，确保申报数据与财务核算一致，及时关注政策变化，持续合规享受研发费用加计扣除和高新技术企业税收优惠。</w:t>
      </w:r>
    </w:p>
    <w:p w14:paraId="30CE77E0">
      <w:pPr>
        <w:pStyle w:val="71"/>
        <w:numPr>
          <w:ilvl w:val="3"/>
          <w:numId w:val="0"/>
        </w:numPr>
        <w:spacing w:before="120" w:after="120"/>
      </w:pPr>
      <w:r>
        <w:rPr>
          <w:rFonts w:hint="eastAsia"/>
        </w:rPr>
        <w:t>B.1.1.3</w:t>
      </w:r>
      <w:r>
        <w:t>城市维护建设税和教育费附加</w:t>
      </w:r>
    </w:p>
    <w:p w14:paraId="7BD99773">
      <w:pPr>
        <w:pStyle w:val="62"/>
        <w:ind w:firstLine="420"/>
        <w:rPr>
          <w:rFonts w:hint="eastAsia" w:hAnsi="宋体" w:cs="宋体"/>
        </w:rPr>
      </w:pPr>
      <w:r>
        <w:rPr>
          <w:rFonts w:hint="eastAsia" w:hAnsi="宋体" w:cs="宋体"/>
        </w:rPr>
        <w:t>预缴增值税的纳税人，在其机构所在地申报缴纳增值税时，以其实际缴纳的增值税税额为计税依据，按照机构所在地的城市维护建设税和教育费附加征收率的适用税率，在当地自行计算缴纳。</w:t>
      </w:r>
    </w:p>
    <w:p w14:paraId="65941721">
      <w:pPr>
        <w:pStyle w:val="71"/>
        <w:numPr>
          <w:ilvl w:val="3"/>
          <w:numId w:val="0"/>
        </w:numPr>
        <w:spacing w:before="120" w:after="120"/>
      </w:pPr>
      <w:r>
        <w:rPr>
          <w:rFonts w:hint="eastAsia"/>
        </w:rPr>
        <w:t>B.1.1.4</w:t>
      </w:r>
      <w:r>
        <w:t>个人所得税</w:t>
      </w:r>
    </w:p>
    <w:p w14:paraId="7D482CAB">
      <w:pPr>
        <w:pStyle w:val="62"/>
        <w:ind w:firstLine="420"/>
        <w:rPr>
          <w:rFonts w:hint="eastAsia" w:hAnsi="宋体" w:cs="宋体"/>
        </w:rPr>
      </w:pPr>
      <w:r>
        <w:rPr>
          <w:rFonts w:hint="eastAsia" w:hAnsi="宋体" w:cs="宋体"/>
        </w:rPr>
        <w:t>建筑安装业跨省（自治区、直辖市及计划单列市，下同）异地工程作业人员个人所得税政策如下：</w:t>
      </w:r>
    </w:p>
    <w:p w14:paraId="54E69A99">
      <w:pPr>
        <w:pStyle w:val="137"/>
      </w:pPr>
      <w:r>
        <w:rPr>
          <w:rFonts w:hint="eastAsia"/>
        </w:rPr>
        <w:t>总承包企业派驻跨省异地工程项目的管理人员工作异地工作期间的工资、薪金所得个人所得税，由总承包企业依法代扣代缴，并向工程作业所在地税务机关申报缴纳；</w:t>
      </w:r>
    </w:p>
    <w:p w14:paraId="2DC5D0CD">
      <w:pPr>
        <w:pStyle w:val="137"/>
      </w:pPr>
      <w:r>
        <w:rPr>
          <w:rFonts w:hint="eastAsia"/>
        </w:rPr>
        <w:t>总承包分承包企业在跨省异地工作期间，通过劳务聘用劳务人员的工资、薪金所得个人所得税，由劳务派遣企业代扣代缴，并依法向工程作业所在地税务机关申报缴纳；</w:t>
      </w:r>
    </w:p>
    <w:p w14:paraId="18E80D8F">
      <w:pPr>
        <w:pStyle w:val="137"/>
      </w:pPr>
      <w:r>
        <w:rPr>
          <w:rFonts w:hint="eastAsia"/>
        </w:rPr>
        <w:t>跨省异地施工单位应就其支付的工程作业人员工资、薪金所得向工程作业所在地税务机关办理全员全额扣缴明细申报；</w:t>
      </w:r>
    </w:p>
    <w:p w14:paraId="195CEC8F">
      <w:pPr>
        <w:pStyle w:val="137"/>
      </w:pPr>
      <w:r>
        <w:rPr>
          <w:rFonts w:hint="eastAsia"/>
        </w:rPr>
        <w:t>凡实行全员全额扣缴明细申报的，项目运营地税务机关一律不得进行个人所得税核定征收；</w:t>
      </w:r>
    </w:p>
    <w:p w14:paraId="1CEBF9FA">
      <w:pPr>
        <w:pStyle w:val="137"/>
      </w:pPr>
      <w:r>
        <w:rPr>
          <w:rFonts w:hint="eastAsia"/>
        </w:rPr>
        <w:t>总承包分承包企业和劳务派遣企业机构所在地税务机关需要掌握工程作业人员工资、薪金所得个人所得税在异地的，应及时由工程作业所在地税务机关提供代缴税款，避免重复征税。</w:t>
      </w:r>
    </w:p>
    <w:p w14:paraId="23E19F00">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B.1.2 建筑安装行业税务合规管理措施</w:t>
      </w:r>
    </w:p>
    <w:p w14:paraId="219D78CD">
      <w:pPr>
        <w:pStyle w:val="62"/>
        <w:ind w:firstLine="420" w:firstLineChars="0"/>
        <w:rPr>
          <w:rFonts w:hint="eastAsia" w:hAnsi="宋体" w:cs="宋体"/>
        </w:rPr>
      </w:pPr>
      <w:r>
        <w:rPr>
          <w:rFonts w:hint="eastAsia" w:hAnsi="宋体" w:cs="宋体"/>
        </w:rPr>
        <w:t>建筑安装行业税务合规管理，包括但不限于展开以下工作：</w:t>
      </w:r>
    </w:p>
    <w:p w14:paraId="313013FC">
      <w:pPr>
        <w:pStyle w:val="137"/>
      </w:pPr>
      <w:r>
        <w:rPr>
          <w:rFonts w:hint="eastAsia"/>
        </w:rPr>
        <w:t>严格执行增值税管理，确保开具合规发票，准确核算销项税额，同时规范进项税额抵扣，避免虚开发票或接受虚假发票的风险；</w:t>
      </w:r>
    </w:p>
    <w:p w14:paraId="1C7B7747">
      <w:pPr>
        <w:pStyle w:val="137"/>
      </w:pPr>
      <w:r>
        <w:rPr>
          <w:rFonts w:hint="eastAsia"/>
        </w:rPr>
        <w:t>加强企业所得税管理，合理归集成本费用，特别是人工费、材料费和分包费用，确保成本核算真实完整，避免虚列或漏列费用；</w:t>
      </w:r>
    </w:p>
    <w:p w14:paraId="479B9245">
      <w:pPr>
        <w:pStyle w:val="137"/>
      </w:pPr>
      <w:r>
        <w:rPr>
          <w:rFonts w:hint="eastAsia"/>
        </w:rPr>
        <w:t>规范分包管理，核实分包单位资质，确保分包合同、发票与实际业务一致，防范税务稽查风险；</w:t>
      </w:r>
    </w:p>
    <w:p w14:paraId="364732BD">
      <w:pPr>
        <w:pStyle w:val="137"/>
      </w:pPr>
      <w:r>
        <w:rPr>
          <w:rFonts w:hint="eastAsia"/>
        </w:rPr>
        <w:t>关注税收优惠政策，合理享受小微企业税收优惠、增值税留抵退税等政策红利；</w:t>
      </w:r>
    </w:p>
    <w:p w14:paraId="6472560C">
      <w:pPr>
        <w:pStyle w:val="137"/>
      </w:pPr>
      <w:r>
        <w:rPr>
          <w:rFonts w:hint="eastAsia"/>
        </w:rPr>
        <w:t>完善税务内控机制，建立健全合同管理、发票管理和税务申报流程，定期开展税务自查，及时发现并整改潜在问题，确保税务合规性与财务透明度，降低税务风险。</w:t>
      </w:r>
    </w:p>
    <w:p w14:paraId="115BFEF3">
      <w:pPr>
        <w:pStyle w:val="62"/>
        <w:spacing w:before="240" w:beforeLines="100" w:after="240" w:afterLines="100"/>
        <w:ind w:firstLine="0" w:firstLineChars="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B.2 制造企业税务合规管理</w:t>
      </w:r>
    </w:p>
    <w:p w14:paraId="11507C08">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B.2.1 日化制造企业税务风险及应对案例</w:t>
      </w:r>
    </w:p>
    <w:p w14:paraId="57B30AE2">
      <w:pPr>
        <w:pStyle w:val="62"/>
        <w:ind w:firstLine="420"/>
        <w:rPr>
          <w:rFonts w:hint="eastAsia" w:hAnsi="宋体" w:cs="宋体"/>
        </w:rPr>
      </w:pPr>
      <w:r>
        <w:rPr>
          <w:rFonts w:hint="eastAsia" w:hAnsi="宋体" w:cs="宋体"/>
        </w:rPr>
        <w:t>B化工有限公司（以下简称B企业）是总企业在C市设立的一家口腔清洁护理用品生产企业，投资方是香港的一家企业，目前在国内两个城市设有分企业，注册资金2500万美元，主要生产牙膏、牙刷和口腔清洁护理用品。B企业近五年平均销售额超过30亿元，销售毛利率超过利润率超过30%，增值税税负率在10%左右。B企业是高新技术企业所得税适用15%的优惠税率。B企业的产品既有国内销售，也有出口销售，国内销售占全部销售收入的90%左右。</w:t>
      </w:r>
    </w:p>
    <w:p w14:paraId="0AB560FD">
      <w:pPr>
        <w:pStyle w:val="71"/>
        <w:numPr>
          <w:ilvl w:val="3"/>
          <w:numId w:val="0"/>
        </w:numPr>
        <w:spacing w:before="120" w:after="120"/>
      </w:pPr>
      <w:r>
        <w:t>B.2.1.1 税务风险识别</w:t>
      </w:r>
    </w:p>
    <w:p w14:paraId="6B567810">
      <w:pPr>
        <w:pStyle w:val="62"/>
        <w:ind w:firstLine="420"/>
        <w:rPr>
          <w:rFonts w:hint="eastAsia" w:hAnsi="宋体" w:cs="宋体"/>
        </w:rPr>
      </w:pPr>
      <w:r>
        <w:rPr>
          <w:rFonts w:hint="eastAsia" w:hAnsi="宋体" w:cs="宋体"/>
        </w:rPr>
        <w:t>在日常风险管理工作中，发现B企业将自产样品用于集体福利或无偿赠予，以及将商品无偿提供给连锁超市作为堆头和促销陈列使用，未按规定视同销售申报缴纳增值税和企业所得税；未按要求列支广告费、业务宣传费等费用。经分析发现，B企业存在以下三大主要风险点：</w:t>
      </w:r>
    </w:p>
    <w:p w14:paraId="6F48F9D1">
      <w:pPr>
        <w:pStyle w:val="62"/>
        <w:ind w:firstLine="0" w:firstLineChars="0"/>
        <w:rPr>
          <w:rFonts w:hint="eastAsia" w:hAnsi="宋体" w:cs="宋体"/>
        </w:rPr>
      </w:pPr>
      <w:r>
        <w:rPr>
          <w:rFonts w:hint="eastAsia" w:ascii="黑体" w:hAnsi="黑体" w:eastAsia="黑体" w:cs="宋体"/>
        </w:rPr>
        <w:t>B.2.1.1.1</w:t>
      </w:r>
      <w:r>
        <w:rPr>
          <w:rFonts w:hint="eastAsia" w:hAnsi="宋体" w:cs="宋体"/>
        </w:rPr>
        <w:t xml:space="preserve"> 企业将自产的样品用于集体福利或无偿赠送未视同销售，少缴增值税、企业所得税的风险。</w:t>
      </w:r>
    </w:p>
    <w:p w14:paraId="5DA4B871">
      <w:pPr>
        <w:pStyle w:val="62"/>
        <w:ind w:firstLine="420"/>
        <w:rPr>
          <w:rFonts w:hint="eastAsia" w:hAnsi="宋体" w:cs="宋体"/>
        </w:rPr>
      </w:pPr>
      <w:r>
        <w:rPr>
          <w:rFonts w:hint="eastAsia" w:hAnsi="宋体" w:cs="宋体"/>
        </w:rPr>
        <w:t>由于日化产品属于快消品，企业需要经常推出新更换新包装，因此在推广过程中经常会生产一些样品作为试用品或赠品，而自产的样品也经常作为集体福利使用。B企业设置科目“销售费用－交际应酬费－试用样品”“库存商品－产品样品”“营业外支出－捐赠－产成品”等核算样品，用于向员工推销赠送或分发的产品。B企业在发生业务时未计提相应的增值税销项税额，销售额也与未开票收入申报的企业增值税纳税申报表不符，未按规定视同销售计算缴纳增值税，结转成本与企业所得税纳税申报表视同销售成本差异较大。</w:t>
      </w:r>
    </w:p>
    <w:p w14:paraId="1344A816">
      <w:pPr>
        <w:pStyle w:val="62"/>
        <w:ind w:firstLine="0" w:firstLineChars="0"/>
        <w:rPr>
          <w:rFonts w:hint="eastAsia" w:hAnsi="宋体" w:cs="宋体"/>
        </w:rPr>
      </w:pPr>
      <w:r>
        <w:rPr>
          <w:rFonts w:hint="eastAsia" w:ascii="黑体" w:hAnsi="黑体" w:eastAsia="黑体" w:cs="宋体"/>
        </w:rPr>
        <w:t>B.2.1.1.2</w:t>
      </w:r>
      <w:r>
        <w:rPr>
          <w:rFonts w:hint="eastAsia" w:hAnsi="宋体" w:cs="宋体"/>
        </w:rPr>
        <w:t xml:space="preserve"> 企业向商场免费发货作为商场促销陈列使用未视同销售，少缴纳增值税企业所得税的风险。</w:t>
      </w:r>
    </w:p>
    <w:p w14:paraId="4BF11016">
      <w:pPr>
        <w:pStyle w:val="62"/>
        <w:ind w:firstLine="420"/>
        <w:rPr>
          <w:rFonts w:hint="eastAsia" w:hAnsi="宋体" w:cs="宋体"/>
        </w:rPr>
      </w:pPr>
      <w:r>
        <w:rPr>
          <w:rFonts w:hint="eastAsia" w:hAnsi="宋体" w:cs="宋体"/>
        </w:rPr>
        <w:t>企业为开展促销活动，经常免费提供产品，在商场、超市等零售终端作促销陈列使用。B企业在“销售费用”科目明细科目核算推广陈列费等费用，抽查资料发现，相关业务均为B企业向大型连锁超市免费派送商品，用于推广展示和使用，未对增值税销项税额进行相应计提。</w:t>
      </w:r>
    </w:p>
    <w:p w14:paraId="7A02E964">
      <w:pPr>
        <w:pStyle w:val="62"/>
        <w:ind w:firstLine="0" w:firstLineChars="0"/>
        <w:rPr>
          <w:rFonts w:hint="eastAsia" w:hAnsi="宋体" w:cs="宋体"/>
        </w:rPr>
      </w:pPr>
      <w:r>
        <w:rPr>
          <w:rFonts w:hint="eastAsia" w:ascii="黑体" w:hAnsi="黑体" w:eastAsia="黑体" w:cs="宋体"/>
        </w:rPr>
        <w:t>B.2.1.1.3</w:t>
      </w:r>
      <w:r>
        <w:rPr>
          <w:rFonts w:hint="eastAsia" w:hAnsi="宋体" w:cs="宋体"/>
        </w:rPr>
        <w:t xml:space="preserve"> 企业未按规定列支广告费和业务宣传费用，少缴企业所得税的风险。</w:t>
      </w:r>
    </w:p>
    <w:p w14:paraId="5CC09384">
      <w:pPr>
        <w:pStyle w:val="62"/>
        <w:ind w:firstLine="420"/>
        <w:rPr>
          <w:rFonts w:hint="eastAsia" w:hAnsi="宋体" w:cs="宋体"/>
        </w:rPr>
      </w:pPr>
      <w:r>
        <w:rPr>
          <w:rFonts w:hint="eastAsia" w:hAnsi="宋体" w:cs="宋体"/>
        </w:rPr>
        <w:t>为了推销产品，日化制造企业往往采用请明星代言产品、线上平台推广和线下铺地面广告的宣传模式，由此产生的广告支出和商业宣传费用也会很大。但企业往往对广告费、业务宣传费列支不严，如直接与无合法经营资格的中介服务企业或个人签订代理协议或合同，超过标准的税前扣除广告费、业务宣传费列支，以及以现金等非转账方式缴纳费用等，存在少缴企业所得税的风险。</w:t>
      </w:r>
    </w:p>
    <w:p w14:paraId="62E82843">
      <w:pPr>
        <w:pStyle w:val="71"/>
        <w:numPr>
          <w:ilvl w:val="3"/>
          <w:numId w:val="0"/>
        </w:numPr>
        <w:spacing w:before="120" w:after="120"/>
      </w:pPr>
      <w:r>
        <w:t>B.2.1.</w:t>
      </w:r>
      <w:r>
        <w:rPr>
          <w:rFonts w:hint="eastAsia"/>
        </w:rPr>
        <w:t>2 日化制造业企业</w:t>
      </w:r>
      <w:r>
        <w:t>税务</w:t>
      </w:r>
      <w:r>
        <w:rPr>
          <w:rFonts w:hint="eastAsia"/>
        </w:rPr>
        <w:t>合规管理措施</w:t>
      </w:r>
    </w:p>
    <w:p w14:paraId="7F5D6F19">
      <w:pPr>
        <w:pStyle w:val="62"/>
        <w:ind w:firstLine="0" w:firstLineChars="0"/>
        <w:rPr>
          <w:rFonts w:hint="eastAsia" w:ascii="黑体" w:hAnsi="黑体" w:eastAsia="黑体" w:cs="宋体"/>
        </w:rPr>
      </w:pPr>
      <w:r>
        <w:rPr>
          <w:rFonts w:hint="eastAsia" w:ascii="黑体" w:hAnsi="黑体" w:eastAsia="黑体" w:cs="宋体"/>
        </w:rPr>
        <w:t>B.2.1.2.1 税务合规风险检测切入点</w:t>
      </w:r>
    </w:p>
    <w:p w14:paraId="3E7C0D57">
      <w:pPr>
        <w:pStyle w:val="62"/>
        <w:ind w:firstLine="420"/>
        <w:rPr>
          <w:rFonts w:hint="eastAsia" w:hAnsi="宋体" w:cs="宋体"/>
        </w:rPr>
      </w:pPr>
      <w:r>
        <w:rPr>
          <w:rFonts w:hint="eastAsia" w:hAnsi="宋体" w:cs="宋体"/>
        </w:rPr>
        <w:t>推广是日常化工产品制造行业经营的重要手段，比较常用的推广手段包括开展有奖销售、免费试用、买赠促销等，涉及是否需要视同销售申报处理的问题，企业税务处理的方式是否合法合理直接影响到企业税收风险的高低。</w:t>
      </w:r>
    </w:p>
    <w:p w14:paraId="381894CD">
      <w:pPr>
        <w:pStyle w:val="62"/>
        <w:ind w:firstLine="0" w:firstLineChars="0"/>
        <w:rPr>
          <w:rFonts w:hint="eastAsia" w:ascii="黑体" w:hAnsi="黑体" w:eastAsia="黑体" w:cs="宋体"/>
        </w:rPr>
      </w:pPr>
      <w:r>
        <w:rPr>
          <w:rFonts w:hint="eastAsia" w:ascii="黑体" w:hAnsi="黑体" w:eastAsia="黑体" w:cs="宋体"/>
        </w:rPr>
        <w:t>B.2.1.2.2 合规管理措施</w:t>
      </w:r>
    </w:p>
    <w:p w14:paraId="22116047">
      <w:pPr>
        <w:pStyle w:val="62"/>
        <w:ind w:firstLine="420"/>
        <w:rPr>
          <w:rFonts w:hint="eastAsia" w:hAnsi="宋体" w:cs="宋体"/>
        </w:rPr>
      </w:pPr>
      <w:r>
        <w:rPr>
          <w:rFonts w:hint="eastAsia" w:hAnsi="宋体" w:cs="宋体"/>
        </w:rPr>
        <w:t>企业税务合规管理的措施包括但不限于展开以下工作：</w:t>
      </w:r>
    </w:p>
    <w:p w14:paraId="0FA75B8A">
      <w:pPr>
        <w:pStyle w:val="137"/>
      </w:pPr>
      <w:r>
        <w:rPr>
          <w:rFonts w:hint="eastAsia"/>
        </w:rPr>
        <w:t>收集企业与各经销商签订的销售合同范本、年度促销计划以及对特定经销商的考核方式等，结合账务处理对企业全年申报的视同销售额进行综合分析，关注是否已按税法规定进行视同销售申报缴纳增值税、企业所得税；</w:t>
      </w:r>
    </w:p>
    <w:p w14:paraId="226F6526">
      <w:pPr>
        <w:pStyle w:val="137"/>
      </w:pPr>
      <w:r>
        <w:rPr>
          <w:rFonts w:hint="eastAsia"/>
        </w:rPr>
        <w:t>因企业促销方式即赠品来源多样性，需要根据企业的产品特点、经营模式、营销方式以及所处市场环境等，对企业赠送产品的情况进行甄别；</w:t>
      </w:r>
    </w:p>
    <w:p w14:paraId="26881622">
      <w:pPr>
        <w:pStyle w:val="137"/>
      </w:pPr>
      <w:r>
        <w:rPr>
          <w:rFonts w:hint="eastAsia"/>
        </w:rPr>
        <w:t>在日常管理中加强辅导，协助企业整理出需要视同销售申报处理的事项，指导企业正确税务处理；</w:t>
      </w:r>
    </w:p>
    <w:p w14:paraId="4DC5DA16">
      <w:pPr>
        <w:pStyle w:val="137"/>
      </w:pPr>
      <w:r>
        <w:rPr>
          <w:rFonts w:hint="eastAsia"/>
        </w:rPr>
        <w:t>加强对日常化工产品制造行业视同销售额的监测分析，对视同销售金额波动较大的企业，申报年度纳税风险分析，及时进行风险提示。</w:t>
      </w:r>
    </w:p>
    <w:p w14:paraId="3A4C5FA0">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B.2.2 制造业企业税务风险合规管理措施</w:t>
      </w:r>
    </w:p>
    <w:p w14:paraId="1EFD4A9A">
      <w:pPr>
        <w:pStyle w:val="62"/>
        <w:ind w:firstLine="0" w:firstLineChars="0"/>
        <w:rPr>
          <w:rFonts w:hint="eastAsia" w:hAnsi="宋体" w:cs="宋体"/>
        </w:rPr>
      </w:pPr>
      <w:r>
        <w:rPr>
          <w:rFonts w:hint="eastAsia" w:ascii="黑体" w:hAnsi="黑体" w:eastAsia="黑体" w:cs="宋体"/>
        </w:rPr>
        <w:t>B.2.2.1</w:t>
      </w:r>
      <w:r>
        <w:rPr>
          <w:rFonts w:hint="eastAsia" w:hAnsi="宋体" w:cs="宋体"/>
        </w:rPr>
        <w:t xml:space="preserve"> 因融资成本逐年增高影响企业正常经营，部分企业转向集团内部或关联企业融资，大型企业集团建立资金池向需要资金的企业分配资金，需加强对这类企业重视，防止资本弱化。</w:t>
      </w:r>
    </w:p>
    <w:p w14:paraId="7623C8BD">
      <w:pPr>
        <w:pStyle w:val="62"/>
        <w:ind w:firstLine="0" w:firstLineChars="0"/>
        <w:rPr>
          <w:rFonts w:hint="eastAsia" w:hAnsi="宋体" w:cs="宋体"/>
        </w:rPr>
      </w:pPr>
      <w:r>
        <w:rPr>
          <w:rFonts w:hint="eastAsia" w:ascii="黑体" w:hAnsi="黑体" w:eastAsia="黑体" w:cs="宋体"/>
        </w:rPr>
        <w:t>B.2.2.2</w:t>
      </w:r>
      <w:r>
        <w:rPr>
          <w:rFonts w:hint="eastAsia" w:hAnsi="宋体" w:cs="宋体"/>
        </w:rPr>
        <w:t xml:space="preserve"> 高新技术企业在研发过程中，因生产产生的下脚料、残次品等对外销售形成的特殊收入，需关注企业是否未依《国家税务总局关于企业研究开发费用税前加计扣除政策有关问题的公告》（国家税务总局公告2015年第97号）规定冲减研发费用，从而导致企业增加税前扣除基数，多列费用，少缴税款。</w:t>
      </w:r>
    </w:p>
    <w:p w14:paraId="55D8EFD9">
      <w:pPr>
        <w:pStyle w:val="62"/>
        <w:ind w:firstLine="0" w:firstLineChars="0"/>
        <w:rPr>
          <w:rFonts w:hint="eastAsia" w:hAnsi="宋体" w:cs="宋体"/>
        </w:rPr>
      </w:pPr>
      <w:r>
        <w:rPr>
          <w:rFonts w:hint="eastAsia" w:ascii="黑体" w:hAnsi="黑体" w:eastAsia="黑体" w:cs="宋体"/>
        </w:rPr>
        <w:t>B.2.2.3</w:t>
      </w:r>
      <w:r>
        <w:rPr>
          <w:rFonts w:hint="eastAsia" w:hAnsi="宋体" w:cs="宋体"/>
        </w:rPr>
        <w:t xml:space="preserve"> 采用预收货款方式生产工期超过12个月的大型机械设备、船舶、飞机等货物的增值税纳税义务发生时间，为收到预收款或者书面合同约定的当天，企业发出商品后应严格按照税法规定的纳税义务发生时间，视同销售情况及时确认收入，避免未及时缴税。</w:t>
      </w:r>
    </w:p>
    <w:p w14:paraId="7E7634F7">
      <w:pPr>
        <w:pStyle w:val="62"/>
        <w:ind w:firstLine="0" w:firstLineChars="0"/>
        <w:rPr>
          <w:rFonts w:hint="eastAsia" w:hAnsi="宋体" w:cs="宋体"/>
        </w:rPr>
      </w:pPr>
      <w:r>
        <w:rPr>
          <w:rFonts w:hint="eastAsia" w:ascii="黑体" w:hAnsi="黑体" w:eastAsia="黑体" w:cs="宋体"/>
        </w:rPr>
        <w:t>B.2.2.4</w:t>
      </w:r>
      <w:r>
        <w:rPr>
          <w:rFonts w:hint="eastAsia" w:hAnsi="宋体" w:cs="宋体"/>
        </w:rPr>
        <w:t xml:space="preserve"> 企业在支付工程款、原材料采购款和劳务款时，如未及时取得发票，而成本按合同或预算暂估入账，需关注企业所得税汇算清缴前企业是否按规定进行纳税调整。</w:t>
      </w:r>
    </w:p>
    <w:p w14:paraId="17DADF78">
      <w:pPr>
        <w:pStyle w:val="62"/>
        <w:spacing w:before="240" w:beforeLines="100" w:after="240" w:afterLines="100"/>
        <w:ind w:firstLine="0" w:firstLineChars="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B.3 高新技术企业税务合规管理</w:t>
      </w:r>
    </w:p>
    <w:p w14:paraId="42BBBC43">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B.3.1 高新技术企业享受研发费用加计扣除的税务合规管理</w:t>
      </w:r>
    </w:p>
    <w:p w14:paraId="37321CA0">
      <w:pPr>
        <w:pStyle w:val="62"/>
        <w:ind w:firstLine="420"/>
        <w:rPr>
          <w:rFonts w:hint="eastAsia" w:hAnsi="宋体" w:cs="宋体"/>
        </w:rPr>
      </w:pPr>
      <w:r>
        <w:rPr>
          <w:rFonts w:hint="eastAsia" w:hAnsi="宋体" w:cs="宋体"/>
        </w:rPr>
        <w:t>高新技术企业获得国家高新技术企业认证，满足享受企业所得税15%优惠税率的条件。在税务合规管理中应从以下几个方面加强规范。</w:t>
      </w:r>
    </w:p>
    <w:p w14:paraId="1880E824">
      <w:pPr>
        <w:pStyle w:val="71"/>
        <w:numPr>
          <w:ilvl w:val="3"/>
          <w:numId w:val="0"/>
        </w:numPr>
        <w:spacing w:before="120" w:after="120"/>
      </w:pPr>
      <w:r>
        <w:rPr>
          <w:rFonts w:hint="eastAsia"/>
        </w:rPr>
        <w:t xml:space="preserve">B.3.1.1 </w:t>
      </w:r>
      <w:r>
        <w:t>研发费用归集及差异比较</w:t>
      </w:r>
    </w:p>
    <w:p w14:paraId="24566188">
      <w:pPr>
        <w:pStyle w:val="137"/>
        <w:numPr>
          <w:ilvl w:val="255"/>
          <w:numId w:val="0"/>
        </w:numPr>
        <w:ind w:firstLine="420" w:firstLineChars="200"/>
      </w:pPr>
      <w:r>
        <w:rPr>
          <w:rFonts w:hint="eastAsia"/>
        </w:rPr>
        <w:t>研发费用的核算和归集需符合真实性、相关性和合理性原则，并严格区分与日常生产经营活动的费用界限，以确保税收优惠政策的合规享受。</w:t>
      </w:r>
    </w:p>
    <w:p w14:paraId="20E85794">
      <w:pPr>
        <w:pStyle w:val="137"/>
        <w:numPr>
          <w:ilvl w:val="255"/>
          <w:numId w:val="0"/>
        </w:numPr>
        <w:rPr>
          <w:rFonts w:hint="eastAsia" w:ascii="黑体" w:hAnsi="黑体" w:eastAsia="黑体"/>
        </w:rPr>
      </w:pPr>
      <w:r>
        <w:rPr>
          <w:rFonts w:ascii="黑体" w:hAnsi="黑体" w:eastAsia="黑体"/>
        </w:rPr>
        <w:t xml:space="preserve">B.3.1.1.1 </w:t>
      </w:r>
      <w:r>
        <w:rPr>
          <w:rFonts w:hint="eastAsia" w:ascii="黑体" w:hAnsi="黑体" w:eastAsia="黑体"/>
        </w:rPr>
        <w:t>人员人工费用</w:t>
      </w:r>
    </w:p>
    <w:p w14:paraId="0C7492F3">
      <w:pPr>
        <w:pStyle w:val="137"/>
        <w:numPr>
          <w:ilvl w:val="255"/>
          <w:numId w:val="0"/>
        </w:numPr>
        <w:ind w:firstLine="420" w:firstLineChars="200"/>
      </w:pPr>
      <w:r>
        <w:rPr>
          <w:rFonts w:hint="eastAsia"/>
        </w:rPr>
        <w:t>人员人工费用主要包括：</w:t>
      </w:r>
    </w:p>
    <w:p w14:paraId="6F362102">
      <w:pPr>
        <w:pStyle w:val="137"/>
      </w:pPr>
      <w:r>
        <w:rPr>
          <w:rFonts w:hint="eastAsia"/>
        </w:rPr>
        <w:t>高新技术企业认定：企业科技人员的工资薪金支出，基本医疗保险费、失业保险费、工伤保险费、生育保险费、住房公积金，以及外聘科技人员发生的劳务费用；</w:t>
      </w:r>
    </w:p>
    <w:p w14:paraId="0A9D346E">
      <w:pPr>
        <w:pStyle w:val="137"/>
      </w:pPr>
      <w:r>
        <w:rPr>
          <w:rFonts w:hint="eastAsia"/>
        </w:rPr>
        <w:t>研发费用加计扣除：直接从事研发活动人员的工资薪金、基本医疗保险费、基本养老保险费、失业保险费、工伤保险费和住房公积金，以及外聘研发人员的劳务费用。</w:t>
      </w:r>
    </w:p>
    <w:p w14:paraId="4BF10640">
      <w:pPr>
        <w:pStyle w:val="137"/>
        <w:numPr>
          <w:ilvl w:val="255"/>
          <w:numId w:val="0"/>
        </w:numPr>
        <w:rPr>
          <w:rFonts w:hint="eastAsia" w:ascii="黑体" w:hAnsi="黑体" w:eastAsia="黑体"/>
        </w:rPr>
      </w:pPr>
      <w:r>
        <w:rPr>
          <w:rFonts w:hint="eastAsia" w:ascii="黑体" w:hAnsi="黑体" w:eastAsia="黑体"/>
        </w:rPr>
        <w:t>B.3.1.1.2 直接投入费用</w:t>
      </w:r>
    </w:p>
    <w:p w14:paraId="7889981E">
      <w:pPr>
        <w:pStyle w:val="62"/>
        <w:ind w:firstLine="420"/>
        <w:rPr>
          <w:rFonts w:hint="eastAsia" w:hAnsi="宋体" w:cs="宋体"/>
        </w:rPr>
      </w:pPr>
      <w:r>
        <w:rPr>
          <w:rFonts w:hint="eastAsia" w:hAnsi="宋体" w:cs="宋体"/>
        </w:rPr>
        <w:t>按照会计规定包括：</w:t>
      </w:r>
    </w:p>
    <w:p w14:paraId="519DB30E">
      <w:pPr>
        <w:pStyle w:val="137"/>
      </w:pPr>
      <w:r>
        <w:rPr>
          <w:rFonts w:hint="eastAsia"/>
        </w:rPr>
        <w:t>直接用于研发活动所消耗的材料、燃料和动力费用；</w:t>
      </w:r>
    </w:p>
    <w:p w14:paraId="29EAF92D">
      <w:pPr>
        <w:pStyle w:val="137"/>
      </w:pPr>
      <w:r>
        <w:rPr>
          <w:rFonts w:hint="eastAsia"/>
        </w:rPr>
        <w:t>用于中间试验和产品试制的模具、工艺设备研制和制造费用，试样、样机和一般试验手段的购买费用，试制产品的检验费用等；</w:t>
      </w:r>
    </w:p>
    <w:p w14:paraId="36660C10">
      <w:pPr>
        <w:pStyle w:val="137"/>
      </w:pPr>
      <w:r>
        <w:rPr>
          <w:rFonts w:hint="eastAsia"/>
        </w:rPr>
        <w:t>仪器、设备、房屋等用于研发活动的租赁费，设备调整和检验费，以及相关固定资产的运行维护、修理等费用。</w:t>
      </w:r>
    </w:p>
    <w:p w14:paraId="03E99E0E">
      <w:pPr>
        <w:pStyle w:val="137"/>
        <w:numPr>
          <w:ilvl w:val="255"/>
          <w:numId w:val="0"/>
        </w:numPr>
        <w:rPr>
          <w:rFonts w:hint="eastAsia" w:ascii="黑体" w:hAnsi="黑体" w:eastAsia="黑体"/>
        </w:rPr>
      </w:pPr>
      <w:r>
        <w:rPr>
          <w:rFonts w:hint="eastAsia" w:ascii="黑体" w:hAnsi="黑体" w:eastAsia="黑体"/>
        </w:rPr>
        <w:t>B.3.1.1.3 折旧费用与长期待摊费用</w:t>
      </w:r>
    </w:p>
    <w:p w14:paraId="34612334">
      <w:pPr>
        <w:pStyle w:val="62"/>
        <w:ind w:firstLine="420"/>
        <w:rPr>
          <w:rFonts w:hint="eastAsia" w:hAnsi="宋体" w:cs="宋体"/>
        </w:rPr>
      </w:pPr>
      <w:r>
        <w:rPr>
          <w:rFonts w:hint="eastAsia" w:hAnsi="宋体" w:cs="宋体"/>
        </w:rPr>
        <w:t>折旧费用与长期待摊费用主要包括：</w:t>
      </w:r>
    </w:p>
    <w:p w14:paraId="0D904A80">
      <w:pPr>
        <w:pStyle w:val="137"/>
      </w:pPr>
      <w:r>
        <w:rPr>
          <w:rFonts w:hint="eastAsia"/>
        </w:rPr>
        <w:t>高新技术企业认定：用于研发活动的仪器设备、在用楼房等折旧费用。研发设施改建、改装、装修、修理过程中产生的长期待摊费用等；</w:t>
      </w:r>
    </w:p>
    <w:p w14:paraId="7386C459">
      <w:pPr>
        <w:pStyle w:val="137"/>
      </w:pPr>
      <w:r>
        <w:rPr>
          <w:rFonts w:hint="eastAsia"/>
        </w:rPr>
        <w:t>研发费用加计扣除：仪器设备用于研发活动的折旧费用。</w:t>
      </w:r>
    </w:p>
    <w:p w14:paraId="14277ED9">
      <w:pPr>
        <w:pStyle w:val="137"/>
        <w:numPr>
          <w:ilvl w:val="255"/>
          <w:numId w:val="0"/>
        </w:numPr>
        <w:rPr>
          <w:rFonts w:hint="eastAsia" w:ascii="黑体" w:hAnsi="黑体" w:eastAsia="黑体"/>
        </w:rPr>
      </w:pPr>
      <w:r>
        <w:rPr>
          <w:rFonts w:ascii="黑体" w:hAnsi="黑体" w:eastAsia="黑体"/>
        </w:rPr>
        <w:t xml:space="preserve">B.3.1.1.4 </w:t>
      </w:r>
      <w:r>
        <w:rPr>
          <w:rFonts w:hint="eastAsia" w:ascii="黑体" w:hAnsi="黑体" w:eastAsia="黑体"/>
        </w:rPr>
        <w:t>无形资产摊销</w:t>
      </w:r>
    </w:p>
    <w:p w14:paraId="4A3A0FB1">
      <w:pPr>
        <w:pStyle w:val="137"/>
        <w:numPr>
          <w:ilvl w:val="255"/>
          <w:numId w:val="0"/>
        </w:numPr>
        <w:ind w:firstLine="420" w:firstLineChars="200"/>
      </w:pPr>
      <w:r>
        <w:rPr>
          <w:rFonts w:hint="eastAsia"/>
        </w:rPr>
        <w:t>无形资产摊销主要包括：</w:t>
      </w:r>
    </w:p>
    <w:p w14:paraId="3078D05E">
      <w:pPr>
        <w:pStyle w:val="137"/>
      </w:pPr>
      <w:r>
        <w:rPr>
          <w:rFonts w:hint="eastAsia"/>
        </w:rPr>
        <w:t>高新技术企业认定：软件、知识产权、非专利技术、许可证、设计和计算方法等）用于研究开发活动的摊销费用；</w:t>
      </w:r>
    </w:p>
    <w:p w14:paraId="25DE8289">
      <w:pPr>
        <w:pStyle w:val="137"/>
      </w:pPr>
      <w:r>
        <w:rPr>
          <w:rFonts w:hint="eastAsia"/>
        </w:rPr>
        <w:t>研发费用加计扣除：用于研发活动的软件摊销专利权摊销费用、非专利技术摊销费用（包括许可证、专有技术、设计和计算方法等）。</w:t>
      </w:r>
    </w:p>
    <w:p w14:paraId="64429A2F">
      <w:pPr>
        <w:pStyle w:val="137"/>
        <w:numPr>
          <w:ilvl w:val="255"/>
          <w:numId w:val="0"/>
        </w:numPr>
        <w:rPr>
          <w:rFonts w:hint="eastAsia" w:ascii="黑体" w:hAnsi="黑体" w:eastAsia="黑体"/>
        </w:rPr>
      </w:pPr>
      <w:r>
        <w:rPr>
          <w:rFonts w:hint="eastAsia" w:ascii="黑体" w:hAnsi="黑体" w:eastAsia="黑体"/>
        </w:rPr>
        <w:t>B.3.1.1.5 设计试验等费用</w:t>
      </w:r>
    </w:p>
    <w:p w14:paraId="6A21E3CC">
      <w:pPr>
        <w:pStyle w:val="62"/>
        <w:ind w:firstLine="420"/>
        <w:rPr>
          <w:rFonts w:hint="eastAsia" w:hAnsi="宋体" w:cs="宋体"/>
        </w:rPr>
      </w:pPr>
      <w:r>
        <w:rPr>
          <w:rFonts w:hint="eastAsia" w:hAnsi="宋体" w:cs="宋体"/>
        </w:rPr>
        <w:t>新工艺规程制定费，研制新药的临床试验费，现场试验勘探开发技术费用。</w:t>
      </w:r>
    </w:p>
    <w:p w14:paraId="312D0A70">
      <w:pPr>
        <w:pStyle w:val="137"/>
        <w:numPr>
          <w:ilvl w:val="255"/>
          <w:numId w:val="0"/>
        </w:numPr>
        <w:rPr>
          <w:rFonts w:hint="eastAsia" w:ascii="黑体" w:hAnsi="黑体" w:eastAsia="黑体"/>
        </w:rPr>
      </w:pPr>
      <w:r>
        <w:rPr>
          <w:rFonts w:hint="eastAsia" w:ascii="黑体" w:hAnsi="黑体" w:eastAsia="黑体"/>
        </w:rPr>
        <w:t>B.3.1.1.6 其他相关费用</w:t>
      </w:r>
    </w:p>
    <w:p w14:paraId="27F631CC">
      <w:pPr>
        <w:pStyle w:val="62"/>
        <w:ind w:firstLine="420"/>
        <w:rPr>
          <w:rFonts w:hint="eastAsia" w:hAnsi="宋体" w:cs="宋体"/>
        </w:rPr>
      </w:pPr>
      <w:r>
        <w:rPr>
          <w:rFonts w:hint="eastAsia" w:hAnsi="宋体" w:cs="宋体"/>
        </w:rPr>
        <w:t>其他相关费用主要包括：</w:t>
      </w:r>
    </w:p>
    <w:p w14:paraId="2AE1210C">
      <w:pPr>
        <w:pStyle w:val="137"/>
      </w:pPr>
      <w:r>
        <w:rPr>
          <w:rFonts w:hint="eastAsia"/>
        </w:rPr>
        <w:t>其他研发相关费用包括技术图书资料费、资料翻译费、专家咨询费等，一般不超研发总费用20%，另有规定除外；</w:t>
      </w:r>
    </w:p>
    <w:p w14:paraId="19BD9D35">
      <w:pPr>
        <w:pStyle w:val="137"/>
      </w:pPr>
      <w:r>
        <w:rPr>
          <w:rFonts w:hint="eastAsia"/>
        </w:rPr>
        <w:t>研发费用加计扣除中，此类费用如技术图书资料费、资料翻译费等，总额不超研发费用总额可加计扣除的10%。</w:t>
      </w:r>
    </w:p>
    <w:p w14:paraId="1A44B78C">
      <w:pPr>
        <w:pStyle w:val="71"/>
        <w:numPr>
          <w:ilvl w:val="3"/>
          <w:numId w:val="0"/>
        </w:numPr>
        <w:spacing w:before="120" w:after="120"/>
      </w:pPr>
      <w:r>
        <w:rPr>
          <w:rFonts w:hint="eastAsia"/>
        </w:rPr>
        <w:t>B.3.1.2 备查资料留存及注意事项</w:t>
      </w:r>
    </w:p>
    <w:p w14:paraId="59423FAA">
      <w:pPr>
        <w:pStyle w:val="62"/>
        <w:ind w:firstLine="420"/>
        <w:rPr>
          <w:rFonts w:hint="eastAsia" w:hAnsi="宋体" w:cs="宋体"/>
        </w:rPr>
      </w:pPr>
      <w:r>
        <w:rPr>
          <w:rFonts w:hint="eastAsia" w:hAnsi="宋体" w:cs="宋体"/>
        </w:rPr>
        <w:t>企业在备查资料留存时应注意以下几个方面：</w:t>
      </w:r>
    </w:p>
    <w:p w14:paraId="5D913360">
      <w:pPr>
        <w:pStyle w:val="137"/>
        <w:rPr>
          <w:rFonts w:hint="eastAsia" w:hAnsi="宋体" w:cs="宋体"/>
        </w:rPr>
      </w:pPr>
      <w:r>
        <w:rPr>
          <w:rFonts w:hint="eastAsia" w:hAnsi="宋体" w:cs="宋体"/>
        </w:rPr>
        <w:t>独立、委托、合作研究开发项目计划书及企业有权部门的立项决议性文件。企业申报自2016年1月1日起享受研发费用加计扣除优惠；</w:t>
      </w:r>
    </w:p>
    <w:p w14:paraId="266CC2D1">
      <w:pPr>
        <w:pStyle w:val="137"/>
        <w:rPr>
          <w:rFonts w:hint="eastAsia" w:hAnsi="宋体" w:cs="宋体"/>
        </w:rPr>
      </w:pPr>
      <w:r>
        <w:rPr>
          <w:rFonts w:hint="eastAsia" w:hAnsi="宋体" w:cs="宋体"/>
        </w:rPr>
        <w:t>独立、委托、合作研究开发专门机构或项目组人员编制及研究开发人员名单。名单中应包括本企业在编研发人员及外聘在编研发人员；</w:t>
      </w:r>
    </w:p>
    <w:p w14:paraId="357A96B5">
      <w:pPr>
        <w:pStyle w:val="137"/>
        <w:rPr>
          <w:rFonts w:hint="eastAsia" w:hAnsi="宋体" w:cs="宋体"/>
        </w:rPr>
      </w:pPr>
      <w:r>
        <w:rPr>
          <w:rFonts w:hint="eastAsia" w:hAnsi="宋体" w:cs="宋体"/>
        </w:rPr>
        <w:t>委托、合作研究开发项目合同，经科技行政主管部门备案；</w:t>
      </w:r>
    </w:p>
    <w:p w14:paraId="3AF45BDF">
      <w:pPr>
        <w:pStyle w:val="137"/>
        <w:rPr>
          <w:rFonts w:hint="eastAsia" w:hAnsi="宋体" w:cs="宋体"/>
        </w:rPr>
      </w:pPr>
      <w:r>
        <w:rPr>
          <w:rFonts w:hint="eastAsia" w:hAnsi="宋体" w:cs="宋体"/>
        </w:rPr>
        <w:t>如委托方委托关联方进行研发活动，委托方研发项目费用实际支出明细。</w:t>
      </w:r>
    </w:p>
    <w:p w14:paraId="4B7543BE">
      <w:pPr>
        <w:pStyle w:val="137"/>
        <w:rPr>
          <w:rFonts w:hint="eastAsia" w:hAnsi="宋体" w:cs="宋体"/>
        </w:rPr>
      </w:pPr>
      <w:r>
        <w:rPr>
          <w:rFonts w:hint="eastAsia" w:hAnsi="宋体" w:cs="宋体"/>
        </w:rPr>
        <w:t>从事研发活动的人员（含外聘人员）和仪器设备、无形资产用于研发活动的费用分配说明（含记录工作使用情况和费用分配计算证据材料）；</w:t>
      </w:r>
    </w:p>
    <w:p w14:paraId="6CB49FAB">
      <w:pPr>
        <w:pStyle w:val="137"/>
        <w:rPr>
          <w:rFonts w:hint="eastAsia" w:hAnsi="宋体" w:cs="宋体"/>
        </w:rPr>
      </w:pPr>
      <w:r>
        <w:rPr>
          <w:rFonts w:hint="eastAsia" w:hAnsi="宋体" w:cs="宋体"/>
        </w:rPr>
        <w:t>集中研发项目研发费决算表、集中研发项目费用分摊明细情况表、实际分成收入比例等信息。</w:t>
      </w:r>
    </w:p>
    <w:p w14:paraId="685E668B">
      <w:pPr>
        <w:pStyle w:val="137"/>
        <w:rPr>
          <w:rFonts w:hint="eastAsia" w:hAnsi="宋体" w:cs="宋体"/>
        </w:rPr>
      </w:pPr>
      <w:r>
        <w:rPr>
          <w:rFonts w:hint="eastAsia" w:hAnsi="宋体" w:cs="宋体"/>
        </w:rPr>
        <w:t>本阶段按研发项目单独设立的“研发支出”辅助账户。</w:t>
      </w:r>
    </w:p>
    <w:p w14:paraId="0890D36B">
      <w:pPr>
        <w:pStyle w:val="62"/>
        <w:ind w:firstLine="0" w:firstLineChars="0"/>
        <w:rPr>
          <w:rFonts w:hint="eastAsia" w:hAnsi="宋体" w:cs="宋体"/>
        </w:rPr>
      </w:pPr>
      <w:r>
        <w:rPr>
          <w:rFonts w:hint="eastAsia" w:ascii="黑体" w:hAnsi="黑体" w:eastAsia="黑体" w:cs="宋体"/>
        </w:rPr>
        <w:t>B.3.1.2.1</w:t>
      </w:r>
      <w:r>
        <w:rPr>
          <w:rFonts w:hint="eastAsia" w:hAnsi="宋体" w:cs="宋体"/>
        </w:rPr>
        <w:t xml:space="preserve"> 国家税务总局公告2015年第97号为指导企业设立研发支出辅助台账做了详细规定，以帮助企业防范相关风险，企业可参照97号公告所附样式，在研发项目立项时，根据研发活动的形式，另行设定：</w:t>
      </w:r>
    </w:p>
    <w:p w14:paraId="370B5915">
      <w:pPr>
        <w:pStyle w:val="192"/>
      </w:pPr>
      <w:r>
        <w:rPr>
          <w:rFonts w:hint="eastAsia"/>
        </w:rPr>
        <w:t>自主研发经费辅助账户；</w:t>
      </w:r>
    </w:p>
    <w:p w14:paraId="496550B9">
      <w:pPr>
        <w:pStyle w:val="192"/>
      </w:pPr>
      <w:r>
        <w:rPr>
          <w:rFonts w:hint="eastAsia"/>
        </w:rPr>
        <w:t>委托研发支出辅助账户；</w:t>
      </w:r>
    </w:p>
    <w:p w14:paraId="4ED697BB">
      <w:pPr>
        <w:pStyle w:val="192"/>
      </w:pPr>
      <w:r>
        <w:rPr>
          <w:rFonts w:hint="eastAsia"/>
        </w:rPr>
        <w:t>合作研发经费辅助账户；</w:t>
      </w:r>
    </w:p>
    <w:p w14:paraId="1987C890">
      <w:pPr>
        <w:pStyle w:val="192"/>
        <w:rPr>
          <w:rFonts w:hint="eastAsia" w:hAnsi="宋体" w:cs="宋体"/>
        </w:rPr>
      </w:pPr>
      <w:r>
        <w:rPr>
          <w:rFonts w:hint="eastAsia"/>
        </w:rPr>
        <w:t>集中研发支出辅助账户。</w:t>
      </w:r>
    </w:p>
    <w:p w14:paraId="0925F7CF">
      <w:pPr>
        <w:pStyle w:val="192"/>
        <w:numPr>
          <w:ilvl w:val="1"/>
          <w:numId w:val="0"/>
        </w:numPr>
        <w:tabs>
          <w:tab w:val="clear" w:pos="568"/>
        </w:tabs>
        <w:ind w:firstLine="420" w:firstLineChars="200"/>
        <w:rPr>
          <w:rFonts w:hint="eastAsia" w:hAnsi="宋体" w:cs="宋体"/>
        </w:rPr>
      </w:pPr>
      <w:r>
        <w:rPr>
          <w:rFonts w:hint="eastAsia"/>
        </w:rPr>
        <w:t>年终汇总分析填报研发支出辅助账汇总表，对企业当年发生的扣除</w:t>
      </w:r>
      <w:r>
        <w:rPr>
          <w:rFonts w:hint="eastAsia" w:hAnsi="宋体" w:cs="宋体"/>
        </w:rPr>
        <w:t>的研发费用进行正确核算。企业也可以根据自身实际情况建立辅助台账，但要覆盖97号公告所附样式的内容，即辅助账样式可以在总局下发的辅助账框架内增加相关项目，但不得对相关项目进行减并。</w:t>
      </w:r>
    </w:p>
    <w:p w14:paraId="10A07C38">
      <w:pPr>
        <w:pStyle w:val="62"/>
        <w:ind w:firstLine="0" w:firstLineChars="0"/>
        <w:rPr>
          <w:rFonts w:hint="eastAsia" w:hAnsi="宋体" w:cs="宋体"/>
        </w:rPr>
      </w:pPr>
      <w:r>
        <w:rPr>
          <w:rFonts w:hint="eastAsia" w:ascii="黑体" w:hAnsi="黑体" w:eastAsia="黑体" w:cs="宋体"/>
        </w:rPr>
        <w:t>B.3.1.2.2</w:t>
      </w:r>
      <w:r>
        <w:rPr>
          <w:rFonts w:hint="eastAsia" w:hAnsi="宋体" w:cs="宋体"/>
        </w:rPr>
        <w:t xml:space="preserve"> 企业应准确归集核算当年可加计扣除的费用的实际发生额，从凭证级别记录各项目的研发支出，并按照国家税务总局公告2017年第40号列明的扣除的六大类研发费用类别，对每一项研发费用进行分类。</w:t>
      </w:r>
    </w:p>
    <w:p w14:paraId="77CA36C6">
      <w:pPr>
        <w:pStyle w:val="62"/>
        <w:ind w:firstLine="0" w:firstLineChars="0"/>
        <w:rPr>
          <w:rFonts w:hint="eastAsia" w:hAnsi="宋体" w:cs="宋体"/>
        </w:rPr>
      </w:pPr>
      <w:r>
        <w:rPr>
          <w:rFonts w:hint="eastAsia" w:ascii="黑体" w:hAnsi="黑体" w:eastAsia="黑体" w:cs="宋体"/>
        </w:rPr>
        <w:t>B.3.1.2.3</w:t>
      </w:r>
      <w:r>
        <w:rPr>
          <w:rFonts w:hint="eastAsia" w:hAnsi="宋体" w:cs="宋体"/>
        </w:rPr>
        <w:t xml:space="preserve"> 企业在一个纳税年度内进行多项研发活动的，应根据研发项目的不同，分别设置可加计扣除的辅助账归集。</w:t>
      </w:r>
    </w:p>
    <w:p w14:paraId="23A4403E">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B.3.2 其他</w:t>
      </w:r>
      <w:r>
        <w:rPr>
          <w:rFonts w:hint="eastAsia" w:ascii="黑体" w:hAnsi="黑体" w:eastAsia="黑体" w:cs="黑体"/>
          <w:bCs/>
          <w:color w:val="000000" w:themeColor="text1"/>
          <w:szCs w:val="21"/>
          <w14:textFill>
            <w14:solidFill>
              <w14:schemeClr w14:val="tx1"/>
            </w14:solidFill>
          </w14:textFill>
        </w:rPr>
        <w:t>重点事项</w:t>
      </w:r>
    </w:p>
    <w:p w14:paraId="6F415D2B">
      <w:pPr>
        <w:pStyle w:val="62"/>
        <w:ind w:firstLine="0" w:firstLineChars="0"/>
        <w:rPr>
          <w:rFonts w:hint="eastAsia" w:hAnsi="宋体" w:cs="宋体"/>
        </w:rPr>
      </w:pPr>
      <w:r>
        <w:rPr>
          <w:rFonts w:hint="eastAsia" w:ascii="黑体" w:hAnsi="黑体" w:eastAsia="黑体" w:cs="宋体"/>
        </w:rPr>
        <w:t>B.3.2.1</w:t>
      </w:r>
      <w:r>
        <w:rPr>
          <w:rFonts w:hint="eastAsia" w:hAnsi="宋体" w:cs="宋体"/>
        </w:rPr>
        <w:t xml:space="preserve"> 研发费用加计扣除为汇缴享受项目，企业研发新工艺所发生的研发费用加计扣除优惠享受时间为“汇缴享受”，即企业不能在按季预缴时申报享受研发费用加计扣除优惠。</w:t>
      </w:r>
    </w:p>
    <w:p w14:paraId="39A021DF">
      <w:pPr>
        <w:pStyle w:val="62"/>
        <w:ind w:firstLine="0" w:firstLineChars="0"/>
        <w:rPr>
          <w:rFonts w:hint="eastAsia" w:hAnsi="宋体" w:cs="宋体"/>
        </w:rPr>
      </w:pPr>
      <w:r>
        <w:rPr>
          <w:rFonts w:hint="eastAsia" w:ascii="黑体" w:hAnsi="黑体" w:eastAsia="黑体" w:cs="宋体"/>
        </w:rPr>
        <w:t>B.3.2.2</w:t>
      </w:r>
      <w:r>
        <w:rPr>
          <w:rFonts w:hint="eastAsia" w:hAnsi="宋体" w:cs="宋体"/>
        </w:rPr>
        <w:t xml:space="preserve"> 企业申报享受研发优惠无需报送《归集表》和《汇总表》，“研发经费支出”辅助账目汇总表，企业留存备查。</w:t>
      </w:r>
    </w:p>
    <w:p w14:paraId="4F404D8A">
      <w:pPr>
        <w:pStyle w:val="62"/>
        <w:ind w:firstLine="0" w:firstLineChars="0"/>
        <w:rPr>
          <w:rFonts w:hint="eastAsia" w:hAnsi="宋体" w:cs="宋体"/>
        </w:rPr>
      </w:pPr>
      <w:r>
        <w:rPr>
          <w:rFonts w:hint="eastAsia" w:ascii="黑体" w:hAnsi="黑体" w:eastAsia="黑体" w:cs="宋体"/>
        </w:rPr>
        <w:t>B.3.2.3</w:t>
      </w:r>
      <w:r>
        <w:rPr>
          <w:rFonts w:hint="eastAsia" w:hAnsi="宋体" w:cs="宋体"/>
        </w:rPr>
        <w:t xml:space="preserve"> 盈利企业和亏损企业企业发生的研发费用，不论企业当年盈利还是亏损，均可按规定加计扣除。</w:t>
      </w:r>
    </w:p>
    <w:p w14:paraId="70EB85B1">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B.3.3 高新技术企业税务合规措施</w:t>
      </w:r>
    </w:p>
    <w:p w14:paraId="1674B9FC">
      <w:pPr>
        <w:pStyle w:val="62"/>
        <w:ind w:firstLine="0" w:firstLineChars="0"/>
        <w:rPr>
          <w:rFonts w:hint="eastAsia" w:hAnsi="宋体" w:cs="宋体"/>
        </w:rPr>
      </w:pPr>
      <w:r>
        <w:rPr>
          <w:rFonts w:hint="eastAsia" w:ascii="黑体" w:hAnsi="黑体" w:eastAsia="黑体" w:cs="宋体"/>
        </w:rPr>
        <w:t>B.3.3.1</w:t>
      </w:r>
      <w:r>
        <w:rPr>
          <w:rFonts w:hint="eastAsia" w:hAnsi="宋体" w:cs="宋体"/>
        </w:rPr>
        <w:t xml:space="preserve"> 在取得高新技术企业认证后，及时向税务机关提交了相关申请，包括高新技术企业资格证明、研发费用加计扣除申报材料等，确保享受低税率。</w:t>
      </w:r>
    </w:p>
    <w:p w14:paraId="170FB491">
      <w:pPr>
        <w:pStyle w:val="62"/>
        <w:ind w:firstLine="0" w:firstLineChars="0"/>
        <w:rPr>
          <w:rFonts w:hint="eastAsia" w:hAnsi="宋体" w:cs="宋体"/>
        </w:rPr>
      </w:pPr>
      <w:r>
        <w:rPr>
          <w:rFonts w:hint="eastAsia" w:ascii="黑体" w:hAnsi="黑体" w:eastAsia="黑体" w:cs="宋体"/>
        </w:rPr>
        <w:t>B.3.3.2</w:t>
      </w:r>
      <w:r>
        <w:rPr>
          <w:rFonts w:hint="eastAsia" w:hAnsi="宋体" w:cs="宋体"/>
        </w:rPr>
        <w:t xml:space="preserve"> 建立完善的财务记录和内部控制制度，确保所有收入和支出都有准确的凭证和记录，以便于税务审计。定期整理研究开发费用，确保符合国家税收政策，并可享受加计扣除。</w:t>
      </w:r>
    </w:p>
    <w:p w14:paraId="508EE51C">
      <w:pPr>
        <w:pStyle w:val="62"/>
        <w:ind w:firstLine="0" w:firstLineChars="0"/>
        <w:rPr>
          <w:rFonts w:hint="eastAsia" w:hAnsi="宋体" w:cs="宋体"/>
        </w:rPr>
      </w:pPr>
      <w:r>
        <w:rPr>
          <w:rFonts w:hint="eastAsia" w:ascii="黑体" w:hAnsi="黑体" w:eastAsia="黑体" w:cs="宋体"/>
        </w:rPr>
        <w:t>B.3.3.3</w:t>
      </w:r>
      <w:r>
        <w:rPr>
          <w:rFonts w:hint="eastAsia" w:hAnsi="宋体" w:cs="宋体"/>
        </w:rPr>
        <w:t xml:space="preserve"> 按时向税务机关申报纳税，包括企业所得税、增值税等，并保证资料的准确性。利用税收软件申报，减少人工差错，提高办事效率。</w:t>
      </w:r>
    </w:p>
    <w:p w14:paraId="14F83320">
      <w:pPr>
        <w:pStyle w:val="62"/>
        <w:ind w:firstLine="0" w:firstLineChars="0"/>
        <w:rPr>
          <w:rFonts w:hint="eastAsia" w:hAnsi="宋体" w:cs="宋体"/>
        </w:rPr>
      </w:pPr>
      <w:r>
        <w:rPr>
          <w:rFonts w:hint="eastAsia" w:ascii="黑体" w:hAnsi="黑体" w:eastAsia="黑体" w:cs="宋体"/>
        </w:rPr>
        <w:t>B.3.3.4</w:t>
      </w:r>
      <w:r>
        <w:rPr>
          <w:rFonts w:hint="eastAsia" w:hAnsi="宋体" w:cs="宋体"/>
        </w:rPr>
        <w:t xml:space="preserve"> 定期对财务人员进行税收知识培训，保证员工了解相关政策和合规要求，及时应对政策变动。</w:t>
      </w:r>
    </w:p>
    <w:p w14:paraId="10CDFED6">
      <w:pPr>
        <w:pStyle w:val="62"/>
        <w:ind w:firstLine="0" w:firstLineChars="0"/>
        <w:rPr>
          <w:rFonts w:hint="eastAsia" w:hAnsi="宋体" w:cs="宋体"/>
        </w:rPr>
      </w:pPr>
      <w:r>
        <w:rPr>
          <w:rFonts w:hint="eastAsia" w:ascii="黑体" w:hAnsi="黑体" w:eastAsia="黑体" w:cs="宋体"/>
        </w:rPr>
        <w:t>B.3.3.5</w:t>
      </w:r>
      <w:r>
        <w:rPr>
          <w:rFonts w:hint="eastAsia" w:hAnsi="宋体" w:cs="宋体"/>
        </w:rPr>
        <w:t xml:space="preserve"> 在合法合规的框架内进行税收筹划，合理安排收入、费用确认时点，以优化税负，提高企业经济效益。</w:t>
      </w:r>
    </w:p>
    <w:p w14:paraId="49B611A9">
      <w:pPr>
        <w:pStyle w:val="62"/>
        <w:spacing w:before="240" w:beforeLines="100" w:after="240" w:afterLines="100"/>
        <w:ind w:firstLine="0" w:firstLineChars="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B.4 医药生产企业税务合规管理</w:t>
      </w:r>
    </w:p>
    <w:p w14:paraId="68D069E4">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B.4.1 医药生产企业的税收风险点</w:t>
      </w:r>
    </w:p>
    <w:p w14:paraId="1E7B4671">
      <w:pPr>
        <w:pStyle w:val="62"/>
        <w:ind w:firstLine="0" w:firstLineChars="0"/>
        <w:rPr>
          <w:rFonts w:hint="eastAsia" w:hAnsi="宋体" w:cs="宋体"/>
        </w:rPr>
      </w:pPr>
      <w:r>
        <w:rPr>
          <w:rFonts w:hint="eastAsia" w:ascii="黑体" w:hAnsi="黑体" w:eastAsia="黑体" w:cs="宋体"/>
        </w:rPr>
        <w:t>B.4.1.1</w:t>
      </w:r>
      <w:r>
        <w:rPr>
          <w:rFonts w:hint="eastAsia" w:hAnsi="宋体" w:cs="宋体"/>
        </w:rPr>
        <w:t xml:space="preserve"> 中医药生产企业因产品种类多、原材料采购渠道分散，税务监管难度大。一些不法企业利用此特点，在无真实交易情况下，虚开增值税专用发票并收取开票费牟利。如某些企业以收购中药材为名，虚开农产品收购发票，再为他企虚开增值税专用发票，形成虚开发票产业链，获取巨额非法利益。</w:t>
      </w:r>
    </w:p>
    <w:p w14:paraId="7A4A2521">
      <w:pPr>
        <w:pStyle w:val="62"/>
        <w:ind w:firstLine="0" w:firstLineChars="0"/>
        <w:rPr>
          <w:rFonts w:hint="eastAsia" w:hAnsi="宋体" w:cs="宋体"/>
        </w:rPr>
      </w:pPr>
      <w:r>
        <w:rPr>
          <w:rFonts w:hint="eastAsia" w:ascii="黑体" w:hAnsi="黑体" w:eastAsia="黑体" w:cs="宋体"/>
        </w:rPr>
        <w:t>B.4.1.2</w:t>
      </w:r>
      <w:r>
        <w:rPr>
          <w:rFonts w:hint="eastAsia" w:hAnsi="宋体" w:cs="宋体"/>
        </w:rPr>
        <w:t xml:space="preserve"> 中医药生产企业的成本核算较为复杂，涉及原材料采购、生产加工、仓储运输等多个环节，部分企业为少缴税款调节企业利润，通过虚开发票增加成本。</w:t>
      </w:r>
    </w:p>
    <w:p w14:paraId="097F5927">
      <w:pPr>
        <w:pStyle w:val="62"/>
        <w:ind w:firstLine="0" w:firstLineChars="0"/>
        <w:rPr>
          <w:rFonts w:hint="eastAsia" w:hAnsi="宋体" w:cs="宋体"/>
        </w:rPr>
      </w:pPr>
      <w:r>
        <w:rPr>
          <w:rFonts w:hint="eastAsia" w:ascii="黑体" w:hAnsi="黑体" w:eastAsia="黑体" w:cs="宋体"/>
        </w:rPr>
        <w:t>B.4.1.3</w:t>
      </w:r>
      <w:r>
        <w:rPr>
          <w:rFonts w:hint="eastAsia" w:hAnsi="宋体" w:cs="宋体"/>
        </w:rPr>
        <w:t xml:space="preserve"> 为维持表面经营状况，部分中医药生产企业在激烈市场竞争中，通过虚开发票虚构销售收入，掩盖真实经营状况，以避免在银行贷款、商业合作等方面受负面影响。</w:t>
      </w:r>
    </w:p>
    <w:p w14:paraId="758BF1E0">
      <w:pPr>
        <w:pStyle w:val="62"/>
        <w:ind w:firstLine="0" w:firstLineChars="0"/>
        <w:rPr>
          <w:rFonts w:hint="eastAsia" w:hAnsi="宋体" w:cs="宋体"/>
        </w:rPr>
      </w:pPr>
      <w:r>
        <w:rPr>
          <w:rFonts w:hint="eastAsia" w:ascii="黑体" w:hAnsi="黑体" w:eastAsia="黑体" w:cs="宋体"/>
        </w:rPr>
        <w:t>B.4.1.4</w:t>
      </w:r>
      <w:r>
        <w:rPr>
          <w:rFonts w:hint="eastAsia" w:hAnsi="宋体" w:cs="宋体"/>
        </w:rPr>
        <w:t xml:space="preserve"> 国家为鼓励中医药产业发展，出台税收优惠和财政补贴政策，如研发费用加计扣除、增值税即征即退等。但一些不法企业通过虚开发票虚构研发费用、销售收入等，骗取税收优惠和财政补贴。</w:t>
      </w:r>
    </w:p>
    <w:p w14:paraId="14CB0DDF">
      <w:pPr>
        <w:pStyle w:val="62"/>
        <w:ind w:firstLine="0" w:firstLineChars="0"/>
        <w:rPr>
          <w:rFonts w:hint="eastAsia" w:hAnsi="宋体" w:cs="宋体"/>
        </w:rPr>
      </w:pPr>
      <w:r>
        <w:rPr>
          <w:rFonts w:hint="eastAsia" w:ascii="黑体" w:hAnsi="黑体" w:eastAsia="黑体" w:cs="宋体"/>
        </w:rPr>
        <w:t>B.4.1.5</w:t>
      </w:r>
      <w:r>
        <w:rPr>
          <w:rFonts w:hint="eastAsia" w:hAnsi="宋体" w:cs="宋体"/>
        </w:rPr>
        <w:t xml:space="preserve"> 部分企业管理人员或员工为谋取私利，通过虚构经营业务、取得虚开发票套取企业资金，用于非法活动。</w:t>
      </w:r>
    </w:p>
    <w:p w14:paraId="4CDFE247">
      <w:pPr>
        <w:pStyle w:val="62"/>
        <w:ind w:firstLine="0" w:firstLineChars="0"/>
        <w:rPr>
          <w:rFonts w:hint="eastAsia" w:hAnsi="宋体" w:cs="宋体"/>
        </w:rPr>
      </w:pPr>
      <w:r>
        <w:rPr>
          <w:rFonts w:hint="eastAsia" w:ascii="黑体" w:hAnsi="黑体" w:eastAsia="黑体" w:cs="宋体"/>
        </w:rPr>
        <w:t>B.4.1.6</w:t>
      </w:r>
      <w:r>
        <w:rPr>
          <w:rFonts w:hint="eastAsia" w:hAnsi="宋体" w:cs="宋体"/>
        </w:rPr>
        <w:t xml:space="preserve"> 医药行业税收合规难点之一是中药材收购的进项税抵扣问题，企业从农业生产者处直接收购中药材，可按9%的进项税率抵扣增值税，这可能导致“进项税金高于销项税金”的倒挂现象，使企业产生多余进项税额无法抵扣，影响企业税负承受能力，缩减企业利润，抑制市场活力。</w:t>
      </w:r>
    </w:p>
    <w:p w14:paraId="43F89576">
      <w:pPr>
        <w:pStyle w:val="62"/>
        <w:ind w:firstLine="0" w:firstLineChars="0"/>
        <w:rPr>
          <w:rFonts w:hint="eastAsia" w:hAnsi="宋体" w:cs="宋体"/>
        </w:rPr>
      </w:pPr>
      <w:r>
        <w:rPr>
          <w:rFonts w:hint="eastAsia" w:ascii="黑体" w:hAnsi="黑体" w:eastAsia="黑体" w:cs="宋体"/>
        </w:rPr>
        <w:t>B.4.1.7</w:t>
      </w:r>
      <w:r>
        <w:rPr>
          <w:rFonts w:hint="eastAsia" w:hAnsi="宋体" w:cs="宋体"/>
        </w:rPr>
        <w:t xml:space="preserve"> 广告费用的资金回流风险，药企广告费用资金回流现象较为隐蔽，常回流至双方实控的非关联企业，套取资金，用于非法商业目的。</w:t>
      </w:r>
    </w:p>
    <w:p w14:paraId="328A9746">
      <w:pPr>
        <w:pStyle w:val="62"/>
        <w:ind w:firstLine="0" w:firstLineChars="0"/>
        <w:rPr>
          <w:rFonts w:hint="eastAsia" w:hAnsi="宋体" w:cs="宋体"/>
        </w:rPr>
      </w:pPr>
      <w:r>
        <w:rPr>
          <w:rFonts w:hint="eastAsia" w:ascii="黑体" w:hAnsi="黑体" w:eastAsia="黑体" w:cs="宋体"/>
        </w:rPr>
        <w:t>B.4.1.8</w:t>
      </w:r>
      <w:r>
        <w:rPr>
          <w:rFonts w:hint="eastAsia" w:hAnsi="宋体" w:cs="宋体"/>
        </w:rPr>
        <w:t xml:space="preserve"> 冒用个体户涉税风险，部分药企为了套取现金，指使内部员工冒用个体户的名义和企业交易，套取现金，用于非法商业目的。</w:t>
      </w:r>
    </w:p>
    <w:p w14:paraId="09DA363E">
      <w:pPr>
        <w:pStyle w:val="62"/>
        <w:ind w:firstLine="0" w:firstLineChars="0"/>
        <w:rPr>
          <w:rFonts w:hint="eastAsia" w:hAnsi="宋体" w:cs="宋体"/>
        </w:rPr>
      </w:pPr>
      <w:r>
        <w:rPr>
          <w:rFonts w:hint="eastAsia" w:ascii="黑体" w:hAnsi="黑体" w:eastAsia="黑体" w:cs="宋体"/>
        </w:rPr>
        <w:t>B.4.1.9</w:t>
      </w:r>
      <w:r>
        <w:rPr>
          <w:rFonts w:hint="eastAsia" w:hAnsi="宋体" w:cs="宋体"/>
        </w:rPr>
        <w:t xml:space="preserve"> 关联交易频繁：部分企业利用关联方之间的购销业务、资金借贷、转让有形或无形资产、出让与受让股权、提供担保等方式，通过税负差、地区税收优惠差异等，达到减少企业或关联方应纳税所得额的目的，形成税收合规风险。</w:t>
      </w:r>
    </w:p>
    <w:p w14:paraId="135FABE3">
      <w:pPr>
        <w:pStyle w:val="62"/>
        <w:ind w:firstLine="0" w:firstLineChars="0"/>
        <w:rPr>
          <w:rFonts w:hint="eastAsia" w:hAnsi="宋体" w:cs="宋体"/>
        </w:rPr>
      </w:pPr>
      <w:r>
        <w:rPr>
          <w:rFonts w:hint="eastAsia" w:ascii="黑体" w:hAnsi="黑体" w:eastAsia="黑体" w:cs="宋体"/>
        </w:rPr>
        <w:t>B.4.1.10</w:t>
      </w:r>
      <w:r>
        <w:rPr>
          <w:rFonts w:hint="eastAsia" w:hAnsi="宋体" w:cs="宋体"/>
        </w:rPr>
        <w:t xml:space="preserve"> 增值税链条中断风险，医院提供医疗服务或销售部分药品免征增值税，虽减轻了税负，但也导致医药行业增值税链条中断风险。部分企业可能通过分拆药品、医疗器械等产品或拆分实体产品与服务费，规避税负，加剧税务风险。</w:t>
      </w:r>
    </w:p>
    <w:p w14:paraId="5851E241">
      <w:pPr>
        <w:pStyle w:val="62"/>
        <w:ind w:firstLine="0" w:firstLineChars="0"/>
        <w:rPr>
          <w:rFonts w:hint="eastAsia" w:hAnsi="宋体" w:cs="宋体"/>
        </w:rPr>
      </w:pPr>
      <w:r>
        <w:rPr>
          <w:rFonts w:hint="eastAsia" w:ascii="黑体" w:hAnsi="黑体" w:eastAsia="黑体" w:cs="宋体"/>
        </w:rPr>
        <w:t>B.4.1.11</w:t>
      </w:r>
      <w:r>
        <w:rPr>
          <w:rFonts w:hint="eastAsia" w:hAnsi="宋体" w:cs="宋体"/>
        </w:rPr>
        <w:t xml:space="preserve"> 部分药企以油票、修理费、办公费、差旅费等费用的报销形式发放职工奖金，未按照规定代扣代缴个人所得税。</w:t>
      </w:r>
    </w:p>
    <w:p w14:paraId="5861B9B1">
      <w:pPr>
        <w:pStyle w:val="62"/>
        <w:ind w:firstLine="0" w:firstLineChars="0"/>
        <w:rPr>
          <w:rFonts w:hint="eastAsia" w:hAnsi="宋体" w:cs="宋体"/>
        </w:rPr>
      </w:pPr>
      <w:r>
        <w:rPr>
          <w:rFonts w:hint="eastAsia" w:ascii="黑体" w:hAnsi="黑体" w:eastAsia="黑体" w:cs="宋体"/>
        </w:rPr>
        <w:t xml:space="preserve">B.4.1.12 </w:t>
      </w:r>
      <w:r>
        <w:rPr>
          <w:rFonts w:hint="eastAsia" w:hAnsi="宋体" w:cs="宋体"/>
        </w:rPr>
        <w:t>中药生产过程中产生的药渣存在涉税风险，中药药渣的销售收入未缴税，形成税收风险。</w:t>
      </w:r>
    </w:p>
    <w:p w14:paraId="381DB296">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 xml:space="preserve">B.4.2 医药生产企业税务风险合规案例 </w:t>
      </w:r>
    </w:p>
    <w:p w14:paraId="665904EC">
      <w:pPr>
        <w:pStyle w:val="71"/>
        <w:numPr>
          <w:ilvl w:val="3"/>
          <w:numId w:val="0"/>
        </w:numPr>
        <w:spacing w:before="120" w:after="120"/>
      </w:pPr>
      <w:r>
        <w:rPr>
          <w:rFonts w:hint="eastAsia"/>
        </w:rPr>
        <w:t>B.4.2.1案例背景</w:t>
      </w:r>
    </w:p>
    <w:p w14:paraId="001EC92D">
      <w:pPr>
        <w:pStyle w:val="62"/>
        <w:ind w:firstLine="420"/>
        <w:rPr>
          <w:rFonts w:hint="eastAsia" w:hAnsi="宋体" w:cs="宋体"/>
        </w:rPr>
      </w:pPr>
      <w:r>
        <w:rPr>
          <w:rFonts w:hint="eastAsia" w:hAnsi="宋体" w:cs="宋体"/>
        </w:rPr>
        <w:t>乙药业企业，隶属于甲企业，成立于2000年5月1日，为中外合资经营企业，拥有自营进出口权。经营范围包括生产针剂、片剂，硬胶囊剂、颗粒剂，生物技术产品的开发。</w:t>
      </w:r>
    </w:p>
    <w:p w14:paraId="381864FE">
      <w:pPr>
        <w:pStyle w:val="71"/>
        <w:numPr>
          <w:ilvl w:val="3"/>
          <w:numId w:val="0"/>
        </w:numPr>
        <w:spacing w:before="120" w:after="120"/>
      </w:pPr>
      <w:r>
        <w:rPr>
          <w:rFonts w:hint="eastAsia"/>
        </w:rPr>
        <w:t>B.4.2.2税务合规风险分析及应对措施</w:t>
      </w:r>
    </w:p>
    <w:p w14:paraId="1AE72D1C">
      <w:pPr>
        <w:pStyle w:val="62"/>
        <w:ind w:firstLine="0" w:firstLineChars="0"/>
        <w:rPr>
          <w:rFonts w:hint="eastAsia" w:hAnsi="宋体" w:cs="宋体"/>
        </w:rPr>
      </w:pPr>
      <w:r>
        <w:rPr>
          <w:rFonts w:hint="eastAsia" w:ascii="黑体" w:hAnsi="黑体" w:eastAsia="黑体" w:cs="宋体"/>
        </w:rPr>
        <w:t>B.4.2.2.1</w:t>
      </w:r>
      <w:r>
        <w:rPr>
          <w:rFonts w:hint="eastAsia" w:hAnsi="宋体" w:cs="宋体"/>
        </w:rPr>
        <w:t xml:space="preserve"> 购进货物、劳务、服务等用于增值税免税项目，所对应的已抵扣进项税额未作转出。</w:t>
      </w:r>
    </w:p>
    <w:p w14:paraId="31BA3BF4">
      <w:pPr>
        <w:pStyle w:val="62"/>
        <w:ind w:firstLine="0" w:firstLineChars="0"/>
        <w:rPr>
          <w:rFonts w:hint="eastAsia" w:hAnsi="宋体" w:cs="宋体"/>
        </w:rPr>
      </w:pPr>
      <w:r>
        <w:rPr>
          <w:rFonts w:hint="eastAsia" w:hAnsi="宋体" w:cs="宋体"/>
        </w:rPr>
        <w:t>该单位为外单位提供购买材料、电费、煤气等用于免税劳务时的消费，其进项税额已抵扣，应转未转出。</w:t>
      </w:r>
    </w:p>
    <w:p w14:paraId="509ABCA2">
      <w:pPr>
        <w:pStyle w:val="62"/>
        <w:ind w:firstLine="0" w:firstLineChars="0"/>
        <w:rPr>
          <w:rFonts w:hint="eastAsia" w:hAnsi="宋体" w:cs="宋体"/>
        </w:rPr>
      </w:pPr>
      <w:r>
        <w:rPr>
          <w:rFonts w:hint="eastAsia" w:ascii="黑体" w:hAnsi="黑体" w:eastAsia="黑体" w:cs="宋体"/>
        </w:rPr>
        <w:t>B.4.2.2.2</w:t>
      </w:r>
      <w:r>
        <w:rPr>
          <w:rFonts w:hint="eastAsia" w:hAnsi="宋体" w:cs="宋体"/>
        </w:rPr>
        <w:t xml:space="preserve"> 已实现的收入长期挂往来款项或置于账外而不确认收入的情况。</w:t>
      </w:r>
    </w:p>
    <w:p w14:paraId="5B436725">
      <w:pPr>
        <w:pStyle w:val="62"/>
        <w:ind w:firstLine="0" w:firstLineChars="0"/>
        <w:rPr>
          <w:rFonts w:hint="eastAsia" w:hAnsi="宋体" w:cs="宋体"/>
        </w:rPr>
      </w:pPr>
      <w:r>
        <w:rPr>
          <w:rFonts w:hint="eastAsia" w:hAnsi="宋体" w:cs="宋体"/>
        </w:rPr>
        <w:t>2023年年末“预收账款”科目贷方余额为382万元，贷方余额较大，存在未、未计提销项税额、少缴增值税符合增值税纳税义务确认条件的可能。</w:t>
      </w:r>
    </w:p>
    <w:p w14:paraId="43D8DD8B">
      <w:pPr>
        <w:pStyle w:val="62"/>
        <w:ind w:firstLine="0" w:firstLineChars="0"/>
        <w:rPr>
          <w:rFonts w:hint="eastAsia" w:hAnsi="宋体" w:cs="宋体"/>
        </w:rPr>
      </w:pPr>
      <w:r>
        <w:rPr>
          <w:rFonts w:hint="eastAsia" w:ascii="黑体" w:hAnsi="黑体" w:eastAsia="黑体" w:cs="宋体"/>
        </w:rPr>
        <w:t>B.4.2.2.3</w:t>
      </w:r>
      <w:r>
        <w:rPr>
          <w:rFonts w:hint="eastAsia" w:hAnsi="宋体" w:cs="宋体"/>
        </w:rPr>
        <w:t xml:space="preserve"> 不符合商品折扣情形，不按规定开具发票，违规冲减销售额。</w:t>
      </w:r>
    </w:p>
    <w:p w14:paraId="71B7F4EF">
      <w:pPr>
        <w:pStyle w:val="62"/>
        <w:ind w:firstLine="0" w:firstLineChars="0"/>
        <w:rPr>
          <w:rFonts w:hint="eastAsia" w:hAnsi="宋体" w:cs="宋体"/>
        </w:rPr>
      </w:pPr>
      <w:r>
        <w:rPr>
          <w:rFonts w:hint="eastAsia" w:hAnsi="宋体" w:cs="宋体"/>
        </w:rPr>
        <w:t>2021年电子账中的“产品销售收入”科目，摘要记录了销售产品和折扣比例从10%到80%不等，折扣比例较高，存在销售折扣业务不实、违规冲减销额、少计销项税等可能。</w:t>
      </w:r>
    </w:p>
    <w:p w14:paraId="393C740E">
      <w:pPr>
        <w:pStyle w:val="62"/>
        <w:ind w:firstLine="0" w:firstLineChars="0"/>
        <w:rPr>
          <w:rFonts w:hint="eastAsia" w:hAnsi="宋体" w:cs="宋体"/>
        </w:rPr>
      </w:pPr>
      <w:r>
        <w:rPr>
          <w:rFonts w:hint="eastAsia" w:ascii="黑体" w:hAnsi="黑体" w:eastAsia="黑体" w:cs="宋体"/>
        </w:rPr>
        <w:t>B.4.2.2.4</w:t>
      </w:r>
      <w:r>
        <w:rPr>
          <w:rFonts w:hint="eastAsia" w:hAnsi="宋体" w:cs="宋体"/>
        </w:rPr>
        <w:t xml:space="preserve"> 不符合高新技术企业认定条件享受高新技术企业优惠政策、超范围列支多次列支残疾人工资并加计扣除。</w:t>
      </w:r>
    </w:p>
    <w:p w14:paraId="5F3D010B">
      <w:pPr>
        <w:pStyle w:val="62"/>
        <w:ind w:firstLine="0" w:firstLineChars="0"/>
        <w:rPr>
          <w:rFonts w:hint="eastAsia" w:hAnsi="宋体" w:cs="宋体"/>
        </w:rPr>
      </w:pPr>
      <w:r>
        <w:rPr>
          <w:rFonts w:hint="eastAsia" w:hAnsi="宋体" w:cs="宋体"/>
        </w:rPr>
        <w:t>研发费用增长较快，未申报高新技术企业可能存在，而多为研发费用列支。</w:t>
      </w:r>
    </w:p>
    <w:p w14:paraId="425DF988">
      <w:pPr>
        <w:pStyle w:val="62"/>
        <w:ind w:firstLine="0" w:firstLineChars="0"/>
        <w:rPr>
          <w:rFonts w:hint="eastAsia" w:hAnsi="宋体" w:cs="宋体"/>
        </w:rPr>
      </w:pPr>
      <w:r>
        <w:rPr>
          <w:rFonts w:hint="eastAsia" w:ascii="黑体" w:hAnsi="黑体" w:eastAsia="黑体" w:cs="宋体"/>
        </w:rPr>
        <w:t>B.4.2.2.5</w:t>
      </w:r>
      <w:r>
        <w:rPr>
          <w:rFonts w:hint="eastAsia" w:hAnsi="宋体" w:cs="宋体"/>
        </w:rPr>
        <w:t xml:space="preserve"> 违规列支会务费、业务宣传费。若发生的会务费、业务宣传费金额和比例较大，可能存在给医药销售企业返利、医药代表提成、给医院好处费等形式，可以组织终端客户（卫生院、小诊所）召开产品推广会、医院医生召开座谈会、药店开展促销活动发放礼品、多列会务费和业务宣传费、企业所得税税前扣除增加销售费用等问题。</w:t>
      </w:r>
    </w:p>
    <w:p w14:paraId="2A3ABDE2">
      <w:pPr>
        <w:pStyle w:val="62"/>
        <w:ind w:firstLine="0" w:firstLineChars="0"/>
        <w:rPr>
          <w:rFonts w:hint="eastAsia" w:hAnsi="宋体" w:cs="宋体"/>
        </w:rPr>
      </w:pPr>
      <w:r>
        <w:rPr>
          <w:rFonts w:hint="eastAsia" w:ascii="黑体" w:hAnsi="黑体" w:eastAsia="黑体" w:cs="宋体"/>
        </w:rPr>
        <w:t>B.4.2.2.6</w:t>
      </w:r>
      <w:r>
        <w:rPr>
          <w:rFonts w:hint="eastAsia" w:hAnsi="宋体" w:cs="宋体"/>
        </w:rPr>
        <w:t xml:space="preserve"> 不符合不征税收入条件，按照不征税收入处理，未做纳税调整。例如：企业于2022年获得省财政厅现代物流业均衡转移支付资金650万元，专项用于现代物流业项目建设，无专项资金管理具体管理要求。2023年从科技局获得科研经费170万元，用于完成其与科学技术局签订的《医疗行业物资流通管理信息系统开发》课题，此项收入无资金拨付文件、无专项资金管理具体管理要求，可能不征税收入条件。</w:t>
      </w:r>
    </w:p>
    <w:p w14:paraId="2A935B06">
      <w:pPr>
        <w:pStyle w:val="62"/>
        <w:ind w:firstLine="0" w:firstLineChars="0"/>
        <w:rPr>
          <w:rFonts w:hint="eastAsia" w:hAnsi="宋体" w:cs="宋体"/>
        </w:rPr>
      </w:pPr>
      <w:r>
        <w:rPr>
          <w:rFonts w:hint="eastAsia" w:ascii="黑体" w:hAnsi="黑体" w:eastAsia="黑体" w:cs="宋体"/>
        </w:rPr>
        <w:t>B.4.2.2.7</w:t>
      </w:r>
      <w:r>
        <w:rPr>
          <w:rFonts w:hint="eastAsia" w:hAnsi="宋体" w:cs="宋体"/>
        </w:rPr>
        <w:t xml:space="preserve"> 借款给集团内关联企业使用，未按独立交易原则确认利息收入。</w:t>
      </w:r>
    </w:p>
    <w:p w14:paraId="7217B970">
      <w:pPr>
        <w:pStyle w:val="62"/>
        <w:ind w:firstLine="420"/>
        <w:rPr>
          <w:rFonts w:hint="eastAsia" w:hAnsi="宋体" w:cs="宋体"/>
        </w:rPr>
      </w:pPr>
      <w:r>
        <w:rPr>
          <w:rFonts w:hint="eastAsia" w:hAnsi="宋体" w:cs="宋体"/>
        </w:rPr>
        <w:t>企业账套显示“其他应付款――G关联单位”借方发生额23万元，“财务费用一利息收入”贷方发生额167万元，均为企业的存款利息。可能存在未按独立企业交易原则确认利息收入而向集团内关联企业借款的情况。</w:t>
      </w:r>
    </w:p>
    <w:p w14:paraId="1331E9BD">
      <w:pPr>
        <w:pStyle w:val="62"/>
        <w:ind w:firstLine="0" w:firstLineChars="0"/>
        <w:rPr>
          <w:rFonts w:hint="eastAsia" w:hAnsi="宋体" w:cs="宋体"/>
        </w:rPr>
      </w:pPr>
      <w:r>
        <w:rPr>
          <w:rFonts w:hint="eastAsia" w:ascii="黑体" w:hAnsi="黑体" w:eastAsia="黑体" w:cs="宋体"/>
        </w:rPr>
        <w:t>B.4.2.2.8</w:t>
      </w:r>
      <w:r>
        <w:rPr>
          <w:rFonts w:hint="eastAsia" w:hAnsi="宋体" w:cs="宋体"/>
        </w:rPr>
        <w:t xml:space="preserve"> 组织免费旅游所发生的费用未按规定代扣代缴个人所得税。例如：企业“福利费”科目列支“旅游费”6.6万元，未见“个人所得税”科目对应扣税情况，可能少计个人所得税。</w:t>
      </w:r>
    </w:p>
    <w:p w14:paraId="7CE0A86F">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B.4.3 医药生产企业税务合规管理措施</w:t>
      </w:r>
    </w:p>
    <w:p w14:paraId="51AAB40B">
      <w:pPr>
        <w:pStyle w:val="62"/>
        <w:ind w:firstLine="0" w:firstLineChars="0"/>
        <w:rPr>
          <w:rFonts w:hint="eastAsia" w:hAnsi="宋体" w:cs="宋体"/>
        </w:rPr>
      </w:pPr>
      <w:r>
        <w:rPr>
          <w:rFonts w:hint="eastAsia" w:ascii="黑体" w:hAnsi="黑体" w:eastAsia="黑体" w:cs="宋体"/>
        </w:rPr>
        <w:t>B.4.3.1</w:t>
      </w:r>
      <w:r>
        <w:rPr>
          <w:rFonts w:hint="eastAsia" w:hAnsi="宋体" w:cs="宋体"/>
        </w:rPr>
        <w:t xml:space="preserve"> 成立专门的税收合规小组，负责对所有税收政策和程序进行审核，确保其符合最新的税收法规；定期更新税收政策，以反映税法变化，尤其是研发费用、药品销售等方面的有关税收优惠政策。</w:t>
      </w:r>
    </w:p>
    <w:p w14:paraId="1CC9DE71">
      <w:pPr>
        <w:pStyle w:val="62"/>
        <w:ind w:firstLine="0" w:firstLineChars="0"/>
        <w:rPr>
          <w:rFonts w:hint="eastAsia" w:hAnsi="宋体" w:cs="宋体"/>
        </w:rPr>
      </w:pPr>
      <w:r>
        <w:rPr>
          <w:rFonts w:hint="eastAsia" w:ascii="黑体" w:hAnsi="黑体" w:eastAsia="黑体" w:cs="宋体"/>
        </w:rPr>
        <w:t>B.4.3.2</w:t>
      </w:r>
      <w:r>
        <w:rPr>
          <w:rFonts w:hint="eastAsia" w:hAnsi="宋体" w:cs="宋体"/>
        </w:rPr>
        <w:t xml:space="preserve"> 财务及销售团队进行税收合规培训，确保员工对相关税收法规及企业政策的了解，开展增强税收遵从意识活动，强调遵从的重要性和违规行为可能带来的法律和财务风险。</w:t>
      </w:r>
    </w:p>
    <w:p w14:paraId="076763BB">
      <w:pPr>
        <w:pStyle w:val="62"/>
        <w:ind w:firstLine="0" w:firstLineChars="0"/>
        <w:rPr>
          <w:rFonts w:hint="eastAsia" w:hAnsi="宋体" w:cs="宋体"/>
        </w:rPr>
      </w:pPr>
      <w:r>
        <w:rPr>
          <w:rFonts w:hint="eastAsia" w:ascii="黑体" w:hAnsi="黑体" w:eastAsia="黑体" w:cs="宋体"/>
        </w:rPr>
        <w:t>B.4.3.3</w:t>
      </w:r>
      <w:r>
        <w:rPr>
          <w:rFonts w:hint="eastAsia" w:hAnsi="宋体" w:cs="宋体"/>
        </w:rPr>
        <w:t xml:space="preserve"> 建立完善的财务数据管理系统，确保所有交易记录、发票和税务申报表的准确性和完整性，定期备份、复核财务数据，防止资料丢失或差错。</w:t>
      </w:r>
    </w:p>
    <w:p w14:paraId="2469A5C6">
      <w:pPr>
        <w:pStyle w:val="62"/>
        <w:ind w:firstLine="0" w:firstLineChars="0"/>
        <w:rPr>
          <w:rFonts w:hint="eastAsia" w:hAnsi="宋体" w:cs="宋体"/>
        </w:rPr>
      </w:pPr>
      <w:r>
        <w:rPr>
          <w:rFonts w:hint="eastAsia" w:ascii="黑体" w:hAnsi="黑体" w:eastAsia="黑体" w:cs="宋体"/>
        </w:rPr>
        <w:t>B.4.3.4</w:t>
      </w:r>
      <w:r>
        <w:rPr>
          <w:rFonts w:hint="eastAsia" w:hAnsi="宋体" w:cs="宋体"/>
        </w:rPr>
        <w:t xml:space="preserve"> 定期进行内部审计，评估税收遵从的有效性，发现潜在的改进的机会，针对发现的问题及时采取纠正措施，防止出现合规问题。</w:t>
      </w:r>
    </w:p>
    <w:p w14:paraId="0409502F">
      <w:pPr>
        <w:pStyle w:val="62"/>
        <w:ind w:firstLine="0" w:firstLineChars="0"/>
        <w:rPr>
          <w:rFonts w:hint="eastAsia" w:hAnsi="宋体" w:cs="宋体"/>
        </w:rPr>
      </w:pPr>
      <w:r>
        <w:rPr>
          <w:rFonts w:hint="eastAsia" w:ascii="黑体" w:hAnsi="黑体" w:eastAsia="黑体" w:cs="宋体"/>
        </w:rPr>
        <w:t>B.4.3.5</w:t>
      </w:r>
      <w:r>
        <w:rPr>
          <w:rFonts w:hint="eastAsia" w:hAnsi="宋体" w:cs="宋体"/>
        </w:rPr>
        <w:t xml:space="preserve"> 主动与税务机关保持沟通，及时咨询税收问题，保证企业在纳税申报、缴纳等环节的透明，税务稽核期间，积极配合税务机关的稽查工作，提供所需文书资料。</w:t>
      </w:r>
    </w:p>
    <w:p w14:paraId="7455D7D7">
      <w:pPr>
        <w:pStyle w:val="62"/>
        <w:ind w:firstLine="0" w:firstLineChars="0"/>
        <w:rPr>
          <w:rFonts w:hint="eastAsia" w:hAnsi="宋体" w:cs="宋体"/>
        </w:rPr>
      </w:pPr>
      <w:r>
        <w:rPr>
          <w:rFonts w:hint="eastAsia" w:ascii="黑体" w:hAnsi="黑体" w:eastAsia="黑体" w:cs="宋体"/>
        </w:rPr>
        <w:t>B.4.3.6</w:t>
      </w:r>
      <w:r>
        <w:rPr>
          <w:rFonts w:hint="eastAsia" w:hAnsi="宋体" w:cs="宋体"/>
        </w:rPr>
        <w:t xml:space="preserve"> 认真完成税务审计工作，在规避潜在罚款和法律责任的同时，通过合规的税收策略也享受了一定的税收优惠。</w:t>
      </w:r>
    </w:p>
    <w:p w14:paraId="1C4638DC">
      <w:pPr>
        <w:pStyle w:val="62"/>
        <w:ind w:firstLine="0" w:firstLineChars="0"/>
        <w:rPr>
          <w:rFonts w:hint="eastAsia" w:hAnsi="宋体" w:cs="宋体"/>
        </w:rPr>
      </w:pPr>
      <w:r>
        <w:rPr>
          <w:rFonts w:hint="eastAsia" w:ascii="黑体" w:hAnsi="黑体" w:eastAsia="黑体" w:cs="宋体"/>
        </w:rPr>
        <w:t>B.4.3.7</w:t>
      </w:r>
      <w:r>
        <w:rPr>
          <w:rFonts w:hint="eastAsia" w:hAnsi="宋体" w:cs="宋体"/>
        </w:rPr>
        <w:t xml:space="preserve"> 提升员工纳税遵章守纪意识，增强整体财务管理水平的规范性。</w:t>
      </w:r>
    </w:p>
    <w:p w14:paraId="4D001D2C">
      <w:pPr>
        <w:pStyle w:val="62"/>
        <w:spacing w:before="240" w:beforeLines="100" w:after="240" w:afterLines="100"/>
        <w:ind w:firstLine="0" w:firstLineChars="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B.5 汽车经销经销商税务合规管理</w:t>
      </w:r>
    </w:p>
    <w:p w14:paraId="186C053E">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B.5.1 汽车经销经销商的行业税收风险点</w:t>
      </w:r>
    </w:p>
    <w:p w14:paraId="0311D05A">
      <w:pPr>
        <w:pStyle w:val="62"/>
        <w:ind w:firstLine="0" w:firstLineChars="0"/>
        <w:rPr>
          <w:rFonts w:hint="eastAsia" w:hAnsi="宋体" w:cs="宋体"/>
        </w:rPr>
      </w:pPr>
      <w:r>
        <w:rPr>
          <w:rFonts w:hint="eastAsia" w:ascii="黑体" w:hAnsi="黑体" w:eastAsia="黑体" w:cs="宋体"/>
        </w:rPr>
        <w:t>B.5.1.1</w:t>
      </w:r>
      <w:r>
        <w:rPr>
          <w:rFonts w:hint="eastAsia" w:hAnsi="宋体" w:cs="宋体"/>
        </w:rPr>
        <w:t xml:space="preserve"> 行业税负、毛利率明显偏低存在涉税风险。经销商在市场竞争中利润低、成本高，若销售价低于进货价，面临税务风险，税务机关可核定销售价，重算增值税和企业所得税，致企业补缴税款、滞纳金及罚款，增税务负担，经销商定价应考虑税务合规，确保价格合理，防税务稽查风险。</w:t>
      </w:r>
    </w:p>
    <w:p w14:paraId="5D72C258">
      <w:pPr>
        <w:pStyle w:val="62"/>
        <w:ind w:firstLine="0" w:firstLineChars="0"/>
        <w:rPr>
          <w:rFonts w:hint="eastAsia" w:hAnsi="宋体" w:cs="宋体"/>
        </w:rPr>
      </w:pPr>
      <w:r>
        <w:rPr>
          <w:rFonts w:hint="eastAsia" w:ascii="黑体" w:hAnsi="黑体" w:eastAsia="黑体" w:cs="宋体"/>
        </w:rPr>
        <w:t>B.5.1.2</w:t>
      </w:r>
      <w:r>
        <w:rPr>
          <w:rFonts w:hint="eastAsia" w:hAnsi="宋体" w:cs="宋体"/>
        </w:rPr>
        <w:t xml:space="preserve"> 取得各种返利不按规定计税风险。返利有现金、实物、折扣冲减成本等形式。经销商常见问题：</w:t>
      </w:r>
    </w:p>
    <w:p w14:paraId="169685E9">
      <w:pPr>
        <w:pStyle w:val="137"/>
        <w:rPr>
          <w:rFonts w:hint="eastAsia" w:hAnsi="宋体" w:cs="宋体"/>
        </w:rPr>
      </w:pPr>
      <w:r>
        <w:rPr>
          <w:rFonts w:hint="eastAsia" w:hAnsi="宋体" w:cs="宋体"/>
        </w:rPr>
        <w:t>现金或实物返利入账却未冲减进项税额；</w:t>
      </w:r>
    </w:p>
    <w:p w14:paraId="279C0141">
      <w:pPr>
        <w:pStyle w:val="137"/>
        <w:rPr>
          <w:rFonts w:hint="eastAsia" w:hAnsi="宋体" w:cs="宋体"/>
        </w:rPr>
      </w:pPr>
      <w:r>
        <w:rPr>
          <w:rFonts w:hint="eastAsia" w:hAnsi="宋体" w:cs="宋体"/>
        </w:rPr>
        <w:t>返利入账却按营业税项目申报错误缴纳税款，未适用增值税政策；</w:t>
      </w:r>
    </w:p>
    <w:p w14:paraId="26E8EAA3">
      <w:pPr>
        <w:pStyle w:val="137"/>
        <w:rPr>
          <w:rFonts w:hint="eastAsia" w:hAnsi="宋体" w:cs="宋体"/>
        </w:rPr>
      </w:pPr>
      <w:r>
        <w:rPr>
          <w:rFonts w:hint="eastAsia" w:hAnsi="宋体" w:cs="宋体"/>
        </w:rPr>
        <w:t>部分返利直接由厂家划转至经销商的个人银行卡，未入账核算，形成隐瞒收入和账外循环；</w:t>
      </w:r>
    </w:p>
    <w:p w14:paraId="507E48C1">
      <w:pPr>
        <w:pStyle w:val="62"/>
        <w:ind w:firstLine="420"/>
        <w:rPr>
          <w:rFonts w:hint="eastAsia" w:hAnsi="宋体" w:cs="宋体"/>
        </w:rPr>
      </w:pPr>
      <w:r>
        <w:rPr>
          <w:rFonts w:hint="eastAsia" w:hAnsi="宋体" w:cs="宋体"/>
        </w:rPr>
        <w:t>这些问题违法且易引稽查，致补税、滞纳金、罚款等后果，企业要重视返利合规处理；</w:t>
      </w:r>
    </w:p>
    <w:p w14:paraId="17B9F047">
      <w:pPr>
        <w:pStyle w:val="62"/>
        <w:ind w:firstLine="0" w:firstLineChars="0"/>
        <w:rPr>
          <w:rFonts w:hint="eastAsia" w:hAnsi="宋体" w:cs="宋体"/>
        </w:rPr>
      </w:pPr>
      <w:r>
        <w:rPr>
          <w:rFonts w:hint="eastAsia" w:ascii="黑体" w:hAnsi="黑体" w:eastAsia="黑体" w:cs="宋体"/>
        </w:rPr>
        <w:t>B.5.1.3</w:t>
      </w:r>
      <w:r>
        <w:rPr>
          <w:rFonts w:hint="eastAsia" w:hAnsi="宋体" w:cs="宋体"/>
        </w:rPr>
        <w:t xml:space="preserve"> 不及时确认收入，滞后申报纳税风险。汽车经销商存在滞后确认收入、申报纳税风险，主要包括但不限于：</w:t>
      </w:r>
    </w:p>
    <w:p w14:paraId="5343974D">
      <w:pPr>
        <w:pStyle w:val="137"/>
        <w:rPr>
          <w:rFonts w:hint="eastAsia" w:hAnsi="宋体" w:cs="宋体"/>
        </w:rPr>
      </w:pPr>
      <w:r>
        <w:rPr>
          <w:rFonts w:hint="eastAsia" w:hAnsi="宋体" w:cs="宋体"/>
        </w:rPr>
        <w:t>不按纳税义务发生时间确认收入，延迟确认本期收入至下期，如对已收全款未提车客户不开具发票，延迟确认收入；</w:t>
      </w:r>
    </w:p>
    <w:p w14:paraId="63105810">
      <w:pPr>
        <w:pStyle w:val="137"/>
        <w:rPr>
          <w:rFonts w:hint="eastAsia" w:hAnsi="宋体" w:cs="宋体"/>
        </w:rPr>
      </w:pPr>
      <w:r>
        <w:rPr>
          <w:rFonts w:hint="eastAsia" w:hAnsi="宋体" w:cs="宋体"/>
        </w:rPr>
        <w:t>为获得促销返利优惠，延迟确认收入至下月；</w:t>
      </w:r>
    </w:p>
    <w:p w14:paraId="050F37A8">
      <w:pPr>
        <w:pStyle w:val="137"/>
        <w:rPr>
          <w:rFonts w:hint="eastAsia" w:hAnsi="宋体" w:cs="宋体"/>
        </w:rPr>
      </w:pPr>
      <w:r>
        <w:rPr>
          <w:rFonts w:hint="eastAsia" w:hAnsi="宋体" w:cs="宋体"/>
        </w:rPr>
        <w:t>对已开票车主开具红字发票冲销，延迟缴税，属偷税行为；</w:t>
      </w:r>
    </w:p>
    <w:p w14:paraId="33D6D357">
      <w:pPr>
        <w:pStyle w:val="137"/>
        <w:rPr>
          <w:rFonts w:hint="eastAsia" w:hAnsi="宋体" w:cs="宋体"/>
        </w:rPr>
      </w:pPr>
      <w:r>
        <w:rPr>
          <w:rFonts w:hint="eastAsia" w:hAnsi="宋体" w:cs="宋体"/>
        </w:rPr>
        <w:t>维修业务中，因车主不索要发票，经销商易私卡收款偷逃税款。</w:t>
      </w:r>
    </w:p>
    <w:p w14:paraId="537689FE">
      <w:pPr>
        <w:pStyle w:val="62"/>
        <w:ind w:firstLine="0" w:firstLineChars="0"/>
        <w:rPr>
          <w:rFonts w:hint="eastAsia" w:hAnsi="宋体" w:cs="宋体"/>
        </w:rPr>
      </w:pPr>
      <w:r>
        <w:rPr>
          <w:rFonts w:hint="eastAsia" w:ascii="黑体" w:hAnsi="黑体" w:eastAsia="黑体" w:cs="宋体"/>
        </w:rPr>
        <w:t>B.5.1.4</w:t>
      </w:r>
      <w:r>
        <w:rPr>
          <w:rFonts w:hint="eastAsia" w:hAnsi="宋体" w:cs="宋体"/>
        </w:rPr>
        <w:t xml:space="preserve"> 价外收费视同销售风险。经销商收取的加价费、出库费、服务费等价外费用应征缴增值税，但常由经销商未按规定缴纳及计入增值税收入。</w:t>
      </w:r>
    </w:p>
    <w:p w14:paraId="0598C9DE">
      <w:pPr>
        <w:pStyle w:val="62"/>
        <w:ind w:firstLine="0" w:firstLineChars="0"/>
        <w:rPr>
          <w:rFonts w:hint="eastAsia" w:hAnsi="宋体" w:cs="宋体"/>
        </w:rPr>
      </w:pPr>
      <w:r>
        <w:rPr>
          <w:rFonts w:hint="eastAsia" w:ascii="黑体" w:hAnsi="黑体" w:eastAsia="黑体" w:cs="宋体"/>
        </w:rPr>
        <w:t>B.5.1.5</w:t>
      </w:r>
      <w:r>
        <w:rPr>
          <w:rFonts w:hint="eastAsia" w:hAnsi="宋体" w:cs="宋体"/>
        </w:rPr>
        <w:t xml:space="preserve"> 赠送精品视同销售风险。经销商常随车赠送脚垫、贴膜等装饰品，应视同销售处理，但多未正确开票，直接计入成本。根据消费税相关法规和总局12366备答的规定，超豪华车（不含税零售价超130万元）零售环节需征额外消费税，相关全部价款和价外费用，包括精品、配饰、服务等收费，均应计入销售额征税。</w:t>
      </w:r>
    </w:p>
    <w:p w14:paraId="5184EF09">
      <w:pPr>
        <w:pStyle w:val="62"/>
        <w:ind w:firstLine="0" w:firstLineChars="0"/>
        <w:rPr>
          <w:rFonts w:hint="eastAsia" w:hAnsi="宋体" w:cs="宋体"/>
        </w:rPr>
      </w:pPr>
      <w:r>
        <w:rPr>
          <w:rFonts w:hint="eastAsia" w:ascii="黑体" w:hAnsi="黑体" w:eastAsia="黑体" w:cs="宋体"/>
        </w:rPr>
        <w:t>B.5.1.6</w:t>
      </w:r>
      <w:r>
        <w:rPr>
          <w:rFonts w:hint="eastAsia" w:hAnsi="宋体" w:cs="宋体"/>
        </w:rPr>
        <w:t xml:space="preserve"> 商品车移送省外视同销售风险。经销商常因车辆已销售但未及时申报收入而账实不符，常见原因包括外地展销、试驾、车辆在途或已提票未开票等，部分车辆实则已售，如销售给外地二级经销商且车辆已运至省外，依增值税法规，应视同销售并申报增值税。但部分企业未按规定处理，致销售收入未入账、增值税未申报，引发税务风险，企业需重视库存与收入匹配及合规管理。</w:t>
      </w:r>
    </w:p>
    <w:p w14:paraId="73D31E9B">
      <w:pPr>
        <w:pStyle w:val="62"/>
        <w:ind w:firstLine="0" w:firstLineChars="0"/>
        <w:rPr>
          <w:rFonts w:hint="eastAsia" w:hAnsi="宋体" w:cs="宋体"/>
        </w:rPr>
      </w:pPr>
      <w:r>
        <w:rPr>
          <w:rFonts w:hint="eastAsia" w:ascii="黑体" w:hAnsi="黑体" w:eastAsia="黑体" w:cs="宋体"/>
        </w:rPr>
        <w:t>B.5.1.7</w:t>
      </w:r>
      <w:r>
        <w:rPr>
          <w:rFonts w:hint="eastAsia" w:hAnsi="宋体" w:cs="宋体"/>
        </w:rPr>
        <w:t xml:space="preserve"> 关联交易定价风险。同品牌经销商间常平价调拨车辆和配件，未依照独立交易原则定价，存税务合规风险。关联经销商之间维修服务未按照独立交易原则定价收费，也会导致收入与成本分配不合理。资金管理上，部分经销商设资金池，实行资金归集后在同一拨付，但各企业资金成本与盈亏差异大，易致费用转移、利润转移等违规行为，易构成侵蚀税基和转移税负的违法行为，被查后面临重罚及信用降级，故经销商需依独立交易原则规范定价和资金管理。</w:t>
      </w:r>
    </w:p>
    <w:p w14:paraId="054A278F">
      <w:pPr>
        <w:pStyle w:val="62"/>
        <w:ind w:firstLine="0" w:firstLineChars="0"/>
        <w:rPr>
          <w:rFonts w:hint="eastAsia" w:hAnsi="宋体" w:cs="宋体"/>
        </w:rPr>
      </w:pPr>
      <w:r>
        <w:rPr>
          <w:rFonts w:hint="eastAsia" w:ascii="黑体" w:hAnsi="黑体" w:eastAsia="黑体" w:cs="宋体"/>
        </w:rPr>
        <w:t>B.5.1.8</w:t>
      </w:r>
      <w:r>
        <w:rPr>
          <w:rFonts w:hint="eastAsia" w:hAnsi="宋体" w:cs="宋体"/>
        </w:rPr>
        <w:t xml:space="preserve"> 二手车交易定价风险。二手车定价因车况差异大而缺乏透明度，没有统一的定价规范致交易存灰色地带。部分经销商用私人账户收款隐匿利润，违反税法并存在多税种少报漏缴风险。处置二手车时，增值税处理依进项税抵扣情况分，若已抵扣13%的车辆在处置时按13%算销项税，未抵扣的车辆可实行简易计税按3%或减按2%征税。企业要严格区分抵扣情况，保管好购车发票等凭证，防范税务风险。</w:t>
      </w:r>
    </w:p>
    <w:p w14:paraId="08DC472F">
      <w:pPr>
        <w:pStyle w:val="62"/>
        <w:ind w:firstLine="0" w:firstLineChars="0"/>
        <w:rPr>
          <w:rFonts w:hint="eastAsia" w:hAnsi="宋体" w:cs="宋体"/>
        </w:rPr>
      </w:pPr>
      <w:r>
        <w:rPr>
          <w:rFonts w:hint="eastAsia" w:ascii="黑体" w:hAnsi="黑体" w:eastAsia="黑体" w:cs="宋体"/>
        </w:rPr>
        <w:t>B.5.1.9</w:t>
      </w:r>
      <w:r>
        <w:rPr>
          <w:rFonts w:hint="eastAsia" w:hAnsi="宋体" w:cs="宋体"/>
        </w:rPr>
        <w:t xml:space="preserve"> 收取大额现金涉税风险。企业收大额现金易致收入未及时完整入账，引发增值税、企业所得税、个人所得税等少报漏缴风险，且交易不透明易引发稽查及反洗钱监管风险。企业应依税法合规交易，确保收入真实完整入账。</w:t>
      </w:r>
    </w:p>
    <w:p w14:paraId="05A38C54">
      <w:pPr>
        <w:pStyle w:val="62"/>
        <w:ind w:firstLine="0" w:firstLineChars="0"/>
        <w:rPr>
          <w:rFonts w:hint="eastAsia" w:hAnsi="宋体" w:cs="宋体"/>
        </w:rPr>
      </w:pPr>
      <w:r>
        <w:rPr>
          <w:rFonts w:hint="eastAsia" w:ascii="黑体" w:hAnsi="黑体" w:eastAsia="黑体" w:cs="宋体"/>
        </w:rPr>
        <w:t>B.5.1.10</w:t>
      </w:r>
      <w:r>
        <w:rPr>
          <w:rFonts w:hint="eastAsia" w:hAnsi="宋体" w:cs="宋体"/>
        </w:rPr>
        <w:t xml:space="preserve"> 赠送维修基金视同销售税务风险。企业为吸引客户赠送维修基金，依税法可能被认定为视同销售，需依法缴税。具体涉及税务风险包括：</w:t>
      </w:r>
    </w:p>
    <w:p w14:paraId="6E4B131B">
      <w:pPr>
        <w:pStyle w:val="137"/>
        <w:rPr>
          <w:rFonts w:hint="eastAsia" w:hAnsi="宋体" w:cs="宋体"/>
        </w:rPr>
      </w:pPr>
      <w:r>
        <w:rPr>
          <w:rFonts w:hint="eastAsia" w:hAnsi="宋体" w:cs="宋体"/>
        </w:rPr>
        <w:t>增值税风险。企业无偿赠送货物或服务，依增值税法规需按市场公允价值计销项税额，未申报增值税的，可能被税务机关要求补缴税款及滞纳金、罚款；</w:t>
      </w:r>
    </w:p>
    <w:p w14:paraId="5128F389">
      <w:pPr>
        <w:pStyle w:val="137"/>
        <w:rPr>
          <w:rFonts w:hint="eastAsia" w:hAnsi="宋体" w:cs="宋体"/>
        </w:rPr>
      </w:pPr>
      <w:r>
        <w:rPr>
          <w:rFonts w:hint="eastAsia" w:hAnsi="宋体" w:cs="宋体"/>
        </w:rPr>
        <w:t>企业所得税风。赠送维修基金的支出是否能够税前扣除，需满足“与生产经营相关”的条件，如果税务机关认定该支出与企业经营无直接关联，可能会否定其税前扣除资格，从而增加企业所得税负担；</w:t>
      </w:r>
    </w:p>
    <w:p w14:paraId="2B13AB02">
      <w:pPr>
        <w:pStyle w:val="137"/>
        <w:rPr>
          <w:rFonts w:hint="eastAsia" w:hAnsi="宋体" w:cs="宋体"/>
        </w:rPr>
      </w:pPr>
      <w:r>
        <w:rPr>
          <w:rFonts w:hint="eastAsia" w:hAnsi="宋体" w:cs="宋体"/>
        </w:rPr>
        <w:t>附加税费风险。由于附加税费以增值税为计税依据，未正确申报增值税的行为也会导致附加税费的漏缴风险；</w:t>
      </w:r>
    </w:p>
    <w:p w14:paraId="2C943635">
      <w:pPr>
        <w:pStyle w:val="137"/>
        <w:rPr>
          <w:rFonts w:hint="eastAsia" w:hAnsi="宋体" w:cs="宋体"/>
        </w:rPr>
      </w:pPr>
      <w:r>
        <w:rPr>
          <w:rFonts w:hint="eastAsia" w:hAnsi="宋体" w:cs="宋体"/>
        </w:rPr>
        <w:t>合规性风。如果企业未能对赠送维修基金的行为进行规范化处理，可能引发税务稽查，甚至影响企业的税务信用评级；</w:t>
      </w:r>
    </w:p>
    <w:p w14:paraId="4CF057DC">
      <w:pPr>
        <w:pStyle w:val="137"/>
        <w:rPr>
          <w:rFonts w:hint="eastAsia" w:hAnsi="宋体" w:cs="宋体"/>
        </w:rPr>
      </w:pPr>
      <w:r>
        <w:rPr>
          <w:rFonts w:hint="eastAsia" w:hAnsi="宋体" w:cs="宋体"/>
        </w:rPr>
        <w:t>费用核算不准确涉税风险。税法要求税前扣除费用需合法有效凭证，企业日常费用支出常因无合法凭证入账而存税务风险，税务机关可否决扣除，增应纳税所得额，致企业所得税补缴，还可能被认定为隐匿收入或虚列成本，引稽查风险，部分企业私卡支付或未签正式合同，无法获合规发票违税法，还可能被认定为逃税，面临滞纳金和罚款；</w:t>
      </w:r>
    </w:p>
    <w:p w14:paraId="3B676D23">
      <w:pPr>
        <w:pStyle w:val="137"/>
        <w:rPr>
          <w:rFonts w:hint="eastAsia" w:hAnsi="宋体" w:cs="宋体"/>
        </w:rPr>
      </w:pPr>
      <w:r>
        <w:rPr>
          <w:rFonts w:hint="eastAsia" w:hAnsi="宋体" w:cs="宋体"/>
        </w:rPr>
        <w:t>主体合规风险。对于限制机动车号牌的特大城市限牌下，企业应规范资金流转和责任划分，避免购买人和交款人不一致的涉税风险，签署资金垫付证明明确责任义务，确保法律效力，规避税务争议，提供完整财务税务凭证，便于核查管理，加强内控，确保交易合规，完善证明手续，降涉税风险，提升财务管理规范水平。</w:t>
      </w:r>
    </w:p>
    <w:p w14:paraId="09D2A5DE">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B.5.2 预警指标评估</w:t>
      </w:r>
    </w:p>
    <w:p w14:paraId="7131FA6E">
      <w:pPr>
        <w:pStyle w:val="71"/>
        <w:numPr>
          <w:ilvl w:val="255"/>
          <w:numId w:val="0"/>
        </w:numPr>
        <w:spacing w:before="120" w:after="120"/>
      </w:pPr>
      <w:r>
        <w:rPr>
          <w:rFonts w:hint="eastAsia"/>
        </w:rPr>
        <w:t>B.5.2.1 增值税税负率异常经销商评估重点</w:t>
      </w:r>
    </w:p>
    <w:p w14:paraId="2561446D">
      <w:pPr>
        <w:pStyle w:val="62"/>
        <w:ind w:firstLine="420"/>
        <w:rPr>
          <w:rFonts w:hint="eastAsia" w:hAnsi="宋体" w:cs="宋体"/>
        </w:rPr>
      </w:pPr>
      <w:r>
        <w:rPr>
          <w:rFonts w:hint="eastAsia" w:hAnsi="宋体" w:cs="宋体"/>
        </w:rPr>
        <w:t>增值税税负率属综合类分析指标，增值税税负率是综合分析指标，受多种因素影响，如开业时间、减免税、出口退税、政策环境、经销品牌和业务构成等。因此，该指标异常时，应结合其它指标异常情况和其它评估方法进行多角度分析。</w:t>
      </w:r>
    </w:p>
    <w:p w14:paraId="1F8AC3D2">
      <w:pPr>
        <w:pStyle w:val="62"/>
        <w:ind w:firstLine="0" w:firstLineChars="0"/>
        <w:rPr>
          <w:rFonts w:hint="eastAsia" w:hAnsi="宋体" w:cs="宋体"/>
        </w:rPr>
      </w:pPr>
      <w:r>
        <w:rPr>
          <w:rFonts w:hint="eastAsia" w:ascii="黑体" w:hAnsi="黑体" w:eastAsia="黑体" w:cs="宋体"/>
        </w:rPr>
        <w:t>B.5.2.1.1</w:t>
      </w:r>
      <w:r>
        <w:rPr>
          <w:rFonts w:hint="eastAsia" w:hAnsi="宋体" w:cs="宋体"/>
        </w:rPr>
        <w:t xml:space="preserve"> 结合进项税金负担率分析。增值税税负率偏低且进项税金负担率偏高的经销商，应重点核实进项税额，查有无扩大抵扣范围、骗抵或不合规申报抵扣问题。汽车经销商还需查运费、固定资产进项税抵扣及返利冲减进项税金是否合规。</w:t>
      </w:r>
    </w:p>
    <w:p w14:paraId="298707F0">
      <w:pPr>
        <w:pStyle w:val="62"/>
        <w:ind w:firstLine="0" w:firstLineChars="0"/>
        <w:rPr>
          <w:rFonts w:hint="eastAsia" w:hAnsi="宋体" w:cs="宋体"/>
        </w:rPr>
      </w:pPr>
      <w:r>
        <w:rPr>
          <w:rFonts w:hint="eastAsia" w:ascii="黑体" w:hAnsi="黑体" w:eastAsia="黑体" w:cs="宋体"/>
        </w:rPr>
        <w:t>B.5.2.1.2</w:t>
      </w:r>
      <w:r>
        <w:rPr>
          <w:rFonts w:hint="eastAsia" w:hAnsi="宋体" w:cs="宋体"/>
        </w:rPr>
        <w:t xml:space="preserve"> 结合毛利率分析。增值税税负偏低且毛利率偏高的经销商，应重点核实销项税额，查有无少计或未及时结转销售收入、混淆税种及错用税率问题。毛利率偏低的经销商需查成本是否虚高或故意隐瞒利润等。可依据毛利率推算的增值税理论税额与实际缴纳的增值税进行比对，测算经销商的应税销售收入及应纳税额是否异常。</w:t>
      </w:r>
    </w:p>
    <w:p w14:paraId="3C4841F4">
      <w:pPr>
        <w:pStyle w:val="62"/>
        <w:ind w:firstLine="0" w:firstLineChars="0"/>
        <w:rPr>
          <w:rFonts w:hint="eastAsia" w:hAnsi="宋体" w:cs="宋体"/>
        </w:rPr>
      </w:pPr>
      <w:r>
        <w:rPr>
          <w:rFonts w:hint="eastAsia" w:ascii="黑体" w:hAnsi="黑体" w:eastAsia="黑体" w:cs="宋体"/>
        </w:rPr>
        <w:t>B.5.2.1.3</w:t>
      </w:r>
      <w:r>
        <w:rPr>
          <w:rFonts w:hint="eastAsia" w:hAnsi="宋体" w:cs="宋体"/>
        </w:rPr>
        <w:t xml:space="preserve"> 结合所得税收入分析。增值税全年申报销售收入额与经销商所得税年度汇算清缴申报营业收入额差异较大的，应重点核实两者差异的原因，是否存在时间性差异、政策差异、兼营收入划分是否正确、是否存在少申报收入的问题。</w:t>
      </w:r>
    </w:p>
    <w:p w14:paraId="3B16F739">
      <w:pPr>
        <w:pStyle w:val="62"/>
        <w:ind w:firstLine="0" w:firstLineChars="0"/>
        <w:rPr>
          <w:rFonts w:hint="eastAsia" w:hAnsi="宋体" w:cs="宋体"/>
        </w:rPr>
      </w:pPr>
      <w:r>
        <w:rPr>
          <w:rFonts w:hint="eastAsia" w:ascii="黑体" w:hAnsi="黑体" w:eastAsia="黑体" w:cs="宋体"/>
        </w:rPr>
        <w:t>B.5.2.1.4</w:t>
      </w:r>
      <w:r>
        <w:rPr>
          <w:rFonts w:hint="eastAsia" w:hAnsi="宋体" w:cs="宋体"/>
        </w:rPr>
        <w:t xml:space="preserve"> 结合工时（工资）耗用分析。基于单位产品耗用工时（工资）基本确定，按耗用工时（工资）总量测算销售数量或销售额，与申报信息对比。汽车经销商可依销售人员工资推算整车销售收入，若推算收入大于申报增值税收入，核实有无少计或未及时结转销售收入问题</w:t>
      </w:r>
    </w:p>
    <w:p w14:paraId="7B17076A">
      <w:pPr>
        <w:pStyle w:val="62"/>
        <w:ind w:firstLine="0" w:firstLineChars="0"/>
        <w:rPr>
          <w:rFonts w:hint="eastAsia" w:hAnsi="宋体" w:cs="宋体"/>
        </w:rPr>
      </w:pPr>
      <w:r>
        <w:rPr>
          <w:rFonts w:hint="eastAsia" w:ascii="黑体" w:hAnsi="黑体" w:eastAsia="黑体" w:cs="宋体"/>
        </w:rPr>
        <w:t>B.5.2.1.5</w:t>
      </w:r>
      <w:r>
        <w:rPr>
          <w:rFonts w:hint="eastAsia" w:hAnsi="宋体" w:cs="宋体"/>
        </w:rPr>
        <w:t xml:space="preserve"> 结合经销商现金流量分析。通过经销商现金流量表和资产负债表的相关数据推测经销商增值税销售收入，并与申报信息对比分析。将销售收入测算数与经销商申报的增值税收入进行比对，如果测算数大于经销商实际申报数，则经销商可能存在隐瞒销售收入的问题。</w:t>
      </w:r>
    </w:p>
    <w:p w14:paraId="3D84792D">
      <w:pPr>
        <w:pStyle w:val="71"/>
        <w:numPr>
          <w:ilvl w:val="3"/>
          <w:numId w:val="0"/>
        </w:numPr>
        <w:spacing w:before="120" w:after="120"/>
      </w:pPr>
      <w:r>
        <w:rPr>
          <w:rFonts w:hint="eastAsia"/>
        </w:rPr>
        <w:t>B.5.2.2 所得税贡献率异常经销商评估重点</w:t>
      </w:r>
    </w:p>
    <w:p w14:paraId="1E297D01">
      <w:pPr>
        <w:pStyle w:val="62"/>
        <w:ind w:firstLine="420"/>
      </w:pPr>
      <w:r>
        <w:rPr>
          <w:rFonts w:hint="eastAsia"/>
        </w:rPr>
        <w:t>企业所得税贡献率是综合分析指标，受开业时间、减免税、亏损弥补、总分机构汇总纳税等因素影响。经销商所得税贡献率异常时，需综合多项指标分析。</w:t>
      </w:r>
    </w:p>
    <w:p w14:paraId="38AD580B">
      <w:pPr>
        <w:pStyle w:val="62"/>
        <w:ind w:firstLine="0" w:firstLineChars="0"/>
        <w:rPr>
          <w:rFonts w:hint="eastAsia" w:hAnsi="宋体" w:cs="宋体"/>
        </w:rPr>
      </w:pPr>
      <w:r>
        <w:rPr>
          <w:rFonts w:hint="eastAsia" w:ascii="黑体" w:hAnsi="黑体" w:eastAsia="黑体" w:cs="宋体"/>
        </w:rPr>
        <w:t>B.5.2.2.1</w:t>
      </w:r>
      <w:r>
        <w:rPr>
          <w:rFonts w:hint="eastAsia" w:hAnsi="宋体" w:cs="宋体"/>
        </w:rPr>
        <w:t xml:space="preserve"> 企业所得税贡献率偏低。重点核实应纳所得税额，查有无少计收入、多列成本费用、扩大税前扣除、未按规定纳税调整等问题，结合销售毛利率和主营业务收入费用率进一步评估。</w:t>
      </w:r>
    </w:p>
    <w:p w14:paraId="6D177F2D">
      <w:pPr>
        <w:pStyle w:val="62"/>
        <w:ind w:firstLine="0" w:firstLineChars="0"/>
        <w:rPr>
          <w:rFonts w:hint="eastAsia" w:hAnsi="宋体" w:cs="宋体"/>
        </w:rPr>
      </w:pPr>
      <w:r>
        <w:rPr>
          <w:rFonts w:hint="eastAsia" w:ascii="黑体" w:hAnsi="黑体" w:eastAsia="黑体" w:cs="宋体"/>
        </w:rPr>
        <w:t>B.5.2.2.2</w:t>
      </w:r>
      <w:r>
        <w:rPr>
          <w:rFonts w:hint="eastAsia" w:hAnsi="宋体" w:cs="宋体"/>
        </w:rPr>
        <w:t xml:space="preserve"> 销售毛利率偏低。重点核实经销商有无少计收入或多计成本，核实经销商是否存在成本不实或者故意抬高成本、隐瞒利润的情况。</w:t>
      </w:r>
    </w:p>
    <w:p w14:paraId="3976D1BE">
      <w:pPr>
        <w:pStyle w:val="62"/>
        <w:ind w:firstLine="0" w:firstLineChars="0"/>
        <w:rPr>
          <w:rFonts w:hint="eastAsia" w:hAnsi="宋体" w:cs="宋体"/>
        </w:rPr>
      </w:pPr>
      <w:r>
        <w:rPr>
          <w:rFonts w:hint="eastAsia" w:ascii="黑体" w:hAnsi="黑体" w:eastAsia="黑体" w:cs="宋体"/>
        </w:rPr>
        <w:t>B.5.2.2.3</w:t>
      </w:r>
      <w:r>
        <w:rPr>
          <w:rFonts w:hint="eastAsia" w:hAnsi="宋体" w:cs="宋体"/>
        </w:rPr>
        <w:t xml:space="preserve"> 主营业务收入费用率偏高。主营业务收入费用率偏高是经销商常见的异常财务指标之一，需重点核实以下几个方面以排查潜在的税务风险：</w:t>
      </w:r>
    </w:p>
    <w:p w14:paraId="1E592B2F">
      <w:pPr>
        <w:pStyle w:val="137"/>
      </w:pPr>
      <w:r>
        <w:rPr>
          <w:rFonts w:hint="eastAsia"/>
        </w:rPr>
        <w:t>销售费用，应核实费用真实性、与收入相关性，分析费用与收入比例及变化趋势，避免虚列或夸大费用；</w:t>
      </w:r>
    </w:p>
    <w:p w14:paraId="5DDA76A6">
      <w:pPr>
        <w:pStyle w:val="137"/>
      </w:pPr>
      <w:r>
        <w:rPr>
          <w:rFonts w:hint="eastAsia"/>
        </w:rPr>
        <w:t>管理费用，应检查费用真实性、与收入相关性，注意资本性支出是否错误计入收益性支出，虚增管理费用；</w:t>
      </w:r>
    </w:p>
    <w:p w14:paraId="2106B093">
      <w:pPr>
        <w:pStyle w:val="137"/>
      </w:pPr>
      <w:r>
        <w:rPr>
          <w:rFonts w:hint="eastAsia"/>
        </w:rPr>
        <w:t>财务费用，应核实费用合法性、筹资业务真实性，利息费用是否符合税法规定比例，避免超比例扣除。</w:t>
      </w:r>
    </w:p>
    <w:p w14:paraId="18B0AAF5">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B.5.3 汽车经销经销商税务合规管理措施</w:t>
      </w:r>
    </w:p>
    <w:p w14:paraId="4C9B2B48">
      <w:pPr>
        <w:pStyle w:val="62"/>
        <w:ind w:firstLine="0" w:firstLineChars="0"/>
        <w:rPr>
          <w:rFonts w:hint="eastAsia" w:hAnsi="宋体" w:cs="宋体"/>
        </w:rPr>
      </w:pPr>
      <w:r>
        <w:rPr>
          <w:rFonts w:hint="eastAsia" w:ascii="黑体" w:hAnsi="黑体" w:eastAsia="黑体" w:cs="宋体"/>
        </w:rPr>
        <w:t>B.5.3.1</w:t>
      </w:r>
      <w:r>
        <w:rPr>
          <w:rFonts w:hint="eastAsia" w:hAnsi="宋体" w:cs="宋体"/>
        </w:rPr>
        <w:t xml:space="preserve"> 增强税务合规管理意识。税务合规是经销商稳健经营的基础，汽车零售行业作为资金密集型和政策敏感型行业，税务合规直接关系到经销商的财务健康与经营稳定。经销商应高度重视税务管理，避免因税务问题导致的经营风险。</w:t>
      </w:r>
    </w:p>
    <w:p w14:paraId="77D83E6C">
      <w:pPr>
        <w:pStyle w:val="62"/>
        <w:ind w:firstLine="0" w:firstLineChars="0"/>
        <w:rPr>
          <w:rFonts w:hint="eastAsia" w:hAnsi="宋体" w:cs="宋体"/>
        </w:rPr>
      </w:pPr>
      <w:r>
        <w:rPr>
          <w:rFonts w:hint="eastAsia" w:ascii="黑体" w:hAnsi="黑体" w:eastAsia="黑体" w:cs="宋体"/>
        </w:rPr>
        <w:t>B.5.3.2</w:t>
      </w:r>
      <w:r>
        <w:rPr>
          <w:rFonts w:hint="eastAsia" w:hAnsi="宋体" w:cs="宋体"/>
        </w:rPr>
        <w:t xml:space="preserve"> 建立完善的税务管理体系。经销商应结合行业特点，建立覆盖增值税、企业所得税、消费税等主要税种的税务管理体系，确保税务申报的准确性与合规性。</w:t>
      </w:r>
    </w:p>
    <w:p w14:paraId="3DDFAA33">
      <w:pPr>
        <w:pStyle w:val="62"/>
        <w:ind w:firstLine="0" w:firstLineChars="0"/>
        <w:rPr>
          <w:rFonts w:hint="eastAsia" w:hAnsi="宋体" w:cs="宋体"/>
        </w:rPr>
      </w:pPr>
      <w:r>
        <w:rPr>
          <w:rFonts w:hint="eastAsia" w:ascii="黑体" w:hAnsi="黑体" w:eastAsia="黑体" w:cs="宋体"/>
        </w:rPr>
        <w:t>B.5.3.3</w:t>
      </w:r>
      <w:r>
        <w:rPr>
          <w:rFonts w:hint="eastAsia" w:hAnsi="宋体" w:cs="宋体"/>
        </w:rPr>
        <w:t xml:space="preserve"> 充分利用税收优惠政策。汽车零售行业涉及多种业务模式，经销商应充分利用税收优惠政策（如小微经销商税收优惠、研发费用加计扣除等），但同时需确保申报的真实性与合规性。</w:t>
      </w:r>
    </w:p>
    <w:p w14:paraId="48912ED5">
      <w:pPr>
        <w:pStyle w:val="62"/>
        <w:ind w:firstLine="0" w:firstLineChars="0"/>
        <w:rPr>
          <w:rFonts w:hint="eastAsia" w:hAnsi="宋体" w:cs="宋体"/>
        </w:rPr>
      </w:pPr>
      <w:r>
        <w:rPr>
          <w:rFonts w:hint="eastAsia" w:ascii="黑体" w:hAnsi="黑体" w:eastAsia="黑体" w:cs="宋体"/>
        </w:rPr>
        <w:t>B.5.3.4</w:t>
      </w:r>
      <w:r>
        <w:rPr>
          <w:rFonts w:hint="eastAsia" w:hAnsi="宋体" w:cs="宋体"/>
        </w:rPr>
        <w:t xml:space="preserve"> 加强税务风险防控。经销商应定期开展税务自查，及时发现并整改潜在问题；同时，与专业税务机构合作，提升税务管理水平，降低税务稽查风险。</w:t>
      </w:r>
    </w:p>
    <w:p w14:paraId="04BE8616">
      <w:pPr>
        <w:pStyle w:val="62"/>
        <w:spacing w:before="240" w:beforeLines="100" w:after="240" w:afterLines="100"/>
        <w:ind w:firstLine="0" w:firstLineChars="0"/>
      </w:pPr>
      <w:r>
        <w:rPr>
          <w:rFonts w:hint="eastAsia" w:ascii="黑体" w:hAnsi="黑体" w:eastAsia="黑体" w:cs="黑体"/>
          <w:bCs/>
          <w:color w:val="000000" w:themeColor="text1"/>
          <w:szCs w:val="21"/>
          <w14:textFill>
            <w14:solidFill>
              <w14:schemeClr w14:val="tx1"/>
            </w14:solidFill>
          </w14:textFill>
        </w:rPr>
        <w:t>B.6 新业态下电商企业税务合规管理</w:t>
      </w:r>
    </w:p>
    <w:p w14:paraId="1C2AB244">
      <w:pPr>
        <w:pStyle w:val="137"/>
        <w:numPr>
          <w:ilvl w:val="0"/>
          <w:numId w:val="0"/>
        </w:numPr>
        <w:spacing w:before="120" w:beforeLines="50" w:after="120" w:afterLines="50"/>
        <w:rPr>
          <w:rFonts w:hint="eastAsia" w:ascii="黑体" w:hAnsi="黑体" w:eastAsia="黑体" w:cs="黑体"/>
        </w:rPr>
      </w:pPr>
      <w:r>
        <w:rPr>
          <w:rFonts w:ascii="黑体" w:hAnsi="黑体" w:eastAsia="黑体" w:cs="黑体"/>
        </w:rPr>
        <w:t>B.6.1</w:t>
      </w:r>
      <w:r>
        <w:rPr>
          <w:rFonts w:hint="eastAsia" w:ascii="黑体" w:hAnsi="黑体" w:eastAsia="黑体" w:cs="黑体"/>
        </w:rPr>
        <w:t>电商行业税收风险要点</w:t>
      </w:r>
    </w:p>
    <w:p w14:paraId="2D059DFD">
      <w:pPr>
        <w:pStyle w:val="62"/>
        <w:ind w:firstLine="0" w:firstLineChars="0"/>
      </w:pPr>
      <w:r>
        <w:rPr>
          <w:rFonts w:ascii="黑体" w:hAnsi="黑体" w:eastAsia="黑体"/>
        </w:rPr>
        <w:t>B.6.1.1</w:t>
      </w:r>
      <w:r>
        <w:rPr>
          <w:rFonts w:hint="eastAsia"/>
        </w:rPr>
        <w:t xml:space="preserve"> 销售收入隐瞒。电商企业可能通过私户收款、虚假退货、对敲购货等方式隐瞒销售收入，以规避税收监管，从而产生违法行为，甚至导致企业被税务机关追缴税款、加收滞纳金，甚至面临高额罚款或其他法律责任。</w:t>
      </w:r>
    </w:p>
    <w:p w14:paraId="4B8AD118">
      <w:pPr>
        <w:pStyle w:val="62"/>
        <w:ind w:firstLine="0" w:firstLineChars="0"/>
      </w:pPr>
      <w:r>
        <w:rPr>
          <w:rFonts w:ascii="黑体" w:hAnsi="黑体" w:eastAsia="黑体"/>
        </w:rPr>
        <w:t>B.6.1.2</w:t>
      </w:r>
      <w:r>
        <w:rPr>
          <w:rFonts w:hint="eastAsia"/>
        </w:rPr>
        <w:t xml:space="preserve"> 成本票据缺失。由于电商行业供应链复杂，部分企业在采购环节难以取得合法合规的进项发票，导致成本无法准确核算，利润虚高。</w:t>
      </w:r>
    </w:p>
    <w:p w14:paraId="27846BEC">
      <w:pPr>
        <w:pStyle w:val="62"/>
        <w:ind w:firstLine="0" w:firstLineChars="0"/>
      </w:pPr>
      <w:r>
        <w:rPr>
          <w:rFonts w:ascii="黑体" w:hAnsi="黑体" w:eastAsia="黑体"/>
        </w:rPr>
        <w:t>B.6.1.3</w:t>
      </w:r>
      <w:r>
        <w:rPr>
          <w:rFonts w:hint="eastAsia"/>
        </w:rPr>
        <w:t xml:space="preserve"> 刷单虚增交易。部分电商企业为提升销量排名、吸引消费者或获取平台奖励，通过刷单虚增交易额，这种行为扰乱市场秩序，可能被税务机关认定为虚假交易，需补缴税款，还可能引发平台监管风险、法律诉讼及财务数据失真，进而影响企业财务决策和税务合规。</w:t>
      </w:r>
    </w:p>
    <w:p w14:paraId="1E2D0D49">
      <w:pPr>
        <w:pStyle w:val="62"/>
        <w:ind w:firstLine="0" w:firstLineChars="0"/>
      </w:pPr>
      <w:r>
        <w:rPr>
          <w:rFonts w:ascii="黑体" w:hAnsi="黑体" w:eastAsia="黑体"/>
        </w:rPr>
        <w:t xml:space="preserve">B.6.1.4 </w:t>
      </w:r>
      <w:r>
        <w:rPr>
          <w:rFonts w:hint="eastAsia"/>
        </w:rPr>
        <w:t>关联方转移定价。企业通过与其在税收洼地设立的关联企业进行交易，调整服务费和佣金的定价，企业也可以通过内部借款、特许权使用费等方式，将利润从高税率地区转移至低税率地区。</w:t>
      </w:r>
    </w:p>
    <w:p w14:paraId="4163671C">
      <w:pPr>
        <w:pStyle w:val="62"/>
        <w:ind w:firstLine="0" w:firstLineChars="0"/>
      </w:pPr>
      <w:r>
        <w:rPr>
          <w:rFonts w:ascii="黑体" w:hAnsi="黑体" w:eastAsia="黑体"/>
        </w:rPr>
        <w:t xml:space="preserve">B.6.1.5 </w:t>
      </w:r>
      <w:r>
        <w:rPr>
          <w:rFonts w:hint="eastAsia"/>
        </w:rPr>
        <w:t>资金流向和聚合分账。聚合分账系统和空中分账系统因涉及多方交易和复杂资金流转，存在较大税收合规风险，企业需重点关注收入确认、税款分配及发票开具的合规性，完善内部税务管理流程，确保交易透明、数据准确、定价公允，避免因税务处理不当引发风险。</w:t>
      </w:r>
    </w:p>
    <w:p w14:paraId="1D7782DA">
      <w:pPr>
        <w:pStyle w:val="62"/>
        <w:ind w:firstLine="0" w:firstLineChars="0"/>
      </w:pPr>
      <w:r>
        <w:rPr>
          <w:rFonts w:ascii="黑体" w:hAnsi="黑体" w:eastAsia="黑体"/>
        </w:rPr>
        <w:t>B.6.1.6</w:t>
      </w:r>
      <w:r>
        <w:rPr>
          <w:rFonts w:hint="eastAsia"/>
        </w:rPr>
        <w:t xml:space="preserve"> 进出口环节涉税风险。</w:t>
      </w:r>
      <w:r>
        <w:t>跨境电商企业税务风险集中在进口关税、出口退税及境外所得税处理上</w:t>
      </w:r>
      <w:r>
        <w:rPr>
          <w:rFonts w:hint="eastAsia"/>
        </w:rPr>
        <w:t>，</w:t>
      </w:r>
      <w:r>
        <w:t>未正确申报进口关税或违规办理出口退税，以及境外所得税申报与抵免</w:t>
      </w:r>
      <w:r>
        <w:rPr>
          <w:rFonts w:hint="eastAsia"/>
        </w:rPr>
        <w:t>处理</w:t>
      </w:r>
      <w:r>
        <w:t>不当，均可能引发税务处罚和合规问题</w:t>
      </w:r>
      <w:r>
        <w:rPr>
          <w:rFonts w:hint="eastAsia"/>
        </w:rPr>
        <w:t>，增加运营风险。</w:t>
      </w:r>
    </w:p>
    <w:p w14:paraId="0CE3AB55">
      <w:pPr>
        <w:pStyle w:val="62"/>
        <w:ind w:firstLine="0" w:firstLineChars="0"/>
      </w:pPr>
      <w:r>
        <w:rPr>
          <w:rFonts w:ascii="黑体" w:hAnsi="黑体" w:eastAsia="黑体"/>
        </w:rPr>
        <w:t>B.6.1.7</w:t>
      </w:r>
      <w:r>
        <w:rPr>
          <w:rFonts w:hint="eastAsia"/>
        </w:rPr>
        <w:t xml:space="preserve"> 跨国信息交换风险。各国税务机关通过CRS（共同申报准则）或FATCA（海外账户税收合规法案）进行信息交换，企业的跨境交易和账户信息透明化，全方位暴露电商企业未合规的税务风险。</w:t>
      </w:r>
    </w:p>
    <w:p w14:paraId="15308FF5">
      <w:pPr>
        <w:pStyle w:val="62"/>
        <w:ind w:firstLine="0" w:firstLineChars="0"/>
      </w:pPr>
      <w:r>
        <w:rPr>
          <w:rFonts w:ascii="黑体" w:hAnsi="黑体" w:eastAsia="黑体"/>
        </w:rPr>
        <w:t>B.6.1.8</w:t>
      </w:r>
      <w:r>
        <w:rPr>
          <w:rFonts w:hint="eastAsia"/>
        </w:rPr>
        <w:t xml:space="preserve"> 跨国税收策划风险。企业应关注经济合作组织（OECD）的侵蚀税基和利润转移（BEPS） 行动计划，跨国电商企业在设计跨国商品和服务转让定价时，一定要遵循独立交易原则，还要符合实质经营原则，严格遵守所在国和地区的各项涉税法规，避免风险外溢。</w:t>
      </w:r>
    </w:p>
    <w:p w14:paraId="030F66B3">
      <w:pPr>
        <w:pStyle w:val="62"/>
        <w:ind w:firstLine="0" w:firstLineChars="0"/>
      </w:pPr>
      <w:r>
        <w:rPr>
          <w:rFonts w:ascii="黑体" w:hAnsi="黑体" w:eastAsia="黑体"/>
        </w:rPr>
        <w:t>B.6.1.9</w:t>
      </w:r>
      <w:r>
        <w:rPr>
          <w:rFonts w:hint="eastAsia"/>
        </w:rPr>
        <w:t xml:space="preserve"> 股权代持风险。因为代持协议违反了当地的法律法规或公共政策，故采用股权代持方式，代持协议可能被认定无效，代持人可能会出现信用风险，如擅自转让股权、侵吞股权收益等。</w:t>
      </w:r>
    </w:p>
    <w:p w14:paraId="00E39974">
      <w:pPr>
        <w:pStyle w:val="62"/>
        <w:ind w:firstLine="0" w:firstLineChars="0"/>
      </w:pPr>
      <w:r>
        <w:rPr>
          <w:rFonts w:ascii="黑体" w:hAnsi="黑体" w:eastAsia="黑体"/>
        </w:rPr>
        <w:t>B.6.1.10</w:t>
      </w:r>
      <w:r>
        <w:rPr>
          <w:rFonts w:hint="eastAsia"/>
        </w:rPr>
        <w:t xml:space="preserve"> 双重征税风险。跨境电商业务涉及多个国家的税收管辖权，如果没有合理规划，企业可能会面临同一笔收入在两个或多个国家被重复征税的情况，易产生双重征税风险。</w:t>
      </w:r>
    </w:p>
    <w:p w14:paraId="3682A201">
      <w:pPr>
        <w:pStyle w:val="62"/>
        <w:ind w:firstLine="0" w:firstLineChars="0"/>
      </w:pPr>
      <w:r>
        <w:rPr>
          <w:rFonts w:ascii="黑体" w:hAnsi="黑体" w:eastAsia="黑体"/>
        </w:rPr>
        <w:t>B.6.1.11</w:t>
      </w:r>
      <w:r>
        <w:rPr>
          <w:rFonts w:hint="eastAsia"/>
        </w:rPr>
        <w:t xml:space="preserve"> 原产地规则风险。不同自贸协定对原产地判定标准不同，若企业对规则理解不深，错误使用原产地证书，货物可能无法享受优惠关税，增加运营成本。</w:t>
      </w:r>
    </w:p>
    <w:p w14:paraId="4C8DC6F0">
      <w:pPr>
        <w:pStyle w:val="137"/>
        <w:numPr>
          <w:ilvl w:val="0"/>
          <w:numId w:val="0"/>
        </w:numPr>
        <w:spacing w:before="120" w:beforeLines="50" w:after="120" w:afterLines="50"/>
        <w:rPr>
          <w:rFonts w:hint="eastAsia" w:ascii="黑体" w:hAnsi="黑体" w:eastAsia="黑体" w:cs="黑体"/>
        </w:rPr>
      </w:pPr>
      <w:r>
        <w:rPr>
          <w:rFonts w:ascii="黑体" w:hAnsi="黑体" w:eastAsia="黑体" w:cs="黑体"/>
        </w:rPr>
        <w:t xml:space="preserve">B.6.2 </w:t>
      </w:r>
      <w:r>
        <w:rPr>
          <w:rFonts w:hint="eastAsia" w:ascii="黑体" w:hAnsi="黑体" w:eastAsia="黑体" w:cs="黑体"/>
        </w:rPr>
        <w:t>电商企业税务合规要点</w:t>
      </w:r>
    </w:p>
    <w:p w14:paraId="7615D654">
      <w:pPr>
        <w:pStyle w:val="62"/>
        <w:ind w:firstLine="420"/>
      </w:pPr>
      <w:r>
        <w:rPr>
          <w:rFonts w:hint="eastAsia"/>
        </w:rPr>
        <w:t>电商行业的税务风险具有较强的隐蔽性和复杂性，企业应根据风险的重要性优先采取针对性措施，以实现税务合规管理和健康发展,包括但不限于展开以下工作：</w:t>
      </w:r>
    </w:p>
    <w:p w14:paraId="3ECC38FF">
      <w:pPr>
        <w:pStyle w:val="137"/>
      </w:pPr>
      <w:r>
        <w:rPr>
          <w:rFonts w:hint="eastAsia"/>
        </w:rPr>
        <w:t>需杜绝通过私户收款、虚假退货等方式隐瞒收入；</w:t>
      </w:r>
    </w:p>
    <w:p w14:paraId="3BB35871">
      <w:pPr>
        <w:pStyle w:val="137"/>
      </w:pPr>
      <w:r>
        <w:t>供应链复杂易致票据缺失，成本核算不实，利润虚高，增加所得税负担，甚至可能面临补税及滞纳金处罚</w:t>
      </w:r>
      <w:r>
        <w:rPr>
          <w:rFonts w:hint="eastAsia"/>
        </w:rPr>
        <w:t>，规范采购流程，确保获取合法合规的进项票据，从而降低税务风险；</w:t>
      </w:r>
    </w:p>
    <w:p w14:paraId="6A54BDAA">
      <w:pPr>
        <w:pStyle w:val="137"/>
      </w:pPr>
      <w:r>
        <w:rPr>
          <w:rFonts w:hint="eastAsia"/>
        </w:rPr>
        <w:t>杜绝刷单行为，避免扰乱市场秩序，防范诱发虚假收入确认问题，从而降低税务风险；</w:t>
      </w:r>
    </w:p>
    <w:p w14:paraId="4FFD220F">
      <w:pPr>
        <w:pStyle w:val="137"/>
      </w:pPr>
      <w:r>
        <w:rPr>
          <w:rFonts w:hint="eastAsia"/>
        </w:rPr>
        <w:t>涉及到跨国涉税业务时，需遵循以下几点措施：</w:t>
      </w:r>
    </w:p>
    <w:p w14:paraId="3D108A97">
      <w:pPr>
        <w:pStyle w:val="192"/>
      </w:pPr>
      <w:r>
        <w:rPr>
          <w:rFonts w:hint="eastAsia"/>
        </w:rPr>
        <w:t>及时完成所在国税务登记（如增值税、商品和服务税），按时申报缴纳税款，避免罚款和滞纳金；</w:t>
      </w:r>
    </w:p>
    <w:p w14:paraId="3EA1A756">
      <w:pPr>
        <w:pStyle w:val="192"/>
      </w:pPr>
      <w:r>
        <w:rPr>
          <w:rFonts w:hint="eastAsia"/>
        </w:rPr>
        <w:t>遵循“独立交易原则”，规范关联交易并留存转让定价文档，防范税务争议；</w:t>
      </w:r>
    </w:p>
    <w:p w14:paraId="5A9D57F8">
      <w:pPr>
        <w:pStyle w:val="192"/>
      </w:pPr>
      <w:r>
        <w:rPr>
          <w:rFonts w:hint="eastAsia"/>
        </w:rPr>
        <w:t>合理运用双边税收协定，避免重复征税并防范协定滥用；</w:t>
      </w:r>
    </w:p>
    <w:p w14:paraId="6144BB1B">
      <w:pPr>
        <w:pStyle w:val="192"/>
      </w:pPr>
      <w:r>
        <w:rPr>
          <w:rFonts w:hint="eastAsia"/>
        </w:rPr>
        <w:t>遵守CRS、BEPS等税务要求，确保交易数据真实透明；</w:t>
      </w:r>
    </w:p>
    <w:p w14:paraId="24CAD7DF">
      <w:pPr>
        <w:pStyle w:val="192"/>
      </w:pPr>
      <w:r>
        <w:rPr>
          <w:rFonts w:hint="eastAsia"/>
        </w:rPr>
        <w:t>密切关注目标国税收政策变化，及时调整合规策略，降低税务风险，保障企业全球化经营的合规性与可持续发展。</w:t>
      </w:r>
    </w:p>
    <w:p w14:paraId="14C8506B">
      <w:pPr>
        <w:pStyle w:val="62"/>
        <w:ind w:firstLine="420"/>
      </w:pPr>
    </w:p>
    <w:p w14:paraId="4DB5B1C7">
      <w:pPr>
        <w:pStyle w:val="62"/>
        <w:ind w:firstLine="420"/>
        <w:jc w:val="left"/>
        <w:rPr>
          <w:rFonts w:hint="eastAsia" w:hAnsi="宋体"/>
          <w:bCs/>
          <w:color w:val="000000" w:themeColor="text1"/>
          <w:szCs w:val="21"/>
          <w:shd w:val="clear" w:color="auto" w:fill="FFFFFF"/>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p w14:paraId="1EE88B90">
      <w:pPr>
        <w:pStyle w:val="203"/>
        <w:rPr>
          <w:rFonts w:hint="eastAsia"/>
          <w:vanish w:val="0"/>
          <w:shd w:val="clear" w:color="auto" w:fill="FFFFFF"/>
        </w:rPr>
      </w:pPr>
    </w:p>
    <w:p w14:paraId="5A3EE116">
      <w:pPr>
        <w:pStyle w:val="204"/>
        <w:rPr>
          <w:vanish w:val="0"/>
        </w:rPr>
      </w:pPr>
    </w:p>
    <w:p w14:paraId="394DF7A9">
      <w:pPr>
        <w:pStyle w:val="82"/>
        <w:spacing w:after="120"/>
        <w:ind w:left="0"/>
      </w:pPr>
      <w:r>
        <w:br w:type="textWrapping"/>
      </w:r>
      <w:bookmarkStart w:id="109" w:name="_Toc188363493"/>
      <w:bookmarkStart w:id="110" w:name="_Toc188519727"/>
      <w:r>
        <w:rPr>
          <w:rFonts w:hint="eastAsia"/>
        </w:rPr>
        <w:t>（资料性）</w:t>
      </w:r>
      <w:r>
        <w:br w:type="textWrapping"/>
      </w:r>
      <w:r>
        <w:rPr>
          <w:rFonts w:hint="eastAsia"/>
        </w:rPr>
        <w:t>主要税种合规管理重点</w:t>
      </w:r>
      <w:bookmarkEnd w:id="109"/>
      <w:bookmarkEnd w:id="110"/>
    </w:p>
    <w:p w14:paraId="7F22F318">
      <w:pPr>
        <w:pStyle w:val="62"/>
        <w:spacing w:before="240" w:beforeLines="100" w:after="240" w:afterLines="100"/>
        <w:ind w:firstLine="0" w:firstLineChars="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C.1 增值税</w:t>
      </w:r>
      <w:r>
        <w:rPr>
          <w:rFonts w:hint="eastAsia" w:ascii="黑体" w:hAnsi="黑体" w:eastAsia="黑体" w:cs="黑体"/>
          <w:bCs/>
          <w:szCs w:val="21"/>
        </w:rPr>
        <w:t>的</w:t>
      </w:r>
      <w:r>
        <w:rPr>
          <w:rFonts w:hint="eastAsia" w:ascii="黑体" w:hAnsi="黑体" w:eastAsia="黑体" w:cs="黑体"/>
          <w:bCs/>
          <w:color w:val="000000" w:themeColor="text1"/>
          <w:szCs w:val="21"/>
          <w14:textFill>
            <w14:solidFill>
              <w14:schemeClr w14:val="tx1"/>
            </w14:solidFill>
          </w14:textFill>
        </w:rPr>
        <w:t>合规管理重点</w:t>
      </w:r>
    </w:p>
    <w:p w14:paraId="7AD4E4B7">
      <w:pPr>
        <w:pStyle w:val="27"/>
        <w:widowControl/>
        <w:spacing w:beforeAutospacing="0" w:afterAutospacing="0" w:line="240" w:lineRule="auto"/>
        <w:ind w:firstLine="420" w:firstLineChars="200"/>
        <w:rPr>
          <w:rFonts w:hint="eastAsia" w:ascii="宋体" w:hAnsi="宋体"/>
          <w:color w:val="000000"/>
          <w:sz w:val="21"/>
        </w:rPr>
      </w:pPr>
      <w:r>
        <w:rPr>
          <w:rFonts w:hint="eastAsia" w:ascii="宋体" w:hAnsi="宋体"/>
          <w:color w:val="000000" w:themeColor="text1"/>
          <w:sz w:val="21"/>
          <w14:textFill>
            <w14:solidFill>
              <w14:schemeClr w14:val="tx1"/>
            </w14:solidFill>
          </w14:textFill>
        </w:rPr>
        <w:t>企业区分一般纳税人和小规模纳税人，按《增值税税目注释表》界定应税交易的内容，确定适用税率或征收率(详见《增值税税率表》)，准确界定纳税义务发生时间，适用正确的计税方法，计缴增值税。企业在增值税缴纳过程中</w:t>
      </w:r>
      <w:r>
        <w:rPr>
          <w:rFonts w:hint="eastAsia" w:ascii="宋体" w:hAnsi="宋体"/>
          <w:bCs/>
          <w:color w:val="000000" w:themeColor="text1"/>
          <w:sz w:val="21"/>
          <w14:textFill>
            <w14:solidFill>
              <w14:schemeClr w14:val="tx1"/>
            </w14:solidFill>
          </w14:textFill>
        </w:rPr>
        <w:t>需要重点关注的合规风险</w:t>
      </w:r>
      <w:r>
        <w:rPr>
          <w:rFonts w:hint="eastAsia" w:ascii="宋体" w:hAnsi="宋体"/>
          <w:color w:val="000000"/>
          <w:sz w:val="21"/>
        </w:rPr>
        <w:t xml:space="preserve">如下。 </w:t>
      </w:r>
    </w:p>
    <w:p w14:paraId="54572A34">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 xml:space="preserve">C.1.1 未计或少计销售额，少计缴增值税的风险 </w:t>
      </w:r>
    </w:p>
    <w:p w14:paraId="2EFAF21F">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6C2751F2">
      <w:pPr>
        <w:pStyle w:val="137"/>
      </w:pPr>
      <w:r>
        <w:rPr>
          <w:rFonts w:hint="eastAsia"/>
        </w:rPr>
        <w:t>未开具发票的销售收入，未计销售额；</w:t>
      </w:r>
    </w:p>
    <w:p w14:paraId="3B7FA414">
      <w:pPr>
        <w:pStyle w:val="137"/>
      </w:pPr>
      <w:r>
        <w:rPr>
          <w:rFonts w:hint="eastAsia"/>
        </w:rPr>
        <w:t>收到购买方作为支付对价的非货币性资产，未按市场价格，未计销售额；</w:t>
      </w:r>
    </w:p>
    <w:p w14:paraId="2AC67426">
      <w:pPr>
        <w:pStyle w:val="137"/>
      </w:pPr>
      <w:r>
        <w:rPr>
          <w:rFonts w:hint="eastAsia"/>
        </w:rPr>
        <w:t>向购买方收取的价外费用，若产生手续费、补贴、奖励费、违约金、赔偿金等与发生应税交易相关的价款，未计销售额；</w:t>
      </w:r>
    </w:p>
    <w:p w14:paraId="1A62AA54">
      <w:pPr>
        <w:pStyle w:val="137"/>
      </w:pPr>
      <w:r>
        <w:rPr>
          <w:rFonts w:hint="eastAsia"/>
        </w:rPr>
        <w:t>逾期未收回的包装物押金，未计销售额；</w:t>
      </w:r>
    </w:p>
    <w:p w14:paraId="562D07CB">
      <w:pPr>
        <w:pStyle w:val="137"/>
      </w:pPr>
      <w:r>
        <w:rPr>
          <w:rFonts w:hint="eastAsia"/>
        </w:rPr>
        <w:t>将支付给经销商的手续费、销售返利、市场推广补贴，作为销售折扣，直接冲减当期销售收入，少计销售额；</w:t>
      </w:r>
    </w:p>
    <w:p w14:paraId="1890E831">
      <w:pPr>
        <w:pStyle w:val="137"/>
      </w:pPr>
      <w:r>
        <w:rPr>
          <w:rFonts w:hint="eastAsia"/>
        </w:rPr>
        <w:t>对外销售下脚料、残次废品、废旧物资收入，未计销售额；</w:t>
      </w:r>
    </w:p>
    <w:p w14:paraId="0A28536E">
      <w:pPr>
        <w:pStyle w:val="137"/>
      </w:pPr>
      <w:r>
        <w:rPr>
          <w:rFonts w:hint="eastAsia"/>
        </w:rPr>
        <w:t>取得转售外单位和个人的水电费收入，未计销售额；</w:t>
      </w:r>
    </w:p>
    <w:p w14:paraId="48155C35">
      <w:pPr>
        <w:pStyle w:val="137"/>
      </w:pPr>
      <w:r>
        <w:rPr>
          <w:rFonts w:hint="eastAsia"/>
        </w:rPr>
        <w:t>将资金借给他人使用而收取资金占用费不入账，或将保本性银行理财产品收益直接冲减财务费用，未计销售额；</w:t>
      </w:r>
    </w:p>
    <w:p w14:paraId="767F2E66">
      <w:pPr>
        <w:pStyle w:val="137"/>
      </w:pPr>
      <w:r>
        <w:rPr>
          <w:rFonts w:hint="eastAsia"/>
        </w:rPr>
        <w:t>新产品试生产期间形成的产品的出售收入，未计入销售额申报增值税；</w:t>
      </w:r>
    </w:p>
    <w:p w14:paraId="0823F465">
      <w:pPr>
        <w:pStyle w:val="137"/>
      </w:pPr>
      <w:r>
        <w:rPr>
          <w:rFonts w:hint="eastAsia"/>
        </w:rPr>
        <w:t>将自产或者委托加工的货物用于集体福利或者个人消费；或无偿转让货物、无形资产、不动产或者金融商品，未视同应税交易，计缴增值税。</w:t>
      </w:r>
    </w:p>
    <w:p w14:paraId="66638B8C">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C.1.2 混淆征税项目、税率或征收率、计税方法，少计缴增值税的风险</w:t>
      </w:r>
    </w:p>
    <w:p w14:paraId="13ED774B">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18062E46">
      <w:pPr>
        <w:pStyle w:val="137"/>
      </w:pPr>
      <w:r>
        <w:rPr>
          <w:rFonts w:hint="eastAsia"/>
        </w:rPr>
        <w:t>将税率高的征收项目混淆为税率低的项目，如：将无车承运收入混淆为货运代理收入等，少计缴增值税；</w:t>
      </w:r>
    </w:p>
    <w:p w14:paraId="4029E57B">
      <w:pPr>
        <w:pStyle w:val="137"/>
      </w:pPr>
      <w:r>
        <w:rPr>
          <w:rFonts w:hint="eastAsia"/>
        </w:rPr>
        <w:t>将增值税应税收入混淆为增值税不征税项目，如上市企业股东减持限售股、个人所得税代扣代缴手续、与销售额或销售量直接挂钩的财政补贴收入、PPP项目的政府付费、名股实债性质的投资收益等，未计缴增值税；</w:t>
      </w:r>
    </w:p>
    <w:p w14:paraId="2255866A">
      <w:pPr>
        <w:pStyle w:val="137"/>
      </w:pPr>
      <w:r>
        <w:rPr>
          <w:rFonts w:hint="eastAsia"/>
        </w:rPr>
        <w:t xml:space="preserve">兼营不同税率和征收率的应税交易，未分别核算的，适用不同税率和征收率，少计缴增值税； </w:t>
      </w:r>
    </w:p>
    <w:p w14:paraId="4612451C">
      <w:pPr>
        <w:pStyle w:val="137"/>
      </w:pPr>
      <w:r>
        <w:rPr>
          <w:rFonts w:hint="eastAsia"/>
        </w:rPr>
        <w:t xml:space="preserve">将兼营收入混淆为混合销售收入，如：买设备送安装、EPC项目等，未分别核算，未从高适用税率，少计缴增值税； </w:t>
      </w:r>
    </w:p>
    <w:p w14:paraId="45F20A47">
      <w:pPr>
        <w:pStyle w:val="137"/>
      </w:pPr>
      <w:r>
        <w:rPr>
          <w:rFonts w:hint="eastAsia"/>
        </w:rPr>
        <w:t>销售使用过的固定资产，应按适用一般计税方法的，错误适用简易计税，少申报缴增值税。</w:t>
      </w:r>
    </w:p>
    <w:p w14:paraId="71812E17">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C.1.3 未按纳税义务发生时间确认销售额，滞后申报增值税的风险</w:t>
      </w:r>
    </w:p>
    <w:p w14:paraId="03D22291">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2F84D20B">
      <w:pPr>
        <w:pStyle w:val="137"/>
      </w:pPr>
      <w:r>
        <w:rPr>
          <w:rFonts w:hint="eastAsia"/>
        </w:rPr>
        <w:t>签订书面合同的应税交易，应收未收的销售收入未按合同约定收款日期确认当期销售额，滞后申报增值税；</w:t>
      </w:r>
    </w:p>
    <w:p w14:paraId="157AC0C6">
      <w:pPr>
        <w:pStyle w:val="137"/>
      </w:pPr>
      <w:r>
        <w:rPr>
          <w:rFonts w:hint="eastAsia"/>
        </w:rPr>
        <w:t>未签订书面合同或者书面合同未确定付款日期的应税交易，未按服务、无形资产转让完成的当天或者不动产权属变更的确认当期销售额，滞后申报增值税；</w:t>
      </w:r>
    </w:p>
    <w:p w14:paraId="21421811">
      <w:pPr>
        <w:pStyle w:val="137"/>
      </w:pPr>
      <w:r>
        <w:rPr>
          <w:rFonts w:hint="eastAsia"/>
        </w:rPr>
        <w:t>采取预收货款方式销售货物，未按货物发出的当天确认当期销售额，滞后申报增值税；</w:t>
      </w:r>
    </w:p>
    <w:p w14:paraId="7FA1F720">
      <w:pPr>
        <w:pStyle w:val="137"/>
      </w:pPr>
      <w:r>
        <w:rPr>
          <w:rFonts w:hint="eastAsia"/>
        </w:rPr>
        <w:t>从事金融商品转让的，未按金融商品所有权转移的当天，确认当期销售额，滞后申报增值税；</w:t>
      </w:r>
    </w:p>
    <w:p w14:paraId="03927440">
      <w:pPr>
        <w:pStyle w:val="137"/>
      </w:pPr>
      <w:r>
        <w:rPr>
          <w:rFonts w:hint="eastAsia"/>
        </w:rPr>
        <w:t>增值税纳税义务发生时间与会计确认收入存在差异，如分期收款方式销售收入、附有退货条款的销售收入等，未按照纳税义务发生时间确认当期销售额，滞后申报增值税。</w:t>
      </w:r>
    </w:p>
    <w:p w14:paraId="248264D6">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C.1.4 多抵扣进项税额，少计缴增值税的风险</w:t>
      </w:r>
    </w:p>
    <w:p w14:paraId="39633850">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2E743559">
      <w:pPr>
        <w:pStyle w:val="137"/>
      </w:pPr>
      <w:r>
        <w:rPr>
          <w:rFonts w:hint="eastAsia"/>
        </w:rPr>
        <w:t>虚购业务，虚开材料发票、服务发票、运输发票、农产品收购发票，多抵扣进项税额；</w:t>
      </w:r>
    </w:p>
    <w:p w14:paraId="3B2F5A78">
      <w:pPr>
        <w:pStyle w:val="137"/>
      </w:pPr>
      <w:r>
        <w:rPr>
          <w:rFonts w:hint="eastAsia"/>
        </w:rPr>
        <w:t>将不能抵扣进项税额的项目变更品名，以抵扣进项，如将餐饮服务、居民日常服务和娱乐服务变票虚开为住宿服务等；</w:t>
      </w:r>
    </w:p>
    <w:p w14:paraId="22AE7DD8">
      <w:pPr>
        <w:pStyle w:val="137"/>
      </w:pPr>
      <w:r>
        <w:rPr>
          <w:rFonts w:hint="eastAsia"/>
        </w:rPr>
        <w:t>计算抵扣进项税额的旅客运输发票不符合规定，比如：国内旅客运输纸质发票、未注明旅客身份国内旅客运输增值税电子普通发票、单位员工或劳务派遣用工以外的国内旅客运输增值税电子普通发票；注明旅客身份的航空运输电子客票行程单、铁路车票、公路、水路等其他客票等；</w:t>
      </w:r>
    </w:p>
    <w:p w14:paraId="1B1E8F8D">
      <w:pPr>
        <w:pStyle w:val="137"/>
      </w:pPr>
      <w:r>
        <w:rPr>
          <w:rFonts w:hint="eastAsia"/>
        </w:rPr>
        <w:t>计算抵扣进项税额的通行费票据不符合规定，包括：预付的ETC高速公路通行费增值税普通发票、高速公路、一级公路、二级公路、桥、闸通行费的财政票据；</w:t>
      </w:r>
    </w:p>
    <w:p w14:paraId="7E75E405">
      <w:pPr>
        <w:pStyle w:val="137"/>
      </w:pPr>
      <w:r>
        <w:rPr>
          <w:rFonts w:hint="eastAsia"/>
        </w:rPr>
        <w:t>购买货物或者应税劳务、服务发生折让、退货，其对应的进项税额未予转出；</w:t>
      </w:r>
    </w:p>
    <w:p w14:paraId="0BB97ED1">
      <w:pPr>
        <w:pStyle w:val="137"/>
      </w:pPr>
      <w:r>
        <w:rPr>
          <w:rFonts w:hint="eastAsia"/>
        </w:rPr>
        <w:t>不可抵扣进项税项目包括简易计税、免征增值税、非正常损失、集体福利或个人消费项目，及直接消费的餐饮、居民日常、娱乐服务等，其对应的进项税额未予转出。</w:t>
      </w:r>
    </w:p>
    <w:p w14:paraId="6642DA16">
      <w:pPr>
        <w:pStyle w:val="62"/>
        <w:spacing w:before="240" w:beforeLines="100" w:after="240" w:afterLines="100"/>
        <w:ind w:firstLine="0" w:firstLineChars="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C.2 消费税的合规管理重点</w:t>
      </w:r>
    </w:p>
    <w:p w14:paraId="2DB566BE">
      <w:pPr>
        <w:autoSpaceDE w:val="0"/>
        <w:snapToGrid w:val="0"/>
        <w:spacing w:line="240" w:lineRule="auto"/>
        <w:ind w:firstLine="420" w:firstLineChars="200"/>
        <w:rPr>
          <w:rFonts w:hint="eastAsia" w:ascii="宋体" w:hAnsi="宋体"/>
          <w:color w:val="000000"/>
        </w:rPr>
      </w:pPr>
      <w:r>
        <w:rPr>
          <w:rFonts w:hint="eastAsia" w:ascii="宋体" w:hAnsi="宋体"/>
          <w:color w:val="000000"/>
        </w:rPr>
        <w:t>企业区分销售应税消费品、自产自用应税消费品、委托加工应税消费品、进口的应税消费品等不同情形时，需确定计税方法和适用税率（详见《消费税税目税率表》），准确界定纳税义务发生时间，正确计缴消费税，需要重点关注的合规风险如下。</w:t>
      </w:r>
    </w:p>
    <w:p w14:paraId="23335E51">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C.2.1 少计应税消费品收入，少计缴消费税的风险；</w:t>
      </w:r>
    </w:p>
    <w:p w14:paraId="04B6145C">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5837B31C">
      <w:pPr>
        <w:pStyle w:val="137"/>
      </w:pPr>
      <w:r>
        <w:rPr>
          <w:rFonts w:hint="eastAsia"/>
        </w:rPr>
        <w:t>隐匿未开具发票的应税消费品销售收入；</w:t>
      </w:r>
    </w:p>
    <w:p w14:paraId="6BDF2105">
      <w:pPr>
        <w:pStyle w:val="137"/>
      </w:pPr>
      <w:r>
        <w:rPr>
          <w:rFonts w:hint="eastAsia"/>
        </w:rPr>
        <w:t xml:space="preserve">通过变更品名，将应税消费品变为非应税消费品，少纳消费税； </w:t>
      </w:r>
    </w:p>
    <w:p w14:paraId="6A02B393">
      <w:pPr>
        <w:pStyle w:val="137"/>
      </w:pPr>
      <w:r>
        <w:rPr>
          <w:rFonts w:hint="eastAsia"/>
        </w:rPr>
        <w:t>向购买方收取的品牌使用费、手续费、补贴、返还利润、违约金、赔偿金、储备费、等价外费用,未并入应税消费品的销售额；</w:t>
      </w:r>
    </w:p>
    <w:p w14:paraId="04B00ADD">
      <w:pPr>
        <w:pStyle w:val="137"/>
      </w:pPr>
      <w:r>
        <w:rPr>
          <w:rFonts w:hint="eastAsia"/>
        </w:rPr>
        <w:t>应税消费品连同包装物销售时，将包装物价值分离开票或转移包装过程以降低消费税计税依据，逾期未收回或超过12个月的押金未并入销售额，随同销售且未退还的押金也未并入销售额；</w:t>
      </w:r>
    </w:p>
    <w:p w14:paraId="709D6872">
      <w:pPr>
        <w:pStyle w:val="137"/>
      </w:pPr>
      <w:r>
        <w:rPr>
          <w:rFonts w:hint="eastAsia"/>
        </w:rPr>
        <w:t>将委托加工收回的应税消费品以高于受托方的销售价格出售而未就价格超过部分缴纳消费税；</w:t>
      </w:r>
    </w:p>
    <w:p w14:paraId="61BCC50A">
      <w:pPr>
        <w:pStyle w:val="137"/>
      </w:pPr>
      <w:r>
        <w:rPr>
          <w:rFonts w:hint="eastAsia"/>
        </w:rPr>
        <w:t>除将自产应税消费品作为原料连续用于生产应税消费品以外，将企业自产自用应税消费品，如用于业务招待、发放职工福利、生产非应税消费品等，未视同销售缴纳消费税；</w:t>
      </w:r>
    </w:p>
    <w:p w14:paraId="21DFF291">
      <w:pPr>
        <w:pStyle w:val="137"/>
      </w:pPr>
      <w:r>
        <w:rPr>
          <w:rFonts w:hint="eastAsia"/>
        </w:rPr>
        <w:t>向关联企业销售应税消费品的计税价格明显偏低且不具有合理商业目的的，未按公允价值调整计税价格，少申报缴纳消费税。</w:t>
      </w:r>
    </w:p>
    <w:p w14:paraId="276967AA">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C.2.2套低应税消费品的税率，少计缴消费税的风险；</w:t>
      </w:r>
    </w:p>
    <w:p w14:paraId="11BAA713">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40A82DDD">
      <w:pPr>
        <w:pStyle w:val="137"/>
      </w:pPr>
      <w:r>
        <w:rPr>
          <w:rFonts w:hint="eastAsia"/>
        </w:rPr>
        <w:t>将应税消费品和其他应税消费品组成套装出售，先销售后包装，分别核算销售额，未从高适用税率；</w:t>
      </w:r>
    </w:p>
    <w:p w14:paraId="0EF44656">
      <w:pPr>
        <w:pStyle w:val="137"/>
      </w:pPr>
      <w:r>
        <w:rPr>
          <w:rFonts w:hint="eastAsia"/>
        </w:rPr>
        <w:t>兼营不同税率的应税消费品，未分别核算不同税率应税消费品的销售额、销售数量的未从高适用税率；</w:t>
      </w:r>
    </w:p>
    <w:p w14:paraId="4C3B1CEB">
      <w:pPr>
        <w:pStyle w:val="137"/>
      </w:pPr>
      <w:r>
        <w:rPr>
          <w:rFonts w:hint="eastAsia"/>
        </w:rPr>
        <w:t>通过变更品名，将税率高的应税消费品变为低税率应税消费品。</w:t>
      </w:r>
    </w:p>
    <w:p w14:paraId="12D14EBF">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C.2.3 多抵扣外购或委托加工的应税消费品已缴消费税款，少计缴消费税的风险。</w:t>
      </w:r>
    </w:p>
    <w:p w14:paraId="02C6B408">
      <w:pPr>
        <w:pStyle w:val="137"/>
        <w:numPr>
          <w:ilvl w:val="255"/>
          <w:numId w:val="0"/>
        </w:numPr>
        <w:ind w:firstLine="420" w:firstLineChars="200"/>
        <w:rPr>
          <w:rFonts w:hint="eastAsia" w:hAnsi="宋体" w:cs="宋体"/>
        </w:rPr>
      </w:pPr>
      <w:r>
        <w:rPr>
          <w:rFonts w:hint="eastAsia" w:hAnsi="宋体" w:cs="宋体"/>
        </w:rPr>
        <w:t>企业以外购或委托加工的应税消费品为原料在同一生产过程中既生产应税消费品又同时生产非应税消费品时，全部或多分摊比例，多抵扣已缴消费税税款，将导致少计缴消费税，存在税务风险。</w:t>
      </w:r>
    </w:p>
    <w:p w14:paraId="1BF544B1">
      <w:pPr>
        <w:pStyle w:val="62"/>
        <w:spacing w:before="240" w:beforeLines="100" w:after="240" w:afterLines="100"/>
        <w:ind w:firstLine="0" w:firstLineChars="0"/>
        <w:rPr>
          <w:rFonts w:hint="eastAsia" w:ascii="黑体" w:hAnsi="黑体" w:eastAsia="黑体" w:cs="黑体"/>
          <w:bCs/>
          <w:color w:val="000000" w:themeColor="text1"/>
          <w:szCs w:val="21"/>
          <w:lang w:bidi="ar"/>
          <w14:textFill>
            <w14:solidFill>
              <w14:schemeClr w14:val="tx1"/>
            </w14:solidFill>
          </w14:textFill>
        </w:rPr>
      </w:pPr>
      <w:r>
        <w:rPr>
          <w:rFonts w:hint="eastAsia" w:ascii="黑体" w:hAnsi="黑体" w:eastAsia="黑体" w:cs="黑体"/>
          <w:bCs/>
          <w:color w:val="000000" w:themeColor="text1"/>
          <w:szCs w:val="21"/>
          <w:lang w:bidi="ar"/>
          <w14:textFill>
            <w14:solidFill>
              <w14:schemeClr w14:val="tx1"/>
            </w14:solidFill>
          </w14:textFill>
        </w:rPr>
        <w:t>C.3 土地增值税的合规管理重点</w:t>
      </w:r>
    </w:p>
    <w:p w14:paraId="2B58ED1B">
      <w:pPr>
        <w:autoSpaceDE w:val="0"/>
        <w:snapToGrid w:val="0"/>
        <w:spacing w:line="240" w:lineRule="auto"/>
        <w:ind w:firstLine="420" w:firstLineChars="200"/>
        <w:rPr>
          <w:rFonts w:hint="eastAsia" w:ascii="宋体" w:hAnsi="宋体"/>
          <w:bCs/>
          <w:color w:val="000000"/>
        </w:rPr>
      </w:pPr>
      <w:r>
        <w:rPr>
          <w:rFonts w:hint="eastAsia" w:ascii="宋体" w:hAnsi="宋体"/>
          <w:bCs/>
          <w:color w:val="000000"/>
        </w:rPr>
        <w:t>企业在我国境内转让国有土地使用权、地上建筑物及其附着物的，应依法缴纳土地增值税。企业转让房地产，应区分从事房地产开发项目或转让旧房及建筑物等不同情形，正确确定税收入和扣除项目，准确界定纳税义务发生时间，正确计算增值额，适用四级超率累进税率（见《土地增值税税率表》），正确计缴土地增值税。需要重点关注的合规风险如下。</w:t>
      </w:r>
    </w:p>
    <w:p w14:paraId="0D8CF523">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C.3.1 转让旧房及建筑物需重点关注的土地增值税合规风险；</w:t>
      </w:r>
    </w:p>
    <w:p w14:paraId="73A4E866">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18748319">
      <w:pPr>
        <w:pStyle w:val="137"/>
      </w:pPr>
      <w:r>
        <w:rPr>
          <w:rFonts w:hint="eastAsia"/>
        </w:rPr>
        <w:t>隐瞒、虚报房地产成交价格，未缴土地增值税或少缴土地增值税；</w:t>
      </w:r>
    </w:p>
    <w:p w14:paraId="48D61B3E">
      <w:pPr>
        <w:pStyle w:val="137"/>
      </w:pPr>
      <w:r>
        <w:rPr>
          <w:rFonts w:hint="eastAsia"/>
        </w:rPr>
        <w:t>提供扣除项目金额不实，多计扣除项目；</w:t>
      </w:r>
    </w:p>
    <w:p w14:paraId="58DFE619">
      <w:pPr>
        <w:pStyle w:val="137"/>
      </w:pPr>
      <w:r>
        <w:rPr>
          <w:rFonts w:hint="eastAsia"/>
        </w:rPr>
        <w:t>旧房的评估价格明显偏高，多计扣除项目；</w:t>
      </w:r>
    </w:p>
    <w:p w14:paraId="208B3F5A">
      <w:pPr>
        <w:pStyle w:val="137"/>
      </w:pPr>
      <w:r>
        <w:rPr>
          <w:rFonts w:hint="eastAsia"/>
        </w:rPr>
        <w:t>取得土地使用权时未支付地价款或不能提供已支付的地价款凭据的，违规扣除取得土地使用权所支付的金额，多计扣除项目。</w:t>
      </w:r>
    </w:p>
    <w:p w14:paraId="190A1340">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C.3.2 房地产开发企业的房地产开发项目需重点关注的土地增值税合规风险。</w:t>
      </w:r>
    </w:p>
    <w:p w14:paraId="32913087">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06FF8051">
      <w:pPr>
        <w:pStyle w:val="137"/>
      </w:pPr>
      <w:r>
        <w:rPr>
          <w:rFonts w:hint="eastAsia"/>
        </w:rPr>
        <w:t>预缴土地增值税时，错误适用增值税预缴计税依据，少预缴土地增值税；</w:t>
      </w:r>
    </w:p>
    <w:p w14:paraId="12EA4BAA">
      <w:pPr>
        <w:pStyle w:val="137"/>
      </w:pPr>
      <w:r>
        <w:rPr>
          <w:rFonts w:hint="eastAsia"/>
        </w:rPr>
        <w:t>预收售房定金，计入“其他应付款”科目，未预缴土地增值税；</w:t>
      </w:r>
    </w:p>
    <w:p w14:paraId="416580FD">
      <w:pPr>
        <w:pStyle w:val="137"/>
      </w:pPr>
      <w:r>
        <w:rPr>
          <w:rFonts w:hint="eastAsia"/>
        </w:rPr>
        <w:t>收到银行按揭房款计入“短期借款”科目，未预缴土地增值税；</w:t>
      </w:r>
    </w:p>
    <w:p w14:paraId="6E1247A5">
      <w:pPr>
        <w:pStyle w:val="137"/>
      </w:pPr>
      <w:r>
        <w:rPr>
          <w:rFonts w:hint="eastAsia"/>
        </w:rPr>
        <w:t>将非普通住宅、其他房屋适用普通住宅的预征率，少预缴土地增值税；</w:t>
      </w:r>
    </w:p>
    <w:p w14:paraId="4E5367B2">
      <w:pPr>
        <w:pStyle w:val="137"/>
      </w:pPr>
      <w:r>
        <w:rPr>
          <w:rFonts w:hint="eastAsia"/>
        </w:rPr>
        <w:t>以开发产品对外投资、换取股权，未预缴土地增值税或未计入房地产转让收入清算土地增值税；</w:t>
      </w:r>
    </w:p>
    <w:p w14:paraId="70BE0116">
      <w:pPr>
        <w:pStyle w:val="137"/>
      </w:pPr>
      <w:r>
        <w:rPr>
          <w:rFonts w:hint="eastAsia"/>
        </w:rPr>
        <w:t>以开发产品换取土地使用权的，未视同销售计入房地产转让收入，预缴土地增值税或清算土地增值税；</w:t>
      </w:r>
    </w:p>
    <w:p w14:paraId="443C98A3">
      <w:pPr>
        <w:pStyle w:val="137"/>
      </w:pPr>
      <w:r>
        <w:rPr>
          <w:rFonts w:hint="eastAsia"/>
        </w:rPr>
        <w:t>将开发产品抵顶材料款、工程款、广告费、贷款等，未计房地产转让收入预缴土地增值税或清算土地增值税；</w:t>
      </w:r>
    </w:p>
    <w:p w14:paraId="63B87191">
      <w:pPr>
        <w:pStyle w:val="137"/>
      </w:pPr>
      <w:r>
        <w:rPr>
          <w:rFonts w:hint="eastAsia"/>
        </w:rPr>
        <w:t>将开发产品用于捐赠、赞助、职工福利、奖励、分配给投资者，未视同销售计入房地产转让收入，预缴土地增值税或清算土地增值税；</w:t>
      </w:r>
    </w:p>
    <w:p w14:paraId="35E9A50A">
      <w:pPr>
        <w:pStyle w:val="137"/>
      </w:pPr>
      <w:r>
        <w:rPr>
          <w:rFonts w:hint="eastAsia"/>
        </w:rPr>
        <w:t>销售无产权的开发产品，如地下车库、储存间等，未计房地产转让收入；</w:t>
      </w:r>
    </w:p>
    <w:p w14:paraId="5F6D308C">
      <w:pPr>
        <w:pStyle w:val="137"/>
      </w:pPr>
      <w:r>
        <w:rPr>
          <w:rFonts w:hint="eastAsia"/>
        </w:rPr>
        <w:t>回迁安置房未按规定申报缴纳土地增值税；</w:t>
      </w:r>
    </w:p>
    <w:p w14:paraId="7AEC425F">
      <w:pPr>
        <w:pStyle w:val="137"/>
      </w:pPr>
      <w:r>
        <w:rPr>
          <w:rFonts w:hint="eastAsia"/>
        </w:rPr>
        <w:t>虚开发票虚增建安工程费待开发成本，少缴土地增值税；</w:t>
      </w:r>
    </w:p>
    <w:p w14:paraId="54BB3CB5">
      <w:pPr>
        <w:pStyle w:val="137"/>
      </w:pPr>
      <w:r>
        <w:rPr>
          <w:rFonts w:hint="eastAsia"/>
        </w:rPr>
        <w:t xml:space="preserve">未移交公共配套设施的建造支出计入可售房屋开发成本，少缴土地增值税 </w:t>
      </w:r>
    </w:p>
    <w:p w14:paraId="2E14D1E2">
      <w:pPr>
        <w:pStyle w:val="137"/>
      </w:pPr>
      <w:r>
        <w:rPr>
          <w:rFonts w:hint="eastAsia"/>
        </w:rPr>
        <w:t>开发成本未按合理方法在不同清算单位或开发产品类型中分摊， 少缴土地增值税；</w:t>
      </w:r>
    </w:p>
    <w:p w14:paraId="6FC494AE">
      <w:pPr>
        <w:pStyle w:val="137"/>
      </w:pPr>
      <w:r>
        <w:rPr>
          <w:rFonts w:hint="eastAsia"/>
        </w:rPr>
        <w:t>将应计入期间费用的支出，计入开发间接费用，以扩大20%加计扣除的基数，少缴土地增值税；</w:t>
      </w:r>
    </w:p>
    <w:p w14:paraId="6388BF49">
      <w:pPr>
        <w:pStyle w:val="137"/>
      </w:pPr>
      <w:r>
        <w:rPr>
          <w:rFonts w:hint="eastAsia"/>
        </w:rPr>
        <w:t>利息支出选择据实扣除的，将超过贷款期限的利息、罚息、非银行金融机构高于商业银行同期贷款利率水平的利息，计入扣除项目，少缴土地增值税。</w:t>
      </w:r>
    </w:p>
    <w:p w14:paraId="101F38E7">
      <w:pPr>
        <w:pStyle w:val="62"/>
        <w:spacing w:before="240" w:beforeLines="100" w:after="240" w:afterLines="100"/>
        <w:ind w:firstLine="0" w:firstLineChars="0"/>
        <w:rPr>
          <w:rFonts w:hint="eastAsia" w:ascii="黑体" w:hAnsi="黑体" w:eastAsia="黑体" w:cs="黑体"/>
          <w:bCs/>
          <w:color w:val="000000" w:themeColor="text1"/>
          <w:szCs w:val="21"/>
          <w:lang w:bidi="ar"/>
          <w14:textFill>
            <w14:solidFill>
              <w14:schemeClr w14:val="tx1"/>
            </w14:solidFill>
          </w14:textFill>
        </w:rPr>
      </w:pPr>
      <w:r>
        <w:rPr>
          <w:rFonts w:hint="eastAsia" w:ascii="黑体" w:hAnsi="黑体" w:eastAsia="黑体" w:cs="黑体"/>
          <w:bCs/>
          <w:color w:val="000000" w:themeColor="text1"/>
          <w:szCs w:val="21"/>
          <w:lang w:bidi="ar"/>
          <w14:textFill>
            <w14:solidFill>
              <w14:schemeClr w14:val="tx1"/>
            </w14:solidFill>
          </w14:textFill>
        </w:rPr>
        <w:t xml:space="preserve">C.4 企业所得税合规管理重点 </w:t>
      </w:r>
    </w:p>
    <w:p w14:paraId="18D6A02E">
      <w:pPr>
        <w:spacing w:line="240" w:lineRule="auto"/>
        <w:ind w:firstLine="420" w:firstLineChars="200"/>
        <w:jc w:val="left"/>
        <w:rPr>
          <w:rFonts w:hint="eastAsia" w:ascii="宋体" w:hAnsi="宋体"/>
          <w:b/>
          <w:color w:val="000000"/>
        </w:rPr>
      </w:pPr>
      <w:r>
        <w:rPr>
          <w:rFonts w:hint="eastAsia" w:ascii="宋体" w:hAnsi="宋体" w:cs="MS Mincho"/>
          <w:color w:val="000000" w:themeColor="text1"/>
          <w:shd w:val="clear" w:color="auto" w:fill="FFFFFF"/>
          <w14:textFill>
            <w14:solidFill>
              <w14:schemeClr w14:val="tx1"/>
            </w14:solidFill>
          </w14:textFill>
        </w:rPr>
        <w:t>企</w:t>
      </w:r>
      <w:r>
        <w:rPr>
          <w:rFonts w:ascii="宋体" w:hAnsi="宋体" w:cs="MS Mincho"/>
          <w:color w:val="000000" w:themeColor="text1"/>
          <w:shd w:val="clear" w:color="auto" w:fill="FFFFFF"/>
          <w14:textFill>
            <w14:solidFill>
              <w14:schemeClr w14:val="tx1"/>
            </w14:solidFill>
          </w14:textFill>
        </w:rPr>
        <w:t>业</w:t>
      </w:r>
      <w:r>
        <w:rPr>
          <w:rFonts w:hint="eastAsia" w:ascii="宋体" w:hAnsi="宋体" w:cs="MS Mincho"/>
          <w:color w:val="000000" w:themeColor="text1"/>
          <w:shd w:val="clear" w:color="auto" w:fill="FFFFFF"/>
          <w14:textFill>
            <w14:solidFill>
              <w14:schemeClr w14:val="tx1"/>
            </w14:solidFill>
          </w14:textFill>
        </w:rPr>
        <w:t>应就其来源于中国境内、境外的所得</w:t>
      </w:r>
      <w:r>
        <w:rPr>
          <w:rFonts w:ascii="宋体" w:hAnsi="宋体" w:cs="MS Mincho"/>
          <w:color w:val="000000" w:themeColor="text1"/>
          <w:shd w:val="clear" w:color="auto" w:fill="FFFFFF"/>
          <w14:textFill>
            <w14:solidFill>
              <w14:schemeClr w14:val="tx1"/>
            </w14:solidFill>
          </w14:textFill>
        </w:rPr>
        <w:t>缴纳</w:t>
      </w:r>
      <w:r>
        <w:rPr>
          <w:rFonts w:hint="eastAsia" w:ascii="宋体" w:hAnsi="宋体" w:cs="MS Mincho"/>
          <w:color w:val="000000" w:themeColor="text1"/>
          <w:shd w:val="clear" w:color="auto" w:fill="FFFFFF"/>
          <w14:textFill>
            <w14:solidFill>
              <w14:schemeClr w14:val="tx1"/>
            </w14:solidFill>
          </w14:textFill>
        </w:rPr>
        <w:t>企</w:t>
      </w:r>
      <w:r>
        <w:rPr>
          <w:rFonts w:ascii="宋体" w:hAnsi="宋体" w:cs="MS Mincho"/>
          <w:color w:val="000000" w:themeColor="text1"/>
          <w:shd w:val="clear" w:color="auto" w:fill="FFFFFF"/>
          <w14:textFill>
            <w14:solidFill>
              <w14:schemeClr w14:val="tx1"/>
            </w14:solidFill>
          </w14:textFill>
        </w:rPr>
        <w:t>业</w:t>
      </w:r>
      <w:r>
        <w:rPr>
          <w:rFonts w:hint="eastAsia" w:ascii="宋体" w:hAnsi="宋体" w:cs="MS Mincho"/>
          <w:color w:val="000000" w:themeColor="text1"/>
          <w:shd w:val="clear" w:color="auto" w:fill="FFFFFF"/>
          <w14:textFill>
            <w14:solidFill>
              <w14:schemeClr w14:val="tx1"/>
            </w14:solidFill>
          </w14:textFill>
        </w:rPr>
        <w:t>所得税。已在境外</w:t>
      </w:r>
      <w:r>
        <w:rPr>
          <w:rFonts w:ascii="宋体" w:hAnsi="宋体" w:cs="MS Mincho"/>
          <w:color w:val="000000" w:themeColor="text1"/>
          <w:shd w:val="clear" w:color="auto" w:fill="FFFFFF"/>
          <w14:textFill>
            <w14:solidFill>
              <w14:schemeClr w14:val="tx1"/>
            </w14:solidFill>
          </w14:textFill>
        </w:rPr>
        <w:t>缴纳</w:t>
      </w:r>
      <w:r>
        <w:rPr>
          <w:rFonts w:hint="eastAsia" w:ascii="宋体" w:hAnsi="宋体" w:cs="MS Mincho"/>
          <w:color w:val="000000" w:themeColor="text1"/>
          <w:shd w:val="clear" w:color="auto" w:fill="FFFFFF"/>
          <w14:textFill>
            <w14:solidFill>
              <w14:schemeClr w14:val="tx1"/>
            </w14:solidFill>
          </w14:textFill>
        </w:rPr>
        <w:t>的所得税税</w:t>
      </w:r>
      <w:r>
        <w:rPr>
          <w:rFonts w:ascii="宋体" w:hAnsi="宋体" w:cs="MS Mincho"/>
          <w:color w:val="000000" w:themeColor="text1"/>
          <w:shd w:val="clear" w:color="auto" w:fill="FFFFFF"/>
          <w14:textFill>
            <w14:solidFill>
              <w14:schemeClr w14:val="tx1"/>
            </w14:solidFill>
          </w14:textFill>
        </w:rPr>
        <w:t>额</w:t>
      </w:r>
      <w:r>
        <w:rPr>
          <w:rFonts w:hint="eastAsia" w:ascii="宋体" w:hAnsi="宋体" w:cs="MS Mincho"/>
          <w:color w:val="000000" w:themeColor="text1"/>
          <w:shd w:val="clear" w:color="auto" w:fill="FFFFFF"/>
          <w14:textFill>
            <w14:solidFill>
              <w14:schemeClr w14:val="tx1"/>
            </w14:solidFill>
          </w14:textFill>
        </w:rPr>
        <w:t>，可以在抵免限</w:t>
      </w:r>
      <w:r>
        <w:rPr>
          <w:rFonts w:ascii="宋体" w:hAnsi="宋体" w:cs="MS Mincho"/>
          <w:color w:val="000000" w:themeColor="text1"/>
          <w:shd w:val="clear" w:color="auto" w:fill="FFFFFF"/>
          <w14:textFill>
            <w14:solidFill>
              <w14:schemeClr w14:val="tx1"/>
            </w14:solidFill>
          </w14:textFill>
        </w:rPr>
        <w:t>额</w:t>
      </w:r>
      <w:r>
        <w:rPr>
          <w:rFonts w:hint="eastAsia" w:ascii="宋体" w:hAnsi="宋体" w:cs="MS Mincho"/>
          <w:color w:val="000000" w:themeColor="text1"/>
          <w:shd w:val="clear" w:color="auto" w:fill="FFFFFF"/>
          <w14:textFill>
            <w14:solidFill>
              <w14:schemeClr w14:val="tx1"/>
            </w14:solidFill>
          </w14:textFill>
        </w:rPr>
        <w:t>内从其当期</w:t>
      </w:r>
      <w:r>
        <w:rPr>
          <w:rFonts w:ascii="宋体" w:hAnsi="宋体" w:cs="MS Mincho"/>
          <w:color w:val="000000" w:themeColor="text1"/>
          <w:shd w:val="clear" w:color="auto" w:fill="FFFFFF"/>
          <w14:textFill>
            <w14:solidFill>
              <w14:schemeClr w14:val="tx1"/>
            </w14:solidFill>
          </w14:textFill>
        </w:rPr>
        <w:t>应纳</w:t>
      </w:r>
      <w:r>
        <w:rPr>
          <w:rFonts w:hint="eastAsia" w:ascii="宋体" w:hAnsi="宋体" w:cs="MS Mincho"/>
          <w:color w:val="000000" w:themeColor="text1"/>
          <w:shd w:val="clear" w:color="auto" w:fill="FFFFFF"/>
          <w14:textFill>
            <w14:solidFill>
              <w14:schemeClr w14:val="tx1"/>
            </w14:solidFill>
          </w14:textFill>
        </w:rPr>
        <w:t>税</w:t>
      </w:r>
      <w:r>
        <w:rPr>
          <w:rFonts w:ascii="宋体" w:hAnsi="宋体" w:cs="MS Mincho"/>
          <w:color w:val="000000" w:themeColor="text1"/>
          <w:shd w:val="clear" w:color="auto" w:fill="FFFFFF"/>
          <w14:textFill>
            <w14:solidFill>
              <w14:schemeClr w14:val="tx1"/>
            </w14:solidFill>
          </w14:textFill>
        </w:rPr>
        <w:t>额</w:t>
      </w:r>
      <w:r>
        <w:rPr>
          <w:rFonts w:hint="eastAsia" w:ascii="宋体" w:hAnsi="宋体" w:cs="MS Mincho"/>
          <w:color w:val="000000" w:themeColor="text1"/>
          <w:shd w:val="clear" w:color="auto" w:fill="FFFFFF"/>
          <w14:textFill>
            <w14:solidFill>
              <w14:schemeClr w14:val="tx1"/>
            </w14:solidFill>
          </w14:textFill>
        </w:rPr>
        <w:t>中抵免；超</w:t>
      </w:r>
      <w:r>
        <w:rPr>
          <w:rFonts w:ascii="宋体" w:hAnsi="宋体" w:cs="MS Mincho"/>
          <w:color w:val="000000" w:themeColor="text1"/>
          <w:shd w:val="clear" w:color="auto" w:fill="FFFFFF"/>
          <w14:textFill>
            <w14:solidFill>
              <w14:schemeClr w14:val="tx1"/>
            </w14:solidFill>
          </w14:textFill>
        </w:rPr>
        <w:t>过</w:t>
      </w:r>
      <w:r>
        <w:rPr>
          <w:rFonts w:hint="eastAsia" w:ascii="宋体" w:hAnsi="宋体" w:cs="MS Mincho"/>
          <w:color w:val="000000" w:themeColor="text1"/>
          <w:shd w:val="clear" w:color="auto" w:fill="FFFFFF"/>
          <w14:textFill>
            <w14:solidFill>
              <w14:schemeClr w14:val="tx1"/>
            </w14:solidFill>
          </w14:textFill>
        </w:rPr>
        <w:t>抵免限</w:t>
      </w:r>
      <w:r>
        <w:rPr>
          <w:rFonts w:ascii="宋体" w:hAnsi="宋体" w:cs="MS Mincho"/>
          <w:color w:val="000000" w:themeColor="text1"/>
          <w:shd w:val="clear" w:color="auto" w:fill="FFFFFF"/>
          <w14:textFill>
            <w14:solidFill>
              <w14:schemeClr w14:val="tx1"/>
            </w14:solidFill>
          </w14:textFill>
        </w:rPr>
        <w:t>额</w:t>
      </w:r>
      <w:r>
        <w:rPr>
          <w:rFonts w:hint="eastAsia" w:ascii="宋体" w:hAnsi="宋体" w:cs="MS Mincho"/>
          <w:color w:val="000000" w:themeColor="text1"/>
          <w:shd w:val="clear" w:color="auto" w:fill="FFFFFF"/>
          <w14:textFill>
            <w14:solidFill>
              <w14:schemeClr w14:val="tx1"/>
            </w14:solidFill>
          </w14:textFill>
        </w:rPr>
        <w:t>的部分，可以在以后五个年度内，用每年度抵免限额抵免当年应抵税额后的余额进行抵补。</w:t>
      </w:r>
      <w:r>
        <w:rPr>
          <w:rFonts w:hint="eastAsia" w:ascii="宋体" w:hAnsi="宋体"/>
          <w:bCs/>
          <w:color w:val="000000"/>
        </w:rPr>
        <w:t>需要重点关注的合规风险如下。</w:t>
      </w:r>
    </w:p>
    <w:p w14:paraId="7CCBC944">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 xml:space="preserve">C.4.1 不计或少计收入，少计缴企业所得税的风险 </w:t>
      </w:r>
    </w:p>
    <w:p w14:paraId="30F53DA0">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4B49E9C8">
      <w:pPr>
        <w:pStyle w:val="137"/>
      </w:pPr>
      <w:r>
        <w:rPr>
          <w:rFonts w:hint="eastAsia"/>
        </w:rPr>
        <w:t>以签订“阴阳合同”等形式隐匿或者以他人名义分解收入，少计应纳税所得额；</w:t>
      </w:r>
    </w:p>
    <w:p w14:paraId="6D9A8282">
      <w:pPr>
        <w:pStyle w:val="137"/>
      </w:pPr>
      <w:r>
        <w:rPr>
          <w:rFonts w:hint="eastAsia"/>
        </w:rPr>
        <w:t>将销售商品、提供劳务、财产转让收入、投资收益等应税收入长期挂往来科目，少计应纳税所得额；</w:t>
      </w:r>
    </w:p>
    <w:p w14:paraId="5B8DA1CC">
      <w:pPr>
        <w:pStyle w:val="137"/>
      </w:pPr>
      <w:r>
        <w:rPr>
          <w:rFonts w:hint="eastAsia"/>
        </w:rPr>
        <w:t>将闲置资产出租的租赁收入、将资金拆借收取的资金占用费收入，不入账或挂往来科目，少计应纳税所得额；</w:t>
      </w:r>
    </w:p>
    <w:p w14:paraId="6384F097">
      <w:pPr>
        <w:pStyle w:val="137"/>
      </w:pPr>
      <w:r>
        <w:t>取得</w:t>
      </w:r>
      <w:r>
        <w:rPr>
          <w:rFonts w:hint="eastAsia"/>
        </w:rPr>
        <w:t>的非</w:t>
      </w:r>
      <w:r>
        <w:t>货币形式</w:t>
      </w:r>
      <w:r>
        <w:rPr>
          <w:rFonts w:hint="eastAsia"/>
        </w:rPr>
        <w:t>收入，</w:t>
      </w:r>
      <w:r>
        <w:t>包括固定资产、生物资产、无形资产、股权投资、存货、不准备持有至到期的债券投资、劳务以及有关权益等</w:t>
      </w:r>
      <w:r>
        <w:rPr>
          <w:rFonts w:hint="eastAsia"/>
        </w:rPr>
        <w:t>，未</w:t>
      </w:r>
      <w:r>
        <w:t>按照公允价值确定收入额</w:t>
      </w:r>
      <w:r>
        <w:rPr>
          <w:rFonts w:hint="eastAsia"/>
        </w:rPr>
        <w:t>；</w:t>
      </w:r>
    </w:p>
    <w:p w14:paraId="7E0EB6C1">
      <w:pPr>
        <w:pStyle w:val="137"/>
      </w:pPr>
      <w:r>
        <w:t>发生非货币性资产交换，以及将货物、财产、劳务用于捐赠、偿债、赞助、集资、广告、样品、职工福利或者利润分配等用途的，</w:t>
      </w:r>
      <w:r>
        <w:rPr>
          <w:rFonts w:hint="eastAsia"/>
        </w:rPr>
        <w:t>未作</w:t>
      </w:r>
      <w:r>
        <w:t>视同销售</w:t>
      </w:r>
      <w:r>
        <w:rPr>
          <w:rFonts w:hint="eastAsia"/>
        </w:rPr>
        <w:t>处理，少计应纳税所得额。</w:t>
      </w:r>
    </w:p>
    <w:p w14:paraId="15860B84">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 xml:space="preserve">C.4.2 不及时确认收入，滞后缴纳企业所得税的风险 </w:t>
      </w:r>
    </w:p>
    <w:p w14:paraId="5274951A">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5D88F197">
      <w:pPr>
        <w:pStyle w:val="137"/>
      </w:pPr>
      <w:r>
        <w:rPr>
          <w:rFonts w:hint="eastAsia"/>
        </w:rPr>
        <w:t>以分期收款方式销售货物的，未在合同约定的收款日期，确认收入的实现；</w:t>
      </w:r>
    </w:p>
    <w:p w14:paraId="69A92451">
      <w:pPr>
        <w:pStyle w:val="137"/>
      </w:pPr>
      <w:r>
        <w:rPr>
          <w:rFonts w:hint="eastAsia"/>
        </w:rPr>
        <w:t>采取产品分成方式取得收入的，未在企业分得产品的日期按照产品的公允价值，确认收入的实现；</w:t>
      </w:r>
    </w:p>
    <w:p w14:paraId="18E317F0">
      <w:pPr>
        <w:pStyle w:val="137"/>
      </w:pPr>
      <w:r>
        <w:rPr>
          <w:rFonts w:hint="eastAsia"/>
        </w:rPr>
        <w:t>从事建筑、安装、装配工程业务或者提供劳务或受托加工制造大型机械设备、船舶、飞机，持续时间超过12个月的，未按照纳税年度内完工进度或者完成的工作量，确认收入的实现；</w:t>
      </w:r>
    </w:p>
    <w:p w14:paraId="5B1A03DD">
      <w:pPr>
        <w:pStyle w:val="137"/>
      </w:pPr>
      <w:r>
        <w:rPr>
          <w:rFonts w:hint="eastAsia"/>
        </w:rPr>
        <w:t>销售商品收入未及时确认收入的实现；</w:t>
      </w:r>
    </w:p>
    <w:p w14:paraId="10131F89">
      <w:pPr>
        <w:pStyle w:val="137"/>
      </w:pPr>
      <w:r>
        <w:rPr>
          <w:rFonts w:hint="eastAsia"/>
        </w:rPr>
        <w:t>除租赁期限跨年度且租金提前一次性支付外，租金收入未按合同约定的承租人应付租金的日期，确认收入的实现；</w:t>
      </w:r>
    </w:p>
    <w:p w14:paraId="48AD93F9">
      <w:pPr>
        <w:pStyle w:val="137"/>
      </w:pPr>
      <w:r>
        <w:rPr>
          <w:rFonts w:hint="eastAsia"/>
        </w:rPr>
        <w:t>利息收入，除金融机构逾期贷款外，未按照合同约定的债务人应付利息的日期，确认收入的实现；</w:t>
      </w:r>
    </w:p>
    <w:p w14:paraId="4612A30E">
      <w:pPr>
        <w:pStyle w:val="137"/>
      </w:pPr>
      <w:r>
        <w:rPr>
          <w:rFonts w:hint="eastAsia"/>
        </w:rPr>
        <w:t>为特定客户开发软件的收费，未按开发的完工进度确认收入；</w:t>
      </w:r>
    </w:p>
    <w:p w14:paraId="540623A1">
      <w:pPr>
        <w:pStyle w:val="137"/>
      </w:pPr>
      <w:r>
        <w:rPr>
          <w:rFonts w:hint="eastAsia"/>
        </w:rPr>
        <w:t>申请入会或加入会员，若仅获会籍且其他服务或商品需另行收费，则会员费取得时不确认收入，若会员期内可免费或低价享服务或商品，则会员费在受益期内分期确认收入；</w:t>
      </w:r>
    </w:p>
    <w:p w14:paraId="0A91C5A3">
      <w:pPr>
        <w:pStyle w:val="137"/>
      </w:pPr>
      <w:r>
        <w:rPr>
          <w:rFonts w:hint="eastAsia"/>
        </w:rPr>
        <w:t>取得特许权费收入，属于提供设备和其他有形资产的特许权费收入，未在交付资产或转移资产所有权时确认收入；属于提供初始及后续服务的特许权费，未在提供服务时确认收入；</w:t>
      </w:r>
    </w:p>
    <w:p w14:paraId="1557B225">
      <w:pPr>
        <w:pStyle w:val="137"/>
      </w:pPr>
      <w:r>
        <w:rPr>
          <w:rFonts w:hint="eastAsia"/>
        </w:rPr>
        <w:t>接受捐赠的收入，未按照实际收到捐赠资产的日期，确认收入的实现，特别关注取得不符合不征税收入条件的政府补助，未按收到政府补助的日期计入当期收入总额的风险；</w:t>
      </w:r>
    </w:p>
    <w:p w14:paraId="6059E432">
      <w:pPr>
        <w:pStyle w:val="137"/>
      </w:pPr>
      <w:r>
        <w:rPr>
          <w:rFonts w:hint="eastAsia"/>
        </w:rPr>
        <w:t>股息、红利等权益性投资收益，除国务院财政、税务主管部门另有规定外，未按照被投资企业股东会或股东大会作出利润分配或转股决定的日期，确认收入的实现；</w:t>
      </w:r>
    </w:p>
    <w:p w14:paraId="73943930">
      <w:pPr>
        <w:pStyle w:val="137"/>
      </w:pPr>
      <w:r>
        <w:rPr>
          <w:rFonts w:hint="eastAsia"/>
        </w:rPr>
        <w:t>转让股权的收入，未按照转让协议生效、且完成股权变更手续的日期，确认收入的实现。</w:t>
      </w:r>
    </w:p>
    <w:p w14:paraId="1862DD47">
      <w:pPr>
        <w:pStyle w:val="137"/>
        <w:numPr>
          <w:ilvl w:val="0"/>
          <w:numId w:val="0"/>
        </w:numPr>
        <w:spacing w:before="120" w:beforeLines="50" w:after="120" w:afterLines="50"/>
        <w:rPr>
          <w:rFonts w:hint="eastAsia" w:ascii="黑体" w:hAnsi="黑体" w:eastAsia="黑体" w:cs="黑体"/>
        </w:rPr>
      </w:pPr>
      <w:r>
        <w:rPr>
          <w:rFonts w:hint="eastAsia" w:ascii="黑体" w:hAnsi="黑体" w:eastAsia="黑体" w:cs="黑体"/>
        </w:rPr>
        <w:t>C.4.3 多扣除成本费用，少计缴企业所得税的风险</w:t>
      </w:r>
    </w:p>
    <w:p w14:paraId="23CFA391">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6FC2C30C">
      <w:pPr>
        <w:pStyle w:val="137"/>
      </w:pPr>
      <w:r>
        <w:rPr>
          <w:rFonts w:hint="eastAsia"/>
        </w:rPr>
        <w:t>利用虚开发票或虚列人工费等虚增成本费用，多计扣除项目；</w:t>
      </w:r>
    </w:p>
    <w:p w14:paraId="1DC1873E">
      <w:pPr>
        <w:pStyle w:val="137"/>
      </w:pPr>
      <w:r>
        <w:rPr>
          <w:rFonts w:hint="eastAsia"/>
        </w:rPr>
        <w:t>扣除与取得收入不相关的支出，如已作为不征税收入处理所形成的费用、个人消费性支出、向投资者支付的股息、红利等权益性投资收益、非公益性质的捐赠支出、非广告性质的赞助支出等；</w:t>
      </w:r>
    </w:p>
    <w:p w14:paraId="246E0DF2">
      <w:pPr>
        <w:pStyle w:val="137"/>
      </w:pPr>
      <w:r>
        <w:rPr>
          <w:rFonts w:hint="eastAsia"/>
        </w:rPr>
        <w:t>扣除不符合生产经营活动常规或应计入当期损益或资产成本的非必要支出，如税收滞纳金、罚金、罚款和被没收财物的损失等；</w:t>
      </w:r>
    </w:p>
    <w:p w14:paraId="2D19CE23">
      <w:pPr>
        <w:pStyle w:val="137"/>
      </w:pPr>
      <w:r>
        <w:rPr>
          <w:rFonts w:hint="eastAsia"/>
        </w:rPr>
        <w:t>成本费用分配不准确，混淆计税对象和归属期，多扣除当期成本费用；</w:t>
      </w:r>
    </w:p>
    <w:p w14:paraId="5205EAA8">
      <w:pPr>
        <w:pStyle w:val="137"/>
      </w:pPr>
      <w:r>
        <w:rPr>
          <w:rFonts w:hint="eastAsia"/>
        </w:rPr>
        <w:t>使用或者销售的存货的成本计算方法选择后进先出法的，未按规定进行纳税调整；</w:t>
      </w:r>
    </w:p>
    <w:p w14:paraId="480815FC">
      <w:pPr>
        <w:pStyle w:val="137"/>
      </w:pPr>
      <w:r>
        <w:rPr>
          <w:rFonts w:hint="eastAsia"/>
        </w:rPr>
        <w:t>未实际发生的成本费用进行扣除，如预计的产品维修费、未决诉讼费用以及未经核定的准备金支出等；</w:t>
      </w:r>
    </w:p>
    <w:p w14:paraId="79402E0C">
      <w:pPr>
        <w:pStyle w:val="137"/>
      </w:pPr>
      <w:r>
        <w:rPr>
          <w:rFonts w:hint="eastAsia"/>
        </w:rPr>
        <w:t>多扣除借款费用，具体包括：</w:t>
      </w:r>
    </w:p>
    <w:p w14:paraId="2E3389D5">
      <w:pPr>
        <w:pStyle w:val="192"/>
        <w:tabs>
          <w:tab w:val="clear" w:pos="568"/>
        </w:tabs>
      </w:pPr>
      <w:r>
        <w:rPr>
          <w:rFonts w:hint="eastAsia"/>
        </w:rPr>
        <w:t>为购建固定资产、无形资产的支出和经过12个月以上的建造才能达到预定可销售状态的存货发生的借款费用，未予资本化，作为当期财务费用一次性扣除；</w:t>
      </w:r>
    </w:p>
    <w:p w14:paraId="0A3B7371">
      <w:pPr>
        <w:pStyle w:val="192"/>
        <w:tabs>
          <w:tab w:val="clear" w:pos="568"/>
        </w:tabs>
      </w:pPr>
      <w:r>
        <w:rPr>
          <w:rFonts w:hint="eastAsia"/>
        </w:rPr>
        <w:t>向非金融企业借款的利息支出，超过按照金融企业同期同类贷款利率计算数额的部分，未调增应纳税所得额；</w:t>
      </w:r>
    </w:p>
    <w:p w14:paraId="25C87F55">
      <w:pPr>
        <w:pStyle w:val="192"/>
        <w:tabs>
          <w:tab w:val="clear" w:pos="568"/>
        </w:tabs>
      </w:pPr>
      <w:r>
        <w:rPr>
          <w:rFonts w:hint="eastAsia"/>
        </w:rPr>
        <w:t>对外借款所发生的利息，相当于投资者实缴资本额与在规定期限内应缴资本额的差额应计付的利息支出，未调增应纳税所得额。</w:t>
      </w:r>
    </w:p>
    <w:p w14:paraId="17C9AC15">
      <w:pPr>
        <w:pStyle w:val="137"/>
      </w:pPr>
      <w:r>
        <w:rPr>
          <w:rFonts w:hint="eastAsia"/>
        </w:rPr>
        <w:t>多扣除职工薪酬支出，具体包括：</w:t>
      </w:r>
    </w:p>
    <w:p w14:paraId="2EDB710E">
      <w:pPr>
        <w:pStyle w:val="192"/>
        <w:tabs>
          <w:tab w:val="clear" w:pos="568"/>
        </w:tabs>
      </w:pPr>
      <w:r>
        <w:rPr>
          <w:rFonts w:hint="eastAsia"/>
        </w:rPr>
        <w:t>已计提未在次年汇算清缴期满之前发放的工资薪金支出，未调增应纳税所得额；</w:t>
      </w:r>
    </w:p>
    <w:p w14:paraId="338CEE3E">
      <w:pPr>
        <w:pStyle w:val="192"/>
        <w:tabs>
          <w:tab w:val="clear" w:pos="568"/>
        </w:tabs>
      </w:pPr>
      <w:r>
        <w:rPr>
          <w:rFonts w:hint="eastAsia"/>
        </w:rPr>
        <w:t>已计提未支付或超过扣除标准的职工福利费、职工教育经费、工会经费，未调增应纳税所得额；</w:t>
      </w:r>
    </w:p>
    <w:p w14:paraId="409C974A">
      <w:pPr>
        <w:pStyle w:val="192"/>
        <w:tabs>
          <w:tab w:val="clear" w:pos="568"/>
        </w:tabs>
      </w:pPr>
      <w:r>
        <w:rPr>
          <w:rFonts w:hint="eastAsia"/>
        </w:rPr>
        <w:t>员工股权激励支出在行权前会计上已作为当期费用扣除的，未调增应纳税所得额；</w:t>
      </w:r>
    </w:p>
    <w:p w14:paraId="5264D8C2">
      <w:pPr>
        <w:pStyle w:val="192"/>
        <w:tabs>
          <w:tab w:val="clear" w:pos="568"/>
        </w:tabs>
      </w:pPr>
      <w:r>
        <w:rPr>
          <w:rFonts w:hint="eastAsia"/>
        </w:rPr>
        <w:t>超规定标准为职工支付社会保险费和住房公积金，未调增应纳税所得额；</w:t>
      </w:r>
    </w:p>
    <w:p w14:paraId="01DC7361">
      <w:pPr>
        <w:pStyle w:val="192"/>
        <w:tabs>
          <w:tab w:val="clear" w:pos="568"/>
        </w:tabs>
      </w:pPr>
      <w:r>
        <w:rPr>
          <w:rFonts w:hint="eastAsia"/>
        </w:rPr>
        <w:t>超规定范围为投资者或者职工支付的商业保险费，未调增应纳税所得额。</w:t>
      </w:r>
    </w:p>
    <w:p w14:paraId="01430F1B">
      <w:pPr>
        <w:pStyle w:val="137"/>
      </w:pPr>
      <w:r>
        <w:rPr>
          <w:rFonts w:hint="eastAsia"/>
        </w:rPr>
        <w:t>扣除超过扣除标准的业务招待费、广告宣传费、佣金手续费、公益性捐赠支出或将有扣除标准的费用混淆为无扣除标准的费用进行扣除；</w:t>
      </w:r>
    </w:p>
    <w:p w14:paraId="04A74180">
      <w:pPr>
        <w:pStyle w:val="137"/>
      </w:pPr>
      <w:r>
        <w:rPr>
          <w:rFonts w:hint="eastAsia"/>
        </w:rPr>
        <w:t>企业之间支付的管理费、企业内营业机构之间支付的租金和特许权使用费，以及非银行企业内营业机构之间支付的利息，进行税前扣除，少计当期应纳税所得额。</w:t>
      </w:r>
    </w:p>
    <w:p w14:paraId="1F8888F0">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 xml:space="preserve">C.4.4 多扣除资产折旧及摊销费用，少计缴企业所得税的风险 </w:t>
      </w:r>
    </w:p>
    <w:p w14:paraId="53FA23CD">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3E3C5FDE">
      <w:pPr>
        <w:pStyle w:val="137"/>
      </w:pPr>
      <w:r>
        <w:rPr>
          <w:rFonts w:hint="eastAsia"/>
        </w:rPr>
        <w:t>将固定资产、无形资产、生产性生物资产、长期待摊费用等资本性支出一次计入当期费用进行扣除；</w:t>
      </w:r>
    </w:p>
    <w:p w14:paraId="2D368CCF">
      <w:pPr>
        <w:pStyle w:val="137"/>
      </w:pPr>
      <w:r>
        <w:rPr>
          <w:rFonts w:hint="eastAsia"/>
        </w:rPr>
        <w:t>虚计资产成本，资产的历史成本计算不准确、将持有资产期间资产增值或者减值违规调整计税基础；</w:t>
      </w:r>
    </w:p>
    <w:p w14:paraId="20C4ADC7">
      <w:pPr>
        <w:pStyle w:val="137"/>
      </w:pPr>
      <w:r>
        <w:rPr>
          <w:rFonts w:hint="eastAsia"/>
        </w:rPr>
        <w:t>扩大资产折旧与摊销费用扣除范围，具体包括：</w:t>
      </w:r>
    </w:p>
    <w:p w14:paraId="344B7732">
      <w:pPr>
        <w:pStyle w:val="192"/>
        <w:tabs>
          <w:tab w:val="clear" w:pos="568"/>
        </w:tabs>
      </w:pPr>
      <w:r>
        <w:rPr>
          <w:rFonts w:hint="eastAsia"/>
        </w:rPr>
        <w:t>将不征税收入用于支出所形成的资产的折旧与摊销费用扣除；</w:t>
      </w:r>
    </w:p>
    <w:p w14:paraId="4E289314">
      <w:pPr>
        <w:pStyle w:val="192"/>
        <w:tabs>
          <w:tab w:val="clear" w:pos="568"/>
        </w:tabs>
      </w:pPr>
      <w:r>
        <w:rPr>
          <w:rFonts w:hint="eastAsia"/>
        </w:rPr>
        <w:t>将房屋、建筑物以外未投入使用的固定资产、以经营租赁方式租入的固定资产、以融资租赁方式租出的固定资产、已足额提取折旧仍继续使用的固定资产、与经营活动无关的固定资产计算折旧扣除；</w:t>
      </w:r>
    </w:p>
    <w:p w14:paraId="059F3EE9">
      <w:pPr>
        <w:pStyle w:val="192"/>
        <w:tabs>
          <w:tab w:val="clear" w:pos="568"/>
        </w:tabs>
      </w:pPr>
      <w:r>
        <w:rPr>
          <w:rFonts w:hint="eastAsia"/>
        </w:rPr>
        <w:t>将自行开发的支出已在计算应纳税所得额时扣除的无形资产、自创商誉通讯与经营活动无关的无形资产计算摊销费用扣除；</w:t>
      </w:r>
    </w:p>
    <w:p w14:paraId="493D1F8D">
      <w:pPr>
        <w:pStyle w:val="192"/>
        <w:tabs>
          <w:tab w:val="clear" w:pos="568"/>
        </w:tabs>
      </w:pPr>
      <w:r>
        <w:rPr>
          <w:rFonts w:hint="eastAsia"/>
        </w:rPr>
        <w:t>资产折旧及摊销费用的计提方法、年限与税法存在差异的，未按税法规定进行纳税调整。</w:t>
      </w:r>
    </w:p>
    <w:p w14:paraId="48F032D2">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C.4.5 多扣除资产损失，少计缴企业所得税的风险</w:t>
      </w:r>
    </w:p>
    <w:p w14:paraId="41DA90E2">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78F50BD5">
      <w:pPr>
        <w:pStyle w:val="137"/>
      </w:pPr>
      <w:r>
        <w:rPr>
          <w:rFonts w:hint="eastAsia"/>
        </w:rPr>
        <w:t>未经核定的资产减值准备金支出，未按税法规定进行纳税调整；</w:t>
      </w:r>
    </w:p>
    <w:p w14:paraId="6BD3F37F">
      <w:pPr>
        <w:pStyle w:val="137"/>
      </w:pPr>
      <w:r>
        <w:rPr>
          <w:rFonts w:hint="eastAsia"/>
        </w:rPr>
        <w:t>资产损失扣除金额计算不准确，未减除责任人赔偿和保险赔款；</w:t>
      </w:r>
    </w:p>
    <w:p w14:paraId="3D313890">
      <w:pPr>
        <w:pStyle w:val="137"/>
      </w:pPr>
      <w:r>
        <w:rPr>
          <w:rFonts w:hint="eastAsia"/>
        </w:rPr>
        <w:t>超范围扣除资产损失，扣除资产损失的相关资料证据不充分；</w:t>
      </w:r>
    </w:p>
    <w:p w14:paraId="2453B5AB">
      <w:pPr>
        <w:pStyle w:val="137"/>
      </w:pPr>
      <w:r>
        <w:rPr>
          <w:rFonts w:hint="eastAsia"/>
        </w:rPr>
        <w:t>已经作为损失处理的资产，在以后纳税年度又全部收回或者部分收回时，未计入当期收入。</w:t>
      </w:r>
    </w:p>
    <w:p w14:paraId="3A6D344B">
      <w:pPr>
        <w:pStyle w:val="137"/>
        <w:numPr>
          <w:ilvl w:val="255"/>
          <w:numId w:val="0"/>
        </w:numPr>
        <w:spacing w:before="120" w:beforeLines="50" w:after="120" w:afterLines="50"/>
        <w:rPr>
          <w:rFonts w:hint="eastAsia" w:ascii="黑体" w:hAnsi="黑体" w:eastAsia="黑体" w:cs="黑体"/>
        </w:rPr>
      </w:pPr>
      <w:r>
        <w:rPr>
          <w:rFonts w:hint="eastAsia" w:ascii="黑体" w:hAnsi="黑体" w:eastAsia="黑体" w:cs="黑体"/>
        </w:rPr>
        <w:t>C.4.6 虚报税收优惠，少缴企业所得税的风险</w:t>
      </w:r>
    </w:p>
    <w:p w14:paraId="0A7BEC8D">
      <w:pPr>
        <w:pStyle w:val="137"/>
        <w:numPr>
          <w:ilvl w:val="255"/>
          <w:numId w:val="0"/>
        </w:numPr>
        <w:ind w:firstLine="420" w:firstLineChars="200"/>
        <w:rPr>
          <w:rFonts w:hint="eastAsia" w:hAnsi="宋体" w:cs="宋体"/>
        </w:rPr>
      </w:pPr>
      <w:r>
        <w:rPr>
          <w:rFonts w:hint="eastAsia" w:hAnsi="宋体" w:cs="宋体"/>
        </w:rPr>
        <w:t xml:space="preserve">具体可能发生的情形包括： </w:t>
      </w:r>
    </w:p>
    <w:p w14:paraId="4F2EA5C1">
      <w:pPr>
        <w:pStyle w:val="137"/>
      </w:pPr>
      <w:r>
        <w:rPr>
          <w:rFonts w:hint="eastAsia"/>
        </w:rPr>
        <w:t>擅自扩大免税利息收入范围，将国债、铁路债券转让收入及利息，永续债利息收入，不符合条件的农户小额贷款利息收入等错误计入免税或减税收入；</w:t>
      </w:r>
    </w:p>
    <w:p w14:paraId="4B99B05C">
      <w:pPr>
        <w:pStyle w:val="137"/>
      </w:pPr>
      <w:r>
        <w:rPr>
          <w:rFonts w:hint="eastAsia"/>
        </w:rPr>
        <w:t>擅自扩大免税的投资收益范围，将持有不足12个月的上市流通股票投资收益、合伙企业投资收益、非居民企业权益投资收益、非权益性投资收益等不符合条件的权益性投资收益错误计入免税收入；</w:t>
      </w:r>
    </w:p>
    <w:p w14:paraId="620F8BB1">
      <w:pPr>
        <w:pStyle w:val="137"/>
      </w:pPr>
      <w:r>
        <w:rPr>
          <w:rFonts w:hint="eastAsia"/>
        </w:rPr>
        <w:t>擅自扩大研发费用加计扣除范围，具体包括：</w:t>
      </w:r>
    </w:p>
    <w:p w14:paraId="096EF014">
      <w:pPr>
        <w:pStyle w:val="192"/>
        <w:tabs>
          <w:tab w:val="clear" w:pos="568"/>
        </w:tabs>
      </w:pPr>
      <w:r>
        <w:rPr>
          <w:rFonts w:hint="eastAsia"/>
        </w:rPr>
        <w:t>将生产性成本、日常运营费、一般知识技术活动费、非研发人员工资等归为可加计扣除研发费；</w:t>
      </w:r>
    </w:p>
    <w:p w14:paraId="7FFCDC85">
      <w:pPr>
        <w:pStyle w:val="192"/>
        <w:tabs>
          <w:tab w:val="clear" w:pos="568"/>
        </w:tabs>
      </w:pPr>
      <w:r>
        <w:rPr>
          <w:rFonts w:hint="eastAsia"/>
        </w:rPr>
        <w:t>未如实提供产研共用设备和人员使用记录从而扩大加计扣除；</w:t>
      </w:r>
    </w:p>
    <w:p w14:paraId="22A4CF6E">
      <w:pPr>
        <w:pStyle w:val="192"/>
        <w:tabs>
          <w:tab w:val="clear" w:pos="568"/>
        </w:tabs>
      </w:pPr>
      <w:r>
        <w:rPr>
          <w:rFonts w:hint="eastAsia"/>
        </w:rPr>
        <w:t>把研发部门土地使用权摊销、房屋折旧租赁等费用及委托境外个人研发费、研发人员培训费、研发产品销售对应材料费、不征税政府补助对应研发费等列入加计扣除；</w:t>
      </w:r>
    </w:p>
    <w:p w14:paraId="27B68535">
      <w:pPr>
        <w:pStyle w:val="192"/>
        <w:tabs>
          <w:tab w:val="clear" w:pos="568"/>
        </w:tabs>
      </w:pPr>
      <w:r>
        <w:rPr>
          <w:rFonts w:hint="eastAsia"/>
        </w:rPr>
        <w:t>研发形成下脚料、残次品、中间试制品等特殊收入未冲减研发费。</w:t>
      </w:r>
    </w:p>
    <w:p w14:paraId="2020F85B">
      <w:pPr>
        <w:pStyle w:val="137"/>
      </w:pPr>
      <w:r>
        <w:rPr>
          <w:rFonts w:hint="eastAsia"/>
        </w:rPr>
        <w:t>擅自扩大残疾人员工资加计扣除范围，将不符合劳动合同、社保缴纳、工资支付等条件的残疾人员工资列入加计扣除，且未剔除社保费、福利费；</w:t>
      </w:r>
    </w:p>
    <w:p w14:paraId="2BE47415">
      <w:pPr>
        <w:pStyle w:val="137"/>
      </w:pPr>
      <w:r>
        <w:rPr>
          <w:rFonts w:hint="eastAsia"/>
        </w:rPr>
        <w:t>违规享受农、林、牧、渔业项目的税收优惠，重点包括：</w:t>
      </w:r>
    </w:p>
    <w:p w14:paraId="764605DE">
      <w:pPr>
        <w:pStyle w:val="192"/>
        <w:tabs>
          <w:tab w:val="clear" w:pos="568"/>
        </w:tabs>
      </w:pPr>
      <w:r>
        <w:rPr>
          <w:rFonts w:hint="eastAsia"/>
        </w:rPr>
        <w:t>农产品初加工范围不符合《享受企业所得税优惠政策的农产品初加工范围(试行)》；</w:t>
      </w:r>
    </w:p>
    <w:p w14:paraId="775C1759">
      <w:pPr>
        <w:pStyle w:val="192"/>
        <w:tabs>
          <w:tab w:val="clear" w:pos="568"/>
        </w:tabs>
      </w:pPr>
      <w:r>
        <w:rPr>
          <w:rFonts w:hint="eastAsia"/>
        </w:rPr>
        <w:t>企业从事农、林、牧、渔业项目，属于《产业结构调整指导目录》限制和淘汰类的项目；</w:t>
      </w:r>
    </w:p>
    <w:p w14:paraId="22F89B5C">
      <w:pPr>
        <w:pStyle w:val="192"/>
        <w:tabs>
          <w:tab w:val="clear" w:pos="568"/>
        </w:tabs>
      </w:pPr>
      <w:r>
        <w:rPr>
          <w:rFonts w:hint="eastAsia"/>
        </w:rPr>
        <w:t>未合理划分不同项目的成本、费用支出，未分别核算种植、养殖项目和初加工项目的所得，并各按适用的政策享受税收优惠；</w:t>
      </w:r>
    </w:p>
    <w:p w14:paraId="366CCCCC">
      <w:pPr>
        <w:pStyle w:val="192"/>
        <w:tabs>
          <w:tab w:val="clear" w:pos="568"/>
        </w:tabs>
      </w:pPr>
      <w:r>
        <w:rPr>
          <w:rFonts w:hint="eastAsia"/>
        </w:rPr>
        <w:t>同时从事适用不同企业所得税政策规定项目的，未分别核算，单独计算优惠项目的计税依据及优惠数额；</w:t>
      </w:r>
    </w:p>
    <w:p w14:paraId="06F986AE">
      <w:pPr>
        <w:pStyle w:val="192"/>
        <w:tabs>
          <w:tab w:val="clear" w:pos="568"/>
        </w:tabs>
      </w:pPr>
      <w:r>
        <w:rPr>
          <w:rFonts w:hint="eastAsia"/>
        </w:rPr>
        <w:t>将购买农产品后直接进行销售的贸易活动产生的所得，违规享受农、林、牧、渔业项目的税收优惠。</w:t>
      </w:r>
    </w:p>
    <w:p w14:paraId="2DB06926">
      <w:pPr>
        <w:pStyle w:val="137"/>
      </w:pPr>
      <w:r>
        <w:rPr>
          <w:rFonts w:hint="eastAsia"/>
        </w:rPr>
        <w:t>违规享受公共基础设施项目的税收优惠，经营项目不在《公共基础设施项目企业所得税优惠目录》范围内，延迟确认第一笔生产经营收入，未单独核算所得并合理分摊期间费用，违规以分批次建设单独计算所得的方式享受优惠，承包经营、承包建设和内部自建自用的项目违规享受优惠；</w:t>
      </w:r>
    </w:p>
    <w:p w14:paraId="63BEA986">
      <w:pPr>
        <w:pStyle w:val="137"/>
      </w:pPr>
      <w:r>
        <w:rPr>
          <w:rFonts w:hint="eastAsia"/>
        </w:rPr>
        <w:t>违规享受环境保护、节能节水项目的税收优惠，项目不在《环境保护、节能节水项目企业所得税优惠目录（2021年版）》内，未与非优惠项目所得分开核算并合理分摊期间费用，延迟确认项目建成投入运营后的第一笔收入；</w:t>
      </w:r>
    </w:p>
    <w:p w14:paraId="247A67E7">
      <w:pPr>
        <w:pStyle w:val="137"/>
      </w:pPr>
      <w:r>
        <w:rPr>
          <w:rFonts w:hint="eastAsia"/>
        </w:rPr>
        <w:t>违规享受资源综合利用税收优惠，产品条件、技术标准及原材料比例不符合《资源综合利用企业所得税优惠目录（2021年版）》规定，未将非资源综合利用收入与资源综合利用收入分开核算而享受税收优惠；</w:t>
      </w:r>
    </w:p>
    <w:p w14:paraId="06F0C3D1">
      <w:pPr>
        <w:pStyle w:val="137"/>
      </w:pPr>
      <w:r>
        <w:rPr>
          <w:rFonts w:hint="eastAsia"/>
        </w:rPr>
        <w:t>违规享受专用设备税收优惠，具体包括：</w:t>
      </w:r>
    </w:p>
    <w:p w14:paraId="5D94D38F">
      <w:pPr>
        <w:pStyle w:val="192"/>
        <w:tabs>
          <w:tab w:val="clear" w:pos="568"/>
        </w:tabs>
      </w:pPr>
      <w:r>
        <w:rPr>
          <w:rFonts w:hint="eastAsia"/>
        </w:rPr>
        <w:t>未投入使用专用设备、利用财政拨款购置专用设备的投资额计入抵免投资额，投资额中包括的增值税和设备运输、安装、调试等费用计入抵免投资额；</w:t>
      </w:r>
    </w:p>
    <w:p w14:paraId="3184FC5A">
      <w:pPr>
        <w:pStyle w:val="192"/>
        <w:tabs>
          <w:tab w:val="clear" w:pos="568"/>
        </w:tabs>
      </w:pPr>
      <w:r>
        <w:rPr>
          <w:rFonts w:hint="eastAsia"/>
        </w:rPr>
        <w:t>已开始享受税收优惠的专用设备，在从购置之日起5个纳税年度内转让、出租的，未在该专用设备停止使用当月，停止享受企业所得税优惠，并补缴已经抵免的企业所得税税款。</w:t>
      </w:r>
    </w:p>
    <w:p w14:paraId="55D1D5A5">
      <w:pPr>
        <w:pStyle w:val="62"/>
        <w:spacing w:before="240" w:beforeLines="100" w:after="240" w:afterLines="100"/>
        <w:ind w:firstLine="0" w:firstLineChars="0"/>
        <w:rPr>
          <w:rFonts w:hint="eastAsia" w:ascii="黑体" w:hAnsi="黑体" w:eastAsia="黑体" w:cs="黑体"/>
          <w:bCs/>
          <w:color w:val="000000" w:themeColor="text1"/>
          <w:szCs w:val="21"/>
          <w:lang w:bidi="ar"/>
          <w14:textFill>
            <w14:solidFill>
              <w14:schemeClr w14:val="tx1"/>
            </w14:solidFill>
          </w14:textFill>
        </w:rPr>
      </w:pPr>
      <w:r>
        <w:rPr>
          <w:rFonts w:hint="eastAsia" w:ascii="黑体" w:hAnsi="黑体" w:eastAsia="黑体" w:cs="黑体"/>
          <w:bCs/>
          <w:color w:val="000000" w:themeColor="text1"/>
          <w:szCs w:val="21"/>
          <w:lang w:bidi="ar"/>
          <w14:textFill>
            <w14:solidFill>
              <w14:schemeClr w14:val="tx1"/>
            </w14:solidFill>
          </w14:textFill>
        </w:rPr>
        <w:t>C.5 个人所得税扣缴申报的合规要点</w:t>
      </w:r>
    </w:p>
    <w:p w14:paraId="6DFE09AF">
      <w:pPr>
        <w:spacing w:line="240" w:lineRule="auto"/>
        <w:ind w:firstLine="420" w:firstLineChars="200"/>
        <w:rPr>
          <w:rFonts w:hint="eastAsia" w:ascii="宋体" w:hAnsi="宋体" w:cs="Times"/>
          <w:color w:val="000000"/>
        </w:rPr>
      </w:pPr>
      <w:r>
        <w:rPr>
          <w:rFonts w:hint="eastAsia" w:ascii="宋体" w:hAnsi="宋体" w:cs="Times"/>
          <w:color w:val="000000"/>
        </w:rPr>
        <w:t>企业</w:t>
      </w:r>
      <w:r>
        <w:rPr>
          <w:rFonts w:ascii="宋体" w:hAnsi="宋体" w:cs="Times"/>
          <w:color w:val="000000"/>
        </w:rPr>
        <w:t>向个人支付工资、薪金所得</w:t>
      </w:r>
      <w:r>
        <w:rPr>
          <w:rFonts w:hint="eastAsia" w:ascii="宋体" w:hAnsi="宋体" w:cs="Times"/>
          <w:color w:val="000000"/>
        </w:rPr>
        <w:t>，</w:t>
      </w:r>
      <w:r>
        <w:rPr>
          <w:rFonts w:ascii="宋体" w:hAnsi="宋体" w:cs="Times"/>
          <w:color w:val="000000"/>
        </w:rPr>
        <w:t>劳务报酬所得，稿酬所得，特许权使用费所得，利息、股息、红利所得，财产租赁所得，财产转让所得</w:t>
      </w:r>
      <w:r>
        <w:rPr>
          <w:rFonts w:hint="eastAsia" w:ascii="宋体" w:hAnsi="宋体" w:cs="Times"/>
          <w:color w:val="000000"/>
        </w:rPr>
        <w:t>和</w:t>
      </w:r>
      <w:r>
        <w:rPr>
          <w:rFonts w:ascii="宋体" w:hAnsi="宋体" w:cs="Times"/>
          <w:color w:val="000000"/>
        </w:rPr>
        <w:t>偶然所得，</w:t>
      </w:r>
      <w:r>
        <w:rPr>
          <w:rFonts w:hint="eastAsia" w:ascii="宋体" w:hAnsi="宋体" w:cs="Times"/>
          <w:color w:val="000000"/>
        </w:rPr>
        <w:t>应</w:t>
      </w:r>
      <w:r>
        <w:rPr>
          <w:rFonts w:ascii="宋体" w:hAnsi="宋体" w:cs="Times"/>
          <w:color w:val="000000"/>
        </w:rPr>
        <w:t>依法办理</w:t>
      </w:r>
      <w:r>
        <w:rPr>
          <w:rFonts w:hint="eastAsia" w:ascii="宋体" w:hAnsi="宋体" w:cs="Times"/>
          <w:color w:val="000000"/>
        </w:rPr>
        <w:t>个人所得税</w:t>
      </w:r>
      <w:r>
        <w:rPr>
          <w:rFonts w:ascii="宋体" w:hAnsi="宋体" w:cs="Times"/>
          <w:color w:val="000000"/>
        </w:rPr>
        <w:t>全员全额扣缴申报</w:t>
      </w:r>
      <w:r>
        <w:rPr>
          <w:rFonts w:hint="eastAsia" w:ascii="宋体" w:hAnsi="宋体" w:cs="Times"/>
          <w:color w:val="000000"/>
        </w:rPr>
        <w:t>，具体包括：</w:t>
      </w:r>
    </w:p>
    <w:p w14:paraId="45C66A3F">
      <w:pPr>
        <w:pStyle w:val="137"/>
      </w:pPr>
      <w:r>
        <w:rPr>
          <w:rFonts w:hint="eastAsia"/>
        </w:rPr>
        <w:t>在支付居民个人的工资、薪金所得，劳务报酬所得，稿酬所得，特许权使用费所得时，应区分不同所得项目，按月或按次，依法计算其收入额，并依照其适用的预扣率，预扣预缴申报其个人所得税税额；</w:t>
      </w:r>
    </w:p>
    <w:p w14:paraId="67E6CD79">
      <w:pPr>
        <w:pStyle w:val="137"/>
      </w:pPr>
      <w:r>
        <w:rPr>
          <w:rFonts w:hint="eastAsia"/>
        </w:rPr>
        <w:t>在支付非居民个人工资、薪金所得，劳务报酬所得，稿酬所得，特许权使用费所得时，应区分不同所得项目，按月或按次，依法计算其收入额，并依照其适用的个人所得税税率，扣缴申报其个人所得税税额；</w:t>
      </w:r>
    </w:p>
    <w:p w14:paraId="1C658BF4">
      <w:pPr>
        <w:pStyle w:val="137"/>
      </w:pPr>
      <w:r>
        <w:rPr>
          <w:rFonts w:hint="eastAsia"/>
        </w:rPr>
        <w:t>在支付个人（包括居民个人和非居民个人）的利息、股息、红利所得，财产租赁所得，财产转让所得和偶然所得时，应区分不同所得项目，按月或按次，依法计算其收入额和应纳税所得额，并依照20%的税率，扣缴申报其个人所得税税额。</w:t>
      </w:r>
    </w:p>
    <w:p w14:paraId="7EB6BFD1">
      <w:pPr>
        <w:pStyle w:val="137"/>
        <w:numPr>
          <w:ilvl w:val="255"/>
          <w:numId w:val="0"/>
        </w:numPr>
        <w:spacing w:before="120" w:beforeLines="50" w:after="120" w:afterLines="50"/>
        <w:rPr>
          <w:rFonts w:hint="eastAsia" w:hAnsi="黑体" w:cs="黑体"/>
        </w:rPr>
      </w:pPr>
      <w:r>
        <w:rPr>
          <w:rFonts w:hint="eastAsia" w:ascii="黑体" w:hAnsi="黑体" w:eastAsia="黑体" w:cs="黑体"/>
        </w:rPr>
        <w:t>C.5.1支付员工工资、薪金所得扣缴申报个人所得税的合规风险</w:t>
      </w:r>
    </w:p>
    <w:p w14:paraId="43E9AD43">
      <w:pPr>
        <w:pStyle w:val="71"/>
        <w:numPr>
          <w:ilvl w:val="255"/>
          <w:numId w:val="0"/>
        </w:numPr>
        <w:spacing w:before="0" w:beforeLines="0" w:after="0" w:afterLines="0"/>
        <w:ind w:firstLine="420" w:firstLineChars="200"/>
        <w:rPr>
          <w:rFonts w:hint="eastAsia" w:ascii="宋体" w:hAnsi="宋体" w:eastAsia="宋体" w:cs="宋体"/>
        </w:rPr>
      </w:pPr>
      <w:r>
        <w:rPr>
          <w:rFonts w:hint="eastAsia" w:ascii="宋体" w:hAnsi="宋体" w:eastAsia="宋体" w:cs="宋体"/>
        </w:rPr>
        <w:t>重点包括但不限于：</w:t>
      </w:r>
    </w:p>
    <w:p w14:paraId="76A8B263">
      <w:pPr>
        <w:pStyle w:val="137"/>
      </w:pPr>
      <w:r>
        <w:t>仅扣缴以现金支付的员工应税款项的个人所得税，而未扣缴以报销费用、实物发放、免费旅游等形式支付员工应税款项的个人所得税，从面少扣缴个人所得税；</w:t>
      </w:r>
    </w:p>
    <w:p w14:paraId="40D07202">
      <w:pPr>
        <w:pStyle w:val="137"/>
      </w:pPr>
      <w:r>
        <w:t>给员工发放交通补贴、通讯补贴或以给员工报销汽油费、通讯费，未扣缴个人所得税；</w:t>
      </w:r>
    </w:p>
    <w:p w14:paraId="17B27BE3">
      <w:pPr>
        <w:pStyle w:val="137"/>
      </w:pPr>
      <w:r>
        <w:t>以误餐补助名义发给职工的补贴、津贴，未扣缴个人所得税；</w:t>
      </w:r>
    </w:p>
    <w:p w14:paraId="3547800B">
      <w:pPr>
        <w:pStyle w:val="137"/>
      </w:pPr>
      <w:r>
        <w:t>除员工临时到常驻地以外地区公务出差所发生的城市间交通费、住宿费、伙食补助费和市内交通费外，以报销差旅费的名义给员工发放补贴，未扣缴个人所得税；</w:t>
      </w:r>
    </w:p>
    <w:p w14:paraId="1307F1E7">
      <w:pPr>
        <w:pStyle w:val="137"/>
      </w:pPr>
      <w:r>
        <w:t>从福利费和工会经费中支付给单位职工的人人有份的补贴、补助、各项奖励，未扣缴个人所得税；</w:t>
      </w:r>
    </w:p>
    <w:p w14:paraId="32D7DE78">
      <w:pPr>
        <w:pStyle w:val="137"/>
      </w:pPr>
      <w:r>
        <w:t>为员工支付各项免税之外的保险费，未在向保险企业缴付时，扣缴个人所得税；</w:t>
      </w:r>
    </w:p>
    <w:p w14:paraId="1E7E7A3C">
      <w:pPr>
        <w:pStyle w:val="137"/>
      </w:pPr>
      <w:r>
        <w:t>对员工实施股权激励，授予员工股票期权、股权期权、限制性股票和股权奖励，未扣缴个人所得税或未按规定办理递延申报；</w:t>
      </w:r>
    </w:p>
    <w:p w14:paraId="75242510">
      <w:pPr>
        <w:pStyle w:val="137"/>
      </w:pPr>
      <w:r>
        <w:t>人为分解全年一次性奖金或将其他工资薪金合并入全年一次性奖金，滥用单独计税优惠政策，少扣缴个人所得税；</w:t>
      </w:r>
    </w:p>
    <w:p w14:paraId="06AECBC8">
      <w:pPr>
        <w:pStyle w:val="137"/>
      </w:pPr>
      <w:r>
        <w:t>为职工购买房屋、汽车及其他财产，未扣缴个人所得税；</w:t>
      </w:r>
    </w:p>
    <w:p w14:paraId="7ACC5998">
      <w:pPr>
        <w:pStyle w:val="137"/>
      </w:pPr>
      <w:r>
        <w:t>为职工报销旅游费，未扣缴个人所得税。</w:t>
      </w:r>
    </w:p>
    <w:p w14:paraId="0C96274A">
      <w:pPr>
        <w:pStyle w:val="137"/>
        <w:numPr>
          <w:ilvl w:val="255"/>
          <w:numId w:val="0"/>
        </w:numPr>
        <w:spacing w:before="120" w:beforeLines="50" w:after="120" w:afterLines="50"/>
        <w:rPr>
          <w:rFonts w:hint="eastAsia" w:hAnsi="黑体" w:cs="黑体"/>
        </w:rPr>
      </w:pPr>
      <w:r>
        <w:rPr>
          <w:rFonts w:ascii="黑体" w:hAnsi="黑体" w:eastAsia="黑体" w:cs="黑体"/>
        </w:rPr>
        <w:t xml:space="preserve">C.5.2 </w:t>
      </w:r>
      <w:r>
        <w:rPr>
          <w:rFonts w:hint="eastAsia" w:ascii="黑体" w:hAnsi="黑体" w:eastAsia="黑体" w:cs="黑体"/>
        </w:rPr>
        <w:t>支付非雇员相关所得扣缴申报个人所得税的合规风险</w:t>
      </w:r>
    </w:p>
    <w:p w14:paraId="776DFA27">
      <w:pPr>
        <w:pStyle w:val="71"/>
        <w:numPr>
          <w:ilvl w:val="255"/>
          <w:numId w:val="0"/>
        </w:numPr>
        <w:tabs>
          <w:tab w:val="left" w:pos="851"/>
        </w:tabs>
        <w:spacing w:before="0" w:beforeLines="0" w:after="0" w:afterLines="0"/>
        <w:ind w:firstLine="420" w:firstLineChars="200"/>
        <w:rPr>
          <w:rFonts w:hint="eastAsia" w:ascii="宋体" w:hAnsi="宋体" w:eastAsia="宋体" w:cs="宋体"/>
        </w:rPr>
      </w:pPr>
      <w:r>
        <w:rPr>
          <w:rFonts w:hint="eastAsia" w:ascii="宋体" w:hAnsi="宋体" w:eastAsia="宋体" w:cs="宋体"/>
        </w:rPr>
        <w:t>重点包括但不限于：</w:t>
      </w:r>
    </w:p>
    <w:p w14:paraId="512293D1">
      <w:pPr>
        <w:pStyle w:val="137"/>
      </w:pPr>
      <w:r>
        <w:rPr>
          <w:rFonts w:hint="eastAsia"/>
        </w:rPr>
        <w:t>支付董事、监事的董事费、监事费，未扣缴个人所得税；</w:t>
      </w:r>
    </w:p>
    <w:p w14:paraId="368D9743">
      <w:pPr>
        <w:pStyle w:val="137"/>
      </w:pPr>
      <w:r>
        <w:rPr>
          <w:rFonts w:hint="eastAsia"/>
        </w:rPr>
        <w:t>支付个人劳务报酬所得、特许权使用费所得、利息所得、财产租赁所得、财产转让所得时，未要求对方开具发票的，未扣缴个人所得税；</w:t>
      </w:r>
    </w:p>
    <w:p w14:paraId="70F0B31D">
      <w:pPr>
        <w:pStyle w:val="137"/>
      </w:pPr>
      <w:r>
        <w:rPr>
          <w:rFonts w:hint="eastAsia"/>
        </w:rPr>
        <w:t>支付劳务报酬所得、稿酬所得、特许权使用费所得，属于同一项目连续性收入的，未依照一个月内取得的收入为一次扣缴个人所得税；</w:t>
      </w:r>
    </w:p>
    <w:p w14:paraId="5D144E34">
      <w:pPr>
        <w:pStyle w:val="137"/>
      </w:pPr>
      <w:r>
        <w:rPr>
          <w:rFonts w:hint="eastAsia"/>
        </w:rPr>
        <w:t>支付个人的劳务报酬、特许权使用费、财产租赁费、股权转让费等所得，约定不含税的，未换算成税前所得，少扣缴个人所得税；</w:t>
      </w:r>
    </w:p>
    <w:p w14:paraId="6F0905AB">
      <w:pPr>
        <w:pStyle w:val="137"/>
      </w:pPr>
      <w:r>
        <w:rPr>
          <w:rFonts w:hint="eastAsia"/>
        </w:rPr>
        <w:t>以未分配利润、盈余公积和除股票溢价发行外的其他资本公积转增个人注册资本或股本，未按照“利息、股息、红利所得”项目，扣缴股东个人所得税；</w:t>
      </w:r>
    </w:p>
    <w:p w14:paraId="482B56B9">
      <w:pPr>
        <w:pStyle w:val="137"/>
      </w:pPr>
      <w:r>
        <w:rPr>
          <w:rFonts w:hint="eastAsia"/>
        </w:rPr>
        <w:t>股东借用企业资金长期挂账，未视同分配股息红利扣缴个人所得税；</w:t>
      </w:r>
    </w:p>
    <w:p w14:paraId="41AADCBC">
      <w:pPr>
        <w:pStyle w:val="137"/>
      </w:pPr>
      <w:r>
        <w:rPr>
          <w:rFonts w:hint="eastAsia"/>
        </w:rPr>
        <w:t>为自然人股东、汽车及其他财产未扣缴个人所得税；</w:t>
      </w:r>
    </w:p>
    <w:p w14:paraId="52E2F6DB">
      <w:pPr>
        <w:pStyle w:val="137"/>
      </w:pPr>
      <w:r>
        <w:rPr>
          <w:rFonts w:hint="eastAsia"/>
        </w:rPr>
        <w:t>为筹集经营资金向员工或其他个人集资借款并支付利息，未扣缴利息所得个人所得税；</w:t>
      </w:r>
    </w:p>
    <w:p w14:paraId="78FFE933">
      <w:pPr>
        <w:pStyle w:val="137"/>
        <w:sectPr>
          <w:pgSz w:w="11906" w:h="16838"/>
          <w:pgMar w:top="1928" w:right="1134" w:bottom="1134" w:left="1134" w:header="1418" w:footer="1134" w:gutter="284"/>
          <w:cols w:space="425" w:num="1"/>
          <w:formProt w:val="0"/>
          <w:docGrid w:linePitch="312" w:charSpace="0"/>
        </w:sectPr>
      </w:pPr>
      <w:r>
        <w:rPr>
          <w:rFonts w:hint="eastAsia"/>
        </w:rPr>
        <w:t>为非雇员营销人员报销旅游费用、差旅费、会议费、培训费等，未扣缴个人所得税。</w:t>
      </w:r>
    </w:p>
    <w:p w14:paraId="71399077">
      <w:pPr>
        <w:pStyle w:val="203"/>
        <w:rPr>
          <w:rFonts w:hint="eastAsia"/>
          <w:vanish w:val="0"/>
        </w:rPr>
      </w:pPr>
    </w:p>
    <w:p w14:paraId="48680B0F">
      <w:pPr>
        <w:pStyle w:val="204"/>
        <w:rPr>
          <w:vanish w:val="0"/>
        </w:rPr>
      </w:pPr>
    </w:p>
    <w:p w14:paraId="5A7D1298">
      <w:pPr>
        <w:pStyle w:val="82"/>
        <w:spacing w:after="120"/>
        <w:ind w:left="0"/>
      </w:pPr>
      <w:r>
        <w:br w:type="textWrapping"/>
      </w:r>
      <w:bookmarkStart w:id="111" w:name="_Toc188519728"/>
      <w:r>
        <w:rPr>
          <w:rFonts w:hint="eastAsia"/>
        </w:rPr>
        <w:t>（资料性）</w:t>
      </w:r>
      <w:r>
        <w:br w:type="textWrapping"/>
      </w:r>
      <w:r>
        <w:rPr>
          <w:rFonts w:hint="eastAsia"/>
        </w:rPr>
        <w:t>小微企业的税务合规管理</w:t>
      </w:r>
      <w:bookmarkEnd w:id="111"/>
    </w:p>
    <w:p w14:paraId="0B3F2A63">
      <w:pPr>
        <w:pStyle w:val="62"/>
        <w:ind w:firstLine="420"/>
      </w:pPr>
    </w:p>
    <w:p w14:paraId="1149D14A">
      <w:pPr>
        <w:pStyle w:val="110"/>
        <w:numPr>
          <w:ilvl w:val="0"/>
          <w:numId w:val="0"/>
        </w:numPr>
        <w:spacing w:before="120" w:after="120"/>
      </w:pPr>
      <w:r>
        <w:rPr>
          <w:rFonts w:hint="eastAsia"/>
        </w:rPr>
        <w:t>D.1 小微企业</w:t>
      </w:r>
    </w:p>
    <w:p w14:paraId="57EEB5A2">
      <w:pPr>
        <w:spacing w:line="240" w:lineRule="auto"/>
      </w:pPr>
      <w:r>
        <w:rPr>
          <w:rFonts w:hint="eastAsia" w:ascii="Times New Roman"/>
        </w:rPr>
        <w:t xml:space="preserve"> </w:t>
      </w:r>
      <w:r>
        <w:rPr>
          <w:rFonts w:hint="eastAsia" w:ascii="宋体" w:hAnsi="Times New Roman"/>
          <w:kern w:val="0"/>
          <w:szCs w:val="20"/>
        </w:rPr>
        <w:t xml:space="preserve">  是指在规模、员工数量、营业收入和资产总额等方面相对较小的企业，在我国通常是依据国家统计局发布的《中小企业划型标准规定》确定，同时参考地方政府或相关部门发布的补充规定。划分标准会随着经济的发展和政策的变化而调整。这类企业在税收征管、融资支持、政府补贴等方面通常享有特殊的优惠政策，以鼓励和支持这类企业的发展。</w:t>
      </w:r>
    </w:p>
    <w:p w14:paraId="7BBAF911">
      <w:pPr>
        <w:pStyle w:val="110"/>
        <w:numPr>
          <w:ilvl w:val="0"/>
          <w:numId w:val="0"/>
        </w:numPr>
        <w:spacing w:before="120" w:after="120"/>
      </w:pPr>
      <w:r>
        <w:rPr>
          <w:rFonts w:hint="eastAsia"/>
        </w:rPr>
        <w:t>D.2 组织体系与合规制度</w:t>
      </w:r>
    </w:p>
    <w:p w14:paraId="4EF1EC9F">
      <w:pPr>
        <w:pStyle w:val="62"/>
        <w:ind w:firstLine="420"/>
      </w:pPr>
      <w:r>
        <w:rPr>
          <w:rFonts w:hint="eastAsia"/>
        </w:rPr>
        <w:t>小微企业应规范组织体系与设立合规制度，包括但不限于展开以下工作：</w:t>
      </w:r>
    </w:p>
    <w:p w14:paraId="320F7BE2">
      <w:pPr>
        <w:pStyle w:val="137"/>
      </w:pPr>
      <w:r>
        <w:rPr>
          <w:rFonts w:hint="eastAsia"/>
        </w:rPr>
        <w:t>根据自身情况设立一个部门或指派一名员工专门处理税务相关事务；</w:t>
      </w:r>
    </w:p>
    <w:p w14:paraId="17106B11">
      <w:pPr>
        <w:pStyle w:val="137"/>
      </w:pPr>
      <w:r>
        <w:rPr>
          <w:rFonts w:hint="eastAsia"/>
        </w:rPr>
        <w:t>若存在账目外包的行为，应指派一名本工作财务人员专门监督处理税务相关事务；</w:t>
      </w:r>
    </w:p>
    <w:p w14:paraId="6BE8161B">
      <w:pPr>
        <w:pStyle w:val="137"/>
      </w:pPr>
      <w:r>
        <w:rPr>
          <w:rFonts w:hint="eastAsia"/>
        </w:rPr>
        <w:t>制定完善的内部管理制度，包括但不限于财务会计制度、发票管理制度、纳税申报制度等；</w:t>
      </w:r>
    </w:p>
    <w:p w14:paraId="41A50D15">
      <w:pPr>
        <w:pStyle w:val="137"/>
      </w:pPr>
      <w:r>
        <w:rPr>
          <w:rFonts w:hint="eastAsia"/>
        </w:rPr>
        <w:t>为员工提供必要的税务知识培训，确保他们了解最新的税收政策和法律法规。</w:t>
      </w:r>
    </w:p>
    <w:p w14:paraId="73F3C175">
      <w:pPr>
        <w:pStyle w:val="110"/>
        <w:numPr>
          <w:ilvl w:val="0"/>
          <w:numId w:val="0"/>
        </w:numPr>
        <w:spacing w:before="120" w:after="120"/>
      </w:pPr>
      <w:r>
        <w:rPr>
          <w:rFonts w:hint="eastAsia"/>
        </w:rPr>
        <w:t>D.3 日常事项税务合规管理</w:t>
      </w:r>
    </w:p>
    <w:p w14:paraId="695195BF">
      <w:pPr>
        <w:pStyle w:val="62"/>
        <w:ind w:firstLine="420"/>
      </w:pPr>
      <w:r>
        <w:rPr>
          <w:rFonts w:hint="eastAsia"/>
        </w:rPr>
        <w:t>小微企业应加强日常事项税务合规管理，包括但不限于展开以下工作：</w:t>
      </w:r>
    </w:p>
    <w:p w14:paraId="79EA9E1E">
      <w:pPr>
        <w:pStyle w:val="137"/>
      </w:pPr>
      <w:r>
        <w:rPr>
          <w:rFonts w:hint="eastAsia"/>
        </w:rPr>
        <w:t>依照税法设置账目，并保证账目真实、准确；</w:t>
      </w:r>
    </w:p>
    <w:p w14:paraId="38C0EE05">
      <w:pPr>
        <w:pStyle w:val="137"/>
      </w:pPr>
      <w:r>
        <w:rPr>
          <w:rFonts w:hint="eastAsia"/>
        </w:rPr>
        <w:t>规范发票管理，正确开具、接收和保管发票，防止假发票流入；</w:t>
      </w:r>
    </w:p>
    <w:p w14:paraId="5C77F8E0">
      <w:pPr>
        <w:pStyle w:val="137"/>
      </w:pPr>
      <w:r>
        <w:rPr>
          <w:rFonts w:hint="eastAsia"/>
        </w:rPr>
        <w:t>按时申报纳税，根据税务机关规定的时间节点进行纳税申报，避免逾期产生罚款；</w:t>
      </w:r>
    </w:p>
    <w:p w14:paraId="01939906">
      <w:pPr>
        <w:pStyle w:val="137"/>
      </w:pPr>
      <w:r>
        <w:rPr>
          <w:rFonts w:hint="eastAsia"/>
        </w:rPr>
        <w:t>保存好所有交易记录，确保所有业务活动都有据可查，以便于税务审查时提供证据。</w:t>
      </w:r>
    </w:p>
    <w:p w14:paraId="16622105">
      <w:pPr>
        <w:pStyle w:val="110"/>
        <w:numPr>
          <w:ilvl w:val="0"/>
          <w:numId w:val="0"/>
        </w:numPr>
        <w:spacing w:before="120" w:after="120"/>
      </w:pPr>
      <w:r>
        <w:rPr>
          <w:rFonts w:hint="eastAsia"/>
        </w:rPr>
        <w:t>D.4 收入税务合规管理</w:t>
      </w:r>
    </w:p>
    <w:p w14:paraId="4D998C3E">
      <w:pPr>
        <w:pStyle w:val="62"/>
        <w:ind w:firstLine="420"/>
      </w:pPr>
      <w:r>
        <w:rPr>
          <w:rFonts w:hint="eastAsia"/>
        </w:rPr>
        <w:t>小微企业应加强如实申报收入，确保所有营业收入都已完整记录并按规定申报，不得隐瞒或少报，并合理利用税收优惠政策，需确保符合资格条件后申请享受。</w:t>
      </w:r>
    </w:p>
    <w:p w14:paraId="16A5FA2F">
      <w:pPr>
        <w:pStyle w:val="110"/>
        <w:numPr>
          <w:ilvl w:val="0"/>
          <w:numId w:val="0"/>
        </w:numPr>
        <w:spacing w:before="120" w:after="120"/>
      </w:pPr>
      <w:r>
        <w:rPr>
          <w:rFonts w:hint="eastAsia"/>
        </w:rPr>
        <w:t>D.5 成本费用税务合规管理</w:t>
      </w:r>
    </w:p>
    <w:p w14:paraId="787B9C29">
      <w:pPr>
        <w:pStyle w:val="62"/>
        <w:ind w:firstLine="420"/>
      </w:pPr>
      <w:r>
        <w:rPr>
          <w:rFonts w:hint="eastAsia"/>
        </w:rPr>
        <w:t>小微企业应严控成本，确保支出真实且凭证合法有效，区分资本性与收益性支出，正确确定计税成本和费用的归集方法。</w:t>
      </w:r>
    </w:p>
    <w:p w14:paraId="3922CEDA">
      <w:pPr>
        <w:pStyle w:val="110"/>
        <w:numPr>
          <w:ilvl w:val="0"/>
          <w:numId w:val="0"/>
        </w:numPr>
        <w:spacing w:before="120" w:after="120"/>
      </w:pPr>
      <w:r>
        <w:rPr>
          <w:rFonts w:hint="eastAsia"/>
        </w:rPr>
        <w:t>D.6 资产处理税务合规管理</w:t>
      </w:r>
    </w:p>
    <w:p w14:paraId="076641B6">
      <w:pPr>
        <w:pStyle w:val="62"/>
        <w:ind w:firstLine="420"/>
      </w:pPr>
      <w:r>
        <w:rPr>
          <w:rFonts w:hint="eastAsia"/>
        </w:rPr>
        <w:t>小微企业应加强资产处理税务合规管理，包括但不限于展开以下工作：</w:t>
      </w:r>
    </w:p>
    <w:p w14:paraId="78F3A5A6">
      <w:pPr>
        <w:pStyle w:val="137"/>
      </w:pPr>
      <w:r>
        <w:rPr>
          <w:rFonts w:hint="eastAsia"/>
        </w:rPr>
        <w:t>在购置资产时应保留好发票和其他证明文件；</w:t>
      </w:r>
    </w:p>
    <w:p w14:paraId="3626DCE6">
      <w:pPr>
        <w:pStyle w:val="137"/>
        <w:numPr>
          <w:ilvl w:val="255"/>
          <w:numId w:val="0"/>
        </w:numPr>
        <w:tabs>
          <w:tab w:val="clear" w:pos="568"/>
        </w:tabs>
        <w:ind w:left="142"/>
      </w:pPr>
      <w:r>
        <w:rPr>
          <w:rFonts w:hint="eastAsia"/>
        </w:rPr>
        <w:t>——在资产持有期间，按规定计提或扣除折旧及摊销费用；</w:t>
      </w:r>
    </w:p>
    <w:p w14:paraId="0BF52652">
      <w:pPr>
        <w:pStyle w:val="137"/>
      </w:pPr>
      <w:r>
        <w:rPr>
          <w:rFonts w:hint="eastAsia"/>
        </w:rPr>
        <w:t>资产出售或报废时应按规定操作，并调整其相应的增值或减值准备，涉及损失的，按规定留存资料备查</w:t>
      </w:r>
    </w:p>
    <w:p w14:paraId="56CBC532">
      <w:pPr>
        <w:pStyle w:val="110"/>
        <w:numPr>
          <w:ilvl w:val="0"/>
          <w:numId w:val="0"/>
        </w:numPr>
        <w:spacing w:before="120" w:after="120"/>
      </w:pPr>
      <w:r>
        <w:rPr>
          <w:rFonts w:hint="eastAsia"/>
        </w:rPr>
        <w:t>D.7 小微企业采用财务外包模式下税务合规管理</w:t>
      </w:r>
    </w:p>
    <w:p w14:paraId="6258EBD9">
      <w:pPr>
        <w:pStyle w:val="62"/>
        <w:ind w:firstLine="420"/>
      </w:pPr>
      <w:r>
        <w:rPr>
          <w:rFonts w:hint="eastAsia"/>
        </w:rPr>
        <w:t>小微企业应注重采用财务外包模式下的税务合规管理，包括但不限于展开以下工作：</w:t>
      </w:r>
    </w:p>
    <w:p w14:paraId="085CD820">
      <w:pPr>
        <w:pStyle w:val="137"/>
      </w:pPr>
      <w:r>
        <w:rPr>
          <w:rFonts w:hint="eastAsia"/>
        </w:rPr>
        <w:t>选择合适的财务外包服务商，包括资质审核、外包服务合同双方权利、义务、职责的规定；</w:t>
      </w:r>
    </w:p>
    <w:p w14:paraId="6CDBF380">
      <w:pPr>
        <w:pStyle w:val="137"/>
      </w:pPr>
      <w:r>
        <w:rPr>
          <w:rFonts w:hint="eastAsia"/>
        </w:rPr>
        <w:t>建立相应的税务风险控制流程，包括发票管理、账务处理、税务申报、重要税务风险检测指标、人员培训、应急方案等；</w:t>
      </w:r>
    </w:p>
    <w:p w14:paraId="4D197853">
      <w:pPr>
        <w:pStyle w:val="137"/>
        <w:rPr>
          <w:rFonts w:eastAsiaTheme="minorEastAsia"/>
        </w:rPr>
      </w:pPr>
      <w:r>
        <w:rPr>
          <w:rFonts w:hint="eastAsia"/>
        </w:rPr>
        <w:t>充分利用税收优惠政策，包括双方对政策的学习、税收规划应用等；</w:t>
      </w:r>
    </w:p>
    <w:p w14:paraId="6529E7AF">
      <w:pPr>
        <w:pStyle w:val="137"/>
      </w:pPr>
      <w:r>
        <w:rPr>
          <w:rFonts w:hint="eastAsia"/>
        </w:rPr>
        <w:t>定期审查与沟通，小微企业可安排定期的内部或外部审计，检查税务合规情况，保持与外包服务商的良好沟通，确保信息传递及时准确；</w:t>
      </w:r>
    </w:p>
    <w:p w14:paraId="13AA151F">
      <w:pPr>
        <w:pStyle w:val="137"/>
      </w:pPr>
      <w:r>
        <w:rPr>
          <w:rFonts w:hint="eastAsia"/>
        </w:rPr>
        <w:t>合规缴纳各项税费，包括按时申报、按时足额缴纳税款；</w:t>
      </w:r>
    </w:p>
    <w:p w14:paraId="7EF8F2FE">
      <w:pPr>
        <w:pStyle w:val="137"/>
      </w:pPr>
      <w:r>
        <w:rPr>
          <w:rFonts w:hint="eastAsia"/>
        </w:rPr>
        <w:t>文档保存与证据保留，利用现代信息技术手段，实行财务数据的电子化管理和备份。</w:t>
      </w:r>
    </w:p>
    <w:bookmarkEnd w:id="103"/>
    <w:p w14:paraId="7E2B7364">
      <w:pPr>
        <w:pStyle w:val="137"/>
        <w:sectPr>
          <w:pgSz w:w="11906" w:h="16838"/>
          <w:pgMar w:top="1928" w:right="1134" w:bottom="1134" w:left="1134" w:header="1418" w:footer="1134" w:gutter="284"/>
          <w:cols w:space="425" w:num="1"/>
          <w:formProt w:val="0"/>
          <w:docGrid w:linePitch="312" w:charSpace="0"/>
        </w:sectPr>
      </w:pPr>
      <w:bookmarkStart w:id="112" w:name="BookMark6"/>
    </w:p>
    <w:p w14:paraId="17F2F11D">
      <w:pPr>
        <w:pStyle w:val="69"/>
        <w:spacing w:after="120"/>
      </w:pPr>
      <w:bookmarkStart w:id="113" w:name="_Toc188519729"/>
      <w:r>
        <w:rPr>
          <w:rFonts w:hint="eastAsia"/>
          <w:spacing w:val="105"/>
        </w:rPr>
        <w:t>参考文</w:t>
      </w:r>
      <w:r>
        <w:rPr>
          <w:rFonts w:hint="eastAsia"/>
        </w:rPr>
        <w:t>献</w:t>
      </w:r>
      <w:bookmarkEnd w:id="113"/>
    </w:p>
    <w:p w14:paraId="5E18920B">
      <w:pPr>
        <w:pStyle w:val="62"/>
        <w:numPr>
          <w:ilvl w:val="0"/>
          <w:numId w:val="32"/>
        </w:numPr>
        <w:ind w:firstLineChars="0"/>
        <w:rPr>
          <w:rFonts w:ascii="Times New Roman"/>
        </w:rPr>
      </w:pPr>
      <w:r>
        <w:rPr>
          <w:rFonts w:ascii="Times New Roman"/>
        </w:rPr>
        <w:t>GB/T 35770-2022 合规管理体系要求及使用指南</w:t>
      </w:r>
    </w:p>
    <w:p w14:paraId="6FA785C9">
      <w:pPr>
        <w:pStyle w:val="62"/>
        <w:numPr>
          <w:ilvl w:val="0"/>
          <w:numId w:val="32"/>
        </w:numPr>
        <w:ind w:firstLineChars="0"/>
        <w:rPr>
          <w:rFonts w:ascii="Times New Roman"/>
        </w:rPr>
      </w:pPr>
      <w:r>
        <w:rPr>
          <w:rFonts w:ascii="Times New Roman"/>
        </w:rPr>
        <w:t>ISO 37301:2021 合规管理体系 要求及使用指南（Compliance management systems — Requirements with guidance for use）</w:t>
      </w:r>
    </w:p>
    <w:p w14:paraId="08C46F67">
      <w:pPr>
        <w:pStyle w:val="62"/>
        <w:numPr>
          <w:ilvl w:val="0"/>
          <w:numId w:val="32"/>
        </w:numPr>
        <w:ind w:firstLineChars="0"/>
      </w:pPr>
      <w:r>
        <w:rPr>
          <w:rFonts w:hint="eastAsia"/>
        </w:rPr>
        <w:t>《中华人民共和国税收征收管理法》</w:t>
      </w:r>
    </w:p>
    <w:p w14:paraId="72F26DCC">
      <w:pPr>
        <w:pStyle w:val="62"/>
        <w:numPr>
          <w:ilvl w:val="0"/>
          <w:numId w:val="32"/>
        </w:numPr>
        <w:ind w:firstLineChars="0"/>
      </w:pPr>
      <w:r>
        <w:rPr>
          <w:rFonts w:hint="eastAsia"/>
        </w:rPr>
        <w:t>《中华人民共和国税收征收管理法实施细则》</w:t>
      </w:r>
    </w:p>
    <w:p w14:paraId="596B31D4">
      <w:pPr>
        <w:pStyle w:val="62"/>
        <w:numPr>
          <w:ilvl w:val="0"/>
          <w:numId w:val="32"/>
        </w:numPr>
        <w:ind w:firstLineChars="0"/>
      </w:pPr>
      <w:r>
        <w:rPr>
          <w:rFonts w:hint="eastAsia"/>
        </w:rPr>
        <w:t>《中华人民共和国发票管理办法》</w:t>
      </w:r>
    </w:p>
    <w:p w14:paraId="006382A3">
      <w:pPr>
        <w:pStyle w:val="62"/>
        <w:numPr>
          <w:ilvl w:val="0"/>
          <w:numId w:val="32"/>
        </w:numPr>
        <w:ind w:firstLineChars="0"/>
      </w:pPr>
      <w:r>
        <w:rPr>
          <w:rFonts w:hint="eastAsia"/>
        </w:rPr>
        <w:t>《中华人民共和国发票管理办法实施细则》</w:t>
      </w:r>
    </w:p>
    <w:p w14:paraId="04975AEB">
      <w:pPr>
        <w:pStyle w:val="62"/>
        <w:numPr>
          <w:ilvl w:val="0"/>
          <w:numId w:val="32"/>
        </w:numPr>
        <w:ind w:firstLineChars="0"/>
      </w:pPr>
      <w:r>
        <w:rPr>
          <w:rFonts w:hint="eastAsia"/>
        </w:rPr>
        <w:t>《中华人民共和国刑法》</w:t>
      </w:r>
    </w:p>
    <w:p w14:paraId="3D87A996">
      <w:pPr>
        <w:pStyle w:val="62"/>
        <w:numPr>
          <w:ilvl w:val="0"/>
          <w:numId w:val="32"/>
        </w:numPr>
        <w:ind w:firstLineChars="0"/>
      </w:pPr>
      <w:r>
        <w:rPr>
          <w:rFonts w:hint="eastAsia"/>
        </w:rPr>
        <w:t>《最高人民法院 最高人民检察院关于办理危害税收征管刑事案件适用法律若干问题的解释》（法释〔2024〕4号）</w:t>
      </w:r>
    </w:p>
    <w:p w14:paraId="1881BAE5">
      <w:pPr>
        <w:pStyle w:val="62"/>
        <w:numPr>
          <w:ilvl w:val="0"/>
          <w:numId w:val="32"/>
        </w:numPr>
        <w:ind w:firstLineChars="0"/>
      </w:pPr>
      <w:r>
        <w:rPr>
          <w:rFonts w:hint="eastAsia"/>
        </w:rPr>
        <w:t>《欠税公告办法（试行）》（国家税务总局令2004年第9号）</w:t>
      </w:r>
    </w:p>
    <w:p w14:paraId="43EB96E4">
      <w:pPr>
        <w:pStyle w:val="62"/>
        <w:numPr>
          <w:ilvl w:val="0"/>
          <w:numId w:val="32"/>
        </w:numPr>
        <w:ind w:firstLineChars="0"/>
      </w:pPr>
      <w:r>
        <w:rPr>
          <w:rFonts w:hint="eastAsia"/>
        </w:rPr>
        <w:t>《中华人民共和国契税法》</w:t>
      </w:r>
    </w:p>
    <w:p w14:paraId="40088F68">
      <w:pPr>
        <w:pStyle w:val="62"/>
        <w:numPr>
          <w:ilvl w:val="0"/>
          <w:numId w:val="32"/>
        </w:numPr>
        <w:ind w:firstLineChars="0"/>
      </w:pPr>
      <w:r>
        <w:rPr>
          <w:rFonts w:hint="eastAsia"/>
        </w:rPr>
        <w:t>《中华人民共和国房产税暂行条例》</w:t>
      </w:r>
    </w:p>
    <w:p w14:paraId="237255CF">
      <w:pPr>
        <w:pStyle w:val="62"/>
        <w:numPr>
          <w:ilvl w:val="0"/>
          <w:numId w:val="32"/>
        </w:numPr>
        <w:ind w:firstLineChars="0"/>
      </w:pPr>
      <w:r>
        <w:rPr>
          <w:rFonts w:hint="eastAsia"/>
        </w:rPr>
        <w:t>《中华人民共和国城填土地使用税暂行条例》</w:t>
      </w:r>
    </w:p>
    <w:p w14:paraId="7452B58C">
      <w:pPr>
        <w:pStyle w:val="62"/>
        <w:numPr>
          <w:ilvl w:val="0"/>
          <w:numId w:val="32"/>
        </w:numPr>
        <w:ind w:firstLineChars="0"/>
      </w:pPr>
      <w:r>
        <w:rPr>
          <w:rFonts w:hint="eastAsia"/>
        </w:rPr>
        <w:t>《中华人民共和国增值税法》</w:t>
      </w:r>
    </w:p>
    <w:p w14:paraId="240BA36A">
      <w:pPr>
        <w:pStyle w:val="62"/>
        <w:numPr>
          <w:ilvl w:val="0"/>
          <w:numId w:val="32"/>
        </w:numPr>
        <w:ind w:firstLineChars="0"/>
      </w:pPr>
      <w:r>
        <w:rPr>
          <w:rFonts w:hint="eastAsia"/>
        </w:rPr>
        <w:t>《财政部国家税务总局关于全面推开营业税改征增值税试点  的通知》(财税〔2016〕36号)；</w:t>
      </w:r>
    </w:p>
    <w:p w14:paraId="6D88CE2E">
      <w:pPr>
        <w:pStyle w:val="62"/>
        <w:numPr>
          <w:ilvl w:val="0"/>
          <w:numId w:val="32"/>
        </w:numPr>
        <w:ind w:firstLineChars="0"/>
      </w:pPr>
      <w:r>
        <w:rPr>
          <w:rFonts w:hint="eastAsia"/>
        </w:rPr>
        <w:t>《国家税务总局关于商业企业向货物供应方收取的部分费用征收流转税间题的通知》(国税发〔2004〕136号)</w:t>
      </w:r>
    </w:p>
    <w:p w14:paraId="345AAF27">
      <w:pPr>
        <w:pStyle w:val="62"/>
        <w:numPr>
          <w:ilvl w:val="0"/>
          <w:numId w:val="32"/>
        </w:numPr>
        <w:ind w:firstLineChars="0"/>
      </w:pPr>
      <w:r>
        <w:rPr>
          <w:rFonts w:hint="eastAsia"/>
        </w:rPr>
        <w:t>《财政部国家税务总局关于部分货物适用增值税低税率和简易办法征收增值 税政策的通知》 (财税〔2009〕9号)；</w:t>
      </w:r>
    </w:p>
    <w:p w14:paraId="15FE2923">
      <w:pPr>
        <w:pStyle w:val="62"/>
        <w:numPr>
          <w:ilvl w:val="0"/>
          <w:numId w:val="32"/>
        </w:numPr>
        <w:ind w:firstLineChars="0"/>
      </w:pPr>
      <w:r>
        <w:rPr>
          <w:rFonts w:hint="eastAsia"/>
        </w:rPr>
        <w:t>《国家税务总局关于修订&lt;增值税专用发票使用规定&gt;的通知》  (国税发〔2006〕156号)</w:t>
      </w:r>
    </w:p>
    <w:p w14:paraId="527CDF82">
      <w:pPr>
        <w:pStyle w:val="62"/>
        <w:numPr>
          <w:ilvl w:val="0"/>
          <w:numId w:val="32"/>
        </w:numPr>
        <w:ind w:firstLineChars="0"/>
      </w:pPr>
      <w:r>
        <w:rPr>
          <w:rFonts w:hint="eastAsia"/>
        </w:rPr>
        <w:t>《国家税务总局关于纳税人取得虚开的增值税专用发票处理问题的通知》(国税发〔1997〕134号)</w:t>
      </w:r>
    </w:p>
    <w:p w14:paraId="1B97561F">
      <w:pPr>
        <w:pStyle w:val="62"/>
        <w:numPr>
          <w:ilvl w:val="0"/>
          <w:numId w:val="32"/>
        </w:numPr>
        <w:ind w:firstLineChars="0"/>
      </w:pPr>
      <w:r>
        <w:rPr>
          <w:rFonts w:hint="eastAsia"/>
        </w:rPr>
        <w:t>《中华人民共和国消费税暂行条例》</w:t>
      </w:r>
    </w:p>
    <w:p w14:paraId="17CF9936">
      <w:pPr>
        <w:pStyle w:val="62"/>
        <w:numPr>
          <w:ilvl w:val="0"/>
          <w:numId w:val="32"/>
        </w:numPr>
        <w:ind w:firstLineChars="0"/>
      </w:pPr>
      <w:r>
        <w:rPr>
          <w:rFonts w:hint="eastAsia"/>
        </w:rPr>
        <w:t>《中华人民共和国消费税暂行条例实施细则》</w:t>
      </w:r>
    </w:p>
    <w:p w14:paraId="12357E11">
      <w:pPr>
        <w:pStyle w:val="62"/>
        <w:numPr>
          <w:ilvl w:val="0"/>
          <w:numId w:val="32"/>
        </w:numPr>
        <w:ind w:firstLineChars="0"/>
      </w:pPr>
      <w:r>
        <w:rPr>
          <w:rFonts w:hint="eastAsia"/>
        </w:rPr>
        <w:t>《财政部国家税务总局关于&lt;中华人民共和国消费税暂行条例实施细则&gt;有关条款解释的通知》（财法〔2012〕8号）</w:t>
      </w:r>
    </w:p>
    <w:p w14:paraId="293216A9">
      <w:pPr>
        <w:pStyle w:val="62"/>
        <w:numPr>
          <w:ilvl w:val="0"/>
          <w:numId w:val="32"/>
        </w:numPr>
        <w:ind w:firstLineChars="0"/>
      </w:pPr>
      <w:r>
        <w:rPr>
          <w:rFonts w:hint="eastAsia"/>
        </w:rPr>
        <w:t>《国家税务总局关于消费税若干征税问题的通知》(国税发〔1997〕84号)</w:t>
      </w:r>
    </w:p>
    <w:p w14:paraId="019C2BFD">
      <w:pPr>
        <w:pStyle w:val="62"/>
        <w:numPr>
          <w:ilvl w:val="0"/>
          <w:numId w:val="32"/>
        </w:numPr>
        <w:ind w:firstLineChars="0"/>
      </w:pPr>
      <w:r>
        <w:rPr>
          <w:rFonts w:hint="eastAsia"/>
        </w:rPr>
        <w:t>《中华人民共和国土地增值税暂行条例》、《中华人民共和国土地增值税暂行条例实施细则》</w:t>
      </w:r>
    </w:p>
    <w:p w14:paraId="5F502D2D">
      <w:pPr>
        <w:pStyle w:val="62"/>
        <w:numPr>
          <w:ilvl w:val="0"/>
          <w:numId w:val="32"/>
        </w:numPr>
        <w:ind w:firstLineChars="0"/>
      </w:pPr>
      <w:r>
        <w:rPr>
          <w:rFonts w:hint="eastAsia"/>
        </w:rPr>
        <w:t>《财政部 国家税务总局关于营改增后契税 房产税 土地增值税 个人所得税计税依据问题的通知财税》〔2016〕43号）</w:t>
      </w:r>
    </w:p>
    <w:p w14:paraId="21E1EDE5">
      <w:pPr>
        <w:pStyle w:val="62"/>
        <w:numPr>
          <w:ilvl w:val="0"/>
          <w:numId w:val="32"/>
        </w:numPr>
        <w:ind w:firstLineChars="0"/>
      </w:pPr>
      <w:r>
        <w:rPr>
          <w:rFonts w:hint="eastAsia"/>
        </w:rPr>
        <w:t>《国家税务总局关于土地增值税清算有关问题的通知》（国税函〔2010〕220号）</w:t>
      </w:r>
    </w:p>
    <w:p w14:paraId="73702143">
      <w:pPr>
        <w:pStyle w:val="62"/>
        <w:numPr>
          <w:ilvl w:val="0"/>
          <w:numId w:val="32"/>
        </w:numPr>
        <w:ind w:firstLineChars="0"/>
      </w:pPr>
      <w:r>
        <w:rPr>
          <w:rFonts w:hint="eastAsia"/>
        </w:rPr>
        <w:t>《财政部 国家税务总局关于土地增值税一些具体问题规定的通知》(财税字〔1995〕48号)</w:t>
      </w:r>
    </w:p>
    <w:p w14:paraId="2FB8F496">
      <w:pPr>
        <w:pStyle w:val="62"/>
        <w:numPr>
          <w:ilvl w:val="0"/>
          <w:numId w:val="32"/>
        </w:numPr>
        <w:ind w:firstLineChars="0"/>
      </w:pPr>
      <w:r>
        <w:rPr>
          <w:rFonts w:hint="eastAsia"/>
        </w:rPr>
        <w:t>《财政部 国家税务总局关于土地增值税若干问题的通知》（财税〔2006〕21号）</w:t>
      </w:r>
    </w:p>
    <w:p w14:paraId="658BF209">
      <w:pPr>
        <w:pStyle w:val="62"/>
        <w:numPr>
          <w:ilvl w:val="0"/>
          <w:numId w:val="32"/>
        </w:numPr>
        <w:ind w:firstLineChars="0"/>
      </w:pPr>
      <w:r>
        <w:rPr>
          <w:rFonts w:hint="eastAsia"/>
        </w:rPr>
        <w:t>《中华人民共和国企业所得税法》</w:t>
      </w:r>
    </w:p>
    <w:p w14:paraId="44D1316A">
      <w:pPr>
        <w:pStyle w:val="62"/>
        <w:numPr>
          <w:ilvl w:val="0"/>
          <w:numId w:val="32"/>
        </w:numPr>
        <w:ind w:firstLineChars="0"/>
      </w:pPr>
      <w:r>
        <w:rPr>
          <w:rFonts w:hint="eastAsia"/>
        </w:rPr>
        <w:t>《中华人民共和国企业所得税法实施条例》</w:t>
      </w:r>
    </w:p>
    <w:p w14:paraId="286189CC">
      <w:pPr>
        <w:pStyle w:val="62"/>
        <w:numPr>
          <w:ilvl w:val="0"/>
          <w:numId w:val="32"/>
        </w:numPr>
        <w:ind w:firstLineChars="0"/>
      </w:pPr>
      <w:r>
        <w:rPr>
          <w:rFonts w:hint="eastAsia"/>
        </w:rPr>
        <w:t>《国家税务总局关于确认企业所得税收入若干问题的通知》（国税函〔2008〕875号）</w:t>
      </w:r>
    </w:p>
    <w:p w14:paraId="40F02C3A">
      <w:pPr>
        <w:pStyle w:val="62"/>
        <w:numPr>
          <w:ilvl w:val="0"/>
          <w:numId w:val="32"/>
        </w:numPr>
        <w:ind w:firstLineChars="0"/>
      </w:pPr>
      <w:r>
        <w:rPr>
          <w:rFonts w:hint="eastAsia"/>
        </w:rPr>
        <w:t>《国家税务总局关于企业处置资产所得税处理问题的通知》（国税函〔2008〕828号）</w:t>
      </w:r>
    </w:p>
    <w:p w14:paraId="58DD9418">
      <w:pPr>
        <w:pStyle w:val="62"/>
        <w:numPr>
          <w:ilvl w:val="0"/>
          <w:numId w:val="32"/>
        </w:numPr>
        <w:ind w:firstLineChars="0"/>
      </w:pPr>
      <w:r>
        <w:rPr>
          <w:rFonts w:hint="eastAsia"/>
        </w:rPr>
        <w:t>《国家税务总局关于企业所得税有关问题的公告》（国家税务总局公告2016年第80号）</w:t>
      </w:r>
    </w:p>
    <w:p w14:paraId="4787538E">
      <w:pPr>
        <w:pStyle w:val="62"/>
        <w:numPr>
          <w:ilvl w:val="0"/>
          <w:numId w:val="32"/>
        </w:numPr>
        <w:ind w:firstLineChars="0"/>
      </w:pPr>
      <w:r>
        <w:rPr>
          <w:rFonts w:hint="eastAsia"/>
        </w:rPr>
        <w:t>《财政部 国家税务总局关于财政性资金 行政事业性收费 政府性基金有关企业所得税政策问题的通知》（财税〔2008〕151号）</w:t>
      </w:r>
    </w:p>
    <w:p w14:paraId="2D9D4B93">
      <w:pPr>
        <w:pStyle w:val="62"/>
        <w:numPr>
          <w:ilvl w:val="0"/>
          <w:numId w:val="32"/>
        </w:numPr>
        <w:ind w:firstLineChars="0"/>
      </w:pPr>
      <w:r>
        <w:rPr>
          <w:rFonts w:hint="eastAsia"/>
        </w:rPr>
        <w:t>《财政部 国家税务总局关于专项用途财政性资金企业所得税处理问题的通知》（财税〔2011〕70号）</w:t>
      </w:r>
    </w:p>
    <w:p w14:paraId="066909D7">
      <w:pPr>
        <w:pStyle w:val="62"/>
        <w:numPr>
          <w:ilvl w:val="0"/>
          <w:numId w:val="32"/>
        </w:numPr>
        <w:ind w:firstLineChars="0"/>
      </w:pPr>
      <w:r>
        <w:rPr>
          <w:rFonts w:hint="eastAsia"/>
        </w:rPr>
        <w:t>《国家税务总局关于企业投资者投资未到位而发生的利息支出企业所得税前扣除问题的批复》（国税函〔2009〕312号）</w:t>
      </w:r>
    </w:p>
    <w:p w14:paraId="06AB42DE">
      <w:pPr>
        <w:pStyle w:val="62"/>
        <w:numPr>
          <w:ilvl w:val="0"/>
          <w:numId w:val="32"/>
        </w:numPr>
        <w:ind w:firstLineChars="0"/>
      </w:pPr>
      <w:r>
        <w:rPr>
          <w:rFonts w:hint="eastAsia"/>
        </w:rPr>
        <w:t>《</w:t>
      </w:r>
      <w:r>
        <w:fldChar w:fldCharType="begin"/>
      </w:r>
      <w:r>
        <w:instrText xml:space="preserve"> HYPERLINK "http://fgk.chinatax.gov.cn/zcfgk/c102416/c5203526/content.html" </w:instrText>
      </w:r>
      <w:r>
        <w:fldChar w:fldCharType="separate"/>
      </w:r>
      <w:r>
        <w:rPr>
          <w:rStyle w:val="36"/>
          <w:rFonts w:hint="eastAsia"/>
        </w:rPr>
        <w:t>财政部 国家税务总局关于企业资产损失税前扣除政策的通知</w:t>
      </w:r>
      <w:r>
        <w:rPr>
          <w:rStyle w:val="36"/>
          <w:rFonts w:hint="eastAsia"/>
        </w:rPr>
        <w:fldChar w:fldCharType="end"/>
      </w:r>
      <w:r>
        <w:rPr>
          <w:rFonts w:hint="eastAsia"/>
        </w:rPr>
        <w:t>》（财税〔2009〕57号）</w:t>
      </w:r>
    </w:p>
    <w:p w14:paraId="7330F63E">
      <w:pPr>
        <w:pStyle w:val="62"/>
        <w:numPr>
          <w:ilvl w:val="0"/>
          <w:numId w:val="32"/>
        </w:numPr>
        <w:ind w:firstLineChars="0"/>
      </w:pPr>
      <w:r>
        <w:rPr>
          <w:rFonts w:hint="eastAsia"/>
        </w:rPr>
        <w:t>《财政部 国家税务总局关于企业手续费及佣金支出税前扣除政策的通知》（财税〔2009〕29号）</w:t>
      </w:r>
    </w:p>
    <w:p w14:paraId="3863A02F">
      <w:pPr>
        <w:pStyle w:val="62"/>
        <w:numPr>
          <w:ilvl w:val="0"/>
          <w:numId w:val="32"/>
        </w:numPr>
        <w:ind w:firstLineChars="0"/>
      </w:pPr>
      <w:r>
        <w:rPr>
          <w:rFonts w:hint="eastAsia"/>
        </w:rPr>
        <w:t>《国家税务总局关于企业工资薪金和职工福利费等支出税前扣除问题的公告》（国家税务总局公告2015年第34号）</w:t>
      </w:r>
    </w:p>
    <w:p w14:paraId="6105080F">
      <w:pPr>
        <w:pStyle w:val="62"/>
        <w:numPr>
          <w:ilvl w:val="0"/>
          <w:numId w:val="32"/>
        </w:numPr>
        <w:ind w:firstLineChars="0"/>
      </w:pPr>
      <w:r>
        <w:rPr>
          <w:rFonts w:hint="eastAsia"/>
        </w:rPr>
        <w:t>《国家税务总局关于企业工资薪金及职工福利费扣除问题的通知》（国税函〔2009〕3号）</w:t>
      </w:r>
    </w:p>
    <w:p w14:paraId="19131140">
      <w:pPr>
        <w:pStyle w:val="62"/>
        <w:numPr>
          <w:ilvl w:val="0"/>
          <w:numId w:val="32"/>
        </w:numPr>
        <w:ind w:firstLineChars="0"/>
      </w:pPr>
      <w:r>
        <w:rPr>
          <w:rFonts w:hint="eastAsia"/>
        </w:rPr>
        <w:t>《国家税务总局关于我国居民企业实行股权激励计划有关企业所得税处理问题的公告》（国家税务总局公告2012年第18号）</w:t>
      </w:r>
    </w:p>
    <w:p w14:paraId="0B898A03">
      <w:pPr>
        <w:pStyle w:val="62"/>
        <w:numPr>
          <w:ilvl w:val="0"/>
          <w:numId w:val="32"/>
        </w:numPr>
        <w:ind w:firstLineChars="0"/>
      </w:pPr>
      <w:r>
        <w:rPr>
          <w:rFonts w:hint="eastAsia"/>
        </w:rPr>
        <w:t>《国家税务总局关于企业所得税若干政策征管口径问题的公告》（国家税务总局公告2021年第17号）</w:t>
      </w:r>
    </w:p>
    <w:p w14:paraId="36804CB0">
      <w:pPr>
        <w:pStyle w:val="62"/>
        <w:numPr>
          <w:ilvl w:val="0"/>
          <w:numId w:val="32"/>
        </w:numPr>
        <w:ind w:firstLineChars="0"/>
      </w:pPr>
      <w:r>
        <w:rPr>
          <w:rFonts w:hint="eastAsia"/>
        </w:rPr>
        <w:t>《财政部 </w:t>
      </w:r>
      <w:r>
        <w:rPr>
          <w:rFonts w:hint="eastAsia" w:hAnsi="宋体" w:cs="宋体"/>
        </w:rPr>
        <w:t>国家税务总局</w:t>
      </w:r>
      <w:r>
        <w:rPr>
          <w:rFonts w:hint="eastAsia"/>
        </w:rPr>
        <w:t> </w:t>
      </w:r>
      <w:r>
        <w:rPr>
          <w:rFonts w:hint="eastAsia" w:hAnsi="宋体" w:cs="宋体"/>
        </w:rPr>
        <w:t>科技部关于完善研究开发费用税前加计扣除政策的通知》（财税〔</w:t>
      </w:r>
      <w:r>
        <w:rPr>
          <w:rFonts w:hint="eastAsia"/>
        </w:rPr>
        <w:t>2015〕119号）</w:t>
      </w:r>
    </w:p>
    <w:p w14:paraId="730ACD3B">
      <w:pPr>
        <w:pStyle w:val="62"/>
        <w:numPr>
          <w:ilvl w:val="0"/>
          <w:numId w:val="32"/>
        </w:numPr>
        <w:ind w:firstLineChars="0"/>
      </w:pPr>
      <w:r>
        <w:rPr>
          <w:rFonts w:hint="eastAsia"/>
        </w:rPr>
        <w:t>《财政部 国家税务总局关于安置残疾人员就业有关企业所得税优惠政策问题的通知》（财税〔2009〕70号）</w:t>
      </w:r>
    </w:p>
    <w:p w14:paraId="007053B6">
      <w:pPr>
        <w:pStyle w:val="62"/>
        <w:numPr>
          <w:ilvl w:val="0"/>
          <w:numId w:val="32"/>
        </w:numPr>
        <w:ind w:firstLineChars="0"/>
      </w:pPr>
      <w:r>
        <w:rPr>
          <w:rFonts w:hint="eastAsia"/>
        </w:rPr>
        <w:t>《财政部 国家税务总局关于执行公共础设施项目企业所得税优惠目录有关问题的通知》（财税〔2008〕46号）</w:t>
      </w:r>
    </w:p>
    <w:p w14:paraId="70482995">
      <w:pPr>
        <w:pStyle w:val="62"/>
        <w:numPr>
          <w:ilvl w:val="0"/>
          <w:numId w:val="32"/>
        </w:numPr>
        <w:ind w:firstLineChars="0"/>
      </w:pPr>
      <w:r>
        <w:rPr>
          <w:rFonts w:hint="eastAsia"/>
        </w:rPr>
        <w:t>《财政部 国家税务总局关于执行环境保护专用设备企业所得税优惠目录 节能节水专用设备企业所得税优惠目录和安全生产专用设备企业所得税优惠目录有关问题的通知》（财税〔2008〕48号）</w:t>
      </w:r>
    </w:p>
    <w:p w14:paraId="1B702960">
      <w:pPr>
        <w:pStyle w:val="62"/>
        <w:numPr>
          <w:ilvl w:val="0"/>
          <w:numId w:val="32"/>
        </w:numPr>
        <w:ind w:firstLineChars="0"/>
      </w:pPr>
      <w:r>
        <w:rPr>
          <w:rFonts w:hint="eastAsia"/>
        </w:rPr>
        <w:t>《财政部 国家税务总局关于发布享受企业所得税优惠政策的农产品初加工范围（试行）的通知》（财税〔2008〕149号）</w:t>
      </w:r>
    </w:p>
    <w:p w14:paraId="38F00AA3">
      <w:pPr>
        <w:pStyle w:val="62"/>
        <w:numPr>
          <w:ilvl w:val="0"/>
          <w:numId w:val="32"/>
        </w:numPr>
        <w:ind w:firstLineChars="0"/>
      </w:pPr>
      <w:r>
        <w:rPr>
          <w:rFonts w:hint="eastAsia"/>
        </w:rPr>
        <w:t>《财政部 国家税务总局关于享受企业所得税优惠的农产品初加工有关范围的补充通知》（财税〔2011〕26号）</w:t>
      </w:r>
    </w:p>
    <w:p w14:paraId="6BD4E2FB">
      <w:pPr>
        <w:pStyle w:val="62"/>
        <w:numPr>
          <w:ilvl w:val="0"/>
          <w:numId w:val="32"/>
        </w:numPr>
        <w:ind w:firstLineChars="0"/>
      </w:pPr>
      <w:r>
        <w:rPr>
          <w:rFonts w:hint="eastAsia"/>
        </w:rPr>
        <w:t>《国家税务总局关于实施农林牧渔业项目企业所得税优惠问题的公告》（国家税务总局公告2011年第48号）</w:t>
      </w:r>
    </w:p>
    <w:p w14:paraId="6114BA3B">
      <w:pPr>
        <w:pStyle w:val="62"/>
        <w:numPr>
          <w:ilvl w:val="0"/>
          <w:numId w:val="32"/>
        </w:numPr>
        <w:ind w:firstLineChars="0"/>
      </w:pPr>
      <w:r>
        <w:rPr>
          <w:rFonts w:hint="eastAsia"/>
        </w:rPr>
        <w:t>《财政部 国家税务总局关于企业重组业务企业所得税处理若干问题的通知》（财税〔2009〕59号）</w:t>
      </w:r>
    </w:p>
    <w:p w14:paraId="73395DCB">
      <w:pPr>
        <w:pStyle w:val="62"/>
        <w:numPr>
          <w:ilvl w:val="0"/>
          <w:numId w:val="32"/>
        </w:numPr>
        <w:ind w:firstLineChars="0"/>
      </w:pPr>
      <w:r>
        <w:rPr>
          <w:rFonts w:hint="eastAsia"/>
        </w:rPr>
        <w:t>《中华人民共和国个人所得税法》</w:t>
      </w:r>
    </w:p>
    <w:p w14:paraId="7AD03851">
      <w:pPr>
        <w:pStyle w:val="62"/>
        <w:numPr>
          <w:ilvl w:val="0"/>
          <w:numId w:val="32"/>
        </w:numPr>
        <w:ind w:firstLineChars="0"/>
      </w:pPr>
      <w:r>
        <w:rPr>
          <w:rFonts w:hint="eastAsia"/>
        </w:rPr>
        <w:t>《中华人民个人所得税法实施条例》</w:t>
      </w:r>
    </w:p>
    <w:p w14:paraId="210D7A22">
      <w:pPr>
        <w:pStyle w:val="62"/>
        <w:numPr>
          <w:ilvl w:val="0"/>
          <w:numId w:val="32"/>
        </w:numPr>
        <w:ind w:firstLineChars="0"/>
      </w:pPr>
      <w:r>
        <w:rPr>
          <w:rFonts w:hint="eastAsia"/>
        </w:rPr>
        <w:t>《财政部 </w:t>
      </w:r>
      <w:r>
        <w:rPr>
          <w:rFonts w:hint="eastAsia" w:hAnsi="宋体" w:cs="宋体"/>
        </w:rPr>
        <w:t>税务总局关于个人所得税法修改后有关优惠政策衔接问题的通知》（财税〔</w:t>
      </w:r>
      <w:r>
        <w:rPr>
          <w:rFonts w:hint="eastAsia"/>
        </w:rPr>
        <w:t>2018〕164号）</w:t>
      </w:r>
    </w:p>
    <w:p w14:paraId="1D1323D3">
      <w:pPr>
        <w:pStyle w:val="62"/>
        <w:numPr>
          <w:ilvl w:val="0"/>
          <w:numId w:val="32"/>
        </w:numPr>
        <w:ind w:firstLineChars="0"/>
      </w:pPr>
      <w:r>
        <w:rPr>
          <w:rFonts w:hint="eastAsia"/>
        </w:rPr>
        <w:t>《关于个人取得有关收入适用个人所得税应税所得项目的公告》（财政部 税务总局公告2019年第74号</w:t>
      </w:r>
    </w:p>
    <w:p w14:paraId="02521558">
      <w:pPr>
        <w:pStyle w:val="62"/>
        <w:numPr>
          <w:ilvl w:val="0"/>
          <w:numId w:val="32"/>
        </w:numPr>
        <w:ind w:firstLineChars="0"/>
      </w:pPr>
      <w:r>
        <w:rPr>
          <w:rFonts w:hint="eastAsia"/>
        </w:rPr>
        <w:t>《财政部 税务总局关于延续实施上市企业股权激励有关个人所得税政策的公告》（财政部 税务总局公告2023年第25号）</w:t>
      </w:r>
    </w:p>
    <w:p w14:paraId="22099395">
      <w:pPr>
        <w:pStyle w:val="62"/>
        <w:numPr>
          <w:ilvl w:val="0"/>
          <w:numId w:val="32"/>
        </w:numPr>
        <w:ind w:firstLineChars="0"/>
      </w:pPr>
      <w:r>
        <w:rPr>
          <w:rFonts w:hint="eastAsia"/>
        </w:rPr>
        <w:t>《财政部、国家税务总局关于个人所得税有关问题的批复》（财税〔2005〕94号）</w:t>
      </w:r>
    </w:p>
    <w:p w14:paraId="646F80F6">
      <w:pPr>
        <w:pStyle w:val="62"/>
        <w:numPr>
          <w:ilvl w:val="0"/>
          <w:numId w:val="32"/>
        </w:numPr>
        <w:ind w:firstLineChars="0"/>
      </w:pPr>
      <w:r>
        <w:rPr>
          <w:rFonts w:hint="eastAsia"/>
        </w:rPr>
        <w:t>《国家税务总局关于个人所得税有关政策问题的通知》（国税发〔1999〕58号）</w:t>
      </w:r>
    </w:p>
    <w:p w14:paraId="24B3594D">
      <w:pPr>
        <w:pStyle w:val="62"/>
        <w:numPr>
          <w:ilvl w:val="0"/>
          <w:numId w:val="32"/>
        </w:numPr>
        <w:ind w:firstLineChars="0"/>
      </w:pPr>
      <w:r>
        <w:rPr>
          <w:rFonts w:hint="eastAsia"/>
        </w:rPr>
        <w:t>《国家税务总局关于生活补助费范围确定问题的通知》（国税发〔1998〕155号）</w:t>
      </w:r>
    </w:p>
    <w:p w14:paraId="0F75A316">
      <w:pPr>
        <w:pStyle w:val="62"/>
        <w:numPr>
          <w:ilvl w:val="0"/>
          <w:numId w:val="32"/>
        </w:numPr>
        <w:ind w:firstLineChars="0"/>
      </w:pPr>
      <w:r>
        <w:rPr>
          <w:rFonts w:hint="eastAsia"/>
        </w:rPr>
        <w:t>《国家税务总局关于印发&lt;征收个人所得税若干问题的规定&gt;的通知》(国税发〔1994〕89号)</w:t>
      </w:r>
    </w:p>
    <w:p w14:paraId="2EFE3ABD">
      <w:pPr>
        <w:pStyle w:val="62"/>
        <w:numPr>
          <w:ilvl w:val="0"/>
          <w:numId w:val="32"/>
        </w:numPr>
        <w:ind w:firstLineChars="0"/>
      </w:pPr>
      <w:r>
        <w:rPr>
          <w:rFonts w:hint="eastAsia"/>
        </w:rPr>
        <w:t>《国家税务总局关于明确个人所得税若干政策执行问题的通知》(国税发〔2009〕121号)</w:t>
      </w:r>
    </w:p>
    <w:p w14:paraId="6A2043E4">
      <w:pPr>
        <w:pStyle w:val="62"/>
        <w:numPr>
          <w:ilvl w:val="0"/>
          <w:numId w:val="32"/>
        </w:numPr>
        <w:ind w:firstLineChars="0"/>
      </w:pPr>
      <w:r>
        <w:rPr>
          <w:rFonts w:hint="eastAsia"/>
        </w:rPr>
        <w:t>《国家税务总局关于调整个人取得全年一次性奖金等计算征收个人所得税方法问题的通知》(国税发〔2005〕9号)</w:t>
      </w:r>
    </w:p>
    <w:p w14:paraId="72D97CDC">
      <w:pPr>
        <w:pStyle w:val="62"/>
        <w:numPr>
          <w:ilvl w:val="0"/>
          <w:numId w:val="32"/>
        </w:numPr>
        <w:ind w:firstLineChars="0"/>
      </w:pPr>
      <w:r>
        <w:rPr>
          <w:rFonts w:hint="eastAsia"/>
        </w:rPr>
        <w:t>《国家税务总局关于单位为员工</w:t>
      </w:r>
      <w:r>
        <w:fldChar w:fldCharType="begin"/>
      </w:r>
      <w:r>
        <w:instrText xml:space="preserve"> HYPERLINK "http://cpro.baidu.com/cpro/ui/uijs.php?adclass=0&amp;app_id=0&amp;c=news&amp;cf=1001&amp;ch=0&amp;di=128&amp;fv=17&amp;is_app=0&amp;jk=804ee678993ef0be&amp;k=%D6%A7%B8%B6&amp;k0=%D6%A7%B8%B6&amp;kdi0=0&amp;luki=5&amp;n=10&amp;p=baidu&amp;q=shui5_cpr&amp;rb=0&amp;rs=1&amp;seller_id=1&amp;sid=bef03e9978e64e80&amp;ssp2=1&amp;stid=0&amp;t=tpclicked3_hc&amp;tu=u1954196&amp;u=http%3A%2F%2Fwww%2Eshui5%2Ecn%2Farticle%2Fbf%2F25476%2Ehtml&amp;urlid=0" </w:instrText>
      </w:r>
      <w:r>
        <w:fldChar w:fldCharType="separate"/>
      </w:r>
      <w:r>
        <w:rPr>
          <w:rStyle w:val="36"/>
          <w:rFonts w:hint="eastAsia"/>
        </w:rPr>
        <w:t>支付</w:t>
      </w:r>
      <w:r>
        <w:rPr>
          <w:rStyle w:val="36"/>
          <w:rFonts w:hint="eastAsia"/>
        </w:rPr>
        <w:fldChar w:fldCharType="end"/>
      </w:r>
      <w:r>
        <w:rPr>
          <w:rFonts w:hint="eastAsia"/>
        </w:rPr>
        <w:t>有关保险缴纳个人所得税问题的批复》（国税函〔2005〕318号）</w:t>
      </w:r>
    </w:p>
    <w:p w14:paraId="1C97E781">
      <w:pPr>
        <w:pStyle w:val="62"/>
        <w:numPr>
          <w:ilvl w:val="0"/>
          <w:numId w:val="32"/>
        </w:numPr>
        <w:ind w:firstLineChars="0"/>
      </w:pPr>
      <w:r>
        <w:rPr>
          <w:rFonts w:hint="eastAsia"/>
        </w:rPr>
        <w:t xml:space="preserve">《国家税务总局关于个人因公务用车制度改革取得补贴收入征收个人所得税问题的通知》（国税函〔2006〕245号）  </w:t>
      </w:r>
    </w:p>
    <w:p w14:paraId="0A9902C7">
      <w:pPr>
        <w:pStyle w:val="62"/>
        <w:numPr>
          <w:ilvl w:val="0"/>
          <w:numId w:val="32"/>
        </w:numPr>
        <w:ind w:firstLineChars="0"/>
      </w:pPr>
      <w:r>
        <w:rPr>
          <w:rFonts w:hint="eastAsia"/>
        </w:rPr>
        <w:t>《财政部、国家税务总局关于企业以免费旅游方式提供对营销人员个人奖励有关个人所得税政策的通知》（财税〔2004〕11号）</w:t>
      </w:r>
    </w:p>
    <w:p w14:paraId="2B0C47A3">
      <w:pPr>
        <w:pStyle w:val="62"/>
        <w:numPr>
          <w:ilvl w:val="0"/>
          <w:numId w:val="32"/>
        </w:numPr>
        <w:ind w:firstLineChars="0"/>
      </w:pPr>
      <w:r>
        <w:rPr>
          <w:rFonts w:hint="eastAsia"/>
        </w:rPr>
        <w:t>《财政部国家税务总局关于企业为个人购买房屋或其他财产征收个人所得税的批复》（财税〔2008〕83号）</w:t>
      </w:r>
    </w:p>
    <w:p w14:paraId="11250CAA">
      <w:pPr>
        <w:pStyle w:val="62"/>
        <w:numPr>
          <w:ilvl w:val="0"/>
          <w:numId w:val="32"/>
        </w:numPr>
        <w:ind w:firstLineChars="0"/>
      </w:pPr>
      <w:r>
        <w:rPr>
          <w:rFonts w:hint="eastAsia"/>
        </w:rPr>
        <w:t>《国家税务总局关于企业为股东个人购买汽车征收个人所得税的批复》（国税函〔2005〕364号）</w:t>
      </w:r>
    </w:p>
    <w:p w14:paraId="55637E11">
      <w:pPr>
        <w:pStyle w:val="62"/>
        <w:numPr>
          <w:ilvl w:val="0"/>
          <w:numId w:val="32"/>
        </w:numPr>
        <w:ind w:firstLineChars="0"/>
      </w:pPr>
      <w:r>
        <w:rPr>
          <w:rFonts w:hint="eastAsia"/>
        </w:rPr>
        <w:t>《国家税务总局关于利息、股息、红利所得征税问题的通知》（国税函〔1997〕656号）</w:t>
      </w:r>
    </w:p>
    <w:p w14:paraId="64E847BD">
      <w:pPr>
        <w:pStyle w:val="62"/>
        <w:numPr>
          <w:ilvl w:val="0"/>
          <w:numId w:val="32"/>
        </w:numPr>
        <w:ind w:firstLineChars="0"/>
      </w:pPr>
      <w:r>
        <w:rPr>
          <w:rFonts w:hint="eastAsia"/>
        </w:rPr>
        <w:t xml:space="preserve">《国家税务总局关于股份制企业转增股本和派发红股征免个人所得税的通知》（国税发〔1997〕198号 </w:t>
      </w:r>
    </w:p>
    <w:p w14:paraId="3E14F746">
      <w:pPr>
        <w:pStyle w:val="62"/>
        <w:numPr>
          <w:ilvl w:val="0"/>
          <w:numId w:val="32"/>
        </w:numPr>
        <w:ind w:firstLineChars="0"/>
      </w:pPr>
      <w:r>
        <w:rPr>
          <w:rFonts w:hint="eastAsia"/>
        </w:rPr>
        <w:t>《国家税务总局关于原城市信用社在转制为城市合作银行过程中个人股增值所得应纳个人所得税的批复》（国税函〔1998〕289号）</w:t>
      </w:r>
    </w:p>
    <w:p w14:paraId="455F1B8F">
      <w:pPr>
        <w:pStyle w:val="62"/>
        <w:numPr>
          <w:ilvl w:val="0"/>
          <w:numId w:val="32"/>
        </w:numPr>
        <w:ind w:firstLineChars="0"/>
      </w:pPr>
      <w:r>
        <w:rPr>
          <w:rFonts w:hint="eastAsia"/>
        </w:rPr>
        <w:t>《国家税务总局关于盈余公积金转增注册资本征收个人所得税问题的批复》（国税函〔1998〕333号）</w:t>
      </w:r>
    </w:p>
    <w:p w14:paraId="6CB122B3">
      <w:pPr>
        <w:pStyle w:val="62"/>
        <w:numPr>
          <w:ilvl w:val="0"/>
          <w:numId w:val="32"/>
        </w:numPr>
        <w:ind w:firstLineChars="0"/>
      </w:pPr>
      <w:r>
        <w:rPr>
          <w:rFonts w:hint="eastAsia"/>
        </w:rPr>
        <w:t>国家税务总局. 大企业税务风险管理指引（试行）[EB/OL]. (2009-05-05) .</w:t>
      </w:r>
    </w:p>
    <w:p w14:paraId="628D207D">
      <w:pPr>
        <w:pStyle w:val="62"/>
        <w:numPr>
          <w:ilvl w:val="0"/>
          <w:numId w:val="32"/>
        </w:numPr>
        <w:ind w:firstLineChars="0"/>
      </w:pPr>
      <w:r>
        <w:rPr>
          <w:rFonts w:hint="eastAsia"/>
        </w:rPr>
        <w:t>国家税务总局. 大企业税务风险管理指引（试行）[EB/OL]. (2009-05-05).</w:t>
      </w:r>
    </w:p>
    <w:p w14:paraId="5B24582A">
      <w:pPr>
        <w:pStyle w:val="62"/>
        <w:numPr>
          <w:ilvl w:val="0"/>
          <w:numId w:val="32"/>
        </w:numPr>
        <w:ind w:firstLineChars="0"/>
      </w:pPr>
      <w:r>
        <w:rPr>
          <w:rFonts w:hint="eastAsia"/>
        </w:rPr>
        <w:t>国家税务总局. 关于进一步加强税收风险管理工作的通知[EB/OL]. (2016-04-13) .</w:t>
      </w:r>
    </w:p>
    <w:p w14:paraId="1C572DA9">
      <w:pPr>
        <w:pStyle w:val="62"/>
        <w:numPr>
          <w:ilvl w:val="0"/>
          <w:numId w:val="32"/>
        </w:numPr>
        <w:ind w:firstLineChars="0"/>
      </w:pPr>
      <w:r>
        <w:rPr>
          <w:rFonts w:hint="eastAsia"/>
        </w:rPr>
        <w:t>中国注册会计师协会. &lt;中国注册会计师审计准则第1101号——注册会计师的总体目标和审计工作的基本要求&gt;应用指南[EB/OL]. (2024-01-04) .</w:t>
      </w:r>
    </w:p>
    <w:p w14:paraId="577F5D2C">
      <w:pPr>
        <w:pStyle w:val="62"/>
        <w:numPr>
          <w:ilvl w:val="0"/>
          <w:numId w:val="32"/>
        </w:numPr>
        <w:ind w:firstLineChars="0"/>
      </w:pPr>
      <w:r>
        <w:rPr>
          <w:rFonts w:hint="eastAsia"/>
        </w:rPr>
        <w:t>中国内部审计师协会. 内部审计准则[EB/OL]. (2013-09-02) .</w:t>
      </w:r>
    </w:p>
    <w:p w14:paraId="4C264457">
      <w:pPr>
        <w:pStyle w:val="62"/>
        <w:numPr>
          <w:ilvl w:val="0"/>
          <w:numId w:val="32"/>
        </w:numPr>
        <w:wordWrap w:val="0"/>
        <w:ind w:left="862" w:hanging="442" w:firstLineChars="0"/>
      </w:pPr>
      <w:r>
        <w:rPr>
          <w:rFonts w:hint="eastAsia"/>
        </w:rPr>
        <w:t>白彦锋.建立防范和化解我国税收风险的长效机制[J].税务研究,2007,(05):93-94.DOI:10.19376/j.cnki.cn11-1011/f.2007.05.024.</w:t>
      </w:r>
    </w:p>
    <w:p w14:paraId="731891E6">
      <w:pPr>
        <w:pStyle w:val="62"/>
        <w:numPr>
          <w:ilvl w:val="0"/>
          <w:numId w:val="32"/>
        </w:numPr>
        <w:wordWrap w:val="0"/>
        <w:ind w:left="862" w:hanging="442" w:firstLineChars="0"/>
      </w:pPr>
      <w:r>
        <w:rPr>
          <w:rFonts w:hint="eastAsia"/>
        </w:rPr>
        <w:t>曾长根,谢永清.引入风险管理理念有效防范税收流失[J].税务研究,2007,(07):66-70.DOI:10.19376/j.cnki.cn11-1011/f.2007.07.019.</w:t>
      </w:r>
    </w:p>
    <w:p w14:paraId="10A20BA9">
      <w:pPr>
        <w:pStyle w:val="62"/>
        <w:numPr>
          <w:ilvl w:val="0"/>
          <w:numId w:val="32"/>
        </w:numPr>
        <w:wordWrap w:val="0"/>
        <w:ind w:left="862" w:hanging="442" w:firstLineChars="0"/>
      </w:pPr>
      <w:r>
        <w:rPr>
          <w:rFonts w:hint="eastAsia"/>
        </w:rPr>
        <w:t>陈捷.推进大企业税收专业化管理和服务的构想[J].涉外税务,2011,(06):26-30.DOI:10.19376/j.cnki.cn10-1142/f.2011.06.007.</w:t>
      </w:r>
    </w:p>
    <w:p w14:paraId="33A60379">
      <w:pPr>
        <w:pStyle w:val="62"/>
        <w:numPr>
          <w:ilvl w:val="0"/>
          <w:numId w:val="32"/>
        </w:numPr>
        <w:wordWrap w:val="0"/>
        <w:ind w:left="862" w:hanging="442" w:firstLineChars="0"/>
      </w:pPr>
      <w:r>
        <w:rPr>
          <w:rFonts w:hint="eastAsia"/>
        </w:rPr>
        <w:t>李岩.美国大企业税收管理模式及其启示[J].涉外税务,2011,(06):30-34.DOI:10.19376/j.cnki.cn10-1142/f.2011.06.008.</w:t>
      </w:r>
    </w:p>
    <w:p w14:paraId="02E011D3">
      <w:pPr>
        <w:pStyle w:val="62"/>
        <w:numPr>
          <w:ilvl w:val="0"/>
          <w:numId w:val="32"/>
        </w:numPr>
        <w:wordWrap w:val="0"/>
        <w:ind w:left="862" w:hanging="442" w:firstLineChars="0"/>
      </w:pPr>
      <w:r>
        <w:rPr>
          <w:rFonts w:hint="eastAsia"/>
        </w:rPr>
        <w:t>姜涛.大型企业税收专业化管理的国际实践及其借鉴[J].上海经济研究,2007,(09):104-109.DOI:10.19626/j.cnki.cn31-1163/f.2007.09.015.</w:t>
      </w:r>
    </w:p>
    <w:p w14:paraId="69188F76">
      <w:pPr>
        <w:pStyle w:val="62"/>
        <w:numPr>
          <w:ilvl w:val="0"/>
          <w:numId w:val="32"/>
        </w:numPr>
        <w:wordWrap w:val="0"/>
        <w:ind w:left="862" w:hanging="442" w:firstLineChars="0"/>
      </w:pPr>
      <w:r>
        <w:rPr>
          <w:rFonts w:hint="eastAsia"/>
        </w:rPr>
        <w:t>蒋震.大企业税收风险管理的思路和基本框架[J].税收经济研究,2011,16(06):25-30.DOI:10.16340/j.cnki.ssjjyj.2011.06.005.</w:t>
      </w:r>
    </w:p>
    <w:p w14:paraId="6E448A78">
      <w:pPr>
        <w:pStyle w:val="62"/>
        <w:numPr>
          <w:ilvl w:val="0"/>
          <w:numId w:val="32"/>
        </w:numPr>
        <w:ind w:firstLineChars="0"/>
      </w:pPr>
      <w:r>
        <w:rPr>
          <w:rFonts w:hint="eastAsia"/>
        </w:rPr>
        <w:t>普华永道. 税务合规技术转型：提升合规效率与风险控制的数字化路径 [R]. 北京：普华永道，2024.</w:t>
      </w:r>
    </w:p>
    <w:p w14:paraId="5680FDF3">
      <w:pPr>
        <w:pStyle w:val="62"/>
        <w:numPr>
          <w:ilvl w:val="0"/>
          <w:numId w:val="32"/>
        </w:numPr>
        <w:ind w:firstLineChars="0"/>
      </w:pPr>
      <w:r>
        <w:rPr>
          <w:rFonts w:hint="eastAsia"/>
        </w:rPr>
        <w:t>经合组织.Tax Policy Reforms 2024 [R]. 巴黎：经合组织，2024.</w:t>
      </w:r>
    </w:p>
    <w:p w14:paraId="2D9B43E5">
      <w:pPr>
        <w:pStyle w:val="62"/>
        <w:numPr>
          <w:ilvl w:val="0"/>
          <w:numId w:val="32"/>
        </w:numPr>
        <w:ind w:firstLineChars="0"/>
      </w:pPr>
      <w:r>
        <w:t>Committee of Sponsoring Organizations of the Treadway Commission. COSO Enterprise Risk Management: Integrating with Strategy and Performancement[M]. AICPA, 2017.</w:t>
      </w:r>
    </w:p>
    <w:p w14:paraId="38888242">
      <w:pPr>
        <w:pStyle w:val="62"/>
        <w:numPr>
          <w:ilvl w:val="0"/>
          <w:numId w:val="32"/>
        </w:numPr>
        <w:ind w:firstLineChars="0"/>
      </w:pPr>
      <w:r>
        <w:t>Tax risk management: From risk to opportunity[M]. IBFD, 2010.</w:t>
      </w:r>
    </w:p>
    <w:p w14:paraId="67F9DE30">
      <w:pPr>
        <w:pStyle w:val="62"/>
        <w:numPr>
          <w:ilvl w:val="0"/>
          <w:numId w:val="32"/>
        </w:numPr>
        <w:ind w:firstLineChars="0"/>
      </w:pPr>
      <w:r>
        <w:t>OECD (2021). Corporate Tax Statistics: Third Edition. OECD Publishing, Paris.</w:t>
      </w:r>
    </w:p>
    <w:p w14:paraId="77CDCAD3">
      <w:pPr>
        <w:pStyle w:val="62"/>
        <w:numPr>
          <w:ilvl w:val="0"/>
          <w:numId w:val="32"/>
        </w:numPr>
        <w:ind w:firstLineChars="0"/>
      </w:pPr>
      <w:r>
        <w:t>OECD (2021). Tax Policy Reforms 2021: Special Edition on Tax Policy during the COVID-19 Pandemic. OECD Publishing, Paris.</w:t>
      </w:r>
    </w:p>
    <w:p w14:paraId="2CEAF65E">
      <w:pPr>
        <w:pStyle w:val="62"/>
        <w:numPr>
          <w:ilvl w:val="0"/>
          <w:numId w:val="32"/>
        </w:numPr>
        <w:ind w:firstLineChars="0"/>
      </w:pPr>
      <w:r>
        <w:t>OECD (2020). Tax Challenges Arising from Digitalisation – Report on Pillar One Blueprint. OECD/G20 Base Erosion and Profit Shifting Project, OECD Publishing, Paris.</w:t>
      </w:r>
    </w:p>
    <w:p w14:paraId="4CFA3569">
      <w:pPr>
        <w:pStyle w:val="62"/>
        <w:ind w:firstLine="420"/>
      </w:pPr>
    </w:p>
    <w:p w14:paraId="35DFDF00">
      <w:pPr>
        <w:pStyle w:val="62"/>
        <w:ind w:firstLine="420"/>
      </w:pPr>
    </w:p>
    <w:bookmarkEnd w:id="112"/>
    <w:p w14:paraId="687AE561">
      <w:pPr>
        <w:pStyle w:val="62"/>
        <w:ind w:firstLine="0" w:firstLineChars="0"/>
        <w:jc w:val="center"/>
      </w:pPr>
      <w:bookmarkStart w:id="114" w:name="BookMark8"/>
      <w:r>
        <w:rPr>
          <w:rFonts w:hint="eastAsia"/>
        </w:rPr>
        <w:drawing>
          <wp:inline distT="0" distB="0" distL="0" distR="0">
            <wp:extent cx="1485900" cy="317500"/>
            <wp:effectExtent l="0" t="0" r="0" b="6350"/>
            <wp:docPr id="1760345716" name="图片 3"/>
            <wp:cNvGraphicFramePr/>
            <a:graphic xmlns:a="http://schemas.openxmlformats.org/drawingml/2006/main">
              <a:graphicData uri="http://schemas.openxmlformats.org/drawingml/2006/picture">
                <pic:pic xmlns:pic="http://schemas.openxmlformats.org/drawingml/2006/picture">
                  <pic:nvPicPr>
                    <pic:cNvPr id="1760345716" name="图片 3"/>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4"/>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Segoe Print"/>
    <w:panose1 w:val="02020609040205080304"/>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DDA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DF7A">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C6F7">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5EEB">
    <w:pPr>
      <w:pStyle w:val="58"/>
    </w:pPr>
    <w:r>
      <w:fldChar w:fldCharType="begin"/>
    </w:r>
    <w:r>
      <w:instrText xml:space="preserve">PAGE   \* MERGEFORMAT</w:instrText>
    </w:r>
    <w:r>
      <w:fldChar w:fldCharType="separate"/>
    </w:r>
    <w:r>
      <w:rPr>
        <w:lang w:val="zh-CN"/>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2B66">
    <w:pPr>
      <w:pStyle w:val="67"/>
      <w:rPr>
        <w:rFonts w:hint="eastAsia"/>
      </w:rPr>
    </w:pPr>
    <w:r>
      <w:fldChar w:fldCharType="begin"/>
    </w:r>
    <w:r>
      <w:instrText xml:space="preserve"> STYLEREF  标准文件_文件编号  \* MERGEFORMAT </w:instrText>
    </w:r>
    <w:r>
      <w:fldChar w:fldCharType="separate"/>
    </w:r>
    <w:r>
      <w:t>T/CCPITCSC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C44F">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6ABB">
    <w:pPr>
      <w:pStyle w:val="2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127AA"/>
    <w:multiLevelType w:val="multilevel"/>
    <w:tmpl w:val="001127AA"/>
    <w:lvl w:ilvl="0" w:tentative="0">
      <w:start w:val="1"/>
      <w:numFmt w:val="decimal"/>
      <w:lvlText w:val="[%1]"/>
      <w:lvlJc w:val="left"/>
      <w:pPr>
        <w:ind w:left="860" w:hanging="440"/>
      </w:pPr>
      <w:rPr>
        <w:rFonts w:hint="eastAsia" w:ascii="宋体" w:hAnsi="宋体" w:eastAsia="宋体" w:cs="宋体"/>
        <w:snapToGrid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7"/>
      <w:lvlText w:val="%1——"/>
      <w:lvlJc w:val="left"/>
      <w:pPr>
        <w:tabs>
          <w:tab w:val="left" w:pos="568"/>
        </w:tabs>
        <w:ind w:left="568"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2"/>
      <w:suff w:val="nothing"/>
      <w:lvlText w:val="附录%1"/>
      <w:lvlJc w:val="left"/>
      <w:pPr>
        <w:ind w:left="3261" w:firstLine="0"/>
      </w:pPr>
      <w:rPr>
        <w:rFonts w:hint="eastAsia"/>
        <w:spacing w:val="100"/>
      </w:rPr>
    </w:lvl>
    <w:lvl w:ilvl="1" w:tentative="0">
      <w:start w:val="1"/>
      <w:numFmt w:val="decimal"/>
      <w:pStyle w:val="84"/>
      <w:suff w:val="nothing"/>
      <w:lvlText w:val="%1.%2　"/>
      <w:lvlJc w:val="left"/>
      <w:pPr>
        <w:ind w:left="3261" w:firstLine="0"/>
      </w:pPr>
      <w:rPr>
        <w:rFonts w:hint="eastAsia" w:ascii="黑体" w:eastAsia="黑体"/>
        <w:b w:val="0"/>
        <w:i w:val="0"/>
        <w:sz w:val="21"/>
      </w:rPr>
    </w:lvl>
    <w:lvl w:ilvl="2" w:tentative="0">
      <w:start w:val="1"/>
      <w:numFmt w:val="decimal"/>
      <w:pStyle w:val="85"/>
      <w:suff w:val="nothing"/>
      <w:lvlText w:val="%1.%2.%3　"/>
      <w:lvlJc w:val="left"/>
      <w:pPr>
        <w:ind w:left="3261" w:firstLine="0"/>
      </w:pPr>
      <w:rPr>
        <w:rFonts w:hint="eastAsia" w:ascii="黑体" w:eastAsia="黑体"/>
        <w:b w:val="0"/>
        <w:i w:val="0"/>
        <w:sz w:val="21"/>
      </w:rPr>
    </w:lvl>
    <w:lvl w:ilvl="3" w:tentative="0">
      <w:start w:val="1"/>
      <w:numFmt w:val="decimal"/>
      <w:pStyle w:val="87"/>
      <w:suff w:val="nothing"/>
      <w:lvlText w:val="%1.%2.%3.%4　"/>
      <w:lvlJc w:val="left"/>
      <w:pPr>
        <w:ind w:left="3261" w:firstLine="0"/>
      </w:pPr>
      <w:rPr>
        <w:rFonts w:hint="eastAsia" w:ascii="黑体" w:eastAsia="黑体"/>
        <w:b w:val="0"/>
        <w:i w:val="0"/>
        <w:sz w:val="21"/>
      </w:rPr>
    </w:lvl>
    <w:lvl w:ilvl="4" w:tentative="0">
      <w:start w:val="1"/>
      <w:numFmt w:val="decimal"/>
      <w:pStyle w:val="88"/>
      <w:suff w:val="nothing"/>
      <w:lvlText w:val="%1.%2.%3.%4.%5　"/>
      <w:lvlJc w:val="left"/>
      <w:pPr>
        <w:ind w:left="3261" w:firstLine="0"/>
      </w:pPr>
      <w:rPr>
        <w:rFonts w:hint="eastAsia" w:ascii="黑体" w:eastAsia="黑体"/>
        <w:b w:val="0"/>
        <w:i w:val="0"/>
        <w:sz w:val="21"/>
      </w:rPr>
    </w:lvl>
    <w:lvl w:ilvl="5" w:tentative="0">
      <w:start w:val="1"/>
      <w:numFmt w:val="decimal"/>
      <w:pStyle w:val="90"/>
      <w:suff w:val="nothing"/>
      <w:lvlText w:val="%1.%2.%3.%4.%5.%6　"/>
      <w:lvlJc w:val="left"/>
      <w:pPr>
        <w:ind w:left="3261" w:firstLine="0"/>
      </w:pPr>
      <w:rPr>
        <w:rFonts w:hint="eastAsia" w:ascii="黑体" w:eastAsia="黑体"/>
        <w:b w:val="0"/>
        <w:i w:val="0"/>
        <w:sz w:val="21"/>
      </w:rPr>
    </w:lvl>
    <w:lvl w:ilvl="6" w:tentative="0">
      <w:start w:val="1"/>
      <w:numFmt w:val="decimal"/>
      <w:suff w:val="nothing"/>
      <w:lvlText w:val="%1.%2.%3.%4.%5.%6.%7　"/>
      <w:lvlJc w:val="left"/>
      <w:pPr>
        <w:ind w:left="3261" w:firstLine="0"/>
      </w:pPr>
      <w:rPr>
        <w:rFonts w:hint="eastAsia"/>
      </w:rPr>
    </w:lvl>
    <w:lvl w:ilvl="7" w:tentative="0">
      <w:start w:val="1"/>
      <w:numFmt w:val="decimal"/>
      <w:lvlText w:val="%1.%2.%3.%4.%5.%6.%7.%8"/>
      <w:lvlJc w:val="left"/>
      <w:pPr>
        <w:tabs>
          <w:tab w:val="left" w:pos="7655"/>
        </w:tabs>
        <w:ind w:left="7655" w:hanging="1418"/>
      </w:pPr>
      <w:rPr>
        <w:rFonts w:hint="eastAsia"/>
      </w:rPr>
    </w:lvl>
    <w:lvl w:ilvl="8" w:tentative="0">
      <w:start w:val="1"/>
      <w:numFmt w:val="decimal"/>
      <w:lvlText w:val="%1.%2.%3.%4.%5.%6.%7.%8.%9"/>
      <w:lvlJc w:val="left"/>
      <w:pPr>
        <w:tabs>
          <w:tab w:val="left" w:pos="8363"/>
        </w:tabs>
        <w:ind w:left="8363" w:hanging="1700"/>
      </w:pPr>
      <w:rPr>
        <w:rFonts w:hint="eastAsia"/>
      </w:rPr>
    </w:lvl>
  </w:abstractNum>
  <w:abstractNum w:abstractNumId="2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WMwMTg2YmNkYjMzOTc4M2RhMjJjNDQxNjRlZTcifQ=="/>
  </w:docVars>
  <w:rsids>
    <w:rsidRoot w:val="008C4F32"/>
    <w:rsid w:val="0000040A"/>
    <w:rsid w:val="00000A94"/>
    <w:rsid w:val="00001972"/>
    <w:rsid w:val="00001D9A"/>
    <w:rsid w:val="000033BC"/>
    <w:rsid w:val="00004E12"/>
    <w:rsid w:val="00007B3A"/>
    <w:rsid w:val="000107E0"/>
    <w:rsid w:val="00011FDE"/>
    <w:rsid w:val="00012FFD"/>
    <w:rsid w:val="0001377D"/>
    <w:rsid w:val="00014162"/>
    <w:rsid w:val="00014340"/>
    <w:rsid w:val="000154FA"/>
    <w:rsid w:val="00016A9C"/>
    <w:rsid w:val="0002105A"/>
    <w:rsid w:val="00022184"/>
    <w:rsid w:val="00022762"/>
    <w:rsid w:val="000238E0"/>
    <w:rsid w:val="000249DB"/>
    <w:rsid w:val="0002595E"/>
    <w:rsid w:val="000303C3"/>
    <w:rsid w:val="000331D3"/>
    <w:rsid w:val="000346A5"/>
    <w:rsid w:val="000359C3"/>
    <w:rsid w:val="00035A7D"/>
    <w:rsid w:val="000365ED"/>
    <w:rsid w:val="000375D0"/>
    <w:rsid w:val="00040AB1"/>
    <w:rsid w:val="000413A5"/>
    <w:rsid w:val="0004249A"/>
    <w:rsid w:val="00043282"/>
    <w:rsid w:val="00044286"/>
    <w:rsid w:val="00044E74"/>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67C"/>
    <w:rsid w:val="00067F1E"/>
    <w:rsid w:val="00071CC0"/>
    <w:rsid w:val="00071CFC"/>
    <w:rsid w:val="00073C8C"/>
    <w:rsid w:val="00077B64"/>
    <w:rsid w:val="00080A1C"/>
    <w:rsid w:val="00082317"/>
    <w:rsid w:val="00083D2C"/>
    <w:rsid w:val="00084F3B"/>
    <w:rsid w:val="00086AA1"/>
    <w:rsid w:val="000871ED"/>
    <w:rsid w:val="00087446"/>
    <w:rsid w:val="00087A77"/>
    <w:rsid w:val="00090CA6"/>
    <w:rsid w:val="00092B8A"/>
    <w:rsid w:val="00092FB0"/>
    <w:rsid w:val="000934C5"/>
    <w:rsid w:val="00093D25"/>
    <w:rsid w:val="00093DAB"/>
    <w:rsid w:val="00094D73"/>
    <w:rsid w:val="00096D63"/>
    <w:rsid w:val="000A0B60"/>
    <w:rsid w:val="000A0EB8"/>
    <w:rsid w:val="000A19FC"/>
    <w:rsid w:val="000A1D39"/>
    <w:rsid w:val="000A273A"/>
    <w:rsid w:val="000A296B"/>
    <w:rsid w:val="000A7311"/>
    <w:rsid w:val="000B060F"/>
    <w:rsid w:val="000B0941"/>
    <w:rsid w:val="000B1592"/>
    <w:rsid w:val="000B1FF2"/>
    <w:rsid w:val="000B2726"/>
    <w:rsid w:val="000B3CDA"/>
    <w:rsid w:val="000B508C"/>
    <w:rsid w:val="000B6947"/>
    <w:rsid w:val="000B6A0B"/>
    <w:rsid w:val="000C0F6C"/>
    <w:rsid w:val="000C11DB"/>
    <w:rsid w:val="000C1492"/>
    <w:rsid w:val="000C1D89"/>
    <w:rsid w:val="000C2B24"/>
    <w:rsid w:val="000C2FBD"/>
    <w:rsid w:val="000C4377"/>
    <w:rsid w:val="000C4B41"/>
    <w:rsid w:val="000C57D6"/>
    <w:rsid w:val="000C6362"/>
    <w:rsid w:val="000C7666"/>
    <w:rsid w:val="000C7799"/>
    <w:rsid w:val="000D0A9C"/>
    <w:rsid w:val="000D1795"/>
    <w:rsid w:val="000D17B4"/>
    <w:rsid w:val="000D329A"/>
    <w:rsid w:val="000D449F"/>
    <w:rsid w:val="000D4B9C"/>
    <w:rsid w:val="000D4EB6"/>
    <w:rsid w:val="000D753B"/>
    <w:rsid w:val="000E1818"/>
    <w:rsid w:val="000E1922"/>
    <w:rsid w:val="000E1FCF"/>
    <w:rsid w:val="000E33E4"/>
    <w:rsid w:val="000E45BB"/>
    <w:rsid w:val="000E4C9E"/>
    <w:rsid w:val="000E54AA"/>
    <w:rsid w:val="000E5E55"/>
    <w:rsid w:val="000E6FD7"/>
    <w:rsid w:val="000E7144"/>
    <w:rsid w:val="000F06E1"/>
    <w:rsid w:val="000F0D44"/>
    <w:rsid w:val="000F0E3C"/>
    <w:rsid w:val="000F19D5"/>
    <w:rsid w:val="000F2F78"/>
    <w:rsid w:val="000F4050"/>
    <w:rsid w:val="000F4AEA"/>
    <w:rsid w:val="000F508C"/>
    <w:rsid w:val="000F67E9"/>
    <w:rsid w:val="00104926"/>
    <w:rsid w:val="0010610A"/>
    <w:rsid w:val="00106A17"/>
    <w:rsid w:val="001139B5"/>
    <w:rsid w:val="00113B1E"/>
    <w:rsid w:val="0011711C"/>
    <w:rsid w:val="001177A2"/>
    <w:rsid w:val="00121CB4"/>
    <w:rsid w:val="00124E4F"/>
    <w:rsid w:val="001260B7"/>
    <w:rsid w:val="001260CF"/>
    <w:rsid w:val="001265CB"/>
    <w:rsid w:val="00131E7E"/>
    <w:rsid w:val="001321C6"/>
    <w:rsid w:val="001325C4"/>
    <w:rsid w:val="00133010"/>
    <w:rsid w:val="001338EE"/>
    <w:rsid w:val="00133AAE"/>
    <w:rsid w:val="00135323"/>
    <w:rsid w:val="001356C4"/>
    <w:rsid w:val="001362D6"/>
    <w:rsid w:val="00137565"/>
    <w:rsid w:val="00141114"/>
    <w:rsid w:val="00142969"/>
    <w:rsid w:val="001433FF"/>
    <w:rsid w:val="001446C2"/>
    <w:rsid w:val="001457E7"/>
    <w:rsid w:val="00145D9D"/>
    <w:rsid w:val="00146388"/>
    <w:rsid w:val="00147392"/>
    <w:rsid w:val="00152365"/>
    <w:rsid w:val="001529E5"/>
    <w:rsid w:val="00152FB3"/>
    <w:rsid w:val="0015329F"/>
    <w:rsid w:val="00153C7E"/>
    <w:rsid w:val="00156B25"/>
    <w:rsid w:val="00156E1A"/>
    <w:rsid w:val="00157894"/>
    <w:rsid w:val="00157B55"/>
    <w:rsid w:val="00162F3A"/>
    <w:rsid w:val="001642FA"/>
    <w:rsid w:val="001649EB"/>
    <w:rsid w:val="00164BAF"/>
    <w:rsid w:val="00164FA8"/>
    <w:rsid w:val="00165065"/>
    <w:rsid w:val="00165434"/>
    <w:rsid w:val="0016580B"/>
    <w:rsid w:val="00165F49"/>
    <w:rsid w:val="00166B88"/>
    <w:rsid w:val="00166E66"/>
    <w:rsid w:val="0016770A"/>
    <w:rsid w:val="00167E51"/>
    <w:rsid w:val="00170804"/>
    <w:rsid w:val="001708E9"/>
    <w:rsid w:val="0017340B"/>
    <w:rsid w:val="00173FB1"/>
    <w:rsid w:val="00176306"/>
    <w:rsid w:val="00176DFD"/>
    <w:rsid w:val="001770CD"/>
    <w:rsid w:val="00177616"/>
    <w:rsid w:val="00182BE6"/>
    <w:rsid w:val="00183CD5"/>
    <w:rsid w:val="001852C9"/>
    <w:rsid w:val="001862A3"/>
    <w:rsid w:val="00186A71"/>
    <w:rsid w:val="00187A0B"/>
    <w:rsid w:val="00190087"/>
    <w:rsid w:val="00190F5B"/>
    <w:rsid w:val="001913C4"/>
    <w:rsid w:val="00191C69"/>
    <w:rsid w:val="001932A4"/>
    <w:rsid w:val="0019348F"/>
    <w:rsid w:val="00193643"/>
    <w:rsid w:val="00193A07"/>
    <w:rsid w:val="00194C95"/>
    <w:rsid w:val="00195C34"/>
    <w:rsid w:val="00196EF5"/>
    <w:rsid w:val="001A1A53"/>
    <w:rsid w:val="001A234A"/>
    <w:rsid w:val="001A3748"/>
    <w:rsid w:val="001A4593"/>
    <w:rsid w:val="001A4CF3"/>
    <w:rsid w:val="001A6696"/>
    <w:rsid w:val="001A7448"/>
    <w:rsid w:val="001A7E7F"/>
    <w:rsid w:val="001B06E8"/>
    <w:rsid w:val="001B070A"/>
    <w:rsid w:val="001B6906"/>
    <w:rsid w:val="001B71D0"/>
    <w:rsid w:val="001B71EE"/>
    <w:rsid w:val="001C04A8"/>
    <w:rsid w:val="001C14FE"/>
    <w:rsid w:val="001C2C03"/>
    <w:rsid w:val="001C3E96"/>
    <w:rsid w:val="001C3F59"/>
    <w:rsid w:val="001C42F7"/>
    <w:rsid w:val="001C49E5"/>
    <w:rsid w:val="001C680C"/>
    <w:rsid w:val="001C7FEA"/>
    <w:rsid w:val="001D0499"/>
    <w:rsid w:val="001D0BBE"/>
    <w:rsid w:val="001D0ED4"/>
    <w:rsid w:val="001D212F"/>
    <w:rsid w:val="001D2826"/>
    <w:rsid w:val="001D29D7"/>
    <w:rsid w:val="001D2DE7"/>
    <w:rsid w:val="001D411C"/>
    <w:rsid w:val="001E12E6"/>
    <w:rsid w:val="001E1B6A"/>
    <w:rsid w:val="001E2484"/>
    <w:rsid w:val="001E3CC4"/>
    <w:rsid w:val="001E4882"/>
    <w:rsid w:val="001E5E63"/>
    <w:rsid w:val="001E73AB"/>
    <w:rsid w:val="001F092D"/>
    <w:rsid w:val="001F143A"/>
    <w:rsid w:val="001F1605"/>
    <w:rsid w:val="001F1838"/>
    <w:rsid w:val="001F2508"/>
    <w:rsid w:val="001F2520"/>
    <w:rsid w:val="001F400B"/>
    <w:rsid w:val="001F4816"/>
    <w:rsid w:val="001F69B4"/>
    <w:rsid w:val="001F77C7"/>
    <w:rsid w:val="00200183"/>
    <w:rsid w:val="00200333"/>
    <w:rsid w:val="0020107D"/>
    <w:rsid w:val="002019CB"/>
    <w:rsid w:val="00202AA4"/>
    <w:rsid w:val="002031F7"/>
    <w:rsid w:val="002040E6"/>
    <w:rsid w:val="002046CF"/>
    <w:rsid w:val="0020527B"/>
    <w:rsid w:val="00205F2C"/>
    <w:rsid w:val="00206891"/>
    <w:rsid w:val="00210B15"/>
    <w:rsid w:val="002142EA"/>
    <w:rsid w:val="00215ADD"/>
    <w:rsid w:val="00216FE6"/>
    <w:rsid w:val="002204BB"/>
    <w:rsid w:val="00221B79"/>
    <w:rsid w:val="00221C6B"/>
    <w:rsid w:val="00222194"/>
    <w:rsid w:val="002224EA"/>
    <w:rsid w:val="002241DB"/>
    <w:rsid w:val="002253A1"/>
    <w:rsid w:val="00225CF8"/>
    <w:rsid w:val="0022662D"/>
    <w:rsid w:val="0022794E"/>
    <w:rsid w:val="002301DB"/>
    <w:rsid w:val="00232838"/>
    <w:rsid w:val="00233D64"/>
    <w:rsid w:val="0023482A"/>
    <w:rsid w:val="00235287"/>
    <w:rsid w:val="002359CB"/>
    <w:rsid w:val="00241244"/>
    <w:rsid w:val="00243540"/>
    <w:rsid w:val="00243953"/>
    <w:rsid w:val="0024497B"/>
    <w:rsid w:val="0024515B"/>
    <w:rsid w:val="00246021"/>
    <w:rsid w:val="0024666E"/>
    <w:rsid w:val="00247F2F"/>
    <w:rsid w:val="00247F52"/>
    <w:rsid w:val="00250B25"/>
    <w:rsid w:val="00250BBE"/>
    <w:rsid w:val="002515C2"/>
    <w:rsid w:val="0025194F"/>
    <w:rsid w:val="00254388"/>
    <w:rsid w:val="00254EC4"/>
    <w:rsid w:val="002561F9"/>
    <w:rsid w:val="0026148A"/>
    <w:rsid w:val="002614E3"/>
    <w:rsid w:val="00262696"/>
    <w:rsid w:val="00263C7B"/>
    <w:rsid w:val="00263D25"/>
    <w:rsid w:val="002643C3"/>
    <w:rsid w:val="00264A0C"/>
    <w:rsid w:val="00265941"/>
    <w:rsid w:val="00265B99"/>
    <w:rsid w:val="00266EEB"/>
    <w:rsid w:val="00267EF4"/>
    <w:rsid w:val="00270CB8"/>
    <w:rsid w:val="00272A9A"/>
    <w:rsid w:val="00272B08"/>
    <w:rsid w:val="002751D0"/>
    <w:rsid w:val="00276F5E"/>
    <w:rsid w:val="00281BB8"/>
    <w:rsid w:val="00281E9E"/>
    <w:rsid w:val="00282405"/>
    <w:rsid w:val="002849DF"/>
    <w:rsid w:val="00285170"/>
    <w:rsid w:val="00285361"/>
    <w:rsid w:val="00292D60"/>
    <w:rsid w:val="00293B30"/>
    <w:rsid w:val="00294D34"/>
    <w:rsid w:val="00294E3B"/>
    <w:rsid w:val="00296193"/>
    <w:rsid w:val="00296C66"/>
    <w:rsid w:val="00296D1B"/>
    <w:rsid w:val="00296EBE"/>
    <w:rsid w:val="002974E3"/>
    <w:rsid w:val="002A084B"/>
    <w:rsid w:val="002A1260"/>
    <w:rsid w:val="002A1589"/>
    <w:rsid w:val="002A1608"/>
    <w:rsid w:val="002A21A8"/>
    <w:rsid w:val="002A25DC"/>
    <w:rsid w:val="002A3AAB"/>
    <w:rsid w:val="002A4CEA"/>
    <w:rsid w:val="002A5636"/>
    <w:rsid w:val="002A5977"/>
    <w:rsid w:val="002A5A13"/>
    <w:rsid w:val="002A757F"/>
    <w:rsid w:val="002A7F44"/>
    <w:rsid w:val="002B0C40"/>
    <w:rsid w:val="002B1966"/>
    <w:rsid w:val="002B4508"/>
    <w:rsid w:val="002B5779"/>
    <w:rsid w:val="002B63ED"/>
    <w:rsid w:val="002B7332"/>
    <w:rsid w:val="002B7F51"/>
    <w:rsid w:val="002C09E7"/>
    <w:rsid w:val="002C0F32"/>
    <w:rsid w:val="002C1E06"/>
    <w:rsid w:val="002C25B2"/>
    <w:rsid w:val="002C3131"/>
    <w:rsid w:val="002C350D"/>
    <w:rsid w:val="002C3F07"/>
    <w:rsid w:val="002C5278"/>
    <w:rsid w:val="002C7EBB"/>
    <w:rsid w:val="002D06C1"/>
    <w:rsid w:val="002D42B5"/>
    <w:rsid w:val="002D4F1A"/>
    <w:rsid w:val="002D6EC6"/>
    <w:rsid w:val="002D7022"/>
    <w:rsid w:val="002D7524"/>
    <w:rsid w:val="002D79AC"/>
    <w:rsid w:val="002E039D"/>
    <w:rsid w:val="002E3777"/>
    <w:rsid w:val="002E3EA3"/>
    <w:rsid w:val="002E4D5A"/>
    <w:rsid w:val="002E6326"/>
    <w:rsid w:val="002F1853"/>
    <w:rsid w:val="002F30E0"/>
    <w:rsid w:val="002F35E4"/>
    <w:rsid w:val="002F3730"/>
    <w:rsid w:val="002F38E1"/>
    <w:rsid w:val="002F433F"/>
    <w:rsid w:val="002F5388"/>
    <w:rsid w:val="002F713E"/>
    <w:rsid w:val="002F7AF6"/>
    <w:rsid w:val="00300B5B"/>
    <w:rsid w:val="00300E63"/>
    <w:rsid w:val="00302F5F"/>
    <w:rsid w:val="0030441D"/>
    <w:rsid w:val="003049CB"/>
    <w:rsid w:val="00306063"/>
    <w:rsid w:val="00310466"/>
    <w:rsid w:val="00313B85"/>
    <w:rsid w:val="00317988"/>
    <w:rsid w:val="00317EAC"/>
    <w:rsid w:val="003221B4"/>
    <w:rsid w:val="003221C4"/>
    <w:rsid w:val="0032258D"/>
    <w:rsid w:val="00322E62"/>
    <w:rsid w:val="00324115"/>
    <w:rsid w:val="00324D13"/>
    <w:rsid w:val="00324EDD"/>
    <w:rsid w:val="003264B2"/>
    <w:rsid w:val="00326A79"/>
    <w:rsid w:val="00330250"/>
    <w:rsid w:val="003331E4"/>
    <w:rsid w:val="00335C1C"/>
    <w:rsid w:val="00336C64"/>
    <w:rsid w:val="00337162"/>
    <w:rsid w:val="00340ECC"/>
    <w:rsid w:val="003414CD"/>
    <w:rsid w:val="0034194F"/>
    <w:rsid w:val="00342EF1"/>
    <w:rsid w:val="00344605"/>
    <w:rsid w:val="003462C1"/>
    <w:rsid w:val="00346CD4"/>
    <w:rsid w:val="0034728B"/>
    <w:rsid w:val="003474AA"/>
    <w:rsid w:val="00347577"/>
    <w:rsid w:val="00350D1D"/>
    <w:rsid w:val="00352C83"/>
    <w:rsid w:val="00352F1A"/>
    <w:rsid w:val="003554D9"/>
    <w:rsid w:val="0035643B"/>
    <w:rsid w:val="0036107C"/>
    <w:rsid w:val="003615D2"/>
    <w:rsid w:val="00362F15"/>
    <w:rsid w:val="0036315F"/>
    <w:rsid w:val="0036429C"/>
    <w:rsid w:val="00364680"/>
    <w:rsid w:val="003646B8"/>
    <w:rsid w:val="00364A53"/>
    <w:rsid w:val="003654CB"/>
    <w:rsid w:val="00365AA9"/>
    <w:rsid w:val="00365F86"/>
    <w:rsid w:val="00365F87"/>
    <w:rsid w:val="00366E89"/>
    <w:rsid w:val="003705F4"/>
    <w:rsid w:val="00370D58"/>
    <w:rsid w:val="00371316"/>
    <w:rsid w:val="00372221"/>
    <w:rsid w:val="00376713"/>
    <w:rsid w:val="00381815"/>
    <w:rsid w:val="003819AF"/>
    <w:rsid w:val="003820E9"/>
    <w:rsid w:val="003823D5"/>
    <w:rsid w:val="00382DE7"/>
    <w:rsid w:val="00384FFC"/>
    <w:rsid w:val="003872FC"/>
    <w:rsid w:val="00387ADC"/>
    <w:rsid w:val="00390020"/>
    <w:rsid w:val="003903D6"/>
    <w:rsid w:val="00390EE6"/>
    <w:rsid w:val="0039118F"/>
    <w:rsid w:val="0039133C"/>
    <w:rsid w:val="00392AD7"/>
    <w:rsid w:val="00392E07"/>
    <w:rsid w:val="0039301B"/>
    <w:rsid w:val="0039330E"/>
    <w:rsid w:val="003938D9"/>
    <w:rsid w:val="00394376"/>
    <w:rsid w:val="003943FF"/>
    <w:rsid w:val="003946CD"/>
    <w:rsid w:val="003951E1"/>
    <w:rsid w:val="00396F64"/>
    <w:rsid w:val="0039709C"/>
    <w:rsid w:val="003974EB"/>
    <w:rsid w:val="00397CC5"/>
    <w:rsid w:val="003A11D1"/>
    <w:rsid w:val="003A1582"/>
    <w:rsid w:val="003A3D9C"/>
    <w:rsid w:val="003A4077"/>
    <w:rsid w:val="003A4AA7"/>
    <w:rsid w:val="003A7D44"/>
    <w:rsid w:val="003B09AD"/>
    <w:rsid w:val="003B1F18"/>
    <w:rsid w:val="003B5BF0"/>
    <w:rsid w:val="003B60BF"/>
    <w:rsid w:val="003B6BE3"/>
    <w:rsid w:val="003B7078"/>
    <w:rsid w:val="003B71E4"/>
    <w:rsid w:val="003C010C"/>
    <w:rsid w:val="003C0A6C"/>
    <w:rsid w:val="003C14F8"/>
    <w:rsid w:val="003C27D3"/>
    <w:rsid w:val="003C5A43"/>
    <w:rsid w:val="003D0519"/>
    <w:rsid w:val="003D0FF6"/>
    <w:rsid w:val="003D262C"/>
    <w:rsid w:val="003D50E2"/>
    <w:rsid w:val="003D6D61"/>
    <w:rsid w:val="003D7705"/>
    <w:rsid w:val="003E019F"/>
    <w:rsid w:val="003E091D"/>
    <w:rsid w:val="003E0976"/>
    <w:rsid w:val="003E1C53"/>
    <w:rsid w:val="003E2A69"/>
    <w:rsid w:val="003E2D49"/>
    <w:rsid w:val="003E2FD4"/>
    <w:rsid w:val="003E49F6"/>
    <w:rsid w:val="003E54BA"/>
    <w:rsid w:val="003E660F"/>
    <w:rsid w:val="003F068A"/>
    <w:rsid w:val="003F0841"/>
    <w:rsid w:val="003F17CE"/>
    <w:rsid w:val="003F23D3"/>
    <w:rsid w:val="003F3F08"/>
    <w:rsid w:val="003F49F1"/>
    <w:rsid w:val="003F6272"/>
    <w:rsid w:val="004003E2"/>
    <w:rsid w:val="00400E72"/>
    <w:rsid w:val="00401400"/>
    <w:rsid w:val="00403FDB"/>
    <w:rsid w:val="00404869"/>
    <w:rsid w:val="00405884"/>
    <w:rsid w:val="0040641B"/>
    <w:rsid w:val="00407724"/>
    <w:rsid w:val="00407D39"/>
    <w:rsid w:val="0041477A"/>
    <w:rsid w:val="00415F99"/>
    <w:rsid w:val="00416572"/>
    <w:rsid w:val="004167A3"/>
    <w:rsid w:val="00424F75"/>
    <w:rsid w:val="0042755B"/>
    <w:rsid w:val="00432032"/>
    <w:rsid w:val="00432DAA"/>
    <w:rsid w:val="00434305"/>
    <w:rsid w:val="00434C22"/>
    <w:rsid w:val="00435DF7"/>
    <w:rsid w:val="0043741A"/>
    <w:rsid w:val="0044083F"/>
    <w:rsid w:val="00441AE7"/>
    <w:rsid w:val="00445574"/>
    <w:rsid w:val="004467FB"/>
    <w:rsid w:val="0044734D"/>
    <w:rsid w:val="004500CF"/>
    <w:rsid w:val="00452D6B"/>
    <w:rsid w:val="00454484"/>
    <w:rsid w:val="0045517B"/>
    <w:rsid w:val="00461577"/>
    <w:rsid w:val="004633F5"/>
    <w:rsid w:val="004638F8"/>
    <w:rsid w:val="00463B77"/>
    <w:rsid w:val="00463C7B"/>
    <w:rsid w:val="004644A6"/>
    <w:rsid w:val="004650C6"/>
    <w:rsid w:val="004659BD"/>
    <w:rsid w:val="004706A8"/>
    <w:rsid w:val="00470775"/>
    <w:rsid w:val="00470E96"/>
    <w:rsid w:val="00471B0B"/>
    <w:rsid w:val="00473C23"/>
    <w:rsid w:val="004746B1"/>
    <w:rsid w:val="00475717"/>
    <w:rsid w:val="0047583F"/>
    <w:rsid w:val="00475DE8"/>
    <w:rsid w:val="00477E75"/>
    <w:rsid w:val="00481C44"/>
    <w:rsid w:val="00484936"/>
    <w:rsid w:val="00484FF1"/>
    <w:rsid w:val="00485C89"/>
    <w:rsid w:val="00486BE3"/>
    <w:rsid w:val="004905E4"/>
    <w:rsid w:val="00490A89"/>
    <w:rsid w:val="00490AB4"/>
    <w:rsid w:val="00492F02"/>
    <w:rsid w:val="004939AE"/>
    <w:rsid w:val="00496CDF"/>
    <w:rsid w:val="004A0BD8"/>
    <w:rsid w:val="004A12DF"/>
    <w:rsid w:val="004A1BA8"/>
    <w:rsid w:val="004A4B57"/>
    <w:rsid w:val="004A5978"/>
    <w:rsid w:val="004A63FA"/>
    <w:rsid w:val="004A66BF"/>
    <w:rsid w:val="004A6A3D"/>
    <w:rsid w:val="004B0272"/>
    <w:rsid w:val="004B2701"/>
    <w:rsid w:val="004B2DE9"/>
    <w:rsid w:val="004B2E1B"/>
    <w:rsid w:val="004B3AA8"/>
    <w:rsid w:val="004B3E93"/>
    <w:rsid w:val="004B56C3"/>
    <w:rsid w:val="004B64F9"/>
    <w:rsid w:val="004C06C4"/>
    <w:rsid w:val="004C0ECE"/>
    <w:rsid w:val="004C1FBC"/>
    <w:rsid w:val="004C25A2"/>
    <w:rsid w:val="004C3F1D"/>
    <w:rsid w:val="004C458D"/>
    <w:rsid w:val="004C7556"/>
    <w:rsid w:val="004C795B"/>
    <w:rsid w:val="004C7E8B"/>
    <w:rsid w:val="004C7E9D"/>
    <w:rsid w:val="004C7F67"/>
    <w:rsid w:val="004D076D"/>
    <w:rsid w:val="004D0EF1"/>
    <w:rsid w:val="004D2253"/>
    <w:rsid w:val="004D242C"/>
    <w:rsid w:val="004D4406"/>
    <w:rsid w:val="004D7C42"/>
    <w:rsid w:val="004E0465"/>
    <w:rsid w:val="004E0BBE"/>
    <w:rsid w:val="004E127B"/>
    <w:rsid w:val="004E17F5"/>
    <w:rsid w:val="004E1C0A"/>
    <w:rsid w:val="004E30C5"/>
    <w:rsid w:val="004E4355"/>
    <w:rsid w:val="004E4AA5"/>
    <w:rsid w:val="004E4AEE"/>
    <w:rsid w:val="004E59E3"/>
    <w:rsid w:val="004E67C0"/>
    <w:rsid w:val="004F02B4"/>
    <w:rsid w:val="004F391A"/>
    <w:rsid w:val="004F3CFB"/>
    <w:rsid w:val="004F3E3E"/>
    <w:rsid w:val="004F6456"/>
    <w:rsid w:val="004F696E"/>
    <w:rsid w:val="004F6C71"/>
    <w:rsid w:val="004F7B29"/>
    <w:rsid w:val="00500487"/>
    <w:rsid w:val="00500D60"/>
    <w:rsid w:val="00501139"/>
    <w:rsid w:val="0050363E"/>
    <w:rsid w:val="005039BC"/>
    <w:rsid w:val="005043BB"/>
    <w:rsid w:val="00504A3D"/>
    <w:rsid w:val="0050540A"/>
    <w:rsid w:val="00505767"/>
    <w:rsid w:val="005073F0"/>
    <w:rsid w:val="00510A7B"/>
    <w:rsid w:val="00512F6E"/>
    <w:rsid w:val="00513038"/>
    <w:rsid w:val="005131EB"/>
    <w:rsid w:val="00514174"/>
    <w:rsid w:val="00516088"/>
    <w:rsid w:val="00516B0B"/>
    <w:rsid w:val="00517202"/>
    <w:rsid w:val="00520570"/>
    <w:rsid w:val="005220EC"/>
    <w:rsid w:val="00523F95"/>
    <w:rsid w:val="00524D65"/>
    <w:rsid w:val="00525B16"/>
    <w:rsid w:val="005267B0"/>
    <w:rsid w:val="00531B68"/>
    <w:rsid w:val="00533D04"/>
    <w:rsid w:val="00534804"/>
    <w:rsid w:val="00534BDF"/>
    <w:rsid w:val="005354EA"/>
    <w:rsid w:val="0053585F"/>
    <w:rsid w:val="00535EC4"/>
    <w:rsid w:val="00535ED9"/>
    <w:rsid w:val="0053692B"/>
    <w:rsid w:val="005371BA"/>
    <w:rsid w:val="00541325"/>
    <w:rsid w:val="00541853"/>
    <w:rsid w:val="00543BDA"/>
    <w:rsid w:val="005441CC"/>
    <w:rsid w:val="00546888"/>
    <w:rsid w:val="005479DA"/>
    <w:rsid w:val="00547BCC"/>
    <w:rsid w:val="0055013B"/>
    <w:rsid w:val="00551F6F"/>
    <w:rsid w:val="005528B9"/>
    <w:rsid w:val="00554189"/>
    <w:rsid w:val="00555044"/>
    <w:rsid w:val="00561475"/>
    <w:rsid w:val="00562308"/>
    <w:rsid w:val="0056487B"/>
    <w:rsid w:val="00564FB9"/>
    <w:rsid w:val="00570161"/>
    <w:rsid w:val="00573D9E"/>
    <w:rsid w:val="00574FDE"/>
    <w:rsid w:val="005801E3"/>
    <w:rsid w:val="0058038B"/>
    <w:rsid w:val="00581802"/>
    <w:rsid w:val="005836A8"/>
    <w:rsid w:val="0058409C"/>
    <w:rsid w:val="00584262"/>
    <w:rsid w:val="00585F88"/>
    <w:rsid w:val="00586630"/>
    <w:rsid w:val="00587ADD"/>
    <w:rsid w:val="00592E6E"/>
    <w:rsid w:val="00593A49"/>
    <w:rsid w:val="005944B2"/>
    <w:rsid w:val="00594B4B"/>
    <w:rsid w:val="00596160"/>
    <w:rsid w:val="005966E2"/>
    <w:rsid w:val="00597007"/>
    <w:rsid w:val="005971BF"/>
    <w:rsid w:val="005A0966"/>
    <w:rsid w:val="005A0D15"/>
    <w:rsid w:val="005A11B7"/>
    <w:rsid w:val="005A260B"/>
    <w:rsid w:val="005A310D"/>
    <w:rsid w:val="005A4130"/>
    <w:rsid w:val="005A4A1B"/>
    <w:rsid w:val="005A7077"/>
    <w:rsid w:val="005A7830"/>
    <w:rsid w:val="005A7FCE"/>
    <w:rsid w:val="005B0F3F"/>
    <w:rsid w:val="005B191C"/>
    <w:rsid w:val="005B475A"/>
    <w:rsid w:val="005B4903"/>
    <w:rsid w:val="005B4E93"/>
    <w:rsid w:val="005B51CE"/>
    <w:rsid w:val="005B5382"/>
    <w:rsid w:val="005B5885"/>
    <w:rsid w:val="005B5CD7"/>
    <w:rsid w:val="005B6CF6"/>
    <w:rsid w:val="005B7422"/>
    <w:rsid w:val="005C29B8"/>
    <w:rsid w:val="005C39BA"/>
    <w:rsid w:val="005C3EE3"/>
    <w:rsid w:val="005C453B"/>
    <w:rsid w:val="005C5F21"/>
    <w:rsid w:val="005C7156"/>
    <w:rsid w:val="005D0C75"/>
    <w:rsid w:val="005D199E"/>
    <w:rsid w:val="005D4171"/>
    <w:rsid w:val="005D423C"/>
    <w:rsid w:val="005D6A95"/>
    <w:rsid w:val="005D6B2C"/>
    <w:rsid w:val="005D6D9C"/>
    <w:rsid w:val="005D7EE7"/>
    <w:rsid w:val="005E2335"/>
    <w:rsid w:val="005E27E3"/>
    <w:rsid w:val="005E34CA"/>
    <w:rsid w:val="005E3C18"/>
    <w:rsid w:val="005E4250"/>
    <w:rsid w:val="005E50E9"/>
    <w:rsid w:val="005E544F"/>
    <w:rsid w:val="005E6812"/>
    <w:rsid w:val="005E7881"/>
    <w:rsid w:val="005E78E0"/>
    <w:rsid w:val="005F07CE"/>
    <w:rsid w:val="005F0D9C"/>
    <w:rsid w:val="005F284E"/>
    <w:rsid w:val="005F4374"/>
    <w:rsid w:val="005F5C36"/>
    <w:rsid w:val="005F7C0F"/>
    <w:rsid w:val="00600D82"/>
    <w:rsid w:val="00601535"/>
    <w:rsid w:val="006015CE"/>
    <w:rsid w:val="0060168A"/>
    <w:rsid w:val="0060177C"/>
    <w:rsid w:val="00604784"/>
    <w:rsid w:val="00606419"/>
    <w:rsid w:val="00607D29"/>
    <w:rsid w:val="0061005D"/>
    <w:rsid w:val="006107D3"/>
    <w:rsid w:val="00612952"/>
    <w:rsid w:val="00613095"/>
    <w:rsid w:val="00614CC1"/>
    <w:rsid w:val="00615A9D"/>
    <w:rsid w:val="00617387"/>
    <w:rsid w:val="00617AE2"/>
    <w:rsid w:val="006205D6"/>
    <w:rsid w:val="006215FE"/>
    <w:rsid w:val="006224E0"/>
    <w:rsid w:val="006252D8"/>
    <w:rsid w:val="006259BC"/>
    <w:rsid w:val="0062636B"/>
    <w:rsid w:val="00627BEE"/>
    <w:rsid w:val="00632182"/>
    <w:rsid w:val="00632AE0"/>
    <w:rsid w:val="00632BB6"/>
    <w:rsid w:val="00633C17"/>
    <w:rsid w:val="00634D9E"/>
    <w:rsid w:val="0063560D"/>
    <w:rsid w:val="00636E3E"/>
    <w:rsid w:val="006379F7"/>
    <w:rsid w:val="00637E4D"/>
    <w:rsid w:val="00640620"/>
    <w:rsid w:val="00641022"/>
    <w:rsid w:val="00641A1F"/>
    <w:rsid w:val="00645904"/>
    <w:rsid w:val="006461AC"/>
    <w:rsid w:val="006469DA"/>
    <w:rsid w:val="006515B0"/>
    <w:rsid w:val="00651ACB"/>
    <w:rsid w:val="00651C47"/>
    <w:rsid w:val="0065213E"/>
    <w:rsid w:val="00652AB2"/>
    <w:rsid w:val="00653B8D"/>
    <w:rsid w:val="00653FED"/>
    <w:rsid w:val="00654448"/>
    <w:rsid w:val="00654EC0"/>
    <w:rsid w:val="0065525B"/>
    <w:rsid w:val="00655D4F"/>
    <w:rsid w:val="00656291"/>
    <w:rsid w:val="00656D29"/>
    <w:rsid w:val="006613CA"/>
    <w:rsid w:val="00661804"/>
    <w:rsid w:val="00663CB5"/>
    <w:rsid w:val="006640E5"/>
    <w:rsid w:val="006646F1"/>
    <w:rsid w:val="00664929"/>
    <w:rsid w:val="00664F62"/>
    <w:rsid w:val="006655E1"/>
    <w:rsid w:val="00665BAD"/>
    <w:rsid w:val="00665D13"/>
    <w:rsid w:val="00666E84"/>
    <w:rsid w:val="006673FF"/>
    <w:rsid w:val="00672060"/>
    <w:rsid w:val="0067238B"/>
    <w:rsid w:val="00672BFD"/>
    <w:rsid w:val="00674787"/>
    <w:rsid w:val="006770F4"/>
    <w:rsid w:val="00677A84"/>
    <w:rsid w:val="0068026D"/>
    <w:rsid w:val="00680A27"/>
    <w:rsid w:val="006816A4"/>
    <w:rsid w:val="00681792"/>
    <w:rsid w:val="006819B8"/>
    <w:rsid w:val="006840A6"/>
    <w:rsid w:val="006850CD"/>
    <w:rsid w:val="00685AAB"/>
    <w:rsid w:val="00693962"/>
    <w:rsid w:val="006942C8"/>
    <w:rsid w:val="00695CB5"/>
    <w:rsid w:val="006A07AA"/>
    <w:rsid w:val="006A25E5"/>
    <w:rsid w:val="006A2912"/>
    <w:rsid w:val="006A2B46"/>
    <w:rsid w:val="006A336D"/>
    <w:rsid w:val="006A37B9"/>
    <w:rsid w:val="006A48B7"/>
    <w:rsid w:val="006A4B1E"/>
    <w:rsid w:val="006A575C"/>
    <w:rsid w:val="006B2672"/>
    <w:rsid w:val="006B477D"/>
    <w:rsid w:val="006B54BF"/>
    <w:rsid w:val="006B5764"/>
    <w:rsid w:val="006B5F44"/>
    <w:rsid w:val="006B5F90"/>
    <w:rsid w:val="006B62E4"/>
    <w:rsid w:val="006B6346"/>
    <w:rsid w:val="006B7F9C"/>
    <w:rsid w:val="006C1BBA"/>
    <w:rsid w:val="006C2079"/>
    <w:rsid w:val="006C4040"/>
    <w:rsid w:val="006C5A62"/>
    <w:rsid w:val="006C5D68"/>
    <w:rsid w:val="006C6976"/>
    <w:rsid w:val="006C6DD0"/>
    <w:rsid w:val="006D04EA"/>
    <w:rsid w:val="006D0FD8"/>
    <w:rsid w:val="006D16C4"/>
    <w:rsid w:val="006D21A1"/>
    <w:rsid w:val="006D3E96"/>
    <w:rsid w:val="006D4470"/>
    <w:rsid w:val="006D4515"/>
    <w:rsid w:val="006D467A"/>
    <w:rsid w:val="006D4BB1"/>
    <w:rsid w:val="006D4E8A"/>
    <w:rsid w:val="006D6593"/>
    <w:rsid w:val="006E18DE"/>
    <w:rsid w:val="006E2F85"/>
    <w:rsid w:val="006E7CD7"/>
    <w:rsid w:val="006F03A8"/>
    <w:rsid w:val="006F1C34"/>
    <w:rsid w:val="006F23F9"/>
    <w:rsid w:val="006F2661"/>
    <w:rsid w:val="006F2ACA"/>
    <w:rsid w:val="006F2ADC"/>
    <w:rsid w:val="006F2BFE"/>
    <w:rsid w:val="006F2F6D"/>
    <w:rsid w:val="006F31E9"/>
    <w:rsid w:val="006F324D"/>
    <w:rsid w:val="006F6284"/>
    <w:rsid w:val="006F6E9C"/>
    <w:rsid w:val="006F791D"/>
    <w:rsid w:val="007002C5"/>
    <w:rsid w:val="0070161B"/>
    <w:rsid w:val="007030ED"/>
    <w:rsid w:val="00704387"/>
    <w:rsid w:val="00704E5D"/>
    <w:rsid w:val="007051D2"/>
    <w:rsid w:val="0070556E"/>
    <w:rsid w:val="00705DED"/>
    <w:rsid w:val="00705F3C"/>
    <w:rsid w:val="00707669"/>
    <w:rsid w:val="00710471"/>
    <w:rsid w:val="00711CBA"/>
    <w:rsid w:val="00711F19"/>
    <w:rsid w:val="00711FB5"/>
    <w:rsid w:val="00712A01"/>
    <w:rsid w:val="00714F58"/>
    <w:rsid w:val="00715A42"/>
    <w:rsid w:val="0072163C"/>
    <w:rsid w:val="00722A12"/>
    <w:rsid w:val="00722FBF"/>
    <w:rsid w:val="00722FC2"/>
    <w:rsid w:val="00723D05"/>
    <w:rsid w:val="00724E1B"/>
    <w:rsid w:val="00725949"/>
    <w:rsid w:val="00727FA2"/>
    <w:rsid w:val="007322D9"/>
    <w:rsid w:val="00732406"/>
    <w:rsid w:val="00732BC0"/>
    <w:rsid w:val="007330CE"/>
    <w:rsid w:val="0073720F"/>
    <w:rsid w:val="00737796"/>
    <w:rsid w:val="00740019"/>
    <w:rsid w:val="0074165C"/>
    <w:rsid w:val="00742C35"/>
    <w:rsid w:val="00743279"/>
    <w:rsid w:val="007432CA"/>
    <w:rsid w:val="007436E4"/>
    <w:rsid w:val="0074399E"/>
    <w:rsid w:val="007439EB"/>
    <w:rsid w:val="00743CB4"/>
    <w:rsid w:val="00743F0A"/>
    <w:rsid w:val="007444E8"/>
    <w:rsid w:val="0074548E"/>
    <w:rsid w:val="00745773"/>
    <w:rsid w:val="00746800"/>
    <w:rsid w:val="007468A1"/>
    <w:rsid w:val="007501A8"/>
    <w:rsid w:val="00750D61"/>
    <w:rsid w:val="00750EE1"/>
    <w:rsid w:val="00752B4D"/>
    <w:rsid w:val="007549F8"/>
    <w:rsid w:val="00755402"/>
    <w:rsid w:val="00755805"/>
    <w:rsid w:val="00755F78"/>
    <w:rsid w:val="00756A54"/>
    <w:rsid w:val="00756B26"/>
    <w:rsid w:val="00756EDF"/>
    <w:rsid w:val="007600E3"/>
    <w:rsid w:val="007622F3"/>
    <w:rsid w:val="0076443D"/>
    <w:rsid w:val="00765298"/>
    <w:rsid w:val="00765C43"/>
    <w:rsid w:val="00765EFB"/>
    <w:rsid w:val="007671CA"/>
    <w:rsid w:val="00767C61"/>
    <w:rsid w:val="0077008A"/>
    <w:rsid w:val="00773C1F"/>
    <w:rsid w:val="00774DA4"/>
    <w:rsid w:val="00775DE9"/>
    <w:rsid w:val="00776599"/>
    <w:rsid w:val="0078114B"/>
    <w:rsid w:val="00781DD2"/>
    <w:rsid w:val="00783ECF"/>
    <w:rsid w:val="0078413A"/>
    <w:rsid w:val="007902D6"/>
    <w:rsid w:val="00792374"/>
    <w:rsid w:val="00792FD6"/>
    <w:rsid w:val="00794C7F"/>
    <w:rsid w:val="007959E8"/>
    <w:rsid w:val="00795E9C"/>
    <w:rsid w:val="00797427"/>
    <w:rsid w:val="007A0521"/>
    <w:rsid w:val="007A2E12"/>
    <w:rsid w:val="007A3475"/>
    <w:rsid w:val="007A3BED"/>
    <w:rsid w:val="007A41C8"/>
    <w:rsid w:val="007A54CE"/>
    <w:rsid w:val="007A57A0"/>
    <w:rsid w:val="007A5D3A"/>
    <w:rsid w:val="007A6C93"/>
    <w:rsid w:val="007A6F63"/>
    <w:rsid w:val="007A6FD9"/>
    <w:rsid w:val="007A779F"/>
    <w:rsid w:val="007A7C86"/>
    <w:rsid w:val="007A7FFA"/>
    <w:rsid w:val="007B04EB"/>
    <w:rsid w:val="007B06D2"/>
    <w:rsid w:val="007B0D4F"/>
    <w:rsid w:val="007B1AE0"/>
    <w:rsid w:val="007B1DB2"/>
    <w:rsid w:val="007B28A3"/>
    <w:rsid w:val="007B5A3D"/>
    <w:rsid w:val="007B5B95"/>
    <w:rsid w:val="007B6032"/>
    <w:rsid w:val="007B68EA"/>
    <w:rsid w:val="007B7453"/>
    <w:rsid w:val="007C0181"/>
    <w:rsid w:val="007C2B24"/>
    <w:rsid w:val="007C2D89"/>
    <w:rsid w:val="007C42C2"/>
    <w:rsid w:val="007C4593"/>
    <w:rsid w:val="007C505D"/>
    <w:rsid w:val="007C5309"/>
    <w:rsid w:val="007C532E"/>
    <w:rsid w:val="007C6069"/>
    <w:rsid w:val="007D06C4"/>
    <w:rsid w:val="007D1352"/>
    <w:rsid w:val="007D2508"/>
    <w:rsid w:val="007D346A"/>
    <w:rsid w:val="007D6518"/>
    <w:rsid w:val="007D76BD"/>
    <w:rsid w:val="007D7BA8"/>
    <w:rsid w:val="007E0BF1"/>
    <w:rsid w:val="007E6B79"/>
    <w:rsid w:val="007E79BE"/>
    <w:rsid w:val="007F01C2"/>
    <w:rsid w:val="007F0ED8"/>
    <w:rsid w:val="007F0F63"/>
    <w:rsid w:val="007F0F89"/>
    <w:rsid w:val="007F4BB5"/>
    <w:rsid w:val="007F75CE"/>
    <w:rsid w:val="00800362"/>
    <w:rsid w:val="00801289"/>
    <w:rsid w:val="008013A4"/>
    <w:rsid w:val="008027CE"/>
    <w:rsid w:val="00802C3E"/>
    <w:rsid w:val="00802F42"/>
    <w:rsid w:val="00804383"/>
    <w:rsid w:val="00804BB7"/>
    <w:rsid w:val="00804D41"/>
    <w:rsid w:val="00810257"/>
    <w:rsid w:val="008104F5"/>
    <w:rsid w:val="00811072"/>
    <w:rsid w:val="00811369"/>
    <w:rsid w:val="00815419"/>
    <w:rsid w:val="008163C8"/>
    <w:rsid w:val="008164A1"/>
    <w:rsid w:val="00817325"/>
    <w:rsid w:val="008209E6"/>
    <w:rsid w:val="00821874"/>
    <w:rsid w:val="00821D19"/>
    <w:rsid w:val="008231C7"/>
    <w:rsid w:val="00823303"/>
    <w:rsid w:val="008233B2"/>
    <w:rsid w:val="00823A9F"/>
    <w:rsid w:val="00823C85"/>
    <w:rsid w:val="00825138"/>
    <w:rsid w:val="008256CB"/>
    <w:rsid w:val="00825C28"/>
    <w:rsid w:val="008269DD"/>
    <w:rsid w:val="00827D29"/>
    <w:rsid w:val="00830621"/>
    <w:rsid w:val="00830EB9"/>
    <w:rsid w:val="008328C4"/>
    <w:rsid w:val="00832E9A"/>
    <w:rsid w:val="0083348C"/>
    <w:rsid w:val="008334EF"/>
    <w:rsid w:val="00834450"/>
    <w:rsid w:val="008373D3"/>
    <w:rsid w:val="008378BE"/>
    <w:rsid w:val="00840617"/>
    <w:rsid w:val="00840F08"/>
    <w:rsid w:val="00840F84"/>
    <w:rsid w:val="008427B2"/>
    <w:rsid w:val="00842A47"/>
    <w:rsid w:val="00843C13"/>
    <w:rsid w:val="00843DEF"/>
    <w:rsid w:val="008454F8"/>
    <w:rsid w:val="0084560F"/>
    <w:rsid w:val="0085029C"/>
    <w:rsid w:val="0085173A"/>
    <w:rsid w:val="00851B12"/>
    <w:rsid w:val="008526FD"/>
    <w:rsid w:val="0085431E"/>
    <w:rsid w:val="008603CE"/>
    <w:rsid w:val="00860505"/>
    <w:rsid w:val="00861313"/>
    <w:rsid w:val="008620FC"/>
    <w:rsid w:val="008627A5"/>
    <w:rsid w:val="0086309D"/>
    <w:rsid w:val="00863E05"/>
    <w:rsid w:val="0086402F"/>
    <w:rsid w:val="00865288"/>
    <w:rsid w:val="00865ACA"/>
    <w:rsid w:val="00865D28"/>
    <w:rsid w:val="00865F85"/>
    <w:rsid w:val="00867C10"/>
    <w:rsid w:val="00870439"/>
    <w:rsid w:val="00870DA1"/>
    <w:rsid w:val="00875AEB"/>
    <w:rsid w:val="008807A8"/>
    <w:rsid w:val="00881211"/>
    <w:rsid w:val="00881858"/>
    <w:rsid w:val="00882539"/>
    <w:rsid w:val="00883F93"/>
    <w:rsid w:val="00884DB3"/>
    <w:rsid w:val="00885A9D"/>
    <w:rsid w:val="00886113"/>
    <w:rsid w:val="008864F6"/>
    <w:rsid w:val="00886784"/>
    <w:rsid w:val="00886CD7"/>
    <w:rsid w:val="00886D0D"/>
    <w:rsid w:val="0089049D"/>
    <w:rsid w:val="008905A4"/>
    <w:rsid w:val="00891719"/>
    <w:rsid w:val="008928C9"/>
    <w:rsid w:val="008930CB"/>
    <w:rsid w:val="008938DC"/>
    <w:rsid w:val="00893F03"/>
    <w:rsid w:val="00893FD1"/>
    <w:rsid w:val="00894836"/>
    <w:rsid w:val="00895172"/>
    <w:rsid w:val="00895680"/>
    <w:rsid w:val="00896609"/>
    <w:rsid w:val="00896DFF"/>
    <w:rsid w:val="0089762C"/>
    <w:rsid w:val="00897BDB"/>
    <w:rsid w:val="008A173B"/>
    <w:rsid w:val="008A1893"/>
    <w:rsid w:val="008A4A93"/>
    <w:rsid w:val="008A57E6"/>
    <w:rsid w:val="008A6C99"/>
    <w:rsid w:val="008A6F81"/>
    <w:rsid w:val="008A769A"/>
    <w:rsid w:val="008A76D9"/>
    <w:rsid w:val="008B0C9C"/>
    <w:rsid w:val="008B166D"/>
    <w:rsid w:val="008B17F4"/>
    <w:rsid w:val="008B3615"/>
    <w:rsid w:val="008B36D9"/>
    <w:rsid w:val="008B4AC4"/>
    <w:rsid w:val="008B4EC4"/>
    <w:rsid w:val="008B50C8"/>
    <w:rsid w:val="008B5281"/>
    <w:rsid w:val="008B6BD1"/>
    <w:rsid w:val="008B7E05"/>
    <w:rsid w:val="008C0099"/>
    <w:rsid w:val="008C0F43"/>
    <w:rsid w:val="008C175E"/>
    <w:rsid w:val="008C1797"/>
    <w:rsid w:val="008C219C"/>
    <w:rsid w:val="008C475E"/>
    <w:rsid w:val="008C4F32"/>
    <w:rsid w:val="008C619A"/>
    <w:rsid w:val="008C6963"/>
    <w:rsid w:val="008D0CE8"/>
    <w:rsid w:val="008D1476"/>
    <w:rsid w:val="008D2D1D"/>
    <w:rsid w:val="008D453D"/>
    <w:rsid w:val="008D53AD"/>
    <w:rsid w:val="008D562B"/>
    <w:rsid w:val="008D5733"/>
    <w:rsid w:val="008D622B"/>
    <w:rsid w:val="008D666C"/>
    <w:rsid w:val="008D742A"/>
    <w:rsid w:val="008D7B54"/>
    <w:rsid w:val="008E0C9D"/>
    <w:rsid w:val="008E1648"/>
    <w:rsid w:val="008E1B3E"/>
    <w:rsid w:val="008E2319"/>
    <w:rsid w:val="008E25F2"/>
    <w:rsid w:val="008E3DF0"/>
    <w:rsid w:val="008E4695"/>
    <w:rsid w:val="008E4BB6"/>
    <w:rsid w:val="008E5518"/>
    <w:rsid w:val="008E6127"/>
    <w:rsid w:val="008E6A84"/>
    <w:rsid w:val="008F0CDC"/>
    <w:rsid w:val="008F175C"/>
    <w:rsid w:val="008F17A3"/>
    <w:rsid w:val="008F1ED3"/>
    <w:rsid w:val="008F42B9"/>
    <w:rsid w:val="008F4C29"/>
    <w:rsid w:val="008F70BD"/>
    <w:rsid w:val="008F788F"/>
    <w:rsid w:val="008F7EA2"/>
    <w:rsid w:val="00902722"/>
    <w:rsid w:val="009027BC"/>
    <w:rsid w:val="00903327"/>
    <w:rsid w:val="009062E6"/>
    <w:rsid w:val="00911BE5"/>
    <w:rsid w:val="00913CA9"/>
    <w:rsid w:val="009145AE"/>
    <w:rsid w:val="009146CE"/>
    <w:rsid w:val="00914CA7"/>
    <w:rsid w:val="00914CE0"/>
    <w:rsid w:val="00915C3E"/>
    <w:rsid w:val="009161A8"/>
    <w:rsid w:val="009212F1"/>
    <w:rsid w:val="009237C4"/>
    <w:rsid w:val="00923EA5"/>
    <w:rsid w:val="009245AE"/>
    <w:rsid w:val="009245F5"/>
    <w:rsid w:val="009249EC"/>
    <w:rsid w:val="009273B3"/>
    <w:rsid w:val="009305B5"/>
    <w:rsid w:val="00932B8E"/>
    <w:rsid w:val="0093475F"/>
    <w:rsid w:val="009378DD"/>
    <w:rsid w:val="009378F3"/>
    <w:rsid w:val="009429D5"/>
    <w:rsid w:val="00942BD4"/>
    <w:rsid w:val="00942BF1"/>
    <w:rsid w:val="00945180"/>
    <w:rsid w:val="00945428"/>
    <w:rsid w:val="0094607B"/>
    <w:rsid w:val="00951F15"/>
    <w:rsid w:val="0095271D"/>
    <w:rsid w:val="00953604"/>
    <w:rsid w:val="0095496B"/>
    <w:rsid w:val="00960F1E"/>
    <w:rsid w:val="009610DC"/>
    <w:rsid w:val="00961490"/>
    <w:rsid w:val="00962727"/>
    <w:rsid w:val="0096381A"/>
    <w:rsid w:val="009654EC"/>
    <w:rsid w:val="00965E04"/>
    <w:rsid w:val="009674AD"/>
    <w:rsid w:val="00970CDC"/>
    <w:rsid w:val="00971A22"/>
    <w:rsid w:val="0097367A"/>
    <w:rsid w:val="00975727"/>
    <w:rsid w:val="00977010"/>
    <w:rsid w:val="00977D02"/>
    <w:rsid w:val="00977FF9"/>
    <w:rsid w:val="009809BB"/>
    <w:rsid w:val="00980D16"/>
    <w:rsid w:val="0098108F"/>
    <w:rsid w:val="0098364B"/>
    <w:rsid w:val="00983730"/>
    <w:rsid w:val="00985AC7"/>
    <w:rsid w:val="0098700E"/>
    <w:rsid w:val="0098779A"/>
    <w:rsid w:val="009908A3"/>
    <w:rsid w:val="009911AF"/>
    <w:rsid w:val="00991875"/>
    <w:rsid w:val="00991F92"/>
    <w:rsid w:val="00992985"/>
    <w:rsid w:val="00993889"/>
    <w:rsid w:val="0099515C"/>
    <w:rsid w:val="0099551B"/>
    <w:rsid w:val="00996BD2"/>
    <w:rsid w:val="00997BF1"/>
    <w:rsid w:val="009A089C"/>
    <w:rsid w:val="009A118E"/>
    <w:rsid w:val="009A21CD"/>
    <w:rsid w:val="009A278C"/>
    <w:rsid w:val="009A2BC2"/>
    <w:rsid w:val="009A34D4"/>
    <w:rsid w:val="009A42C1"/>
    <w:rsid w:val="009A481A"/>
    <w:rsid w:val="009A5429"/>
    <w:rsid w:val="009A5E2C"/>
    <w:rsid w:val="009A72AD"/>
    <w:rsid w:val="009B09E0"/>
    <w:rsid w:val="009B0BC5"/>
    <w:rsid w:val="009B1247"/>
    <w:rsid w:val="009B2323"/>
    <w:rsid w:val="009B5B7D"/>
    <w:rsid w:val="009B6029"/>
    <w:rsid w:val="009B65A1"/>
    <w:rsid w:val="009B6971"/>
    <w:rsid w:val="009B751B"/>
    <w:rsid w:val="009C03D8"/>
    <w:rsid w:val="009C16D5"/>
    <w:rsid w:val="009C27F1"/>
    <w:rsid w:val="009C3152"/>
    <w:rsid w:val="009C3257"/>
    <w:rsid w:val="009C4CFA"/>
    <w:rsid w:val="009C5070"/>
    <w:rsid w:val="009D112C"/>
    <w:rsid w:val="009D1385"/>
    <w:rsid w:val="009D47FA"/>
    <w:rsid w:val="009D4C5B"/>
    <w:rsid w:val="009D50D2"/>
    <w:rsid w:val="009D6BCA"/>
    <w:rsid w:val="009E0549"/>
    <w:rsid w:val="009E0F62"/>
    <w:rsid w:val="009E1172"/>
    <w:rsid w:val="009E26EF"/>
    <w:rsid w:val="009E4A58"/>
    <w:rsid w:val="009E5A2D"/>
    <w:rsid w:val="009E5AB2"/>
    <w:rsid w:val="009E6219"/>
    <w:rsid w:val="009F03B3"/>
    <w:rsid w:val="009F0715"/>
    <w:rsid w:val="009F1DB5"/>
    <w:rsid w:val="009F2C0B"/>
    <w:rsid w:val="009F47FF"/>
    <w:rsid w:val="00A0096C"/>
    <w:rsid w:val="00A01757"/>
    <w:rsid w:val="00A028C0"/>
    <w:rsid w:val="00A02BAE"/>
    <w:rsid w:val="00A03838"/>
    <w:rsid w:val="00A041E1"/>
    <w:rsid w:val="00A06A6B"/>
    <w:rsid w:val="00A075AB"/>
    <w:rsid w:val="00A07E47"/>
    <w:rsid w:val="00A129D0"/>
    <w:rsid w:val="00A12C33"/>
    <w:rsid w:val="00A138BA"/>
    <w:rsid w:val="00A13CA7"/>
    <w:rsid w:val="00A14C8E"/>
    <w:rsid w:val="00A153D9"/>
    <w:rsid w:val="00A15B59"/>
    <w:rsid w:val="00A15F09"/>
    <w:rsid w:val="00A169B6"/>
    <w:rsid w:val="00A17F32"/>
    <w:rsid w:val="00A20F5A"/>
    <w:rsid w:val="00A2271D"/>
    <w:rsid w:val="00A237D5"/>
    <w:rsid w:val="00A30EFC"/>
    <w:rsid w:val="00A31984"/>
    <w:rsid w:val="00A32578"/>
    <w:rsid w:val="00A32D73"/>
    <w:rsid w:val="00A3367B"/>
    <w:rsid w:val="00A3396B"/>
    <w:rsid w:val="00A33C67"/>
    <w:rsid w:val="00A33FC1"/>
    <w:rsid w:val="00A3597D"/>
    <w:rsid w:val="00A35E55"/>
    <w:rsid w:val="00A36DD1"/>
    <w:rsid w:val="00A37E6D"/>
    <w:rsid w:val="00A4006C"/>
    <w:rsid w:val="00A40091"/>
    <w:rsid w:val="00A4030F"/>
    <w:rsid w:val="00A41C79"/>
    <w:rsid w:val="00A41CB5"/>
    <w:rsid w:val="00A42CDF"/>
    <w:rsid w:val="00A4452E"/>
    <w:rsid w:val="00A4472C"/>
    <w:rsid w:val="00A447DE"/>
    <w:rsid w:val="00A44E69"/>
    <w:rsid w:val="00A4661E"/>
    <w:rsid w:val="00A472E9"/>
    <w:rsid w:val="00A47E7C"/>
    <w:rsid w:val="00A47ED2"/>
    <w:rsid w:val="00A50E34"/>
    <w:rsid w:val="00A55BD6"/>
    <w:rsid w:val="00A55D50"/>
    <w:rsid w:val="00A56218"/>
    <w:rsid w:val="00A57142"/>
    <w:rsid w:val="00A6340B"/>
    <w:rsid w:val="00A648CD"/>
    <w:rsid w:val="00A6537A"/>
    <w:rsid w:val="00A66A49"/>
    <w:rsid w:val="00A67866"/>
    <w:rsid w:val="00A70B07"/>
    <w:rsid w:val="00A723F8"/>
    <w:rsid w:val="00A742C4"/>
    <w:rsid w:val="00A74B81"/>
    <w:rsid w:val="00A7633A"/>
    <w:rsid w:val="00A7693F"/>
    <w:rsid w:val="00A77CCB"/>
    <w:rsid w:val="00A83D8D"/>
    <w:rsid w:val="00A8446B"/>
    <w:rsid w:val="00A8473F"/>
    <w:rsid w:val="00A862D6"/>
    <w:rsid w:val="00A8715E"/>
    <w:rsid w:val="00A87C18"/>
    <w:rsid w:val="00A90943"/>
    <w:rsid w:val="00A9295B"/>
    <w:rsid w:val="00A93132"/>
    <w:rsid w:val="00A93B09"/>
    <w:rsid w:val="00A950A9"/>
    <w:rsid w:val="00A952D7"/>
    <w:rsid w:val="00A9596C"/>
    <w:rsid w:val="00A963F7"/>
    <w:rsid w:val="00A96976"/>
    <w:rsid w:val="00A96AD8"/>
    <w:rsid w:val="00A97A90"/>
    <w:rsid w:val="00AA052C"/>
    <w:rsid w:val="00AA13C6"/>
    <w:rsid w:val="00AA1E45"/>
    <w:rsid w:val="00AA2229"/>
    <w:rsid w:val="00AA2638"/>
    <w:rsid w:val="00AA4286"/>
    <w:rsid w:val="00AA456B"/>
    <w:rsid w:val="00AA57F5"/>
    <w:rsid w:val="00AA672E"/>
    <w:rsid w:val="00AA6EC9"/>
    <w:rsid w:val="00AB2884"/>
    <w:rsid w:val="00AB4B10"/>
    <w:rsid w:val="00AB6309"/>
    <w:rsid w:val="00AB632F"/>
    <w:rsid w:val="00AB6C5F"/>
    <w:rsid w:val="00AB6D27"/>
    <w:rsid w:val="00AB7129"/>
    <w:rsid w:val="00AC18D5"/>
    <w:rsid w:val="00AC1D21"/>
    <w:rsid w:val="00AC27A6"/>
    <w:rsid w:val="00AC30F7"/>
    <w:rsid w:val="00AC3A5A"/>
    <w:rsid w:val="00AC4C36"/>
    <w:rsid w:val="00AC4D95"/>
    <w:rsid w:val="00AC5DF4"/>
    <w:rsid w:val="00AD0AEF"/>
    <w:rsid w:val="00AD11B7"/>
    <w:rsid w:val="00AD1A94"/>
    <w:rsid w:val="00AD1C05"/>
    <w:rsid w:val="00AD4126"/>
    <w:rsid w:val="00AD421C"/>
    <w:rsid w:val="00AD44FA"/>
    <w:rsid w:val="00AD71BF"/>
    <w:rsid w:val="00AD743E"/>
    <w:rsid w:val="00AE05B2"/>
    <w:rsid w:val="00AE05E9"/>
    <w:rsid w:val="00AE070A"/>
    <w:rsid w:val="00AE101C"/>
    <w:rsid w:val="00AE2A69"/>
    <w:rsid w:val="00AE37E5"/>
    <w:rsid w:val="00AE475A"/>
    <w:rsid w:val="00AE5EB4"/>
    <w:rsid w:val="00AF0C18"/>
    <w:rsid w:val="00AF239A"/>
    <w:rsid w:val="00AF46D2"/>
    <w:rsid w:val="00AF47C5"/>
    <w:rsid w:val="00AF5398"/>
    <w:rsid w:val="00B049AF"/>
    <w:rsid w:val="00B0689D"/>
    <w:rsid w:val="00B07242"/>
    <w:rsid w:val="00B10534"/>
    <w:rsid w:val="00B113DB"/>
    <w:rsid w:val="00B11533"/>
    <w:rsid w:val="00B11D8A"/>
    <w:rsid w:val="00B12981"/>
    <w:rsid w:val="00B147DD"/>
    <w:rsid w:val="00B147F5"/>
    <w:rsid w:val="00B156FD"/>
    <w:rsid w:val="00B15BE4"/>
    <w:rsid w:val="00B21F61"/>
    <w:rsid w:val="00B24875"/>
    <w:rsid w:val="00B24F60"/>
    <w:rsid w:val="00B261F1"/>
    <w:rsid w:val="00B265BC"/>
    <w:rsid w:val="00B31FB1"/>
    <w:rsid w:val="00B33952"/>
    <w:rsid w:val="00B33975"/>
    <w:rsid w:val="00B33C5E"/>
    <w:rsid w:val="00B342F4"/>
    <w:rsid w:val="00B34369"/>
    <w:rsid w:val="00B3444E"/>
    <w:rsid w:val="00B34DC2"/>
    <w:rsid w:val="00B378E5"/>
    <w:rsid w:val="00B41CB5"/>
    <w:rsid w:val="00B4346D"/>
    <w:rsid w:val="00B440F4"/>
    <w:rsid w:val="00B447A5"/>
    <w:rsid w:val="00B44EED"/>
    <w:rsid w:val="00B464BF"/>
    <w:rsid w:val="00B4654C"/>
    <w:rsid w:val="00B47293"/>
    <w:rsid w:val="00B50E50"/>
    <w:rsid w:val="00B52120"/>
    <w:rsid w:val="00B52D86"/>
    <w:rsid w:val="00B54ABC"/>
    <w:rsid w:val="00B54D6C"/>
    <w:rsid w:val="00B550CE"/>
    <w:rsid w:val="00B56FBE"/>
    <w:rsid w:val="00B609EE"/>
    <w:rsid w:val="00B60ACF"/>
    <w:rsid w:val="00B6244E"/>
    <w:rsid w:val="00B62616"/>
    <w:rsid w:val="00B62B58"/>
    <w:rsid w:val="00B637E9"/>
    <w:rsid w:val="00B63DAF"/>
    <w:rsid w:val="00B6432A"/>
    <w:rsid w:val="00B65149"/>
    <w:rsid w:val="00B66112"/>
    <w:rsid w:val="00B66567"/>
    <w:rsid w:val="00B66F52"/>
    <w:rsid w:val="00B66FE5"/>
    <w:rsid w:val="00B67441"/>
    <w:rsid w:val="00B72880"/>
    <w:rsid w:val="00B758BF"/>
    <w:rsid w:val="00B77EC8"/>
    <w:rsid w:val="00B80854"/>
    <w:rsid w:val="00B823E8"/>
    <w:rsid w:val="00B8260E"/>
    <w:rsid w:val="00B827A6"/>
    <w:rsid w:val="00B831CE"/>
    <w:rsid w:val="00B85DF6"/>
    <w:rsid w:val="00B86677"/>
    <w:rsid w:val="00B87131"/>
    <w:rsid w:val="00B923B2"/>
    <w:rsid w:val="00B939B1"/>
    <w:rsid w:val="00B9692B"/>
    <w:rsid w:val="00B96D40"/>
    <w:rsid w:val="00B97386"/>
    <w:rsid w:val="00BA027D"/>
    <w:rsid w:val="00BA0F2C"/>
    <w:rsid w:val="00BA1FD8"/>
    <w:rsid w:val="00BA263B"/>
    <w:rsid w:val="00BA3E2C"/>
    <w:rsid w:val="00BA3F2B"/>
    <w:rsid w:val="00BA42B2"/>
    <w:rsid w:val="00BA4886"/>
    <w:rsid w:val="00BA5392"/>
    <w:rsid w:val="00BA58D4"/>
    <w:rsid w:val="00BA5B9E"/>
    <w:rsid w:val="00BA6B61"/>
    <w:rsid w:val="00BA7C9A"/>
    <w:rsid w:val="00BB07E0"/>
    <w:rsid w:val="00BB3402"/>
    <w:rsid w:val="00BB505D"/>
    <w:rsid w:val="00BB5F8F"/>
    <w:rsid w:val="00BB657A"/>
    <w:rsid w:val="00BC1A4E"/>
    <w:rsid w:val="00BC1AF9"/>
    <w:rsid w:val="00BC29BF"/>
    <w:rsid w:val="00BC3F58"/>
    <w:rsid w:val="00BC4B52"/>
    <w:rsid w:val="00BC5DC7"/>
    <w:rsid w:val="00BC6B8B"/>
    <w:rsid w:val="00BC6C58"/>
    <w:rsid w:val="00BC73D8"/>
    <w:rsid w:val="00BD0254"/>
    <w:rsid w:val="00BD07B7"/>
    <w:rsid w:val="00BD0B85"/>
    <w:rsid w:val="00BD0BA4"/>
    <w:rsid w:val="00BD52D7"/>
    <w:rsid w:val="00BD5AD2"/>
    <w:rsid w:val="00BD6355"/>
    <w:rsid w:val="00BE04CF"/>
    <w:rsid w:val="00BE0820"/>
    <w:rsid w:val="00BE22F3"/>
    <w:rsid w:val="00BE5B52"/>
    <w:rsid w:val="00BE6319"/>
    <w:rsid w:val="00BE6401"/>
    <w:rsid w:val="00BE7B8D"/>
    <w:rsid w:val="00BF0993"/>
    <w:rsid w:val="00BF10A9"/>
    <w:rsid w:val="00BF1703"/>
    <w:rsid w:val="00BF1BF0"/>
    <w:rsid w:val="00BF231C"/>
    <w:rsid w:val="00BF38F9"/>
    <w:rsid w:val="00BF51E5"/>
    <w:rsid w:val="00BF5B99"/>
    <w:rsid w:val="00BF74A6"/>
    <w:rsid w:val="00C013AD"/>
    <w:rsid w:val="00C046C3"/>
    <w:rsid w:val="00C04904"/>
    <w:rsid w:val="00C05282"/>
    <w:rsid w:val="00C054DC"/>
    <w:rsid w:val="00C056B3"/>
    <w:rsid w:val="00C10127"/>
    <w:rsid w:val="00C103E5"/>
    <w:rsid w:val="00C104EE"/>
    <w:rsid w:val="00C13319"/>
    <w:rsid w:val="00C13EE9"/>
    <w:rsid w:val="00C21540"/>
    <w:rsid w:val="00C21906"/>
    <w:rsid w:val="00C21BFA"/>
    <w:rsid w:val="00C227F9"/>
    <w:rsid w:val="00C24C8D"/>
    <w:rsid w:val="00C24E4A"/>
    <w:rsid w:val="00C25CAF"/>
    <w:rsid w:val="00C25FE2"/>
    <w:rsid w:val="00C26B53"/>
    <w:rsid w:val="00C26E76"/>
    <w:rsid w:val="00C279B2"/>
    <w:rsid w:val="00C327F4"/>
    <w:rsid w:val="00C32CE5"/>
    <w:rsid w:val="00C33E50"/>
    <w:rsid w:val="00C34283"/>
    <w:rsid w:val="00C34C20"/>
    <w:rsid w:val="00C35A3E"/>
    <w:rsid w:val="00C35D1C"/>
    <w:rsid w:val="00C36376"/>
    <w:rsid w:val="00C376DF"/>
    <w:rsid w:val="00C42130"/>
    <w:rsid w:val="00C423A4"/>
    <w:rsid w:val="00C423BD"/>
    <w:rsid w:val="00C423E3"/>
    <w:rsid w:val="00C44BF5"/>
    <w:rsid w:val="00C50B26"/>
    <w:rsid w:val="00C51417"/>
    <w:rsid w:val="00C521D6"/>
    <w:rsid w:val="00C55232"/>
    <w:rsid w:val="00C553A4"/>
    <w:rsid w:val="00C55A06"/>
    <w:rsid w:val="00C55D03"/>
    <w:rsid w:val="00C57D1E"/>
    <w:rsid w:val="00C601BC"/>
    <w:rsid w:val="00C6047F"/>
    <w:rsid w:val="00C61965"/>
    <w:rsid w:val="00C626B0"/>
    <w:rsid w:val="00C62D78"/>
    <w:rsid w:val="00C6329F"/>
    <w:rsid w:val="00C63340"/>
    <w:rsid w:val="00C643F9"/>
    <w:rsid w:val="00C64E95"/>
    <w:rsid w:val="00C65B4A"/>
    <w:rsid w:val="00C71372"/>
    <w:rsid w:val="00C72410"/>
    <w:rsid w:val="00C7276A"/>
    <w:rsid w:val="00C7287F"/>
    <w:rsid w:val="00C80032"/>
    <w:rsid w:val="00C80CB8"/>
    <w:rsid w:val="00C819F8"/>
    <w:rsid w:val="00C8248C"/>
    <w:rsid w:val="00C84E33"/>
    <w:rsid w:val="00C859FE"/>
    <w:rsid w:val="00C86D6F"/>
    <w:rsid w:val="00C905FC"/>
    <w:rsid w:val="00C92D03"/>
    <w:rsid w:val="00C9319C"/>
    <w:rsid w:val="00C93B2F"/>
    <w:rsid w:val="00C9420B"/>
    <w:rsid w:val="00C9435D"/>
    <w:rsid w:val="00C94DF2"/>
    <w:rsid w:val="00C956F0"/>
    <w:rsid w:val="00C95FDF"/>
    <w:rsid w:val="00C96741"/>
    <w:rsid w:val="00C96E69"/>
    <w:rsid w:val="00C97F82"/>
    <w:rsid w:val="00CA0C46"/>
    <w:rsid w:val="00CA0F16"/>
    <w:rsid w:val="00CA2D1B"/>
    <w:rsid w:val="00CA375D"/>
    <w:rsid w:val="00CA6469"/>
    <w:rsid w:val="00CA662A"/>
    <w:rsid w:val="00CA7619"/>
    <w:rsid w:val="00CA7AE3"/>
    <w:rsid w:val="00CA7AFD"/>
    <w:rsid w:val="00CA7C2D"/>
    <w:rsid w:val="00CA7C3C"/>
    <w:rsid w:val="00CB0189"/>
    <w:rsid w:val="00CB0258"/>
    <w:rsid w:val="00CB0BA2"/>
    <w:rsid w:val="00CB1A42"/>
    <w:rsid w:val="00CB1B0C"/>
    <w:rsid w:val="00CB2C0B"/>
    <w:rsid w:val="00CB517D"/>
    <w:rsid w:val="00CC038D"/>
    <w:rsid w:val="00CC089B"/>
    <w:rsid w:val="00CC08DB"/>
    <w:rsid w:val="00CC10EB"/>
    <w:rsid w:val="00CC1DD8"/>
    <w:rsid w:val="00CC384D"/>
    <w:rsid w:val="00CC39FF"/>
    <w:rsid w:val="00CC3C2F"/>
    <w:rsid w:val="00CC43C2"/>
    <w:rsid w:val="00CC4AC8"/>
    <w:rsid w:val="00CC5233"/>
    <w:rsid w:val="00CC5DE6"/>
    <w:rsid w:val="00CC6E4E"/>
    <w:rsid w:val="00CC6FE8"/>
    <w:rsid w:val="00CC7202"/>
    <w:rsid w:val="00CD036D"/>
    <w:rsid w:val="00CD0A6A"/>
    <w:rsid w:val="00CD26A8"/>
    <w:rsid w:val="00CD2808"/>
    <w:rsid w:val="00CD28BF"/>
    <w:rsid w:val="00CD4092"/>
    <w:rsid w:val="00CD4A20"/>
    <w:rsid w:val="00CD50A1"/>
    <w:rsid w:val="00CD519E"/>
    <w:rsid w:val="00CD57F8"/>
    <w:rsid w:val="00CD6D74"/>
    <w:rsid w:val="00CE0C4F"/>
    <w:rsid w:val="00CE30EA"/>
    <w:rsid w:val="00CE3C76"/>
    <w:rsid w:val="00CF0207"/>
    <w:rsid w:val="00CF048A"/>
    <w:rsid w:val="00CF155A"/>
    <w:rsid w:val="00CF2947"/>
    <w:rsid w:val="00CF686F"/>
    <w:rsid w:val="00CF6E60"/>
    <w:rsid w:val="00CF777D"/>
    <w:rsid w:val="00CF7BCA"/>
    <w:rsid w:val="00D00419"/>
    <w:rsid w:val="00D008FD"/>
    <w:rsid w:val="00D0161D"/>
    <w:rsid w:val="00D01DF4"/>
    <w:rsid w:val="00D0321C"/>
    <w:rsid w:val="00D0350E"/>
    <w:rsid w:val="00D035EC"/>
    <w:rsid w:val="00D06AB1"/>
    <w:rsid w:val="00D06FC1"/>
    <w:rsid w:val="00D072ED"/>
    <w:rsid w:val="00D07A16"/>
    <w:rsid w:val="00D07DD3"/>
    <w:rsid w:val="00D10569"/>
    <w:rsid w:val="00D1067E"/>
    <w:rsid w:val="00D10F50"/>
    <w:rsid w:val="00D11272"/>
    <w:rsid w:val="00D12164"/>
    <w:rsid w:val="00D126F5"/>
    <w:rsid w:val="00D13C73"/>
    <w:rsid w:val="00D1489E"/>
    <w:rsid w:val="00D20737"/>
    <w:rsid w:val="00D21E81"/>
    <w:rsid w:val="00D223DE"/>
    <w:rsid w:val="00D257EB"/>
    <w:rsid w:val="00D25E37"/>
    <w:rsid w:val="00D2661A"/>
    <w:rsid w:val="00D27582"/>
    <w:rsid w:val="00D27EC4"/>
    <w:rsid w:val="00D301C9"/>
    <w:rsid w:val="00D30BDC"/>
    <w:rsid w:val="00D322F7"/>
    <w:rsid w:val="00D32719"/>
    <w:rsid w:val="00D33333"/>
    <w:rsid w:val="00D34F9B"/>
    <w:rsid w:val="00D352A2"/>
    <w:rsid w:val="00D40536"/>
    <w:rsid w:val="00D4162B"/>
    <w:rsid w:val="00D43E4D"/>
    <w:rsid w:val="00D4514F"/>
    <w:rsid w:val="00D451E2"/>
    <w:rsid w:val="00D45E89"/>
    <w:rsid w:val="00D45E8D"/>
    <w:rsid w:val="00D466AE"/>
    <w:rsid w:val="00D46825"/>
    <w:rsid w:val="00D46E37"/>
    <w:rsid w:val="00D47069"/>
    <w:rsid w:val="00D4734F"/>
    <w:rsid w:val="00D51BF3"/>
    <w:rsid w:val="00D521F5"/>
    <w:rsid w:val="00D56233"/>
    <w:rsid w:val="00D60AAD"/>
    <w:rsid w:val="00D62C73"/>
    <w:rsid w:val="00D66846"/>
    <w:rsid w:val="00D675FB"/>
    <w:rsid w:val="00D702D4"/>
    <w:rsid w:val="00D71F25"/>
    <w:rsid w:val="00D72A9C"/>
    <w:rsid w:val="00D737E0"/>
    <w:rsid w:val="00D73E1B"/>
    <w:rsid w:val="00D76A71"/>
    <w:rsid w:val="00D77031"/>
    <w:rsid w:val="00D83131"/>
    <w:rsid w:val="00D84941"/>
    <w:rsid w:val="00D84FA1"/>
    <w:rsid w:val="00D851F0"/>
    <w:rsid w:val="00D86DB7"/>
    <w:rsid w:val="00D87BF5"/>
    <w:rsid w:val="00D90721"/>
    <w:rsid w:val="00D91037"/>
    <w:rsid w:val="00D92134"/>
    <w:rsid w:val="00D926D0"/>
    <w:rsid w:val="00D92910"/>
    <w:rsid w:val="00D93030"/>
    <w:rsid w:val="00D950E1"/>
    <w:rsid w:val="00D952A6"/>
    <w:rsid w:val="00D9766A"/>
    <w:rsid w:val="00D97F99"/>
    <w:rsid w:val="00DA022B"/>
    <w:rsid w:val="00DA1E08"/>
    <w:rsid w:val="00DA24F8"/>
    <w:rsid w:val="00DA28E8"/>
    <w:rsid w:val="00DA38D3"/>
    <w:rsid w:val="00DA3932"/>
    <w:rsid w:val="00DA3AFC"/>
    <w:rsid w:val="00DA64F8"/>
    <w:rsid w:val="00DA6C15"/>
    <w:rsid w:val="00DB0258"/>
    <w:rsid w:val="00DB11E4"/>
    <w:rsid w:val="00DB1C26"/>
    <w:rsid w:val="00DB1FAA"/>
    <w:rsid w:val="00DB38EE"/>
    <w:rsid w:val="00DB498B"/>
    <w:rsid w:val="00DB5B71"/>
    <w:rsid w:val="00DB66CA"/>
    <w:rsid w:val="00DB6BCA"/>
    <w:rsid w:val="00DB6F54"/>
    <w:rsid w:val="00DB73F7"/>
    <w:rsid w:val="00DC0321"/>
    <w:rsid w:val="00DC073A"/>
    <w:rsid w:val="00DC3067"/>
    <w:rsid w:val="00DC370B"/>
    <w:rsid w:val="00DC4075"/>
    <w:rsid w:val="00DC5B90"/>
    <w:rsid w:val="00DC7390"/>
    <w:rsid w:val="00DD00FF"/>
    <w:rsid w:val="00DD0619"/>
    <w:rsid w:val="00DD07FB"/>
    <w:rsid w:val="00DD25C6"/>
    <w:rsid w:val="00DD4FE5"/>
    <w:rsid w:val="00DD54B0"/>
    <w:rsid w:val="00DD57EE"/>
    <w:rsid w:val="00DD6BCC"/>
    <w:rsid w:val="00DD6F2A"/>
    <w:rsid w:val="00DE0A4B"/>
    <w:rsid w:val="00DE2410"/>
    <w:rsid w:val="00DE2939"/>
    <w:rsid w:val="00DE6E81"/>
    <w:rsid w:val="00DE703F"/>
    <w:rsid w:val="00DE7595"/>
    <w:rsid w:val="00DE7AF4"/>
    <w:rsid w:val="00DF1961"/>
    <w:rsid w:val="00DF2991"/>
    <w:rsid w:val="00DF3185"/>
    <w:rsid w:val="00DF44DE"/>
    <w:rsid w:val="00DF6DAE"/>
    <w:rsid w:val="00E01138"/>
    <w:rsid w:val="00E02DFB"/>
    <w:rsid w:val="00E030F9"/>
    <w:rsid w:val="00E0311A"/>
    <w:rsid w:val="00E03138"/>
    <w:rsid w:val="00E053EB"/>
    <w:rsid w:val="00E05606"/>
    <w:rsid w:val="00E06404"/>
    <w:rsid w:val="00E113DD"/>
    <w:rsid w:val="00E11A85"/>
    <w:rsid w:val="00E12089"/>
    <w:rsid w:val="00E12495"/>
    <w:rsid w:val="00E14215"/>
    <w:rsid w:val="00E15CCD"/>
    <w:rsid w:val="00E202EF"/>
    <w:rsid w:val="00E210B5"/>
    <w:rsid w:val="00E2298B"/>
    <w:rsid w:val="00E247A4"/>
    <w:rsid w:val="00E25165"/>
    <w:rsid w:val="00E2552F"/>
    <w:rsid w:val="00E27626"/>
    <w:rsid w:val="00E307BD"/>
    <w:rsid w:val="00E3137A"/>
    <w:rsid w:val="00E31721"/>
    <w:rsid w:val="00E32CCF"/>
    <w:rsid w:val="00E33A3D"/>
    <w:rsid w:val="00E34A98"/>
    <w:rsid w:val="00E35D1E"/>
    <w:rsid w:val="00E364F9"/>
    <w:rsid w:val="00E365FA"/>
    <w:rsid w:val="00E36789"/>
    <w:rsid w:val="00E446B8"/>
    <w:rsid w:val="00E44A83"/>
    <w:rsid w:val="00E45F8B"/>
    <w:rsid w:val="00E502C1"/>
    <w:rsid w:val="00E502DD"/>
    <w:rsid w:val="00E50D3A"/>
    <w:rsid w:val="00E51387"/>
    <w:rsid w:val="00E51E68"/>
    <w:rsid w:val="00E52EFD"/>
    <w:rsid w:val="00E5408A"/>
    <w:rsid w:val="00E56800"/>
    <w:rsid w:val="00E60C63"/>
    <w:rsid w:val="00E62FF9"/>
    <w:rsid w:val="00E635D6"/>
    <w:rsid w:val="00E6398D"/>
    <w:rsid w:val="00E639BC"/>
    <w:rsid w:val="00E64960"/>
    <w:rsid w:val="00E653BB"/>
    <w:rsid w:val="00E6602D"/>
    <w:rsid w:val="00E664CC"/>
    <w:rsid w:val="00E67ECA"/>
    <w:rsid w:val="00E70388"/>
    <w:rsid w:val="00E708E1"/>
    <w:rsid w:val="00E70F92"/>
    <w:rsid w:val="00E74313"/>
    <w:rsid w:val="00E74C54"/>
    <w:rsid w:val="00E77A03"/>
    <w:rsid w:val="00E8112E"/>
    <w:rsid w:val="00E822E8"/>
    <w:rsid w:val="00E82554"/>
    <w:rsid w:val="00E82606"/>
    <w:rsid w:val="00E831C1"/>
    <w:rsid w:val="00E836F8"/>
    <w:rsid w:val="00E846C8"/>
    <w:rsid w:val="00E84957"/>
    <w:rsid w:val="00E84A55"/>
    <w:rsid w:val="00E858C3"/>
    <w:rsid w:val="00E85BFF"/>
    <w:rsid w:val="00E85DDB"/>
    <w:rsid w:val="00E90391"/>
    <w:rsid w:val="00E906C2"/>
    <w:rsid w:val="00E9311F"/>
    <w:rsid w:val="00E934D1"/>
    <w:rsid w:val="00E9374C"/>
    <w:rsid w:val="00E93F0C"/>
    <w:rsid w:val="00E94AF0"/>
    <w:rsid w:val="00E95D13"/>
    <w:rsid w:val="00E95DD3"/>
    <w:rsid w:val="00E968C0"/>
    <w:rsid w:val="00E969D5"/>
    <w:rsid w:val="00E97711"/>
    <w:rsid w:val="00EA58D1"/>
    <w:rsid w:val="00EA61BC"/>
    <w:rsid w:val="00EA681A"/>
    <w:rsid w:val="00EA735B"/>
    <w:rsid w:val="00EB10E0"/>
    <w:rsid w:val="00EB1E69"/>
    <w:rsid w:val="00EB2086"/>
    <w:rsid w:val="00EB31ED"/>
    <w:rsid w:val="00EB5647"/>
    <w:rsid w:val="00EB5EDF"/>
    <w:rsid w:val="00EB60FE"/>
    <w:rsid w:val="00EB74DB"/>
    <w:rsid w:val="00EC0540"/>
    <w:rsid w:val="00EC0CA1"/>
    <w:rsid w:val="00EC5359"/>
    <w:rsid w:val="00EC562A"/>
    <w:rsid w:val="00ED067A"/>
    <w:rsid w:val="00ED0828"/>
    <w:rsid w:val="00ED1B59"/>
    <w:rsid w:val="00ED1C0F"/>
    <w:rsid w:val="00ED2B50"/>
    <w:rsid w:val="00ED5F0E"/>
    <w:rsid w:val="00ED655D"/>
    <w:rsid w:val="00ED74A2"/>
    <w:rsid w:val="00EE0350"/>
    <w:rsid w:val="00EE0719"/>
    <w:rsid w:val="00EE0E80"/>
    <w:rsid w:val="00EE1ADE"/>
    <w:rsid w:val="00EE2B59"/>
    <w:rsid w:val="00EE4872"/>
    <w:rsid w:val="00EE613F"/>
    <w:rsid w:val="00EE6A76"/>
    <w:rsid w:val="00EE7295"/>
    <w:rsid w:val="00EE7869"/>
    <w:rsid w:val="00EF054A"/>
    <w:rsid w:val="00EF3235"/>
    <w:rsid w:val="00EF3660"/>
    <w:rsid w:val="00EF5FA0"/>
    <w:rsid w:val="00EF62FC"/>
    <w:rsid w:val="00EF6F0A"/>
    <w:rsid w:val="00EF7E72"/>
    <w:rsid w:val="00F0691A"/>
    <w:rsid w:val="00F06D37"/>
    <w:rsid w:val="00F07B9D"/>
    <w:rsid w:val="00F11586"/>
    <w:rsid w:val="00F1183B"/>
    <w:rsid w:val="00F11C9F"/>
    <w:rsid w:val="00F12263"/>
    <w:rsid w:val="00F1409D"/>
    <w:rsid w:val="00F14214"/>
    <w:rsid w:val="00F157A9"/>
    <w:rsid w:val="00F16A65"/>
    <w:rsid w:val="00F16F00"/>
    <w:rsid w:val="00F252F2"/>
    <w:rsid w:val="00F25BB6"/>
    <w:rsid w:val="00F26B7E"/>
    <w:rsid w:val="00F27A3B"/>
    <w:rsid w:val="00F3184F"/>
    <w:rsid w:val="00F32780"/>
    <w:rsid w:val="00F33817"/>
    <w:rsid w:val="00F33B28"/>
    <w:rsid w:val="00F35E31"/>
    <w:rsid w:val="00F36FC9"/>
    <w:rsid w:val="00F420D5"/>
    <w:rsid w:val="00F4263F"/>
    <w:rsid w:val="00F42E8D"/>
    <w:rsid w:val="00F4384B"/>
    <w:rsid w:val="00F43F5A"/>
    <w:rsid w:val="00F43FB1"/>
    <w:rsid w:val="00F447AB"/>
    <w:rsid w:val="00F451EA"/>
    <w:rsid w:val="00F45447"/>
    <w:rsid w:val="00F456C6"/>
    <w:rsid w:val="00F4577B"/>
    <w:rsid w:val="00F46496"/>
    <w:rsid w:val="00F474D0"/>
    <w:rsid w:val="00F50179"/>
    <w:rsid w:val="00F515EE"/>
    <w:rsid w:val="00F51739"/>
    <w:rsid w:val="00F542F6"/>
    <w:rsid w:val="00F56051"/>
    <w:rsid w:val="00F56511"/>
    <w:rsid w:val="00F61519"/>
    <w:rsid w:val="00F6194E"/>
    <w:rsid w:val="00F623AC"/>
    <w:rsid w:val="00F6412A"/>
    <w:rsid w:val="00F65893"/>
    <w:rsid w:val="00F66A4A"/>
    <w:rsid w:val="00F70F2B"/>
    <w:rsid w:val="00F71E22"/>
    <w:rsid w:val="00F72142"/>
    <w:rsid w:val="00F72AE7"/>
    <w:rsid w:val="00F72B49"/>
    <w:rsid w:val="00F81F0F"/>
    <w:rsid w:val="00F833BA"/>
    <w:rsid w:val="00F84FD0"/>
    <w:rsid w:val="00F859A8"/>
    <w:rsid w:val="00F86D87"/>
    <w:rsid w:val="00F9108B"/>
    <w:rsid w:val="00F91349"/>
    <w:rsid w:val="00F93A8A"/>
    <w:rsid w:val="00F94438"/>
    <w:rsid w:val="00F94838"/>
    <w:rsid w:val="00F95248"/>
    <w:rsid w:val="00F956A9"/>
    <w:rsid w:val="00F963ED"/>
    <w:rsid w:val="00F966CF"/>
    <w:rsid w:val="00F96CAE"/>
    <w:rsid w:val="00F97C99"/>
    <w:rsid w:val="00FA071A"/>
    <w:rsid w:val="00FA3B63"/>
    <w:rsid w:val="00FA662D"/>
    <w:rsid w:val="00FA6E19"/>
    <w:rsid w:val="00FA73B1"/>
    <w:rsid w:val="00FA74AD"/>
    <w:rsid w:val="00FB0CB9"/>
    <w:rsid w:val="00FB1190"/>
    <w:rsid w:val="00FB14EA"/>
    <w:rsid w:val="00FB1D14"/>
    <w:rsid w:val="00FB1DBE"/>
    <w:rsid w:val="00FB231D"/>
    <w:rsid w:val="00FB2D96"/>
    <w:rsid w:val="00FB2E4B"/>
    <w:rsid w:val="00FB45F1"/>
    <w:rsid w:val="00FB4A72"/>
    <w:rsid w:val="00FB54E8"/>
    <w:rsid w:val="00FB7054"/>
    <w:rsid w:val="00FB7640"/>
    <w:rsid w:val="00FB7D37"/>
    <w:rsid w:val="00FC17B7"/>
    <w:rsid w:val="00FC2CB7"/>
    <w:rsid w:val="00FC4090"/>
    <w:rsid w:val="00FC4B5E"/>
    <w:rsid w:val="00FC55B4"/>
    <w:rsid w:val="00FC5737"/>
    <w:rsid w:val="00FC6305"/>
    <w:rsid w:val="00FD00E6"/>
    <w:rsid w:val="00FD09A1"/>
    <w:rsid w:val="00FD2A7C"/>
    <w:rsid w:val="00FD46A4"/>
    <w:rsid w:val="00FD4778"/>
    <w:rsid w:val="00FD59EB"/>
    <w:rsid w:val="00FD7299"/>
    <w:rsid w:val="00FD7CC4"/>
    <w:rsid w:val="00FE0462"/>
    <w:rsid w:val="00FE1FBE"/>
    <w:rsid w:val="00FE3327"/>
    <w:rsid w:val="00FE3901"/>
    <w:rsid w:val="00FE39D3"/>
    <w:rsid w:val="00FE4BCE"/>
    <w:rsid w:val="00FE54AE"/>
    <w:rsid w:val="00FE576A"/>
    <w:rsid w:val="00FE7E79"/>
    <w:rsid w:val="00FF008C"/>
    <w:rsid w:val="00FF3E7D"/>
    <w:rsid w:val="00FF5B99"/>
    <w:rsid w:val="00FF6599"/>
    <w:rsid w:val="00FF6838"/>
    <w:rsid w:val="00FF6867"/>
    <w:rsid w:val="00FF730C"/>
    <w:rsid w:val="00FF73F4"/>
    <w:rsid w:val="00FF7CE4"/>
    <w:rsid w:val="00FF7E39"/>
    <w:rsid w:val="010121B4"/>
    <w:rsid w:val="016F283F"/>
    <w:rsid w:val="01804A4C"/>
    <w:rsid w:val="01CC7C92"/>
    <w:rsid w:val="01FF3286"/>
    <w:rsid w:val="02902A6D"/>
    <w:rsid w:val="02FA082F"/>
    <w:rsid w:val="030A0A72"/>
    <w:rsid w:val="030B6598"/>
    <w:rsid w:val="036F4D79"/>
    <w:rsid w:val="0375005C"/>
    <w:rsid w:val="03800D34"/>
    <w:rsid w:val="0394658D"/>
    <w:rsid w:val="040354C1"/>
    <w:rsid w:val="042F398A"/>
    <w:rsid w:val="04844854"/>
    <w:rsid w:val="04B207F8"/>
    <w:rsid w:val="04CD4FB2"/>
    <w:rsid w:val="05616943"/>
    <w:rsid w:val="05976809"/>
    <w:rsid w:val="05BC59AE"/>
    <w:rsid w:val="05CA44E8"/>
    <w:rsid w:val="06C3206B"/>
    <w:rsid w:val="06E31D05"/>
    <w:rsid w:val="06F37A6F"/>
    <w:rsid w:val="070C17BE"/>
    <w:rsid w:val="07293490"/>
    <w:rsid w:val="0748600C"/>
    <w:rsid w:val="07ED25AB"/>
    <w:rsid w:val="080812F8"/>
    <w:rsid w:val="0808754A"/>
    <w:rsid w:val="082D6FB0"/>
    <w:rsid w:val="08CC67C9"/>
    <w:rsid w:val="095C7B4D"/>
    <w:rsid w:val="099C619C"/>
    <w:rsid w:val="09ED2E9B"/>
    <w:rsid w:val="0A782765"/>
    <w:rsid w:val="0AE4604C"/>
    <w:rsid w:val="0AEC3153"/>
    <w:rsid w:val="0B952F4D"/>
    <w:rsid w:val="0B996E37"/>
    <w:rsid w:val="0B9E269F"/>
    <w:rsid w:val="0C484EEE"/>
    <w:rsid w:val="0C741652"/>
    <w:rsid w:val="0C9B273A"/>
    <w:rsid w:val="0DAE2941"/>
    <w:rsid w:val="0DD04666"/>
    <w:rsid w:val="0E0A5DCA"/>
    <w:rsid w:val="0E2826F4"/>
    <w:rsid w:val="0EB977F0"/>
    <w:rsid w:val="0F3415DC"/>
    <w:rsid w:val="0F3A448D"/>
    <w:rsid w:val="0F3C277A"/>
    <w:rsid w:val="0F437CE3"/>
    <w:rsid w:val="0F4672D5"/>
    <w:rsid w:val="0F803E6A"/>
    <w:rsid w:val="0F827BE2"/>
    <w:rsid w:val="0F985657"/>
    <w:rsid w:val="10463305"/>
    <w:rsid w:val="113D0264"/>
    <w:rsid w:val="117417AC"/>
    <w:rsid w:val="1218482D"/>
    <w:rsid w:val="12C02EFB"/>
    <w:rsid w:val="1319085D"/>
    <w:rsid w:val="13857CA0"/>
    <w:rsid w:val="13AA7707"/>
    <w:rsid w:val="13EF42A4"/>
    <w:rsid w:val="140908D1"/>
    <w:rsid w:val="14263231"/>
    <w:rsid w:val="143A4F2F"/>
    <w:rsid w:val="14C53455"/>
    <w:rsid w:val="15033573"/>
    <w:rsid w:val="150572EB"/>
    <w:rsid w:val="15202377"/>
    <w:rsid w:val="1565422D"/>
    <w:rsid w:val="15891CCA"/>
    <w:rsid w:val="16697C61"/>
    <w:rsid w:val="167C35DD"/>
    <w:rsid w:val="170535D2"/>
    <w:rsid w:val="178766DD"/>
    <w:rsid w:val="17D9217F"/>
    <w:rsid w:val="17EE050A"/>
    <w:rsid w:val="17F6116D"/>
    <w:rsid w:val="17F92A0B"/>
    <w:rsid w:val="18187335"/>
    <w:rsid w:val="18351C95"/>
    <w:rsid w:val="18BC4164"/>
    <w:rsid w:val="190D676E"/>
    <w:rsid w:val="19573E8D"/>
    <w:rsid w:val="19866520"/>
    <w:rsid w:val="1A5127AB"/>
    <w:rsid w:val="1ACD2659"/>
    <w:rsid w:val="1AED2CFB"/>
    <w:rsid w:val="1B0167A6"/>
    <w:rsid w:val="1B302BE8"/>
    <w:rsid w:val="1C07480B"/>
    <w:rsid w:val="1C913162"/>
    <w:rsid w:val="1CE617B0"/>
    <w:rsid w:val="1D33076D"/>
    <w:rsid w:val="1D4B1F5B"/>
    <w:rsid w:val="1EE05092"/>
    <w:rsid w:val="1F282554"/>
    <w:rsid w:val="1F3709E9"/>
    <w:rsid w:val="1F9637A3"/>
    <w:rsid w:val="1FA6791C"/>
    <w:rsid w:val="1FB65DB1"/>
    <w:rsid w:val="1FE7136A"/>
    <w:rsid w:val="200503AA"/>
    <w:rsid w:val="20191E9C"/>
    <w:rsid w:val="20275488"/>
    <w:rsid w:val="20A26336"/>
    <w:rsid w:val="210B3EDB"/>
    <w:rsid w:val="213F215E"/>
    <w:rsid w:val="219263AA"/>
    <w:rsid w:val="24247062"/>
    <w:rsid w:val="24997A50"/>
    <w:rsid w:val="24EA02AB"/>
    <w:rsid w:val="25956469"/>
    <w:rsid w:val="26010CAF"/>
    <w:rsid w:val="2604714B"/>
    <w:rsid w:val="26487037"/>
    <w:rsid w:val="26552A06"/>
    <w:rsid w:val="26A06DAB"/>
    <w:rsid w:val="26AF70B6"/>
    <w:rsid w:val="2764572C"/>
    <w:rsid w:val="276D3E6A"/>
    <w:rsid w:val="277F4CDB"/>
    <w:rsid w:val="27C941A8"/>
    <w:rsid w:val="28123DA1"/>
    <w:rsid w:val="28475245"/>
    <w:rsid w:val="2849353B"/>
    <w:rsid w:val="28771E56"/>
    <w:rsid w:val="28B05368"/>
    <w:rsid w:val="29A30A29"/>
    <w:rsid w:val="29DD218D"/>
    <w:rsid w:val="29E31A75"/>
    <w:rsid w:val="2A257690"/>
    <w:rsid w:val="2A756869"/>
    <w:rsid w:val="2A7F1C4E"/>
    <w:rsid w:val="2AAA4765"/>
    <w:rsid w:val="2B2F07C6"/>
    <w:rsid w:val="2B5841C1"/>
    <w:rsid w:val="2B8C3E6A"/>
    <w:rsid w:val="2B8F395A"/>
    <w:rsid w:val="2BB30A63"/>
    <w:rsid w:val="2C324A12"/>
    <w:rsid w:val="2C3D5164"/>
    <w:rsid w:val="2CAF6281"/>
    <w:rsid w:val="2CF241A1"/>
    <w:rsid w:val="2D3D6F98"/>
    <w:rsid w:val="2DAE0720"/>
    <w:rsid w:val="2DCF44E2"/>
    <w:rsid w:val="2DE51610"/>
    <w:rsid w:val="2E2C723F"/>
    <w:rsid w:val="2E2E1209"/>
    <w:rsid w:val="2E304F81"/>
    <w:rsid w:val="2E355FCD"/>
    <w:rsid w:val="2E8B21B7"/>
    <w:rsid w:val="2ED33B5E"/>
    <w:rsid w:val="2EFC4E63"/>
    <w:rsid w:val="2F2D7712"/>
    <w:rsid w:val="2F5B602D"/>
    <w:rsid w:val="2FDB4595"/>
    <w:rsid w:val="2FDE0A0C"/>
    <w:rsid w:val="2FEC07F3"/>
    <w:rsid w:val="2FEF49C8"/>
    <w:rsid w:val="302B53D1"/>
    <w:rsid w:val="3062519A"/>
    <w:rsid w:val="311C17EC"/>
    <w:rsid w:val="319C3C90"/>
    <w:rsid w:val="31E247E4"/>
    <w:rsid w:val="32087FC3"/>
    <w:rsid w:val="32110C25"/>
    <w:rsid w:val="321626E0"/>
    <w:rsid w:val="32EC3440"/>
    <w:rsid w:val="336E3E55"/>
    <w:rsid w:val="344B6BCB"/>
    <w:rsid w:val="344F3C87"/>
    <w:rsid w:val="34525525"/>
    <w:rsid w:val="34D15BB4"/>
    <w:rsid w:val="34FA1E45"/>
    <w:rsid w:val="35044A71"/>
    <w:rsid w:val="35B46497"/>
    <w:rsid w:val="35C12962"/>
    <w:rsid w:val="363D46DF"/>
    <w:rsid w:val="36657792"/>
    <w:rsid w:val="36CE3589"/>
    <w:rsid w:val="36CF7301"/>
    <w:rsid w:val="375D490D"/>
    <w:rsid w:val="37D44BCF"/>
    <w:rsid w:val="38A87E0A"/>
    <w:rsid w:val="38B9091A"/>
    <w:rsid w:val="38F35529"/>
    <w:rsid w:val="396E4BAF"/>
    <w:rsid w:val="3971469F"/>
    <w:rsid w:val="398B750F"/>
    <w:rsid w:val="39F33306"/>
    <w:rsid w:val="3A10243C"/>
    <w:rsid w:val="3B135A0E"/>
    <w:rsid w:val="3B712735"/>
    <w:rsid w:val="3BAB20EB"/>
    <w:rsid w:val="3CBC20D5"/>
    <w:rsid w:val="3D0575D8"/>
    <w:rsid w:val="3D0A1093"/>
    <w:rsid w:val="3D347EBE"/>
    <w:rsid w:val="3D567E34"/>
    <w:rsid w:val="3D8449A1"/>
    <w:rsid w:val="3D8726E3"/>
    <w:rsid w:val="3DF8538F"/>
    <w:rsid w:val="3E10092B"/>
    <w:rsid w:val="3E304B29"/>
    <w:rsid w:val="3E4E3201"/>
    <w:rsid w:val="3E5500EC"/>
    <w:rsid w:val="3E66054B"/>
    <w:rsid w:val="3FEF631E"/>
    <w:rsid w:val="3FFF47B3"/>
    <w:rsid w:val="4004001B"/>
    <w:rsid w:val="40492EC1"/>
    <w:rsid w:val="407133FF"/>
    <w:rsid w:val="40D07EFD"/>
    <w:rsid w:val="410357E6"/>
    <w:rsid w:val="41AA2E44"/>
    <w:rsid w:val="41DD28D2"/>
    <w:rsid w:val="430D4678"/>
    <w:rsid w:val="44184095"/>
    <w:rsid w:val="441F3676"/>
    <w:rsid w:val="442347E8"/>
    <w:rsid w:val="45107462"/>
    <w:rsid w:val="45795008"/>
    <w:rsid w:val="463D7DE3"/>
    <w:rsid w:val="464C44CA"/>
    <w:rsid w:val="46D83FB0"/>
    <w:rsid w:val="46FA2178"/>
    <w:rsid w:val="47094169"/>
    <w:rsid w:val="47653A95"/>
    <w:rsid w:val="476E4379"/>
    <w:rsid w:val="47797541"/>
    <w:rsid w:val="47E27109"/>
    <w:rsid w:val="48B00D40"/>
    <w:rsid w:val="48C26CC5"/>
    <w:rsid w:val="4932615B"/>
    <w:rsid w:val="4AC5275E"/>
    <w:rsid w:val="4AEF3676"/>
    <w:rsid w:val="4B3814C1"/>
    <w:rsid w:val="4C194E4E"/>
    <w:rsid w:val="4C3103EA"/>
    <w:rsid w:val="4C404189"/>
    <w:rsid w:val="4C46629F"/>
    <w:rsid w:val="4D6D5452"/>
    <w:rsid w:val="4D724A1E"/>
    <w:rsid w:val="4DA96127"/>
    <w:rsid w:val="4DC808DA"/>
    <w:rsid w:val="4DDC4386"/>
    <w:rsid w:val="4EB3158A"/>
    <w:rsid w:val="4EE03A01"/>
    <w:rsid w:val="4F5D32A4"/>
    <w:rsid w:val="4FAD422B"/>
    <w:rsid w:val="50A76ECD"/>
    <w:rsid w:val="50DA5E4F"/>
    <w:rsid w:val="50F35F21"/>
    <w:rsid w:val="513242BC"/>
    <w:rsid w:val="517A013D"/>
    <w:rsid w:val="528D5C4E"/>
    <w:rsid w:val="540264B2"/>
    <w:rsid w:val="542B1BC3"/>
    <w:rsid w:val="54466461"/>
    <w:rsid w:val="54487EA1"/>
    <w:rsid w:val="544C45A3"/>
    <w:rsid w:val="548128A8"/>
    <w:rsid w:val="54A43CDF"/>
    <w:rsid w:val="54B971CF"/>
    <w:rsid w:val="54D55F7F"/>
    <w:rsid w:val="552B0501"/>
    <w:rsid w:val="55E42029"/>
    <w:rsid w:val="56221F60"/>
    <w:rsid w:val="562E7748"/>
    <w:rsid w:val="57256D9D"/>
    <w:rsid w:val="578D049F"/>
    <w:rsid w:val="57917F8F"/>
    <w:rsid w:val="5794182D"/>
    <w:rsid w:val="57B8376D"/>
    <w:rsid w:val="58A261CC"/>
    <w:rsid w:val="58A27F7A"/>
    <w:rsid w:val="58F24A5D"/>
    <w:rsid w:val="59527343"/>
    <w:rsid w:val="59835FFD"/>
    <w:rsid w:val="5A2C3F9F"/>
    <w:rsid w:val="5A511C57"/>
    <w:rsid w:val="5B06426A"/>
    <w:rsid w:val="5B647768"/>
    <w:rsid w:val="5B721E85"/>
    <w:rsid w:val="5B7F45A2"/>
    <w:rsid w:val="5BCA3A6F"/>
    <w:rsid w:val="5C313919"/>
    <w:rsid w:val="5C423F4D"/>
    <w:rsid w:val="5DD40BD5"/>
    <w:rsid w:val="5E225DE5"/>
    <w:rsid w:val="5E5C2056"/>
    <w:rsid w:val="5E6463FD"/>
    <w:rsid w:val="5EB6652D"/>
    <w:rsid w:val="5F025C16"/>
    <w:rsid w:val="5F0674B4"/>
    <w:rsid w:val="5F1C2834"/>
    <w:rsid w:val="5F1D47FE"/>
    <w:rsid w:val="5F443B39"/>
    <w:rsid w:val="5FF84C06"/>
    <w:rsid w:val="5FFD4305"/>
    <w:rsid w:val="602816AC"/>
    <w:rsid w:val="60651FB9"/>
    <w:rsid w:val="60B44CEE"/>
    <w:rsid w:val="60FA6BA5"/>
    <w:rsid w:val="6115578D"/>
    <w:rsid w:val="61363955"/>
    <w:rsid w:val="617E77D6"/>
    <w:rsid w:val="61984509"/>
    <w:rsid w:val="61B551C2"/>
    <w:rsid w:val="61D05B58"/>
    <w:rsid w:val="61E91312"/>
    <w:rsid w:val="621C0D9D"/>
    <w:rsid w:val="62E0626E"/>
    <w:rsid w:val="638B28E8"/>
    <w:rsid w:val="64195594"/>
    <w:rsid w:val="65167D25"/>
    <w:rsid w:val="65501489"/>
    <w:rsid w:val="657F58CB"/>
    <w:rsid w:val="65847385"/>
    <w:rsid w:val="65C6799D"/>
    <w:rsid w:val="65F52031"/>
    <w:rsid w:val="664D59C9"/>
    <w:rsid w:val="665925BF"/>
    <w:rsid w:val="667E05D0"/>
    <w:rsid w:val="66E520A5"/>
    <w:rsid w:val="66F14577"/>
    <w:rsid w:val="670F7122"/>
    <w:rsid w:val="6712451C"/>
    <w:rsid w:val="67806285"/>
    <w:rsid w:val="68016A6B"/>
    <w:rsid w:val="68662D72"/>
    <w:rsid w:val="69230C63"/>
    <w:rsid w:val="693410C2"/>
    <w:rsid w:val="69362744"/>
    <w:rsid w:val="69653029"/>
    <w:rsid w:val="69A17E26"/>
    <w:rsid w:val="69B8584F"/>
    <w:rsid w:val="69CB37D4"/>
    <w:rsid w:val="69D361E5"/>
    <w:rsid w:val="6A4552C9"/>
    <w:rsid w:val="6A995680"/>
    <w:rsid w:val="6ABE0C43"/>
    <w:rsid w:val="6B27585E"/>
    <w:rsid w:val="6BBC7DF7"/>
    <w:rsid w:val="6E11552E"/>
    <w:rsid w:val="6E922385"/>
    <w:rsid w:val="6E985C4F"/>
    <w:rsid w:val="6EA939B8"/>
    <w:rsid w:val="6ED70525"/>
    <w:rsid w:val="6EE3336E"/>
    <w:rsid w:val="6F210EE5"/>
    <w:rsid w:val="6F2A4AF9"/>
    <w:rsid w:val="70310109"/>
    <w:rsid w:val="704F233D"/>
    <w:rsid w:val="706B47A9"/>
    <w:rsid w:val="70CD7F3F"/>
    <w:rsid w:val="7169742F"/>
    <w:rsid w:val="7214383E"/>
    <w:rsid w:val="723B526F"/>
    <w:rsid w:val="727147ED"/>
    <w:rsid w:val="7288553A"/>
    <w:rsid w:val="72B8241C"/>
    <w:rsid w:val="72B875F5"/>
    <w:rsid w:val="7329156C"/>
    <w:rsid w:val="73691968"/>
    <w:rsid w:val="73A62BBC"/>
    <w:rsid w:val="73C179F6"/>
    <w:rsid w:val="74051691"/>
    <w:rsid w:val="74793E2D"/>
    <w:rsid w:val="74E97204"/>
    <w:rsid w:val="751D0C5C"/>
    <w:rsid w:val="753D4E5A"/>
    <w:rsid w:val="75783865"/>
    <w:rsid w:val="758B3E18"/>
    <w:rsid w:val="75DF4163"/>
    <w:rsid w:val="75F53987"/>
    <w:rsid w:val="76022B63"/>
    <w:rsid w:val="76740D50"/>
    <w:rsid w:val="76BE5699"/>
    <w:rsid w:val="76C049FC"/>
    <w:rsid w:val="773C186D"/>
    <w:rsid w:val="775D79DD"/>
    <w:rsid w:val="7798281C"/>
    <w:rsid w:val="785030F6"/>
    <w:rsid w:val="78F47F26"/>
    <w:rsid w:val="78FE2B52"/>
    <w:rsid w:val="791A3E30"/>
    <w:rsid w:val="7931117A"/>
    <w:rsid w:val="79B576B5"/>
    <w:rsid w:val="7A7A7EDE"/>
    <w:rsid w:val="7AE069B4"/>
    <w:rsid w:val="7C501917"/>
    <w:rsid w:val="7C531684"/>
    <w:rsid w:val="7C82297A"/>
    <w:rsid w:val="7CB400F8"/>
    <w:rsid w:val="7CCA3477"/>
    <w:rsid w:val="7D2F777E"/>
    <w:rsid w:val="7DA565B3"/>
    <w:rsid w:val="7DA939D5"/>
    <w:rsid w:val="7DD345AE"/>
    <w:rsid w:val="7E0E1A8A"/>
    <w:rsid w:val="7E7C69F3"/>
    <w:rsid w:val="7E991353"/>
    <w:rsid w:val="7E9C52E7"/>
    <w:rsid w:val="7EFF4E93"/>
    <w:rsid w:val="7F17671C"/>
    <w:rsid w:val="7F72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2"/>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Plain Text"/>
    <w:basedOn w:val="1"/>
    <w:qFormat/>
    <w:uiPriority w:val="0"/>
    <w:rPr>
      <w:rFonts w:ascii="宋体" w:hAnsi="Courier New" w:cs="Courier New"/>
    </w:rPr>
  </w:style>
  <w:style w:type="paragraph" w:styleId="18">
    <w:name w:val="Balloon Text"/>
    <w:basedOn w:val="1"/>
    <w:link w:val="51"/>
    <w:semiHidden/>
    <w:unhideWhenUsed/>
    <w:qFormat/>
    <w:uiPriority w:val="99"/>
    <w:rPr>
      <w:sz w:val="18"/>
      <w:szCs w:val="18"/>
    </w:rPr>
  </w:style>
  <w:style w:type="paragraph" w:styleId="19">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9"/>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4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Normal (Web)"/>
    <w:basedOn w:val="1"/>
    <w:unhideWhenUsed/>
    <w:qFormat/>
    <w:uiPriority w:val="99"/>
    <w:pPr>
      <w:spacing w:beforeAutospacing="1" w:afterAutospacing="1"/>
      <w:jc w:val="left"/>
    </w:pPr>
    <w:rPr>
      <w:kern w:val="0"/>
      <w:sz w:val="24"/>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36"/>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0"/>
    <w:rPr>
      <w:rFonts w:ascii="Arial" w:hAnsi="Arial" w:eastAsia="黑体"/>
      <w:b/>
      <w:bCs/>
      <w:kern w:val="2"/>
      <w:sz w:val="32"/>
      <w:szCs w:val="32"/>
    </w:rPr>
  </w:style>
  <w:style w:type="character" w:customStyle="1" w:styleId="41">
    <w:name w:val="脚注文本 字符"/>
    <w:link w:val="23"/>
    <w:semiHidden/>
    <w:qFormat/>
    <w:uiPriority w:val="0"/>
    <w:rPr>
      <w:rFonts w:ascii="宋体"/>
      <w:kern w:val="2"/>
      <w:sz w:val="18"/>
      <w:szCs w:val="18"/>
    </w:rPr>
  </w:style>
  <w:style w:type="character" w:customStyle="1" w:styleId="42">
    <w:name w:val="标题 3 字符"/>
    <w:link w:val="4"/>
    <w:qFormat/>
    <w:uiPriority w:val="0"/>
    <w:rPr>
      <w:b/>
      <w:bCs/>
      <w:kern w:val="2"/>
      <w:sz w:val="32"/>
      <w:szCs w:val="32"/>
    </w:rPr>
  </w:style>
  <w:style w:type="character" w:customStyle="1" w:styleId="43">
    <w:name w:val="标题 4 字符"/>
    <w:link w:val="5"/>
    <w:qFormat/>
    <w:uiPriority w:val="0"/>
    <w:rPr>
      <w:rFonts w:ascii="Arial" w:hAnsi="Arial" w:eastAsia="黑体"/>
      <w:b/>
      <w:bCs/>
      <w:kern w:val="2"/>
      <w:sz w:val="28"/>
      <w:szCs w:val="28"/>
    </w:rPr>
  </w:style>
  <w:style w:type="character" w:customStyle="1" w:styleId="44">
    <w:name w:val="标题 5 字符"/>
    <w:link w:val="6"/>
    <w:qFormat/>
    <w:uiPriority w:val="0"/>
    <w:rPr>
      <w:b/>
      <w:bCs/>
      <w:kern w:val="2"/>
      <w:sz w:val="28"/>
      <w:szCs w:val="28"/>
    </w:rPr>
  </w:style>
  <w:style w:type="character" w:customStyle="1" w:styleId="45">
    <w:name w:val="标题 6 字符"/>
    <w:link w:val="7"/>
    <w:qFormat/>
    <w:uiPriority w:val="0"/>
    <w:rPr>
      <w:rFonts w:ascii="Arial" w:hAnsi="Arial" w:eastAsia="黑体"/>
      <w:b/>
      <w:bCs/>
      <w:kern w:val="2"/>
      <w:sz w:val="24"/>
      <w:szCs w:val="24"/>
    </w:rPr>
  </w:style>
  <w:style w:type="character" w:customStyle="1" w:styleId="46">
    <w:name w:val="标题 7 字符"/>
    <w:link w:val="8"/>
    <w:qFormat/>
    <w:uiPriority w:val="0"/>
    <w:rPr>
      <w:b/>
      <w:bCs/>
      <w:kern w:val="2"/>
      <w:sz w:val="24"/>
      <w:szCs w:val="24"/>
    </w:rPr>
  </w:style>
  <w:style w:type="character" w:customStyle="1" w:styleId="47">
    <w:name w:val="标题 8 字符"/>
    <w:link w:val="9"/>
    <w:qFormat/>
    <w:uiPriority w:val="0"/>
    <w:rPr>
      <w:rFonts w:ascii="Arial" w:hAnsi="Arial" w:eastAsia="黑体"/>
      <w:kern w:val="2"/>
      <w:sz w:val="24"/>
      <w:szCs w:val="24"/>
    </w:rPr>
  </w:style>
  <w:style w:type="character" w:customStyle="1" w:styleId="48">
    <w:name w:val="标题 9 字符"/>
    <w:link w:val="10"/>
    <w:qFormat/>
    <w:uiPriority w:val="0"/>
    <w:rPr>
      <w:rFonts w:ascii="Arial" w:hAnsi="Arial" w:eastAsia="黑体"/>
      <w:kern w:val="2"/>
      <w:sz w:val="21"/>
      <w:szCs w:val="21"/>
    </w:rPr>
  </w:style>
  <w:style w:type="character" w:customStyle="1" w:styleId="49">
    <w:name w:val="页眉 字符"/>
    <w:link w:val="20"/>
    <w:qFormat/>
    <w:uiPriority w:val="99"/>
    <w:rPr>
      <w:kern w:val="2"/>
      <w:sz w:val="18"/>
      <w:szCs w:val="18"/>
    </w:rPr>
  </w:style>
  <w:style w:type="character" w:customStyle="1" w:styleId="50">
    <w:name w:val="页脚 字符"/>
    <w:link w:val="19"/>
    <w:qFormat/>
    <w:uiPriority w:val="99"/>
    <w:rPr>
      <w:rFonts w:ascii="宋体"/>
      <w:kern w:val="2"/>
      <w:sz w:val="18"/>
      <w:szCs w:val="18"/>
    </w:rPr>
  </w:style>
  <w:style w:type="character" w:customStyle="1" w:styleId="51">
    <w:name w:val="批注框文本 字符"/>
    <w:link w:val="18"/>
    <w:semiHidden/>
    <w:qFormat/>
    <w:uiPriority w:val="99"/>
    <w:rPr>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kern w:val="2"/>
      <w:sz w:val="21"/>
      <w:szCs w:val="21"/>
    </w:rPr>
  </w:style>
  <w:style w:type="character" w:customStyle="1" w:styleId="54">
    <w:name w:val="标题 字符"/>
    <w:link w:val="28"/>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qFormat/>
    <w:uiPriority w:val="0"/>
    <w:rPr>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2"/>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5">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2"/>
    <w:qFormat/>
    <w:uiPriority w:val="0"/>
    <w:pPr>
      <w:outlineLvl w:val="4"/>
    </w:pPr>
  </w:style>
  <w:style w:type="paragraph" w:customStyle="1" w:styleId="135">
    <w:name w:val="附录四级无标题条"/>
    <w:basedOn w:val="134"/>
    <w:next w:val="62"/>
    <w:qFormat/>
    <w:uiPriority w:val="0"/>
    <w:pPr>
      <w:outlineLvl w:val="5"/>
    </w:pPr>
  </w:style>
  <w:style w:type="paragraph" w:customStyle="1" w:styleId="136">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tabs>
        <w:tab w:val="left" w:pos="851"/>
      </w:tabs>
    </w:pPr>
    <w:rPr>
      <w:rFonts w:ascii="宋体" w:hAnsi="Times New Roman" w:eastAsia="宋体" w:cs="Times New Roman"/>
      <w:sz w:val="21"/>
      <w:lang w:val="en-US" w:eastAsia="zh-CN" w:bidi="ar-SA"/>
    </w:rPr>
  </w:style>
  <w:style w:type="paragraph" w:customStyle="1" w:styleId="138">
    <w:name w:val="附录五级无标题条"/>
    <w:basedOn w:val="135"/>
    <w:next w:val="62"/>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3"/>
    <w:next w:val="62"/>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2"/>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2"/>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100"/>
    <w:qFormat/>
    <w:uiPriority w:val="0"/>
    <w:pPr>
      <w:spacing w:before="0" w:beforeLines="0" w:after="0" w:afterLines="0"/>
      <w:outlineLvl w:val="9"/>
    </w:pPr>
    <w:rPr>
      <w:rFonts w:ascii="宋体" w:eastAsia="宋体"/>
    </w:rPr>
  </w:style>
  <w:style w:type="paragraph" w:customStyle="1" w:styleId="170">
    <w:name w:val="标准文件_二级无标题"/>
    <w:basedOn w:val="71"/>
    <w:qFormat/>
    <w:uiPriority w:val="0"/>
    <w:pPr>
      <w:spacing w:before="0" w:beforeLines="0" w:after="0" w:afterLines="0"/>
      <w:outlineLvl w:val="9"/>
    </w:pPr>
    <w:rPr>
      <w:rFonts w:ascii="宋体" w:eastAsia="宋体"/>
    </w:rPr>
  </w:style>
  <w:style w:type="paragraph" w:customStyle="1" w:styleId="171">
    <w:name w:val="标准_四级无标题"/>
    <w:basedOn w:val="104"/>
    <w:next w:val="62"/>
    <w:qFormat/>
    <w:uiPriority w:val="0"/>
    <w:rPr>
      <w:rFonts w:eastAsia="宋体"/>
    </w:rPr>
  </w:style>
  <w:style w:type="paragraph" w:customStyle="1" w:styleId="172">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2"/>
    <w:qFormat/>
    <w:uiPriority w:val="0"/>
    <w:pPr>
      <w:numPr>
        <w:ilvl w:val="0"/>
        <w:numId w:val="24"/>
      </w:numPr>
      <w:ind w:firstLine="0" w:firstLineChars="0"/>
    </w:pPr>
    <w:rPr>
      <w:rFonts w:cs="Arial"/>
      <w:szCs w:val="28"/>
    </w:rPr>
  </w:style>
  <w:style w:type="paragraph" w:customStyle="1" w:styleId="175">
    <w:name w:val="标准文件_附录标题"/>
    <w:basedOn w:val="82"/>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2"/>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2"/>
    <w:qFormat/>
    <w:uiPriority w:val="0"/>
    <w:pPr>
      <w:ind w:firstLine="0" w:firstLineChars="0"/>
      <w:jc w:val="center"/>
    </w:pPr>
    <w:rPr>
      <w:sz w:val="18"/>
    </w:rPr>
  </w:style>
  <w:style w:type="paragraph" w:customStyle="1" w:styleId="184">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2"/>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2"/>
    <w:qFormat/>
    <w:uiPriority w:val="0"/>
    <w:rPr>
      <w:rFonts w:ascii="宋体" w:hAnsi="Times New Roman"/>
      <w:sz w:val="21"/>
    </w:rPr>
  </w:style>
  <w:style w:type="paragraph" w:customStyle="1" w:styleId="190">
    <w:name w:val="标准文件_表格续"/>
    <w:basedOn w:val="62"/>
    <w:next w:val="62"/>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2"/>
    <w:qFormat/>
    <w:uiPriority w:val="0"/>
    <w:pPr>
      <w:numPr>
        <w:ilvl w:val="1"/>
        <w:numId w:val="21"/>
      </w:numPr>
      <w:tabs>
        <w:tab w:val="left" w:pos="568"/>
      </w:tabs>
      <w:ind w:firstLine="0" w:firstLineChars="0"/>
    </w:pPr>
  </w:style>
  <w:style w:type="paragraph" w:customStyle="1" w:styleId="193">
    <w:name w:val="标准文件_三级项2"/>
    <w:basedOn w:val="62"/>
    <w:qFormat/>
    <w:uiPriority w:val="0"/>
    <w:pPr>
      <w:numPr>
        <w:ilvl w:val="0"/>
        <w:numId w:val="30"/>
      </w:numPr>
      <w:spacing w:line="300" w:lineRule="exact"/>
      <w:ind w:firstLineChars="0"/>
    </w:pPr>
    <w:rPr>
      <w:rFonts w:ascii="Times New Roman"/>
    </w:rPr>
  </w:style>
  <w:style w:type="paragraph" w:customStyle="1" w:styleId="194">
    <w:name w:val="标准文件_一级项2"/>
    <w:basedOn w:val="62"/>
    <w:qFormat/>
    <w:uiPriority w:val="0"/>
    <w:pPr>
      <w:numPr>
        <w:ilvl w:val="0"/>
        <w:numId w:val="31"/>
      </w:numPr>
      <w:spacing w:line="300" w:lineRule="exact"/>
      <w:ind w:firstLineChars="0"/>
    </w:pPr>
    <w:rPr>
      <w:rFonts w:ascii="Times New Roman"/>
    </w:rPr>
  </w:style>
  <w:style w:type="paragraph" w:customStyle="1" w:styleId="195">
    <w:name w:val="标准文件_提示"/>
    <w:basedOn w:val="62"/>
    <w:next w:val="62"/>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spacing w:before="57"/>
    </w:pPr>
    <w:rPr>
      <w:sz w:val="21"/>
    </w:rPr>
  </w:style>
  <w:style w:type="paragraph" w:customStyle="1" w:styleId="202">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2"/>
    <w:qFormat/>
    <w:uiPriority w:val="0"/>
    <w:pPr>
      <w:ind w:left="811" w:firstLine="0" w:firstLineChars="0"/>
    </w:pPr>
    <w:rPr>
      <w:sz w:val="18"/>
    </w:rPr>
  </w:style>
  <w:style w:type="paragraph" w:customStyle="1" w:styleId="211">
    <w:name w:val="标准文件_注X后"/>
    <w:basedOn w:val="62"/>
    <w:qFormat/>
    <w:uiPriority w:val="0"/>
    <w:pPr>
      <w:ind w:left="811" w:firstLine="0" w:firstLineChars="0"/>
    </w:pPr>
    <w:rPr>
      <w:sz w:val="18"/>
    </w:rPr>
  </w:style>
  <w:style w:type="paragraph" w:customStyle="1" w:styleId="212">
    <w:name w:val="标准文件_示例后"/>
    <w:basedOn w:val="62"/>
    <w:qFormat/>
    <w:uiPriority w:val="0"/>
    <w:pPr>
      <w:ind w:left="964" w:firstLine="0" w:firstLineChars="0"/>
    </w:pPr>
    <w:rPr>
      <w:sz w:val="18"/>
    </w:rPr>
  </w:style>
  <w:style w:type="paragraph" w:customStyle="1" w:styleId="213">
    <w:name w:val="标准文件_示例X后"/>
    <w:basedOn w:val="62"/>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2"/>
    <w:next w:val="62"/>
    <w:qFormat/>
    <w:uiPriority w:val="0"/>
    <w:pPr>
      <w:tabs>
        <w:tab w:val="right" w:leader="dot" w:pos="9356"/>
      </w:tabs>
      <w:ind w:left="210" w:hanging="210" w:firstLineChars="0"/>
      <w:jc w:val="left"/>
    </w:pPr>
  </w:style>
  <w:style w:type="paragraph" w:customStyle="1" w:styleId="216">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2"/>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2"/>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索引标题"/>
    <w:basedOn w:val="69"/>
    <w:next w:val="62"/>
    <w:qFormat/>
    <w:uiPriority w:val="0"/>
    <w:rPr>
      <w:rFonts w:hAnsi="黑体"/>
    </w:rPr>
  </w:style>
  <w:style w:type="paragraph" w:customStyle="1" w:styleId="227">
    <w:name w:val="标准文件_脚注内容"/>
    <w:basedOn w:val="62"/>
    <w:qFormat/>
    <w:uiPriority w:val="0"/>
    <w:pPr>
      <w:ind w:left="400" w:leftChars="200" w:hanging="200" w:hangingChars="200"/>
    </w:pPr>
    <w:rPr>
      <w:sz w:val="15"/>
    </w:rPr>
  </w:style>
  <w:style w:type="paragraph" w:customStyle="1" w:styleId="228">
    <w:name w:val="标准文件_术语条一"/>
    <w:basedOn w:val="167"/>
    <w:next w:val="62"/>
    <w:qFormat/>
    <w:uiPriority w:val="0"/>
  </w:style>
  <w:style w:type="paragraph" w:customStyle="1" w:styleId="229">
    <w:name w:val="标准文件_术语条二"/>
    <w:basedOn w:val="170"/>
    <w:next w:val="62"/>
    <w:qFormat/>
    <w:uiPriority w:val="0"/>
  </w:style>
  <w:style w:type="paragraph" w:customStyle="1" w:styleId="230">
    <w:name w:val="标准文件_术语条三"/>
    <w:basedOn w:val="169"/>
    <w:next w:val="62"/>
    <w:qFormat/>
    <w:uiPriority w:val="0"/>
  </w:style>
  <w:style w:type="paragraph" w:customStyle="1" w:styleId="231">
    <w:name w:val="标准文件_术语条四"/>
    <w:basedOn w:val="172"/>
    <w:next w:val="62"/>
    <w:qFormat/>
    <w:uiPriority w:val="0"/>
  </w:style>
  <w:style w:type="paragraph" w:customStyle="1" w:styleId="232">
    <w:name w:val="标准文件_术语条五"/>
    <w:basedOn w:val="168"/>
    <w:next w:val="62"/>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character" w:customStyle="1" w:styleId="235">
    <w:name w:val="批注文字 字符"/>
    <w:basedOn w:val="32"/>
    <w:link w:val="13"/>
    <w:qFormat/>
    <w:uiPriority w:val="99"/>
    <w:rPr>
      <w:kern w:val="2"/>
      <w:sz w:val="21"/>
      <w:szCs w:val="21"/>
    </w:rPr>
  </w:style>
  <w:style w:type="character" w:customStyle="1" w:styleId="236">
    <w:name w:val="批注主题 字符"/>
    <w:basedOn w:val="235"/>
    <w:link w:val="29"/>
    <w:semiHidden/>
    <w:qFormat/>
    <w:uiPriority w:val="99"/>
    <w:rPr>
      <w:b/>
      <w:bCs/>
      <w:kern w:val="2"/>
      <w:sz w:val="21"/>
      <w:szCs w:val="21"/>
    </w:rPr>
  </w:style>
  <w:style w:type="paragraph" w:styleId="237">
    <w:name w:val="List Paragraph"/>
    <w:basedOn w:val="1"/>
    <w:qFormat/>
    <w:uiPriority w:val="34"/>
    <w:pPr>
      <w:adjustRightInd/>
      <w:spacing w:line="240" w:lineRule="auto"/>
      <w:ind w:left="720"/>
      <w:contextualSpacing/>
    </w:pPr>
    <w:rPr>
      <w:rFonts w:ascii="Times New Roman" w:hAnsi="Times New Roman" w:eastAsiaTheme="minorEastAsia"/>
      <w:kern w:val="0"/>
      <w:sz w:val="20"/>
      <w:szCs w:val="20"/>
    </w:rPr>
  </w:style>
  <w:style w:type="paragraph" w:customStyle="1" w:styleId="238">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9">
    <w:name w:val="修订2"/>
    <w:hidden/>
    <w:unhideWhenUsed/>
    <w:qFormat/>
    <w:uiPriority w:val="99"/>
    <w:rPr>
      <w:rFonts w:ascii="Calibri" w:hAnsi="Calibri" w:eastAsia="宋体" w:cs="Times New Roman"/>
      <w:kern w:val="2"/>
      <w:sz w:val="21"/>
      <w:szCs w:val="21"/>
      <w:lang w:val="en-US" w:eastAsia="zh-CN" w:bidi="ar-SA"/>
    </w:rPr>
  </w:style>
  <w:style w:type="character" w:customStyle="1" w:styleId="240">
    <w:name w:val="bjh-p"/>
    <w:autoRedefine/>
    <w:qFormat/>
    <w:uiPriority w:val="0"/>
  </w:style>
  <w:style w:type="character" w:customStyle="1" w:styleId="241">
    <w:name w:val="text_qzdck"/>
    <w:qFormat/>
    <w:uiPriority w:val="0"/>
  </w:style>
  <w:style w:type="paragraph" w:customStyle="1" w:styleId="242">
    <w:name w:val="contentfont"/>
    <w:basedOn w:val="1"/>
    <w:qFormat/>
    <w:uiPriority w:val="0"/>
    <w:pPr>
      <w:spacing w:before="100" w:beforeAutospacing="1" w:after="100" w:afterAutospacing="1"/>
    </w:pPr>
  </w:style>
  <w:style w:type="character" w:customStyle="1" w:styleId="243">
    <w:name w:val="apple-converted-space"/>
    <w:qFormat/>
    <w:uiPriority w:val="0"/>
  </w:style>
  <w:style w:type="character" w:customStyle="1" w:styleId="244">
    <w:name w:val="supwrap_jq1if"/>
    <w:qFormat/>
    <w:uiPriority w:val="0"/>
  </w:style>
  <w:style w:type="paragraph" w:customStyle="1" w:styleId="245">
    <w:name w:val="修订3"/>
    <w:hidden/>
    <w:unhideWhenUsed/>
    <w:qFormat/>
    <w:uiPriority w:val="99"/>
    <w:rPr>
      <w:rFonts w:ascii="Calibri" w:hAnsi="Calibri" w:eastAsia="宋体" w:cs="Times New Roman"/>
      <w:kern w:val="2"/>
      <w:sz w:val="21"/>
      <w:szCs w:val="21"/>
      <w:lang w:val="en-US" w:eastAsia="zh-CN" w:bidi="ar-SA"/>
    </w:rPr>
  </w:style>
  <w:style w:type="paragraph" w:customStyle="1" w:styleId="246">
    <w:name w:val="修订4"/>
    <w:hidden/>
    <w:unhideWhenUsed/>
    <w:qFormat/>
    <w:uiPriority w:val="99"/>
    <w:rPr>
      <w:rFonts w:ascii="Calibri" w:hAnsi="Calibri" w:eastAsia="宋体" w:cs="Times New Roman"/>
      <w:kern w:val="2"/>
      <w:sz w:val="21"/>
      <w:szCs w:val="21"/>
      <w:lang w:val="en-US" w:eastAsia="zh-CN" w:bidi="ar-SA"/>
    </w:rPr>
  </w:style>
  <w:style w:type="character" w:customStyle="1" w:styleId="247">
    <w:name w:val="fs28"/>
    <w:basedOn w:val="32"/>
    <w:qFormat/>
    <w:uiPriority w:val="0"/>
  </w:style>
  <w:style w:type="paragraph" w:customStyle="1" w:styleId="248">
    <w:name w:val="修订5"/>
    <w:hidden/>
    <w:unhideWhenUsed/>
    <w:qFormat/>
    <w:uiPriority w:val="99"/>
    <w:rPr>
      <w:rFonts w:ascii="Calibri" w:hAnsi="Calibri" w:eastAsia="宋体" w:cs="Times New Roman"/>
      <w:kern w:val="2"/>
      <w:sz w:val="21"/>
      <w:szCs w:val="21"/>
      <w:lang w:val="en-US" w:eastAsia="zh-CN" w:bidi="ar-SA"/>
    </w:rPr>
  </w:style>
  <w:style w:type="character" w:customStyle="1" w:styleId="249">
    <w:name w:val="未处理的提及1"/>
    <w:basedOn w:val="32"/>
    <w:semiHidden/>
    <w:unhideWhenUsed/>
    <w:qFormat/>
    <w:uiPriority w:val="99"/>
    <w:rPr>
      <w:color w:val="605E5C"/>
      <w:shd w:val="clear" w:color="auto" w:fill="E1DFDD"/>
    </w:rPr>
  </w:style>
  <w:style w:type="paragraph" w:customStyle="1" w:styleId="250">
    <w:name w:val="修订6"/>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64C8A4DC7F4E4F93A4DF7C5495650F"/>
        <w:style w:val=""/>
        <w:category>
          <w:name w:val="常规"/>
          <w:gallery w:val="placeholder"/>
        </w:category>
        <w:types>
          <w:type w:val="bbPlcHdr"/>
        </w:types>
        <w:behaviors>
          <w:behavior w:val="content"/>
        </w:behaviors>
        <w:description w:val=""/>
        <w:guid w:val="{2C280DAB-55D3-415C-A2A7-4A85FFB18EAF}"/>
      </w:docPartPr>
      <w:docPartBody>
        <w:p w14:paraId="00793FCF">
          <w:pPr>
            <w:pStyle w:val="5"/>
            <w:rPr>
              <w:rFonts w:hint="eastAsia"/>
            </w:rPr>
          </w:pPr>
          <w:r>
            <w:rPr>
              <w:rStyle w:val="4"/>
              <w:rFonts w:hint="eastAsia"/>
            </w:rPr>
            <w:t>单击或点击此处输入文字。</w:t>
          </w:r>
        </w:p>
      </w:docPartBody>
    </w:docPart>
    <w:docPart>
      <w:docPartPr>
        <w:name w:val="286B272619064D05AB073E164C64FE4A"/>
        <w:style w:val=""/>
        <w:category>
          <w:name w:val="常规"/>
          <w:gallery w:val="placeholder"/>
        </w:category>
        <w:types>
          <w:type w:val="bbPlcHdr"/>
        </w:types>
        <w:behaviors>
          <w:behavior w:val="content"/>
        </w:behaviors>
        <w:description w:val=""/>
        <w:guid w:val="{D8DFE7E0-49F0-4A7F-9E90-E8480743BA53}"/>
      </w:docPartPr>
      <w:docPartBody>
        <w:p w14:paraId="33D2B227">
          <w:pPr>
            <w:pStyle w:val="6"/>
            <w:rPr>
              <w:rFonts w:hint="eastAsia"/>
            </w:rPr>
          </w:pPr>
          <w:r>
            <w:rPr>
              <w:rStyle w:val="4"/>
              <w:rFonts w:hint="eastAsia"/>
            </w:rPr>
            <w:t>选择一项。</w:t>
          </w:r>
        </w:p>
      </w:docPartBody>
    </w:docPart>
    <w:docPart>
      <w:docPartPr>
        <w:name w:val="1E9B0ECD82434D58A2627B158907E3BB"/>
        <w:style w:val=""/>
        <w:category>
          <w:name w:val="常规"/>
          <w:gallery w:val="placeholder"/>
        </w:category>
        <w:types>
          <w:type w:val="bbPlcHdr"/>
        </w:types>
        <w:behaviors>
          <w:behavior w:val="content"/>
        </w:behaviors>
        <w:description w:val=""/>
        <w:guid w:val="{E547CD0D-8120-47E1-96ED-1A76EDA6B7A7}"/>
      </w:docPartPr>
      <w:docPartBody>
        <w:p w14:paraId="1286011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1"/>
    <w:rsid w:val="000163BA"/>
    <w:rsid w:val="000649F1"/>
    <w:rsid w:val="00081F88"/>
    <w:rsid w:val="000A68E9"/>
    <w:rsid w:val="000E1DD4"/>
    <w:rsid w:val="001046ED"/>
    <w:rsid w:val="00166D4F"/>
    <w:rsid w:val="001E12E6"/>
    <w:rsid w:val="001E39AA"/>
    <w:rsid w:val="00215CFD"/>
    <w:rsid w:val="002849DF"/>
    <w:rsid w:val="002E0DB0"/>
    <w:rsid w:val="002E3777"/>
    <w:rsid w:val="002F433F"/>
    <w:rsid w:val="003016A9"/>
    <w:rsid w:val="003024A5"/>
    <w:rsid w:val="003052E6"/>
    <w:rsid w:val="003414CD"/>
    <w:rsid w:val="003A46E1"/>
    <w:rsid w:val="003B43F3"/>
    <w:rsid w:val="003B6804"/>
    <w:rsid w:val="003E54BA"/>
    <w:rsid w:val="00403FDB"/>
    <w:rsid w:val="00423528"/>
    <w:rsid w:val="00425872"/>
    <w:rsid w:val="004307A0"/>
    <w:rsid w:val="00431C43"/>
    <w:rsid w:val="00443686"/>
    <w:rsid w:val="00492BF0"/>
    <w:rsid w:val="005131EB"/>
    <w:rsid w:val="0055514C"/>
    <w:rsid w:val="00563BBC"/>
    <w:rsid w:val="0056557F"/>
    <w:rsid w:val="00592CFF"/>
    <w:rsid w:val="005B4243"/>
    <w:rsid w:val="005B475A"/>
    <w:rsid w:val="005B5382"/>
    <w:rsid w:val="006224E0"/>
    <w:rsid w:val="006334D8"/>
    <w:rsid w:val="00637DE0"/>
    <w:rsid w:val="006469DA"/>
    <w:rsid w:val="007468A1"/>
    <w:rsid w:val="00792FD6"/>
    <w:rsid w:val="00795D0D"/>
    <w:rsid w:val="0079742F"/>
    <w:rsid w:val="00800D21"/>
    <w:rsid w:val="008427B2"/>
    <w:rsid w:val="0085029C"/>
    <w:rsid w:val="008A3B40"/>
    <w:rsid w:val="008E25F2"/>
    <w:rsid w:val="008F506B"/>
    <w:rsid w:val="00952CC4"/>
    <w:rsid w:val="009B65A1"/>
    <w:rsid w:val="009D668D"/>
    <w:rsid w:val="009E6601"/>
    <w:rsid w:val="00A15207"/>
    <w:rsid w:val="00A21DCA"/>
    <w:rsid w:val="00A22EF7"/>
    <w:rsid w:val="00A66A49"/>
    <w:rsid w:val="00A74AD8"/>
    <w:rsid w:val="00A91110"/>
    <w:rsid w:val="00AA2F87"/>
    <w:rsid w:val="00AB3DC1"/>
    <w:rsid w:val="00AC2C6C"/>
    <w:rsid w:val="00AE05B2"/>
    <w:rsid w:val="00B4403F"/>
    <w:rsid w:val="00B80854"/>
    <w:rsid w:val="00B82946"/>
    <w:rsid w:val="00B936E2"/>
    <w:rsid w:val="00BF674B"/>
    <w:rsid w:val="00C26E76"/>
    <w:rsid w:val="00CA7C2D"/>
    <w:rsid w:val="00CB0258"/>
    <w:rsid w:val="00CD6D74"/>
    <w:rsid w:val="00D00419"/>
    <w:rsid w:val="00D2193B"/>
    <w:rsid w:val="00DE7AF4"/>
    <w:rsid w:val="00DF159E"/>
    <w:rsid w:val="00DF6D57"/>
    <w:rsid w:val="00E12089"/>
    <w:rsid w:val="00E25165"/>
    <w:rsid w:val="00E454F9"/>
    <w:rsid w:val="00E6602D"/>
    <w:rsid w:val="00E95A2D"/>
    <w:rsid w:val="00EB4FA6"/>
    <w:rsid w:val="00ED1C0F"/>
    <w:rsid w:val="00EE0F42"/>
    <w:rsid w:val="00FA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064C8A4DC7F4E4F93A4DF7C5495650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86B272619064D05AB073E164C64FE4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E9B0ECD82434D58A2627B158907E3B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BC1BA-6B8A-4B6B-AD24-C731F9104CA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40</Pages>
  <Words>29017</Words>
  <Characters>30548</Characters>
  <Lines>326</Lines>
  <Paragraphs>91</Paragraphs>
  <TotalTime>1</TotalTime>
  <ScaleCrop>false</ScaleCrop>
  <LinksUpToDate>false</LinksUpToDate>
  <CharactersWithSpaces>30839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2025-01-23T06:26:00Z</dcterms:created>
  <dc:creator>CCPITCSC</dc:creator>
  <dc:description>&lt;config cover="true" show_menu="true" version="1.0.0" doctype="SDKXY"&gt;_x000d_
&lt;/config&gt;</dc:description>
  <cp:lastModifiedBy>董晓媛</cp:lastModifiedBy>
  <cp:lastPrinted>2025-01-07T01:24:00Z</cp:lastPrinted>
  <dcterms:modified xsi:type="dcterms:W3CDTF">2025-01-23T08:00:18Z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EDB15DFE0CD14283B5028CDA4BB36FE9_13</vt:lpwstr>
  </property>
  <property fmtid="{D5CDD505-2E9C-101B-9397-08002B2CF9AE}" pid="16" name="KSOTemplateDocerSaveRecord">
    <vt:lpwstr>eyJoZGlkIjoiZmFhOTEwOTA4M2RhMmU1NGE4Zjg4ZmY1NTkwZWFmMjUiLCJ1c2VySWQiOiI0MTQzODE4NzEifQ==</vt:lpwstr>
  </property>
</Properties>
</file>