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763823">
      <w:pPr>
        <w:framePr w:wrap="auto" w:vAnchor="margin" w:hAnchor="text" w:yAlign="inline"/>
        <w:spacing w:before="120" w:beforeLines="50" w:after="120" w:afterLines="50" w:line="300" w:lineRule="auto"/>
        <w:outlineLvl w:val="0"/>
        <w:rPr>
          <w:rFonts w:ascii="宋体" w:hAnsi="宋体" w:eastAsia="宋体" w:cs="宋体"/>
          <w:b/>
          <w:bCs/>
          <w:sz w:val="48"/>
          <w:szCs w:val="48"/>
          <w:lang w:val="zh-TW"/>
        </w:rPr>
      </w:pPr>
    </w:p>
    <w:p w14:paraId="22DAFA4B">
      <w:pPr>
        <w:framePr w:wrap="auto" w:vAnchor="margin" w:hAnchor="text" w:yAlign="inline"/>
        <w:spacing w:before="120" w:beforeLines="50" w:after="120" w:afterLines="50" w:line="300" w:lineRule="auto"/>
        <w:outlineLvl w:val="0"/>
        <w:rPr>
          <w:rFonts w:ascii="黑体" w:hAnsi="黑体" w:eastAsia="黑体" w:cs="宋体"/>
          <w:sz w:val="48"/>
          <w:szCs w:val="48"/>
          <w:lang w:val="zh-TW"/>
        </w:rPr>
      </w:pPr>
    </w:p>
    <w:p w14:paraId="6C8CC224">
      <w:pPr>
        <w:framePr w:wrap="auto" w:vAnchor="margin" w:hAnchor="text" w:yAlign="inline"/>
        <w:spacing w:before="120" w:beforeLines="50" w:after="120" w:afterLines="50" w:line="300" w:lineRule="auto"/>
        <w:jc w:val="center"/>
        <w:outlineLvl w:val="0"/>
        <w:rPr>
          <w:rFonts w:ascii="黑体" w:hAnsi="黑体" w:eastAsia="黑体" w:cs="宋体"/>
          <w:sz w:val="48"/>
          <w:szCs w:val="48"/>
          <w:lang w:val="zh-TW"/>
        </w:rPr>
      </w:pPr>
      <w:r>
        <w:rPr>
          <w:rFonts w:ascii="黑体" w:hAnsi="黑体" w:eastAsia="黑体" w:cs="宋体"/>
          <w:sz w:val="48"/>
          <w:szCs w:val="48"/>
          <w:lang w:val="zh-TW"/>
        </w:rPr>
        <w:t>《数字贸易产教融合共同体</w:t>
      </w:r>
    </w:p>
    <w:p w14:paraId="45C0E32A">
      <w:pPr>
        <w:framePr w:wrap="auto" w:vAnchor="margin" w:hAnchor="text" w:yAlign="inline"/>
        <w:spacing w:before="120" w:beforeLines="50" w:after="120" w:afterLines="50" w:line="300" w:lineRule="auto"/>
        <w:jc w:val="center"/>
        <w:outlineLvl w:val="0"/>
        <w:rPr>
          <w:rFonts w:ascii="黑体" w:hAnsi="黑体" w:eastAsia="黑体" w:cs="宋体"/>
          <w:sz w:val="48"/>
          <w:szCs w:val="48"/>
          <w:lang w:val="zh-TW"/>
        </w:rPr>
      </w:pPr>
      <w:r>
        <w:rPr>
          <w:rFonts w:ascii="黑体" w:hAnsi="黑体" w:eastAsia="黑体" w:cs="宋体"/>
          <w:sz w:val="48"/>
          <w:szCs w:val="48"/>
          <w:lang w:val="zh-TW"/>
        </w:rPr>
        <w:t>运作模式与</w:t>
      </w:r>
      <w:r>
        <w:rPr>
          <w:rFonts w:hint="eastAsia" w:ascii="黑体" w:hAnsi="黑体" w:eastAsia="黑体" w:cs="宋体"/>
          <w:sz w:val="48"/>
          <w:szCs w:val="48"/>
          <w:lang w:val="en-US" w:eastAsia="zh-CN"/>
        </w:rPr>
        <w:t>管理规范</w:t>
      </w:r>
      <w:r>
        <w:rPr>
          <w:rFonts w:ascii="黑体" w:hAnsi="黑体" w:eastAsia="黑体" w:cs="宋体"/>
          <w:sz w:val="48"/>
          <w:szCs w:val="48"/>
          <w:lang w:val="zh-TW"/>
        </w:rPr>
        <w:t>》</w:t>
      </w:r>
    </w:p>
    <w:p w14:paraId="13D7ACE2">
      <w:pPr>
        <w:framePr w:wrap="auto" w:vAnchor="margin" w:hAnchor="text" w:yAlign="inline"/>
        <w:spacing w:before="120" w:beforeLines="50" w:after="120" w:afterLines="50" w:line="300" w:lineRule="auto"/>
        <w:jc w:val="center"/>
        <w:outlineLvl w:val="0"/>
        <w:rPr>
          <w:rFonts w:ascii="黑体" w:hAnsi="黑体" w:eastAsia="黑体" w:cs="宋体"/>
          <w:sz w:val="48"/>
          <w:szCs w:val="48"/>
          <w:lang w:val="zh-TW"/>
        </w:rPr>
      </w:pPr>
      <w:r>
        <w:rPr>
          <w:rFonts w:ascii="黑体" w:hAnsi="黑体" w:eastAsia="黑体" w:cs="宋体"/>
          <w:sz w:val="48"/>
          <w:szCs w:val="48"/>
          <w:lang w:val="zh-TW"/>
        </w:rPr>
        <w:t>团体标准编制说明</w:t>
      </w:r>
    </w:p>
    <w:p w14:paraId="54101FC9">
      <w:pPr>
        <w:framePr w:wrap="auto" w:vAnchor="margin" w:hAnchor="text" w:yAlign="inline"/>
        <w:spacing w:before="120" w:beforeLines="50" w:after="120" w:afterLines="50" w:line="300" w:lineRule="auto"/>
        <w:jc w:val="center"/>
        <w:outlineLvl w:val="0"/>
        <w:rPr>
          <w:rFonts w:ascii="黑体" w:hAnsi="黑体" w:eastAsia="黑体" w:cs="宋体"/>
          <w:sz w:val="48"/>
          <w:szCs w:val="48"/>
          <w:lang w:val="zh-TW"/>
        </w:rPr>
      </w:pPr>
      <w:r>
        <w:rPr>
          <w:rFonts w:ascii="黑体" w:hAnsi="黑体" w:eastAsia="黑体" w:cs="宋体"/>
          <w:sz w:val="48"/>
          <w:szCs w:val="48"/>
          <w:lang w:val="zh-TW"/>
        </w:rPr>
        <w:t>（</w:t>
      </w:r>
      <w:r>
        <w:rPr>
          <w:rFonts w:ascii="黑体" w:hAnsi="黑体" w:eastAsia="黑体" w:cs="宋体"/>
          <w:sz w:val="48"/>
          <w:szCs w:val="48"/>
        </w:rPr>
        <w:t>征求意见</w:t>
      </w:r>
      <w:r>
        <w:rPr>
          <w:rFonts w:ascii="黑体" w:hAnsi="黑体" w:eastAsia="黑体" w:cs="宋体"/>
          <w:sz w:val="48"/>
          <w:szCs w:val="48"/>
          <w:lang w:val="zh-TW"/>
        </w:rPr>
        <w:t>稿）</w:t>
      </w:r>
    </w:p>
    <w:p w14:paraId="09A03904">
      <w:pPr>
        <w:framePr w:wrap="auto" w:vAnchor="margin" w:hAnchor="text" w:yAlign="inline"/>
        <w:spacing w:before="120" w:beforeLines="50" w:after="120" w:afterLines="50" w:line="300" w:lineRule="auto"/>
        <w:jc w:val="center"/>
        <w:outlineLvl w:val="0"/>
        <w:rPr>
          <w:rFonts w:ascii="宋体" w:hAnsi="宋体" w:eastAsia="宋体" w:cs="宋体"/>
          <w:b/>
          <w:bCs/>
          <w:sz w:val="48"/>
          <w:szCs w:val="48"/>
          <w:lang w:val="zh-TW"/>
        </w:rPr>
      </w:pPr>
    </w:p>
    <w:p w14:paraId="62B7FD82">
      <w:pPr>
        <w:framePr w:wrap="auto" w:vAnchor="margin" w:hAnchor="text" w:yAlign="inline"/>
        <w:spacing w:before="120" w:beforeLines="50" w:after="120" w:afterLines="50" w:line="300" w:lineRule="auto"/>
        <w:jc w:val="center"/>
        <w:outlineLvl w:val="0"/>
        <w:rPr>
          <w:rFonts w:ascii="宋体" w:hAnsi="宋体" w:eastAsia="宋体" w:cs="宋体"/>
          <w:b/>
          <w:bCs/>
          <w:sz w:val="48"/>
          <w:szCs w:val="48"/>
          <w:lang w:val="zh-TW"/>
        </w:rPr>
      </w:pPr>
    </w:p>
    <w:p w14:paraId="478540C3">
      <w:pPr>
        <w:framePr w:wrap="auto" w:vAnchor="margin" w:hAnchor="text" w:yAlign="inline"/>
        <w:spacing w:before="120" w:beforeLines="50" w:after="120" w:afterLines="50" w:line="300" w:lineRule="auto"/>
        <w:outlineLvl w:val="0"/>
        <w:rPr>
          <w:rFonts w:ascii="宋体" w:hAnsi="宋体" w:eastAsia="宋体" w:cs="宋体"/>
          <w:b/>
          <w:bCs/>
          <w:sz w:val="48"/>
          <w:szCs w:val="48"/>
          <w:lang w:val="zh-TW"/>
        </w:rPr>
      </w:pPr>
    </w:p>
    <w:p w14:paraId="5E125F31">
      <w:pPr>
        <w:framePr w:wrap="auto" w:vAnchor="margin" w:hAnchor="text" w:yAlign="inline"/>
        <w:spacing w:before="120" w:beforeLines="50" w:after="120" w:afterLines="50" w:line="300" w:lineRule="auto"/>
        <w:outlineLvl w:val="0"/>
        <w:rPr>
          <w:rFonts w:ascii="宋体" w:hAnsi="宋体" w:eastAsia="宋体" w:cs="宋体"/>
          <w:b/>
          <w:bCs/>
          <w:sz w:val="48"/>
          <w:szCs w:val="48"/>
          <w:lang w:val="zh-TW"/>
        </w:rPr>
      </w:pPr>
    </w:p>
    <w:p w14:paraId="71531ADC">
      <w:pPr>
        <w:framePr w:wrap="auto" w:vAnchor="margin" w:hAnchor="text" w:yAlign="inline"/>
        <w:spacing w:before="120" w:beforeLines="50" w:after="120" w:afterLines="50" w:line="300" w:lineRule="auto"/>
        <w:outlineLvl w:val="0"/>
        <w:rPr>
          <w:rFonts w:ascii="宋体" w:hAnsi="宋体" w:eastAsia="宋体" w:cs="宋体"/>
          <w:b/>
          <w:bCs/>
          <w:sz w:val="48"/>
          <w:szCs w:val="48"/>
          <w:lang w:val="zh-TW"/>
        </w:rPr>
      </w:pPr>
    </w:p>
    <w:p w14:paraId="6B66EE0F">
      <w:pPr>
        <w:framePr w:wrap="auto" w:vAnchor="margin" w:hAnchor="text" w:yAlign="inline"/>
        <w:spacing w:before="120" w:beforeLines="50" w:after="120" w:afterLines="50" w:line="300" w:lineRule="auto"/>
        <w:outlineLvl w:val="0"/>
        <w:rPr>
          <w:rFonts w:ascii="宋体" w:hAnsi="宋体" w:eastAsia="宋体" w:cs="宋体"/>
          <w:b/>
          <w:bCs/>
          <w:sz w:val="48"/>
          <w:szCs w:val="48"/>
          <w:lang w:val="zh-TW"/>
        </w:rPr>
      </w:pPr>
    </w:p>
    <w:p w14:paraId="167C5B3F">
      <w:pPr>
        <w:framePr w:wrap="auto" w:vAnchor="margin" w:hAnchor="text" w:yAlign="inline"/>
        <w:spacing w:before="120" w:beforeLines="50" w:after="120" w:afterLines="50" w:line="300" w:lineRule="auto"/>
        <w:outlineLvl w:val="0"/>
        <w:rPr>
          <w:rFonts w:ascii="宋体" w:hAnsi="宋体" w:eastAsia="宋体" w:cs="宋体"/>
          <w:b/>
          <w:bCs/>
          <w:sz w:val="48"/>
          <w:szCs w:val="48"/>
          <w:lang w:val="zh-TW"/>
        </w:rPr>
      </w:pPr>
    </w:p>
    <w:p w14:paraId="1C0CD897">
      <w:pPr>
        <w:framePr w:wrap="auto" w:vAnchor="margin" w:hAnchor="text" w:yAlign="inline"/>
        <w:spacing w:before="120" w:beforeLines="50" w:after="120" w:afterLines="50" w:line="300" w:lineRule="auto"/>
        <w:outlineLvl w:val="0"/>
        <w:rPr>
          <w:rFonts w:ascii="宋体" w:hAnsi="宋体" w:eastAsia="宋体" w:cs="宋体"/>
          <w:b/>
          <w:bCs/>
          <w:sz w:val="48"/>
          <w:szCs w:val="48"/>
          <w:lang w:val="zh-TW"/>
        </w:rPr>
      </w:pPr>
    </w:p>
    <w:p w14:paraId="1C3A6661">
      <w:pPr>
        <w:framePr w:wrap="auto" w:vAnchor="margin" w:hAnchor="text" w:yAlign="inline"/>
        <w:spacing w:before="120" w:beforeLines="50" w:after="120" w:afterLines="50" w:line="300" w:lineRule="auto"/>
        <w:jc w:val="center"/>
        <w:outlineLvl w:val="0"/>
        <w:rPr>
          <w:rFonts w:ascii="宋体" w:hAnsi="宋体" w:eastAsia="宋体" w:cs="宋体"/>
          <w:b/>
          <w:bCs/>
          <w:sz w:val="28"/>
          <w:szCs w:val="28"/>
          <w:lang w:val="zh-TW"/>
        </w:rPr>
      </w:pPr>
      <w:r>
        <w:rPr>
          <w:rFonts w:hint="cs" w:ascii="宋体" w:hAnsi="宋体" w:eastAsia="宋体" w:cs="宋体"/>
          <w:b/>
          <w:bCs/>
          <w:sz w:val="28"/>
          <w:szCs w:val="28"/>
          <w:lang w:val="zh-TW"/>
        </w:rPr>
        <w:t>中国国际贸易促进委员会商业行业委员会</w:t>
      </w:r>
    </w:p>
    <w:p w14:paraId="200F9FE8">
      <w:pPr>
        <w:framePr w:wrap="auto" w:vAnchor="margin" w:hAnchor="text" w:yAlign="inline"/>
        <w:spacing w:before="120" w:beforeLines="50" w:after="120" w:afterLines="50" w:line="300" w:lineRule="auto"/>
        <w:jc w:val="center"/>
        <w:outlineLvl w:val="0"/>
        <w:rPr>
          <w:rFonts w:ascii="宋体" w:hAnsi="宋体" w:eastAsia="宋体" w:cs="宋体"/>
          <w:sz w:val="28"/>
          <w:szCs w:val="28"/>
          <w:lang w:val="zh-TW"/>
        </w:rPr>
      </w:pPr>
      <w:r>
        <w:rPr>
          <w:rFonts w:ascii="宋体" w:hAnsi="宋体" w:eastAsia="宋体" w:cs="宋体"/>
          <w:sz w:val="28"/>
          <w:szCs w:val="28"/>
          <w:lang w:val="zh-TW"/>
        </w:rPr>
        <w:t>二〇</w:t>
      </w:r>
      <w:r>
        <w:rPr>
          <w:rFonts w:ascii="宋体" w:hAnsi="宋体" w:eastAsia="宋体" w:cs="宋体"/>
          <w:sz w:val="28"/>
          <w:szCs w:val="28"/>
        </w:rPr>
        <w:t>二五</w:t>
      </w:r>
      <w:r>
        <w:rPr>
          <w:rFonts w:ascii="宋体" w:hAnsi="宋体" w:eastAsia="宋体" w:cs="宋体"/>
          <w:sz w:val="28"/>
          <w:szCs w:val="28"/>
          <w:lang w:val="zh-TW"/>
        </w:rPr>
        <w:t>年</w:t>
      </w:r>
      <w:r>
        <w:rPr>
          <w:rFonts w:ascii="宋体" w:hAnsi="宋体" w:eastAsia="宋体" w:cs="宋体"/>
          <w:sz w:val="28"/>
          <w:szCs w:val="28"/>
        </w:rPr>
        <w:t>一</w:t>
      </w:r>
      <w:r>
        <w:rPr>
          <w:rFonts w:ascii="宋体" w:hAnsi="宋体" w:eastAsia="宋体" w:cs="宋体"/>
          <w:sz w:val="28"/>
          <w:szCs w:val="28"/>
          <w:lang w:val="zh-TW"/>
        </w:rPr>
        <w:t>月</w:t>
      </w:r>
      <w:r>
        <w:rPr>
          <w:rFonts w:ascii="宋体" w:hAnsi="宋体" w:eastAsia="宋体" w:cs="宋体"/>
          <w:sz w:val="28"/>
          <w:szCs w:val="28"/>
        </w:rPr>
        <w:t>十三</w:t>
      </w:r>
      <w:r>
        <w:rPr>
          <w:rFonts w:ascii="宋体" w:hAnsi="宋体" w:eastAsia="宋体" w:cs="宋体"/>
          <w:sz w:val="28"/>
          <w:szCs w:val="28"/>
          <w:lang w:val="zh-TW"/>
        </w:rPr>
        <w:t>日</w:t>
      </w:r>
    </w:p>
    <w:p w14:paraId="133B207B">
      <w:pPr>
        <w:framePr w:wrap="auto" w:vAnchor="margin" w:hAnchor="text" w:yAlign="inline"/>
        <w:widowControl/>
        <w:jc w:val="center"/>
        <w:rPr>
          <w:rFonts w:ascii="宋体" w:hAnsi="宋体" w:eastAsia="宋体" w:cs="宋体"/>
          <w:b/>
          <w:bCs/>
          <w:sz w:val="32"/>
          <w:szCs w:val="32"/>
          <w:lang w:val="zh-TW"/>
        </w:rPr>
      </w:pPr>
      <w:r>
        <w:rPr>
          <w:rFonts w:ascii="宋体" w:hAnsi="宋体" w:eastAsia="宋体" w:cs="宋体"/>
          <w:b/>
          <w:bCs/>
          <w:sz w:val="32"/>
          <w:szCs w:val="32"/>
          <w:lang w:val="zh-TW"/>
        </w:rPr>
        <w:br w:type="page"/>
      </w:r>
      <w:r>
        <w:rPr>
          <w:rFonts w:hint="cs" w:ascii="宋体" w:hAnsi="宋体" w:eastAsia="宋体" w:cs="宋体"/>
          <w:b/>
          <w:bCs/>
          <w:sz w:val="32"/>
          <w:szCs w:val="32"/>
          <w:lang w:val="zh-TW"/>
        </w:rPr>
        <w:t>《</w:t>
      </w:r>
      <w:bookmarkStart w:id="0" w:name="OLE_LINK1"/>
      <w:r>
        <w:rPr>
          <w:rFonts w:hint="cs" w:ascii="宋体" w:hAnsi="宋体" w:eastAsia="宋体" w:cs="宋体"/>
          <w:b/>
          <w:bCs/>
          <w:sz w:val="32"/>
          <w:szCs w:val="32"/>
          <w:lang w:val="zh-TW"/>
        </w:rPr>
        <w:t>数字贸易产教融合共同体运作模式与</w:t>
      </w:r>
      <w:bookmarkEnd w:id="0"/>
      <w:r>
        <w:rPr>
          <w:rFonts w:hint="eastAsia" w:ascii="宋体" w:hAnsi="宋体" w:eastAsia="宋体" w:cs="宋体"/>
          <w:b/>
          <w:bCs/>
          <w:sz w:val="32"/>
          <w:szCs w:val="32"/>
          <w:lang w:val="en-US" w:eastAsia="zh-CN"/>
        </w:rPr>
        <w:t>管理规范</w:t>
      </w:r>
      <w:r>
        <w:rPr>
          <w:rFonts w:hint="cs" w:ascii="宋体" w:hAnsi="宋体" w:eastAsia="宋体" w:cs="宋体"/>
          <w:b/>
          <w:bCs/>
          <w:sz w:val="32"/>
          <w:szCs w:val="32"/>
          <w:lang w:val="zh-TW"/>
        </w:rPr>
        <w:t>》</w:t>
      </w:r>
    </w:p>
    <w:p w14:paraId="5E59BC04">
      <w:pPr>
        <w:framePr w:wrap="auto" w:vAnchor="margin" w:hAnchor="text" w:yAlign="inline"/>
        <w:spacing w:line="300" w:lineRule="auto"/>
        <w:jc w:val="center"/>
        <w:outlineLvl w:val="0"/>
        <w:rPr>
          <w:rFonts w:hint="default"/>
          <w:b/>
          <w:bCs/>
          <w:sz w:val="32"/>
          <w:szCs w:val="32"/>
          <w:lang w:val="zh-TW" w:eastAsia="zh-TW"/>
        </w:rPr>
      </w:pPr>
      <w:r>
        <w:rPr>
          <w:rFonts w:ascii="宋体" w:hAnsi="宋体" w:eastAsia="宋体" w:cs="宋体"/>
          <w:b/>
          <w:bCs/>
          <w:sz w:val="32"/>
          <w:szCs w:val="32"/>
          <w:lang w:val="zh-TW" w:eastAsia="zh-TW"/>
        </w:rPr>
        <w:t>团体标准编制说明</w:t>
      </w:r>
    </w:p>
    <w:p w14:paraId="338EBB2C">
      <w:pPr>
        <w:framePr w:wrap="auto" w:vAnchor="margin" w:hAnchor="text" w:yAlign="inline"/>
        <w:spacing w:line="360" w:lineRule="auto"/>
        <w:ind w:firstLine="482"/>
        <w:rPr>
          <w:rFonts w:ascii="宋体" w:hAnsi="宋体" w:eastAsia="宋体" w:cs="宋体"/>
          <w:b/>
          <w:bCs/>
          <w:kern w:val="0"/>
          <w:sz w:val="24"/>
          <w:szCs w:val="24"/>
          <w:lang w:eastAsia="zh-TW"/>
        </w:rPr>
      </w:pPr>
    </w:p>
    <w:p w14:paraId="05AF5909">
      <w:pPr>
        <w:pStyle w:val="16"/>
        <w:framePr w:wrap="auto" w:vAnchor="margin" w:hAnchor="text" w:yAlign="inline"/>
        <w:numPr>
          <w:ilvl w:val="0"/>
          <w:numId w:val="3"/>
        </w:numPr>
        <w:spacing w:line="360" w:lineRule="auto"/>
        <w:rPr>
          <w:rFonts w:ascii="宋体" w:hAnsi="宋体" w:eastAsia="PMingLiU" w:cs="宋体"/>
          <w:b/>
          <w:bCs/>
          <w:color w:val="auto"/>
          <w:kern w:val="0"/>
          <w:sz w:val="24"/>
          <w:szCs w:val="24"/>
          <w:u w:color="0000FF"/>
          <w:lang w:val="zh-TW" w:eastAsia="zh-TW"/>
        </w:rPr>
      </w:pPr>
      <w:r>
        <w:rPr>
          <w:rFonts w:ascii="宋体" w:hAnsi="宋体" w:eastAsia="宋体" w:cs="宋体"/>
          <w:b/>
          <w:bCs/>
          <w:color w:val="auto"/>
          <w:kern w:val="0"/>
          <w:sz w:val="24"/>
          <w:szCs w:val="24"/>
          <w:u w:color="0000FF"/>
          <w:lang w:val="zh-TW" w:eastAsia="zh-TW"/>
        </w:rPr>
        <w:t>标准项目来源</w:t>
      </w:r>
    </w:p>
    <w:p w14:paraId="32F75DC6">
      <w:pPr>
        <w:framePr w:wrap="auto" w:vAnchor="margin" w:hAnchor="text" w:yAlign="inline"/>
        <w:spacing w:line="300" w:lineRule="auto"/>
        <w:ind w:firstLine="480" w:firstLineChars="200"/>
        <w:jc w:val="left"/>
        <w:outlineLvl w:val="0"/>
        <w:rPr>
          <w:rFonts w:ascii="宋体" w:hAnsi="宋体" w:eastAsia="宋体" w:cs="宋体"/>
          <w:color w:val="auto"/>
          <w:sz w:val="24"/>
          <w:szCs w:val="24"/>
        </w:rPr>
      </w:pPr>
      <w:r>
        <w:rPr>
          <w:rFonts w:ascii="宋体" w:hAnsi="宋体" w:eastAsia="宋体" w:cs="宋体"/>
          <w:color w:val="auto"/>
          <w:sz w:val="24"/>
          <w:szCs w:val="24"/>
        </w:rPr>
        <w:t>随着数字贸易的快速发展，推动</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rPr>
        <w:t>显得越来越重要，行业对标准化的需求日益迫切。目前，国内外尚缺乏针对</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rPr>
        <w:t>的统一规范，导致服务质量参差不齐，影响用户体验和行业健康发展。项目参考国际电工委员会（IEC）及国际标准化组织（ISO）在电子商务领域的标准制定动向，提炼我国在该领域的实践经验，形成一套科学、系统的管理与运营规范，填补国内外空白，提升我国</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rPr>
        <w:t>的国际竞争力，为参与ISO/DIS 32110等国际标准的研制修订提供“中国方案”，推动全球电商行业的标准化发展。</w:t>
      </w:r>
    </w:p>
    <w:p w14:paraId="56D554E9">
      <w:pPr>
        <w:pStyle w:val="16"/>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二、标准制定的目的和意义</w:t>
      </w:r>
    </w:p>
    <w:p w14:paraId="512762A2">
      <w:pPr>
        <w:pStyle w:val="16"/>
        <w:framePr w:wrap="auto" w:vAnchor="margin" w:hAnchor="text" w:yAlign="inline"/>
        <w:spacing w:line="360" w:lineRule="auto"/>
        <w:ind w:left="482" w:firstLine="0"/>
        <w:rPr>
          <w:rFonts w:ascii="宋体" w:hAnsi="宋体" w:eastAsia="宋体" w:cs="宋体"/>
          <w:b/>
          <w:bCs/>
          <w:color w:val="auto"/>
          <w:sz w:val="24"/>
          <w:szCs w:val="24"/>
          <w:lang w:val="zh-TW"/>
        </w:rPr>
      </w:pPr>
      <w:r>
        <w:rPr>
          <w:rFonts w:ascii="宋体" w:hAnsi="宋体" w:eastAsia="宋体" w:cs="宋体"/>
          <w:b/>
          <w:bCs/>
          <w:color w:val="auto"/>
          <w:sz w:val="24"/>
          <w:szCs w:val="24"/>
          <w:lang w:val="zh-TW"/>
        </w:rPr>
        <w:t>（</w:t>
      </w:r>
      <w:r>
        <w:rPr>
          <w:rFonts w:ascii="宋体" w:hAnsi="宋体" w:eastAsia="宋体" w:cs="宋体"/>
          <w:b/>
          <w:bCs/>
          <w:color w:val="auto"/>
          <w:sz w:val="24"/>
          <w:szCs w:val="24"/>
        </w:rPr>
        <w:t>一</w:t>
      </w:r>
      <w:r>
        <w:rPr>
          <w:rFonts w:ascii="宋体" w:hAnsi="宋体" w:eastAsia="宋体" w:cs="宋体"/>
          <w:b/>
          <w:bCs/>
          <w:color w:val="auto"/>
          <w:sz w:val="24"/>
          <w:szCs w:val="24"/>
          <w:lang w:val="zh-TW"/>
        </w:rPr>
        <w:t>）</w:t>
      </w:r>
      <w:r>
        <w:rPr>
          <w:rFonts w:ascii="宋体" w:hAnsi="宋体" w:eastAsia="宋体" w:cs="宋体"/>
          <w:b/>
          <w:bCs/>
          <w:color w:val="auto"/>
          <w:kern w:val="0"/>
          <w:sz w:val="24"/>
          <w:szCs w:val="24"/>
          <w:u w:color="0000FF"/>
          <w:lang w:val="zh-TW"/>
        </w:rPr>
        <w:t>标准制定的</w:t>
      </w:r>
      <w:r>
        <w:rPr>
          <w:rFonts w:ascii="宋体" w:hAnsi="宋体" w:eastAsia="宋体" w:cs="宋体"/>
          <w:b/>
          <w:bCs/>
          <w:color w:val="auto"/>
          <w:sz w:val="24"/>
          <w:szCs w:val="24"/>
          <w:lang w:val="zh-TW"/>
        </w:rPr>
        <w:t>目的</w:t>
      </w:r>
    </w:p>
    <w:p w14:paraId="6EFFC195">
      <w:pPr>
        <w:framePr w:wrap="auto" w:vAnchor="margin" w:hAnchor="text" w:yAlign="inline"/>
        <w:spacing w:line="300" w:lineRule="auto"/>
        <w:ind w:firstLine="480" w:firstLineChars="200"/>
        <w:jc w:val="left"/>
        <w:outlineLvl w:val="0"/>
        <w:rPr>
          <w:rFonts w:ascii="宋体" w:hAnsi="宋体" w:eastAsia="宋体" w:cs="宋体"/>
          <w:color w:val="auto"/>
          <w:sz w:val="24"/>
          <w:szCs w:val="24"/>
          <w:lang w:val="zh-TW"/>
        </w:rPr>
      </w:pPr>
      <w:r>
        <w:rPr>
          <w:rFonts w:ascii="宋体" w:hAnsi="宋体" w:eastAsia="宋体" w:cs="宋体"/>
          <w:color w:val="auto"/>
          <w:sz w:val="24"/>
          <w:szCs w:val="24"/>
          <w:lang w:val="zh-TW"/>
        </w:rPr>
        <w:t>党的二十大报告指出，推进高水平对外开放，稳步扩大规则、规制、管理、标准等制度型开放，加快建设贸易强国，推动共建“一带一路”高质量发展，维护多元稳定的国际经济格局和经贸关系。</w:t>
      </w:r>
    </w:p>
    <w:p w14:paraId="64B25E13">
      <w:pPr>
        <w:framePr w:wrap="auto" w:vAnchor="margin" w:hAnchor="text" w:yAlign="inline"/>
        <w:spacing w:line="300" w:lineRule="auto"/>
        <w:ind w:firstLine="480" w:firstLineChars="200"/>
        <w:jc w:val="left"/>
        <w:outlineLvl w:val="0"/>
        <w:rPr>
          <w:rFonts w:hint="default" w:hAnsi="宋体" w:cs="宋体"/>
          <w:sz w:val="24"/>
          <w:szCs w:val="24"/>
        </w:rPr>
      </w:pPr>
      <w:r>
        <w:rPr>
          <w:rFonts w:hint="default" w:ascii="宋体" w:hAnsi="宋体" w:eastAsia="宋体" w:cs="宋体"/>
          <w:color w:val="auto"/>
          <w:sz w:val="24"/>
          <w:szCs w:val="24"/>
          <w:lang w:val="zh-TW"/>
        </w:rPr>
        <w:t>随着全球贸易增长和技术不断进步，</w:t>
      </w:r>
      <w:r>
        <w:rPr>
          <w:rFonts w:hint="eastAsia" w:ascii="宋体" w:hAnsi="宋体" w:eastAsia="宋体" w:cs="宋体"/>
          <w:color w:val="auto"/>
          <w:sz w:val="24"/>
          <w:szCs w:val="24"/>
          <w:lang w:val="zh-TW" w:eastAsia="zh-CN"/>
        </w:rPr>
        <w:t>数字贸易产教融合共同体运作模式与管理规范</w:t>
      </w:r>
      <w:r>
        <w:rPr>
          <w:rFonts w:hint="default" w:ascii="宋体" w:hAnsi="宋体" w:eastAsia="宋体" w:cs="宋体"/>
          <w:color w:val="auto"/>
          <w:sz w:val="24"/>
          <w:szCs w:val="24"/>
          <w:lang w:val="zh-TW"/>
        </w:rPr>
        <w:t>越来越受到学校和企业的青睐，具有广阔的发展前景。</w:t>
      </w:r>
      <w:r>
        <w:rPr>
          <w:rFonts w:ascii="宋体" w:hAnsi="宋体" w:eastAsia="宋体" w:cs="宋体"/>
          <w:color w:val="auto"/>
          <w:sz w:val="24"/>
          <w:szCs w:val="24"/>
        </w:rPr>
        <w:t>构建校企合作长效机制，校企协同推进教学资源、师资、社会服务项目、网络服务平台、证书考核等共建共享，健全数字贸易产教融合共同体质量保障体系和评价体系建设，提高数字贸易产教融合共同体服务教学、服务地方经济社会发展能力。</w:t>
      </w:r>
    </w:p>
    <w:p w14:paraId="265BBB74">
      <w:pPr>
        <w:framePr w:wrap="auto" w:vAnchor="margin" w:hAnchor="text" w:yAlign="inline"/>
        <w:spacing w:line="300" w:lineRule="auto"/>
        <w:ind w:firstLine="480" w:firstLineChars="200"/>
        <w:jc w:val="left"/>
        <w:outlineLvl w:val="0"/>
        <w:rPr>
          <w:rFonts w:ascii="宋体" w:hAnsi="宋体" w:eastAsia="宋体" w:cs="宋体"/>
          <w:color w:val="auto"/>
          <w:sz w:val="24"/>
          <w:szCs w:val="24"/>
          <w:lang w:val="zh-TW"/>
        </w:rPr>
      </w:pPr>
      <w:r>
        <w:rPr>
          <w:rFonts w:ascii="宋体" w:hAnsi="宋体" w:eastAsia="宋体" w:cs="宋体"/>
          <w:color w:val="auto"/>
          <w:sz w:val="24"/>
          <w:szCs w:val="24"/>
        </w:rPr>
        <w:t>本标准</w:t>
      </w:r>
      <w:r>
        <w:rPr>
          <w:rFonts w:ascii="宋体" w:hAnsi="宋体" w:eastAsia="宋体" w:cs="宋体"/>
          <w:color w:val="auto"/>
          <w:sz w:val="24"/>
          <w:szCs w:val="24"/>
          <w:lang w:val="zh-TW"/>
        </w:rPr>
        <w:t>为</w:t>
      </w:r>
      <w:r>
        <w:rPr>
          <w:rFonts w:hint="eastAsia" w:ascii="宋体" w:hAnsi="宋体" w:eastAsia="宋体" w:cs="宋体"/>
          <w:b w:val="0"/>
          <w:bCs w:val="0"/>
          <w:color w:val="auto"/>
          <w:sz w:val="24"/>
          <w:szCs w:val="24"/>
          <w:lang w:val="zh-TW" w:eastAsia="zh-CN"/>
        </w:rPr>
        <w:t>数字贸易产教融合共同体运作模式与管理</w:t>
      </w:r>
      <w:bookmarkStart w:id="1" w:name="_GoBack"/>
      <w:bookmarkEnd w:id="1"/>
      <w:r>
        <w:rPr>
          <w:rFonts w:ascii="宋体" w:hAnsi="宋体" w:eastAsia="宋体" w:cs="宋体"/>
          <w:color w:val="auto"/>
          <w:sz w:val="24"/>
          <w:szCs w:val="24"/>
          <w:lang w:val="zh-TW"/>
        </w:rPr>
        <w:t>的规范，确保</w:t>
      </w:r>
      <w:r>
        <w:rPr>
          <w:rFonts w:hint="cs" w:ascii="宋体" w:hAnsi="宋体" w:eastAsia="宋体" w:cs="宋体"/>
          <w:color w:val="auto"/>
          <w:sz w:val="24"/>
          <w:szCs w:val="24"/>
        </w:rPr>
        <w:t>数字贸易产教融合共同体运作</w:t>
      </w:r>
      <w:r>
        <w:rPr>
          <w:rFonts w:ascii="宋体" w:hAnsi="宋体" w:eastAsia="宋体" w:cs="宋体"/>
          <w:color w:val="auto"/>
          <w:sz w:val="24"/>
          <w:szCs w:val="24"/>
          <w:lang w:val="zh-TW"/>
        </w:rPr>
        <w:t>的高效和有效地开发、部署和管理，提升系统的性能、可靠性和用户体验。作为一个可供全面参考的规范，标准的制定为开发团队、系统的使用方以及其他利益相关者在系统实施和持续运营中，需要遵循的最佳指导、实践、需求和协议。</w:t>
      </w:r>
    </w:p>
    <w:p w14:paraId="283329EF">
      <w:pPr>
        <w:pStyle w:val="16"/>
        <w:framePr w:wrap="auto" w:vAnchor="margin" w:hAnchor="text" w:yAlign="inline"/>
        <w:spacing w:line="360" w:lineRule="auto"/>
        <w:ind w:firstLine="482" w:firstLineChars="200"/>
        <w:rPr>
          <w:rFonts w:ascii="宋体" w:hAnsi="宋体" w:eastAsia="宋体" w:cs="宋体"/>
          <w:b/>
          <w:bCs/>
          <w:color w:val="auto"/>
          <w:sz w:val="24"/>
          <w:szCs w:val="24"/>
          <w:lang w:val="zh-TW"/>
        </w:rPr>
      </w:pPr>
      <w:r>
        <w:rPr>
          <w:rFonts w:ascii="宋体" w:hAnsi="宋体" w:eastAsia="宋体" w:cs="宋体"/>
          <w:b/>
          <w:bCs/>
          <w:color w:val="auto"/>
          <w:sz w:val="24"/>
          <w:szCs w:val="24"/>
          <w:lang w:val="zh-TW"/>
        </w:rPr>
        <w:t>（</w:t>
      </w:r>
      <w:r>
        <w:rPr>
          <w:rFonts w:ascii="宋体" w:hAnsi="宋体" w:eastAsia="宋体" w:cs="宋体"/>
          <w:b/>
          <w:bCs/>
          <w:color w:val="auto"/>
          <w:sz w:val="24"/>
          <w:szCs w:val="24"/>
        </w:rPr>
        <w:t>二</w:t>
      </w:r>
      <w:r>
        <w:rPr>
          <w:rFonts w:ascii="宋体" w:hAnsi="宋体" w:eastAsia="宋体" w:cs="宋体"/>
          <w:b/>
          <w:bCs/>
          <w:color w:val="auto"/>
          <w:sz w:val="24"/>
          <w:szCs w:val="24"/>
          <w:lang w:val="zh-TW"/>
        </w:rPr>
        <w:t>）项目任务的意义</w:t>
      </w:r>
    </w:p>
    <w:p w14:paraId="4DDC72AA">
      <w:pPr>
        <w:pStyle w:val="16"/>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项目任务的意义，体现在以下几个方面：</w:t>
      </w:r>
    </w:p>
    <w:p w14:paraId="1D27D07B">
      <w:pPr>
        <w:pStyle w:val="16"/>
        <w:framePr w:wrap="auto" w:vAnchor="margin" w:hAnchor="text" w:yAlign="inline"/>
        <w:spacing w:line="360" w:lineRule="auto"/>
        <w:ind w:firstLine="482" w:firstLineChars="200"/>
        <w:rPr>
          <w:rFonts w:ascii="宋体" w:hAnsi="宋体" w:eastAsia="宋体" w:cs="宋体"/>
          <w:color w:val="auto"/>
          <w:sz w:val="24"/>
          <w:szCs w:val="24"/>
          <w:lang w:val="zh-TW"/>
        </w:rPr>
      </w:pPr>
      <w:r>
        <w:rPr>
          <w:rFonts w:ascii="宋体" w:hAnsi="宋体" w:eastAsia="宋体" w:cs="宋体"/>
          <w:b/>
          <w:bCs/>
          <w:color w:val="auto"/>
          <w:sz w:val="24"/>
          <w:szCs w:val="24"/>
        </w:rPr>
        <w:t>1.</w:t>
      </w:r>
      <w:r>
        <w:rPr>
          <w:rFonts w:ascii="宋体" w:hAnsi="宋体" w:eastAsia="宋体" w:cs="宋体"/>
          <w:b/>
          <w:bCs/>
          <w:color w:val="auto"/>
          <w:sz w:val="24"/>
          <w:szCs w:val="24"/>
          <w:lang w:val="zh-TW"/>
        </w:rPr>
        <w:t>提供指导。</w:t>
      </w:r>
      <w:r>
        <w:rPr>
          <w:rFonts w:ascii="宋体" w:hAnsi="宋体" w:eastAsia="宋体" w:cs="宋体"/>
          <w:color w:val="auto"/>
          <w:sz w:val="24"/>
          <w:szCs w:val="24"/>
          <w:lang w:val="zh-TW"/>
        </w:rPr>
        <w:t>为项目开发和运营提供科学的指导和明确的标准，使团队能够按照统一的方法和流程进行工作，有助于提高项目的建设质量、运作效率和运营效益，减少失误和风险。</w:t>
      </w:r>
    </w:p>
    <w:p w14:paraId="1B75C7AB">
      <w:pPr>
        <w:pStyle w:val="16"/>
        <w:framePr w:wrap="auto" w:vAnchor="margin" w:hAnchor="text" w:yAlign="inline"/>
        <w:spacing w:line="360" w:lineRule="auto"/>
        <w:ind w:firstLine="482" w:firstLineChars="200"/>
        <w:rPr>
          <w:rFonts w:ascii="宋体" w:hAnsi="宋体" w:eastAsia="宋体" w:cs="宋体"/>
          <w:color w:val="auto"/>
          <w:sz w:val="24"/>
          <w:szCs w:val="24"/>
          <w:lang w:val="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保证一致性。</w:t>
      </w:r>
      <w:r>
        <w:rPr>
          <w:rFonts w:ascii="宋体" w:hAnsi="宋体" w:eastAsia="宋体" w:cs="宋体"/>
          <w:color w:val="auto"/>
          <w:sz w:val="24"/>
          <w:szCs w:val="24"/>
        </w:rPr>
        <w:t>规范</w:t>
      </w:r>
      <w:r>
        <w:rPr>
          <w:rFonts w:ascii="宋体" w:hAnsi="宋体" w:eastAsia="宋体" w:cs="宋体"/>
          <w:color w:val="auto"/>
          <w:sz w:val="24"/>
          <w:szCs w:val="24"/>
          <w:lang w:val="zh-TW"/>
        </w:rPr>
        <w:t>定义统一的术语、流程和标准，确保系统的各个方面在整个开发和运营过程中保持一致，确保开发团队成员之间的沟通和理解一致，减少误解和混乱。</w:t>
      </w:r>
    </w:p>
    <w:p w14:paraId="10799B74">
      <w:pPr>
        <w:pStyle w:val="16"/>
        <w:framePr w:wrap="auto" w:vAnchor="margin" w:hAnchor="text" w:yAlign="inline"/>
        <w:spacing w:line="360" w:lineRule="auto"/>
        <w:ind w:firstLine="482" w:firstLineChars="200"/>
        <w:rPr>
          <w:rFonts w:ascii="宋体" w:hAnsi="宋体" w:eastAsia="宋体" w:cs="宋体"/>
          <w:color w:val="auto"/>
          <w:sz w:val="24"/>
          <w:szCs w:val="24"/>
          <w:lang w:val="zh-TW"/>
        </w:rPr>
      </w:pPr>
      <w:r>
        <w:rPr>
          <w:rFonts w:hint="default" w:ascii="宋体" w:hAnsi="宋体" w:eastAsia="宋体" w:cs="宋体"/>
          <w:b/>
          <w:bCs/>
          <w:color w:val="auto"/>
          <w:sz w:val="24"/>
          <w:szCs w:val="24"/>
          <w:lang w:val="zh-TW"/>
        </w:rPr>
        <w:t>3.</w:t>
      </w:r>
      <w:r>
        <w:rPr>
          <w:rFonts w:ascii="宋体" w:hAnsi="宋体" w:eastAsia="宋体" w:cs="宋体"/>
          <w:b/>
          <w:bCs/>
          <w:color w:val="auto"/>
          <w:sz w:val="24"/>
          <w:szCs w:val="24"/>
          <w:lang w:val="zh-TW"/>
        </w:rPr>
        <w:t>提高性能和可靠性。</w:t>
      </w:r>
      <w:r>
        <w:rPr>
          <w:rFonts w:ascii="宋体" w:hAnsi="宋体" w:eastAsia="宋体" w:cs="宋体"/>
          <w:color w:val="auto"/>
          <w:sz w:val="24"/>
          <w:szCs w:val="24"/>
          <w:lang w:val="zh-TW"/>
        </w:rPr>
        <w:t>规范中包含最佳实践和标准要求，帮助</w:t>
      </w:r>
      <w:r>
        <w:rPr>
          <w:rFonts w:hint="default" w:ascii="宋体" w:hAnsi="宋体" w:eastAsia="宋体" w:cs="宋体"/>
          <w:color w:val="auto"/>
          <w:sz w:val="24"/>
          <w:szCs w:val="24"/>
          <w:lang w:val="zh-TW"/>
        </w:rPr>
        <w:t>依托合作企业，聚焦专业产教融合、工学结合等人才培养模式改革，建设与现代企业生产环节相接近的实训场景，融入企业文化，营造职场氛围，强化实践育人功能和工匠精神的培养</w:t>
      </w:r>
      <w:r>
        <w:rPr>
          <w:rFonts w:ascii="宋体" w:hAnsi="宋体" w:eastAsia="宋体" w:cs="宋体"/>
          <w:color w:val="auto"/>
          <w:sz w:val="24"/>
          <w:szCs w:val="24"/>
          <w:lang w:val="zh-TW"/>
        </w:rPr>
        <w:t>，有助于提升系统的稳定性、可扩展性和可靠性，提供优质的用户体验。</w:t>
      </w:r>
    </w:p>
    <w:p w14:paraId="244D6AB0">
      <w:pPr>
        <w:pStyle w:val="16"/>
        <w:framePr w:wrap="auto" w:vAnchor="margin" w:hAnchor="text" w:yAlign="inline"/>
        <w:spacing w:line="360" w:lineRule="auto"/>
        <w:ind w:firstLine="482" w:firstLineChars="200"/>
        <w:rPr>
          <w:rFonts w:ascii="宋体" w:hAnsi="宋体" w:eastAsia="宋体" w:cs="宋体"/>
          <w:color w:val="auto"/>
          <w:sz w:val="24"/>
          <w:szCs w:val="24"/>
          <w:lang w:val="zh-TW"/>
        </w:rPr>
      </w:pPr>
      <w:r>
        <w:rPr>
          <w:rFonts w:ascii="宋体" w:hAnsi="宋体" w:eastAsia="宋体" w:cs="宋体"/>
          <w:b/>
          <w:bCs/>
          <w:color w:val="auto"/>
          <w:sz w:val="24"/>
          <w:szCs w:val="24"/>
        </w:rPr>
        <w:t>4.</w:t>
      </w:r>
      <w:r>
        <w:rPr>
          <w:rFonts w:ascii="宋体" w:hAnsi="宋体" w:eastAsia="宋体" w:cs="宋体"/>
          <w:b/>
          <w:bCs/>
          <w:color w:val="auto"/>
          <w:sz w:val="24"/>
          <w:szCs w:val="24"/>
          <w:lang w:val="zh-TW"/>
        </w:rPr>
        <w:t>规范运作流程。</w:t>
      </w:r>
      <w:r>
        <w:rPr>
          <w:rFonts w:ascii="宋体" w:hAnsi="宋体" w:eastAsia="宋体" w:cs="宋体"/>
          <w:color w:val="auto"/>
          <w:sz w:val="24"/>
          <w:szCs w:val="24"/>
          <w:lang w:val="zh-TW"/>
        </w:rPr>
        <w:t>规范涉及数字贸易产教融合共同体的建设、运作、工作流程、安全管理、服务要求和评价与改进等方面的规定和要求，有助于确保数字贸易产教融合共同体的正常运作和问题的及时解决。</w:t>
      </w:r>
    </w:p>
    <w:p w14:paraId="4902A898">
      <w:pPr>
        <w:pStyle w:val="16"/>
        <w:framePr w:wrap="auto" w:vAnchor="margin" w:hAnchor="text" w:yAlign="inline"/>
        <w:spacing w:line="360" w:lineRule="auto"/>
        <w:ind w:firstLine="482" w:firstLineChars="200"/>
        <w:rPr>
          <w:rFonts w:ascii="宋体" w:hAnsi="宋体" w:eastAsia="宋体" w:cs="宋体"/>
          <w:color w:val="auto"/>
          <w:sz w:val="24"/>
          <w:szCs w:val="24"/>
          <w:lang w:val="zh-TW"/>
        </w:rPr>
      </w:pPr>
      <w:r>
        <w:rPr>
          <w:rFonts w:ascii="宋体" w:hAnsi="宋体" w:eastAsia="宋体" w:cs="宋体"/>
          <w:b/>
          <w:bCs/>
          <w:color w:val="auto"/>
          <w:sz w:val="24"/>
          <w:szCs w:val="24"/>
        </w:rPr>
        <w:t>5.</w:t>
      </w:r>
      <w:r>
        <w:rPr>
          <w:rFonts w:ascii="宋体" w:hAnsi="宋体" w:eastAsia="宋体" w:cs="宋体"/>
          <w:b/>
          <w:bCs/>
          <w:color w:val="auto"/>
          <w:sz w:val="24"/>
          <w:szCs w:val="24"/>
          <w:lang w:val="zh-TW"/>
        </w:rPr>
        <w:t>降低风险。</w:t>
      </w:r>
      <w:r>
        <w:rPr>
          <w:rFonts w:ascii="宋体" w:hAnsi="宋体" w:eastAsia="宋体" w:cs="宋体"/>
          <w:color w:val="auto"/>
          <w:sz w:val="24"/>
          <w:szCs w:val="24"/>
          <w:lang w:val="zh-TW"/>
        </w:rPr>
        <w:t>规范中包含的安全、合规要求，有助于减少潜在风险和违规行为。通过遵循规范，可以提高系统的安全性和合规性，保护用户数据和各方利益。</w:t>
      </w:r>
    </w:p>
    <w:p w14:paraId="060AB413">
      <w:pPr>
        <w:pStyle w:val="16"/>
        <w:framePr w:wrap="auto" w:vAnchor="margin" w:hAnchor="text" w:yAlign="inline"/>
        <w:spacing w:line="360" w:lineRule="auto"/>
        <w:ind w:left="482" w:firstLine="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三、标准起草的过程简述</w:t>
      </w:r>
    </w:p>
    <w:p w14:paraId="63AB031C">
      <w:pPr>
        <w:framePr w:wrap="auto" w:vAnchor="margin" w:hAnchor="text" w:yAlign="inline"/>
        <w:spacing w:line="360" w:lineRule="auto"/>
        <w:ind w:firstLine="482" w:firstLineChars="200"/>
        <w:rPr>
          <w:rFonts w:ascii="宋体" w:hAnsi="宋体" w:eastAsia="宋体" w:cs="宋体"/>
          <w:b/>
          <w:bCs/>
          <w:color w:val="auto"/>
          <w:kern w:val="0"/>
          <w:sz w:val="24"/>
          <w:szCs w:val="24"/>
          <w:u w:color="0000FF"/>
        </w:rPr>
      </w:pPr>
      <w:r>
        <w:rPr>
          <w:rFonts w:ascii="宋体" w:hAnsi="宋体" w:eastAsia="宋体" w:cs="宋体"/>
          <w:b/>
          <w:bCs/>
          <w:color w:val="auto"/>
          <w:kern w:val="0"/>
          <w:sz w:val="24"/>
          <w:szCs w:val="24"/>
          <w:u w:color="0000FF"/>
          <w:lang w:val="zh-TW"/>
        </w:rPr>
        <w:t>（一）预研阶段（</w:t>
      </w:r>
      <w:r>
        <w:rPr>
          <w:rFonts w:ascii="宋体" w:hAnsi="宋体" w:eastAsia="宋体" w:cs="宋体"/>
          <w:b/>
          <w:bCs/>
          <w:color w:val="auto"/>
          <w:kern w:val="0"/>
          <w:sz w:val="24"/>
          <w:szCs w:val="24"/>
          <w:u w:color="0000FF"/>
        </w:rPr>
        <w:t>2023年02月-2023年0</w:t>
      </w:r>
      <w:r>
        <w:rPr>
          <w:rFonts w:hint="eastAsia" w:ascii="宋体" w:hAnsi="宋体" w:eastAsia="宋体" w:cs="宋体"/>
          <w:b/>
          <w:bCs/>
          <w:color w:val="auto"/>
          <w:kern w:val="0"/>
          <w:sz w:val="24"/>
          <w:szCs w:val="24"/>
          <w:u w:color="0000FF"/>
          <w:lang w:val="en-US" w:eastAsia="zh-CN"/>
        </w:rPr>
        <w:t>4</w:t>
      </w:r>
      <w:r>
        <w:rPr>
          <w:rFonts w:ascii="宋体" w:hAnsi="宋体" w:eastAsia="宋体" w:cs="宋体"/>
          <w:b/>
          <w:bCs/>
          <w:color w:val="auto"/>
          <w:kern w:val="0"/>
          <w:sz w:val="24"/>
          <w:szCs w:val="24"/>
          <w:u w:color="0000FF"/>
        </w:rPr>
        <w:t>月）</w:t>
      </w:r>
    </w:p>
    <w:p w14:paraId="32A32A94">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1.</w:t>
      </w:r>
      <w:r>
        <w:rPr>
          <w:rFonts w:hint="default" w:ascii="宋体" w:hAnsi="宋体" w:eastAsia="宋体" w:cs="宋体"/>
          <w:b/>
          <w:bCs/>
          <w:color w:val="auto"/>
          <w:sz w:val="24"/>
          <w:szCs w:val="24"/>
        </w:rPr>
        <w:t>市场与需求分析</w:t>
      </w:r>
      <w:r>
        <w:rPr>
          <w:rFonts w:ascii="宋体" w:hAnsi="宋体" w:eastAsia="宋体" w:cs="宋体"/>
          <w:b/>
          <w:bCs/>
          <w:color w:val="auto"/>
          <w:sz w:val="24"/>
          <w:szCs w:val="24"/>
        </w:rPr>
        <w:t>。</w:t>
      </w:r>
      <w:r>
        <w:rPr>
          <w:rFonts w:hint="default" w:ascii="宋体" w:hAnsi="宋体" w:eastAsia="宋体" w:cs="宋体"/>
          <w:color w:val="auto"/>
          <w:sz w:val="24"/>
          <w:szCs w:val="24"/>
        </w:rPr>
        <w:t>通过数据收集、问卷调查和访谈等方式，深入了解</w:t>
      </w:r>
      <w:r>
        <w:rPr>
          <w:rFonts w:hint="eastAsia" w:ascii="宋体" w:hAnsi="宋体" w:eastAsia="宋体" w:cs="宋体"/>
          <w:color w:val="auto"/>
          <w:sz w:val="24"/>
          <w:szCs w:val="24"/>
          <w:lang w:eastAsia="zh-CN"/>
        </w:rPr>
        <w:t>数字贸易产教融合共同体运作模式与管理规范</w:t>
      </w:r>
      <w:r>
        <w:rPr>
          <w:rFonts w:hint="default" w:ascii="宋体" w:hAnsi="宋体" w:eastAsia="宋体" w:cs="宋体"/>
          <w:color w:val="auto"/>
          <w:sz w:val="24"/>
          <w:szCs w:val="24"/>
        </w:rPr>
        <w:t>的市场需求、现存问题及发展趋势。</w:t>
      </w:r>
    </w:p>
    <w:p w14:paraId="38A54EB3">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2.</w:t>
      </w:r>
      <w:r>
        <w:rPr>
          <w:rFonts w:hint="default" w:ascii="宋体" w:hAnsi="宋体" w:eastAsia="宋体" w:cs="宋体"/>
          <w:b/>
          <w:bCs/>
          <w:color w:val="auto"/>
          <w:sz w:val="24"/>
          <w:szCs w:val="24"/>
        </w:rPr>
        <w:t>政策与法规研究</w:t>
      </w:r>
      <w:r>
        <w:rPr>
          <w:rFonts w:ascii="宋体" w:hAnsi="宋体" w:eastAsia="宋体" w:cs="宋体"/>
          <w:b/>
          <w:bCs/>
          <w:color w:val="auto"/>
          <w:sz w:val="24"/>
          <w:szCs w:val="24"/>
        </w:rPr>
        <w:t>。</w:t>
      </w:r>
      <w:r>
        <w:rPr>
          <w:rFonts w:hint="default" w:ascii="宋体" w:hAnsi="宋体" w:eastAsia="宋体" w:cs="宋体"/>
          <w:color w:val="auto"/>
          <w:sz w:val="24"/>
          <w:szCs w:val="24"/>
        </w:rPr>
        <w:t>梳理与外贸独立站相关的国内外法律法规、政策导向，确保标准草案的合法性和适应性。</w:t>
      </w:r>
    </w:p>
    <w:p w14:paraId="38C90830">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3.</w:t>
      </w:r>
      <w:r>
        <w:rPr>
          <w:rFonts w:hint="default" w:ascii="宋体" w:hAnsi="宋体" w:eastAsia="宋体" w:cs="宋体"/>
          <w:b/>
          <w:bCs/>
          <w:color w:val="auto"/>
          <w:sz w:val="24"/>
          <w:szCs w:val="24"/>
        </w:rPr>
        <w:t>技术调研</w:t>
      </w:r>
      <w:r>
        <w:rPr>
          <w:rFonts w:ascii="宋体" w:hAnsi="宋体" w:eastAsia="宋体" w:cs="宋体"/>
          <w:b/>
          <w:bCs/>
          <w:color w:val="auto"/>
          <w:sz w:val="24"/>
          <w:szCs w:val="24"/>
        </w:rPr>
        <w:t>。</w:t>
      </w:r>
      <w:r>
        <w:rPr>
          <w:rFonts w:hint="default" w:ascii="宋体" w:hAnsi="宋体" w:eastAsia="宋体" w:cs="宋体"/>
          <w:color w:val="auto"/>
          <w:sz w:val="24"/>
          <w:szCs w:val="24"/>
        </w:rPr>
        <w:t>评估当前</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rPr>
        <w:t>的</w:t>
      </w:r>
      <w:r>
        <w:rPr>
          <w:rFonts w:hint="default" w:ascii="宋体" w:hAnsi="宋体" w:eastAsia="宋体" w:cs="宋体"/>
          <w:color w:val="auto"/>
          <w:sz w:val="24"/>
          <w:szCs w:val="24"/>
        </w:rPr>
        <w:t>安全措施、数据保护等方面的最新发展，为标准草案提供技术支撑。</w:t>
      </w:r>
    </w:p>
    <w:p w14:paraId="134BE724">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4.</w:t>
      </w:r>
      <w:r>
        <w:rPr>
          <w:rFonts w:hint="default" w:ascii="宋体" w:hAnsi="宋体" w:eastAsia="宋体" w:cs="宋体"/>
          <w:b/>
          <w:bCs/>
          <w:color w:val="auto"/>
          <w:sz w:val="24"/>
          <w:szCs w:val="24"/>
        </w:rPr>
        <w:t>行业最佳实践</w:t>
      </w:r>
      <w:r>
        <w:rPr>
          <w:rFonts w:ascii="宋体" w:hAnsi="宋体" w:eastAsia="宋体" w:cs="宋体"/>
          <w:b/>
          <w:bCs/>
          <w:color w:val="auto"/>
          <w:sz w:val="24"/>
          <w:szCs w:val="24"/>
        </w:rPr>
        <w:t>。</w:t>
      </w:r>
      <w:r>
        <w:rPr>
          <w:rFonts w:hint="default" w:ascii="宋体" w:hAnsi="宋体" w:eastAsia="宋体" w:cs="宋体"/>
          <w:color w:val="auto"/>
          <w:sz w:val="24"/>
          <w:szCs w:val="24"/>
        </w:rPr>
        <w:t>研究行业内的成功案例，包括国内外优秀的</w:t>
      </w:r>
      <w:r>
        <w:rPr>
          <w:rFonts w:hint="eastAsia" w:ascii="宋体" w:hAnsi="宋体" w:eastAsia="宋体" w:cs="宋体"/>
          <w:color w:val="auto"/>
          <w:sz w:val="24"/>
          <w:szCs w:val="24"/>
          <w:lang w:eastAsia="zh-CN"/>
        </w:rPr>
        <w:t>数字贸易产教融合共同体运作模式与管理规范</w:t>
      </w:r>
      <w:r>
        <w:rPr>
          <w:rFonts w:hint="default" w:ascii="宋体" w:hAnsi="宋体" w:eastAsia="宋体" w:cs="宋体"/>
          <w:color w:val="auto"/>
          <w:sz w:val="24"/>
          <w:szCs w:val="24"/>
        </w:rPr>
        <w:t>模式，汲取其成功经验。</w:t>
      </w:r>
    </w:p>
    <w:p w14:paraId="61EF116A">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5.组建项目团队。</w:t>
      </w:r>
      <w:r>
        <w:rPr>
          <w:rFonts w:hint="default" w:ascii="宋体" w:hAnsi="宋体" w:eastAsia="宋体" w:cs="宋体"/>
          <w:color w:val="auto"/>
          <w:sz w:val="24"/>
          <w:szCs w:val="24"/>
        </w:rPr>
        <w:t>确立</w:t>
      </w:r>
      <w:r>
        <w:rPr>
          <w:rFonts w:ascii="宋体" w:hAnsi="宋体" w:eastAsia="宋体" w:cs="宋体"/>
          <w:color w:val="auto"/>
          <w:sz w:val="24"/>
          <w:szCs w:val="24"/>
        </w:rPr>
        <w:t>团体标准研制</w:t>
      </w:r>
      <w:r>
        <w:rPr>
          <w:rFonts w:hint="default" w:ascii="宋体" w:hAnsi="宋体" w:eastAsia="宋体" w:cs="宋体"/>
          <w:color w:val="auto"/>
          <w:sz w:val="24"/>
          <w:szCs w:val="24"/>
        </w:rPr>
        <w:t>项目团队，</w:t>
      </w:r>
      <w:r>
        <w:rPr>
          <w:rFonts w:ascii="宋体" w:hAnsi="宋体" w:eastAsia="宋体" w:cs="宋体"/>
          <w:color w:val="auto"/>
          <w:sz w:val="24"/>
          <w:szCs w:val="24"/>
        </w:rPr>
        <w:t>根据标准研制的需要</w:t>
      </w:r>
      <w:r>
        <w:rPr>
          <w:rFonts w:hint="default" w:ascii="宋体" w:hAnsi="宋体" w:eastAsia="宋体" w:cs="宋体"/>
          <w:color w:val="auto"/>
          <w:sz w:val="24"/>
          <w:szCs w:val="24"/>
        </w:rPr>
        <w:t>分配角色和任务。</w:t>
      </w:r>
    </w:p>
    <w:p w14:paraId="2B7BF856">
      <w:pPr>
        <w:framePr w:wrap="auto" w:vAnchor="margin" w:hAnchor="text" w:yAlign="inline"/>
        <w:spacing w:line="360" w:lineRule="auto"/>
        <w:ind w:firstLine="482" w:firstLineChars="200"/>
        <w:rPr>
          <w:rFonts w:ascii="宋体" w:hAnsi="宋体" w:eastAsia="宋体" w:cs="宋体"/>
          <w:b/>
          <w:bCs/>
          <w:sz w:val="24"/>
          <w:szCs w:val="24"/>
          <w:lang w:val="zh-TW"/>
        </w:rPr>
      </w:pPr>
      <w:r>
        <w:rPr>
          <w:rFonts w:hint="default" w:ascii="宋体" w:hAnsi="宋体" w:eastAsia="宋体" w:cs="宋体"/>
          <w:b/>
          <w:bCs/>
          <w:sz w:val="24"/>
          <w:szCs w:val="24"/>
          <w:lang w:val="zh-TW"/>
        </w:rPr>
        <w:t>（二）立项阶段</w:t>
      </w:r>
      <w:r>
        <w:rPr>
          <w:rFonts w:ascii="宋体" w:hAnsi="宋体" w:eastAsia="宋体" w:cs="宋体"/>
          <w:b/>
          <w:bCs/>
          <w:sz w:val="24"/>
          <w:szCs w:val="24"/>
          <w:lang w:val="zh-TW"/>
        </w:rPr>
        <w:t>（</w:t>
      </w:r>
      <w:r>
        <w:rPr>
          <w:rFonts w:ascii="宋体" w:hAnsi="宋体" w:eastAsia="宋体" w:cs="宋体"/>
          <w:b/>
          <w:bCs/>
          <w:sz w:val="24"/>
          <w:szCs w:val="24"/>
        </w:rPr>
        <w:t>2023年02月28日</w:t>
      </w:r>
      <w:r>
        <w:rPr>
          <w:rFonts w:ascii="宋体" w:hAnsi="宋体" w:eastAsia="宋体" w:cs="宋体"/>
          <w:b/>
          <w:bCs/>
          <w:sz w:val="24"/>
          <w:szCs w:val="24"/>
          <w:lang w:val="zh-TW"/>
        </w:rPr>
        <w:t>）</w:t>
      </w:r>
    </w:p>
    <w:p w14:paraId="4DF2B323">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1.</w:t>
      </w:r>
      <w:r>
        <w:rPr>
          <w:rFonts w:hint="default" w:ascii="宋体" w:hAnsi="宋体" w:eastAsia="宋体" w:cs="宋体"/>
          <w:b/>
          <w:bCs/>
          <w:color w:val="auto"/>
          <w:sz w:val="24"/>
          <w:szCs w:val="24"/>
        </w:rPr>
        <w:t>立项准备</w:t>
      </w:r>
      <w:r>
        <w:rPr>
          <w:rFonts w:ascii="宋体" w:hAnsi="宋体" w:eastAsia="宋体" w:cs="宋体"/>
          <w:b/>
          <w:bCs/>
          <w:color w:val="auto"/>
          <w:sz w:val="24"/>
          <w:szCs w:val="24"/>
        </w:rPr>
        <w:t>。</w:t>
      </w:r>
      <w:r>
        <w:rPr>
          <w:rFonts w:hint="default" w:ascii="宋体" w:hAnsi="宋体" w:eastAsia="宋体" w:cs="宋体"/>
          <w:color w:val="auto"/>
          <w:sz w:val="24"/>
          <w:szCs w:val="24"/>
        </w:rPr>
        <w:t>整合预研阶段的成果，制定标准</w:t>
      </w:r>
      <w:r>
        <w:rPr>
          <w:rFonts w:ascii="宋体" w:hAnsi="宋体" w:eastAsia="宋体" w:cs="宋体"/>
          <w:color w:val="auto"/>
          <w:sz w:val="24"/>
          <w:szCs w:val="24"/>
        </w:rPr>
        <w:t>研发</w:t>
      </w:r>
      <w:r>
        <w:rPr>
          <w:rFonts w:hint="default" w:ascii="宋体" w:hAnsi="宋体" w:eastAsia="宋体" w:cs="宋体"/>
          <w:color w:val="auto"/>
          <w:sz w:val="24"/>
          <w:szCs w:val="24"/>
        </w:rPr>
        <w:t>的初步方案和目标。</w:t>
      </w:r>
    </w:p>
    <w:p w14:paraId="72CF32E2">
      <w:pPr>
        <w:framePr w:wrap="auto" w:vAnchor="margin" w:hAnchor="text" w:yAlign="inline"/>
        <w:spacing w:line="360" w:lineRule="auto"/>
        <w:ind w:firstLine="482" w:firstLineChars="200"/>
        <w:rPr>
          <w:rFonts w:ascii="宋体" w:hAnsi="宋体" w:eastAsia="宋体" w:cs="宋体"/>
          <w:b/>
          <w:bCs/>
          <w:sz w:val="24"/>
          <w:szCs w:val="24"/>
        </w:rPr>
      </w:pPr>
      <w:r>
        <w:rPr>
          <w:rFonts w:ascii="宋体" w:hAnsi="宋体" w:eastAsia="宋体" w:cs="宋体"/>
          <w:b/>
          <w:bCs/>
          <w:color w:val="auto"/>
          <w:sz w:val="24"/>
          <w:szCs w:val="24"/>
        </w:rPr>
        <w:t>2.</w:t>
      </w:r>
      <w:r>
        <w:rPr>
          <w:rFonts w:hint="default" w:ascii="宋体" w:hAnsi="宋体" w:eastAsia="宋体" w:cs="宋体"/>
          <w:b/>
          <w:bCs/>
          <w:color w:val="auto"/>
          <w:sz w:val="24"/>
          <w:szCs w:val="24"/>
        </w:rPr>
        <w:t>正式立项</w:t>
      </w:r>
      <w:r>
        <w:rPr>
          <w:rFonts w:ascii="宋体" w:hAnsi="宋体" w:eastAsia="宋体" w:cs="宋体"/>
          <w:b/>
          <w:bCs/>
          <w:color w:val="auto"/>
          <w:sz w:val="24"/>
          <w:szCs w:val="24"/>
        </w:rPr>
        <w:t>。</w:t>
      </w:r>
      <w:r>
        <w:rPr>
          <w:rFonts w:ascii="宋体" w:hAnsi="宋体" w:eastAsia="宋体" w:cs="宋体"/>
          <w:color w:val="auto"/>
          <w:sz w:val="24"/>
          <w:szCs w:val="24"/>
        </w:rPr>
        <w:t>2023年2月28日，</w:t>
      </w:r>
      <w:r>
        <w:rPr>
          <w:rFonts w:ascii="宋体" w:hAnsi="宋体" w:eastAsia="宋体" w:cs="宋体"/>
          <w:color w:val="auto"/>
          <w:sz w:val="24"/>
          <w:szCs w:val="24"/>
          <w:lang w:val="zh-TW"/>
        </w:rPr>
        <w:t>商业行业委员会</w:t>
      </w:r>
      <w:r>
        <w:rPr>
          <w:rFonts w:ascii="宋体" w:hAnsi="宋体" w:eastAsia="宋体" w:cs="宋体"/>
          <w:color w:val="auto"/>
          <w:sz w:val="24"/>
          <w:szCs w:val="24"/>
        </w:rPr>
        <w:t>在全国团体标准信息平台发布</w:t>
      </w:r>
      <w:r>
        <w:rPr>
          <w:rFonts w:hint="cs" w:ascii="宋体" w:hAnsi="宋体" w:eastAsia="宋体" w:cs="宋体"/>
          <w:color w:val="auto"/>
          <w:sz w:val="24"/>
          <w:szCs w:val="24"/>
        </w:rPr>
        <w:t>《</w:t>
      </w:r>
      <w:r>
        <w:rPr>
          <w:rFonts w:hint="default" w:ascii="宋体" w:hAnsi="宋体" w:eastAsia="宋体" w:cs="宋体"/>
          <w:color w:val="auto"/>
          <w:sz w:val="24"/>
          <w:szCs w:val="24"/>
        </w:rPr>
        <w:t>2023年第二批中国贸促会商业行业委员会团体标准项目计划》</w:t>
      </w:r>
      <w:r>
        <w:rPr>
          <w:rFonts w:ascii="宋体" w:hAnsi="宋体" w:eastAsia="宋体" w:cs="宋体"/>
          <w:color w:val="auto"/>
          <w:sz w:val="24"/>
          <w:szCs w:val="24"/>
        </w:rPr>
        <w:t>及立项文件</w:t>
      </w:r>
      <w:r>
        <w:rPr>
          <w:rFonts w:ascii="宋体" w:hAnsi="宋体" w:eastAsia="宋体" w:cs="宋体"/>
          <w:color w:val="auto"/>
          <w:sz w:val="24"/>
          <w:szCs w:val="24"/>
          <w:lang w:val="zh-TW"/>
        </w:rPr>
        <w:t>《2023年第二批中国国贸促会商业行业委员会团体标准项目计划》，</w:t>
      </w:r>
      <w:r>
        <w:rPr>
          <w:rFonts w:ascii="宋体" w:hAnsi="宋体" w:eastAsia="宋体" w:cs="宋体"/>
          <w:color w:val="auto"/>
          <w:sz w:val="24"/>
          <w:szCs w:val="24"/>
        </w:rPr>
        <w:t>团体标准</w:t>
      </w:r>
      <w:r>
        <w:rPr>
          <w:rFonts w:ascii="宋体" w:hAnsi="宋体" w:eastAsia="宋体" w:cs="宋体"/>
          <w:color w:val="auto"/>
          <w:sz w:val="24"/>
          <w:szCs w:val="24"/>
          <w:lang w:val="zh-TW"/>
        </w:rPr>
        <w:t>CCPIT-CSC-JH2023</w:t>
      </w:r>
      <w:r>
        <w:rPr>
          <w:rFonts w:ascii="宋体" w:hAnsi="宋体" w:cs="宋体" w:eastAsiaTheme="minorEastAsia"/>
          <w:color w:val="auto"/>
          <w:sz w:val="24"/>
          <w:szCs w:val="24"/>
          <w:lang w:val="zh-TW"/>
        </w:rPr>
        <w:t>2</w:t>
      </w:r>
      <w:r>
        <w:rPr>
          <w:rFonts w:hint="default" w:ascii="宋体" w:hAnsi="宋体" w:eastAsia="PMingLiU" w:cs="宋体"/>
          <w:color w:val="auto"/>
          <w:sz w:val="24"/>
          <w:szCs w:val="24"/>
          <w:lang w:val="zh-TW"/>
        </w:rPr>
        <w:t>39</w:t>
      </w:r>
      <w:r>
        <w:rPr>
          <w:rFonts w:hint="cs" w:ascii="宋体" w:hAnsi="宋体" w:eastAsia="宋体" w:cs="宋体"/>
          <w:color w:val="auto"/>
          <w:sz w:val="24"/>
          <w:szCs w:val="24"/>
          <w:lang w:val="zh-TW"/>
        </w:rPr>
        <w:t>《</w:t>
      </w:r>
      <w:r>
        <w:rPr>
          <w:rFonts w:hint="eastAsia" w:ascii="宋体" w:hAnsi="宋体" w:eastAsia="宋体" w:cs="宋体"/>
          <w:color w:val="auto"/>
          <w:sz w:val="24"/>
          <w:szCs w:val="24"/>
          <w:lang w:eastAsia="zh-CN"/>
        </w:rPr>
        <w:t>数字贸易产教融合共同体运作模式与管理规范</w:t>
      </w:r>
      <w:r>
        <w:rPr>
          <w:rFonts w:hint="cs" w:ascii="宋体" w:hAnsi="宋体" w:eastAsia="宋体" w:cs="宋体"/>
          <w:color w:val="auto"/>
          <w:sz w:val="24"/>
          <w:szCs w:val="24"/>
          <w:lang w:val="zh-TW"/>
        </w:rPr>
        <w:t>》</w:t>
      </w:r>
      <w:r>
        <w:rPr>
          <w:rFonts w:ascii="宋体" w:hAnsi="宋体" w:eastAsia="宋体" w:cs="宋体"/>
          <w:color w:val="auto"/>
          <w:sz w:val="24"/>
          <w:szCs w:val="24"/>
        </w:rPr>
        <w:t>正式立项。</w:t>
      </w:r>
    </w:p>
    <w:p w14:paraId="11DFFAE5">
      <w:pPr>
        <w:framePr w:wrap="auto" w:vAnchor="margin" w:hAnchor="text" w:yAlign="inline"/>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（三）起草阶段（</w:t>
      </w:r>
      <w:r>
        <w:rPr>
          <w:rFonts w:ascii="宋体" w:hAnsi="宋体" w:eastAsia="宋体" w:cs="宋体"/>
          <w:b/>
          <w:bCs/>
          <w:sz w:val="24"/>
          <w:szCs w:val="24"/>
        </w:rPr>
        <w:t>2023年05月01日-2024年12月31日</w:t>
      </w:r>
      <w:r>
        <w:rPr>
          <w:rFonts w:ascii="宋体" w:hAnsi="宋体" w:eastAsia="宋体" w:cs="宋体"/>
          <w:b/>
          <w:bCs/>
          <w:sz w:val="24"/>
          <w:szCs w:val="24"/>
          <w:lang w:val="zh-TW"/>
        </w:rPr>
        <w:t>）</w:t>
      </w:r>
    </w:p>
    <w:p w14:paraId="58A8E128">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lang w:val="zh-TW"/>
        </w:rPr>
        <w:t>报商业行业委员会审阅，在行业内广泛征求意见，召开专家研讨会，并按照行业专家意见进一步修改、完善。</w:t>
      </w:r>
    </w:p>
    <w:p w14:paraId="61D29DB0">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1.草案编写</w:t>
      </w:r>
      <w:r>
        <w:rPr>
          <w:rFonts w:ascii="宋体" w:hAnsi="宋体" w:eastAsia="宋体" w:cs="宋体"/>
          <w:color w:val="auto"/>
          <w:sz w:val="24"/>
          <w:szCs w:val="24"/>
        </w:rPr>
        <w:t>。根据预研阶段收集的信息，以及行业标准和法律法规，形成标准草案。</w:t>
      </w:r>
    </w:p>
    <w:p w14:paraId="67F840D4">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2.内部审议与修改</w:t>
      </w:r>
      <w:r>
        <w:rPr>
          <w:rFonts w:ascii="宋体" w:hAnsi="宋体" w:eastAsia="宋体" w:cs="宋体"/>
          <w:color w:val="auto"/>
          <w:sz w:val="24"/>
          <w:szCs w:val="24"/>
        </w:rPr>
        <w:t>。项目团队对草案进行初步审查，根据团队反馈进行修改。</w:t>
      </w:r>
    </w:p>
    <w:p w14:paraId="39DBE154">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3.专家咨询</w:t>
      </w:r>
      <w:r>
        <w:rPr>
          <w:rFonts w:ascii="宋体" w:hAnsi="宋体" w:eastAsia="宋体" w:cs="宋体"/>
          <w:color w:val="auto"/>
          <w:sz w:val="24"/>
          <w:szCs w:val="24"/>
        </w:rPr>
        <w:t>。邀请行业内的技术专家、法律专家等，对草案进行专业评审，并根据评审意见进行进一步修改。</w:t>
      </w:r>
    </w:p>
    <w:p w14:paraId="436024F6">
      <w:pPr>
        <w:framePr w:wrap="auto" w:vAnchor="margin" w:hAnchor="text" w:yAlign="inline"/>
        <w:spacing w:line="360" w:lineRule="auto"/>
        <w:ind w:firstLine="482" w:firstLineChars="200"/>
        <w:rPr>
          <w:rFonts w:ascii="宋体" w:hAnsi="宋体" w:eastAsia="宋体" w:cs="宋体"/>
          <w:color w:val="auto"/>
          <w:sz w:val="24"/>
          <w:szCs w:val="24"/>
        </w:rPr>
      </w:pPr>
      <w:r>
        <w:rPr>
          <w:rFonts w:ascii="宋体" w:hAnsi="宋体" w:eastAsia="宋体" w:cs="宋体"/>
          <w:b/>
          <w:bCs/>
          <w:color w:val="auto"/>
          <w:sz w:val="24"/>
          <w:szCs w:val="24"/>
        </w:rPr>
        <w:t>4.团标线上研讨会</w:t>
      </w:r>
      <w:r>
        <w:rPr>
          <w:rFonts w:ascii="宋体" w:hAnsi="宋体" w:eastAsia="宋体" w:cs="宋体"/>
          <w:color w:val="auto"/>
          <w:sz w:val="24"/>
          <w:szCs w:val="24"/>
        </w:rPr>
        <w:t>。2023年09月19日，召开团标线上研讨会。通过线上形式，广泛征求行业内部的意见和建议，进一步完善草案。</w:t>
      </w:r>
    </w:p>
    <w:p w14:paraId="5A76DC37">
      <w:pPr>
        <w:framePr w:wrap="auto" w:vAnchor="margin" w:hAnchor="text" w:yAlign="inline"/>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（四）征求意见阶段（2025年01月—2025年</w:t>
      </w:r>
      <w:r>
        <w:rPr>
          <w:rFonts w:ascii="宋体" w:hAnsi="宋体" w:eastAsia="宋体" w:cs="宋体"/>
          <w:b/>
          <w:bCs/>
          <w:sz w:val="24"/>
          <w:szCs w:val="24"/>
        </w:rPr>
        <w:t>02</w:t>
      </w:r>
      <w:r>
        <w:rPr>
          <w:rFonts w:ascii="宋体" w:hAnsi="宋体" w:eastAsia="宋体" w:cs="宋体"/>
          <w:b/>
          <w:bCs/>
          <w:sz w:val="24"/>
          <w:szCs w:val="24"/>
          <w:lang w:val="zh-TW"/>
        </w:rPr>
        <w:t>月）</w:t>
      </w:r>
    </w:p>
    <w:p w14:paraId="1CEB0492">
      <w:pPr>
        <w:framePr w:wrap="auto" w:vAnchor="margin" w:hAnchor="text" w:yAlign="inline"/>
        <w:spacing w:line="360" w:lineRule="auto"/>
        <w:ind w:firstLine="482" w:firstLineChars="200"/>
        <w:rPr>
          <w:rFonts w:ascii="宋体" w:hAnsi="宋体" w:eastAsia="宋体" w:cs="宋体"/>
          <w:sz w:val="24"/>
          <w:szCs w:val="24"/>
          <w:lang w:val="zh-TW"/>
        </w:rPr>
      </w:pPr>
      <w:r>
        <w:rPr>
          <w:rFonts w:ascii="宋体" w:hAnsi="宋体" w:eastAsia="宋体" w:cs="宋体"/>
          <w:b/>
          <w:bCs/>
          <w:sz w:val="24"/>
          <w:szCs w:val="24"/>
        </w:rPr>
        <w:t>1.</w:t>
      </w:r>
      <w:r>
        <w:rPr>
          <w:rFonts w:ascii="宋体" w:hAnsi="宋体" w:eastAsia="宋体" w:cs="宋体"/>
          <w:b/>
          <w:bCs/>
          <w:sz w:val="24"/>
          <w:szCs w:val="24"/>
          <w:lang w:val="zh-TW"/>
        </w:rPr>
        <w:t>公开征求意见。</w:t>
      </w:r>
      <w:r>
        <w:rPr>
          <w:rFonts w:ascii="宋体" w:hAnsi="宋体" w:eastAsia="宋体" w:cs="宋体"/>
          <w:sz w:val="24"/>
          <w:szCs w:val="24"/>
          <w:lang w:val="zh-TW"/>
        </w:rPr>
        <w:t>2025年1月17日—2025年2月17日，通过</w:t>
      </w:r>
      <w:r>
        <w:rPr>
          <w:rFonts w:ascii="宋体" w:hAnsi="宋体" w:eastAsia="宋体" w:cs="宋体"/>
          <w:sz w:val="24"/>
          <w:szCs w:val="24"/>
        </w:rPr>
        <w:t>微信公众号</w:t>
      </w:r>
      <w:r>
        <w:rPr>
          <w:rFonts w:ascii="宋体" w:hAnsi="宋体" w:eastAsia="宋体" w:cs="宋体"/>
          <w:sz w:val="24"/>
          <w:szCs w:val="24"/>
          <w:lang w:val="zh-TW"/>
        </w:rPr>
        <w:t>“贸促标准化平台”</w:t>
      </w:r>
      <w:r>
        <w:rPr>
          <w:rFonts w:ascii="宋体" w:hAnsi="宋体" w:eastAsia="宋体" w:cs="宋体"/>
          <w:sz w:val="24"/>
          <w:szCs w:val="24"/>
        </w:rPr>
        <w:t>等</w:t>
      </w:r>
      <w:r>
        <w:rPr>
          <w:rFonts w:ascii="宋体" w:hAnsi="宋体" w:eastAsia="宋体" w:cs="宋体"/>
          <w:sz w:val="24"/>
          <w:szCs w:val="24"/>
          <w:lang w:val="zh-TW"/>
        </w:rPr>
        <w:t>官方网站、行业会议、邮件列表等多种渠道，向社会公众、行业企业、相关机构公开征求对标准草案的意见。</w:t>
      </w:r>
    </w:p>
    <w:p w14:paraId="7F1B1FAA">
      <w:pPr>
        <w:framePr w:wrap="auto" w:vAnchor="margin" w:hAnchor="text" w:yAlign="inline"/>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rPr>
        <w:t>2.</w:t>
      </w:r>
      <w:r>
        <w:rPr>
          <w:rFonts w:ascii="宋体" w:hAnsi="宋体" w:eastAsia="宋体" w:cs="宋体"/>
          <w:b/>
          <w:bCs/>
          <w:sz w:val="24"/>
          <w:szCs w:val="24"/>
          <w:lang w:val="zh-TW"/>
        </w:rPr>
        <w:t>意见整理与分析。</w:t>
      </w:r>
      <w:r>
        <w:rPr>
          <w:rFonts w:ascii="宋体" w:hAnsi="宋体" w:eastAsia="宋体" w:cs="宋体"/>
          <w:sz w:val="24"/>
          <w:szCs w:val="24"/>
          <w:lang w:val="zh-TW"/>
        </w:rPr>
        <w:t>对收到的反馈进行归纳整理，分析意见的合理性和可行性，为下一步修订提供依据。</w:t>
      </w:r>
    </w:p>
    <w:p w14:paraId="1816D981">
      <w:pPr>
        <w:framePr w:wrap="auto" w:vAnchor="margin" w:hAnchor="text" w:yAlign="inline"/>
        <w:spacing w:line="360" w:lineRule="auto"/>
        <w:ind w:firstLine="482"/>
        <w:rPr>
          <w:rFonts w:ascii="宋体" w:hAnsi="宋体" w:eastAsia="宋体" w:cs="宋体"/>
          <w:b/>
          <w:bCs/>
          <w:kern w:val="0"/>
          <w:sz w:val="24"/>
          <w:szCs w:val="24"/>
          <w:lang w:val="zh-TW"/>
        </w:rPr>
      </w:pPr>
      <w:r>
        <w:rPr>
          <w:rFonts w:ascii="宋体" w:hAnsi="宋体" w:eastAsia="宋体" w:cs="宋体"/>
          <w:b/>
          <w:bCs/>
          <w:kern w:val="0"/>
          <w:sz w:val="24"/>
          <w:szCs w:val="24"/>
          <w:lang w:val="zh-TW"/>
        </w:rPr>
        <w:t>四、标准的主要内容和依据</w:t>
      </w:r>
    </w:p>
    <w:p w14:paraId="3FA2E43C">
      <w:pPr>
        <w:framePr w:wrap="auto" w:vAnchor="margin" w:hAnchor="text" w:yAlign="inline"/>
        <w:spacing w:line="360" w:lineRule="auto"/>
        <w:ind w:firstLine="480"/>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ascii="宋体" w:hAnsi="宋体" w:eastAsia="宋体" w:cs="宋体"/>
          <w:b/>
          <w:bCs/>
          <w:color w:val="auto"/>
          <w:sz w:val="24"/>
          <w:szCs w:val="24"/>
          <w:lang w:val="zh-TW"/>
        </w:rPr>
        <w:t>制定原则</w:t>
      </w:r>
    </w:p>
    <w:p w14:paraId="671A9861">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color w:val="auto"/>
          <w:sz w:val="24"/>
          <w:szCs w:val="24"/>
          <w:lang w:val="zh-TW"/>
        </w:rPr>
        <w:t>在编制《</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lang w:val="zh-TW"/>
        </w:rPr>
        <w:t>》的团体标准时，我们遵循以下原则：</w:t>
      </w:r>
    </w:p>
    <w:p w14:paraId="02549F21">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rPr>
        <w:t>1</w:t>
      </w:r>
      <w:r>
        <w:rPr>
          <w:rFonts w:hAnsi="宋体" w:eastAsia="宋体" w:cs="宋体"/>
          <w:b/>
          <w:bCs/>
          <w:color w:val="auto"/>
          <w:sz w:val="24"/>
          <w:szCs w:val="24"/>
        </w:rPr>
        <w:t xml:space="preserve">. </w:t>
      </w:r>
      <w:r>
        <w:rPr>
          <w:rFonts w:ascii="宋体" w:hAnsi="宋体" w:eastAsia="宋体" w:cs="宋体"/>
          <w:b/>
          <w:bCs/>
          <w:color w:val="auto"/>
          <w:sz w:val="24"/>
          <w:szCs w:val="24"/>
        </w:rPr>
        <w:t>实用性原则。</w:t>
      </w:r>
      <w:r>
        <w:rPr>
          <w:rFonts w:ascii="宋体" w:hAnsi="宋体" w:eastAsia="宋体" w:cs="宋体"/>
          <w:color w:val="auto"/>
          <w:sz w:val="24"/>
          <w:szCs w:val="24"/>
          <w:lang w:val="zh-TW"/>
        </w:rPr>
        <w:t>确保标准具有实用性，能够切实解决</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lang w:val="zh-TW"/>
        </w:rPr>
        <w:t>中遇到的实际问题。</w:t>
      </w:r>
    </w:p>
    <w:p w14:paraId="036958F5">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rPr>
        <w:t>2</w:t>
      </w:r>
      <w:r>
        <w:rPr>
          <w:rFonts w:hAnsi="宋体" w:eastAsia="宋体" w:cs="宋体"/>
          <w:b/>
          <w:bCs/>
          <w:color w:val="auto"/>
          <w:sz w:val="24"/>
          <w:szCs w:val="24"/>
        </w:rPr>
        <w:t xml:space="preserve">. </w:t>
      </w:r>
      <w:r>
        <w:rPr>
          <w:rFonts w:ascii="宋体" w:hAnsi="宋体" w:eastAsia="宋体" w:cs="宋体"/>
          <w:b/>
          <w:bCs/>
          <w:color w:val="auto"/>
          <w:sz w:val="24"/>
          <w:szCs w:val="24"/>
        </w:rPr>
        <w:t>先进性原则。</w:t>
      </w:r>
      <w:r>
        <w:rPr>
          <w:rFonts w:ascii="宋体" w:hAnsi="宋体" w:eastAsia="宋体" w:cs="宋体"/>
          <w:color w:val="auto"/>
          <w:sz w:val="24"/>
          <w:szCs w:val="24"/>
          <w:lang w:val="zh-TW"/>
        </w:rPr>
        <w:t>标准具有前瞻性，充分考虑</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lang w:val="zh-TW"/>
        </w:rPr>
        <w:t>的发展趋势，适应行业未来的发展和变化。</w:t>
      </w:r>
    </w:p>
    <w:p w14:paraId="7B8669AC">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rPr>
        <w:t>3</w:t>
      </w:r>
      <w:r>
        <w:rPr>
          <w:rFonts w:hAnsi="宋体" w:eastAsia="宋体" w:cs="宋体"/>
          <w:b/>
          <w:bCs/>
          <w:color w:val="auto"/>
          <w:sz w:val="24"/>
          <w:szCs w:val="24"/>
        </w:rPr>
        <w:t xml:space="preserve">. </w:t>
      </w:r>
      <w:r>
        <w:rPr>
          <w:rFonts w:ascii="宋体" w:hAnsi="宋体" w:eastAsia="宋体" w:cs="宋体"/>
          <w:b/>
          <w:bCs/>
          <w:color w:val="auto"/>
          <w:sz w:val="24"/>
          <w:szCs w:val="24"/>
        </w:rPr>
        <w:t>开放性原则。</w:t>
      </w:r>
      <w:r>
        <w:rPr>
          <w:rFonts w:ascii="宋体" w:hAnsi="宋体" w:eastAsia="宋体" w:cs="宋体"/>
          <w:color w:val="auto"/>
          <w:sz w:val="24"/>
          <w:szCs w:val="24"/>
          <w:lang w:val="zh-TW"/>
        </w:rPr>
        <w:t>强调标准的开放性，以便在不同</w:t>
      </w:r>
      <w:r>
        <w:rPr>
          <w:rFonts w:ascii="宋体" w:hAnsi="宋体" w:eastAsia="宋体" w:cs="宋体"/>
          <w:color w:val="auto"/>
          <w:sz w:val="24"/>
          <w:szCs w:val="24"/>
        </w:rPr>
        <w:t>学校和</w:t>
      </w:r>
      <w:r>
        <w:rPr>
          <w:rFonts w:ascii="宋体" w:hAnsi="宋体" w:eastAsia="宋体" w:cs="宋体"/>
          <w:color w:val="auto"/>
          <w:sz w:val="24"/>
          <w:szCs w:val="24"/>
          <w:lang w:val="zh-TW"/>
        </w:rPr>
        <w:t>企业中得到</w:t>
      </w:r>
      <w:r>
        <w:rPr>
          <w:rFonts w:ascii="宋体" w:hAnsi="宋体" w:eastAsia="宋体" w:cs="宋体"/>
          <w:color w:val="auto"/>
          <w:sz w:val="24"/>
          <w:szCs w:val="24"/>
        </w:rPr>
        <w:t>灵活</w:t>
      </w:r>
      <w:r>
        <w:rPr>
          <w:rFonts w:ascii="宋体" w:hAnsi="宋体" w:eastAsia="宋体" w:cs="宋体"/>
          <w:color w:val="auto"/>
          <w:sz w:val="24"/>
          <w:szCs w:val="24"/>
          <w:lang w:val="zh-TW"/>
        </w:rPr>
        <w:t>有效实施。</w:t>
      </w:r>
    </w:p>
    <w:p w14:paraId="6E90E4EE">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rPr>
        <w:t>4</w:t>
      </w:r>
      <w:r>
        <w:rPr>
          <w:rFonts w:hAnsi="宋体" w:eastAsia="宋体" w:cs="宋体"/>
          <w:b/>
          <w:bCs/>
          <w:color w:val="auto"/>
          <w:sz w:val="24"/>
          <w:szCs w:val="24"/>
        </w:rPr>
        <w:t xml:space="preserve">. </w:t>
      </w:r>
      <w:r>
        <w:rPr>
          <w:rFonts w:ascii="宋体" w:hAnsi="宋体" w:eastAsia="宋体" w:cs="宋体"/>
          <w:b/>
          <w:bCs/>
          <w:color w:val="auto"/>
          <w:sz w:val="24"/>
          <w:szCs w:val="24"/>
        </w:rPr>
        <w:t>国际性原则。</w:t>
      </w:r>
      <w:r>
        <w:rPr>
          <w:rFonts w:ascii="宋体" w:hAnsi="宋体" w:eastAsia="宋体" w:cs="宋体"/>
          <w:color w:val="auto"/>
          <w:sz w:val="24"/>
          <w:szCs w:val="24"/>
          <w:lang w:val="zh-TW"/>
        </w:rPr>
        <w:t>注重标准的国际性，参考国际标准和最佳实践，提升我国</w:t>
      </w:r>
      <w:r>
        <w:rPr>
          <w:rFonts w:hint="cs" w:ascii="宋体" w:hAnsi="宋体" w:eastAsia="宋体" w:cs="宋体"/>
          <w:color w:val="auto"/>
          <w:sz w:val="24"/>
          <w:szCs w:val="24"/>
        </w:rPr>
        <w:t>数字贸易产教融合共同体</w:t>
      </w:r>
      <w:r>
        <w:rPr>
          <w:rFonts w:ascii="宋体" w:hAnsi="宋体" w:eastAsia="宋体" w:cs="宋体"/>
          <w:color w:val="auto"/>
          <w:sz w:val="24"/>
          <w:szCs w:val="24"/>
          <w:lang w:val="zh-TW"/>
        </w:rPr>
        <w:t>的国际竞争力。</w:t>
      </w:r>
    </w:p>
    <w:p w14:paraId="47AB8050">
      <w:pPr>
        <w:framePr w:wrap="auto" w:vAnchor="margin" w:hAnchor="text" w:yAlign="inline"/>
        <w:spacing w:line="360" w:lineRule="auto"/>
        <w:ind w:firstLine="480"/>
        <w:rPr>
          <w:rFonts w:hint="default"/>
        </w:rPr>
      </w:pPr>
      <w:r>
        <w:rPr>
          <w:rFonts w:ascii="宋体" w:hAnsi="宋体" w:eastAsia="宋体" w:cs="宋体"/>
          <w:color w:val="auto"/>
          <w:sz w:val="24"/>
          <w:szCs w:val="24"/>
          <w:lang w:val="zh-TW"/>
        </w:rPr>
        <w:t>通过这些原则，我们期望制定出一套既符合国内实际情况又具有国际视野的团体标准，推动</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lang w:val="zh-TW"/>
        </w:rPr>
        <w:t>的规范化、标准化发展。</w:t>
      </w:r>
    </w:p>
    <w:p w14:paraId="19664EA9">
      <w:pPr>
        <w:pStyle w:val="12"/>
        <w:numPr>
          <w:ilvl w:val="0"/>
          <w:numId w:val="0"/>
        </w:numPr>
        <w:tabs>
          <w:tab w:val="left" w:pos="312"/>
        </w:tabs>
        <w:spacing w:before="240" w:after="240"/>
        <w:ind w:firstLine="482" w:firstLineChars="200"/>
        <w:rPr>
          <w:b/>
          <w:bCs/>
        </w:rPr>
      </w:pPr>
      <w:r>
        <w:rPr>
          <w:rFonts w:hint="eastAsia" w:ascii="宋体" w:hAnsi="宋体" w:eastAsia="宋体" w:cs="宋体"/>
          <w:b/>
          <w:bCs/>
          <w:sz w:val="24"/>
          <w:szCs w:val="24"/>
        </w:rPr>
        <w:t>（二）</w:t>
      </w:r>
      <w:r>
        <w:rPr>
          <w:rFonts w:ascii="宋体" w:hAnsi="宋体" w:eastAsia="宋体" w:cs="宋体"/>
          <w:b/>
          <w:bCs/>
          <w:sz w:val="24"/>
          <w:szCs w:val="24"/>
          <w:lang w:val="zh-TW"/>
        </w:rPr>
        <w:t>主要技术内容的说</w:t>
      </w:r>
      <w:r>
        <w:rPr>
          <w:rFonts w:hint="eastAsia" w:ascii="宋体" w:hAnsi="宋体" w:eastAsia="宋体" w:cs="宋体"/>
          <w:b/>
          <w:bCs/>
          <w:sz w:val="24"/>
          <w:szCs w:val="24"/>
          <w:lang w:val="zh-TW"/>
        </w:rPr>
        <w:t>明</w:t>
      </w:r>
    </w:p>
    <w:p w14:paraId="1A27D9AF">
      <w:pPr>
        <w:framePr w:wrap="auto" w:vAnchor="margin" w:hAnchor="text" w:yAlign="inline"/>
        <w:spacing w:line="360" w:lineRule="auto"/>
        <w:ind w:firstLine="482"/>
        <w:rPr>
          <w:rFonts w:ascii="宋体" w:hAnsi="宋体" w:eastAsia="宋体" w:cs="宋体"/>
          <w:color w:val="auto"/>
          <w:sz w:val="24"/>
          <w:szCs w:val="24"/>
        </w:rPr>
      </w:pPr>
      <w:r>
        <w:rPr>
          <w:rFonts w:ascii="宋体" w:hAnsi="宋体" w:eastAsia="宋体" w:cs="宋体"/>
          <w:color w:val="auto"/>
          <w:sz w:val="24"/>
          <w:szCs w:val="24"/>
        </w:rPr>
        <w:t>1.数字贸易产教融合共同体建设应与地方经济社会协调发展，融入经济转型升级各环节，探索多元化办学、企业化管理、市场化运作机制，形成“政、行、校、企”共同推进的工作格局。</w:t>
      </w:r>
    </w:p>
    <w:p w14:paraId="674EBE29">
      <w:pPr>
        <w:framePr w:wrap="auto" w:vAnchor="margin" w:hAnchor="text" w:yAlign="inline"/>
        <w:spacing w:line="360" w:lineRule="auto"/>
        <w:ind w:firstLine="482"/>
        <w:rPr>
          <w:rFonts w:ascii="宋体" w:hAnsi="宋体" w:eastAsia="宋体" w:cs="宋体"/>
          <w:color w:val="auto"/>
          <w:sz w:val="24"/>
          <w:szCs w:val="24"/>
        </w:rPr>
      </w:pPr>
      <w:r>
        <w:rPr>
          <w:rFonts w:ascii="宋体" w:hAnsi="宋体" w:eastAsia="宋体" w:cs="宋体"/>
          <w:color w:val="auto"/>
          <w:sz w:val="24"/>
          <w:szCs w:val="24"/>
        </w:rPr>
        <w:t>2.构建校企合作长效机制，校企协同推进教学资源、师资、社会服务项目、网络服务平台、证书考核等共建共享，健全数字贸易产教融合共同体质量保障体系和评价体系建设，提高数字贸易产教融合共同体服务教学、服务地方经济社会发展能力。</w:t>
      </w:r>
    </w:p>
    <w:p w14:paraId="2F10E5FE">
      <w:pPr>
        <w:framePr w:wrap="auto" w:vAnchor="margin" w:hAnchor="text" w:yAlign="inline"/>
        <w:spacing w:line="360" w:lineRule="auto"/>
        <w:ind w:firstLine="482"/>
        <w:rPr>
          <w:rFonts w:ascii="宋体" w:hAnsi="宋体" w:eastAsia="宋体" w:cs="宋体"/>
          <w:color w:val="auto"/>
          <w:sz w:val="24"/>
          <w:szCs w:val="24"/>
        </w:rPr>
      </w:pPr>
      <w:r>
        <w:rPr>
          <w:rFonts w:ascii="宋体" w:hAnsi="宋体" w:eastAsia="宋体" w:cs="宋体"/>
          <w:color w:val="auto"/>
          <w:sz w:val="24"/>
          <w:szCs w:val="24"/>
        </w:rPr>
        <w:t>3.依托合作企业，聚焦专业产教融合、工学结合等人才培养模式改革，建设与现代企业生产环节相接近的实训场景，融入企业文化，营造职场氛围，强化实践育人功能和工匠精神的培养。</w:t>
      </w:r>
    </w:p>
    <w:p w14:paraId="3C453C84">
      <w:pPr>
        <w:framePr w:wrap="auto" w:vAnchor="margin" w:hAnchor="text" w:yAlign="inline"/>
        <w:spacing w:line="360" w:lineRule="auto"/>
        <w:ind w:firstLine="482"/>
        <w:rPr>
          <w:rFonts w:ascii="宋体" w:hAnsi="宋体" w:eastAsia="宋体" w:cs="宋体"/>
          <w:color w:val="auto"/>
          <w:sz w:val="24"/>
          <w:szCs w:val="24"/>
        </w:rPr>
      </w:pPr>
      <w:r>
        <w:rPr>
          <w:rFonts w:ascii="宋体" w:hAnsi="宋体" w:eastAsia="宋体" w:cs="宋体"/>
          <w:color w:val="auto"/>
          <w:sz w:val="24"/>
          <w:szCs w:val="24"/>
        </w:rPr>
        <w:t>4.数字贸易产教融合共同体规划应符合国家、地区的区域整体规划要求。整合行业龙头企业、上下游企业、高水平大学和学校的人才资源，为“双师型”教学团队建设提供良好环境。依托行业龙头企业建设一批国家级“双师型”教师培养培训基地；依托高水平大学建设一批“双师型”教师培养培训基地。</w:t>
      </w:r>
    </w:p>
    <w:p w14:paraId="51A7027B">
      <w:pPr>
        <w:framePr w:wrap="auto" w:vAnchor="margin" w:hAnchor="text" w:yAlign="inline"/>
        <w:spacing w:line="360" w:lineRule="auto"/>
        <w:ind w:firstLine="482"/>
        <w:rPr>
          <w:rFonts w:ascii="宋体" w:hAnsi="宋体" w:eastAsia="宋体" w:cs="宋体"/>
          <w:color w:val="auto"/>
          <w:sz w:val="24"/>
          <w:szCs w:val="24"/>
        </w:rPr>
      </w:pPr>
      <w:r>
        <w:rPr>
          <w:rFonts w:ascii="宋体" w:hAnsi="宋体" w:eastAsia="宋体" w:cs="宋体"/>
          <w:color w:val="auto"/>
          <w:sz w:val="24"/>
          <w:szCs w:val="24"/>
        </w:rPr>
        <w:t>5.数字贸易产教融合共同体规划应交通通畅，通讯、供暖、供电、供气、给排水等基础配套安全可靠，环境优美。数字贸易产教融合共同体是由多种不同类型单位组成的复合型组织，各个组成单位都是具有既定组织功能的子系统。管理功能，就是通过规划、组织、领导和控制来协调和影响组织内外资源，以实现组织预定目标的过程。行业产教融合共同体的管理功能是确保组织高效运转的必要功能，是确保其核心功能实现的促进性和支持性功能。</w:t>
      </w:r>
    </w:p>
    <w:p w14:paraId="4E2A478E">
      <w:pPr>
        <w:framePr w:wrap="auto" w:vAnchor="margin" w:hAnchor="text" w:yAlign="inline"/>
        <w:spacing w:line="360" w:lineRule="auto"/>
        <w:ind w:firstLine="482"/>
        <w:rPr>
          <w:rFonts w:ascii="宋体" w:hAnsi="宋体" w:eastAsia="宋体" w:cs="宋体"/>
          <w:color w:val="auto"/>
          <w:sz w:val="24"/>
          <w:szCs w:val="24"/>
        </w:rPr>
      </w:pPr>
      <w:r>
        <w:rPr>
          <w:rFonts w:ascii="宋体" w:hAnsi="宋体" w:eastAsia="宋体" w:cs="宋体"/>
          <w:color w:val="auto"/>
          <w:sz w:val="24"/>
          <w:szCs w:val="24"/>
        </w:rPr>
        <w:t>6.数字贸易产教融合共同体宜分为办公区、实习区、产业配套区、公共服务区、生活设施区。</w:t>
      </w:r>
    </w:p>
    <w:p w14:paraId="3075422D">
      <w:pPr>
        <w:framePr w:wrap="auto" w:vAnchor="margin" w:hAnchor="text" w:yAlign="inline"/>
        <w:spacing w:line="360" w:lineRule="auto"/>
        <w:ind w:firstLine="482"/>
        <w:rPr>
          <w:rFonts w:ascii="宋体" w:hAnsi="宋体" w:eastAsia="宋体" w:cs="宋体"/>
          <w:color w:val="auto"/>
          <w:sz w:val="24"/>
          <w:szCs w:val="24"/>
        </w:rPr>
      </w:pPr>
      <w:r>
        <w:rPr>
          <w:rFonts w:ascii="宋体" w:hAnsi="宋体" w:eastAsia="宋体" w:cs="宋体"/>
          <w:color w:val="auto"/>
          <w:sz w:val="24"/>
          <w:szCs w:val="24"/>
        </w:rPr>
        <w:t>7.政府通过整合政、校、行、企的各类资源，建设学生实习实训平台，成为教育“第三元”主体。学校和企业共同建设政府支持的企业实践中心，强化企业的教育功能。旨在鼓励企业深度参与教育，提供实践岗位、实训设备和产业导师等资源，发挥企业的资源优势。</w:t>
      </w:r>
    </w:p>
    <w:p w14:paraId="35EA49D1">
      <w:pPr>
        <w:framePr w:wrap="auto" w:vAnchor="margin" w:hAnchor="text" w:yAlign="inline"/>
        <w:spacing w:line="360" w:lineRule="auto"/>
        <w:ind w:firstLine="482"/>
        <w:rPr>
          <w:rFonts w:ascii="宋体" w:hAnsi="宋体" w:eastAsia="宋体" w:cs="宋体"/>
          <w:b/>
          <w:bCs/>
          <w:kern w:val="0"/>
          <w:sz w:val="24"/>
          <w:szCs w:val="24"/>
          <w:lang w:val="zh-TW"/>
        </w:rPr>
      </w:pPr>
      <w:r>
        <w:rPr>
          <w:rFonts w:ascii="宋体" w:hAnsi="宋体" w:eastAsia="宋体" w:cs="宋体"/>
          <w:b/>
          <w:bCs/>
          <w:kern w:val="0"/>
          <w:sz w:val="24"/>
          <w:szCs w:val="24"/>
          <w:lang w:val="zh-TW"/>
        </w:rPr>
        <w:t>五、标准的水平</w:t>
      </w:r>
    </w:p>
    <w:p w14:paraId="781E95F0">
      <w:pPr>
        <w:framePr w:wrap="auto" w:vAnchor="margin" w:hAnchor="text" w:yAlign="inline"/>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在制定《</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sz w:val="24"/>
          <w:szCs w:val="24"/>
          <w:lang w:val="zh-TW"/>
        </w:rPr>
        <w:t>》的标准水平时，我们力求体现实用性、前瞻性和灵活性，确保</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sz w:val="24"/>
          <w:szCs w:val="24"/>
          <w:lang w:val="zh-TW"/>
        </w:rPr>
        <w:t>能够高效、稳定地进行，同时保证数据安全和用户体验的优化。具体而言，该标准的水平体现在以下几个方面：</w:t>
      </w:r>
    </w:p>
    <w:p w14:paraId="4E31F5E8">
      <w:pPr>
        <w:framePr w:wrap="auto" w:vAnchor="margin" w:hAnchor="text" w:yAlign="inline"/>
        <w:spacing w:line="360" w:lineRule="auto"/>
        <w:ind w:firstLine="482"/>
        <w:rPr>
          <w:rFonts w:ascii="宋体" w:hAnsi="宋体" w:eastAsia="宋体" w:cs="宋体"/>
          <w:sz w:val="24"/>
          <w:szCs w:val="24"/>
          <w:lang w:val="zh-TW"/>
        </w:rPr>
      </w:pPr>
      <w:r>
        <w:rPr>
          <w:rFonts w:ascii="宋体" w:hAnsi="宋体" w:eastAsia="宋体" w:cs="宋体"/>
          <w:b/>
          <w:bCs/>
          <w:sz w:val="24"/>
          <w:szCs w:val="24"/>
        </w:rPr>
        <w:t>1.</w:t>
      </w:r>
      <w:r>
        <w:rPr>
          <w:rFonts w:ascii="宋体" w:hAnsi="宋体" w:eastAsia="宋体" w:cs="宋体"/>
          <w:b/>
          <w:bCs/>
          <w:sz w:val="24"/>
          <w:szCs w:val="24"/>
          <w:lang w:val="zh-TW"/>
        </w:rPr>
        <w:t>安全性。</w:t>
      </w:r>
      <w:r>
        <w:rPr>
          <w:rFonts w:ascii="宋体" w:hAnsi="宋体" w:eastAsia="宋体" w:cs="宋体"/>
          <w:sz w:val="24"/>
          <w:szCs w:val="24"/>
          <w:lang w:val="zh-TW"/>
        </w:rPr>
        <w:t>数字贸易产教融合共同体应建有人身安全管理制度，配备安全管理专员，对实习人员进行必要的培训。保持公共场所、消防通道、人员疏散通道畅通，识别相关安全提示及危险源识别，避免人身伤害事故发生。</w:t>
      </w:r>
    </w:p>
    <w:p w14:paraId="20144C9E">
      <w:pPr>
        <w:framePr w:wrap="auto" w:vAnchor="margin" w:hAnchor="text" w:yAlign="inline"/>
        <w:spacing w:line="360" w:lineRule="auto"/>
        <w:ind w:firstLine="482"/>
        <w:rPr>
          <w:rFonts w:ascii="宋体" w:hAnsi="宋体" w:eastAsia="宋体" w:cs="宋体"/>
          <w:sz w:val="24"/>
          <w:szCs w:val="24"/>
          <w:lang w:val="zh-TW"/>
        </w:rPr>
      </w:pPr>
      <w:r>
        <w:rPr>
          <w:rFonts w:ascii="宋体" w:hAnsi="宋体" w:eastAsia="宋体" w:cs="宋体"/>
          <w:b/>
          <w:bCs/>
          <w:sz w:val="24"/>
          <w:szCs w:val="24"/>
        </w:rPr>
        <w:t>2.</w:t>
      </w:r>
      <w:r>
        <w:rPr>
          <w:rFonts w:ascii="宋体" w:hAnsi="宋体" w:eastAsia="宋体" w:cs="宋体"/>
          <w:b/>
          <w:bCs/>
          <w:sz w:val="24"/>
          <w:szCs w:val="24"/>
          <w:lang w:val="zh-TW"/>
        </w:rPr>
        <w:t>适应性。</w:t>
      </w:r>
      <w:r>
        <w:rPr>
          <w:rFonts w:ascii="宋体" w:hAnsi="宋体" w:eastAsia="宋体" w:cs="宋体"/>
          <w:sz w:val="24"/>
          <w:szCs w:val="24"/>
          <w:lang w:val="zh-TW"/>
        </w:rPr>
        <w:t>标准强调</w:t>
      </w:r>
      <w:r>
        <w:rPr>
          <w:rFonts w:hint="cs" w:ascii="宋体" w:hAnsi="宋体" w:eastAsia="宋体" w:cs="宋体"/>
          <w:color w:val="auto"/>
          <w:sz w:val="24"/>
          <w:szCs w:val="24"/>
        </w:rPr>
        <w:t>数字贸易产教融合共同体</w:t>
      </w:r>
      <w:r>
        <w:rPr>
          <w:rFonts w:ascii="宋体" w:hAnsi="宋体" w:eastAsia="宋体" w:cs="宋体"/>
          <w:sz w:val="24"/>
          <w:szCs w:val="24"/>
        </w:rPr>
        <w:t>需</w:t>
      </w:r>
      <w:r>
        <w:rPr>
          <w:rFonts w:ascii="宋体" w:hAnsi="宋体" w:eastAsia="宋体" w:cs="宋体"/>
          <w:sz w:val="24"/>
          <w:szCs w:val="24"/>
          <w:lang w:val="zh-TW"/>
        </w:rPr>
        <w:t>持续改进与优化升级，确保</w:t>
      </w:r>
      <w:r>
        <w:rPr>
          <w:rFonts w:hint="cs" w:ascii="宋体" w:hAnsi="宋体" w:eastAsia="宋体" w:cs="宋体"/>
          <w:color w:val="auto"/>
          <w:sz w:val="24"/>
          <w:szCs w:val="24"/>
        </w:rPr>
        <w:t>数字贸易产教融合共同体</w:t>
      </w:r>
      <w:r>
        <w:rPr>
          <w:rFonts w:ascii="宋体" w:hAnsi="宋体" w:eastAsia="宋体" w:cs="宋体"/>
          <w:sz w:val="24"/>
          <w:szCs w:val="24"/>
          <w:lang w:val="zh-TW"/>
        </w:rPr>
        <w:t>能够适应市场和技术的变化，持续满足用户需求。</w:t>
      </w:r>
    </w:p>
    <w:p w14:paraId="06086D99">
      <w:pPr>
        <w:framePr w:wrap="auto" w:vAnchor="margin" w:hAnchor="text" w:yAlign="inline"/>
        <w:spacing w:line="360" w:lineRule="auto"/>
        <w:ind w:firstLine="482"/>
        <w:rPr>
          <w:rFonts w:ascii="宋体" w:hAnsi="宋体" w:eastAsia="宋体" w:cs="宋体"/>
          <w:color w:val="auto"/>
          <w:sz w:val="24"/>
          <w:szCs w:val="24"/>
        </w:rPr>
      </w:pPr>
      <w:r>
        <w:rPr>
          <w:rFonts w:ascii="宋体" w:hAnsi="宋体" w:eastAsia="宋体" w:cs="宋体"/>
          <w:b/>
          <w:bCs/>
          <w:sz w:val="24"/>
          <w:szCs w:val="24"/>
        </w:rPr>
        <w:t>3</w:t>
      </w:r>
      <w:r>
        <w:rPr>
          <w:rFonts w:ascii="宋体" w:hAnsi="宋体" w:eastAsia="宋体" w:cs="宋体"/>
          <w:sz w:val="24"/>
          <w:szCs w:val="24"/>
        </w:rPr>
        <w:t>.</w:t>
      </w:r>
      <w:r>
        <w:rPr>
          <w:rFonts w:ascii="宋体" w:hAnsi="宋体" w:eastAsia="宋体" w:cs="宋体"/>
          <w:b/>
          <w:bCs/>
          <w:sz w:val="24"/>
          <w:szCs w:val="24"/>
          <w:lang w:val="zh-TW"/>
        </w:rPr>
        <w:t>可持续发展。</w:t>
      </w:r>
      <w:r>
        <w:rPr>
          <w:rFonts w:ascii="宋体" w:hAnsi="宋体" w:eastAsia="宋体" w:cs="宋体"/>
          <w:color w:val="auto"/>
          <w:sz w:val="24"/>
          <w:szCs w:val="24"/>
        </w:rPr>
        <w:t>数字贸易产教融合数字贸易产教融合共同体应持续改造工作环境、升级实习设备、完善管理制度、持续资金投入，不断完善实习条件，保障数字贸易产教融合共同体有效运作。数字贸易产教融合数字贸易产教融合共同体应努力推进协同创新和成果转化，提高产教融合成效。数字贸易产教融合数字贸易产教融合共同体应不断扩大服务范围，提升数字贸易产教融合共同体的综合服务能力。</w:t>
      </w:r>
    </w:p>
    <w:p w14:paraId="695BC0E7">
      <w:pPr>
        <w:framePr w:wrap="auto" w:vAnchor="margin" w:hAnchor="text" w:yAlign="inline"/>
        <w:spacing w:line="360" w:lineRule="auto"/>
        <w:ind w:firstLine="482"/>
        <w:rPr>
          <w:rFonts w:ascii="宋体" w:hAnsi="宋体" w:eastAsia="宋体" w:cs="宋体"/>
          <w:sz w:val="24"/>
          <w:szCs w:val="24"/>
          <w:lang w:val="zh-TW"/>
        </w:rPr>
      </w:pPr>
      <w:r>
        <w:rPr>
          <w:rFonts w:ascii="宋体" w:hAnsi="宋体" w:eastAsia="宋体" w:cs="宋体"/>
          <w:sz w:val="24"/>
          <w:szCs w:val="24"/>
          <w:lang w:val="zh-TW"/>
        </w:rPr>
        <w:t>本标准为</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sz w:val="24"/>
          <w:szCs w:val="24"/>
          <w:lang w:val="zh-TW"/>
        </w:rPr>
        <w:t>提供全面、系统、安全、以用户为中心、适应性强、国际化并支持可持续发展的高端指导方针，推动外贸行业数字化转型和升级，为企业提供中国方案，服务全球数字贸易的发展。</w:t>
      </w:r>
    </w:p>
    <w:p w14:paraId="00044446">
      <w:pPr>
        <w:framePr w:wrap="auto" w:vAnchor="margin" w:hAnchor="text" w:yAlign="inline"/>
        <w:spacing w:line="360" w:lineRule="auto"/>
        <w:ind w:firstLine="482"/>
        <w:rPr>
          <w:rFonts w:ascii="宋体" w:hAnsi="宋体" w:eastAsia="宋体" w:cs="宋体"/>
          <w:b/>
          <w:bCs/>
          <w:kern w:val="0"/>
          <w:sz w:val="24"/>
          <w:szCs w:val="24"/>
          <w:lang w:val="zh-TW"/>
        </w:rPr>
      </w:pPr>
      <w:r>
        <w:rPr>
          <w:rFonts w:ascii="宋体" w:hAnsi="宋体" w:eastAsia="宋体" w:cs="宋体"/>
          <w:b/>
          <w:bCs/>
          <w:kern w:val="0"/>
          <w:sz w:val="24"/>
          <w:szCs w:val="24"/>
          <w:lang w:val="zh-TW"/>
        </w:rPr>
        <w:t>六、与有关的现行法律法规和强制性国家标准的关系</w:t>
      </w:r>
    </w:p>
    <w:p w14:paraId="3EBBE98D">
      <w:pPr>
        <w:framePr w:wrap="auto" w:vAnchor="margin" w:hAnchor="text" w:yAlign="inline"/>
        <w:spacing w:line="360" w:lineRule="auto"/>
        <w:ind w:firstLine="480"/>
        <w:rPr>
          <w:rFonts w:ascii="宋体" w:hAnsi="宋体" w:eastAsia="宋体" w:cs="宋体"/>
          <w:color w:val="auto"/>
          <w:sz w:val="24"/>
          <w:szCs w:val="24"/>
          <w:lang w:val="zh-TW"/>
        </w:rPr>
      </w:pPr>
      <w:r>
        <w:rPr>
          <w:rFonts w:hint="default" w:ascii="宋体" w:hAnsi="宋体" w:eastAsia="宋体" w:cs="宋体"/>
          <w:color w:val="auto"/>
          <w:sz w:val="24"/>
          <w:szCs w:val="24"/>
          <w:lang w:val="zh-TW"/>
        </w:rPr>
        <w:t>本标准符合国家现行法律、法规、规章和强制性国家标准的要求。遵照GB/T1.1-2020 规定进行编写，与其它相关标准没有矛盾和抵触。</w:t>
      </w:r>
    </w:p>
    <w:p w14:paraId="49FBA1F0">
      <w:pPr>
        <w:framePr w:wrap="auto" w:vAnchor="margin" w:hAnchor="text" w:yAlign="inline"/>
        <w:spacing w:line="360" w:lineRule="auto"/>
        <w:ind w:firstLine="480"/>
        <w:rPr>
          <w:rFonts w:ascii="宋体" w:hAnsi="宋体" w:eastAsia="宋体" w:cs="宋体"/>
          <w:color w:val="auto"/>
          <w:sz w:val="24"/>
          <w:szCs w:val="24"/>
          <w:lang w:val="zh-TW"/>
        </w:rPr>
      </w:pPr>
      <w:r>
        <w:rPr>
          <w:rFonts w:hint="default" w:ascii="宋体" w:hAnsi="宋体" w:eastAsia="宋体" w:cs="宋体"/>
          <w:color w:val="auto"/>
          <w:sz w:val="24"/>
          <w:szCs w:val="24"/>
          <w:lang w:val="zh-TW"/>
        </w:rPr>
        <w:t>目前，对于</w:t>
      </w:r>
      <w:r>
        <w:rPr>
          <w:rFonts w:hint="eastAsia" w:ascii="宋体" w:hAnsi="宋体" w:eastAsia="宋体" w:cs="宋体"/>
          <w:color w:val="auto"/>
          <w:sz w:val="24"/>
          <w:szCs w:val="24"/>
          <w:lang w:eastAsia="zh-CN"/>
        </w:rPr>
        <w:t>数字贸易产教融合共同体运作模式与管理规范</w:t>
      </w:r>
      <w:r>
        <w:rPr>
          <w:rFonts w:hint="default" w:ascii="宋体" w:hAnsi="宋体" w:eastAsia="宋体" w:cs="宋体"/>
          <w:color w:val="auto"/>
          <w:sz w:val="24"/>
          <w:szCs w:val="24"/>
          <w:lang w:val="zh-TW"/>
        </w:rPr>
        <w:t>，并没有特定的国家标准、行业标准或地方标准。</w:t>
      </w:r>
      <w:r>
        <w:rPr>
          <w:rFonts w:hint="eastAsia" w:ascii="宋体" w:hAnsi="宋体" w:eastAsia="宋体" w:cs="宋体"/>
          <w:color w:val="auto"/>
          <w:sz w:val="24"/>
          <w:szCs w:val="24"/>
          <w:lang w:eastAsia="zh-CN"/>
        </w:rPr>
        <w:t>数字贸易产教融合共同体运作模式与管理规范</w:t>
      </w:r>
      <w:r>
        <w:rPr>
          <w:rFonts w:hint="default" w:ascii="宋体" w:hAnsi="宋体" w:eastAsia="宋体" w:cs="宋体"/>
          <w:color w:val="auto"/>
          <w:sz w:val="24"/>
          <w:szCs w:val="24"/>
          <w:lang w:val="zh-TW"/>
        </w:rPr>
        <w:t>属于相对较新的领域，相关标准尚未完全成熟和普及，因此本标准是该领域的首个标准，具有较强的引领作用。</w:t>
      </w:r>
      <w:r>
        <w:rPr>
          <w:rFonts w:ascii="宋体" w:hAnsi="宋体" w:eastAsia="宋体" w:cs="宋体"/>
          <w:color w:val="auto"/>
          <w:sz w:val="24"/>
          <w:szCs w:val="24"/>
        </w:rPr>
        <w:t>本标准</w:t>
      </w:r>
      <w:r>
        <w:rPr>
          <w:rFonts w:hint="default" w:ascii="宋体" w:hAnsi="宋体" w:eastAsia="宋体" w:cs="宋体"/>
          <w:color w:val="auto"/>
          <w:sz w:val="24"/>
          <w:szCs w:val="24"/>
          <w:lang w:val="zh-TW"/>
        </w:rPr>
        <w:t>与有关的现行</w:t>
      </w:r>
      <w:r>
        <w:rPr>
          <w:rFonts w:ascii="宋体" w:hAnsi="宋体" w:eastAsia="宋体" w:cs="宋体"/>
          <w:color w:val="auto"/>
          <w:sz w:val="24"/>
          <w:szCs w:val="24"/>
          <w:lang w:val="zh-TW"/>
        </w:rPr>
        <w:t>法律法规</w:t>
      </w:r>
      <w:r>
        <w:rPr>
          <w:rFonts w:hint="default" w:ascii="宋体" w:hAnsi="宋体" w:eastAsia="宋体" w:cs="宋体"/>
          <w:color w:val="auto"/>
          <w:sz w:val="24"/>
          <w:szCs w:val="24"/>
          <w:lang w:val="zh-TW"/>
        </w:rPr>
        <w:t>和强制性国家标准的关系紧密且互补。在制定</w:t>
      </w:r>
      <w:r>
        <w:rPr>
          <w:rFonts w:ascii="宋体" w:hAnsi="宋体" w:eastAsia="宋体" w:cs="宋体"/>
          <w:color w:val="auto"/>
          <w:sz w:val="24"/>
          <w:szCs w:val="24"/>
        </w:rPr>
        <w:t>本标准</w:t>
      </w:r>
      <w:r>
        <w:rPr>
          <w:rFonts w:hint="default" w:ascii="宋体" w:hAnsi="宋体" w:eastAsia="宋体" w:cs="宋体"/>
          <w:color w:val="auto"/>
          <w:sz w:val="24"/>
          <w:szCs w:val="24"/>
          <w:lang w:val="zh-TW"/>
        </w:rPr>
        <w:t>过程中，充分考虑现有的法律法规和强制性国家标准，确保其内容不仅遵循国家的规定，还细化并补充特定领域的具体操作标准</w:t>
      </w:r>
      <w:r>
        <w:rPr>
          <w:rFonts w:ascii="宋体" w:hAnsi="宋体" w:eastAsia="宋体" w:cs="宋体"/>
          <w:color w:val="auto"/>
          <w:sz w:val="24"/>
          <w:szCs w:val="24"/>
          <w:lang w:val="zh-TW"/>
        </w:rPr>
        <w:t>，</w:t>
      </w:r>
      <w:r>
        <w:rPr>
          <w:rFonts w:ascii="宋体" w:hAnsi="宋体" w:eastAsia="宋体" w:cs="宋体"/>
          <w:color w:val="auto"/>
          <w:sz w:val="24"/>
          <w:szCs w:val="24"/>
        </w:rPr>
        <w:t>以</w:t>
      </w:r>
      <w:r>
        <w:rPr>
          <w:rFonts w:hint="default" w:ascii="宋体" w:hAnsi="宋体" w:eastAsia="宋体" w:cs="宋体"/>
          <w:color w:val="auto"/>
          <w:sz w:val="24"/>
          <w:szCs w:val="24"/>
          <w:lang w:val="zh-TW"/>
        </w:rPr>
        <w:t>增强</w:t>
      </w:r>
      <w:r>
        <w:rPr>
          <w:rFonts w:hint="eastAsia" w:ascii="宋体" w:hAnsi="宋体" w:eastAsia="宋体" w:cs="宋体"/>
          <w:color w:val="auto"/>
          <w:sz w:val="24"/>
          <w:szCs w:val="24"/>
          <w:lang w:eastAsia="zh-CN"/>
        </w:rPr>
        <w:t>数字贸易产教融合共同体运作模式与管理规范</w:t>
      </w:r>
      <w:r>
        <w:rPr>
          <w:rFonts w:hint="default" w:ascii="宋体" w:hAnsi="宋体" w:eastAsia="宋体" w:cs="宋体"/>
          <w:color w:val="auto"/>
          <w:sz w:val="24"/>
          <w:szCs w:val="24"/>
          <w:lang w:val="zh-TW"/>
        </w:rPr>
        <w:t>的合法性和规范性，为</w:t>
      </w:r>
      <w:r>
        <w:rPr>
          <w:rFonts w:hint="cs" w:ascii="宋体" w:hAnsi="宋体" w:eastAsia="宋体" w:cs="宋体"/>
          <w:color w:val="auto"/>
          <w:sz w:val="24"/>
          <w:szCs w:val="24"/>
        </w:rPr>
        <w:t>数字贸易产教融合共同体</w:t>
      </w:r>
      <w:r>
        <w:rPr>
          <w:rFonts w:ascii="宋体" w:hAnsi="宋体" w:eastAsia="宋体" w:cs="宋体"/>
          <w:color w:val="auto"/>
          <w:sz w:val="24"/>
          <w:szCs w:val="24"/>
        </w:rPr>
        <w:t>提</w:t>
      </w:r>
      <w:r>
        <w:rPr>
          <w:rFonts w:hint="default" w:ascii="宋体" w:hAnsi="宋体" w:eastAsia="宋体" w:cs="宋体"/>
          <w:color w:val="auto"/>
          <w:sz w:val="24"/>
          <w:szCs w:val="24"/>
          <w:lang w:val="zh-TW"/>
        </w:rPr>
        <w:t>供了具体的操作指南，推动行业的健康有序发展。</w:t>
      </w:r>
    </w:p>
    <w:p w14:paraId="5580421D">
      <w:pPr>
        <w:framePr w:wrap="auto" w:vAnchor="margin" w:hAnchor="text" w:yAlign="inline"/>
        <w:spacing w:line="360" w:lineRule="auto"/>
        <w:ind w:firstLine="480"/>
        <w:rPr>
          <w:rFonts w:ascii="宋体" w:hAnsi="宋体" w:eastAsia="宋体" w:cs="宋体"/>
          <w:color w:val="auto"/>
          <w:sz w:val="24"/>
          <w:szCs w:val="24"/>
          <w:lang w:val="zh-TW"/>
        </w:rPr>
      </w:pPr>
      <w:r>
        <w:rPr>
          <w:rFonts w:hint="default" w:ascii="宋体" w:hAnsi="宋体" w:eastAsia="宋体" w:cs="宋体"/>
          <w:color w:val="auto"/>
          <w:sz w:val="24"/>
          <w:szCs w:val="24"/>
          <w:lang w:val="zh-TW"/>
        </w:rPr>
        <w:t>建议在相关领域进行深入的调研，遵守当地的法律法规，参考通用的标准和指南</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确保系统的质量、安全和合规</w:t>
      </w:r>
      <w:r>
        <w:rPr>
          <w:rFonts w:ascii="宋体" w:hAnsi="宋体" w:eastAsia="宋体" w:cs="宋体"/>
          <w:color w:val="auto"/>
          <w:sz w:val="24"/>
          <w:szCs w:val="24"/>
          <w:lang w:val="zh-TW"/>
        </w:rPr>
        <w:t>。</w:t>
      </w:r>
      <w:r>
        <w:rPr>
          <w:rFonts w:ascii="宋体" w:hAnsi="宋体" w:eastAsia="宋体" w:cs="宋体"/>
          <w:color w:val="auto"/>
          <w:sz w:val="24"/>
          <w:szCs w:val="24"/>
        </w:rPr>
        <w:t>建议</w:t>
      </w:r>
      <w:r>
        <w:rPr>
          <w:rFonts w:ascii="宋体" w:hAnsi="宋体" w:eastAsia="宋体" w:cs="宋体"/>
          <w:color w:val="auto"/>
          <w:sz w:val="24"/>
          <w:szCs w:val="24"/>
          <w:lang w:val="zh-TW"/>
        </w:rPr>
        <w:t>参考</w:t>
      </w:r>
      <w:r>
        <w:rPr>
          <w:rFonts w:hint="default" w:ascii="宋体" w:hAnsi="宋体" w:eastAsia="宋体" w:cs="宋体"/>
          <w:color w:val="auto"/>
          <w:sz w:val="24"/>
          <w:szCs w:val="24"/>
          <w:lang w:val="zh-TW"/>
        </w:rPr>
        <w:t>一些通用的标准和指南，确保</w:t>
      </w:r>
      <w:r>
        <w:rPr>
          <w:rFonts w:hint="eastAsia" w:ascii="宋体" w:hAnsi="宋体" w:eastAsia="宋体" w:cs="宋体"/>
          <w:color w:val="auto"/>
          <w:sz w:val="24"/>
          <w:szCs w:val="24"/>
          <w:lang w:eastAsia="zh-CN"/>
        </w:rPr>
        <w:t>数字贸易产教融合共同体运作模式与管理规范</w:t>
      </w:r>
      <w:r>
        <w:rPr>
          <w:rFonts w:hint="default" w:ascii="宋体" w:hAnsi="宋体" w:eastAsia="宋体" w:cs="宋体"/>
          <w:color w:val="auto"/>
          <w:sz w:val="24"/>
          <w:szCs w:val="24"/>
          <w:lang w:val="zh-TW"/>
        </w:rPr>
        <w:t>符合一定的质量和安全要求。</w:t>
      </w:r>
      <w:r>
        <w:rPr>
          <w:rFonts w:ascii="宋体" w:hAnsi="宋体" w:eastAsia="宋体" w:cs="宋体"/>
          <w:color w:val="auto"/>
          <w:sz w:val="24"/>
          <w:szCs w:val="24"/>
        </w:rPr>
        <w:t>建议参考</w:t>
      </w:r>
      <w:r>
        <w:rPr>
          <w:rFonts w:hint="default" w:ascii="宋体" w:hAnsi="宋体" w:eastAsia="宋体" w:cs="宋体"/>
          <w:color w:val="auto"/>
          <w:sz w:val="24"/>
          <w:szCs w:val="24"/>
          <w:lang w:val="zh-TW"/>
        </w:rPr>
        <w:t>不同国家和地区会制定相关规定和指导方针。</w:t>
      </w:r>
    </w:p>
    <w:p w14:paraId="347528C7">
      <w:pPr>
        <w:framePr w:wrap="auto" w:vAnchor="margin" w:hAnchor="text" w:yAlign="inline"/>
        <w:spacing w:line="360" w:lineRule="auto"/>
        <w:ind w:firstLine="482"/>
        <w:rPr>
          <w:rFonts w:ascii="宋体" w:hAnsi="宋体" w:eastAsia="宋体" w:cs="宋体"/>
          <w:b/>
          <w:bCs/>
          <w:kern w:val="0"/>
          <w:sz w:val="24"/>
          <w:szCs w:val="24"/>
          <w:lang w:val="zh-TW"/>
        </w:rPr>
      </w:pPr>
      <w:r>
        <w:rPr>
          <w:rFonts w:ascii="宋体" w:hAnsi="宋体" w:eastAsia="宋体" w:cs="宋体"/>
          <w:b/>
          <w:bCs/>
          <w:kern w:val="0"/>
          <w:sz w:val="24"/>
          <w:szCs w:val="24"/>
          <w:lang w:val="zh-TW"/>
        </w:rPr>
        <w:t>七、贯彻标准的要求和措施建议</w:t>
      </w:r>
    </w:p>
    <w:p w14:paraId="0DAA36C2">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b/>
          <w:bCs/>
          <w:color w:val="auto"/>
          <w:sz w:val="24"/>
          <w:szCs w:val="24"/>
        </w:rPr>
        <w:t>1.</w:t>
      </w:r>
      <w:r>
        <w:rPr>
          <w:rFonts w:ascii="宋体" w:hAnsi="宋体" w:eastAsia="宋体" w:cs="宋体"/>
          <w:b/>
          <w:bCs/>
          <w:color w:val="auto"/>
          <w:sz w:val="24"/>
          <w:szCs w:val="24"/>
          <w:lang w:val="zh-TW"/>
        </w:rPr>
        <w:t>熟悉规范内容。</w:t>
      </w:r>
      <w:r>
        <w:rPr>
          <w:rFonts w:ascii="宋体" w:hAnsi="宋体" w:eastAsia="宋体" w:cs="宋体"/>
          <w:color w:val="auto"/>
          <w:sz w:val="24"/>
          <w:szCs w:val="24"/>
          <w:lang w:val="zh-TW"/>
        </w:rPr>
        <w:t>首先，研读并熟悉本团体标准的全部内容。了解规范的目的、适用范围、主要技术内容以及相关标准和要求。</w:t>
      </w:r>
    </w:p>
    <w:p w14:paraId="5603697F">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制定项目计划。</w:t>
      </w:r>
      <w:r>
        <w:rPr>
          <w:rFonts w:ascii="宋体" w:hAnsi="宋体" w:eastAsia="宋体" w:cs="宋体"/>
          <w:color w:val="auto"/>
          <w:sz w:val="24"/>
          <w:szCs w:val="24"/>
          <w:lang w:val="zh-TW"/>
        </w:rPr>
        <w:t>根据规范的指导，制定</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lang w:val="zh-TW"/>
        </w:rPr>
        <w:t>的项目计划。明确开发阶段、测试阶段、上线部署和日常运营等关键节点和任务，并分配相应的资源和责任。</w:t>
      </w:r>
    </w:p>
    <w:p w14:paraId="707FFE5E">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b/>
          <w:bCs/>
          <w:color w:val="auto"/>
          <w:sz w:val="24"/>
          <w:szCs w:val="24"/>
        </w:rPr>
        <w:t>3.</w:t>
      </w:r>
      <w:r>
        <w:rPr>
          <w:rFonts w:ascii="宋体" w:hAnsi="宋体" w:eastAsia="宋体" w:cs="宋体"/>
          <w:b/>
          <w:bCs/>
          <w:color w:val="auto"/>
          <w:sz w:val="24"/>
          <w:szCs w:val="24"/>
          <w:lang w:val="zh-TW"/>
        </w:rPr>
        <w:t>定期进行规范评估和更新。</w:t>
      </w:r>
      <w:r>
        <w:rPr>
          <w:rFonts w:ascii="宋体" w:hAnsi="宋体" w:eastAsia="宋体" w:cs="宋体"/>
          <w:color w:val="auto"/>
          <w:sz w:val="24"/>
          <w:szCs w:val="24"/>
          <w:lang w:val="zh-TW"/>
        </w:rPr>
        <w:t>定期评估</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lang w:val="zh-TW"/>
        </w:rPr>
        <w:t>规范的执行情况，并进行必要的更新和改进。跟踪技术发展、行业标准的变化，及时更新规范，确保其与最新技术和要求保持一致。</w:t>
      </w:r>
    </w:p>
    <w:p w14:paraId="794E5634">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b/>
          <w:bCs/>
          <w:color w:val="auto"/>
          <w:sz w:val="24"/>
          <w:szCs w:val="24"/>
        </w:rPr>
        <w:t>4.</w:t>
      </w:r>
      <w:r>
        <w:rPr>
          <w:rFonts w:ascii="宋体" w:hAnsi="宋体" w:eastAsia="宋体" w:cs="宋体"/>
          <w:b/>
          <w:bCs/>
          <w:color w:val="auto"/>
          <w:sz w:val="24"/>
          <w:szCs w:val="24"/>
          <w:lang w:val="zh-TW"/>
        </w:rPr>
        <w:t>培训和沟通。</w:t>
      </w:r>
      <w:r>
        <w:rPr>
          <w:rFonts w:ascii="宋体" w:hAnsi="宋体" w:eastAsia="宋体" w:cs="宋体"/>
          <w:color w:val="auto"/>
          <w:sz w:val="24"/>
          <w:szCs w:val="24"/>
          <w:lang w:val="zh-TW"/>
        </w:rPr>
        <w:t>对参与</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lang w:val="zh-TW"/>
        </w:rPr>
        <w:t>的团队成员进行规范培训，确保他们理解并遵守规范的要求。同时，与团队成员和相关利益相关者保持沟通，解答问题，解决疑虑，推动规范的有效实施。</w:t>
      </w:r>
    </w:p>
    <w:p w14:paraId="4D4E050C">
      <w:pPr>
        <w:framePr w:wrap="auto" w:vAnchor="margin" w:hAnchor="text" w:yAlign="inline"/>
        <w:spacing w:line="360" w:lineRule="auto"/>
        <w:ind w:firstLine="482"/>
        <w:rPr>
          <w:rFonts w:ascii="宋体" w:hAnsi="宋体" w:eastAsia="宋体" w:cs="宋体"/>
          <w:color w:val="auto"/>
          <w:sz w:val="24"/>
          <w:szCs w:val="24"/>
          <w:lang w:val="zh-TW"/>
        </w:rPr>
      </w:pPr>
      <w:r>
        <w:rPr>
          <w:rFonts w:ascii="宋体" w:hAnsi="宋体" w:eastAsia="宋体" w:cs="宋体"/>
          <w:color w:val="auto"/>
          <w:sz w:val="24"/>
          <w:szCs w:val="24"/>
          <w:lang w:val="zh-TW"/>
        </w:rPr>
        <w:t>按照本团体标准要求进行系统建设和运营管理，可以确保系统的质量、安全性和性能，提高开发效率和用户满意度。同时，规范的持续评估和更新，</w:t>
      </w:r>
      <w:r>
        <w:rPr>
          <w:rFonts w:ascii="宋体" w:hAnsi="宋体" w:eastAsia="宋体" w:cs="宋体"/>
          <w:color w:val="auto"/>
          <w:sz w:val="24"/>
          <w:szCs w:val="24"/>
        </w:rPr>
        <w:t>紧跟</w:t>
      </w:r>
      <w:r>
        <w:rPr>
          <w:rFonts w:ascii="宋体" w:hAnsi="宋体" w:eastAsia="宋体" w:cs="宋体"/>
          <w:color w:val="auto"/>
          <w:sz w:val="24"/>
          <w:szCs w:val="24"/>
          <w:lang w:val="zh-TW"/>
        </w:rPr>
        <w:t>行业的技术发展和变化，保持规范的有效性和适应性。</w:t>
      </w:r>
    </w:p>
    <w:p w14:paraId="45247673">
      <w:pPr>
        <w:framePr w:wrap="auto" w:vAnchor="margin" w:hAnchor="text" w:yAlign="inline"/>
        <w:spacing w:line="360" w:lineRule="auto"/>
        <w:ind w:firstLine="482"/>
        <w:rPr>
          <w:rFonts w:ascii="宋体" w:hAnsi="宋体" w:eastAsia="宋体" w:cs="宋体"/>
          <w:b/>
          <w:bCs/>
          <w:kern w:val="0"/>
          <w:sz w:val="24"/>
          <w:szCs w:val="24"/>
          <w:lang w:val="zh-TW"/>
        </w:rPr>
      </w:pPr>
      <w:r>
        <w:rPr>
          <w:rFonts w:ascii="宋体" w:hAnsi="宋体" w:eastAsia="宋体" w:cs="宋体"/>
          <w:b/>
          <w:bCs/>
          <w:kern w:val="0"/>
          <w:sz w:val="24"/>
          <w:szCs w:val="24"/>
          <w:lang w:val="zh-TW"/>
        </w:rPr>
        <w:t>八、标准实施的预期效果</w:t>
      </w:r>
    </w:p>
    <w:p w14:paraId="22E0F27F">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rPr>
        <w:t>1.</w:t>
      </w:r>
      <w:r>
        <w:rPr>
          <w:rFonts w:ascii="宋体" w:hAnsi="宋体" w:eastAsia="宋体" w:cs="宋体"/>
          <w:b/>
          <w:bCs/>
          <w:color w:val="auto"/>
          <w:sz w:val="24"/>
          <w:szCs w:val="24"/>
          <w:lang w:val="zh-TW"/>
        </w:rPr>
        <w:t>促进规范化和标准化。</w:t>
      </w:r>
      <w:r>
        <w:rPr>
          <w:rFonts w:ascii="宋体" w:hAnsi="宋体" w:eastAsia="宋体" w:cs="宋体"/>
          <w:color w:val="auto"/>
          <w:sz w:val="24"/>
          <w:szCs w:val="24"/>
          <w:lang w:val="zh-TW"/>
        </w:rPr>
        <w:t>规范提供针对</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lang w:val="zh-TW"/>
        </w:rPr>
        <w:t>的统一准则和标准，推动行业规范化和标准化的发展。为企业提供一个统一的参考框架，确保系统的设计、开发、运营和管理都符合行业最佳实践和标准要求。通过统一的标准规范，提高整个跨境电商行业服务的标准化</w:t>
      </w:r>
      <w:r>
        <w:rPr>
          <w:rFonts w:ascii="宋体" w:hAnsi="宋体" w:eastAsia="宋体" w:cs="宋体"/>
          <w:color w:val="auto"/>
          <w:sz w:val="24"/>
          <w:szCs w:val="24"/>
        </w:rPr>
        <w:t>水平</w:t>
      </w:r>
      <w:r>
        <w:rPr>
          <w:rFonts w:ascii="宋体" w:hAnsi="宋体" w:eastAsia="宋体" w:cs="宋体"/>
          <w:color w:val="auto"/>
          <w:sz w:val="24"/>
          <w:szCs w:val="24"/>
          <w:lang w:val="zh-TW"/>
        </w:rPr>
        <w:t>，使服务提供更加规范化、系统化。</w:t>
      </w:r>
    </w:p>
    <w:p w14:paraId="2AC3A803">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提高系统质量和效率。</w:t>
      </w:r>
      <w:r>
        <w:rPr>
          <w:rFonts w:ascii="宋体" w:hAnsi="宋体" w:eastAsia="宋体" w:cs="宋体"/>
          <w:color w:val="auto"/>
          <w:sz w:val="24"/>
          <w:szCs w:val="24"/>
          <w:lang w:val="zh-TW"/>
        </w:rPr>
        <w:t>规范包含系统建设和运营的最佳实践，通过引入创新技术、优化流程和标准化操作，可提高系统的质量和效率，提升</w:t>
      </w:r>
      <w:r>
        <w:rPr>
          <w:rFonts w:hint="eastAsia" w:ascii="宋体" w:hAnsi="宋体" w:eastAsia="宋体" w:cs="宋体"/>
          <w:color w:val="auto"/>
          <w:sz w:val="24"/>
          <w:szCs w:val="24"/>
          <w:lang w:eastAsia="zh-CN"/>
        </w:rPr>
        <w:t>数字贸易产教融合共同体运作模式与管理规范</w:t>
      </w:r>
      <w:r>
        <w:rPr>
          <w:rFonts w:ascii="宋体" w:hAnsi="宋体" w:eastAsia="宋体" w:cs="宋体"/>
          <w:color w:val="auto"/>
          <w:sz w:val="24"/>
          <w:szCs w:val="24"/>
          <w:lang w:val="zh-TW"/>
        </w:rPr>
        <w:t>的竞争力。标准化的运营和服务流程能够增强用户满意度，提供更加稳定和可靠的服务体验，</w:t>
      </w:r>
      <w:r>
        <w:rPr>
          <w:rFonts w:ascii="宋体" w:hAnsi="宋体" w:eastAsia="宋体" w:cs="宋体"/>
          <w:color w:val="auto"/>
          <w:sz w:val="24"/>
          <w:szCs w:val="24"/>
        </w:rPr>
        <w:t>优化</w:t>
      </w:r>
      <w:r>
        <w:rPr>
          <w:rFonts w:ascii="宋体" w:hAnsi="宋体" w:eastAsia="宋体" w:cs="宋体"/>
          <w:color w:val="auto"/>
          <w:sz w:val="24"/>
          <w:szCs w:val="24"/>
          <w:lang w:val="zh-TW"/>
        </w:rPr>
        <w:t>用户体验，增强国际影响力。</w:t>
      </w:r>
    </w:p>
    <w:p w14:paraId="4B532628">
      <w:pPr>
        <w:framePr w:wrap="auto" w:vAnchor="margin" w:hAnchor="text" w:yAlign="inline"/>
        <w:spacing w:line="360" w:lineRule="auto"/>
        <w:ind w:firstLine="480"/>
        <w:rPr>
          <w:rFonts w:ascii="宋体" w:hAnsi="宋体" w:eastAsia="宋体" w:cs="宋体"/>
          <w:color w:val="auto"/>
          <w:sz w:val="24"/>
          <w:szCs w:val="24"/>
          <w:lang w:val="zh-TW"/>
        </w:rPr>
      </w:pPr>
      <w:r>
        <w:rPr>
          <w:rFonts w:ascii="宋体" w:hAnsi="宋体" w:eastAsia="宋体" w:cs="宋体"/>
          <w:b/>
          <w:bCs/>
          <w:color w:val="auto"/>
          <w:sz w:val="24"/>
          <w:szCs w:val="24"/>
        </w:rPr>
        <w:t>3.</w:t>
      </w:r>
      <w:r>
        <w:rPr>
          <w:rFonts w:ascii="宋体" w:hAnsi="宋体" w:eastAsia="宋体" w:cs="宋体"/>
          <w:b/>
          <w:bCs/>
          <w:color w:val="auto"/>
          <w:sz w:val="24"/>
          <w:szCs w:val="24"/>
          <w:lang w:val="zh-TW"/>
        </w:rPr>
        <w:t>支持监管</w:t>
      </w:r>
      <w:r>
        <w:rPr>
          <w:rFonts w:ascii="宋体" w:hAnsi="宋体" w:eastAsia="宋体" w:cs="宋体"/>
          <w:b/>
          <w:bCs/>
          <w:color w:val="auto"/>
          <w:sz w:val="24"/>
          <w:szCs w:val="24"/>
        </w:rPr>
        <w:t>和</w:t>
      </w:r>
      <w:r>
        <w:rPr>
          <w:rFonts w:ascii="宋体" w:hAnsi="宋体" w:eastAsia="宋体" w:cs="宋体"/>
          <w:b/>
          <w:bCs/>
          <w:color w:val="auto"/>
          <w:sz w:val="24"/>
          <w:szCs w:val="24"/>
          <w:lang w:val="zh-TW"/>
        </w:rPr>
        <w:t>推动国际合作。</w:t>
      </w:r>
      <w:r>
        <w:rPr>
          <w:rFonts w:ascii="宋体" w:hAnsi="宋体" w:eastAsia="宋体" w:cs="宋体"/>
          <w:color w:val="auto"/>
          <w:sz w:val="24"/>
          <w:szCs w:val="24"/>
          <w:lang w:val="zh-TW"/>
        </w:rPr>
        <w:t>为政府部门提供行业标准支持，方便政策的制定和落实，以及行业监管的执行。与国际标准接轨，促进国际技术交流和合作，推动全球电商行业的健康发展。</w:t>
      </w:r>
    </w:p>
    <w:p w14:paraId="4FEB9AAE">
      <w:pPr>
        <w:framePr w:wrap="auto" w:vAnchor="margin" w:hAnchor="text" w:yAlign="inline"/>
        <w:spacing w:line="360" w:lineRule="auto"/>
        <w:ind w:firstLine="480"/>
        <w:rPr>
          <w:rFonts w:ascii="宋体" w:hAnsi="宋体" w:eastAsia="宋体" w:cs="宋体"/>
          <w:color w:val="auto"/>
          <w:sz w:val="24"/>
          <w:szCs w:val="24"/>
          <w:lang w:val="zh-TW"/>
        </w:rPr>
      </w:pPr>
    </w:p>
    <w:sectPr>
      <w:headerReference r:id="rId3" w:type="default"/>
      <w:footerReference r:id="rId4"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Arial"/>
    <w:panose1 w:val="00000000000000000000"/>
    <w:charset w:val="00"/>
    <w:family w:val="auto"/>
    <w:pitch w:val="default"/>
    <w:sig w:usb0="00000000" w:usb1="00000000" w:usb2="0000001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2EFED">
    <w:pPr>
      <w:pStyle w:val="4"/>
      <w:framePr w:wrap="auto" w:vAnchor="margin" w:hAnchor="text" w:yAlign="inline"/>
      <w:tabs>
        <w:tab w:val="right" w:pos="828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3D70">
    <w:pPr>
      <w:pStyle w:val="15"/>
      <w:framePr w:wrap="auto" w:vAnchor="margin" w:hAnchor="text" w:yAlign="inline"/>
      <w:rPr>
        <w:rFonts w:hint="eastAsia"/>
      </w:rPr>
    </w:pPr>
    <w:r>
      <mc:AlternateContent>
        <mc:Choice Requires="wps">
          <w:drawing>
            <wp:anchor distT="152400" distB="152400" distL="152400" distR="152400" simplePos="0" relativeHeight="251659264" behindDoc="1" locked="0" layoutInCell="1" allowOverlap="1">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29D46D2F">
                          <w:pPr>
                            <w:pStyle w:val="4"/>
                          </w:pPr>
                          <w:r>
                            <w:fldChar w:fldCharType="begin"/>
                          </w:r>
                          <w:r>
                            <w:instrText xml:space="preserve"> PAGE </w:instrText>
                          </w:r>
                          <w:r>
                            <w:fldChar w:fldCharType="separate"/>
                          </w:r>
                          <w:r>
                            <w:t>7</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29D46D2F">
                    <w:pPr>
                      <w:pStyle w:val="4"/>
                    </w:pPr>
                    <w:r>
                      <w:fldChar w:fldCharType="begin"/>
                    </w:r>
                    <w:r>
                      <w:instrText xml:space="preserve"> PAGE </w:instrText>
                    </w:r>
                    <w:r>
                      <w:fldChar w:fldCharType="separate"/>
                    </w:r>
                    <w:r>
                      <w:t>7</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7C542B2"/>
    <w:multiLevelType w:val="multilevel"/>
    <w:tmpl w:val="37C542B2"/>
    <w:lvl w:ilvl="0" w:tentative="0">
      <w:start w:val="1"/>
      <w:numFmt w:val="japaneseCounting"/>
      <w:lvlText w:val="%1、"/>
      <w:lvlJc w:val="left"/>
      <w:pPr>
        <w:ind w:left="992" w:hanging="510"/>
      </w:pPr>
      <w:rPr>
        <w:rFonts w:hint="default" w:eastAsia="宋体"/>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8"/>
      <w:suff w:val="nothing"/>
      <w:lvlText w:val="%1%2　"/>
      <w:lvlJc w:val="left"/>
      <w:pPr>
        <w:ind w:left="0" w:firstLine="0"/>
      </w:pPr>
      <w:rPr>
        <w:rFonts w:hint="eastAsia" w:ascii="黑体" w:eastAsia="黑体"/>
        <w:b w:val="0"/>
        <w:i w:val="0"/>
        <w:sz w:val="21"/>
      </w:rPr>
    </w:lvl>
    <w:lvl w:ilvl="2" w:tentative="0">
      <w:start w:val="1"/>
      <w:numFmt w:val="decimal"/>
      <w:pStyle w:val="2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
  <w:docVars>
    <w:docVar w:name="commondata" w:val="eyJoZGlkIjoiZmFhOTEwOTA4M2RhMmU1NGE4Zjg4ZmY1NTkwZWFmMjUifQ=="/>
  </w:docVars>
  <w:rsids>
    <w:rsidRoot w:val="001C1971"/>
    <w:rsid w:val="0000007A"/>
    <w:rsid w:val="00001B5B"/>
    <w:rsid w:val="00010B53"/>
    <w:rsid w:val="000117FA"/>
    <w:rsid w:val="00015B3A"/>
    <w:rsid w:val="00015ECA"/>
    <w:rsid w:val="00021F88"/>
    <w:rsid w:val="00023AB0"/>
    <w:rsid w:val="00035B6D"/>
    <w:rsid w:val="00037A2E"/>
    <w:rsid w:val="0004241E"/>
    <w:rsid w:val="00050AEC"/>
    <w:rsid w:val="00076ACB"/>
    <w:rsid w:val="00076FA0"/>
    <w:rsid w:val="00082FF1"/>
    <w:rsid w:val="00084859"/>
    <w:rsid w:val="000905AB"/>
    <w:rsid w:val="00090AB1"/>
    <w:rsid w:val="00094129"/>
    <w:rsid w:val="000A5A69"/>
    <w:rsid w:val="000B3167"/>
    <w:rsid w:val="000C006E"/>
    <w:rsid w:val="000F45D3"/>
    <w:rsid w:val="000F71FA"/>
    <w:rsid w:val="00102875"/>
    <w:rsid w:val="00136DC2"/>
    <w:rsid w:val="001445DA"/>
    <w:rsid w:val="00155E7C"/>
    <w:rsid w:val="001C1971"/>
    <w:rsid w:val="001D6EA2"/>
    <w:rsid w:val="00204F84"/>
    <w:rsid w:val="00215DD7"/>
    <w:rsid w:val="00224882"/>
    <w:rsid w:val="00233DDD"/>
    <w:rsid w:val="00237E7E"/>
    <w:rsid w:val="00242736"/>
    <w:rsid w:val="002512F2"/>
    <w:rsid w:val="00264B72"/>
    <w:rsid w:val="002663D9"/>
    <w:rsid w:val="002665EC"/>
    <w:rsid w:val="00274D47"/>
    <w:rsid w:val="0028709D"/>
    <w:rsid w:val="00295751"/>
    <w:rsid w:val="002979C8"/>
    <w:rsid w:val="002A0F91"/>
    <w:rsid w:val="002A5094"/>
    <w:rsid w:val="002B4CE6"/>
    <w:rsid w:val="002C231F"/>
    <w:rsid w:val="002D4343"/>
    <w:rsid w:val="002F0B8B"/>
    <w:rsid w:val="002F3AA6"/>
    <w:rsid w:val="002F3F3E"/>
    <w:rsid w:val="002F6715"/>
    <w:rsid w:val="0030564F"/>
    <w:rsid w:val="0031319C"/>
    <w:rsid w:val="00313469"/>
    <w:rsid w:val="0035380E"/>
    <w:rsid w:val="00360875"/>
    <w:rsid w:val="00377697"/>
    <w:rsid w:val="003777DB"/>
    <w:rsid w:val="00391E44"/>
    <w:rsid w:val="00392AF6"/>
    <w:rsid w:val="0039677A"/>
    <w:rsid w:val="003A0FD7"/>
    <w:rsid w:val="003B30F9"/>
    <w:rsid w:val="003C4E98"/>
    <w:rsid w:val="003C6F12"/>
    <w:rsid w:val="003C7C83"/>
    <w:rsid w:val="003D652D"/>
    <w:rsid w:val="003F0ECF"/>
    <w:rsid w:val="003F2EEC"/>
    <w:rsid w:val="004005B0"/>
    <w:rsid w:val="004240F0"/>
    <w:rsid w:val="00435909"/>
    <w:rsid w:val="00437E03"/>
    <w:rsid w:val="00453F8D"/>
    <w:rsid w:val="0049767D"/>
    <w:rsid w:val="004B46F1"/>
    <w:rsid w:val="004B56C3"/>
    <w:rsid w:val="004D05EE"/>
    <w:rsid w:val="004D0D8D"/>
    <w:rsid w:val="004D285A"/>
    <w:rsid w:val="004E1121"/>
    <w:rsid w:val="004F42E8"/>
    <w:rsid w:val="005117F8"/>
    <w:rsid w:val="00517666"/>
    <w:rsid w:val="00525B9B"/>
    <w:rsid w:val="00530A1D"/>
    <w:rsid w:val="00546C9F"/>
    <w:rsid w:val="00550AA3"/>
    <w:rsid w:val="00555768"/>
    <w:rsid w:val="00574CBB"/>
    <w:rsid w:val="0057781C"/>
    <w:rsid w:val="0059365C"/>
    <w:rsid w:val="005A1389"/>
    <w:rsid w:val="005A6EF5"/>
    <w:rsid w:val="005B13B2"/>
    <w:rsid w:val="005B3A42"/>
    <w:rsid w:val="005E6C7A"/>
    <w:rsid w:val="005F7B08"/>
    <w:rsid w:val="00605F70"/>
    <w:rsid w:val="006123BD"/>
    <w:rsid w:val="006224E0"/>
    <w:rsid w:val="00647AAD"/>
    <w:rsid w:val="00666AC0"/>
    <w:rsid w:val="00695C8A"/>
    <w:rsid w:val="006A4054"/>
    <w:rsid w:val="006A5904"/>
    <w:rsid w:val="006A672F"/>
    <w:rsid w:val="006D28E6"/>
    <w:rsid w:val="006E4EB5"/>
    <w:rsid w:val="006E7F2E"/>
    <w:rsid w:val="00713B38"/>
    <w:rsid w:val="00716D2A"/>
    <w:rsid w:val="00720891"/>
    <w:rsid w:val="00722C73"/>
    <w:rsid w:val="00735657"/>
    <w:rsid w:val="007426B8"/>
    <w:rsid w:val="00743656"/>
    <w:rsid w:val="00753EC9"/>
    <w:rsid w:val="00760826"/>
    <w:rsid w:val="00783745"/>
    <w:rsid w:val="007852B1"/>
    <w:rsid w:val="00791143"/>
    <w:rsid w:val="007A1430"/>
    <w:rsid w:val="007A307D"/>
    <w:rsid w:val="007A6EC1"/>
    <w:rsid w:val="007C78B9"/>
    <w:rsid w:val="007D7840"/>
    <w:rsid w:val="007E5135"/>
    <w:rsid w:val="007F7367"/>
    <w:rsid w:val="007F785D"/>
    <w:rsid w:val="008173ED"/>
    <w:rsid w:val="00822ADD"/>
    <w:rsid w:val="00831BAD"/>
    <w:rsid w:val="00844A75"/>
    <w:rsid w:val="00852083"/>
    <w:rsid w:val="00872310"/>
    <w:rsid w:val="008741FD"/>
    <w:rsid w:val="0087513A"/>
    <w:rsid w:val="00894E6B"/>
    <w:rsid w:val="008A145E"/>
    <w:rsid w:val="008A1E38"/>
    <w:rsid w:val="008B0285"/>
    <w:rsid w:val="008B440B"/>
    <w:rsid w:val="008D0030"/>
    <w:rsid w:val="008D1A07"/>
    <w:rsid w:val="008D7934"/>
    <w:rsid w:val="008E73B2"/>
    <w:rsid w:val="00903D18"/>
    <w:rsid w:val="009078BB"/>
    <w:rsid w:val="0092426D"/>
    <w:rsid w:val="0092709E"/>
    <w:rsid w:val="00951C47"/>
    <w:rsid w:val="0095509D"/>
    <w:rsid w:val="009615C5"/>
    <w:rsid w:val="009618BF"/>
    <w:rsid w:val="0096218D"/>
    <w:rsid w:val="00964B16"/>
    <w:rsid w:val="009936AB"/>
    <w:rsid w:val="009A2906"/>
    <w:rsid w:val="009A514C"/>
    <w:rsid w:val="009B4725"/>
    <w:rsid w:val="009B6E69"/>
    <w:rsid w:val="009C08DA"/>
    <w:rsid w:val="009C333D"/>
    <w:rsid w:val="009D2E05"/>
    <w:rsid w:val="009F19C0"/>
    <w:rsid w:val="00A14861"/>
    <w:rsid w:val="00A2087D"/>
    <w:rsid w:val="00A22E73"/>
    <w:rsid w:val="00A329F7"/>
    <w:rsid w:val="00A369F1"/>
    <w:rsid w:val="00A56255"/>
    <w:rsid w:val="00A57BE2"/>
    <w:rsid w:val="00A65AC0"/>
    <w:rsid w:val="00A7221A"/>
    <w:rsid w:val="00A72D65"/>
    <w:rsid w:val="00A76DB0"/>
    <w:rsid w:val="00A87DD6"/>
    <w:rsid w:val="00AA781C"/>
    <w:rsid w:val="00AB1BCD"/>
    <w:rsid w:val="00AC4D4E"/>
    <w:rsid w:val="00AE1CF7"/>
    <w:rsid w:val="00AE5E92"/>
    <w:rsid w:val="00AE6D5F"/>
    <w:rsid w:val="00AF5B7D"/>
    <w:rsid w:val="00AF62EC"/>
    <w:rsid w:val="00B0520A"/>
    <w:rsid w:val="00B154D0"/>
    <w:rsid w:val="00B2081E"/>
    <w:rsid w:val="00B33BF1"/>
    <w:rsid w:val="00B3497B"/>
    <w:rsid w:val="00B45AE7"/>
    <w:rsid w:val="00B5017B"/>
    <w:rsid w:val="00B85183"/>
    <w:rsid w:val="00BA347D"/>
    <w:rsid w:val="00BA5F29"/>
    <w:rsid w:val="00BD411F"/>
    <w:rsid w:val="00BE01CF"/>
    <w:rsid w:val="00C01246"/>
    <w:rsid w:val="00C149D5"/>
    <w:rsid w:val="00C223EE"/>
    <w:rsid w:val="00C27A13"/>
    <w:rsid w:val="00C40669"/>
    <w:rsid w:val="00C47FEA"/>
    <w:rsid w:val="00C50B12"/>
    <w:rsid w:val="00C731C6"/>
    <w:rsid w:val="00C870A4"/>
    <w:rsid w:val="00C923B3"/>
    <w:rsid w:val="00C9395C"/>
    <w:rsid w:val="00CD3464"/>
    <w:rsid w:val="00CD4D23"/>
    <w:rsid w:val="00CE0776"/>
    <w:rsid w:val="00CE1B91"/>
    <w:rsid w:val="00CE51C9"/>
    <w:rsid w:val="00D20D5B"/>
    <w:rsid w:val="00D376A2"/>
    <w:rsid w:val="00D418D7"/>
    <w:rsid w:val="00D42091"/>
    <w:rsid w:val="00D42375"/>
    <w:rsid w:val="00D65C8C"/>
    <w:rsid w:val="00D67712"/>
    <w:rsid w:val="00D81A09"/>
    <w:rsid w:val="00D862C0"/>
    <w:rsid w:val="00D86A81"/>
    <w:rsid w:val="00D92B72"/>
    <w:rsid w:val="00D92D8A"/>
    <w:rsid w:val="00D9431E"/>
    <w:rsid w:val="00DA1793"/>
    <w:rsid w:val="00DB3344"/>
    <w:rsid w:val="00DC0655"/>
    <w:rsid w:val="00DD1545"/>
    <w:rsid w:val="00DE2B4F"/>
    <w:rsid w:val="00DE59FC"/>
    <w:rsid w:val="00DF01B5"/>
    <w:rsid w:val="00DF5A59"/>
    <w:rsid w:val="00E045F4"/>
    <w:rsid w:val="00E10431"/>
    <w:rsid w:val="00E20101"/>
    <w:rsid w:val="00E21072"/>
    <w:rsid w:val="00E223F5"/>
    <w:rsid w:val="00E40324"/>
    <w:rsid w:val="00E42EA4"/>
    <w:rsid w:val="00E476F5"/>
    <w:rsid w:val="00E66352"/>
    <w:rsid w:val="00E86919"/>
    <w:rsid w:val="00E91842"/>
    <w:rsid w:val="00E959A2"/>
    <w:rsid w:val="00E95A59"/>
    <w:rsid w:val="00EA0E6F"/>
    <w:rsid w:val="00EA45A0"/>
    <w:rsid w:val="00EB7D2E"/>
    <w:rsid w:val="00ED4542"/>
    <w:rsid w:val="00ED6663"/>
    <w:rsid w:val="00EE0D56"/>
    <w:rsid w:val="00EE2BFC"/>
    <w:rsid w:val="00EF0DB7"/>
    <w:rsid w:val="00EF578C"/>
    <w:rsid w:val="00F06039"/>
    <w:rsid w:val="00F10349"/>
    <w:rsid w:val="00F379DE"/>
    <w:rsid w:val="00F42915"/>
    <w:rsid w:val="00F43E48"/>
    <w:rsid w:val="00F4411B"/>
    <w:rsid w:val="00F52EE6"/>
    <w:rsid w:val="00F549CD"/>
    <w:rsid w:val="00F60ACD"/>
    <w:rsid w:val="00F707BF"/>
    <w:rsid w:val="00F770A2"/>
    <w:rsid w:val="00F91175"/>
    <w:rsid w:val="00F92653"/>
    <w:rsid w:val="00FB455B"/>
    <w:rsid w:val="00FB5F45"/>
    <w:rsid w:val="00FE684F"/>
    <w:rsid w:val="00FE6C79"/>
    <w:rsid w:val="03910392"/>
    <w:rsid w:val="060633F4"/>
    <w:rsid w:val="062D0592"/>
    <w:rsid w:val="06907B34"/>
    <w:rsid w:val="074F4539"/>
    <w:rsid w:val="0AC736EC"/>
    <w:rsid w:val="0C6B2020"/>
    <w:rsid w:val="0CEF76F2"/>
    <w:rsid w:val="174F6F43"/>
    <w:rsid w:val="1A495ECC"/>
    <w:rsid w:val="1B7549F6"/>
    <w:rsid w:val="1DD45C6C"/>
    <w:rsid w:val="1E8D27EC"/>
    <w:rsid w:val="1FDE5C92"/>
    <w:rsid w:val="23B039B7"/>
    <w:rsid w:val="23BE4D1F"/>
    <w:rsid w:val="24AC5E86"/>
    <w:rsid w:val="25215D4A"/>
    <w:rsid w:val="2B320625"/>
    <w:rsid w:val="2B620B9B"/>
    <w:rsid w:val="2DD66AA1"/>
    <w:rsid w:val="2E166456"/>
    <w:rsid w:val="30935EF0"/>
    <w:rsid w:val="37F979C7"/>
    <w:rsid w:val="3D9910E3"/>
    <w:rsid w:val="3F1B79B6"/>
    <w:rsid w:val="3FF73B50"/>
    <w:rsid w:val="401D2E27"/>
    <w:rsid w:val="41615A67"/>
    <w:rsid w:val="48580610"/>
    <w:rsid w:val="488A4EC3"/>
    <w:rsid w:val="4A5A0CE1"/>
    <w:rsid w:val="4A7C464E"/>
    <w:rsid w:val="4BD64428"/>
    <w:rsid w:val="4C5F21E2"/>
    <w:rsid w:val="515431DE"/>
    <w:rsid w:val="536C2A87"/>
    <w:rsid w:val="556E3DBC"/>
    <w:rsid w:val="5B401FAF"/>
    <w:rsid w:val="5D30024A"/>
    <w:rsid w:val="5FFE187A"/>
    <w:rsid w:val="616B3E73"/>
    <w:rsid w:val="64572474"/>
    <w:rsid w:val="68D43812"/>
    <w:rsid w:val="69C42603"/>
    <w:rsid w:val="734640B2"/>
    <w:rsid w:val="75CA2B92"/>
    <w:rsid w:val="791974F6"/>
    <w:rsid w:val="7A682979"/>
    <w:rsid w:val="7DDB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0"/>
    <w:pPr>
      <w:framePr w:wrap="around"/>
      <w:jc w:val="left"/>
    </w:pPr>
  </w:style>
  <w:style w:type="paragraph" w:styleId="3">
    <w:name w:val="Balloon Text"/>
    <w:basedOn w:val="1"/>
    <w:link w:val="26"/>
    <w:qFormat/>
    <w:uiPriority w:val="0"/>
    <w:pPr>
      <w:framePr w:wrap="around"/>
    </w:pPr>
    <w:rPr>
      <w:sz w:val="18"/>
      <w:szCs w:val="18"/>
    </w:rPr>
  </w:style>
  <w:style w:type="paragraph" w:styleId="4">
    <w:name w:val="footer"/>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5">
    <w:name w:val="header"/>
    <w:basedOn w:val="1"/>
    <w:link w:val="17"/>
    <w:qFormat/>
    <w:uiPriority w:val="0"/>
    <w:pPr>
      <w:framePr w:wrap="around"/>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framePr w:wrap="around"/>
    </w:pPr>
    <w:rPr>
      <w:sz w:val="24"/>
    </w:rPr>
  </w:style>
  <w:style w:type="paragraph" w:styleId="7">
    <w:name w:val="annotation subject"/>
    <w:basedOn w:val="2"/>
    <w:next w:val="2"/>
    <w:link w:val="20"/>
    <w:semiHidden/>
    <w:unhideWhenUsed/>
    <w:qFormat/>
    <w:uiPriority w:val="0"/>
    <w:pPr>
      <w:framePr w:wrap="around"/>
    </w:pPr>
    <w:rPr>
      <w:b/>
      <w:bCs/>
    </w:rPr>
  </w:style>
  <w:style w:type="character" w:styleId="10">
    <w:name w:val="Hyperlink"/>
    <w:qFormat/>
    <w:uiPriority w:val="0"/>
    <w:rPr>
      <w:u w:val="single"/>
    </w:rPr>
  </w:style>
  <w:style w:type="character" w:styleId="11">
    <w:name w:val="annotation reference"/>
    <w:basedOn w:val="9"/>
    <w:semiHidden/>
    <w:unhideWhenUsed/>
    <w:qFormat/>
    <w:uiPriority w:val="0"/>
    <w:rPr>
      <w:sz w:val="21"/>
      <w:szCs w:val="21"/>
    </w:rPr>
  </w:style>
  <w:style w:type="paragraph" w:customStyle="1" w:styleId="12">
    <w:name w:val="章标题"/>
    <w:next w:val="13"/>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7">
    <w:name w:val="页眉 字符"/>
    <w:basedOn w:val="9"/>
    <w:link w:val="5"/>
    <w:qFormat/>
    <w:uiPriority w:val="0"/>
    <w:rPr>
      <w:rFonts w:ascii="Arial Unicode MS" w:hAnsi="Arial Unicode MS" w:eastAsia="Times New Roman" w:cs="Arial Unicode MS"/>
      <w:color w:val="000000"/>
      <w:kern w:val="2"/>
      <w:sz w:val="18"/>
      <w:szCs w:val="18"/>
      <w:u w:color="000000"/>
    </w:rPr>
  </w:style>
  <w:style w:type="paragraph" w:customStyle="1" w:styleId="18">
    <w:name w:val="列表段落1"/>
    <w:basedOn w:val="1"/>
    <w:qFormat/>
    <w:uiPriority w:val="99"/>
    <w:pPr>
      <w:framePr w:wrap="around"/>
      <w:ind w:firstLine="420" w:firstLineChars="200"/>
    </w:pPr>
  </w:style>
  <w:style w:type="character" w:customStyle="1" w:styleId="19">
    <w:name w:val="批注文字 字符"/>
    <w:basedOn w:val="9"/>
    <w:link w:val="2"/>
    <w:qFormat/>
    <w:uiPriority w:val="0"/>
    <w:rPr>
      <w:rFonts w:ascii="Arial Unicode MS" w:hAnsi="Arial Unicode MS" w:eastAsia="Times New Roman" w:cs="Arial Unicode MS"/>
      <w:color w:val="000000"/>
      <w:kern w:val="2"/>
      <w:sz w:val="21"/>
      <w:szCs w:val="21"/>
      <w:u w:color="000000"/>
    </w:rPr>
  </w:style>
  <w:style w:type="character" w:customStyle="1" w:styleId="20">
    <w:name w:val="批注主题 字符"/>
    <w:basedOn w:val="19"/>
    <w:link w:val="7"/>
    <w:semiHidden/>
    <w:qFormat/>
    <w:uiPriority w:val="0"/>
    <w:rPr>
      <w:rFonts w:ascii="Arial Unicode MS" w:hAnsi="Arial Unicode MS" w:eastAsia="Times New Roman" w:cs="Arial Unicode MS"/>
      <w:b/>
      <w:bCs/>
      <w:color w:val="000000"/>
      <w:kern w:val="2"/>
      <w:sz w:val="21"/>
      <w:szCs w:val="21"/>
      <w:u w:color="000000"/>
    </w:rPr>
  </w:style>
  <w:style w:type="paragraph" w:customStyle="1" w:styleId="21">
    <w:name w:val="修订1"/>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2">
    <w:name w:val="标准文件_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标准文件_段 Char"/>
    <w:link w:val="22"/>
    <w:qFormat/>
    <w:uiPriority w:val="0"/>
    <w:rPr>
      <w:rFonts w:ascii="宋体"/>
      <w:sz w:val="21"/>
    </w:rPr>
  </w:style>
  <w:style w:type="paragraph" w:customStyle="1" w:styleId="24">
    <w:name w:val="修订2"/>
    <w:hidden/>
    <w:semiHidden/>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5">
    <w:name w:val="修订3"/>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6">
    <w:name w:val="批注框文本 字符"/>
    <w:basedOn w:val="9"/>
    <w:link w:val="3"/>
    <w:qFormat/>
    <w:uiPriority w:val="0"/>
    <w:rPr>
      <w:rFonts w:ascii="Arial Unicode MS" w:hAnsi="Arial Unicode MS" w:eastAsia="Times New Roman" w:cs="Arial Unicode MS"/>
      <w:color w:val="000000"/>
      <w:kern w:val="2"/>
      <w:sz w:val="18"/>
      <w:szCs w:val="18"/>
      <w:u w:color="000000"/>
    </w:rPr>
  </w:style>
  <w:style w:type="paragraph" w:customStyle="1" w:styleId="27">
    <w:name w:val="标准文件_一级条标题"/>
    <w:basedOn w:val="28"/>
    <w:next w:val="22"/>
    <w:qFormat/>
    <w:uiPriority w:val="0"/>
    <w:pPr>
      <w:numPr>
        <w:ilvl w:val="2"/>
      </w:numPr>
      <w:spacing w:before="50" w:beforeLines="50" w:after="50" w:afterLines="50"/>
      <w:outlineLvl w:val="1"/>
    </w:pPr>
  </w:style>
  <w:style w:type="paragraph" w:customStyle="1" w:styleId="28">
    <w:name w:val="标准文件_章标题"/>
    <w:next w:val="2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9">
    <w:name w:val="标准文件_二级条标题"/>
    <w:next w:val="2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0">
    <w:name w:val="Revision"/>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5110</Words>
  <Characters>5248</Characters>
  <Lines>37</Lines>
  <Paragraphs>10</Paragraphs>
  <TotalTime>60</TotalTime>
  <ScaleCrop>false</ScaleCrop>
  <LinksUpToDate>false</LinksUpToDate>
  <CharactersWithSpaces>5254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2019-03-19T02:01:00Z</dcterms:created>
  <dc:creator>HP</dc:creator>
  <cp:lastModifiedBy>董晓媛</cp:lastModifiedBy>
  <cp:lastPrinted>2019-06-17T03:57:00Z</cp:lastPrinted>
  <dcterms:modified xsi:type="dcterms:W3CDTF">2025-01-16T08:55:13Z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657178B20B984F04B5173E8492FEFEE7_13</vt:lpwstr>
  </property>
  <property fmtid="{D5CDD505-2E9C-101B-9397-08002B2CF9AE}" pid="4" name="KSOTemplateDocerSaveRecord">
    <vt:lpwstr>eyJoZGlkIjoiZmFhOTEwOTA4M2RhMmU1NGE4Zjg4ZmY1NTkwZWFmMjUiLCJ1c2VySWQiOiI0MTQzODE4NzEifQ==</vt:lpwstr>
  </property>
</Properties>
</file>