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54DA30">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71432CA4">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39147B2D">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61C640E4">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0DB458FA">
      <w:pPr>
        <w:framePr w:wrap="auto" w:vAnchor="margin" w:hAnchor="text" w:yAlign="inline"/>
        <w:spacing w:before="120" w:beforeLines="50"/>
        <w:jc w:val="center"/>
        <w:outlineLvl w:val="0"/>
        <w:rPr>
          <w:rFonts w:ascii="黑体" w:hAnsi="黑体" w:eastAsia="黑体" w:cs="宋体"/>
          <w:sz w:val="48"/>
          <w:szCs w:val="48"/>
        </w:rPr>
      </w:pPr>
      <w:r>
        <w:rPr>
          <w:rFonts w:ascii="黑体" w:hAnsi="黑体" w:eastAsia="黑体" w:cs="宋体"/>
          <w:sz w:val="48"/>
          <w:szCs w:val="48"/>
          <w:lang w:val="zh-TW"/>
        </w:rPr>
        <w:t>《</w:t>
      </w:r>
      <w:r>
        <w:rPr>
          <w:rFonts w:ascii="黑体" w:hAnsi="黑体" w:eastAsia="黑体" w:cs="宋体"/>
          <w:sz w:val="48"/>
          <w:szCs w:val="48"/>
        </w:rPr>
        <w:t>数字贸易开放型产教融合实践中心</w:t>
      </w:r>
    </w:p>
    <w:p w14:paraId="5AC622BF">
      <w:pPr>
        <w:framePr w:wrap="auto" w:vAnchor="margin" w:hAnchor="text" w:yAlign="inline"/>
        <w:spacing w:after="120" w:afterLines="50"/>
        <w:jc w:val="center"/>
        <w:outlineLvl w:val="0"/>
        <w:rPr>
          <w:rFonts w:ascii="黑体" w:hAnsi="黑体" w:eastAsia="黑体" w:cs="宋体"/>
          <w:sz w:val="48"/>
          <w:szCs w:val="48"/>
          <w:lang w:val="zh-TW"/>
        </w:rPr>
      </w:pPr>
      <w:r>
        <w:rPr>
          <w:rFonts w:ascii="黑体" w:hAnsi="黑体" w:eastAsia="黑体" w:cs="宋体"/>
          <w:sz w:val="48"/>
          <w:szCs w:val="48"/>
        </w:rPr>
        <w:t>建设与运营管理规范</w:t>
      </w:r>
      <w:r>
        <w:rPr>
          <w:rFonts w:ascii="黑体" w:hAnsi="黑体" w:eastAsia="黑体" w:cs="宋体"/>
          <w:sz w:val="48"/>
          <w:szCs w:val="48"/>
          <w:lang w:val="zh-TW"/>
        </w:rPr>
        <w:t>》团体标准</w:t>
      </w:r>
    </w:p>
    <w:p w14:paraId="7E2FCE80">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w:t>
      </w:r>
      <w:r>
        <w:rPr>
          <w:rFonts w:ascii="黑体" w:hAnsi="黑体" w:eastAsia="黑体" w:cs="宋体"/>
          <w:sz w:val="48"/>
          <w:szCs w:val="48"/>
        </w:rPr>
        <w:t>征求意见</w:t>
      </w:r>
      <w:r>
        <w:rPr>
          <w:rFonts w:ascii="黑体" w:hAnsi="黑体" w:eastAsia="黑体" w:cs="宋体"/>
          <w:sz w:val="48"/>
          <w:szCs w:val="48"/>
          <w:lang w:val="zh-TW"/>
        </w:rPr>
        <w:t>稿）</w:t>
      </w:r>
    </w:p>
    <w:p w14:paraId="0B1211E5">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编制说明</w:t>
      </w:r>
    </w:p>
    <w:p w14:paraId="4F452860">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2B2ACED5">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244D80B2">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4C4EF2CC">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0BC5568D">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2C961BEB">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15B9BECC">
      <w:pPr>
        <w:framePr w:wrap="auto" w:vAnchor="margin" w:hAnchor="text" w:yAlign="inline"/>
        <w:spacing w:before="120" w:beforeLines="50" w:after="120" w:afterLines="50" w:line="300" w:lineRule="auto"/>
        <w:jc w:val="center"/>
        <w:outlineLvl w:val="0"/>
        <w:rPr>
          <w:rFonts w:ascii="宋体" w:hAnsi="宋体" w:eastAsia="宋体" w:cs="宋体"/>
          <w:b/>
          <w:bCs/>
          <w:sz w:val="28"/>
          <w:szCs w:val="28"/>
          <w:lang w:val="zh-TW"/>
        </w:rPr>
      </w:pPr>
      <w:r>
        <w:rPr>
          <w:rFonts w:hint="cs" w:ascii="宋体" w:hAnsi="宋体" w:eastAsia="宋体" w:cs="宋体"/>
          <w:b/>
          <w:bCs/>
          <w:sz w:val="28"/>
          <w:szCs w:val="28"/>
          <w:lang w:val="zh-TW"/>
        </w:rPr>
        <w:t>中国国际贸易促进委员会商业行业委员会</w:t>
      </w:r>
    </w:p>
    <w:p w14:paraId="11D942F9">
      <w:pPr>
        <w:framePr w:wrap="auto" w:vAnchor="margin" w:hAnchor="text" w:yAlign="inline"/>
        <w:spacing w:before="120" w:beforeLines="50" w:after="120" w:afterLines="50" w:line="300" w:lineRule="auto"/>
        <w:jc w:val="center"/>
        <w:outlineLvl w:val="0"/>
        <w:rPr>
          <w:rFonts w:ascii="宋体" w:hAnsi="宋体" w:eastAsia="宋体" w:cs="宋体"/>
          <w:sz w:val="28"/>
          <w:szCs w:val="28"/>
          <w:lang w:val="zh-TW" w:eastAsia="zh-TW"/>
        </w:rPr>
      </w:pPr>
      <w:r>
        <w:rPr>
          <w:rFonts w:ascii="宋体" w:hAnsi="宋体" w:eastAsia="宋体" w:cs="宋体"/>
          <w:sz w:val="28"/>
          <w:szCs w:val="28"/>
          <w:lang w:val="zh-TW" w:eastAsia="zh-TW"/>
        </w:rPr>
        <w:t>二〇</w:t>
      </w:r>
      <w:r>
        <w:rPr>
          <w:rFonts w:ascii="宋体" w:hAnsi="宋体" w:eastAsia="宋体" w:cs="宋体"/>
          <w:sz w:val="28"/>
          <w:szCs w:val="28"/>
          <w:lang w:eastAsia="zh-TW"/>
        </w:rPr>
        <w:t>二五</w:t>
      </w:r>
      <w:r>
        <w:rPr>
          <w:rFonts w:ascii="宋体" w:hAnsi="宋体" w:eastAsia="宋体" w:cs="宋体"/>
          <w:sz w:val="28"/>
          <w:szCs w:val="28"/>
          <w:lang w:val="zh-TW" w:eastAsia="zh-TW"/>
        </w:rPr>
        <w:t>年</w:t>
      </w:r>
      <w:r>
        <w:rPr>
          <w:rFonts w:ascii="宋体" w:hAnsi="宋体" w:eastAsia="宋体" w:cs="宋体"/>
          <w:sz w:val="28"/>
          <w:szCs w:val="28"/>
          <w:lang w:eastAsia="zh-TW"/>
        </w:rPr>
        <w:t>一</w:t>
      </w:r>
      <w:r>
        <w:rPr>
          <w:rFonts w:ascii="宋体" w:hAnsi="宋体" w:eastAsia="宋体" w:cs="宋体"/>
          <w:sz w:val="28"/>
          <w:szCs w:val="28"/>
          <w:lang w:val="zh-TW" w:eastAsia="zh-TW"/>
        </w:rPr>
        <w:t>月</w:t>
      </w:r>
      <w:r>
        <w:rPr>
          <w:rFonts w:ascii="宋体" w:hAnsi="宋体" w:eastAsia="宋体" w:cs="宋体"/>
          <w:sz w:val="28"/>
          <w:szCs w:val="28"/>
          <w:lang w:eastAsia="zh-TW"/>
        </w:rPr>
        <w:t>十三</w:t>
      </w:r>
      <w:r>
        <w:rPr>
          <w:rFonts w:ascii="宋体" w:hAnsi="宋体" w:eastAsia="宋体" w:cs="宋体"/>
          <w:sz w:val="28"/>
          <w:szCs w:val="28"/>
          <w:lang w:val="zh-TW" w:eastAsia="zh-TW"/>
        </w:rPr>
        <w:t>日</w:t>
      </w:r>
    </w:p>
    <w:p w14:paraId="471BBBBD">
      <w:pPr>
        <w:framePr w:wrap="auto" w:vAnchor="margin" w:hAnchor="text" w:yAlign="inline"/>
        <w:spacing w:line="300" w:lineRule="auto"/>
        <w:jc w:val="center"/>
        <w:outlineLvl w:val="0"/>
        <w:rPr>
          <w:rFonts w:ascii="宋体" w:hAnsi="宋体" w:eastAsia="宋体" w:cs="宋体"/>
          <w:b/>
          <w:bCs/>
          <w:sz w:val="32"/>
          <w:szCs w:val="32"/>
          <w:lang w:val="zh-TW" w:eastAsia="zh-TW"/>
        </w:rPr>
        <w:sectPr>
          <w:headerReference r:id="rId3" w:type="default"/>
          <w:footerReference r:id="rId4" w:type="default"/>
          <w:pgSz w:w="11900" w:h="16840"/>
          <w:pgMar w:top="1440" w:right="1800" w:bottom="1440" w:left="1800" w:header="851" w:footer="992" w:gutter="0"/>
          <w:pgNumType w:start="1"/>
          <w:cols w:space="720" w:num="1"/>
        </w:sectPr>
      </w:pPr>
    </w:p>
    <w:p w14:paraId="0F871239">
      <w:pPr>
        <w:framePr w:wrap="auto" w:vAnchor="margin" w:hAnchor="text" w:yAlign="inline"/>
        <w:spacing w:line="300" w:lineRule="auto"/>
        <w:jc w:val="center"/>
        <w:outlineLvl w:val="0"/>
        <w:rPr>
          <w:rFonts w:hint="default"/>
          <w:b/>
          <w:bCs/>
          <w:sz w:val="32"/>
          <w:szCs w:val="32"/>
          <w:lang w:val="zh-TW"/>
        </w:rPr>
      </w:pPr>
      <w:r>
        <w:rPr>
          <w:rFonts w:hint="cs" w:ascii="宋体" w:hAnsi="宋体" w:eastAsia="宋体" w:cs="宋体"/>
          <w:b/>
          <w:bCs/>
          <w:sz w:val="32"/>
          <w:szCs w:val="32"/>
          <w:lang w:val="zh-TW"/>
        </w:rPr>
        <w:t>《</w:t>
      </w:r>
      <w:r>
        <w:rPr>
          <w:rFonts w:ascii="宋体" w:hAnsi="宋体" w:eastAsia="宋体" w:cs="宋体"/>
          <w:b/>
          <w:bCs/>
          <w:sz w:val="32"/>
          <w:szCs w:val="32"/>
        </w:rPr>
        <w:t>数字贸易开放型产教融合实践中心建设与运营管理规范</w:t>
      </w:r>
      <w:r>
        <w:rPr>
          <w:rFonts w:hint="cs" w:ascii="宋体" w:hAnsi="宋体" w:eastAsia="宋体" w:cs="宋体"/>
          <w:b/>
          <w:bCs/>
          <w:sz w:val="32"/>
          <w:szCs w:val="32"/>
          <w:lang w:val="zh-TW"/>
        </w:rPr>
        <w:t>》</w:t>
      </w:r>
      <w:r>
        <w:rPr>
          <w:rFonts w:ascii="宋体" w:hAnsi="宋体" w:eastAsia="宋体" w:cs="宋体"/>
          <w:b/>
          <w:bCs/>
          <w:sz w:val="32"/>
          <w:szCs w:val="32"/>
          <w:lang w:val="zh-TW"/>
        </w:rPr>
        <w:t>团体标准编制说明</w:t>
      </w:r>
    </w:p>
    <w:p w14:paraId="4BD2DE36">
      <w:pPr>
        <w:framePr w:wrap="auto" w:vAnchor="margin" w:hAnchor="text" w:yAlign="inline"/>
        <w:spacing w:line="360" w:lineRule="auto"/>
        <w:ind w:firstLine="482"/>
        <w:rPr>
          <w:rFonts w:ascii="宋体" w:hAnsi="宋体" w:eastAsia="宋体" w:cs="宋体"/>
          <w:b/>
          <w:bCs/>
          <w:kern w:val="0"/>
          <w:sz w:val="24"/>
          <w:szCs w:val="24"/>
        </w:rPr>
      </w:pPr>
    </w:p>
    <w:p w14:paraId="73A39EB9">
      <w:pPr>
        <w:pStyle w:val="15"/>
        <w:framePr w:wrap="auto" w:vAnchor="margin" w:hAnchor="text" w:yAlign="inline"/>
        <w:numPr>
          <w:ilvl w:val="0"/>
          <w:numId w:val="2"/>
        </w:numPr>
        <w:spacing w:line="360" w:lineRule="auto"/>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670D08A1">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cs="宋体" w:eastAsiaTheme="minorEastAsia"/>
          <w:color w:val="auto"/>
          <w:sz w:val="24"/>
          <w:szCs w:val="24"/>
          <w:lang w:val="zh-TW"/>
        </w:rPr>
        <w:t>近年来，我国数字贸易发展迅猛。2021年至2023年，全球数字贸易规模从6.02万亿美元增至7.13万亿美元，年均增速达8.8%。我国在数字贸易领域的竞争力不断增强，然而，人才短缺和技术创新滞后等问题仍然制约着产业的发展。2022年12月，中共中央办公厅、国务院办公厅印发了《关于深化现代职业教育体系建设改革的意见》（以下简称“意见”）。意见指出：“建设开放型区域产教融合实践中心。对标产业发展前沿，建设集实践教学、社会培训、真实生产和技术服务功能为一体的开放型区域产教融合实践中心。”在此背景下，构建数字贸易开放型产教融合实践中心，</w:t>
      </w:r>
      <w:r>
        <w:rPr>
          <w:rFonts w:ascii="宋体" w:hAnsi="宋体" w:cs="宋体" w:eastAsiaTheme="minorEastAsia"/>
          <w:color w:val="auto"/>
          <w:sz w:val="24"/>
          <w:szCs w:val="24"/>
        </w:rPr>
        <w:t>能够</w:t>
      </w:r>
      <w:r>
        <w:rPr>
          <w:rFonts w:ascii="宋体" w:hAnsi="宋体" w:cs="宋体" w:eastAsiaTheme="minorEastAsia"/>
          <w:color w:val="auto"/>
          <w:sz w:val="24"/>
          <w:szCs w:val="24"/>
          <w:lang w:val="zh-TW"/>
        </w:rPr>
        <w:t>强化与行业、企业的深度合作，有效促进教育链、人才链与产业链、创新链的有机衔接，从而加速数字贸易领域高素质技术技能人才的培养。针对当前数字贸易教育实践中存在的标准化不足、系统性欠缺等问题，亟需通过制定</w:t>
      </w:r>
      <w:r>
        <w:rPr>
          <w:rFonts w:ascii="宋体" w:hAnsi="宋体" w:cs="宋体" w:eastAsiaTheme="minorEastAsia"/>
          <w:color w:val="auto"/>
          <w:sz w:val="24"/>
          <w:szCs w:val="24"/>
        </w:rPr>
        <w:t>相关</w:t>
      </w:r>
      <w:r>
        <w:rPr>
          <w:rFonts w:ascii="宋体" w:hAnsi="宋体" w:cs="宋体" w:eastAsiaTheme="minorEastAsia"/>
          <w:color w:val="auto"/>
          <w:sz w:val="24"/>
          <w:szCs w:val="24"/>
          <w:lang w:val="zh-TW"/>
        </w:rPr>
        <w:t>标准，</w:t>
      </w:r>
      <w:r>
        <w:rPr>
          <w:rFonts w:ascii="宋体" w:hAnsi="宋体" w:cs="宋体" w:eastAsiaTheme="minorEastAsia"/>
          <w:color w:val="auto"/>
          <w:sz w:val="24"/>
          <w:szCs w:val="24"/>
        </w:rPr>
        <w:t>以规范和引导数字贸易开放型产教融合实践中心在建设和服务过程中的具体细节，实现数字贸易开放型产教融合实践中心的全面推广和标准化管理。</w:t>
      </w:r>
    </w:p>
    <w:p w14:paraId="7A10F834">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二、标准制定的目的和意义</w:t>
      </w:r>
    </w:p>
    <w:p w14:paraId="780EDC6C">
      <w:pPr>
        <w:pStyle w:val="15"/>
        <w:framePr w:wrap="auto" w:vAnchor="margin" w:hAnchor="text" w:yAlign="inline"/>
        <w:spacing w:line="360" w:lineRule="auto"/>
        <w:ind w:left="482" w:firstLine="0"/>
        <w:rPr>
          <w:rFonts w:ascii="宋体" w:hAnsi="宋体" w:eastAsia="宋体" w:cs="宋体"/>
          <w:b/>
          <w:bCs/>
          <w:color w:val="auto"/>
          <w:sz w:val="24"/>
          <w:szCs w:val="24"/>
          <w:lang w:val="zh-TW"/>
        </w:rPr>
      </w:pPr>
      <w:r>
        <w:rPr>
          <w:rFonts w:ascii="宋体" w:hAnsi="宋体" w:eastAsia="宋体" w:cs="宋体"/>
          <w:b/>
          <w:bCs/>
          <w:color w:val="auto"/>
          <w:sz w:val="24"/>
          <w:szCs w:val="24"/>
          <w:lang w:val="zh-TW"/>
        </w:rPr>
        <w:t>（</w:t>
      </w:r>
      <w:r>
        <w:rPr>
          <w:rFonts w:ascii="宋体" w:hAnsi="宋体" w:eastAsia="宋体" w:cs="宋体"/>
          <w:b/>
          <w:bCs/>
          <w:color w:val="auto"/>
          <w:sz w:val="24"/>
          <w:szCs w:val="24"/>
        </w:rPr>
        <w:t>一</w:t>
      </w:r>
      <w:r>
        <w:rPr>
          <w:rFonts w:ascii="宋体" w:hAnsi="宋体" w:eastAsia="宋体" w:cs="宋体"/>
          <w:b/>
          <w:bCs/>
          <w:color w:val="auto"/>
          <w:sz w:val="24"/>
          <w:szCs w:val="24"/>
          <w:lang w:val="zh-TW"/>
        </w:rPr>
        <w:t>）</w:t>
      </w:r>
      <w:r>
        <w:rPr>
          <w:rFonts w:ascii="宋体" w:hAnsi="宋体" w:eastAsia="宋体" w:cs="宋体"/>
          <w:b/>
          <w:bCs/>
          <w:color w:val="auto"/>
          <w:kern w:val="0"/>
          <w:sz w:val="24"/>
          <w:szCs w:val="24"/>
          <w:u w:color="0000FF"/>
          <w:lang w:val="zh-TW"/>
        </w:rPr>
        <w:t>标准制定的</w:t>
      </w:r>
      <w:r>
        <w:rPr>
          <w:rFonts w:ascii="宋体" w:hAnsi="宋体" w:eastAsia="宋体" w:cs="宋体"/>
          <w:b/>
          <w:bCs/>
          <w:color w:val="auto"/>
          <w:sz w:val="24"/>
          <w:szCs w:val="24"/>
          <w:lang w:val="zh-TW"/>
        </w:rPr>
        <w:t>目的</w:t>
      </w:r>
    </w:p>
    <w:p w14:paraId="6D2B0D0C">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随着数字经济的蓬勃发展，数字贸易已经成为全球经济的重要组成部分，对</w:t>
      </w:r>
      <w:r>
        <w:rPr>
          <w:rFonts w:ascii="宋体" w:hAnsi="宋体" w:cs="宋体" w:eastAsiaTheme="minorEastAsia"/>
          <w:color w:val="auto"/>
          <w:sz w:val="24"/>
          <w:szCs w:val="24"/>
        </w:rPr>
        <w:t>相关</w:t>
      </w:r>
      <w:r>
        <w:rPr>
          <w:rFonts w:hint="cs" w:ascii="宋体" w:hAnsi="宋体" w:cs="宋体" w:eastAsiaTheme="minorEastAsia"/>
          <w:color w:val="auto"/>
          <w:sz w:val="24"/>
          <w:szCs w:val="24"/>
          <w:lang w:val="zh-TW"/>
        </w:rPr>
        <w:t>高素质专业人才的需求</w:t>
      </w:r>
      <w:r>
        <w:rPr>
          <w:rFonts w:ascii="宋体" w:hAnsi="宋体" w:cs="宋体" w:eastAsiaTheme="minorEastAsia"/>
          <w:color w:val="auto"/>
          <w:sz w:val="24"/>
          <w:szCs w:val="24"/>
        </w:rPr>
        <w:t>也</w:t>
      </w:r>
      <w:r>
        <w:rPr>
          <w:rFonts w:hint="cs" w:ascii="宋体" w:hAnsi="宋体" w:cs="宋体" w:eastAsiaTheme="minorEastAsia"/>
          <w:color w:val="auto"/>
          <w:sz w:val="24"/>
          <w:szCs w:val="24"/>
          <w:lang w:val="zh-TW"/>
        </w:rPr>
        <w:t>急剧增加。目前，我国数字贸易开放型产教融合实践中心在建设与服务过程中面临多方面的</w:t>
      </w:r>
      <w:r>
        <w:rPr>
          <w:rFonts w:ascii="宋体" w:hAnsi="宋体" w:cs="宋体" w:eastAsiaTheme="minorEastAsia"/>
          <w:color w:val="auto"/>
          <w:sz w:val="24"/>
          <w:szCs w:val="24"/>
        </w:rPr>
        <w:t>问题。第一，</w:t>
      </w:r>
      <w:r>
        <w:rPr>
          <w:rFonts w:hint="cs" w:ascii="宋体" w:hAnsi="宋体" w:cs="宋体" w:eastAsiaTheme="minorEastAsia"/>
          <w:color w:val="auto"/>
          <w:sz w:val="24"/>
          <w:szCs w:val="24"/>
          <w:lang w:val="zh-TW"/>
        </w:rPr>
        <w:t>实践中心的设施建设标准不统一，基础设施与现代化教育需求之间存在较大差距</w:t>
      </w:r>
      <w:r>
        <w:rPr>
          <w:rFonts w:ascii="宋体" w:hAnsi="宋体" w:cs="宋体" w:eastAsiaTheme="minorEastAsia"/>
          <w:color w:val="auto"/>
          <w:sz w:val="24"/>
          <w:szCs w:val="24"/>
          <w:lang w:val="zh-TW"/>
        </w:rPr>
        <w:t>，</w:t>
      </w:r>
      <w:r>
        <w:rPr>
          <w:rFonts w:hint="cs" w:ascii="宋体" w:hAnsi="宋体" w:cs="宋体" w:eastAsiaTheme="minorEastAsia"/>
          <w:color w:val="auto"/>
          <w:sz w:val="24"/>
          <w:szCs w:val="24"/>
          <w:lang w:val="zh-TW"/>
        </w:rPr>
        <w:t>尤其在大数据、人工智能、跨境电商等前沿领域的应用和教学上存在明显短板</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第二</w:t>
      </w:r>
      <w:r>
        <w:rPr>
          <w:rFonts w:hint="cs" w:ascii="宋体" w:hAnsi="宋体" w:cs="宋体" w:eastAsiaTheme="minorEastAsia"/>
          <w:color w:val="auto"/>
          <w:sz w:val="24"/>
          <w:szCs w:val="24"/>
          <w:lang w:val="zh-TW"/>
        </w:rPr>
        <w:t>，课程设置和教学内容未能充分与数字贸易产业的快速发展对接。部分实践中心的课程体系仍停留在传统贸易和基础技能培训层面，未能及时涵盖数字化、信息化的新兴领域</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第三</w:t>
      </w:r>
      <w:r>
        <w:rPr>
          <w:rFonts w:hint="cs" w:ascii="宋体" w:hAnsi="宋体" w:cs="宋体" w:eastAsiaTheme="minorEastAsia"/>
          <w:color w:val="auto"/>
          <w:sz w:val="24"/>
          <w:szCs w:val="24"/>
          <w:lang w:val="zh-TW"/>
        </w:rPr>
        <w:t>，师资队伍建设不足，缺乏具有实际行业经验的教师，教学内容往往偏重理论，缺乏与行业实际问题的结合</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第四</w:t>
      </w:r>
      <w:r>
        <w:rPr>
          <w:rFonts w:hint="cs" w:ascii="宋体" w:hAnsi="宋体" w:cs="宋体" w:eastAsiaTheme="minorEastAsia"/>
          <w:color w:val="auto"/>
          <w:sz w:val="24"/>
          <w:szCs w:val="24"/>
          <w:lang w:val="zh-TW"/>
        </w:rPr>
        <w:t>，教育与产业的深度融合不足，许多教育实践中心未能建立有效的校企合作机制。</w:t>
      </w:r>
    </w:p>
    <w:p w14:paraId="27A08244">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本标准的编制旨在为数字贸易开放型产教融合实践中心的建设和管理提供统一、科学、规范的标准</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其</w:t>
      </w:r>
      <w:r>
        <w:rPr>
          <w:rFonts w:hint="cs" w:ascii="宋体" w:hAnsi="宋体" w:cs="宋体" w:eastAsiaTheme="minorEastAsia"/>
          <w:color w:val="auto"/>
          <w:sz w:val="24"/>
          <w:szCs w:val="24"/>
          <w:lang w:val="zh-TW"/>
        </w:rPr>
        <w:t>目标是通过规范实践中心的设施建设、课程设置、师资队伍和质量保障等方面的要求，确保各类教育实践中心能够按照统一标准进行建设和运营，提升教育培训服务的整体水平</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同时</w:t>
      </w:r>
      <w:r>
        <w:rPr>
          <w:rFonts w:hint="cs" w:ascii="宋体" w:hAnsi="宋体" w:cs="宋体" w:eastAsiaTheme="minorEastAsia"/>
          <w:color w:val="auto"/>
          <w:sz w:val="24"/>
          <w:szCs w:val="24"/>
          <w:lang w:val="zh-TW"/>
        </w:rPr>
        <w:t>有效提升数字贸易教育的质量，推动教育体系与产业需求的深度融合，为数字贸易产业提供强有力的人才支撑，推动我国数字经济的高质量发展。</w:t>
      </w:r>
    </w:p>
    <w:p w14:paraId="53B23CC0">
      <w:pPr>
        <w:pStyle w:val="15"/>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w:t>
      </w:r>
      <w:r>
        <w:rPr>
          <w:rFonts w:ascii="宋体" w:hAnsi="宋体" w:eastAsia="宋体" w:cs="宋体"/>
          <w:b/>
          <w:bCs/>
          <w:color w:val="auto"/>
          <w:sz w:val="24"/>
          <w:szCs w:val="24"/>
        </w:rPr>
        <w:t>二</w:t>
      </w:r>
      <w:r>
        <w:rPr>
          <w:rFonts w:ascii="宋体" w:hAnsi="宋体" w:eastAsia="宋体" w:cs="宋体"/>
          <w:b/>
          <w:bCs/>
          <w:color w:val="auto"/>
          <w:sz w:val="24"/>
          <w:szCs w:val="24"/>
          <w:lang w:val="zh-TW"/>
        </w:rPr>
        <w:t>）项目任务的意义</w:t>
      </w:r>
    </w:p>
    <w:p w14:paraId="77D1679D">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cs="宋体" w:eastAsiaTheme="minorEastAsia"/>
          <w:color w:val="auto"/>
          <w:sz w:val="24"/>
          <w:szCs w:val="24"/>
          <w:lang w:val="zh-TW"/>
        </w:rPr>
        <w:t>项目任务的意义，体现在以下几个方面：</w:t>
      </w:r>
    </w:p>
    <w:p w14:paraId="3780F862">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1．规范产教融合实践中心的建设和管理，提升教育培训服务水平。</w:t>
      </w:r>
      <w:r>
        <w:rPr>
          <w:rFonts w:hint="cs" w:ascii="宋体" w:hAnsi="宋体" w:cs="宋体" w:eastAsiaTheme="minorEastAsia"/>
          <w:color w:val="auto"/>
          <w:sz w:val="24"/>
          <w:szCs w:val="24"/>
          <w:lang w:val="zh-TW"/>
        </w:rPr>
        <w:t>标准将规定中心的建设、管理、课程设置、师资队伍建设、质量保障、服务水平等方面的要求，使中心的建设和管理更加规范化、标准化，以提高教育培训服务的质量和水平。</w:t>
      </w:r>
    </w:p>
    <w:p w14:paraId="69C5954D">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2．推动数字贸易领域的人才培养和产业发展。</w:t>
      </w:r>
      <w:r>
        <w:rPr>
          <w:rFonts w:hint="cs" w:ascii="宋体" w:hAnsi="宋体" w:cs="宋体" w:eastAsiaTheme="minorEastAsia"/>
          <w:color w:val="auto"/>
          <w:sz w:val="24"/>
          <w:szCs w:val="24"/>
          <w:lang w:val="zh-TW"/>
        </w:rPr>
        <w:t>通过制定标准，可以更好地推进数字贸易人才的培养和产业的发展，培养出更多具备实践能力、符合行业需求的专业人才，为数字贸易产业的发展提供坚实的人才支撑。</w:t>
      </w:r>
    </w:p>
    <w:p w14:paraId="5BFD92AC">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3．促进教育和产业的深度融合，推动产业升级。</w:t>
      </w:r>
      <w:r>
        <w:rPr>
          <w:rFonts w:hint="cs" w:ascii="宋体" w:hAnsi="宋体" w:cs="宋体" w:eastAsiaTheme="minorEastAsia"/>
          <w:color w:val="auto"/>
          <w:sz w:val="24"/>
          <w:szCs w:val="24"/>
          <w:lang w:val="zh-TW"/>
        </w:rPr>
        <w:t>通过建设开放型区域产教融合实践中心，实现教育和产业的深度融合，促进校企合作和产业升级。</w:t>
      </w:r>
      <w:r>
        <w:rPr>
          <w:rFonts w:ascii="宋体" w:hAnsi="宋体" w:cs="宋体" w:eastAsiaTheme="minorEastAsia"/>
          <w:color w:val="auto"/>
          <w:sz w:val="24"/>
          <w:szCs w:val="24"/>
        </w:rPr>
        <w:t>本标准</w:t>
      </w:r>
      <w:r>
        <w:rPr>
          <w:rFonts w:hint="cs" w:ascii="宋体" w:hAnsi="宋体" w:cs="宋体" w:eastAsiaTheme="minorEastAsia"/>
          <w:color w:val="auto"/>
          <w:sz w:val="24"/>
          <w:szCs w:val="24"/>
          <w:lang w:val="zh-TW"/>
        </w:rPr>
        <w:t>可以更好地规范和推动产教融合实践中心的建设和管理，不仅能够提升教育质量，还能够推动产业技术创新和产业结构升级。</w:t>
      </w:r>
    </w:p>
    <w:p w14:paraId="29F0B950">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4．带动就业创业</w:t>
      </w:r>
      <w:r>
        <w:rPr>
          <w:rFonts w:ascii="宋体" w:hAnsi="宋体" w:eastAsia="宋体" w:cs="宋体"/>
          <w:b/>
          <w:bCs/>
          <w:color w:val="auto"/>
          <w:sz w:val="24"/>
          <w:szCs w:val="24"/>
          <w:lang w:val="zh-TW"/>
        </w:rPr>
        <w:t>，促进社会经济发展</w:t>
      </w:r>
      <w:r>
        <w:rPr>
          <w:rFonts w:hint="c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数字贸易的快速发展带动了相关产业的发展，同时也带来了就业和创业机会。</w:t>
      </w:r>
      <w:r>
        <w:rPr>
          <w:rFonts w:ascii="宋体" w:hAnsi="宋体" w:cs="宋体" w:eastAsiaTheme="minorEastAsia"/>
          <w:color w:val="auto"/>
          <w:sz w:val="24"/>
          <w:szCs w:val="24"/>
        </w:rPr>
        <w:t>本标准</w:t>
      </w:r>
      <w:r>
        <w:rPr>
          <w:rFonts w:hint="cs" w:ascii="宋体" w:hAnsi="宋体" w:cs="宋体" w:eastAsiaTheme="minorEastAsia"/>
          <w:color w:val="auto"/>
          <w:sz w:val="24"/>
          <w:szCs w:val="24"/>
          <w:lang w:val="zh-TW"/>
        </w:rPr>
        <w:t>通过规范就业培训、职业技能提升和创业指导等内容，</w:t>
      </w:r>
      <w:r>
        <w:rPr>
          <w:rFonts w:ascii="宋体" w:hAnsi="宋体" w:cs="宋体" w:eastAsiaTheme="minorEastAsia"/>
          <w:color w:val="auto"/>
          <w:sz w:val="24"/>
          <w:szCs w:val="24"/>
        </w:rPr>
        <w:t>推动</w:t>
      </w:r>
      <w:r>
        <w:rPr>
          <w:rFonts w:hint="cs" w:ascii="宋体" w:hAnsi="宋体" w:cs="宋体" w:eastAsiaTheme="minorEastAsia"/>
          <w:color w:val="auto"/>
          <w:sz w:val="24"/>
          <w:szCs w:val="24"/>
          <w:lang w:val="zh-TW"/>
        </w:rPr>
        <w:t>更多的创业项目得到培育，更多的就业机会将得到创造，进一步促进社会经济的健康发展。</w:t>
      </w:r>
    </w:p>
    <w:p w14:paraId="1301E9F6">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5</w:t>
      </w:r>
      <w:r>
        <w:rPr>
          <w:rFonts w:hint="cs" w:ascii="宋体" w:hAnsi="宋体" w:eastAsia="宋体" w:cs="宋体"/>
          <w:b/>
          <w:bCs/>
          <w:color w:val="auto"/>
          <w:sz w:val="24"/>
          <w:szCs w:val="24"/>
          <w:lang w:val="zh-TW"/>
        </w:rPr>
        <w:t>．推进数字化转型。</w:t>
      </w:r>
      <w:r>
        <w:rPr>
          <w:rFonts w:hint="cs" w:ascii="宋体" w:hAnsi="宋体" w:cs="宋体" w:eastAsiaTheme="minorEastAsia"/>
          <w:color w:val="auto"/>
          <w:sz w:val="24"/>
          <w:szCs w:val="24"/>
          <w:lang w:val="zh-TW"/>
        </w:rPr>
        <w:t>数字化技术在产业发展中越来越重要，也对职业教育的内容和形式提出了更高要求。</w:t>
      </w:r>
      <w:r>
        <w:rPr>
          <w:rFonts w:ascii="宋体" w:hAnsi="宋体" w:cs="宋体" w:eastAsiaTheme="minorEastAsia"/>
          <w:color w:val="auto"/>
          <w:sz w:val="24"/>
          <w:szCs w:val="24"/>
        </w:rPr>
        <w:t>本标准推动</w:t>
      </w:r>
      <w:r>
        <w:rPr>
          <w:rFonts w:hint="cs" w:ascii="宋体" w:hAnsi="宋体" w:cs="宋体" w:eastAsiaTheme="minorEastAsia"/>
          <w:color w:val="auto"/>
          <w:sz w:val="24"/>
          <w:szCs w:val="24"/>
          <w:lang w:val="zh-TW"/>
        </w:rPr>
        <w:t>实践中心将根据数字化转型的要求，提升自身的技术能力和管理能力。标准要求实践中心建设数字化教学平台、采用智能化教学工具，并利用大数据、云计算等技术提升教育质量和效率。</w:t>
      </w:r>
    </w:p>
    <w:p w14:paraId="4B79492D">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三、标准起草的过程简述</w:t>
      </w:r>
    </w:p>
    <w:p w14:paraId="06F90FC7">
      <w:pPr>
        <w:framePr w:wrap="auto" w:vAnchor="margin" w:hAnchor="text" w:yAlign="inline"/>
        <w:spacing w:line="360" w:lineRule="auto"/>
        <w:ind w:firstLine="482" w:firstLineChars="200"/>
        <w:rPr>
          <w:rFonts w:ascii="宋体" w:hAnsi="宋体" w:eastAsia="宋体" w:cs="宋体"/>
          <w:b/>
          <w:bCs/>
          <w:color w:val="auto"/>
          <w:kern w:val="0"/>
          <w:sz w:val="24"/>
          <w:szCs w:val="24"/>
          <w:u w:color="0000FF"/>
        </w:rPr>
      </w:pPr>
      <w:r>
        <w:rPr>
          <w:rFonts w:ascii="宋体" w:hAnsi="宋体" w:eastAsia="宋体" w:cs="宋体"/>
          <w:b/>
          <w:bCs/>
          <w:color w:val="auto"/>
          <w:kern w:val="0"/>
          <w:sz w:val="24"/>
          <w:szCs w:val="24"/>
          <w:u w:color="0000FF"/>
          <w:lang w:val="zh-TW"/>
        </w:rPr>
        <w:t>（一）预研阶段（</w:t>
      </w:r>
      <w:r>
        <w:rPr>
          <w:rFonts w:ascii="宋体" w:hAnsi="宋体" w:eastAsia="宋体" w:cs="宋体"/>
          <w:b/>
          <w:bCs/>
          <w:color w:val="auto"/>
          <w:kern w:val="0"/>
          <w:sz w:val="24"/>
          <w:szCs w:val="24"/>
          <w:u w:color="0000FF"/>
        </w:rPr>
        <w:t>2023年0</w:t>
      </w:r>
      <w:r>
        <w:rPr>
          <w:rFonts w:hint="default" w:ascii="宋体" w:hAnsi="宋体" w:eastAsia="宋体" w:cs="宋体"/>
          <w:b/>
          <w:bCs/>
          <w:color w:val="auto"/>
          <w:kern w:val="0"/>
          <w:sz w:val="24"/>
          <w:szCs w:val="24"/>
          <w:u w:color="0000FF"/>
        </w:rPr>
        <w:t>1</w:t>
      </w:r>
      <w:r>
        <w:rPr>
          <w:rFonts w:ascii="宋体" w:hAnsi="宋体" w:eastAsia="宋体" w:cs="宋体"/>
          <w:b/>
          <w:bCs/>
          <w:color w:val="auto"/>
          <w:kern w:val="0"/>
          <w:sz w:val="24"/>
          <w:szCs w:val="24"/>
          <w:u w:color="0000FF"/>
        </w:rPr>
        <w:t>月-2023年03月）</w:t>
      </w:r>
    </w:p>
    <w:p w14:paraId="1BDF0343">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市场与需求分析</w:t>
      </w:r>
      <w:r>
        <w:rPr>
          <w:rFonts w:ascii="宋体" w:hAnsi="宋体" w:eastAsia="宋体" w:cs="宋体"/>
          <w:b/>
          <w:bCs/>
          <w:color w:val="auto"/>
          <w:sz w:val="24"/>
          <w:szCs w:val="24"/>
        </w:rPr>
        <w:t>。</w:t>
      </w:r>
      <w:r>
        <w:rPr>
          <w:rFonts w:hint="default" w:ascii="宋体" w:hAnsi="宋体" w:eastAsia="宋体" w:cs="宋体"/>
          <w:color w:val="auto"/>
          <w:sz w:val="24"/>
          <w:szCs w:val="24"/>
        </w:rPr>
        <w:t>通过数据收集、问卷调查和访谈等方式，</w:t>
      </w:r>
      <w:r>
        <w:rPr>
          <w:rFonts w:ascii="宋体" w:hAnsi="宋体" w:eastAsia="宋体" w:cs="宋体"/>
          <w:color w:val="auto"/>
          <w:sz w:val="24"/>
          <w:szCs w:val="24"/>
        </w:rPr>
        <w:t>深入了解数字贸易产业的现状，研究国内外已有的产教融合实践中心建设经验，并通过行业调研了解各方对数字贸易教育培训的需求。</w:t>
      </w:r>
    </w:p>
    <w:p w14:paraId="558CDD22">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2.政策与法规研究。</w:t>
      </w:r>
      <w:r>
        <w:rPr>
          <w:rFonts w:ascii="宋体" w:hAnsi="宋体" w:eastAsia="宋体" w:cs="宋体"/>
          <w:color w:val="auto"/>
          <w:sz w:val="24"/>
          <w:szCs w:val="24"/>
        </w:rPr>
        <w:t>梳理与数字贸易相关的国内外政策、法规，分析数字贸易教育发展方向，确保标准草案符合法律要求并具有适应性。</w:t>
      </w:r>
    </w:p>
    <w:p w14:paraId="180C393F">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3.数据调研。</w:t>
      </w:r>
      <w:r>
        <w:rPr>
          <w:rFonts w:ascii="宋体" w:hAnsi="宋体" w:eastAsia="宋体" w:cs="宋体"/>
          <w:color w:val="auto"/>
          <w:sz w:val="24"/>
          <w:szCs w:val="24"/>
        </w:rPr>
        <w:t>对全球范围内数字贸易领域的技术应用和教育模式，已有的实践中心建设案例，不同地区的数字贸易教育现状、数字化工具的应用、产业对人才的具体需求等方面进行深入研究，为标准草案提供数据支撑。</w:t>
      </w:r>
    </w:p>
    <w:p w14:paraId="27FCDBD6">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4.专家研讨。</w:t>
      </w:r>
      <w:r>
        <w:rPr>
          <w:rFonts w:ascii="宋体" w:hAnsi="宋体" w:eastAsia="宋体" w:cs="宋体"/>
          <w:color w:val="auto"/>
          <w:sz w:val="24"/>
          <w:szCs w:val="24"/>
        </w:rPr>
        <w:t>组织专家小组对调研数据进行分析，邀请来自政府、行业协会、高校、企业的专家，围绕数字贸易产业对教育改革、人才培养模式、行业技能要求等问题展开讨论，为标准的制定的可行性和初步框架设计提供科学依据。</w:t>
      </w:r>
    </w:p>
    <w:p w14:paraId="2A8A7231">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5.组建项目团队。</w:t>
      </w:r>
      <w:r>
        <w:rPr>
          <w:rFonts w:ascii="宋体" w:hAnsi="宋体" w:eastAsia="宋体" w:cs="宋体"/>
          <w:color w:val="auto"/>
          <w:sz w:val="24"/>
          <w:szCs w:val="24"/>
        </w:rPr>
        <w:t>根据标准编制需求，确定项目团队成员，明确各自角色与任务，确保标准预研工作顺利开展。</w:t>
      </w:r>
    </w:p>
    <w:p w14:paraId="1C4B864A">
      <w:pPr>
        <w:pStyle w:val="15"/>
        <w:framePr w:wrap="auto" w:vAnchor="margin" w:hAnchor="text" w:yAlign="inline"/>
        <w:spacing w:line="360" w:lineRule="auto"/>
        <w:ind w:left="482" w:firstLine="0"/>
        <w:rPr>
          <w:rFonts w:ascii="宋体" w:hAnsi="宋体" w:eastAsia="宋体" w:cs="宋体"/>
          <w:b/>
          <w:bCs/>
          <w:color w:val="auto"/>
          <w:sz w:val="24"/>
          <w:szCs w:val="24"/>
          <w:lang w:val="zh-TW"/>
        </w:rPr>
      </w:pPr>
      <w:r>
        <w:rPr>
          <w:rFonts w:hint="cs" w:ascii="宋体" w:hAnsi="宋体" w:eastAsia="宋体" w:cs="宋体"/>
          <w:b/>
          <w:bCs/>
          <w:color w:val="auto"/>
          <w:sz w:val="24"/>
          <w:szCs w:val="24"/>
          <w:lang w:val="zh-TW"/>
        </w:rPr>
        <w:t>（二）立项阶段</w:t>
      </w:r>
      <w:r>
        <w:rPr>
          <w:rFonts w:ascii="宋体" w:hAnsi="宋体" w:eastAsia="宋体" w:cs="宋体"/>
          <w:b/>
          <w:bCs/>
          <w:sz w:val="24"/>
          <w:szCs w:val="24"/>
          <w:lang w:val="zh-TW"/>
        </w:rPr>
        <w:t>（</w:t>
      </w:r>
      <w:r>
        <w:rPr>
          <w:rFonts w:ascii="宋体" w:hAnsi="宋体" w:eastAsia="宋体" w:cs="宋体"/>
          <w:b/>
          <w:bCs/>
          <w:sz w:val="24"/>
          <w:szCs w:val="24"/>
        </w:rPr>
        <w:t>2023年02月</w:t>
      </w:r>
      <w:r>
        <w:rPr>
          <w:rFonts w:hint="default" w:ascii="宋体" w:hAnsi="宋体" w:eastAsia="宋体" w:cs="宋体"/>
          <w:b/>
          <w:bCs/>
          <w:sz w:val="24"/>
          <w:szCs w:val="24"/>
        </w:rPr>
        <w:t>28</w:t>
      </w:r>
      <w:r>
        <w:rPr>
          <w:rFonts w:ascii="宋体" w:hAnsi="宋体" w:eastAsia="宋体" w:cs="宋体"/>
          <w:b/>
          <w:bCs/>
          <w:sz w:val="24"/>
          <w:szCs w:val="24"/>
        </w:rPr>
        <w:t>日</w:t>
      </w:r>
      <w:r>
        <w:rPr>
          <w:rFonts w:ascii="宋体" w:hAnsi="宋体" w:eastAsia="宋体" w:cs="宋体"/>
          <w:b/>
          <w:bCs/>
          <w:sz w:val="24"/>
          <w:szCs w:val="24"/>
          <w:lang w:val="zh-TW"/>
        </w:rPr>
        <w:t>）</w:t>
      </w:r>
    </w:p>
    <w:p w14:paraId="186B791C">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立项准备</w:t>
      </w:r>
      <w:r>
        <w:rPr>
          <w:rFonts w:ascii="宋体" w:hAnsi="宋体" w:eastAsia="宋体" w:cs="宋体"/>
          <w:b/>
          <w:bCs/>
          <w:color w:val="auto"/>
          <w:sz w:val="24"/>
          <w:szCs w:val="24"/>
        </w:rPr>
        <w:t>。</w:t>
      </w:r>
      <w:r>
        <w:rPr>
          <w:rFonts w:hint="default" w:ascii="宋体" w:hAnsi="宋体" w:eastAsia="宋体" w:cs="宋体"/>
          <w:color w:val="auto"/>
          <w:sz w:val="24"/>
          <w:szCs w:val="24"/>
        </w:rPr>
        <w:t>整合预研阶段的成果，制定标准</w:t>
      </w:r>
      <w:r>
        <w:rPr>
          <w:rFonts w:ascii="宋体" w:hAnsi="宋体" w:eastAsia="宋体" w:cs="宋体"/>
          <w:color w:val="auto"/>
          <w:sz w:val="24"/>
          <w:szCs w:val="24"/>
        </w:rPr>
        <w:t>研发</w:t>
      </w:r>
      <w:r>
        <w:rPr>
          <w:rFonts w:hint="default" w:ascii="宋体" w:hAnsi="宋体" w:eastAsia="宋体" w:cs="宋体"/>
          <w:color w:val="auto"/>
          <w:sz w:val="24"/>
          <w:szCs w:val="24"/>
        </w:rPr>
        <w:t>的初步方案和目标。</w:t>
      </w:r>
    </w:p>
    <w:p w14:paraId="6E11F1CC">
      <w:pPr>
        <w:framePr w:wrap="auto" w:vAnchor="margin" w:hAnchor="text" w:yAlign="inline"/>
        <w:spacing w:line="360" w:lineRule="auto"/>
        <w:ind w:firstLine="482" w:firstLineChars="200"/>
        <w:rPr>
          <w:rFonts w:ascii="宋体" w:hAnsi="宋体" w:eastAsia="宋体" w:cs="宋体"/>
          <w:b/>
          <w:bCs/>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正式立项</w:t>
      </w:r>
      <w:r>
        <w:rPr>
          <w:rFonts w:ascii="宋体" w:hAnsi="宋体" w:eastAsia="宋体" w:cs="宋体"/>
          <w:b/>
          <w:bCs/>
          <w:color w:val="auto"/>
          <w:sz w:val="24"/>
          <w:szCs w:val="24"/>
        </w:rPr>
        <w:t>。</w:t>
      </w:r>
      <w:r>
        <w:rPr>
          <w:rFonts w:ascii="宋体" w:hAnsi="宋体" w:eastAsia="宋体" w:cs="宋体"/>
          <w:color w:val="auto"/>
          <w:sz w:val="24"/>
          <w:szCs w:val="24"/>
        </w:rPr>
        <w:t>2023年0</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月</w:t>
      </w:r>
      <w:r>
        <w:rPr>
          <w:rFonts w:hint="default" w:ascii="宋体" w:hAnsi="宋体" w:eastAsia="宋体" w:cs="宋体"/>
          <w:color w:val="auto"/>
          <w:sz w:val="24"/>
          <w:szCs w:val="24"/>
        </w:rPr>
        <w:t>28</w:t>
      </w:r>
      <w:r>
        <w:rPr>
          <w:rFonts w:ascii="宋体" w:hAnsi="宋体" w:eastAsia="宋体" w:cs="宋体"/>
          <w:color w:val="auto"/>
          <w:sz w:val="24"/>
          <w:szCs w:val="24"/>
        </w:rPr>
        <w:t>日，</w:t>
      </w:r>
      <w:r>
        <w:rPr>
          <w:rFonts w:ascii="宋体" w:hAnsi="宋体" w:eastAsia="宋体" w:cs="宋体"/>
          <w:color w:val="auto"/>
          <w:sz w:val="24"/>
          <w:szCs w:val="24"/>
          <w:lang w:val="zh-TW"/>
        </w:rPr>
        <w:t>商业行业委员会</w:t>
      </w:r>
      <w:r>
        <w:rPr>
          <w:rFonts w:ascii="宋体" w:hAnsi="宋体" w:eastAsia="宋体" w:cs="宋体"/>
          <w:color w:val="auto"/>
          <w:sz w:val="24"/>
          <w:szCs w:val="24"/>
        </w:rPr>
        <w:t>在全国团体标准信息平台发布《中国国际贸易促进委员会商业行业委员会关于下达2023年第二批团体标准项目计划的通知》及立项文件</w:t>
      </w:r>
      <w:r>
        <w:rPr>
          <w:rFonts w:ascii="宋体" w:hAnsi="宋体" w:eastAsia="宋体" w:cs="宋体"/>
          <w:color w:val="auto"/>
          <w:sz w:val="24"/>
          <w:szCs w:val="24"/>
          <w:lang w:val="zh-TW"/>
        </w:rPr>
        <w:t>《2023年第</w:t>
      </w:r>
      <w:r>
        <w:rPr>
          <w:rFonts w:ascii="宋体" w:hAnsi="宋体" w:eastAsia="宋体" w:cs="宋体"/>
          <w:color w:val="auto"/>
          <w:sz w:val="24"/>
          <w:szCs w:val="24"/>
        </w:rPr>
        <w:t>二</w:t>
      </w:r>
      <w:r>
        <w:rPr>
          <w:rFonts w:ascii="宋体" w:hAnsi="宋体" w:eastAsia="宋体" w:cs="宋体"/>
          <w:color w:val="auto"/>
          <w:sz w:val="24"/>
          <w:szCs w:val="24"/>
          <w:lang w:val="zh-TW"/>
        </w:rPr>
        <w:t>批中国国贸促会商业行业委员会团体标准项目计划》，</w:t>
      </w:r>
      <w:r>
        <w:rPr>
          <w:rFonts w:ascii="宋体" w:hAnsi="宋体" w:eastAsia="宋体" w:cs="宋体"/>
          <w:color w:val="auto"/>
          <w:sz w:val="24"/>
          <w:szCs w:val="24"/>
        </w:rPr>
        <w:t>团体标准</w:t>
      </w:r>
      <w:r>
        <w:rPr>
          <w:rFonts w:ascii="宋体" w:hAnsi="宋体" w:eastAsia="宋体" w:cs="宋体"/>
          <w:color w:val="auto"/>
          <w:sz w:val="24"/>
          <w:szCs w:val="24"/>
          <w:lang w:val="zh-TW"/>
        </w:rPr>
        <w:t>CCPIT-CSC-JH2023</w:t>
      </w:r>
      <w:r>
        <w:rPr>
          <w:rFonts w:ascii="宋体" w:hAnsi="宋体" w:cs="宋体" w:eastAsiaTheme="minorEastAsia"/>
          <w:color w:val="auto"/>
          <w:sz w:val="24"/>
          <w:szCs w:val="24"/>
          <w:lang w:val="zh-TW"/>
        </w:rPr>
        <w:t>2</w:t>
      </w:r>
      <w:r>
        <w:rPr>
          <w:rFonts w:hint="default" w:ascii="宋体" w:hAnsi="宋体" w:eastAsia="PMingLiU" w:cs="宋体"/>
          <w:color w:val="auto"/>
          <w:sz w:val="24"/>
          <w:szCs w:val="24"/>
          <w:lang w:val="zh-TW"/>
        </w:rPr>
        <w:t>4</w:t>
      </w:r>
      <w:r>
        <w:rPr>
          <w:rFonts w:ascii="宋体" w:hAnsi="宋体" w:eastAsia="PMingLiU" w:cs="宋体"/>
          <w:color w:val="auto"/>
          <w:sz w:val="24"/>
          <w:szCs w:val="24"/>
        </w:rPr>
        <w:t>0</w:t>
      </w:r>
      <w:r>
        <w:rPr>
          <w:rFonts w:hint="cs" w:ascii="宋体" w:hAnsi="宋体" w:eastAsia="宋体" w:cs="宋体"/>
          <w:color w:val="auto"/>
          <w:sz w:val="24"/>
          <w:szCs w:val="24"/>
          <w:lang w:val="zh-TW"/>
        </w:rPr>
        <w:t>《</w:t>
      </w:r>
      <w:r>
        <w:rPr>
          <w:rFonts w:hint="cs" w:ascii="宋体" w:hAnsi="宋体" w:eastAsia="宋体" w:cs="宋体"/>
          <w:color w:val="auto"/>
          <w:sz w:val="24"/>
          <w:szCs w:val="24"/>
        </w:rPr>
        <w:t>数字贸易开放型产教融合实践中心建设与运营管理规范</w:t>
      </w:r>
      <w:r>
        <w:rPr>
          <w:rFonts w:hint="cs" w:ascii="宋体" w:hAnsi="宋体" w:eastAsia="宋体" w:cs="宋体"/>
          <w:color w:val="auto"/>
          <w:sz w:val="24"/>
          <w:szCs w:val="24"/>
          <w:lang w:val="zh-TW"/>
        </w:rPr>
        <w:t>》</w:t>
      </w:r>
      <w:r>
        <w:rPr>
          <w:rFonts w:ascii="宋体" w:hAnsi="宋体" w:eastAsia="宋体" w:cs="宋体"/>
          <w:color w:val="auto"/>
          <w:sz w:val="24"/>
          <w:szCs w:val="24"/>
        </w:rPr>
        <w:t>正式立项。</w:t>
      </w:r>
    </w:p>
    <w:p w14:paraId="41761C04">
      <w:pPr>
        <w:pStyle w:val="15"/>
        <w:framePr w:wrap="auto" w:vAnchor="margin" w:hAnchor="text" w:yAlign="inline"/>
        <w:spacing w:line="360" w:lineRule="auto"/>
        <w:ind w:left="482" w:firstLine="0"/>
        <w:rPr>
          <w:rFonts w:ascii="宋体" w:hAnsi="宋体" w:eastAsia="宋体" w:cs="宋体"/>
          <w:b/>
          <w:bCs/>
          <w:color w:val="auto"/>
          <w:sz w:val="24"/>
          <w:szCs w:val="24"/>
          <w:lang w:val="zh-TW"/>
        </w:rPr>
      </w:pPr>
      <w:r>
        <w:rPr>
          <w:rFonts w:hint="cs" w:ascii="宋体" w:hAnsi="宋体" w:eastAsia="宋体" w:cs="宋体"/>
          <w:b/>
          <w:bCs/>
          <w:color w:val="auto"/>
          <w:sz w:val="24"/>
          <w:szCs w:val="24"/>
          <w:lang w:val="zh-TW"/>
        </w:rPr>
        <w:t>（三）起草阶段</w:t>
      </w:r>
      <w:r>
        <w:rPr>
          <w:rFonts w:ascii="宋体" w:hAnsi="宋体" w:eastAsia="宋体" w:cs="宋体"/>
          <w:b/>
          <w:bCs/>
          <w:sz w:val="24"/>
          <w:szCs w:val="24"/>
          <w:lang w:val="zh-TW"/>
        </w:rPr>
        <w:t>（</w:t>
      </w:r>
      <w:r>
        <w:rPr>
          <w:rFonts w:ascii="宋体" w:hAnsi="宋体" w:eastAsia="宋体" w:cs="宋体"/>
          <w:b/>
          <w:bCs/>
          <w:sz w:val="24"/>
          <w:szCs w:val="24"/>
        </w:rPr>
        <w:t>2023年0</w:t>
      </w:r>
      <w:r>
        <w:rPr>
          <w:rFonts w:hint="eastAsia" w:ascii="宋体" w:hAnsi="宋体" w:eastAsia="宋体" w:cs="宋体"/>
          <w:b/>
          <w:bCs/>
          <w:sz w:val="24"/>
          <w:szCs w:val="24"/>
          <w:lang w:val="en-US" w:eastAsia="zh-CN"/>
        </w:rPr>
        <w:t>3</w:t>
      </w:r>
      <w:r>
        <w:rPr>
          <w:rFonts w:ascii="宋体" w:hAnsi="宋体" w:eastAsia="宋体" w:cs="宋体"/>
          <w:b/>
          <w:bCs/>
          <w:sz w:val="24"/>
          <w:szCs w:val="24"/>
        </w:rPr>
        <w:t>月</w:t>
      </w:r>
      <w:r>
        <w:rPr>
          <w:rFonts w:hint="eastAsia" w:ascii="宋体" w:hAnsi="宋体" w:eastAsia="宋体" w:cs="宋体"/>
          <w:b/>
          <w:bCs/>
          <w:sz w:val="24"/>
          <w:szCs w:val="24"/>
          <w:lang w:val="en-US" w:eastAsia="zh-CN"/>
        </w:rPr>
        <w:t>01</w:t>
      </w:r>
      <w:bookmarkStart w:id="0" w:name="_GoBack"/>
      <w:bookmarkEnd w:id="0"/>
      <w:r>
        <w:rPr>
          <w:rFonts w:ascii="宋体" w:hAnsi="宋体" w:eastAsia="宋体" w:cs="宋体"/>
          <w:b/>
          <w:bCs/>
          <w:sz w:val="24"/>
          <w:szCs w:val="24"/>
        </w:rPr>
        <w:t>日-2024年</w:t>
      </w:r>
      <w:r>
        <w:rPr>
          <w:rFonts w:hint="eastAsia" w:ascii="宋体" w:hAnsi="宋体" w:eastAsia="宋体" w:cs="宋体"/>
          <w:b/>
          <w:bCs/>
          <w:sz w:val="24"/>
          <w:szCs w:val="24"/>
          <w:lang w:val="en-US" w:eastAsia="zh-CN"/>
        </w:rPr>
        <w:t>12</w:t>
      </w:r>
      <w:r>
        <w:rPr>
          <w:rFonts w:ascii="宋体" w:hAnsi="宋体" w:eastAsia="宋体" w:cs="宋体"/>
          <w:b/>
          <w:bCs/>
          <w:sz w:val="24"/>
          <w:szCs w:val="24"/>
        </w:rPr>
        <w:t>月</w:t>
      </w:r>
      <w:r>
        <w:rPr>
          <w:rFonts w:hint="eastAsia" w:ascii="宋体" w:hAnsi="宋体" w:eastAsia="宋体" w:cs="宋体"/>
          <w:b/>
          <w:bCs/>
          <w:sz w:val="24"/>
          <w:szCs w:val="24"/>
          <w:lang w:val="en-US" w:eastAsia="zh-CN"/>
        </w:rPr>
        <w:t>31</w:t>
      </w:r>
      <w:r>
        <w:rPr>
          <w:rFonts w:ascii="宋体" w:hAnsi="宋体" w:eastAsia="宋体" w:cs="宋体"/>
          <w:b/>
          <w:bCs/>
          <w:sz w:val="24"/>
          <w:szCs w:val="24"/>
        </w:rPr>
        <w:t>日</w:t>
      </w:r>
      <w:r>
        <w:rPr>
          <w:rFonts w:ascii="宋体" w:hAnsi="宋体" w:eastAsia="宋体" w:cs="宋体"/>
          <w:b/>
          <w:bCs/>
          <w:sz w:val="24"/>
          <w:szCs w:val="24"/>
          <w:lang w:val="zh-TW"/>
        </w:rPr>
        <w:t>）</w:t>
      </w:r>
    </w:p>
    <w:p w14:paraId="6B1D977F">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default" w:ascii="宋体" w:hAnsi="宋体" w:cs="宋体" w:eastAsiaTheme="minorEastAsia"/>
          <w:color w:val="auto"/>
          <w:sz w:val="24"/>
          <w:szCs w:val="24"/>
          <w:lang w:val="zh-TW"/>
        </w:rPr>
        <w:t>报</w:t>
      </w:r>
      <w:r>
        <w:rPr>
          <w:rFonts w:ascii="宋体" w:hAnsi="宋体" w:cs="宋体" w:eastAsiaTheme="minorEastAsia"/>
          <w:color w:val="auto"/>
          <w:sz w:val="24"/>
          <w:szCs w:val="24"/>
          <w:lang w:val="zh-TW"/>
        </w:rPr>
        <w:t>中国贸促会</w:t>
      </w:r>
      <w:r>
        <w:rPr>
          <w:rFonts w:hint="default" w:ascii="宋体" w:hAnsi="宋体" w:cs="宋体" w:eastAsiaTheme="minorEastAsia"/>
          <w:color w:val="auto"/>
          <w:sz w:val="24"/>
          <w:szCs w:val="24"/>
          <w:lang w:val="zh-TW"/>
        </w:rPr>
        <w:t>商业行业委员会审阅，在行业内广泛征求意见，召开专家研讨会，并按照行业专家意见进一步修改、完善。</w:t>
      </w:r>
    </w:p>
    <w:p w14:paraId="6949DF5E">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1.草案编写</w:t>
      </w:r>
      <w:r>
        <w:rPr>
          <w:rFonts w:ascii="宋体" w:hAnsi="宋体" w:eastAsia="宋体" w:cs="宋体"/>
          <w:color w:val="auto"/>
          <w:sz w:val="24"/>
          <w:szCs w:val="24"/>
        </w:rPr>
        <w:t>。根据预研阶段收集的信息，以及行业标准和法律法规、专家研讨意见等形成标准草案。</w:t>
      </w:r>
    </w:p>
    <w:p w14:paraId="520AF948">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2.内部审议与修改</w:t>
      </w:r>
      <w:r>
        <w:rPr>
          <w:rFonts w:ascii="宋体" w:hAnsi="宋体" w:eastAsia="宋体" w:cs="宋体"/>
          <w:color w:val="auto"/>
          <w:sz w:val="24"/>
          <w:szCs w:val="24"/>
        </w:rPr>
        <w:t>。项目团队对草案进行初步审查，根据团队反馈进行修改。</w:t>
      </w:r>
    </w:p>
    <w:p w14:paraId="0A0A1AB9">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3.专家咨询</w:t>
      </w:r>
      <w:r>
        <w:rPr>
          <w:rFonts w:ascii="宋体" w:hAnsi="宋体" w:eastAsia="宋体" w:cs="宋体"/>
          <w:color w:val="auto"/>
          <w:sz w:val="24"/>
          <w:szCs w:val="24"/>
        </w:rPr>
        <w:t>。邀请行业内的技术专家、法律专家等，对草案进行专业评审，并根据评审意见进行进一步修改。</w:t>
      </w:r>
    </w:p>
    <w:p w14:paraId="40AFDD56">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4.团标线上研讨会</w:t>
      </w:r>
      <w:r>
        <w:rPr>
          <w:rFonts w:ascii="宋体" w:hAnsi="宋体" w:eastAsia="宋体" w:cs="宋体"/>
          <w:color w:val="auto"/>
          <w:sz w:val="24"/>
          <w:szCs w:val="24"/>
        </w:rPr>
        <w:t>。2023年09月</w:t>
      </w:r>
      <w:r>
        <w:rPr>
          <w:rFonts w:hint="default" w:ascii="宋体" w:hAnsi="宋体" w:eastAsia="宋体" w:cs="宋体"/>
          <w:color w:val="auto"/>
          <w:sz w:val="24"/>
          <w:szCs w:val="24"/>
        </w:rPr>
        <w:t>2</w:t>
      </w:r>
      <w:r>
        <w:rPr>
          <w:rFonts w:ascii="宋体" w:hAnsi="宋体" w:eastAsia="宋体" w:cs="宋体"/>
          <w:color w:val="auto"/>
          <w:sz w:val="24"/>
          <w:szCs w:val="24"/>
        </w:rPr>
        <w:t>3日，召开团标线上研讨会。通过线上形式，广泛征求行业内部的意见和建议，进一步完善草案。</w:t>
      </w:r>
    </w:p>
    <w:p w14:paraId="35CAF393">
      <w:pPr>
        <w:pStyle w:val="15"/>
        <w:framePr w:wrap="auto" w:vAnchor="margin" w:hAnchor="text" w:yAlign="inline"/>
        <w:spacing w:line="360" w:lineRule="auto"/>
        <w:ind w:left="482" w:firstLine="0"/>
        <w:rPr>
          <w:rFonts w:ascii="宋体" w:hAnsi="宋体" w:eastAsia="宋体" w:cs="宋体"/>
          <w:b/>
          <w:bCs/>
          <w:color w:val="auto"/>
          <w:sz w:val="24"/>
          <w:szCs w:val="24"/>
          <w:lang w:val="zh-TW"/>
        </w:rPr>
      </w:pPr>
      <w:r>
        <w:rPr>
          <w:rFonts w:hint="cs" w:ascii="宋体" w:hAnsi="宋体" w:eastAsia="宋体" w:cs="宋体"/>
          <w:b/>
          <w:bCs/>
          <w:color w:val="auto"/>
          <w:sz w:val="24"/>
          <w:szCs w:val="24"/>
          <w:lang w:val="zh-TW"/>
        </w:rPr>
        <w:t>（四）征求意见阶段</w:t>
      </w:r>
      <w:r>
        <w:rPr>
          <w:rFonts w:ascii="宋体" w:hAnsi="宋体" w:eastAsia="宋体" w:cs="宋体"/>
          <w:b/>
          <w:bCs/>
          <w:sz w:val="24"/>
          <w:szCs w:val="24"/>
          <w:lang w:val="zh-TW"/>
        </w:rPr>
        <w:t>（</w:t>
      </w:r>
      <w:r>
        <w:rPr>
          <w:rFonts w:ascii="宋体" w:hAnsi="宋体" w:eastAsia="宋体" w:cs="宋体"/>
          <w:b/>
          <w:bCs/>
          <w:sz w:val="24"/>
          <w:szCs w:val="24"/>
        </w:rPr>
        <w:t>2025年01月-2025年02月</w:t>
      </w:r>
      <w:r>
        <w:rPr>
          <w:rFonts w:ascii="宋体" w:hAnsi="宋体" w:eastAsia="宋体" w:cs="宋体"/>
          <w:b/>
          <w:bCs/>
          <w:sz w:val="24"/>
          <w:szCs w:val="24"/>
          <w:lang w:val="zh-TW"/>
        </w:rPr>
        <w:t>）</w:t>
      </w:r>
    </w:p>
    <w:p w14:paraId="45EF253F">
      <w:pPr>
        <w:framePr w:wrap="auto" w:vAnchor="margin" w:hAnchor="text" w:yAlign="inline"/>
        <w:spacing w:line="360" w:lineRule="auto"/>
        <w:ind w:firstLine="482" w:firstLineChars="200"/>
        <w:rPr>
          <w:rFonts w:ascii="宋体" w:hAnsi="宋体" w:eastAsia="宋体" w:cs="宋体"/>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公开征求意见。</w:t>
      </w:r>
      <w:r>
        <w:rPr>
          <w:rFonts w:ascii="宋体" w:hAnsi="宋体" w:eastAsia="宋体" w:cs="宋体"/>
          <w:sz w:val="24"/>
          <w:szCs w:val="24"/>
          <w:lang w:val="zh-TW"/>
        </w:rPr>
        <w:t>2025年1月17日—202</w:t>
      </w:r>
      <w:r>
        <w:rPr>
          <w:rFonts w:ascii="宋体" w:hAnsi="宋体" w:eastAsia="宋体" w:cs="宋体"/>
          <w:sz w:val="24"/>
          <w:szCs w:val="24"/>
        </w:rPr>
        <w:t>5</w:t>
      </w:r>
      <w:r>
        <w:rPr>
          <w:rFonts w:ascii="宋体" w:hAnsi="宋体" w:eastAsia="宋体" w:cs="宋体"/>
          <w:sz w:val="24"/>
          <w:szCs w:val="24"/>
          <w:lang w:val="zh-TW"/>
        </w:rPr>
        <w:t>年</w:t>
      </w:r>
      <w:r>
        <w:rPr>
          <w:rFonts w:ascii="宋体" w:hAnsi="宋体" w:eastAsia="宋体" w:cs="宋体"/>
          <w:sz w:val="24"/>
          <w:szCs w:val="24"/>
        </w:rPr>
        <w:t>2</w:t>
      </w:r>
      <w:r>
        <w:rPr>
          <w:rFonts w:ascii="宋体" w:hAnsi="宋体" w:eastAsia="宋体" w:cs="宋体"/>
          <w:sz w:val="24"/>
          <w:szCs w:val="24"/>
          <w:lang w:val="zh-TW"/>
        </w:rPr>
        <w:t>月</w:t>
      </w:r>
      <w:r>
        <w:rPr>
          <w:rFonts w:ascii="宋体" w:hAnsi="宋体" w:eastAsia="宋体" w:cs="宋体"/>
          <w:sz w:val="24"/>
          <w:szCs w:val="24"/>
        </w:rPr>
        <w:t>17</w:t>
      </w:r>
      <w:r>
        <w:rPr>
          <w:rFonts w:ascii="宋体" w:hAnsi="宋体" w:eastAsia="宋体" w:cs="宋体"/>
          <w:sz w:val="24"/>
          <w:szCs w:val="24"/>
          <w:lang w:val="zh-TW"/>
        </w:rPr>
        <w:t>日，通过</w:t>
      </w:r>
      <w:r>
        <w:rPr>
          <w:rFonts w:ascii="宋体" w:hAnsi="宋体" w:eastAsia="宋体" w:cs="宋体"/>
          <w:sz w:val="24"/>
          <w:szCs w:val="24"/>
        </w:rPr>
        <w:t>微信公众号</w:t>
      </w:r>
      <w:r>
        <w:rPr>
          <w:rFonts w:ascii="宋体" w:hAnsi="宋体" w:eastAsia="宋体" w:cs="宋体"/>
          <w:sz w:val="24"/>
          <w:szCs w:val="24"/>
          <w:lang w:val="zh-TW"/>
        </w:rPr>
        <w:t>“贸促标准化平台”、全国团体标准信息平台</w:t>
      </w:r>
      <w:r>
        <w:rPr>
          <w:rFonts w:ascii="宋体" w:hAnsi="宋体" w:eastAsia="宋体" w:cs="宋体"/>
          <w:sz w:val="24"/>
          <w:szCs w:val="24"/>
        </w:rPr>
        <w:t>等</w:t>
      </w:r>
      <w:r>
        <w:rPr>
          <w:rFonts w:ascii="宋体" w:hAnsi="宋体" w:eastAsia="宋体" w:cs="宋体"/>
          <w:sz w:val="24"/>
          <w:szCs w:val="24"/>
          <w:lang w:val="zh-TW"/>
        </w:rPr>
        <w:t>官方网站、行业会议、邮件列表等多种渠道，向社会公众、行业企业、相关机构公开征求对标准草案的意见。</w:t>
      </w:r>
    </w:p>
    <w:p w14:paraId="0274A95F">
      <w:pPr>
        <w:framePr w:wrap="auto" w:vAnchor="margin" w:hAnchor="text" w:yAlign="inline"/>
        <w:spacing w:line="360" w:lineRule="auto"/>
        <w:ind w:firstLine="482" w:firstLineChars="200"/>
        <w:rPr>
          <w:rFonts w:ascii="宋体" w:hAnsi="宋体" w:eastAsia="宋体" w:cs="宋体"/>
          <w:b/>
          <w:bCs/>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意见整理与分析。</w:t>
      </w:r>
      <w:r>
        <w:rPr>
          <w:rFonts w:ascii="宋体" w:hAnsi="宋体" w:eastAsia="宋体" w:cs="宋体"/>
          <w:sz w:val="24"/>
          <w:szCs w:val="24"/>
          <w:lang w:val="zh-TW"/>
        </w:rPr>
        <w:t>对收到的反馈进行归纳整理，分析意见的合理性和可行性，为下一步修订提供依据。</w:t>
      </w:r>
    </w:p>
    <w:p w14:paraId="50925FED">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四、标准的主要内容和依据</w:t>
      </w:r>
    </w:p>
    <w:p w14:paraId="1A76ECB5">
      <w:pPr>
        <w:pStyle w:val="15"/>
        <w:framePr w:wrap="auto" w:vAnchor="margin" w:hAnchor="text" w:yAlign="inline"/>
        <w:spacing w:line="360" w:lineRule="auto"/>
        <w:ind w:left="482" w:firstLine="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cs" w:ascii="宋体" w:hAnsi="宋体" w:eastAsia="宋体" w:cs="宋体"/>
          <w:b/>
          <w:bCs/>
          <w:color w:val="auto"/>
          <w:sz w:val="24"/>
          <w:szCs w:val="24"/>
          <w:lang w:val="zh-TW"/>
        </w:rPr>
        <w:t>制定原则</w:t>
      </w:r>
    </w:p>
    <w:p w14:paraId="5F638B8E">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1.</w:t>
      </w:r>
      <w:r>
        <w:rPr>
          <w:rFonts w:hint="cs" w:ascii="宋体" w:hAnsi="宋体" w:eastAsia="宋体" w:cs="宋体"/>
          <w:b/>
          <w:bCs/>
          <w:color w:val="auto"/>
          <w:sz w:val="24"/>
          <w:szCs w:val="24"/>
          <w:lang w:val="zh-TW"/>
        </w:rPr>
        <w:t>科学性</w:t>
      </w:r>
      <w:r>
        <w:rPr>
          <w:rFonts w:ascii="宋体" w:hAnsi="宋体" w:eastAsia="宋体" w:cs="宋体"/>
          <w:b/>
          <w:bCs/>
          <w:color w:val="auto"/>
          <w:sz w:val="24"/>
          <w:szCs w:val="24"/>
        </w:rPr>
        <w:t>原则</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确保标准内容不仅符合数字贸易产业的实际需求，还具备前瞻性，能够适应产业快速发展的趋势。标准内容的每个细节都经过科学论证，确保其能有效推动产教融合与数字贸易领域的教育改革。</w:t>
      </w:r>
    </w:p>
    <w:p w14:paraId="08EDC272">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2.</w:t>
      </w:r>
      <w:r>
        <w:rPr>
          <w:rFonts w:hint="cs" w:ascii="宋体" w:hAnsi="宋体" w:eastAsia="宋体" w:cs="宋体"/>
          <w:b/>
          <w:bCs/>
          <w:color w:val="auto"/>
          <w:sz w:val="24"/>
          <w:szCs w:val="24"/>
          <w:lang w:val="zh-TW"/>
        </w:rPr>
        <w:t>实践性</w:t>
      </w:r>
      <w:r>
        <w:rPr>
          <w:rFonts w:ascii="宋体" w:hAnsi="宋体" w:eastAsia="宋体" w:cs="宋体"/>
          <w:b/>
          <w:bCs/>
          <w:color w:val="auto"/>
          <w:sz w:val="24"/>
          <w:szCs w:val="24"/>
        </w:rPr>
        <w:t>原则</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标准内容不仅停留在理论层面，更具备高度的可操作性，能够在实践中实施，指导各地和各类实践中心的建设与管理。通过详细的建设、管理、教学等方面的要求，标准确保了其能够在实际操作中得以有效落实。</w:t>
      </w:r>
    </w:p>
    <w:p w14:paraId="24494C8F">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3.开放性原则。</w:t>
      </w:r>
      <w:r>
        <w:rPr>
          <w:rFonts w:ascii="宋体" w:hAnsi="宋体" w:cs="宋体" w:eastAsiaTheme="minorEastAsia"/>
          <w:color w:val="auto"/>
          <w:sz w:val="24"/>
          <w:szCs w:val="24"/>
        </w:rPr>
        <w:t>强调标准的开放性，以</w:t>
      </w:r>
      <w:r>
        <w:rPr>
          <w:rFonts w:hint="cs" w:ascii="宋体" w:hAnsi="宋体" w:cs="宋体" w:eastAsiaTheme="minorEastAsia"/>
          <w:color w:val="auto"/>
          <w:sz w:val="24"/>
          <w:szCs w:val="24"/>
          <w:lang w:val="zh-TW"/>
        </w:rPr>
        <w:t>在确保基本统一性的基础上，标准充分考虑到不同地区和单位的具体情况，预留了灵活的调整空间，确保其在不同地域、不同类型的实践中心中都能适用。</w:t>
      </w:r>
    </w:p>
    <w:p w14:paraId="2B0AC5D2">
      <w:pPr>
        <w:framePr w:wrap="auto" w:vAnchor="margin" w:hAnchor="text" w:yAlign="inline"/>
        <w:spacing w:line="360" w:lineRule="auto"/>
        <w:ind w:firstLine="480"/>
        <w:rPr>
          <w:rFonts w:ascii="宋体" w:hAnsi="宋体" w:cs="宋体" w:eastAsiaTheme="minorEastAsia"/>
          <w:color w:val="auto"/>
          <w:sz w:val="24"/>
          <w:szCs w:val="24"/>
        </w:rPr>
      </w:pPr>
      <w:r>
        <w:rPr>
          <w:rFonts w:ascii="宋体" w:hAnsi="宋体" w:eastAsia="宋体" w:cs="宋体"/>
          <w:b/>
          <w:bCs/>
          <w:color w:val="auto"/>
          <w:sz w:val="24"/>
          <w:szCs w:val="24"/>
        </w:rPr>
        <w:t>4.操作性原则。</w:t>
      </w:r>
      <w:r>
        <w:rPr>
          <w:rFonts w:ascii="宋体" w:hAnsi="宋体" w:cs="宋体" w:eastAsiaTheme="minorEastAsia"/>
          <w:color w:val="auto"/>
          <w:sz w:val="24"/>
          <w:szCs w:val="24"/>
        </w:rPr>
        <w:t>本标准注重可操作性，提供具体的实施步骤、工具和方法，要求每一项内容都能够在实践中实际执行。</w:t>
      </w:r>
    </w:p>
    <w:p w14:paraId="5753C1C9">
      <w:pPr>
        <w:pStyle w:val="15"/>
        <w:framePr w:wrap="auto" w:vAnchor="margin" w:hAnchor="text" w:yAlign="inline"/>
        <w:spacing w:line="360" w:lineRule="auto"/>
        <w:ind w:left="482" w:firstLine="0"/>
        <w:rPr>
          <w:rFonts w:ascii="宋体" w:hAnsi="宋体" w:eastAsia="宋体" w:cs="宋体"/>
          <w:b/>
          <w:bCs/>
          <w:color w:val="auto"/>
          <w:sz w:val="24"/>
          <w:szCs w:val="24"/>
          <w:lang w:val="zh-TW"/>
        </w:rPr>
      </w:pPr>
      <w:r>
        <w:rPr>
          <w:rFonts w:ascii="宋体" w:hAnsi="宋体" w:eastAsia="宋体" w:cs="宋体"/>
          <w:b/>
          <w:bCs/>
          <w:sz w:val="24"/>
          <w:szCs w:val="24"/>
        </w:rPr>
        <w:t>（二）</w:t>
      </w:r>
      <w:r>
        <w:rPr>
          <w:rFonts w:hint="cs" w:ascii="宋体" w:hAnsi="宋体" w:eastAsia="宋体" w:cs="宋体"/>
          <w:b/>
          <w:bCs/>
          <w:color w:val="auto"/>
          <w:sz w:val="24"/>
          <w:szCs w:val="24"/>
          <w:lang w:val="zh-TW"/>
        </w:rPr>
        <w:t>主要技术内容的说</w:t>
      </w:r>
      <w:r>
        <w:rPr>
          <w:rFonts w:ascii="宋体" w:hAnsi="宋体" w:eastAsia="宋体" w:cs="宋体"/>
          <w:b/>
          <w:bCs/>
          <w:color w:val="auto"/>
          <w:sz w:val="24"/>
          <w:szCs w:val="24"/>
          <w:lang w:val="zh-TW"/>
        </w:rPr>
        <w:t>明</w:t>
      </w:r>
    </w:p>
    <w:p w14:paraId="433E1436">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建设要求。</w:t>
      </w:r>
      <w:r>
        <w:rPr>
          <w:rFonts w:ascii="宋体" w:hAnsi="宋体" w:cs="宋体" w:eastAsiaTheme="minorEastAsia"/>
          <w:color w:val="auto"/>
          <w:sz w:val="24"/>
          <w:szCs w:val="24"/>
          <w:lang w:val="zh-TW"/>
        </w:rPr>
        <w:t>规定数字贸易开放型产教融合实践中心的基本要求，包括中心的定位、功能、规模、师资、设备、场地等方面的要求。</w:t>
      </w:r>
    </w:p>
    <w:p w14:paraId="3F9A2D70">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人才培养。</w:t>
      </w:r>
      <w:r>
        <w:rPr>
          <w:rFonts w:ascii="宋体" w:hAnsi="宋体" w:cs="宋体" w:eastAsiaTheme="minorEastAsia"/>
          <w:color w:val="auto"/>
          <w:sz w:val="24"/>
          <w:szCs w:val="24"/>
          <w:lang w:val="zh-TW"/>
        </w:rPr>
        <w:t>规范数字贸易开放型产教融合实践中心的人才培养，包括教学目标、教学计划、课程设置、教学方法、实习安排、学生评价等方面的要求。</w:t>
      </w:r>
    </w:p>
    <w:p w14:paraId="18CE0904">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3.</w:t>
      </w:r>
      <w:r>
        <w:rPr>
          <w:rFonts w:ascii="宋体" w:hAnsi="宋体" w:eastAsia="宋体" w:cs="宋体"/>
          <w:b/>
          <w:bCs/>
          <w:color w:val="auto"/>
          <w:sz w:val="24"/>
          <w:szCs w:val="24"/>
          <w:lang w:val="zh-TW"/>
        </w:rPr>
        <w:t>校企合作。</w:t>
      </w:r>
      <w:r>
        <w:rPr>
          <w:rFonts w:ascii="宋体" w:hAnsi="宋体" w:cs="宋体" w:eastAsiaTheme="minorEastAsia"/>
          <w:color w:val="auto"/>
          <w:sz w:val="24"/>
          <w:szCs w:val="24"/>
          <w:lang w:val="zh-TW"/>
        </w:rPr>
        <w:t>规范数字贸易开放型产教融合实践中心的校企合作，包括合作模式、协议签订、课程设计、实习安排、成果转化等方面的要求。</w:t>
      </w:r>
    </w:p>
    <w:p w14:paraId="333CA470">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4.</w:t>
      </w:r>
      <w:r>
        <w:rPr>
          <w:rFonts w:ascii="宋体" w:hAnsi="宋体" w:eastAsia="宋体" w:cs="宋体"/>
          <w:b/>
          <w:bCs/>
          <w:color w:val="auto"/>
          <w:sz w:val="24"/>
          <w:szCs w:val="24"/>
          <w:lang w:val="zh-TW"/>
        </w:rPr>
        <w:t>管理体制。</w:t>
      </w:r>
      <w:r>
        <w:rPr>
          <w:rFonts w:ascii="宋体" w:hAnsi="宋体" w:cs="宋体" w:eastAsiaTheme="minorEastAsia"/>
          <w:color w:val="auto"/>
          <w:sz w:val="24"/>
          <w:szCs w:val="24"/>
          <w:lang w:val="zh-TW"/>
        </w:rPr>
        <w:t>规范数字贸易开放型产教融合实践中心的管理体制，包括组织架构、管理职责、管理制度、质量保障等方面的要求。</w:t>
      </w:r>
    </w:p>
    <w:p w14:paraId="387D2931">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eastAsia="宋体" w:cs="宋体"/>
          <w:b/>
          <w:bCs/>
          <w:color w:val="auto"/>
          <w:sz w:val="24"/>
          <w:szCs w:val="24"/>
        </w:rPr>
        <w:t>5.</w:t>
      </w:r>
      <w:r>
        <w:rPr>
          <w:rFonts w:ascii="宋体" w:hAnsi="宋体" w:eastAsia="宋体" w:cs="宋体"/>
          <w:b/>
          <w:bCs/>
          <w:color w:val="auto"/>
          <w:sz w:val="24"/>
          <w:szCs w:val="24"/>
          <w:lang w:val="zh-TW"/>
        </w:rPr>
        <w:t>评估认证。</w:t>
      </w:r>
      <w:r>
        <w:rPr>
          <w:rFonts w:ascii="宋体" w:hAnsi="宋体" w:cs="宋体" w:eastAsiaTheme="minorEastAsia"/>
          <w:color w:val="auto"/>
          <w:sz w:val="24"/>
          <w:szCs w:val="24"/>
          <w:lang w:val="zh-TW"/>
        </w:rPr>
        <w:t>规范数字贸易开放型产教融合实践中心的评估认证，包括评估标准、评估程序、认证标准、认证程序等方面的要求。</w:t>
      </w:r>
    </w:p>
    <w:p w14:paraId="34A201BC">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五、标准的水平</w:t>
      </w:r>
    </w:p>
    <w:p w14:paraId="46296755">
      <w:pPr>
        <w:framePr w:wrap="auto" w:vAnchor="margin" w:hAnchor="text" w:yAlign="inline"/>
        <w:spacing w:line="360" w:lineRule="auto"/>
        <w:ind w:firstLine="480"/>
        <w:rPr>
          <w:rFonts w:ascii="宋体" w:hAnsi="宋体" w:cs="宋体" w:eastAsiaTheme="minorEastAsia"/>
          <w:color w:val="auto"/>
          <w:sz w:val="24"/>
          <w:szCs w:val="24"/>
          <w:lang w:val="zh-TW"/>
        </w:rPr>
      </w:pPr>
      <w:r>
        <w:rPr>
          <w:rFonts w:ascii="宋体" w:hAnsi="宋体" w:cs="宋体" w:eastAsiaTheme="minorEastAsia"/>
          <w:color w:val="auto"/>
          <w:sz w:val="24"/>
          <w:szCs w:val="24"/>
        </w:rPr>
        <w:t>在教育部《开放型区域产教融合实践中心建设指南》发布后，本标准</w:t>
      </w:r>
      <w:r>
        <w:rPr>
          <w:rFonts w:hint="cs" w:ascii="宋体" w:hAnsi="宋体" w:cs="宋体" w:eastAsiaTheme="minorEastAsia"/>
          <w:color w:val="auto"/>
          <w:sz w:val="24"/>
          <w:szCs w:val="24"/>
          <w:lang w:val="zh-TW"/>
        </w:rPr>
        <w:t>作为</w:t>
      </w:r>
      <w:r>
        <w:rPr>
          <w:rFonts w:ascii="宋体" w:hAnsi="宋体" w:cs="宋体" w:eastAsiaTheme="minorEastAsia"/>
          <w:color w:val="auto"/>
          <w:sz w:val="24"/>
          <w:szCs w:val="24"/>
        </w:rPr>
        <w:t>该领域</w:t>
      </w:r>
      <w:r>
        <w:rPr>
          <w:rFonts w:hint="cs" w:ascii="宋体" w:hAnsi="宋体" w:cs="宋体" w:eastAsiaTheme="minorEastAsia"/>
          <w:color w:val="auto"/>
          <w:sz w:val="24"/>
          <w:szCs w:val="24"/>
          <w:lang w:val="zh-TW"/>
        </w:rPr>
        <w:t>的首个标准，具有较高的行业引领性和示范作用。</w:t>
      </w:r>
      <w:r>
        <w:rPr>
          <w:rFonts w:ascii="宋体" w:hAnsi="宋体" w:cs="宋体" w:eastAsiaTheme="minorEastAsia"/>
          <w:color w:val="auto"/>
          <w:sz w:val="24"/>
          <w:szCs w:val="24"/>
        </w:rPr>
        <w:t>标准的水平主要体现在以下几个方面：</w:t>
      </w:r>
    </w:p>
    <w:p w14:paraId="3D6E0025">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1.行业引领性</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本标准具有显著的行业引领作用。</w:t>
      </w:r>
      <w:r>
        <w:rPr>
          <w:rFonts w:ascii="宋体" w:hAnsi="宋体" w:cs="宋体" w:eastAsiaTheme="minorEastAsia"/>
          <w:color w:val="auto"/>
          <w:sz w:val="24"/>
          <w:szCs w:val="24"/>
        </w:rPr>
        <w:t>本标准</w:t>
      </w:r>
      <w:r>
        <w:rPr>
          <w:rFonts w:hint="cs" w:ascii="宋体" w:hAnsi="宋体" w:cs="宋体" w:eastAsiaTheme="minorEastAsia"/>
          <w:color w:val="auto"/>
          <w:sz w:val="24"/>
          <w:szCs w:val="24"/>
          <w:lang w:val="zh-TW"/>
        </w:rPr>
        <w:t>全面系统地规范了</w:t>
      </w:r>
      <w:r>
        <w:rPr>
          <w:rFonts w:ascii="宋体" w:hAnsi="宋体" w:cs="宋体" w:eastAsiaTheme="minorEastAsia"/>
          <w:color w:val="auto"/>
          <w:sz w:val="24"/>
          <w:szCs w:val="24"/>
          <w:lang w:val="zh-TW"/>
        </w:rPr>
        <w:t>数字贸易教育实践中心的建设与运营管理</w:t>
      </w:r>
      <w:r>
        <w:rPr>
          <w:rFonts w:hint="cs" w:ascii="宋体" w:hAnsi="宋体" w:cs="宋体" w:eastAsiaTheme="minorEastAsia"/>
          <w:color w:val="auto"/>
          <w:sz w:val="24"/>
          <w:szCs w:val="24"/>
          <w:lang w:val="zh-TW"/>
        </w:rPr>
        <w:t>要求，包括实践中心设施、课程设置、师资队伍建设、校企合作等方面，确保教育资源能够精准对接行业需求。</w:t>
      </w:r>
    </w:p>
    <w:p w14:paraId="4008643B">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2.</w:t>
      </w:r>
      <w:r>
        <w:rPr>
          <w:rFonts w:ascii="宋体" w:hAnsi="宋体" w:eastAsia="宋体" w:cs="宋体"/>
          <w:b/>
          <w:bCs/>
          <w:color w:val="auto"/>
          <w:sz w:val="24"/>
          <w:szCs w:val="24"/>
        </w:rPr>
        <w:t>适应性。</w:t>
      </w:r>
      <w:r>
        <w:rPr>
          <w:rFonts w:hint="cs" w:ascii="宋体" w:hAnsi="宋体" w:cs="宋体" w:eastAsiaTheme="minorEastAsia"/>
          <w:color w:val="auto"/>
          <w:sz w:val="24"/>
          <w:szCs w:val="24"/>
          <w:lang w:val="zh-TW"/>
        </w:rPr>
        <w:t>本标准编制小组在参考国际最佳实践的同时，充分考虑了我国数字贸易行业的特点和发展需求</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以及产教融合实践中心</w:t>
      </w:r>
      <w:r>
        <w:rPr>
          <w:rFonts w:hint="cs" w:ascii="宋体" w:hAnsi="宋体" w:cs="宋体" w:eastAsiaTheme="minorEastAsia"/>
          <w:color w:val="auto"/>
          <w:sz w:val="24"/>
          <w:szCs w:val="24"/>
          <w:lang w:val="zh-TW"/>
        </w:rPr>
        <w:t>在教育设施建设、课程设计、教学模式、数字化转型等方面</w:t>
      </w:r>
      <w:r>
        <w:rPr>
          <w:rFonts w:ascii="宋体" w:hAnsi="宋体" w:cs="宋体" w:eastAsiaTheme="minorEastAsia"/>
          <w:color w:val="auto"/>
          <w:sz w:val="24"/>
          <w:szCs w:val="24"/>
        </w:rPr>
        <w:t>的需要</w:t>
      </w:r>
      <w:r>
        <w:rPr>
          <w:rFonts w:hint="cs" w:ascii="宋体" w:hAnsi="宋体" w:cs="宋体" w:eastAsiaTheme="minorEastAsia"/>
          <w:color w:val="auto"/>
          <w:sz w:val="24"/>
          <w:szCs w:val="24"/>
          <w:lang w:val="zh-TW"/>
        </w:rPr>
        <w:t>，</w:t>
      </w:r>
      <w:r>
        <w:rPr>
          <w:rFonts w:ascii="宋体" w:hAnsi="宋体" w:cs="宋体" w:eastAsiaTheme="minorEastAsia"/>
          <w:color w:val="auto"/>
          <w:sz w:val="24"/>
          <w:szCs w:val="24"/>
        </w:rPr>
        <w:t>注重对</w:t>
      </w:r>
      <w:r>
        <w:rPr>
          <w:rFonts w:hint="cs" w:ascii="宋体" w:hAnsi="宋体" w:cs="宋体" w:eastAsiaTheme="minorEastAsia"/>
          <w:color w:val="auto"/>
          <w:sz w:val="24"/>
          <w:szCs w:val="24"/>
          <w:lang w:val="zh-TW"/>
        </w:rPr>
        <w:t>行业</w:t>
      </w:r>
      <w:r>
        <w:rPr>
          <w:rFonts w:ascii="宋体" w:hAnsi="宋体" w:cs="宋体" w:eastAsiaTheme="minorEastAsia"/>
          <w:color w:val="auto"/>
          <w:sz w:val="24"/>
          <w:szCs w:val="24"/>
        </w:rPr>
        <w:t>及产业</w:t>
      </w:r>
      <w:r>
        <w:rPr>
          <w:rFonts w:hint="cs" w:ascii="宋体" w:hAnsi="宋体" w:cs="宋体" w:eastAsiaTheme="minorEastAsia"/>
          <w:color w:val="auto"/>
          <w:sz w:val="24"/>
          <w:szCs w:val="24"/>
          <w:lang w:val="zh-TW"/>
        </w:rPr>
        <w:t>发展的</w:t>
      </w:r>
      <w:r>
        <w:rPr>
          <w:rFonts w:ascii="宋体" w:hAnsi="宋体" w:cs="宋体" w:eastAsiaTheme="minorEastAsia"/>
          <w:color w:val="auto"/>
          <w:sz w:val="24"/>
          <w:szCs w:val="24"/>
        </w:rPr>
        <w:t>适应</w:t>
      </w:r>
      <w:r>
        <w:rPr>
          <w:rFonts w:hint="cs" w:ascii="宋体" w:hAnsi="宋体" w:cs="宋体" w:eastAsiaTheme="minorEastAsia"/>
          <w:color w:val="auto"/>
          <w:sz w:val="24"/>
          <w:szCs w:val="24"/>
          <w:lang w:val="zh-TW"/>
        </w:rPr>
        <w:t>性。</w:t>
      </w:r>
    </w:p>
    <w:p w14:paraId="1CFA0EA4">
      <w:pPr>
        <w:framePr w:wrap="auto" w:vAnchor="margin" w:hAnchor="text" w:yAlign="inline"/>
        <w:spacing w:line="360" w:lineRule="auto"/>
        <w:ind w:firstLine="480"/>
        <w:rPr>
          <w:rFonts w:ascii="宋体" w:hAnsi="宋体" w:cs="宋体" w:eastAsiaTheme="minorEastAsia"/>
          <w:color w:val="auto"/>
          <w:sz w:val="24"/>
          <w:szCs w:val="24"/>
        </w:rPr>
      </w:pPr>
      <w:r>
        <w:rPr>
          <w:rFonts w:ascii="宋体" w:hAnsi="宋体" w:eastAsia="宋体" w:cs="宋体"/>
          <w:b/>
          <w:bCs/>
          <w:color w:val="auto"/>
          <w:sz w:val="24"/>
          <w:szCs w:val="24"/>
        </w:rPr>
        <w:t>3.前瞻性。</w:t>
      </w:r>
      <w:r>
        <w:rPr>
          <w:rFonts w:ascii="宋体" w:hAnsi="宋体" w:cs="宋体" w:eastAsiaTheme="minorEastAsia"/>
          <w:color w:val="auto"/>
          <w:sz w:val="24"/>
          <w:szCs w:val="24"/>
        </w:rPr>
        <w:t>标准在制定过程中充分借鉴了国际先进教育理念和行业发展动态，结合全球数字贸易产业的发展趋势，具有较强的国际适应性与前瞻性。</w:t>
      </w:r>
    </w:p>
    <w:p w14:paraId="40106FF0">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六、与有关的现行法律、法规和强制性国家标准的关系</w:t>
      </w:r>
    </w:p>
    <w:p w14:paraId="51A3132B">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本标准符合国家现行法律、法规、规章和强制性国家标准的要求。遵照GB/T</w:t>
      </w:r>
      <w:r>
        <w:rPr>
          <w:rFonts w:ascii="宋体" w:hAnsi="宋体" w:cs="宋体" w:eastAsiaTheme="minorEastAsia"/>
          <w:color w:val="auto"/>
          <w:sz w:val="24"/>
          <w:szCs w:val="24"/>
        </w:rPr>
        <w:t xml:space="preserve"> </w:t>
      </w:r>
      <w:r>
        <w:rPr>
          <w:rFonts w:hint="cs" w:ascii="宋体" w:hAnsi="宋体" w:cs="宋体" w:eastAsiaTheme="minorEastAsia"/>
          <w:color w:val="auto"/>
          <w:sz w:val="24"/>
          <w:szCs w:val="24"/>
          <w:lang w:val="zh-TW"/>
        </w:rPr>
        <w:t>1.1-2020规定进行编写，引用了GB/T</w:t>
      </w:r>
      <w:r>
        <w:rPr>
          <w:rFonts w:ascii="宋体" w:hAnsi="宋体" w:cs="宋体" w:eastAsiaTheme="minorEastAsia"/>
          <w:color w:val="auto"/>
          <w:sz w:val="24"/>
          <w:szCs w:val="24"/>
        </w:rPr>
        <w:t xml:space="preserve"> </w:t>
      </w:r>
      <w:r>
        <w:rPr>
          <w:rFonts w:hint="cs" w:ascii="宋体" w:hAnsi="宋体" w:cs="宋体" w:eastAsiaTheme="minorEastAsia"/>
          <w:color w:val="auto"/>
          <w:sz w:val="24"/>
          <w:szCs w:val="24"/>
          <w:lang w:val="zh-TW"/>
        </w:rPr>
        <w:t>18883-2022《室内空气质量标准》、GB 55037-2022《建筑防火通用规范》等强制性国家标准，确保实践中心建设与现行法律法规及技术规范要求相符。</w:t>
      </w:r>
    </w:p>
    <w:p w14:paraId="78232F4F">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目前，国内外尚缺乏统一、广泛接受的数字贸易</w:t>
      </w:r>
      <w:r>
        <w:rPr>
          <w:rFonts w:ascii="宋体" w:hAnsi="宋体" w:cs="宋体" w:eastAsiaTheme="minorEastAsia"/>
          <w:color w:val="auto"/>
          <w:sz w:val="24"/>
          <w:szCs w:val="24"/>
        </w:rPr>
        <w:t>相关的</w:t>
      </w:r>
      <w:r>
        <w:rPr>
          <w:rFonts w:hint="cs" w:ascii="宋体" w:hAnsi="宋体" w:cs="宋体" w:eastAsiaTheme="minorEastAsia"/>
          <w:color w:val="auto"/>
          <w:sz w:val="24"/>
          <w:szCs w:val="24"/>
          <w:lang w:val="zh-TW"/>
        </w:rPr>
        <w:t>实践中心建设与</w:t>
      </w:r>
      <w:r>
        <w:rPr>
          <w:rFonts w:ascii="宋体" w:hAnsi="宋体" w:cs="宋体" w:eastAsiaTheme="minorEastAsia"/>
          <w:color w:val="auto"/>
          <w:sz w:val="24"/>
          <w:szCs w:val="24"/>
        </w:rPr>
        <w:t>运营</w:t>
      </w:r>
      <w:r>
        <w:rPr>
          <w:rFonts w:hint="cs" w:ascii="宋体" w:hAnsi="宋体" w:cs="宋体" w:eastAsiaTheme="minorEastAsia"/>
          <w:color w:val="auto"/>
          <w:sz w:val="24"/>
          <w:szCs w:val="24"/>
          <w:lang w:val="zh-TW"/>
        </w:rPr>
        <w:t>管理的标准</w:t>
      </w:r>
      <w:r>
        <w:rPr>
          <w:rFonts w:ascii="宋体" w:hAnsi="宋体" w:cs="宋体" w:eastAsiaTheme="minorEastAsia"/>
          <w:color w:val="auto"/>
          <w:sz w:val="24"/>
          <w:szCs w:val="24"/>
          <w:lang w:val="zh-TW"/>
        </w:rPr>
        <w:t>。</w:t>
      </w:r>
      <w:r>
        <w:rPr>
          <w:rFonts w:hint="cs" w:ascii="宋体" w:hAnsi="宋体" w:cs="宋体" w:eastAsiaTheme="minorEastAsia"/>
          <w:color w:val="auto"/>
          <w:sz w:val="24"/>
          <w:szCs w:val="24"/>
          <w:lang w:val="zh-TW"/>
        </w:rPr>
        <w:t>现有的国家标准、行业标准和地方标准尚未全面覆盖数字贸易教育和产教融合</w:t>
      </w:r>
      <w:r>
        <w:rPr>
          <w:rFonts w:ascii="宋体" w:hAnsi="宋体" w:cs="宋体" w:eastAsiaTheme="minorEastAsia"/>
          <w:color w:val="auto"/>
          <w:sz w:val="24"/>
          <w:szCs w:val="24"/>
        </w:rPr>
        <w:t>中心建设和运营管理</w:t>
      </w:r>
      <w:r>
        <w:rPr>
          <w:rFonts w:hint="cs" w:ascii="宋体" w:hAnsi="宋体" w:cs="宋体" w:eastAsiaTheme="minorEastAsia"/>
          <w:color w:val="auto"/>
          <w:sz w:val="24"/>
          <w:szCs w:val="24"/>
          <w:lang w:val="zh-TW"/>
        </w:rPr>
        <w:t>的相关内容，本标准在这一领域具有重要的创新性和先导性。</w:t>
      </w:r>
      <w:r>
        <w:rPr>
          <w:rFonts w:ascii="宋体" w:hAnsi="宋体" w:cs="宋体" w:eastAsiaTheme="minorEastAsia"/>
          <w:color w:val="auto"/>
          <w:sz w:val="24"/>
          <w:szCs w:val="24"/>
        </w:rPr>
        <w:t>因此，本标准填补了现行法律法规和强制性国家标准在该领域的空白，形成紧密的互补关系。</w:t>
      </w:r>
    </w:p>
    <w:p w14:paraId="78DAEFF8">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在标准编制过程中，充分考虑了现有数字经济、职业教育及产业发展相关的法律、法规和国家标准，确保标准内容不仅符合国家政策的总体要求，还针对数字贸易教育的具体需求进行细化和补充。通过制定本标准，为数字贸易教育的监管机构、教育平台、企业、研究机构等提供了清晰的指导和评判准则，推动数字贸易教育领域的规范化发展，促进数字贸易产业与教育的深度融合，助力政策制定和行业的健康发展。</w:t>
      </w:r>
    </w:p>
    <w:p w14:paraId="0234EA1E">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七、贯彻标准的要求和措施建议</w:t>
      </w:r>
    </w:p>
    <w:p w14:paraId="43063F77">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为了确保《数字贸易开放型产教融合实践中心建设与</w:t>
      </w:r>
      <w:r>
        <w:rPr>
          <w:rFonts w:ascii="宋体" w:hAnsi="宋体" w:cs="宋体" w:eastAsiaTheme="minorEastAsia"/>
          <w:color w:val="auto"/>
          <w:sz w:val="24"/>
          <w:szCs w:val="24"/>
          <w:lang w:val="zh-TW"/>
        </w:rPr>
        <w:t>运营管理规范</w:t>
      </w:r>
      <w:r>
        <w:rPr>
          <w:rFonts w:hint="cs" w:ascii="宋体" w:hAnsi="宋体" w:cs="宋体" w:eastAsiaTheme="minorEastAsia"/>
          <w:color w:val="auto"/>
          <w:sz w:val="24"/>
          <w:szCs w:val="24"/>
          <w:lang w:val="zh-TW"/>
        </w:rPr>
        <w:t>》团体标准的有效贯彻实施，保证标准在全国范围内的顺利推行</w:t>
      </w:r>
      <w:r>
        <w:rPr>
          <w:rFonts w:ascii="宋体" w:hAnsi="宋体" w:cs="宋体" w:eastAsiaTheme="minorEastAsia"/>
          <w:color w:val="auto"/>
          <w:sz w:val="24"/>
          <w:szCs w:val="24"/>
          <w:lang w:val="zh-TW"/>
        </w:rPr>
        <w:t>，</w:t>
      </w:r>
      <w:r>
        <w:rPr>
          <w:rFonts w:hint="cs" w:ascii="宋体" w:hAnsi="宋体" w:cs="宋体" w:eastAsiaTheme="minorEastAsia"/>
          <w:color w:val="auto"/>
          <w:sz w:val="24"/>
          <w:szCs w:val="24"/>
          <w:lang w:val="zh-TW"/>
        </w:rPr>
        <w:t>标准的执行不仅依赖于教育机构的自觉遵守，更需要各级政府、行业组织、企业等多方力量的共同推动。以下是针对标准贯彻实施的具体要求和措施建议：</w:t>
      </w:r>
    </w:p>
    <w:p w14:paraId="61BD8568">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1.加强宣传与培训</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标准的实施需要广泛的宣传和普及，特别是在教育机构、产业企业、行业协会等单位中。因此，首先要通过多渠道的宣传活动，提高各方对标准内容的认知与理解，推动标准的全面落实。</w:t>
      </w:r>
    </w:p>
    <w:p w14:paraId="3EB3DB12">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2.建立监督和评估机制</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标准的贯彻落实离不开有效的监督和评估机制。因此，应设立专门的监督机构，</w:t>
      </w:r>
      <w:r>
        <w:rPr>
          <w:rFonts w:ascii="宋体" w:hAnsi="宋体" w:cs="宋体" w:eastAsiaTheme="minorEastAsia"/>
          <w:color w:val="auto"/>
          <w:sz w:val="24"/>
          <w:szCs w:val="24"/>
        </w:rPr>
        <w:t>搭建</w:t>
      </w:r>
      <w:r>
        <w:rPr>
          <w:rFonts w:hint="cs" w:ascii="宋体" w:hAnsi="宋体" w:cs="宋体" w:eastAsiaTheme="minorEastAsia"/>
          <w:color w:val="auto"/>
          <w:sz w:val="24"/>
          <w:szCs w:val="24"/>
          <w:lang w:val="zh-TW"/>
        </w:rPr>
        <w:t>监督体系</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形成</w:t>
      </w:r>
      <w:r>
        <w:rPr>
          <w:rFonts w:hint="cs" w:ascii="宋体" w:hAnsi="宋体" w:cs="宋体" w:eastAsiaTheme="minorEastAsia"/>
          <w:color w:val="auto"/>
          <w:sz w:val="24"/>
          <w:szCs w:val="24"/>
          <w:lang w:val="zh-TW"/>
        </w:rPr>
        <w:t>评估与反馈</w:t>
      </w:r>
      <w:r>
        <w:rPr>
          <w:rFonts w:ascii="宋体" w:hAnsi="宋体" w:cs="宋体" w:eastAsiaTheme="minorEastAsia"/>
          <w:color w:val="auto"/>
          <w:sz w:val="24"/>
          <w:szCs w:val="24"/>
          <w:lang w:val="zh-TW"/>
        </w:rPr>
        <w:t>，</w:t>
      </w:r>
      <w:r>
        <w:rPr>
          <w:rFonts w:hint="cs" w:ascii="宋体" w:hAnsi="宋体" w:cs="宋体" w:eastAsiaTheme="minorEastAsia"/>
          <w:color w:val="auto"/>
          <w:sz w:val="24"/>
          <w:szCs w:val="24"/>
          <w:lang w:val="zh-TW"/>
        </w:rPr>
        <w:t>定期对标准的实施情况进行检查和评估。</w:t>
      </w:r>
    </w:p>
    <w:p w14:paraId="14E817C9">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3.推动地方政府和企业参与</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地方政府和企业在标准实施过程中扮演着重要角色。因此，地方政府应根据本地的实际情况，制定配套措施，推动标准的落实。企业在校企合作、技术研发和项目实践等方面的参与，对于标准的落实至关重要。</w:t>
      </w:r>
    </w:p>
    <w:p w14:paraId="26E5301F">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4.建立持续修订和优化机制</w:t>
      </w:r>
      <w:r>
        <w:rPr>
          <w:rFonts w:ascii="宋体" w:hAnsi="宋体" w:eastAsia="宋体" w:cs="宋体"/>
          <w:b/>
          <w:bCs/>
          <w:color w:val="auto"/>
          <w:sz w:val="24"/>
          <w:szCs w:val="24"/>
          <w:lang w:val="zh-TW"/>
        </w:rPr>
        <w:t>。</w:t>
      </w:r>
      <w:r>
        <w:rPr>
          <w:rFonts w:ascii="宋体" w:hAnsi="宋体" w:cs="宋体" w:eastAsiaTheme="minorEastAsia"/>
          <w:color w:val="auto"/>
          <w:sz w:val="24"/>
          <w:szCs w:val="24"/>
        </w:rPr>
        <w:t>建立</w:t>
      </w:r>
      <w:r>
        <w:rPr>
          <w:rFonts w:hint="cs" w:ascii="宋体" w:hAnsi="宋体" w:cs="宋体" w:eastAsiaTheme="minorEastAsia"/>
          <w:color w:val="auto"/>
          <w:sz w:val="24"/>
          <w:szCs w:val="24"/>
          <w:lang w:val="zh-TW"/>
        </w:rPr>
        <w:t>动态调整和持续优化的机制，以应对新的挑战和需求。</w:t>
      </w:r>
      <w:r>
        <w:rPr>
          <w:rFonts w:ascii="宋体" w:hAnsi="宋体" w:cs="宋体" w:eastAsiaTheme="minorEastAsia"/>
          <w:color w:val="auto"/>
          <w:sz w:val="24"/>
          <w:szCs w:val="24"/>
        </w:rPr>
        <w:t>一方面，建立</w:t>
      </w:r>
      <w:r>
        <w:rPr>
          <w:rFonts w:hint="cs" w:ascii="宋体" w:hAnsi="宋体" w:cs="宋体" w:eastAsiaTheme="minorEastAsia"/>
          <w:color w:val="auto"/>
          <w:sz w:val="24"/>
          <w:szCs w:val="24"/>
          <w:lang w:val="zh-TW"/>
        </w:rPr>
        <w:t>修订机制</w:t>
      </w:r>
      <w:r>
        <w:rPr>
          <w:rFonts w:ascii="宋体" w:hAnsi="宋体" w:cs="宋体" w:eastAsiaTheme="minorEastAsia"/>
          <w:color w:val="auto"/>
          <w:sz w:val="24"/>
          <w:szCs w:val="24"/>
          <w:lang w:val="zh-TW"/>
        </w:rPr>
        <w:t>。</w:t>
      </w:r>
      <w:r>
        <w:rPr>
          <w:rFonts w:hint="cs" w:ascii="宋体" w:hAnsi="宋体" w:cs="宋体" w:eastAsiaTheme="minorEastAsia"/>
          <w:color w:val="auto"/>
          <w:sz w:val="24"/>
          <w:szCs w:val="24"/>
          <w:lang w:val="zh-TW"/>
        </w:rPr>
        <w:t>建议设立标准修订委员会，定期根据行业发展趋势、技术变革及教育反馈，对标准内容进行修订与优化。</w:t>
      </w:r>
      <w:r>
        <w:rPr>
          <w:rFonts w:ascii="宋体" w:hAnsi="宋体" w:cs="宋体" w:eastAsiaTheme="minorEastAsia"/>
          <w:color w:val="auto"/>
          <w:sz w:val="24"/>
          <w:szCs w:val="24"/>
        </w:rPr>
        <w:t>另一方面，建立</w:t>
      </w:r>
      <w:r>
        <w:rPr>
          <w:rFonts w:hint="cs" w:ascii="宋体" w:hAnsi="宋体" w:cs="宋体" w:eastAsiaTheme="minorEastAsia"/>
          <w:color w:val="auto"/>
          <w:sz w:val="24"/>
          <w:szCs w:val="24"/>
          <w:lang w:val="zh-TW"/>
        </w:rPr>
        <w:t>行业反馈机制</w:t>
      </w:r>
      <w:r>
        <w:rPr>
          <w:rFonts w:ascii="宋体" w:hAnsi="宋体" w:cs="宋体" w:eastAsiaTheme="minorEastAsia"/>
          <w:color w:val="auto"/>
          <w:sz w:val="24"/>
          <w:szCs w:val="24"/>
          <w:lang w:val="zh-TW"/>
        </w:rPr>
        <w:t>。</w:t>
      </w:r>
      <w:r>
        <w:rPr>
          <w:rFonts w:hint="cs" w:ascii="宋体" w:hAnsi="宋体" w:cs="宋体" w:eastAsiaTheme="minorEastAsia"/>
          <w:color w:val="auto"/>
          <w:sz w:val="24"/>
          <w:szCs w:val="24"/>
          <w:lang w:val="zh-TW"/>
        </w:rPr>
        <w:t>在标准实施过程中，鼓励各类教育机构、企业、行业协会等单位提供反馈，及时识别实施过程中存在的问题，并提出优化建议。</w:t>
      </w:r>
    </w:p>
    <w:p w14:paraId="4173CE48">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5.激励机制</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为了激励各类实践中心和企业积极执行标准，可以建立一定的激励机制，促进各方主动落实标准。</w:t>
      </w:r>
      <w:r>
        <w:rPr>
          <w:rFonts w:ascii="宋体" w:hAnsi="宋体" w:cs="宋体" w:eastAsiaTheme="minorEastAsia"/>
          <w:color w:val="auto"/>
          <w:sz w:val="24"/>
          <w:szCs w:val="24"/>
        </w:rPr>
        <w:t>带动</w:t>
      </w:r>
      <w:r>
        <w:rPr>
          <w:rFonts w:hint="cs" w:ascii="宋体" w:hAnsi="宋体" w:cs="宋体" w:eastAsiaTheme="minorEastAsia"/>
          <w:color w:val="auto"/>
          <w:sz w:val="24"/>
          <w:szCs w:val="24"/>
          <w:lang w:val="zh-TW"/>
        </w:rPr>
        <w:t>更多单位积极参与标准的实施</w:t>
      </w:r>
      <w:r>
        <w:rPr>
          <w:rFonts w:ascii="宋体" w:hAnsi="宋体" w:cs="宋体" w:eastAsiaTheme="minorEastAsia"/>
          <w:color w:val="auto"/>
          <w:sz w:val="24"/>
          <w:szCs w:val="24"/>
          <w:lang w:val="zh-TW"/>
        </w:rPr>
        <w:t>，进一步提升数字贸易教育体系的整体水平。</w:t>
      </w:r>
    </w:p>
    <w:p w14:paraId="12BD82C4">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hint="cs" w:ascii="宋体" w:hAnsi="宋体" w:eastAsia="宋体" w:cs="宋体"/>
          <w:b/>
          <w:bCs/>
          <w:color w:val="auto"/>
          <w:kern w:val="0"/>
          <w:sz w:val="24"/>
          <w:szCs w:val="24"/>
          <w:u w:color="0000FF"/>
          <w:lang w:val="zh-TW"/>
        </w:rPr>
        <w:t>八、标准实施的预期效果</w:t>
      </w:r>
    </w:p>
    <w:p w14:paraId="0B4E4E2E">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通过《数字贸易开放型产教融合实践中心建设与</w:t>
      </w:r>
      <w:r>
        <w:rPr>
          <w:rFonts w:ascii="宋体" w:hAnsi="宋体" w:cs="宋体" w:eastAsiaTheme="minorEastAsia"/>
          <w:color w:val="auto"/>
          <w:sz w:val="24"/>
          <w:szCs w:val="24"/>
          <w:lang w:val="zh-TW"/>
        </w:rPr>
        <w:t>运营管理规范</w:t>
      </w:r>
      <w:r>
        <w:rPr>
          <w:rFonts w:hint="cs" w:ascii="宋体" w:hAnsi="宋体" w:cs="宋体" w:eastAsiaTheme="minorEastAsia"/>
          <w:color w:val="auto"/>
          <w:sz w:val="24"/>
          <w:szCs w:val="24"/>
          <w:lang w:val="zh-TW"/>
        </w:rPr>
        <w:t>》团体标准的实施，预计将产生以下几个方面的积极效果：</w:t>
      </w:r>
    </w:p>
    <w:p w14:paraId="5619FE4C">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1.规范数字贸易教育实践中心的建设和管理</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标准的实施将对全国范围内的数字贸易教育实践中心建设和管理起到规范化作用。通过统一的标准，确保各地、各单位的实践中心能够按照统一的建设要求、管理模式和教育规范进行操作。</w:t>
      </w:r>
      <w:r>
        <w:rPr>
          <w:rFonts w:ascii="宋体" w:hAnsi="宋体" w:cs="宋体" w:eastAsiaTheme="minorEastAsia"/>
          <w:color w:val="auto"/>
          <w:sz w:val="24"/>
          <w:szCs w:val="24"/>
        </w:rPr>
        <w:t>同时，</w:t>
      </w:r>
      <w:r>
        <w:rPr>
          <w:rFonts w:hint="cs" w:ascii="宋体" w:hAnsi="宋体" w:cs="宋体" w:eastAsiaTheme="minorEastAsia"/>
          <w:color w:val="auto"/>
          <w:sz w:val="24"/>
          <w:szCs w:val="24"/>
          <w:lang w:val="zh-TW"/>
        </w:rPr>
        <w:t>促进数字贸易教育实践中心与企业的深度合作，提升教育和产业的互动性，确保人才培养与产业发展保持同步。不仅有助于提高教育质量，也能更好地满足数字贸易行业日益增长的专业人才需求。</w:t>
      </w:r>
    </w:p>
    <w:p w14:paraId="3E3D7D4E">
      <w:pPr>
        <w:framePr w:wrap="auto" w:vAnchor="margin" w:hAnchor="text" w:yAlign="inline"/>
        <w:spacing w:line="360" w:lineRule="auto"/>
        <w:ind w:firstLine="480"/>
        <w:rPr>
          <w:rFonts w:ascii="宋体" w:hAnsi="宋体" w:eastAsia="宋体" w:cs="宋体"/>
          <w:b/>
          <w:bCs/>
          <w:color w:val="auto"/>
          <w:sz w:val="24"/>
          <w:szCs w:val="24"/>
          <w:lang w:val="zh-TW"/>
        </w:rPr>
      </w:pPr>
      <w:r>
        <w:rPr>
          <w:rFonts w:hint="cs" w:ascii="宋体" w:hAnsi="宋体" w:eastAsia="宋体" w:cs="宋体"/>
          <w:b/>
          <w:bCs/>
          <w:color w:val="auto"/>
          <w:sz w:val="24"/>
          <w:szCs w:val="24"/>
          <w:lang w:val="zh-TW"/>
        </w:rPr>
        <w:t>2.提升人才培养质量</w:t>
      </w:r>
    </w:p>
    <w:p w14:paraId="57FCEF0E">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通过标准的落实，数字贸易教育实践中心将能够提供更加规范、系统的教学内容和实践机会，特别是在数字化转型和技术应用方面，确保学生能够接触到最前沿的行业技术和实践经验，提高教育的灵活性和效率，使学生能够在更加灵活的学习环境中培养专业技能。</w:t>
      </w:r>
    </w:p>
    <w:p w14:paraId="1D6BBE23">
      <w:pPr>
        <w:framePr w:wrap="auto" w:vAnchor="margin" w:hAnchor="text" w:yAlign="inline"/>
        <w:spacing w:line="360" w:lineRule="auto"/>
        <w:ind w:firstLine="480"/>
        <w:rPr>
          <w:rFonts w:ascii="宋体" w:hAnsi="宋体" w:eastAsia="宋体" w:cs="宋体"/>
          <w:b/>
          <w:bCs/>
          <w:color w:val="auto"/>
          <w:sz w:val="24"/>
          <w:szCs w:val="24"/>
          <w:lang w:val="zh-TW"/>
        </w:rPr>
      </w:pPr>
      <w:r>
        <w:rPr>
          <w:rFonts w:hint="cs" w:ascii="宋体" w:hAnsi="宋体" w:eastAsia="宋体" w:cs="宋体"/>
          <w:b/>
          <w:bCs/>
          <w:color w:val="auto"/>
          <w:sz w:val="24"/>
          <w:szCs w:val="24"/>
          <w:lang w:val="zh-TW"/>
        </w:rPr>
        <w:t>3.促进教育与产业的深度融合</w:t>
      </w:r>
    </w:p>
    <w:p w14:paraId="4969F438">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cs="宋体" w:eastAsiaTheme="minorEastAsia"/>
          <w:color w:val="auto"/>
          <w:sz w:val="24"/>
          <w:szCs w:val="24"/>
          <w:lang w:val="zh-TW"/>
        </w:rPr>
        <w:t>通过规范数字贸易教育实践中心与企业的合作机制，推动学校和企业在人才培养、技术研发、创新项目等方面的协同合作。通过与行业企业的深度合作，将教学内容与行业需求紧密结合，使学生在实际生产环境中锻炼技能，从而提高就业率和就业质量。标准的实施将使教育和产业的合作更加密切，推动产业链、人才链、技术链的良性循环。</w:t>
      </w:r>
    </w:p>
    <w:p w14:paraId="00CAE855">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4.推动数字贸易产业的可持续发展</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随着标准的推广和实施，数字贸易教育的质量将得到全面提升，将为数字贸易产业提供源源不断的高素质专业人才。人才的培养将直接促进产业的技术创新和转型升级，推动数字贸易产业向更加智能化、数字化、国际化的方向发展。教育与产业的深度融合将带来产业技术的进步与产业结构的优化，进一步提升数字贸易在全球市场中的竞争力。</w:t>
      </w:r>
    </w:p>
    <w:p w14:paraId="033FAC25">
      <w:pPr>
        <w:framePr w:wrap="auto" w:vAnchor="margin" w:hAnchor="text" w:yAlign="inline"/>
        <w:spacing w:line="360" w:lineRule="auto"/>
        <w:ind w:firstLine="480"/>
        <w:rPr>
          <w:rFonts w:ascii="宋体" w:hAnsi="宋体" w:cs="宋体" w:eastAsiaTheme="minorEastAsia"/>
          <w:color w:val="auto"/>
          <w:sz w:val="24"/>
          <w:szCs w:val="24"/>
          <w:lang w:val="zh-TW"/>
        </w:rPr>
      </w:pPr>
      <w:r>
        <w:rPr>
          <w:rFonts w:hint="cs" w:ascii="宋体" w:hAnsi="宋体" w:eastAsia="宋体" w:cs="宋体"/>
          <w:b/>
          <w:bCs/>
          <w:color w:val="auto"/>
          <w:sz w:val="24"/>
          <w:szCs w:val="24"/>
          <w:lang w:val="zh-TW"/>
        </w:rPr>
        <w:t>5.促进数字经济的发展和创新</w:t>
      </w:r>
      <w:r>
        <w:rPr>
          <w:rFonts w:ascii="宋体" w:hAnsi="宋体" w:eastAsia="宋体" w:cs="宋体"/>
          <w:b/>
          <w:bCs/>
          <w:color w:val="auto"/>
          <w:sz w:val="24"/>
          <w:szCs w:val="24"/>
          <w:lang w:val="zh-TW"/>
        </w:rPr>
        <w:t>。</w:t>
      </w:r>
      <w:r>
        <w:rPr>
          <w:rFonts w:hint="cs" w:ascii="宋体" w:hAnsi="宋体" w:cs="宋体" w:eastAsiaTheme="minorEastAsia"/>
          <w:color w:val="auto"/>
          <w:sz w:val="24"/>
          <w:szCs w:val="24"/>
          <w:lang w:val="zh-TW"/>
        </w:rPr>
        <w:t>通过标准的实施，将加速数字经济的发展。随着数字贸易产业的蓬勃发展，数字经济作为新经济增长点的地位将更加巩固。数字贸易教育的不断完善，不仅为产业提供了高端技术人才，也为经济社会的数字化转型提供了智力支持。</w:t>
      </w:r>
    </w:p>
    <w:sectPr>
      <w:headerReference r:id="rId5" w:type="default"/>
      <w:footerReference r:id="rId6"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Arial"/>
    <w:panose1 w:val="00000000000000000000"/>
    <w:charset w:val="00"/>
    <w:family w:val="auto"/>
    <w:pitch w:val="default"/>
    <w:sig w:usb0="00000000" w:usb1="00000000" w:usb2="0000001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E2C1">
    <w:pPr>
      <w:pStyle w:val="3"/>
      <w:framePr w:wrap="auto" w:vAnchor="margin" w:hAnchor="text" w:yAlign="inline"/>
      <w:tabs>
        <w:tab w:val="right" w:pos="8280"/>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B26D">
    <w:pPr>
      <w:pStyle w:val="3"/>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6B221">
    <w:pPr>
      <w:pStyle w:val="14"/>
      <w:framePr w:wrap="auto" w:vAnchor="margin" w:hAnchor="text" w:yAlign="inline"/>
      <w:rPr>
        <w:rFonts w:hint="eastAsia"/>
      </w:rPr>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0B55FE2A">
                          <w:pPr>
                            <w:pStyle w:val="3"/>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TVBjaAAAADQEAAA8AAAAAAAAAAQAgAAAAIgAAAGRy&#10;cy9kb3ducmV2LnhtbFBLAQIUABQAAAAIAIdO4kBoGCiJAwIAAPUDAAAOAAAAAAAAAAEAIAAAACkB&#10;AABkcnMvZTJvRG9jLnhtbFBLBQYAAAAABgAGAFkBAACeBQAAAAA=&#10;">
              <v:fill on="f" focussize="0,0"/>
              <v:stroke on="f" weight="1pt" miterlimit="4" joinstyle="miter"/>
              <v:imagedata o:title=""/>
              <o:lock v:ext="edit" aspectratio="f"/>
              <v:textbox inset="0mm,0mm,0mm,0mm">
                <w:txbxContent>
                  <w:p w14:paraId="0B55FE2A">
                    <w:pPr>
                      <w:pStyle w:val="3"/>
                    </w:pPr>
                    <w:r>
                      <w:fldChar w:fldCharType="begin"/>
                    </w:r>
                    <w:r>
                      <w:instrText xml:space="preserve"> PAGE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D539">
    <w:pPr>
      <w:pStyle w:val="14"/>
      <w:framePr w:wrap="auto" w:vAnchor="margin" w:hAnchor="text" w:yAlign="inline"/>
      <w:rPr>
        <w:rFonts w:hint="eastAsia"/>
      </w:rPr>
    </w:pPr>
    <w:r>
      <mc:AlternateContent>
        <mc:Choice Requires="wps">
          <w:drawing>
            <wp:anchor distT="152400" distB="152400" distL="152400" distR="152400" simplePos="0" relativeHeight="251660288"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266F01C0">
                          <w:pPr>
                            <w:pStyle w:val="3"/>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6192;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266F01C0">
                    <w:pPr>
                      <w:pStyle w:val="3"/>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
  <w:docVars>
    <w:docVar w:name="commondata" w:val="eyJoZGlkIjoiZmFhOTEwOTA4M2RhMmU1NGE4Zjg4ZmY1NTkwZWFmMjUifQ=="/>
  </w:docVars>
  <w:rsids>
    <w:rsidRoot w:val="001C1971"/>
    <w:rsid w:val="0000007A"/>
    <w:rsid w:val="00001B5B"/>
    <w:rsid w:val="00010B53"/>
    <w:rsid w:val="000117FA"/>
    <w:rsid w:val="00015ECA"/>
    <w:rsid w:val="00021F88"/>
    <w:rsid w:val="00023AB0"/>
    <w:rsid w:val="00032511"/>
    <w:rsid w:val="00035B6D"/>
    <w:rsid w:val="00037A2E"/>
    <w:rsid w:val="00050AEC"/>
    <w:rsid w:val="00082FF1"/>
    <w:rsid w:val="00084859"/>
    <w:rsid w:val="000905AB"/>
    <w:rsid w:val="00094129"/>
    <w:rsid w:val="000B3167"/>
    <w:rsid w:val="000C006E"/>
    <w:rsid w:val="000C14D6"/>
    <w:rsid w:val="000F45D3"/>
    <w:rsid w:val="000F71FA"/>
    <w:rsid w:val="00102875"/>
    <w:rsid w:val="00136DC2"/>
    <w:rsid w:val="001445DA"/>
    <w:rsid w:val="001C1971"/>
    <w:rsid w:val="00204F84"/>
    <w:rsid w:val="00215DD7"/>
    <w:rsid w:val="0022713F"/>
    <w:rsid w:val="00237697"/>
    <w:rsid w:val="002512F2"/>
    <w:rsid w:val="00264B72"/>
    <w:rsid w:val="002663D9"/>
    <w:rsid w:val="002665EC"/>
    <w:rsid w:val="0028709D"/>
    <w:rsid w:val="00295751"/>
    <w:rsid w:val="002B4CE6"/>
    <w:rsid w:val="002C2D18"/>
    <w:rsid w:val="002D4343"/>
    <w:rsid w:val="002F0B8B"/>
    <w:rsid w:val="002F3AA6"/>
    <w:rsid w:val="002F3F3E"/>
    <w:rsid w:val="002F5DE6"/>
    <w:rsid w:val="0030564F"/>
    <w:rsid w:val="0031319C"/>
    <w:rsid w:val="0035380E"/>
    <w:rsid w:val="00377697"/>
    <w:rsid w:val="00391E44"/>
    <w:rsid w:val="00392AF6"/>
    <w:rsid w:val="0039677A"/>
    <w:rsid w:val="003A0FD7"/>
    <w:rsid w:val="003B30F9"/>
    <w:rsid w:val="003C6F12"/>
    <w:rsid w:val="003D652D"/>
    <w:rsid w:val="004005B0"/>
    <w:rsid w:val="004240F0"/>
    <w:rsid w:val="00435909"/>
    <w:rsid w:val="00450A6F"/>
    <w:rsid w:val="00453F8D"/>
    <w:rsid w:val="004B46F1"/>
    <w:rsid w:val="004B56C3"/>
    <w:rsid w:val="004D05EE"/>
    <w:rsid w:val="004D285A"/>
    <w:rsid w:val="00525B9B"/>
    <w:rsid w:val="00546C9F"/>
    <w:rsid w:val="00550AA3"/>
    <w:rsid w:val="00555768"/>
    <w:rsid w:val="0059365C"/>
    <w:rsid w:val="005A6EF5"/>
    <w:rsid w:val="005B13B2"/>
    <w:rsid w:val="005B4AAD"/>
    <w:rsid w:val="005F7B08"/>
    <w:rsid w:val="00605F70"/>
    <w:rsid w:val="006123BD"/>
    <w:rsid w:val="00634383"/>
    <w:rsid w:val="00647AAD"/>
    <w:rsid w:val="00666AC0"/>
    <w:rsid w:val="00695C8A"/>
    <w:rsid w:val="006A3830"/>
    <w:rsid w:val="006A4054"/>
    <w:rsid w:val="006A5904"/>
    <w:rsid w:val="006C3335"/>
    <w:rsid w:val="006D28E6"/>
    <w:rsid w:val="006E4EB5"/>
    <w:rsid w:val="006E7F2E"/>
    <w:rsid w:val="00701015"/>
    <w:rsid w:val="00713B38"/>
    <w:rsid w:val="00716D2A"/>
    <w:rsid w:val="007205D4"/>
    <w:rsid w:val="00720891"/>
    <w:rsid w:val="00753EC9"/>
    <w:rsid w:val="00791143"/>
    <w:rsid w:val="007A6EC1"/>
    <w:rsid w:val="007C78B9"/>
    <w:rsid w:val="007D7840"/>
    <w:rsid w:val="007F7367"/>
    <w:rsid w:val="00844A75"/>
    <w:rsid w:val="00852083"/>
    <w:rsid w:val="00872310"/>
    <w:rsid w:val="008A1E38"/>
    <w:rsid w:val="008D1A07"/>
    <w:rsid w:val="008E73B2"/>
    <w:rsid w:val="00903D18"/>
    <w:rsid w:val="009078BB"/>
    <w:rsid w:val="00910818"/>
    <w:rsid w:val="0092426D"/>
    <w:rsid w:val="0092709E"/>
    <w:rsid w:val="00951C47"/>
    <w:rsid w:val="00954AFB"/>
    <w:rsid w:val="009618BF"/>
    <w:rsid w:val="0096218D"/>
    <w:rsid w:val="00964B16"/>
    <w:rsid w:val="009936AB"/>
    <w:rsid w:val="009A2906"/>
    <w:rsid w:val="009A514C"/>
    <w:rsid w:val="009B4725"/>
    <w:rsid w:val="009C08DA"/>
    <w:rsid w:val="009C333D"/>
    <w:rsid w:val="009D2E05"/>
    <w:rsid w:val="009F19C0"/>
    <w:rsid w:val="00A14861"/>
    <w:rsid w:val="00A22E73"/>
    <w:rsid w:val="00A329F7"/>
    <w:rsid w:val="00A369F1"/>
    <w:rsid w:val="00A41482"/>
    <w:rsid w:val="00A56255"/>
    <w:rsid w:val="00A7221A"/>
    <w:rsid w:val="00A72D65"/>
    <w:rsid w:val="00A76DB0"/>
    <w:rsid w:val="00A77A49"/>
    <w:rsid w:val="00A8724C"/>
    <w:rsid w:val="00AE59AD"/>
    <w:rsid w:val="00AE5E92"/>
    <w:rsid w:val="00B0520A"/>
    <w:rsid w:val="00B154D0"/>
    <w:rsid w:val="00B33BF1"/>
    <w:rsid w:val="00B3497B"/>
    <w:rsid w:val="00B45AE7"/>
    <w:rsid w:val="00B5017B"/>
    <w:rsid w:val="00C01246"/>
    <w:rsid w:val="00C149D5"/>
    <w:rsid w:val="00C223EE"/>
    <w:rsid w:val="00C50B12"/>
    <w:rsid w:val="00C731C6"/>
    <w:rsid w:val="00C870A4"/>
    <w:rsid w:val="00C923B3"/>
    <w:rsid w:val="00CD3464"/>
    <w:rsid w:val="00CE0776"/>
    <w:rsid w:val="00CE51C9"/>
    <w:rsid w:val="00D20D5B"/>
    <w:rsid w:val="00D418D7"/>
    <w:rsid w:val="00D42091"/>
    <w:rsid w:val="00D42375"/>
    <w:rsid w:val="00D92B72"/>
    <w:rsid w:val="00D92D8A"/>
    <w:rsid w:val="00D9431E"/>
    <w:rsid w:val="00DA1793"/>
    <w:rsid w:val="00DB3344"/>
    <w:rsid w:val="00DC0655"/>
    <w:rsid w:val="00DD1545"/>
    <w:rsid w:val="00DF5A59"/>
    <w:rsid w:val="00E045F4"/>
    <w:rsid w:val="00E20101"/>
    <w:rsid w:val="00E21072"/>
    <w:rsid w:val="00E223F5"/>
    <w:rsid w:val="00E42EA4"/>
    <w:rsid w:val="00E476F5"/>
    <w:rsid w:val="00E66352"/>
    <w:rsid w:val="00E8502F"/>
    <w:rsid w:val="00E86919"/>
    <w:rsid w:val="00E908ED"/>
    <w:rsid w:val="00E95A59"/>
    <w:rsid w:val="00EA0E6F"/>
    <w:rsid w:val="00EA45A0"/>
    <w:rsid w:val="00EB7D2E"/>
    <w:rsid w:val="00ED4542"/>
    <w:rsid w:val="00ED6663"/>
    <w:rsid w:val="00EE0D56"/>
    <w:rsid w:val="00EE2BFC"/>
    <w:rsid w:val="00EF578C"/>
    <w:rsid w:val="00F06039"/>
    <w:rsid w:val="00F10349"/>
    <w:rsid w:val="00F379DE"/>
    <w:rsid w:val="00F4411B"/>
    <w:rsid w:val="00F52EE6"/>
    <w:rsid w:val="00F60ACD"/>
    <w:rsid w:val="00F707BF"/>
    <w:rsid w:val="00F770A2"/>
    <w:rsid w:val="00F91175"/>
    <w:rsid w:val="00F92653"/>
    <w:rsid w:val="00FB455B"/>
    <w:rsid w:val="00FB60EA"/>
    <w:rsid w:val="062D0592"/>
    <w:rsid w:val="06907B34"/>
    <w:rsid w:val="0C6B2020"/>
    <w:rsid w:val="0CEF76F2"/>
    <w:rsid w:val="1C7114D7"/>
    <w:rsid w:val="1E8D27EC"/>
    <w:rsid w:val="21DA7757"/>
    <w:rsid w:val="24AC5E86"/>
    <w:rsid w:val="25215D4A"/>
    <w:rsid w:val="25DFCFA0"/>
    <w:rsid w:val="2DD66AA1"/>
    <w:rsid w:val="3D9910E3"/>
    <w:rsid w:val="48580610"/>
    <w:rsid w:val="488A4EC3"/>
    <w:rsid w:val="4C5F21E2"/>
    <w:rsid w:val="536C2A87"/>
    <w:rsid w:val="5452177E"/>
    <w:rsid w:val="548D1595"/>
    <w:rsid w:val="556E3DBC"/>
    <w:rsid w:val="57FE05A0"/>
    <w:rsid w:val="6BA43AA1"/>
    <w:rsid w:val="6CFF3600"/>
    <w:rsid w:val="75A815C0"/>
    <w:rsid w:val="791974F6"/>
    <w:rsid w:val="797BF5F3"/>
    <w:rsid w:val="7B360E76"/>
    <w:rsid w:val="7DDB6D31"/>
    <w:rsid w:val="7E7C0C5C"/>
    <w:rsid w:val="F3781333"/>
    <w:rsid w:val="FFF7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0"/>
    <w:pPr>
      <w:framePr w:wrap="around"/>
      <w:jc w:val="left"/>
    </w:pPr>
  </w:style>
  <w:style w:type="paragraph" w:styleId="3">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4">
    <w:name w:val="header"/>
    <w:basedOn w:val="1"/>
    <w:link w:val="16"/>
    <w:qFormat/>
    <w:uiPriority w:val="0"/>
    <w:pPr>
      <w:framePr w:wrap="around"/>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framePr w:wrap="around"/>
    </w:pPr>
    <w:rPr>
      <w:sz w:val="24"/>
    </w:rPr>
  </w:style>
  <w:style w:type="paragraph" w:styleId="6">
    <w:name w:val="annotation subject"/>
    <w:basedOn w:val="2"/>
    <w:next w:val="2"/>
    <w:link w:val="20"/>
    <w:semiHidden/>
    <w:unhideWhenUsed/>
    <w:qFormat/>
    <w:uiPriority w:val="0"/>
    <w:pPr>
      <w:framePr w:wrap="around"/>
    </w:pPr>
    <w:rPr>
      <w:b/>
      <w:bCs/>
    </w:rPr>
  </w:style>
  <w:style w:type="character" w:styleId="9">
    <w:name w:val="Hyperlink"/>
    <w:qFormat/>
    <w:uiPriority w:val="0"/>
    <w:rPr>
      <w:u w:val="single"/>
    </w:rPr>
  </w:style>
  <w:style w:type="character" w:styleId="10">
    <w:name w:val="annotation reference"/>
    <w:basedOn w:val="8"/>
    <w:semiHidden/>
    <w:unhideWhenUsed/>
    <w:qFormat/>
    <w:uiPriority w:val="0"/>
    <w:rPr>
      <w:sz w:val="21"/>
      <w:szCs w:val="21"/>
    </w:rPr>
  </w:style>
  <w:style w:type="paragraph" w:customStyle="1" w:styleId="11">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
    <w:name w:val="页眉 字符"/>
    <w:basedOn w:val="8"/>
    <w:link w:val="4"/>
    <w:qFormat/>
    <w:uiPriority w:val="0"/>
    <w:rPr>
      <w:rFonts w:ascii="Arial Unicode MS" w:hAnsi="Arial Unicode MS" w:eastAsia="Times New Roman" w:cs="Arial Unicode MS"/>
      <w:color w:val="000000"/>
      <w:kern w:val="2"/>
      <w:sz w:val="18"/>
      <w:szCs w:val="18"/>
      <w:u w:color="000000"/>
    </w:rPr>
  </w:style>
  <w:style w:type="paragraph" w:customStyle="1" w:styleId="17">
    <w:name w:val="列表段落1"/>
    <w:basedOn w:val="1"/>
    <w:qFormat/>
    <w:uiPriority w:val="99"/>
    <w:pPr>
      <w:framePr w:wrap="around"/>
      <w:ind w:firstLine="420" w:firstLineChars="200"/>
    </w:pPr>
  </w:style>
  <w:style w:type="paragraph" w:customStyle="1" w:styleId="18">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9">
    <w:name w:val="批注文字 字符"/>
    <w:basedOn w:val="8"/>
    <w:link w:val="2"/>
    <w:semiHidden/>
    <w:qFormat/>
    <w:uiPriority w:val="0"/>
    <w:rPr>
      <w:rFonts w:ascii="Arial Unicode MS" w:hAnsi="Arial Unicode MS" w:eastAsia="Times New Roman" w:cs="Arial Unicode MS"/>
      <w:color w:val="000000"/>
      <w:kern w:val="2"/>
      <w:sz w:val="21"/>
      <w:szCs w:val="21"/>
      <w:u w:color="000000"/>
    </w:rPr>
  </w:style>
  <w:style w:type="character" w:customStyle="1" w:styleId="20">
    <w:name w:val="批注主题 字符"/>
    <w:basedOn w:val="19"/>
    <w:link w:val="6"/>
    <w:semiHidden/>
    <w:qFormat/>
    <w:uiPriority w:val="0"/>
    <w:rPr>
      <w:rFonts w:ascii="Arial Unicode MS" w:hAnsi="Arial Unicode MS" w:eastAsia="Times New Roman" w:cs="Arial Unicode MS"/>
      <w:b/>
      <w:bCs/>
      <w:color w:val="000000"/>
      <w:kern w:val="2"/>
      <w:sz w:val="21"/>
      <w:szCs w:val="21"/>
      <w:u w:color="000000"/>
    </w:rPr>
  </w:style>
  <w:style w:type="paragraph" w:customStyle="1" w:styleId="21">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5665</Words>
  <Characters>5827</Characters>
  <Lines>41</Lines>
  <Paragraphs>11</Paragraphs>
  <TotalTime>255</TotalTime>
  <ScaleCrop>false</ScaleCrop>
  <LinksUpToDate>false</LinksUpToDate>
  <CharactersWithSpaces>5830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2019-03-20T18:01:00Z</dcterms:created>
  <dc:creator>HP</dc:creator>
  <cp:lastModifiedBy>董晓媛</cp:lastModifiedBy>
  <cp:lastPrinted>2019-06-18T19:57:00Z</cp:lastPrinted>
  <dcterms:modified xsi:type="dcterms:W3CDTF">2025-01-16T07:42:48Z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2EF287012E7042D7A7353FC2216727C2_12</vt:lpwstr>
  </property>
  <property fmtid="{D5CDD505-2E9C-101B-9397-08002B2CF9AE}" pid="4" name="KSOTemplateDocerSaveRecord">
    <vt:lpwstr>eyJoZGlkIjoiZmFhOTEwOTA4M2RhMmU1NGE4Zjg4ZmY1NTkwZWFmMjUiLCJ1c2VySWQiOiI0MTQzODE4NzEifQ==</vt:lpwstr>
  </property>
</Properties>
</file>