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5997E">
      <w:pPr>
        <w:pStyle w:val="3"/>
        <w:jc w:val="center"/>
      </w:pPr>
    </w:p>
    <w:p w14:paraId="04D37417">
      <w:pPr>
        <w:pStyle w:val="2"/>
        <w:jc w:val="center"/>
        <w:rPr>
          <w:rFonts w:hint="eastAsia"/>
        </w:rPr>
      </w:pPr>
      <w:r>
        <w:rPr>
          <w:rFonts w:hint="eastAsia"/>
        </w:rPr>
        <w:t>中国灾害防御协会团体标准</w:t>
      </w:r>
    </w:p>
    <w:p w14:paraId="37661ED4">
      <w:pPr>
        <w:pStyle w:val="2"/>
        <w:jc w:val="center"/>
      </w:pPr>
      <w:r>
        <w:rPr>
          <w:rFonts w:hint="eastAsia"/>
          <w:lang w:eastAsia="zh-CN"/>
        </w:rPr>
        <w:t>《</w:t>
      </w:r>
      <w:r>
        <w:rPr>
          <w:rFonts w:hint="eastAsia"/>
          <w:lang w:val="en-US" w:eastAsia="zh-CN"/>
        </w:rPr>
        <w:t>通用工程机械救援基本要求</w:t>
      </w:r>
      <w:r>
        <w:rPr>
          <w:rFonts w:hint="eastAsia"/>
        </w:rPr>
        <w:t>（</w:t>
      </w:r>
      <w:r>
        <w:rPr>
          <w:rFonts w:hint="eastAsia"/>
          <w:lang w:val="en-US" w:eastAsia="zh-CN"/>
        </w:rPr>
        <w:t>征求意见</w:t>
      </w:r>
      <w:r>
        <w:rPr>
          <w:rFonts w:hint="eastAsia"/>
        </w:rPr>
        <w:t>稿）</w:t>
      </w:r>
      <w:r>
        <w:rPr>
          <w:rFonts w:hint="eastAsia"/>
          <w:lang w:eastAsia="zh-CN"/>
        </w:rPr>
        <w:t>》</w:t>
      </w:r>
      <w:r>
        <w:rPr>
          <w:rFonts w:hint="eastAsia"/>
        </w:rPr>
        <w:t>编制</w:t>
      </w:r>
      <w:r>
        <w:t>说明</w:t>
      </w:r>
    </w:p>
    <w:p w14:paraId="5573A806"/>
    <w:p w14:paraId="484474A4">
      <w:bookmarkStart w:id="27" w:name="_GoBack"/>
      <w:bookmarkEnd w:id="27"/>
    </w:p>
    <w:p w14:paraId="48C6CC89"/>
    <w:p w14:paraId="670A7199"/>
    <w:p w14:paraId="0CC1DD30"/>
    <w:p w14:paraId="134D20FB"/>
    <w:p w14:paraId="701C1FDB"/>
    <w:p w14:paraId="10150AF8"/>
    <w:p w14:paraId="3D6CC91F"/>
    <w:p w14:paraId="24BFB2F9"/>
    <w:p w14:paraId="6D5AA155"/>
    <w:p w14:paraId="3B1A5185"/>
    <w:p w14:paraId="58D7C544"/>
    <w:p w14:paraId="1382DD51"/>
    <w:p w14:paraId="3C722BCC"/>
    <w:p w14:paraId="67AC13A4"/>
    <w:p w14:paraId="062DC941"/>
    <w:p w14:paraId="724E7C77"/>
    <w:p w14:paraId="1CB548F1"/>
    <w:p w14:paraId="4D0323B0">
      <w:pPr>
        <w:jc w:val="center"/>
        <w:rPr>
          <w:sz w:val="32"/>
          <w:szCs w:val="32"/>
        </w:rPr>
      </w:pPr>
      <w:r>
        <w:rPr>
          <w:rFonts w:hint="eastAsia"/>
          <w:sz w:val="32"/>
          <w:szCs w:val="32"/>
        </w:rPr>
        <w:t>编制工</w:t>
      </w:r>
      <w:r>
        <w:rPr>
          <w:sz w:val="32"/>
          <w:szCs w:val="32"/>
        </w:rPr>
        <w:t>作组</w:t>
      </w:r>
    </w:p>
    <w:p w14:paraId="3B7F9F7D">
      <w:pPr>
        <w:jc w:val="center"/>
      </w:pPr>
      <w:r>
        <w:rPr>
          <w:rFonts w:hint="eastAsia"/>
          <w:sz w:val="32"/>
          <w:szCs w:val="32"/>
        </w:rPr>
        <w:t>2024年</w:t>
      </w:r>
      <w:r>
        <w:rPr>
          <w:rFonts w:hint="eastAsia"/>
          <w:sz w:val="32"/>
          <w:szCs w:val="32"/>
          <w:lang w:val="en-US" w:eastAsia="zh-CN"/>
        </w:rPr>
        <w:t>1</w:t>
      </w:r>
      <w:r>
        <w:rPr>
          <w:rFonts w:hint="eastAsia"/>
          <w:sz w:val="32"/>
          <w:szCs w:val="32"/>
        </w:rPr>
        <w:t>月</w:t>
      </w:r>
      <w:r>
        <w:rPr>
          <w:rFonts w:hint="eastAsia"/>
          <w:sz w:val="32"/>
          <w:szCs w:val="32"/>
          <w:lang w:val="en-US" w:eastAsia="zh-CN"/>
        </w:rPr>
        <w:t>2</w:t>
      </w:r>
      <w:r>
        <w:rPr>
          <w:rFonts w:hint="eastAsia"/>
          <w:sz w:val="32"/>
          <w:szCs w:val="32"/>
        </w:rPr>
        <w:t>日</w:t>
      </w:r>
    </w:p>
    <w:p w14:paraId="190EC5FA">
      <w:pPr>
        <w:pageBreakBefore/>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一、工作简况</w:t>
      </w:r>
    </w:p>
    <w:p w14:paraId="66EFBC1E">
      <w:pPr>
        <w:spacing w:line="52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1．任务来源</w:t>
      </w:r>
    </w:p>
    <w:p w14:paraId="60B5ACF9">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工程机械在应急救援中扮演着不可或缺的角色。然而，目前尚缺乏统一的标准来规范工程机械在应急救援中的使用，导致救援行动的协同性和效率有待提高。为填补这一空白，</w:t>
      </w:r>
      <w:r>
        <w:rPr>
          <w:rFonts w:hint="eastAsia" w:ascii="仿宋" w:hAnsi="仿宋" w:eastAsia="仿宋" w:cs="仿宋"/>
          <w:sz w:val="32"/>
          <w:szCs w:val="32"/>
          <w:lang w:val="en-US" w:eastAsia="zh-CN"/>
        </w:rPr>
        <w:t>北京三一公益基金会</w:t>
      </w:r>
      <w:r>
        <w:rPr>
          <w:rFonts w:hint="eastAsia" w:ascii="仿宋" w:hAnsi="仿宋" w:eastAsia="仿宋" w:cs="仿宋"/>
          <w:sz w:val="32"/>
          <w:szCs w:val="32"/>
        </w:rPr>
        <w:t>提出编制《通用工程机械救援基本要求》这一标准。</w:t>
      </w:r>
    </w:p>
    <w:p w14:paraId="134E1D1B">
      <w:pPr>
        <w:spacing w:line="52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2.</w:t>
      </w:r>
      <w:r>
        <w:rPr>
          <w:rFonts w:hint="eastAsia" w:ascii="楷体" w:hAnsi="楷体" w:eastAsia="楷体" w:cs="楷体"/>
          <w:sz w:val="32"/>
          <w:szCs w:val="32"/>
        </w:rPr>
        <w:t>标准起草单位和主要起草</w:t>
      </w:r>
      <w:r>
        <w:rPr>
          <w:rFonts w:hint="eastAsia" w:ascii="楷体" w:hAnsi="楷体" w:eastAsia="楷体" w:cs="楷体"/>
          <w:sz w:val="32"/>
          <w:szCs w:val="32"/>
          <w:lang w:eastAsia="zh-CN"/>
        </w:rPr>
        <w:t>人</w:t>
      </w:r>
    </w:p>
    <w:p w14:paraId="6A0C99DC">
      <w:pPr>
        <w:numPr>
          <w:ilvl w:val="0"/>
          <w:numId w:val="0"/>
        </w:num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主编单位：北京三一公益基金会</w:t>
      </w:r>
    </w:p>
    <w:p w14:paraId="C94D8EEA">
      <w:pPr>
        <w:numPr>
          <w:ilvl w:val="0"/>
          <w:numId w:val="0"/>
        </w:num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2013 年 12 月 31 日，为实现慈善工作的专业化与可持续发展，三一集团创立了三一基金会。基金会传承并弘扬三一集团的社会责任理念，秉持“让每一份善意发挥更大价值”的宗旨，依托集团在工程机械领域的深厚优势，精心打造救援项目。该项目一方面专注于工程机械救援技术的研发与推广，积极倡导更多厂家投身其中，形成行业合力；另一方面，在国内外重大灾害救援中勇担使命。在土耳其救援行动中，充分验证了工程机械在救援行动中的强大赋能作用，彰显了基金会在应急救援领域的积极贡献与引领价值。</w:t>
      </w:r>
    </w:p>
    <w:p w14:paraId="7046FFA9">
      <w:pPr>
        <w:numPr>
          <w:ilvl w:val="0"/>
          <w:numId w:val="0"/>
        </w:num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参编单位：</w:t>
      </w:r>
    </w:p>
    <w:p w14:paraId="EC325D5D">
      <w:pPr>
        <w:numPr>
          <w:ilvl w:val="0"/>
          <w:numId w:val="0"/>
        </w:numPr>
        <w:spacing w:line="52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中国消防救援学院</w:t>
      </w:r>
      <w:r>
        <w:rPr>
          <w:rFonts w:hint="eastAsia" w:ascii="仿宋" w:hAnsi="仿宋" w:eastAsia="仿宋" w:cs="仿宋"/>
          <w:sz w:val="32"/>
          <w:szCs w:val="32"/>
          <w:lang w:val="en-US" w:eastAsia="zh-CN"/>
        </w:rPr>
        <w:t>是应急管理部直属的全日制普通高等学校，是中国第一所专门的消防救援本科院校、应急救援主力军培训基地。学院前身是1978年9月成立的黑龙江省武装森林警察总队教导队，历经武警森林警察学校、武警森林学校、武警森林指挥学校、武警警种指挥学院、武警警种学院五个发展时期，2018年9月，按照党中央跨军地改革决策部署，整合消防、森林院校力量和资源，以原武警警种学院为基础更名组建，并于同年12月挂牌成立。学院设有8个教学（管理）部系，开设8个本科专业，主要承担国家综合性消防救援队伍人才培养、专业培训和科研等任务。</w:t>
      </w:r>
    </w:p>
    <w:p w14:paraId="F979FFEC">
      <w:pPr>
        <w:numPr>
          <w:ilvl w:val="0"/>
          <w:numId w:val="0"/>
        </w:numPr>
        <w:spacing w:line="52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中国地震应急搜救中心</w:t>
      </w:r>
      <w:r>
        <w:rPr>
          <w:rFonts w:hint="eastAsia" w:ascii="仿宋" w:hAnsi="仿宋" w:eastAsia="仿宋" w:cs="仿宋"/>
          <w:sz w:val="32"/>
          <w:szCs w:val="32"/>
          <w:lang w:val="en-US" w:eastAsia="zh-CN"/>
        </w:rPr>
        <w:t>成立于2004年10月，前身是中国地震局综合观测中心，2018年转隶到应急管理部。主要承担地震、地质灾害等灾害搜索营救、现场评估、专业培训、国际救援等任务。作为中国救援队和中国国际救援队两支国际重型救援队的共同组成单位，多次参加国内外救援行动，还参与多项国家重点科研建设项目，荣获国家和省部级30多项表彰奖励。</w:t>
      </w:r>
    </w:p>
    <w:p w14:paraId="3942EFF8">
      <w:pPr>
        <w:numPr>
          <w:ilvl w:val="0"/>
          <w:numId w:val="0"/>
        </w:numPr>
        <w:spacing w:line="52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中国安能集团有限公司</w:t>
      </w:r>
      <w:r>
        <w:rPr>
          <w:rFonts w:hint="eastAsia" w:ascii="仿宋" w:hAnsi="仿宋" w:eastAsia="仿宋" w:cs="仿宋"/>
          <w:sz w:val="32"/>
          <w:szCs w:val="32"/>
          <w:lang w:val="en-US" w:eastAsia="zh-CN"/>
        </w:rPr>
        <w:t>是根据党中央跨军地改革战略部署，于2018年9月由武警水电部队整体转隶组建的一家中央企业。集团总部位于北京，分子公司、分支机构遍及20多个省市自治区，在上海、广州、昆明、乌鲁木齐等地设有区域总部，在全国设有12个国家级自然灾害工程救援基地。公司主要担负国家重点工程建设和重大自然灾害工程救援任务，是国家防总成员单位，是应急管理部自然灾害工程应急救援中心，也是中央企业应急救援体系综合平台所在单位。公司现有水利水电工程施工总承包、公路工程4个特级资质，水利、港航等32个一级资质，建筑、公路等8个甲级设计资质。曾多次荣获“国优金奖”“国际里程碑工程奖”“詹天佑奖”“鲁班奖”“大禹奖”，致力于建设成为自然灾害工程应急救援的骨干力量、以水利电力为主的工程建设的重要力量、中央企业应急救援的综合平台、应急产业的领军企业。</w:t>
      </w:r>
    </w:p>
    <w:p w14:paraId="B7D7E49F">
      <w:pPr>
        <w:numPr>
          <w:ilvl w:val="0"/>
          <w:numId w:val="0"/>
        </w:num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本文件主要起草人：</w:t>
      </w:r>
    </w:p>
    <w:p w14:paraId="05F953E2">
      <w:pPr>
        <w:numPr>
          <w:ilvl w:val="0"/>
          <w:numId w:val="0"/>
        </w:num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与标准制定的相关专家二十余人，其中七名专家具有国家标准、行业标准的制定经历，专业范围涵盖标准化战略、紧急救援、工程抢险、应急管理等多方面。主要起草人有宋喜媚、胡中建、李瑞宝、张煜、买莹、杨新红、南燕云、郭亮、王洪新、李尚波、陈广翔、南雨、郑明江、张晓昊、王钊、彭双成、谢进利、冯卫、刘昌盛、彭长锋、杜木果、胡帅禧、王磊。</w:t>
      </w:r>
    </w:p>
    <w:p w14:paraId="7CCF0AB8">
      <w:pPr>
        <w:spacing w:line="52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3.标准制定的目的和意义</w:t>
      </w:r>
    </w:p>
    <w:p w14:paraId="61DE8FD9">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制定《通用工程机械救援基本要求》团体标准</w:t>
      </w:r>
      <w:r>
        <w:rPr>
          <w:rFonts w:hint="eastAsia" w:ascii="仿宋" w:hAnsi="仿宋" w:eastAsia="仿宋" w:cs="仿宋"/>
          <w:sz w:val="32"/>
          <w:szCs w:val="32"/>
          <w:lang w:eastAsia="zh-CN"/>
        </w:rPr>
        <w:t>，</w:t>
      </w:r>
      <w:r>
        <w:rPr>
          <w:rFonts w:hint="eastAsia" w:ascii="仿宋" w:hAnsi="仿宋" w:eastAsia="仿宋" w:cs="仿宋"/>
          <w:sz w:val="32"/>
          <w:szCs w:val="32"/>
        </w:rPr>
        <w:t>为工程机械参与救援确立清晰的操作指南与技术规范，使救援行动各环节有章可循，避免因操作不规范、流程混乱引发的救援延误或安全事故，确保救援工作有序推进，显著提升应急救援的专业水准与作业质量。</w:t>
      </w:r>
    </w:p>
    <w:p w14:paraId="3E93E25F">
      <w:pPr>
        <w:spacing w:line="52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4.</w:t>
      </w:r>
      <w:r>
        <w:rPr>
          <w:rFonts w:hint="eastAsia" w:ascii="楷体" w:hAnsi="楷体" w:eastAsia="楷体" w:cs="楷体"/>
          <w:sz w:val="32"/>
          <w:szCs w:val="32"/>
        </w:rPr>
        <w:t>国内外相关标准概况</w:t>
      </w:r>
    </w:p>
    <w:p w14:paraId="41BBB6B4">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国内外</w:t>
      </w:r>
      <w:r>
        <w:rPr>
          <w:rFonts w:hint="eastAsia" w:ascii="仿宋" w:hAnsi="仿宋" w:eastAsia="仿宋" w:cs="仿宋"/>
          <w:sz w:val="32"/>
          <w:szCs w:val="32"/>
        </w:rPr>
        <w:t>在工程机械产品标准方面，已构建起涵盖各类设备的标准体系，对设备基本性能参数、质量检测方法等进行规范，如在发动机功率标定、液压系统性能测试等方面的标准，为工程机械在救援应用中的性能评估提供基础依据。针对工程机械专门应用于应急救援场景的综合性标准尚处于发展阶段。本标准的制定将有效填补这一空白，为国内工程机械应急救援规范化发展提供关键支撑，促进应急救援能力的全面提升与行业标准化建设进程。</w:t>
      </w:r>
    </w:p>
    <w:p w14:paraId="2A8119D0">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二、工作过程</w:t>
      </w:r>
    </w:p>
    <w:p w14:paraId="59DDCDEE">
      <w:p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rPr>
        <w:t>2024</w:t>
      </w:r>
      <w:r>
        <w:rPr>
          <w:rFonts w:hint="eastAsia" w:ascii="仿宋" w:hAnsi="仿宋" w:eastAsia="仿宋" w:cs="仿宋"/>
          <w:sz w:val="32"/>
          <w:szCs w:val="32"/>
          <w:lang w:val="en-US" w:eastAsia="zh-CN"/>
        </w:rPr>
        <w:t>年1月18日提出《通用工程机械救援基本要求》团体标准项目。</w:t>
      </w:r>
    </w:p>
    <w:p w14:paraId="B8417BD3">
      <w:p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i w:val="0"/>
          <w:iCs w:val="0"/>
          <w:color w:val="auto"/>
          <w:kern w:val="2"/>
          <w:sz w:val="32"/>
          <w:szCs w:val="32"/>
          <w:highlight w:val="none"/>
          <w:vertAlign w:val="baseline"/>
          <w:lang w:val="en-US" w:eastAsia="zh-CN" w:bidi="ar-SA"/>
        </w:rPr>
        <w:t>2024年2月1日北京三一公益基金会参与标准制定工作，同步进行标准提案和可行性研究方案撰写，提交中国灾害防御协会。</w:t>
      </w:r>
    </w:p>
    <w:p w14:paraId="EDE96ADD">
      <w:p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2024年2月27日召开专家咨询会，明确标准定位以及标准撰写要求。</w:t>
      </w:r>
    </w:p>
    <w:p w14:paraId="8CBF5812">
      <w:p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2024年3月-6月参照相关国家、行业和国际标准，形成标准草案和立项申请书。</w:t>
      </w:r>
    </w:p>
    <w:p w14:paraId="4DF0E6D6">
      <w:p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2024年7月4日召开立项论证会，专家组经过质询和讨论，形成意见同意该标准通过立项。</w:t>
      </w:r>
    </w:p>
    <w:p w14:paraId="7BE4393C">
      <w:p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2024年7月5日中国灾害防御协会发布关于《通用工程机械救援基本要求》团体标准立项的公告。</w:t>
      </w:r>
    </w:p>
    <w:p w14:paraId="7FE3C058">
      <w:p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2024年7月19日中国灾害防御协会下达团体标准制定计划的公告。</w:t>
      </w:r>
    </w:p>
    <w:p w14:paraId="0DB24C19">
      <w:p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2024年7月19日公开征集《通用工程机械救援基本要求》团体标准参编单位的通知。</w:t>
      </w:r>
    </w:p>
    <w:p w14:paraId="BCCB475B">
      <w:p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2024年10月16日项目召开标准启动会暨编制组第一次会议，形成标准编制工作大纲及计划。</w:t>
      </w:r>
    </w:p>
    <w:p w14:paraId="82E64D57">
      <w:p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2024年11月12日项目召开编制分工讨论会，确定标准分工。</w:t>
      </w:r>
    </w:p>
    <w:p w14:paraId="6873F2C3">
      <w:p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2024年11月-12月组织人员起草标准文本等资料。</w:t>
      </w:r>
    </w:p>
    <w:p w14:paraId="711CC707">
      <w:p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2024年12月24日项目召开编写组讨论会，对标准草案进行建议并给出解决方案。</w:t>
      </w:r>
    </w:p>
    <w:p w14:paraId="B834B131">
      <w:p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2025年1月组织人员对标准草案根据意见进行修改，最终形成标准征求意见稿及编制说明。</w:t>
      </w:r>
    </w:p>
    <w:p w14:paraId="68154FB5">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三、标准编制原则和主要内容</w:t>
      </w:r>
    </w:p>
    <w:p w14:paraId="26CED1FF">
      <w:pPr>
        <w:spacing w:line="52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1.标准编制原则</w:t>
      </w:r>
    </w:p>
    <w:p w14:paraId="1ACE552D">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围绕救援实际流程与现场需求编写，详细规定各阶段操作，明确不同工程机械在各类灾害中的作业任务，具有实际指导意义。重视人员与环境安全，规定人员防护装备和机械安全装置，阐述风险评估与应急预案，有效预防和应对风险。引用众多现有相关标准，与其他标准相互补充支持，避免冲突，构建完善标准体系。</w:t>
      </w:r>
    </w:p>
    <w:p w14:paraId="081202A2">
      <w:pPr>
        <w:spacing w:line="52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2.标准主要内容</w:t>
      </w:r>
    </w:p>
    <w:p w14:paraId="5F812411">
      <w:pPr>
        <w:spacing w:line="520" w:lineRule="exact"/>
        <w:ind w:firstLine="640" w:firstLineChars="200"/>
        <w:rPr>
          <w:rFonts w:hint="eastAsia" w:ascii="仿宋" w:hAnsi="仿宋" w:eastAsia="仿宋" w:cs="仿宋"/>
          <w:sz w:val="32"/>
          <w:szCs w:val="32"/>
        </w:rPr>
      </w:pPr>
      <w:bookmarkStart w:id="0" w:name="_Toc61391752"/>
      <w:bookmarkStart w:id="1" w:name="_Toc54960988"/>
      <w:bookmarkStart w:id="2" w:name="_Toc40961435"/>
      <w:bookmarkStart w:id="3" w:name="_Toc43034806"/>
      <w:bookmarkStart w:id="4" w:name="_Toc59108315"/>
      <w:bookmarkStart w:id="5" w:name="_Toc32226242"/>
      <w:bookmarkStart w:id="6" w:name="_Toc43034915"/>
      <w:bookmarkStart w:id="7" w:name="_Toc60839612"/>
      <w:bookmarkStart w:id="8" w:name="_Toc90647352"/>
      <w:r>
        <w:rPr>
          <w:rFonts w:hint="eastAsia" w:ascii="仿宋" w:hAnsi="仿宋" w:eastAsia="仿宋" w:cs="仿宋"/>
          <w:sz w:val="32"/>
          <w:szCs w:val="32"/>
        </w:rPr>
        <w:t>2.1 范围</w:t>
      </w:r>
      <w:bookmarkEnd w:id="0"/>
      <w:bookmarkEnd w:id="1"/>
      <w:bookmarkEnd w:id="2"/>
      <w:bookmarkEnd w:id="3"/>
      <w:bookmarkEnd w:id="4"/>
      <w:bookmarkEnd w:id="5"/>
      <w:bookmarkEnd w:id="6"/>
      <w:bookmarkEnd w:id="7"/>
      <w:bookmarkEnd w:id="8"/>
    </w:p>
    <w:p w14:paraId="5C8633EB">
      <w:pPr>
        <w:spacing w:line="520" w:lineRule="exact"/>
        <w:ind w:firstLine="640" w:firstLineChars="200"/>
        <w:rPr>
          <w:rFonts w:hint="eastAsia" w:ascii="仿宋" w:hAnsi="仿宋" w:eastAsia="仿宋" w:cs="仿宋"/>
          <w:sz w:val="32"/>
          <w:szCs w:val="32"/>
        </w:rPr>
      </w:pPr>
      <w:bookmarkStart w:id="9" w:name="_Toc54960989"/>
      <w:bookmarkStart w:id="10" w:name="_Toc59108316"/>
      <w:bookmarkStart w:id="11" w:name="_Toc61391753"/>
      <w:bookmarkStart w:id="12" w:name="_Toc90647353"/>
      <w:bookmarkStart w:id="13" w:name="_Toc32226243"/>
      <w:bookmarkStart w:id="14" w:name="_Toc43034807"/>
      <w:bookmarkStart w:id="15" w:name="_Toc40961436"/>
      <w:bookmarkStart w:id="16" w:name="_Toc60839613"/>
      <w:bookmarkStart w:id="17" w:name="_Toc43034916"/>
      <w:r>
        <w:rPr>
          <w:rFonts w:hint="eastAsia" w:ascii="仿宋" w:hAnsi="仿宋" w:eastAsia="仿宋" w:cs="仿宋"/>
          <w:sz w:val="32"/>
          <w:szCs w:val="32"/>
        </w:rPr>
        <w:t>本文件规定了挖掘机、起重机、装载机、推土机等通用工程机械设备参与各类突发事件救援的作业内容、机械要求，人员要求，安全要求、救援技术要求、协调与指挥等有关要求。</w:t>
      </w:r>
    </w:p>
    <w:p w14:paraId="47136B58">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本文件适用于参与灾害事故救援的通用工程机械及相关操作人员。</w:t>
      </w:r>
    </w:p>
    <w:p w14:paraId="654E87F4">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2.2 规范性引用文件</w:t>
      </w:r>
      <w:bookmarkEnd w:id="9"/>
      <w:bookmarkEnd w:id="10"/>
      <w:bookmarkEnd w:id="11"/>
      <w:bookmarkEnd w:id="12"/>
      <w:bookmarkEnd w:id="13"/>
      <w:bookmarkEnd w:id="14"/>
      <w:bookmarkEnd w:id="15"/>
      <w:bookmarkEnd w:id="16"/>
      <w:bookmarkEnd w:id="17"/>
    </w:p>
    <w:p w14:paraId="4CE9B339">
      <w:pPr>
        <w:numPr>
          <w:ilvl w:val="0"/>
          <w:numId w:val="5"/>
        </w:numPr>
        <w:spacing w:line="520" w:lineRule="exact"/>
        <w:ind w:left="420" w:leftChars="0" w:right="-932" w:rightChars="-444" w:hanging="420" w:firstLineChars="0"/>
        <w:rPr>
          <w:rFonts w:hint="eastAsia" w:ascii="仿宋" w:hAnsi="仿宋" w:eastAsia="仿宋" w:cs="仿宋"/>
          <w:sz w:val="32"/>
          <w:szCs w:val="32"/>
        </w:rPr>
      </w:pPr>
      <w:bookmarkStart w:id="18" w:name="_Toc43034917"/>
      <w:bookmarkStart w:id="19" w:name="_Toc60839614"/>
      <w:bookmarkStart w:id="20" w:name="_Toc32226244"/>
      <w:bookmarkStart w:id="21" w:name="_Toc90647354"/>
      <w:bookmarkStart w:id="22" w:name="_Toc40961437"/>
      <w:bookmarkStart w:id="23" w:name="_Toc54960990"/>
      <w:bookmarkStart w:id="24" w:name="_Toc43034808"/>
      <w:bookmarkStart w:id="25" w:name="_Toc61391754"/>
      <w:bookmarkStart w:id="26" w:name="_Toc59108317"/>
      <w:r>
        <w:rPr>
          <w:rFonts w:hint="eastAsia" w:ascii="仿宋" w:hAnsi="仿宋" w:eastAsia="仿宋" w:cs="仿宋"/>
          <w:sz w:val="32"/>
          <w:szCs w:val="32"/>
        </w:rPr>
        <w:t>GB_T 23722-2009 起重机 司机（操作员）、吊装工、指挥人员和评审员的资格要求</w:t>
      </w:r>
    </w:p>
    <w:p w14:paraId="6254A09B">
      <w:pPr>
        <w:numPr>
          <w:ilvl w:val="0"/>
          <w:numId w:val="5"/>
        </w:numPr>
        <w:spacing w:line="520" w:lineRule="exact"/>
        <w:ind w:left="420" w:leftChars="0" w:hanging="420" w:firstLineChars="0"/>
        <w:rPr>
          <w:rFonts w:hint="eastAsia" w:ascii="仿宋" w:hAnsi="仿宋" w:eastAsia="仿宋" w:cs="仿宋"/>
          <w:sz w:val="32"/>
          <w:szCs w:val="32"/>
        </w:rPr>
      </w:pPr>
      <w:r>
        <w:rPr>
          <w:rFonts w:hint="eastAsia" w:ascii="仿宋" w:hAnsi="仿宋" w:eastAsia="仿宋" w:cs="仿宋"/>
          <w:sz w:val="32"/>
          <w:szCs w:val="32"/>
        </w:rPr>
        <w:t xml:space="preserve">NY/T1777-2009 挖掘机驾驶员 </w:t>
      </w:r>
    </w:p>
    <w:p w14:paraId="5826ED0D">
      <w:pPr>
        <w:numPr>
          <w:ilvl w:val="0"/>
          <w:numId w:val="5"/>
        </w:numPr>
        <w:spacing w:line="520" w:lineRule="exact"/>
        <w:ind w:left="420" w:leftChars="0" w:hanging="420" w:firstLineChars="0"/>
        <w:rPr>
          <w:rFonts w:hint="eastAsia" w:ascii="仿宋" w:hAnsi="仿宋" w:eastAsia="仿宋" w:cs="仿宋"/>
          <w:sz w:val="32"/>
          <w:szCs w:val="32"/>
        </w:rPr>
      </w:pPr>
      <w:r>
        <w:rPr>
          <w:rFonts w:hint="eastAsia" w:ascii="仿宋" w:hAnsi="仿宋" w:eastAsia="仿宋" w:cs="仿宋"/>
          <w:sz w:val="32"/>
          <w:szCs w:val="32"/>
        </w:rPr>
        <w:t>NY_T 1907-2010 推土（铲运）机驾驶员</w:t>
      </w:r>
    </w:p>
    <w:p w14:paraId="408B63A8">
      <w:pPr>
        <w:numPr>
          <w:ilvl w:val="0"/>
          <w:numId w:val="5"/>
        </w:numPr>
        <w:spacing w:line="520" w:lineRule="exact"/>
        <w:ind w:left="420" w:leftChars="0" w:hanging="420" w:firstLineChars="0"/>
        <w:rPr>
          <w:rFonts w:hint="eastAsia" w:ascii="仿宋" w:hAnsi="仿宋" w:eastAsia="仿宋" w:cs="仿宋"/>
          <w:sz w:val="32"/>
          <w:szCs w:val="32"/>
        </w:rPr>
      </w:pPr>
      <w:r>
        <w:rPr>
          <w:rFonts w:hint="eastAsia" w:ascii="仿宋" w:hAnsi="仿宋" w:eastAsia="仿宋" w:cs="仿宋"/>
          <w:sz w:val="32"/>
          <w:szCs w:val="32"/>
        </w:rPr>
        <w:t>GB_T 5082-2019 起重机手势信号</w:t>
      </w:r>
    </w:p>
    <w:p w14:paraId="48F14B1F">
      <w:pPr>
        <w:numPr>
          <w:ilvl w:val="0"/>
          <w:numId w:val="5"/>
        </w:numPr>
        <w:spacing w:line="520" w:lineRule="exact"/>
        <w:ind w:left="420" w:leftChars="0" w:hanging="420" w:firstLineChars="0"/>
        <w:rPr>
          <w:rFonts w:hint="eastAsia" w:ascii="仿宋" w:hAnsi="仿宋" w:eastAsia="仿宋" w:cs="仿宋"/>
          <w:sz w:val="32"/>
          <w:szCs w:val="32"/>
        </w:rPr>
      </w:pPr>
      <w:r>
        <w:rPr>
          <w:rFonts w:hint="eastAsia" w:ascii="仿宋" w:hAnsi="仿宋" w:eastAsia="仿宋" w:cs="仿宋"/>
          <w:sz w:val="32"/>
          <w:szCs w:val="32"/>
        </w:rPr>
        <w:t>GB_T 25620-2010 土方机械操作和维修可维修性指南</w:t>
      </w:r>
    </w:p>
    <w:p w14:paraId="32DE3916">
      <w:pPr>
        <w:numPr>
          <w:ilvl w:val="0"/>
          <w:numId w:val="5"/>
        </w:numPr>
        <w:spacing w:line="520" w:lineRule="exact"/>
        <w:ind w:left="420" w:leftChars="0" w:hanging="420" w:firstLineChars="0"/>
        <w:rPr>
          <w:rFonts w:hint="eastAsia" w:ascii="仿宋" w:hAnsi="仿宋" w:eastAsia="仿宋" w:cs="仿宋"/>
          <w:sz w:val="32"/>
          <w:szCs w:val="32"/>
        </w:rPr>
      </w:pPr>
      <w:r>
        <w:rPr>
          <w:rFonts w:hint="eastAsia" w:ascii="仿宋" w:hAnsi="仿宋" w:eastAsia="仿宋" w:cs="仿宋"/>
          <w:sz w:val="32"/>
          <w:szCs w:val="32"/>
        </w:rPr>
        <w:t>DB 3202_T 1051-2023 起重机械维护保养管理通则</w:t>
      </w:r>
    </w:p>
    <w:p w14:paraId="33542F2B">
      <w:pPr>
        <w:numPr>
          <w:ilvl w:val="0"/>
          <w:numId w:val="5"/>
        </w:numPr>
        <w:spacing w:line="520" w:lineRule="exact"/>
        <w:ind w:left="420" w:leftChars="0" w:hanging="420" w:firstLineChars="0"/>
        <w:rPr>
          <w:rFonts w:hint="eastAsia" w:ascii="仿宋" w:hAnsi="仿宋" w:eastAsia="仿宋" w:cs="仿宋"/>
          <w:sz w:val="32"/>
          <w:szCs w:val="32"/>
        </w:rPr>
      </w:pPr>
      <w:r>
        <w:rPr>
          <w:rFonts w:hint="eastAsia" w:ascii="仿宋" w:hAnsi="仿宋" w:eastAsia="仿宋" w:cs="仿宋"/>
          <w:sz w:val="32"/>
          <w:szCs w:val="32"/>
        </w:rPr>
        <w:t>GB 20178-2006 土方机械安全标志和危险图示通则</w:t>
      </w:r>
    </w:p>
    <w:p w14:paraId="4AA50B2C">
      <w:pPr>
        <w:numPr>
          <w:ilvl w:val="0"/>
          <w:numId w:val="5"/>
        </w:numPr>
        <w:spacing w:line="520" w:lineRule="exact"/>
        <w:ind w:left="420" w:leftChars="0" w:hanging="420" w:firstLineChars="0"/>
        <w:rPr>
          <w:rFonts w:hint="eastAsia" w:ascii="仿宋" w:hAnsi="仿宋" w:eastAsia="仿宋" w:cs="仿宋"/>
          <w:sz w:val="32"/>
          <w:szCs w:val="32"/>
        </w:rPr>
      </w:pPr>
      <w:r>
        <w:rPr>
          <w:rFonts w:hint="eastAsia" w:ascii="仿宋" w:hAnsi="仿宋" w:eastAsia="仿宋" w:cs="仿宋"/>
          <w:sz w:val="32"/>
          <w:szCs w:val="32"/>
        </w:rPr>
        <w:t>JB 6028-1998 工程机械安全标识和危险图示 通则</w:t>
      </w:r>
    </w:p>
    <w:p w14:paraId="523F886E">
      <w:pPr>
        <w:numPr>
          <w:ilvl w:val="0"/>
          <w:numId w:val="5"/>
        </w:numPr>
        <w:spacing w:line="520" w:lineRule="exact"/>
        <w:ind w:left="420" w:leftChars="0" w:hanging="420" w:firstLineChars="0"/>
        <w:rPr>
          <w:rFonts w:hint="eastAsia" w:ascii="仿宋" w:hAnsi="仿宋" w:eastAsia="仿宋" w:cs="仿宋"/>
          <w:sz w:val="32"/>
          <w:szCs w:val="32"/>
        </w:rPr>
      </w:pPr>
      <w:r>
        <w:rPr>
          <w:rFonts w:hint="eastAsia" w:ascii="仿宋" w:hAnsi="仿宋" w:eastAsia="仿宋" w:cs="仿宋"/>
          <w:sz w:val="32"/>
          <w:szCs w:val="32"/>
        </w:rPr>
        <w:t>GB/T 25607-2010 土方机械防护装置定义和要求</w:t>
      </w:r>
    </w:p>
    <w:p w14:paraId="5D359CB8">
      <w:pPr>
        <w:numPr>
          <w:ilvl w:val="0"/>
          <w:numId w:val="5"/>
        </w:numPr>
        <w:spacing w:line="520" w:lineRule="exact"/>
        <w:ind w:left="420" w:leftChars="0" w:hanging="420" w:firstLineChars="0"/>
        <w:rPr>
          <w:rFonts w:hint="eastAsia" w:ascii="仿宋" w:hAnsi="仿宋" w:eastAsia="仿宋" w:cs="仿宋"/>
          <w:sz w:val="32"/>
          <w:szCs w:val="32"/>
        </w:rPr>
      </w:pPr>
      <w:r>
        <w:rPr>
          <w:rFonts w:hint="eastAsia" w:ascii="仿宋" w:hAnsi="仿宋" w:eastAsia="仿宋" w:cs="仿宋"/>
          <w:sz w:val="32"/>
          <w:szCs w:val="32"/>
        </w:rPr>
        <w:t>DB23_T 1496.20-2020 劳动防护用品配备标准第20部分 运输设备和通用工程机械操作人员及有关人员</w:t>
      </w:r>
    </w:p>
    <w:p w14:paraId="0E82B966">
      <w:pPr>
        <w:numPr>
          <w:ilvl w:val="0"/>
          <w:numId w:val="5"/>
        </w:numPr>
        <w:spacing w:line="520" w:lineRule="exact"/>
        <w:ind w:left="420" w:leftChars="0" w:hanging="420" w:firstLineChars="0"/>
        <w:rPr>
          <w:rFonts w:hint="eastAsia" w:ascii="仿宋" w:hAnsi="仿宋" w:eastAsia="仿宋" w:cs="仿宋"/>
          <w:sz w:val="32"/>
          <w:szCs w:val="32"/>
        </w:rPr>
      </w:pPr>
      <w:r>
        <w:rPr>
          <w:rFonts w:hint="eastAsia" w:ascii="仿宋" w:hAnsi="仿宋" w:eastAsia="仿宋" w:cs="仿宋"/>
          <w:sz w:val="32"/>
          <w:szCs w:val="32"/>
        </w:rPr>
        <w:t>DL/T 5261-2010水电水利工程施工机械安全操作规范挖掘机</w:t>
      </w:r>
    </w:p>
    <w:p w14:paraId="2428C88B">
      <w:pPr>
        <w:numPr>
          <w:ilvl w:val="0"/>
          <w:numId w:val="5"/>
        </w:numPr>
        <w:spacing w:line="520" w:lineRule="exact"/>
        <w:ind w:left="420" w:leftChars="0" w:hanging="420" w:firstLineChars="0"/>
        <w:rPr>
          <w:rFonts w:hint="eastAsia" w:ascii="仿宋" w:hAnsi="仿宋" w:eastAsia="仿宋" w:cs="仿宋"/>
          <w:sz w:val="32"/>
          <w:szCs w:val="32"/>
        </w:rPr>
      </w:pPr>
      <w:r>
        <w:rPr>
          <w:rFonts w:hint="eastAsia" w:ascii="仿宋" w:hAnsi="仿宋" w:eastAsia="仿宋" w:cs="仿宋"/>
          <w:sz w:val="32"/>
          <w:szCs w:val="32"/>
        </w:rPr>
        <w:t>DB42_T 1502-2019工程机械安全管理规范</w:t>
      </w:r>
    </w:p>
    <w:p w14:paraId="63207D43">
      <w:pPr>
        <w:numPr>
          <w:ilvl w:val="0"/>
          <w:numId w:val="5"/>
        </w:numPr>
        <w:spacing w:line="520" w:lineRule="exact"/>
        <w:ind w:left="420" w:leftChars="0" w:hanging="420" w:firstLineChars="0"/>
        <w:rPr>
          <w:rFonts w:hint="eastAsia" w:ascii="仿宋" w:hAnsi="仿宋" w:eastAsia="仿宋" w:cs="仿宋"/>
          <w:sz w:val="32"/>
          <w:szCs w:val="32"/>
        </w:rPr>
      </w:pPr>
      <w:r>
        <w:rPr>
          <w:rFonts w:hint="eastAsia" w:ascii="仿宋" w:hAnsi="仿宋" w:eastAsia="仿宋" w:cs="仿宋"/>
          <w:sz w:val="32"/>
          <w:szCs w:val="32"/>
        </w:rPr>
        <w:t>LD 48-1993起重机械吊具与索具安全规程DL/T 5261-2010水电水利工程施工机械安全操作规范挖掘机</w:t>
      </w:r>
    </w:p>
    <w:p w14:paraId="3BC8725B">
      <w:pPr>
        <w:numPr>
          <w:ilvl w:val="0"/>
          <w:numId w:val="5"/>
        </w:numPr>
        <w:spacing w:line="520" w:lineRule="exact"/>
        <w:ind w:left="420" w:leftChars="0" w:hanging="420" w:firstLineChars="0"/>
        <w:rPr>
          <w:rFonts w:hint="eastAsia" w:ascii="仿宋" w:hAnsi="仿宋" w:eastAsia="仿宋" w:cs="仿宋"/>
          <w:sz w:val="32"/>
          <w:szCs w:val="32"/>
        </w:rPr>
      </w:pPr>
      <w:r>
        <w:rPr>
          <w:rFonts w:hint="eastAsia" w:ascii="仿宋" w:hAnsi="仿宋" w:eastAsia="仿宋" w:cs="仿宋"/>
          <w:sz w:val="32"/>
          <w:szCs w:val="32"/>
        </w:rPr>
        <w:t>DB42_T 1502-2019工程机械安全管理规范</w:t>
      </w:r>
    </w:p>
    <w:p w14:paraId="3425890C">
      <w:pPr>
        <w:numPr>
          <w:ilvl w:val="0"/>
          <w:numId w:val="5"/>
        </w:numPr>
        <w:spacing w:line="520" w:lineRule="exact"/>
        <w:ind w:left="420" w:leftChars="0" w:hanging="420" w:firstLineChars="0"/>
        <w:rPr>
          <w:rFonts w:hint="eastAsia" w:ascii="仿宋" w:hAnsi="仿宋" w:eastAsia="仿宋" w:cs="仿宋"/>
          <w:sz w:val="32"/>
          <w:szCs w:val="32"/>
        </w:rPr>
      </w:pPr>
      <w:r>
        <w:rPr>
          <w:rFonts w:hint="eastAsia" w:ascii="仿宋" w:hAnsi="仿宋" w:eastAsia="仿宋" w:cs="仿宋"/>
          <w:sz w:val="32"/>
          <w:szCs w:val="32"/>
        </w:rPr>
        <w:t>LD 48-1993起重机械吊具与索具安全规程</w:t>
      </w:r>
    </w:p>
    <w:p w14:paraId="78DADD7E">
      <w:pPr>
        <w:numPr>
          <w:ilvl w:val="0"/>
          <w:numId w:val="5"/>
        </w:numPr>
        <w:spacing w:line="520" w:lineRule="exact"/>
        <w:ind w:left="420" w:leftChars="0" w:hanging="420" w:firstLineChars="0"/>
        <w:rPr>
          <w:rFonts w:hint="eastAsia" w:ascii="仿宋" w:hAnsi="仿宋" w:eastAsia="仿宋" w:cs="仿宋"/>
          <w:sz w:val="32"/>
          <w:szCs w:val="32"/>
        </w:rPr>
      </w:pPr>
      <w:r>
        <w:rPr>
          <w:rFonts w:hint="eastAsia" w:ascii="仿宋" w:hAnsi="仿宋" w:eastAsia="仿宋" w:cs="仿宋"/>
          <w:sz w:val="32"/>
          <w:szCs w:val="32"/>
        </w:rPr>
        <w:t>GB_T 5082-2019起重机手势信号</w:t>
      </w:r>
    </w:p>
    <w:p w14:paraId="68DE971C">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2.3 术语及含义</w:t>
      </w:r>
      <w:bookmarkEnd w:id="18"/>
      <w:bookmarkEnd w:id="19"/>
      <w:bookmarkEnd w:id="20"/>
      <w:bookmarkEnd w:id="21"/>
      <w:bookmarkEnd w:id="22"/>
      <w:bookmarkEnd w:id="23"/>
      <w:bookmarkEnd w:id="24"/>
      <w:bookmarkEnd w:id="25"/>
      <w:bookmarkEnd w:id="26"/>
    </w:p>
    <w:p w14:paraId="4ADDD249">
      <w:pPr>
        <w:numPr>
          <w:ilvl w:val="0"/>
          <w:numId w:val="5"/>
        </w:numPr>
        <w:spacing w:line="520" w:lineRule="exact"/>
        <w:ind w:left="420" w:leftChars="0" w:hanging="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通用工程机械救援：运用通用工程机械设备对遭受自然灾害或事故灾难影响的人员、财产实施救援的活动。</w:t>
      </w:r>
    </w:p>
    <w:p w14:paraId="0372550A">
      <w:pPr>
        <w:numPr>
          <w:ilvl w:val="0"/>
          <w:numId w:val="5"/>
        </w:numPr>
        <w:spacing w:line="520" w:lineRule="exact"/>
        <w:ind w:left="420" w:leftChars="0" w:hanging="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通用工程机械救援装备：用于通用工程机械救援的设备、工具、器材和其他物品。</w:t>
      </w:r>
    </w:p>
    <w:p w14:paraId="0AE4E652">
      <w:pPr>
        <w:numPr>
          <w:ilvl w:val="0"/>
          <w:numId w:val="5"/>
        </w:numPr>
        <w:spacing w:line="520" w:lineRule="exact"/>
        <w:ind w:left="420" w:leftChars="0" w:hanging="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通用工程机械救援人员：使用通用工程机械开展救援行动的指挥、操作、安全、维护、保障等人员。</w:t>
      </w:r>
    </w:p>
    <w:p w14:paraId="7D08F3E9">
      <w:pPr>
        <w:numPr>
          <w:ilvl w:val="0"/>
          <w:numId w:val="5"/>
        </w:numPr>
        <w:spacing w:line="520" w:lineRule="exact"/>
        <w:ind w:left="420" w:leftChars="0" w:hanging="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通用工程机械救援操作员：驾驶、操作通用工程机械设备参与应急救援的人员。</w:t>
      </w:r>
    </w:p>
    <w:p w14:paraId="47D79837">
      <w:pPr>
        <w:numPr>
          <w:ilvl w:val="0"/>
          <w:numId w:val="5"/>
        </w:numPr>
        <w:spacing w:line="520" w:lineRule="exact"/>
        <w:ind w:left="420" w:leftChars="0" w:hanging="420" w:firstLineChars="0"/>
        <w:rPr>
          <w:rFonts w:hint="eastAsia" w:ascii="黑体" w:hAnsi="黑体" w:eastAsia="黑体" w:cs="黑体"/>
          <w:sz w:val="32"/>
          <w:szCs w:val="32"/>
        </w:rPr>
      </w:pPr>
      <w:r>
        <w:rPr>
          <w:rFonts w:hint="eastAsia" w:ascii="仿宋" w:hAnsi="仿宋" w:eastAsia="仿宋" w:cs="仿宋"/>
          <w:sz w:val="32"/>
          <w:szCs w:val="32"/>
          <w:lang w:val="en-US" w:eastAsia="zh-CN"/>
        </w:rPr>
        <w:t>通用工程机械救援安全：使用通用工程机械实施救援行动时，为确保救援人员、受困者及周围环境安全所采取的一系列措施和要求。</w:t>
      </w:r>
    </w:p>
    <w:p w14:paraId="152BD180">
      <w:pPr>
        <w:numPr>
          <w:numId w:val="0"/>
        </w:numPr>
        <w:spacing w:line="520" w:lineRule="exact"/>
        <w:ind w:leftChars="0"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与有关的现行法律、法规和强制性国家标准的关系</w:t>
      </w:r>
    </w:p>
    <w:p w14:paraId="7455644D">
      <w:pPr>
        <w:numPr>
          <w:ilvl w:val="0"/>
          <w:numId w:val="0"/>
        </w:numPr>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本标准大量引用并遵循相关标准。如在起重机手势信号方面遵循 GB/T 5082 - 2019，起重机械安全规程引用 GB 6067 - 2010 等。这确保了本标准在涉及工程机械操作规范、安全技术等关键内容上与国家标准保持高度一致，避免标准间的冲突与矛盾，形成统一协调的标准体系。通过引用这些强制性国家标准，借助其成熟的技术规范与安全准则，提升本标准的权威性与科学性</w:t>
      </w:r>
      <w:r>
        <w:rPr>
          <w:rFonts w:hint="eastAsia" w:ascii="仿宋" w:hAnsi="仿宋" w:eastAsia="仿宋" w:cs="仿宋"/>
          <w:sz w:val="32"/>
          <w:szCs w:val="32"/>
          <w:lang w:eastAsia="zh-CN"/>
        </w:rPr>
        <w:t>。</w:t>
      </w:r>
    </w:p>
    <w:p w14:paraId="52FB5CD0">
      <w:pPr>
        <w:numPr>
          <w:ilvl w:val="0"/>
          <w:numId w:val="0"/>
        </w:numPr>
        <w:spacing w:line="520" w:lineRule="exact"/>
        <w:ind w:leftChars="0"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重大分歧意见的处理经过和依据</w:t>
      </w:r>
    </w:p>
    <w:p w14:paraId="18D0BB2C">
      <w:pPr>
        <w:numPr>
          <w:ilvl w:val="0"/>
          <w:numId w:val="0"/>
        </w:num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安能集团郭亮提出的修改适用范围语句及增加装载机、推土机应用场景等建议，编制小组对于装载机和推土机的应用场景补充，收集了大量实际灾害救援案例，整理出这两种机械在地震、洪涝、地质灾害等不同灾害中的具体作业任务和操作要点，并将其融入到相应章节中。</w:t>
      </w:r>
    </w:p>
    <w:p w14:paraId="7BCA18E8">
      <w:pPr>
        <w:numPr>
          <w:ilvl w:val="0"/>
          <w:numId w:val="0"/>
        </w:num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对于消防学院胡中建关于一般要求细分和规范 “救援指挥” 术语的建议。根据专家意见和实际救援指挥流程，将一般要求细分为技术要求、操作要求、管理要求等几个方面，并对每个方面的内容进行了详细梳理和补充。在规范 “救援指挥” 术语时，查阅了相关专业文献和行业标准，确定了一个准确且符合行业习惯的定义，并在术语和定义章节中进行了明确。</w:t>
      </w:r>
    </w:p>
    <w:p w14:paraId="1AD01D2B">
      <w:pPr>
        <w:numPr>
          <w:ilvl w:val="0"/>
          <w:numId w:val="0"/>
        </w:num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搜救中心马莹指出的两个标准行为混淆及章节设置等问题，编制小组与相关标准制定团队进行了沟通协调。共同梳理了两个标准的边界和重点内容，对本标准中基本原则、安全考虑等章节进行了重新架构。删除了重复和模糊的内容，强化了原则的可执行性，按照逻辑关系重新组织了各条款。对于作业类型和附录作用的明确，在每个作业类型章节开头增加了详细的说明。在统一章节名称方面，参考了行业内通用的标准结构，对各章节名称进行了规范。</w:t>
      </w:r>
    </w:p>
    <w:p w14:paraId="497E620C">
      <w:p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经过充分的研讨和论证，编制组依据上述处理过程和依据，对《通用工程机械救援基本要求》进行了相应的修订和完善，确保指南的科学性、实用性和前瞻性。</w:t>
      </w:r>
    </w:p>
    <w:p w14:paraId="50F337C8">
      <w:pPr>
        <w:numPr>
          <w:ilvl w:val="0"/>
          <w:numId w:val="6"/>
        </w:numPr>
        <w:spacing w:line="520" w:lineRule="exact"/>
        <w:ind w:leftChars="0" w:firstLine="640" w:firstLineChars="200"/>
        <w:rPr>
          <w:rFonts w:hint="eastAsia" w:ascii="黑体" w:hAnsi="黑体" w:eastAsia="黑体" w:cs="黑体"/>
          <w:sz w:val="32"/>
          <w:szCs w:val="32"/>
        </w:rPr>
      </w:pPr>
      <w:r>
        <w:rPr>
          <w:rFonts w:hint="eastAsia" w:ascii="黑体" w:hAnsi="黑体" w:eastAsia="黑体" w:cs="黑体"/>
          <w:sz w:val="32"/>
          <w:szCs w:val="32"/>
        </w:rPr>
        <w:t>废止</w:t>
      </w:r>
      <w:r>
        <w:rPr>
          <w:rFonts w:hint="eastAsia" w:ascii="黑体" w:hAnsi="黑体" w:eastAsia="黑体" w:cs="黑体"/>
          <w:sz w:val="32"/>
          <w:szCs w:val="32"/>
          <w:lang w:eastAsia="zh-CN"/>
        </w:rPr>
        <w:t>现</w:t>
      </w:r>
      <w:r>
        <w:rPr>
          <w:rFonts w:hint="eastAsia" w:ascii="黑体" w:hAnsi="黑体" w:eastAsia="黑体" w:cs="黑体"/>
          <w:sz w:val="32"/>
          <w:szCs w:val="32"/>
        </w:rPr>
        <w:t>行有关标准的建议</w:t>
      </w:r>
    </w:p>
    <w:p w14:paraId="7847C77D">
      <w:pPr>
        <w:numPr>
          <w:numId w:val="0"/>
        </w:numPr>
        <w:spacing w:line="520" w:lineRule="exact"/>
        <w:ind w:left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无。</w:t>
      </w:r>
    </w:p>
    <w:p w14:paraId="1F1BD398">
      <w:pPr>
        <w:spacing w:line="520" w:lineRule="exact"/>
        <w:ind w:firstLine="560" w:firstLineChars="200"/>
        <w:rPr>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22DD4">
    <w:pPr>
      <w:pStyle w:val="7"/>
      <w:jc w:val="center"/>
    </w:pPr>
    <w:r>
      <w:rPr>
        <w:lang w:val="zh-CN"/>
      </w:rPr>
      <w:fldChar w:fldCharType="begin"/>
    </w:r>
    <w:r>
      <w:rPr>
        <w:lang w:val="zh-CN"/>
      </w:rPr>
      <w:instrText xml:space="preserve"> PAGE   \* MERGEFORMAT </w:instrText>
    </w:r>
    <w:r>
      <w:rPr>
        <w:lang w:val="zh-CN"/>
      </w:rPr>
      <w:fldChar w:fldCharType="separate"/>
    </w:r>
    <w:r>
      <w:rPr>
        <w:lang w:val="zh-CN"/>
      </w:rPr>
      <w:t>6</w:t>
    </w:r>
    <w:r>
      <w:rPr>
        <w:lang w:val="zh-CN"/>
      </w:rPr>
      <w:fldChar w:fldCharType="end"/>
    </w:r>
  </w:p>
  <w:p w14:paraId="2A43CB6C">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2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9"/>
      <w:suff w:val="nothing"/>
      <w:lvlText w:val="%1.%2　"/>
      <w:lvlJc w:val="left"/>
      <w:pPr>
        <w:ind w:left="567" w:firstLine="0"/>
      </w:pPr>
      <w:rPr>
        <w:rFonts w:hint="eastAsia" w:ascii="黑体" w:hAnsi="Times New Roman" w:eastAsia="黑体" w:cs="Times New Roman"/>
        <w:b w:val="0"/>
        <w:bCs w:val="0"/>
        <w:i w:val="0"/>
        <w:iCs w:val="0"/>
        <w:caps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851" w:firstLine="0"/>
      </w:pPr>
      <w:rPr>
        <w:rFonts w:hint="eastAsia" w:ascii="黑体" w:hAnsi="Times New Roman" w:eastAsia="黑体"/>
        <w:b w:val="0"/>
        <w:i w:val="0"/>
        <w:sz w:val="21"/>
      </w:rPr>
    </w:lvl>
    <w:lvl w:ilvl="3" w:tentative="0">
      <w:start w:val="1"/>
      <w:numFmt w:val="decimal"/>
      <w:suff w:val="nothing"/>
      <w:lvlText w:val="%1.%2.%3.%4　"/>
      <w:lvlJc w:val="left"/>
      <w:pPr>
        <w:ind w:left="709"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04"/>
    <w:multiLevelType w:val="multilevel"/>
    <w:tmpl w:val="00000004"/>
    <w:lvl w:ilvl="0" w:tentative="0">
      <w:start w:val="1"/>
      <w:numFmt w:val="none"/>
      <w:pStyle w:val="30"/>
      <w:suff w:val="nothing"/>
      <w:lvlText w:val="%1——"/>
      <w:lvlJc w:val="left"/>
      <w:pPr>
        <w:ind w:left="833" w:hanging="408"/>
      </w:pPr>
      <w:rPr>
        <w:rFonts w:hint="eastAsia"/>
      </w:rPr>
    </w:lvl>
    <w:lvl w:ilvl="1" w:tentative="0">
      <w:start w:val="1"/>
      <w:numFmt w:val="bullet"/>
      <w:pStyle w:val="31"/>
      <w:lvlText w:val=""/>
      <w:lvlJc w:val="left"/>
      <w:pPr>
        <w:tabs>
          <w:tab w:val="left" w:pos="760"/>
        </w:tabs>
        <w:ind w:left="1264" w:hanging="413"/>
      </w:pPr>
      <w:rPr>
        <w:rFonts w:hint="default" w:ascii="Symbol" w:hAnsi="Symbol"/>
        <w:color w:val="auto"/>
      </w:rPr>
    </w:lvl>
    <w:lvl w:ilvl="2" w:tentative="0">
      <w:start w:val="1"/>
      <w:numFmt w:val="bullet"/>
      <w:pStyle w:val="3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00000005"/>
    <w:multiLevelType w:val="multilevel"/>
    <w:tmpl w:val="00000005"/>
    <w:lvl w:ilvl="0" w:tentative="0">
      <w:start w:val="1"/>
      <w:numFmt w:val="lowerLetter"/>
      <w:pStyle w:val="26"/>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25"/>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27"/>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
    <w:nsid w:val="00000006"/>
    <w:multiLevelType w:val="singleLevel"/>
    <w:tmpl w:val="00000006"/>
    <w:lvl w:ilvl="0" w:tentative="0">
      <w:start w:val="1"/>
      <w:numFmt w:val="bullet"/>
      <w:lvlText w:val=""/>
      <w:lvlJc w:val="left"/>
      <w:pPr>
        <w:ind w:left="420" w:hanging="420"/>
      </w:pPr>
      <w:rPr>
        <w:rFonts w:hint="default" w:ascii="Wingdings" w:hAnsi="Wingdings"/>
      </w:rPr>
    </w:lvl>
  </w:abstractNum>
  <w:abstractNum w:abstractNumId="4">
    <w:nsid w:val="00000007"/>
    <w:multiLevelType w:val="multilevel"/>
    <w:tmpl w:val="00000007"/>
    <w:lvl w:ilvl="0" w:tentative="0">
      <w:start w:val="1"/>
      <w:numFmt w:val="none"/>
      <w:pStyle w:val="42"/>
      <w:suff w:val="nothing"/>
      <w:lvlText w:val="%1"/>
      <w:lvlJc w:val="left"/>
      <w:pPr>
        <w:ind w:left="0" w:firstLine="0"/>
      </w:pPr>
      <w:rPr>
        <w:rFonts w:hint="eastAsia"/>
      </w:rPr>
    </w:lvl>
    <w:lvl w:ilvl="1" w:tentative="0">
      <w:start w:val="1"/>
      <w:numFmt w:val="decimal"/>
      <w:pStyle w:val="40"/>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2694" w:firstLine="0"/>
      </w:pPr>
      <w:rPr>
        <w:rFonts w:hint="eastAsia" w:ascii="黑体" w:hAnsi="Times New Roman" w:eastAsia="黑体" w:cs="Times New Roman"/>
        <w:b w:val="0"/>
        <w:bCs w:val="0"/>
        <w:i w:val="0"/>
        <w:iCs w:val="0"/>
        <w:caps w:val="0"/>
        <w:smallCaps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36"/>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pStyle w:val="38"/>
      <w:suff w:val="nothing"/>
      <w:lvlText w:val="%1%2.%3.%4.%5.%6　"/>
      <w:lvlJc w:val="left"/>
      <w:pPr>
        <w:ind w:left="0" w:firstLine="0"/>
      </w:pPr>
      <w:rPr>
        <w:rFonts w:hint="eastAsia" w:ascii="黑体" w:eastAsia="黑体"/>
        <w:b w:val="0"/>
        <w:i w:val="0"/>
        <w:sz w:val="21"/>
      </w:rPr>
    </w:lvl>
    <w:lvl w:ilvl="6" w:tentative="0">
      <w:start w:val="1"/>
      <w:numFmt w:val="decimal"/>
      <w:pStyle w:val="3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710CF287"/>
    <w:multiLevelType w:val="singleLevel"/>
    <w:tmpl w:val="710CF287"/>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16C1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9"/>
    <w:pPr>
      <w:keepNext/>
      <w:keepLines/>
      <w:spacing w:before="260" w:after="260" w:line="416" w:lineRule="auto"/>
      <w:outlineLvl w:val="1"/>
    </w:pPr>
    <w:rPr>
      <w:rFonts w:ascii="Cambria" w:hAnsi="Cambria" w:eastAsia="宋体" w:cs="宋体"/>
      <w:b/>
      <w:bCs/>
      <w:sz w:val="32"/>
      <w:szCs w:val="32"/>
    </w:rPr>
  </w:style>
  <w:style w:type="character" w:default="1" w:styleId="12">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4">
    <w:name w:val="annotation text"/>
    <w:basedOn w:val="1"/>
    <w:link w:val="17"/>
    <w:qFormat/>
    <w:uiPriority w:val="99"/>
    <w:pPr>
      <w:jc w:val="left"/>
    </w:pPr>
  </w:style>
  <w:style w:type="paragraph" w:styleId="5">
    <w:name w:val="Date"/>
    <w:basedOn w:val="1"/>
    <w:next w:val="1"/>
    <w:link w:val="35"/>
    <w:qFormat/>
    <w:uiPriority w:val="99"/>
    <w:pPr>
      <w:ind w:left="100" w:leftChars="2500"/>
    </w:pPr>
  </w:style>
  <w:style w:type="paragraph" w:styleId="6">
    <w:name w:val="Balloon Text"/>
    <w:basedOn w:val="1"/>
    <w:link w:val="18"/>
    <w:qFormat/>
    <w:uiPriority w:val="99"/>
    <w:rPr>
      <w:sz w:val="18"/>
      <w:szCs w:val="18"/>
    </w:rPr>
  </w:style>
  <w:style w:type="paragraph" w:styleId="7">
    <w:name w:val="footer"/>
    <w:basedOn w:val="1"/>
    <w:link w:val="34"/>
    <w:qFormat/>
    <w:uiPriority w:val="99"/>
    <w:pPr>
      <w:tabs>
        <w:tab w:val="center" w:pos="4153"/>
        <w:tab w:val="right" w:pos="8306"/>
      </w:tabs>
      <w:snapToGrid w:val="0"/>
      <w:jc w:val="left"/>
    </w:pPr>
    <w:rPr>
      <w:sz w:val="18"/>
      <w:szCs w:val="18"/>
    </w:rPr>
  </w:style>
  <w:style w:type="paragraph" w:styleId="8">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rPr>
      <w:rFonts w:ascii="Times New Roman" w:hAnsi="Times New Roman" w:cs="Times New Roman"/>
      <w:sz w:val="24"/>
      <w:szCs w:val="24"/>
    </w:rPr>
  </w:style>
  <w:style w:type="paragraph" w:styleId="10">
    <w:name w:val="annotation subject"/>
    <w:basedOn w:val="4"/>
    <w:next w:val="4"/>
    <w:link w:val="44"/>
    <w:qFormat/>
    <w:uiPriority w:val="99"/>
    <w:rPr>
      <w:b/>
      <w:bCs/>
    </w:rPr>
  </w:style>
  <w:style w:type="character" w:styleId="13">
    <w:name w:val="annotation reference"/>
    <w:basedOn w:val="12"/>
    <w:qFormat/>
    <w:uiPriority w:val="99"/>
    <w:rPr>
      <w:sz w:val="21"/>
      <w:szCs w:val="21"/>
    </w:rPr>
  </w:style>
  <w:style w:type="character" w:customStyle="1" w:styleId="14">
    <w:name w:val="标题 1 字符"/>
    <w:basedOn w:val="12"/>
    <w:link w:val="2"/>
    <w:qFormat/>
    <w:uiPriority w:val="9"/>
    <w:rPr>
      <w:b/>
      <w:bCs/>
      <w:kern w:val="44"/>
      <w:sz w:val="44"/>
      <w:szCs w:val="44"/>
    </w:rPr>
  </w:style>
  <w:style w:type="paragraph" w:customStyle="1" w:styleId="15">
    <w:name w:val="段"/>
    <w:link w:val="1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6">
    <w:name w:val="段 Char"/>
    <w:basedOn w:val="12"/>
    <w:link w:val="15"/>
    <w:qFormat/>
    <w:uiPriority w:val="0"/>
    <w:rPr>
      <w:rFonts w:ascii="宋体" w:hAnsi="Times New Roman" w:eastAsia="宋体" w:cs="Times New Roman"/>
      <w:kern w:val="0"/>
      <w:szCs w:val="20"/>
    </w:rPr>
  </w:style>
  <w:style w:type="character" w:customStyle="1" w:styleId="17">
    <w:name w:val="批注文字 字符"/>
    <w:basedOn w:val="12"/>
    <w:link w:val="4"/>
    <w:qFormat/>
    <w:uiPriority w:val="99"/>
  </w:style>
  <w:style w:type="character" w:customStyle="1" w:styleId="18">
    <w:name w:val="批注框文本 字符"/>
    <w:basedOn w:val="12"/>
    <w:link w:val="6"/>
    <w:qFormat/>
    <w:uiPriority w:val="99"/>
    <w:rPr>
      <w:sz w:val="18"/>
      <w:szCs w:val="18"/>
    </w:rPr>
  </w:style>
  <w:style w:type="paragraph" w:customStyle="1" w:styleId="19">
    <w:name w:val="一级条标题"/>
    <w:next w:val="15"/>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20">
    <w:name w:val="章标题"/>
    <w:next w:val="15"/>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1">
    <w:name w:val="二级条标题"/>
    <w:basedOn w:val="19"/>
    <w:next w:val="15"/>
    <w:qFormat/>
    <w:uiPriority w:val="0"/>
    <w:pPr>
      <w:numPr>
        <w:ilvl w:val="2"/>
        <w:numId w:val="0"/>
      </w:numPr>
      <w:spacing w:before="50" w:after="50"/>
      <w:outlineLvl w:val="3"/>
    </w:pPr>
  </w:style>
  <w:style w:type="paragraph" w:customStyle="1" w:styleId="22">
    <w:name w:val="三级条标题"/>
    <w:basedOn w:val="21"/>
    <w:next w:val="15"/>
    <w:qFormat/>
    <w:uiPriority w:val="0"/>
    <w:pPr>
      <w:numPr>
        <w:ilvl w:val="3"/>
        <w:numId w:val="0"/>
      </w:numPr>
      <w:ind w:left="0"/>
      <w:outlineLvl w:val="4"/>
    </w:pPr>
  </w:style>
  <w:style w:type="paragraph" w:customStyle="1" w:styleId="23">
    <w:name w:val="四级条标题"/>
    <w:basedOn w:val="22"/>
    <w:next w:val="15"/>
    <w:qFormat/>
    <w:uiPriority w:val="0"/>
    <w:pPr>
      <w:numPr>
        <w:ilvl w:val="4"/>
        <w:numId w:val="0"/>
      </w:numPr>
      <w:outlineLvl w:val="5"/>
    </w:pPr>
  </w:style>
  <w:style w:type="paragraph" w:customStyle="1" w:styleId="24">
    <w:name w:val="五级条标题"/>
    <w:basedOn w:val="23"/>
    <w:next w:val="15"/>
    <w:qFormat/>
    <w:uiPriority w:val="0"/>
    <w:pPr>
      <w:numPr>
        <w:ilvl w:val="5"/>
        <w:numId w:val="0"/>
      </w:numPr>
      <w:outlineLvl w:val="6"/>
    </w:pPr>
  </w:style>
  <w:style w:type="paragraph" w:customStyle="1" w:styleId="25">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6">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7">
    <w:name w:val="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28">
    <w:name w:val="二级无"/>
    <w:basedOn w:val="21"/>
    <w:qFormat/>
    <w:uiPriority w:val="0"/>
    <w:pPr>
      <w:numPr>
        <w:ilvl w:val="0"/>
        <w:numId w:val="0"/>
      </w:numPr>
      <w:tabs>
        <w:tab w:val="left" w:pos="2160"/>
      </w:tabs>
      <w:ind w:left="2160" w:hanging="720"/>
    </w:pPr>
    <w:rPr>
      <w:rFonts w:ascii="宋体" w:eastAsia="宋体"/>
    </w:rPr>
  </w:style>
  <w:style w:type="paragraph" w:customStyle="1" w:styleId="29">
    <w:name w:val="三级无"/>
    <w:basedOn w:val="22"/>
    <w:qFormat/>
    <w:uiPriority w:val="0"/>
    <w:pPr>
      <w:numPr>
        <w:ilvl w:val="0"/>
        <w:numId w:val="0"/>
      </w:numPr>
      <w:tabs>
        <w:tab w:val="left" w:pos="2880"/>
      </w:tabs>
      <w:ind w:hanging="720"/>
    </w:pPr>
    <w:rPr>
      <w:rFonts w:ascii="宋体" w:eastAsia="宋体"/>
    </w:rPr>
  </w:style>
  <w:style w:type="paragraph" w:customStyle="1" w:styleId="30">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31">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32">
    <w:name w:val="列项◆（三级）"/>
    <w:basedOn w:val="1"/>
    <w:qFormat/>
    <w:uiPriority w:val="0"/>
    <w:pPr>
      <w:numPr>
        <w:ilvl w:val="2"/>
        <w:numId w:val="3"/>
      </w:numPr>
    </w:pPr>
    <w:rPr>
      <w:rFonts w:ascii="宋体" w:hAnsi="Times New Roman" w:eastAsia="宋体" w:cs="Times New Roman"/>
      <w:szCs w:val="21"/>
    </w:rPr>
  </w:style>
  <w:style w:type="character" w:customStyle="1" w:styleId="33">
    <w:name w:val="页眉 字符"/>
    <w:basedOn w:val="12"/>
    <w:link w:val="8"/>
    <w:qFormat/>
    <w:uiPriority w:val="99"/>
    <w:rPr>
      <w:sz w:val="18"/>
      <w:szCs w:val="18"/>
    </w:rPr>
  </w:style>
  <w:style w:type="character" w:customStyle="1" w:styleId="34">
    <w:name w:val="页脚 字符"/>
    <w:basedOn w:val="12"/>
    <w:link w:val="7"/>
    <w:qFormat/>
    <w:uiPriority w:val="99"/>
    <w:rPr>
      <w:sz w:val="18"/>
      <w:szCs w:val="18"/>
    </w:rPr>
  </w:style>
  <w:style w:type="character" w:customStyle="1" w:styleId="35">
    <w:name w:val="日期 字符"/>
    <w:basedOn w:val="12"/>
    <w:link w:val="5"/>
    <w:qFormat/>
    <w:uiPriority w:val="99"/>
  </w:style>
  <w:style w:type="paragraph" w:customStyle="1" w:styleId="36">
    <w:name w:val="标准文件_二级条标题"/>
    <w:next w:val="1"/>
    <w:qFormat/>
    <w:uiPriority w:val="0"/>
    <w:pPr>
      <w:widowControl w:val="0"/>
      <w:numPr>
        <w:ilvl w:val="3"/>
        <w:numId w:val="4"/>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7">
    <w:name w:val="标准文件_三级条标题"/>
    <w:basedOn w:val="36"/>
    <w:next w:val="1"/>
    <w:qFormat/>
    <w:uiPriority w:val="0"/>
    <w:pPr>
      <w:widowControl/>
      <w:numPr>
        <w:ilvl w:val="4"/>
        <w:numId w:val="0"/>
      </w:numPr>
      <w:outlineLvl w:val="3"/>
    </w:pPr>
  </w:style>
  <w:style w:type="paragraph" w:customStyle="1" w:styleId="38">
    <w:name w:val="标准文件_四级条标题"/>
    <w:next w:val="1"/>
    <w:qFormat/>
    <w:uiPriority w:val="0"/>
    <w:pPr>
      <w:widowControl w:val="0"/>
      <w:numPr>
        <w:ilvl w:val="5"/>
        <w:numId w:val="4"/>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39">
    <w:name w:val="标准文件_五级条标题"/>
    <w:next w:val="1"/>
    <w:qFormat/>
    <w:uiPriority w:val="0"/>
    <w:pPr>
      <w:widowControl w:val="0"/>
      <w:numPr>
        <w:ilvl w:val="6"/>
        <w:numId w:val="4"/>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40">
    <w:name w:val="标准文件_章标题"/>
    <w:next w:val="1"/>
    <w:qFormat/>
    <w:uiPriority w:val="0"/>
    <w:pPr>
      <w:numPr>
        <w:ilvl w:val="1"/>
        <w:numId w:val="4"/>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1">
    <w:name w:val="标准文件_一级条标题"/>
    <w:basedOn w:val="40"/>
    <w:next w:val="1"/>
    <w:qFormat/>
    <w:uiPriority w:val="0"/>
    <w:pPr>
      <w:numPr>
        <w:ilvl w:val="2"/>
        <w:numId w:val="0"/>
      </w:numPr>
      <w:spacing w:before="50" w:beforeLines="50" w:after="50" w:afterLines="50"/>
      <w:ind w:left="284"/>
      <w:outlineLvl w:val="1"/>
    </w:pPr>
  </w:style>
  <w:style w:type="paragraph" w:customStyle="1" w:styleId="42">
    <w:name w:val="前言标题"/>
    <w:next w:val="1"/>
    <w:qFormat/>
    <w:uiPriority w:val="0"/>
    <w:pPr>
      <w:numPr>
        <w:ilvl w:val="0"/>
        <w:numId w:val="4"/>
      </w:numPr>
      <w:shd w:val="clear" w:color="FFFFFF" w:fill="FFFFFF"/>
      <w:spacing w:before="540" w:after="600"/>
      <w:jc w:val="center"/>
      <w:outlineLvl w:val="0"/>
    </w:pPr>
    <w:rPr>
      <w:rFonts w:ascii="黑体" w:hAnsi="Times New Roman" w:eastAsia="黑体" w:cs="Times New Roman"/>
      <w:sz w:val="32"/>
      <w:lang w:val="en-US" w:eastAsia="zh-CN" w:bidi="ar-SA"/>
    </w:rPr>
  </w:style>
  <w:style w:type="character" w:customStyle="1" w:styleId="43">
    <w:name w:val="标题 2 字符"/>
    <w:basedOn w:val="12"/>
    <w:link w:val="3"/>
    <w:qFormat/>
    <w:uiPriority w:val="9"/>
    <w:rPr>
      <w:rFonts w:ascii="Cambria" w:hAnsi="Cambria" w:eastAsia="宋体" w:cs="宋体"/>
      <w:b/>
      <w:bCs/>
      <w:sz w:val="32"/>
      <w:szCs w:val="32"/>
    </w:rPr>
  </w:style>
  <w:style w:type="character" w:customStyle="1" w:styleId="44">
    <w:name w:val="批注主题 字符"/>
    <w:basedOn w:val="17"/>
    <w:link w:val="10"/>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182A-590B-4833-9BF3-1DE620A3EB98}">
  <ds:schemaRefs/>
</ds:datastoreItem>
</file>

<file path=docProps/app.xml><?xml version="1.0" encoding="utf-8"?>
<Properties xmlns="http://schemas.openxmlformats.org/officeDocument/2006/extended-properties" xmlns:vt="http://schemas.openxmlformats.org/officeDocument/2006/docPropsVTypes">
  <Template>Normal</Template>
  <Pages>9</Pages>
  <Words>3729</Words>
  <Characters>4032</Characters>
  <Paragraphs>97</Paragraphs>
  <TotalTime>8</TotalTime>
  <ScaleCrop>false</ScaleCrop>
  <LinksUpToDate>false</LinksUpToDate>
  <CharactersWithSpaces>4111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2022-05-09T09:13:00Z</dcterms:created>
  <dc:creator>zhjf</dc:creator>
  <cp:lastModifiedBy>张成</cp:lastModifiedBy>
  <dcterms:modified xsi:type="dcterms:W3CDTF">2025-01-12T05:22:36Z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2052-12.1.0.19770</vt:lpwstr>
  </property>
  <property fmtid="{D5CDD505-2E9C-101B-9397-08002B2CF9AE}" pid="4" name="ICV">
    <vt:lpwstr>058db2cbeeaf4daeba6e7d276c9e3cb4_23</vt:lpwstr>
  </property>
  <property fmtid="{D5CDD505-2E9C-101B-9397-08002B2CF9AE}" pid="5" name="KSOTemplateDocerSaveRecord">
    <vt:lpwstr>eyJoZGlkIjoiZTVhMzU4YTY5NDEwMzFiNTNjMjY3ZDhlODhjMjIyYjMiLCJ1c2VySWQiOiI5NDYyODgwMDAifQ==</vt:lpwstr>
  </property>
</Properties>
</file>