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353803">
      <w:pPr>
        <w:jc w:val="center"/>
        <w:rPr>
          <w:rFonts w:hint="eastAsia" w:ascii="方正小标宋简体" w:hAnsi="方正小标宋简体" w:eastAsia="方正小标宋简体" w:cs="方正小标宋简体"/>
          <w:sz w:val="44"/>
          <w:szCs w:val="44"/>
        </w:rPr>
      </w:pPr>
    </w:p>
    <w:p w14:paraId="24DB8312">
      <w:pPr>
        <w:jc w:val="center"/>
        <w:rPr>
          <w:rFonts w:hint="eastAsia" w:ascii="方正小标宋简体" w:hAnsi="方正小标宋简体" w:eastAsia="方正小标宋简体" w:cs="方正小标宋简体"/>
          <w:sz w:val="44"/>
          <w:szCs w:val="44"/>
        </w:rPr>
      </w:pPr>
    </w:p>
    <w:p w14:paraId="139116C6">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广西质量协会团体标准</w:t>
      </w:r>
    </w:p>
    <w:p w14:paraId="1A1E9C33">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《互叶白千层加工生产技术规程》</w:t>
      </w:r>
    </w:p>
    <w:p w14:paraId="1209CBAD">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（征求意见稿）</w:t>
      </w:r>
    </w:p>
    <w:p w14:paraId="73967704">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编制说明</w:t>
      </w:r>
    </w:p>
    <w:p w14:paraId="707F17EB">
      <w:pPr>
        <w:rPr>
          <w:rFonts w:hint="eastAsia"/>
        </w:rPr>
      </w:pPr>
    </w:p>
    <w:p w14:paraId="65C87449">
      <w:pPr>
        <w:rPr>
          <w:rFonts w:hint="eastAsia"/>
        </w:rPr>
      </w:pPr>
    </w:p>
    <w:p w14:paraId="4C7BF261">
      <w:pPr>
        <w:rPr>
          <w:rFonts w:hint="eastAsia"/>
        </w:rPr>
      </w:pPr>
    </w:p>
    <w:p w14:paraId="756A0089">
      <w:pPr>
        <w:rPr>
          <w:rFonts w:hint="eastAsia"/>
        </w:rPr>
      </w:pPr>
    </w:p>
    <w:p w14:paraId="453FC3D2">
      <w:pPr>
        <w:rPr>
          <w:rFonts w:hint="eastAsia"/>
        </w:rPr>
      </w:pPr>
    </w:p>
    <w:p w14:paraId="5A7B2E84">
      <w:pPr>
        <w:rPr>
          <w:rFonts w:hint="eastAsia"/>
        </w:rPr>
      </w:pPr>
    </w:p>
    <w:p w14:paraId="30430FEB">
      <w:pPr>
        <w:rPr>
          <w:rFonts w:hint="eastAsia"/>
        </w:rPr>
      </w:pPr>
    </w:p>
    <w:p w14:paraId="5A4B275D">
      <w:pPr>
        <w:rPr>
          <w:rFonts w:hint="eastAsia"/>
        </w:rPr>
      </w:pPr>
    </w:p>
    <w:p w14:paraId="7F95D26D">
      <w:pPr>
        <w:rPr>
          <w:rFonts w:hint="eastAsia"/>
        </w:rPr>
      </w:pPr>
    </w:p>
    <w:p w14:paraId="0D869BF9">
      <w:pPr>
        <w:rPr>
          <w:rFonts w:hint="eastAsia"/>
        </w:rPr>
      </w:pPr>
    </w:p>
    <w:p w14:paraId="6D22ED45">
      <w:pPr>
        <w:rPr>
          <w:rFonts w:hint="eastAsia"/>
        </w:rPr>
      </w:pPr>
    </w:p>
    <w:p w14:paraId="2FDEDEFC">
      <w:pPr>
        <w:rPr>
          <w:rFonts w:hint="eastAsia"/>
        </w:rPr>
      </w:pPr>
    </w:p>
    <w:p w14:paraId="268F31D7">
      <w:pPr>
        <w:rPr>
          <w:rFonts w:hint="eastAsia"/>
        </w:rPr>
      </w:pPr>
    </w:p>
    <w:p w14:paraId="128D181F">
      <w:pPr>
        <w:rPr>
          <w:rFonts w:hint="eastAsia"/>
        </w:rPr>
      </w:pPr>
    </w:p>
    <w:p w14:paraId="23D09D37">
      <w:pPr>
        <w:rPr>
          <w:rFonts w:hint="eastAsia"/>
        </w:rPr>
      </w:pPr>
    </w:p>
    <w:p w14:paraId="552418AF">
      <w:pPr>
        <w:rPr>
          <w:rFonts w:hint="eastAsia"/>
        </w:rPr>
      </w:pPr>
    </w:p>
    <w:p w14:paraId="21007737">
      <w:pPr>
        <w:rPr>
          <w:rFonts w:hint="eastAsia"/>
        </w:rPr>
      </w:pPr>
    </w:p>
    <w:p w14:paraId="3612405A">
      <w:pPr>
        <w:rPr>
          <w:rFonts w:hint="eastAsia"/>
        </w:rPr>
      </w:pPr>
    </w:p>
    <w:p w14:paraId="185E7461">
      <w:pPr>
        <w:rPr>
          <w:rFonts w:hint="eastAsia"/>
        </w:rPr>
      </w:pPr>
    </w:p>
    <w:p w14:paraId="66EC1452">
      <w:pPr>
        <w:rPr>
          <w:rFonts w:hint="eastAsia"/>
        </w:rPr>
      </w:pPr>
    </w:p>
    <w:p w14:paraId="7F051388">
      <w:pPr>
        <w:rPr>
          <w:rFonts w:hint="eastAsia"/>
        </w:rPr>
      </w:pPr>
    </w:p>
    <w:p w14:paraId="67B8AEB4">
      <w:pPr>
        <w:rPr>
          <w:rFonts w:hint="eastAsia"/>
        </w:rPr>
      </w:pPr>
    </w:p>
    <w:p w14:paraId="443E7374">
      <w:pPr>
        <w:pStyle w:val="51"/>
        <w:ind w:firstLine="0" w:firstLineChars="0"/>
        <w:jc w:val="center"/>
        <w:rPr>
          <w:rFonts w:hint="eastAsia" w:ascii="黑体" w:hAnsi="黑体" w:eastAsia="黑体" w:cs="黑体"/>
          <w:sz w:val="32"/>
          <w:szCs w:val="32"/>
        </w:rPr>
      </w:pPr>
      <w:r>
        <w:rPr>
          <w:rFonts w:hint="eastAsia" w:ascii="黑体" w:hAnsi="黑体" w:eastAsia="黑体" w:cs="黑体"/>
          <w:sz w:val="32"/>
          <w:szCs w:val="32"/>
        </w:rPr>
        <w:t>广西壮族自治区林业科学研究院</w:t>
      </w:r>
    </w:p>
    <w:p w14:paraId="1C61A3C6">
      <w:pPr>
        <w:pStyle w:val="51"/>
        <w:ind w:firstLine="0" w:firstLineChars="0"/>
        <w:jc w:val="center"/>
        <w:rPr>
          <w:rFonts w:hint="eastAsia" w:ascii="黑体" w:hAnsi="黑体" w:eastAsia="黑体" w:cs="黑体"/>
          <w:sz w:val="32"/>
          <w:szCs w:val="32"/>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cols w:space="720" w:num="1"/>
          <w:docGrid w:type="lines" w:linePitch="312" w:charSpace="0"/>
        </w:sectPr>
      </w:pPr>
      <w:r>
        <w:rPr>
          <w:rFonts w:hint="eastAsia" w:ascii="黑体" w:hAnsi="黑体" w:eastAsia="黑体" w:cs="黑体"/>
          <w:sz w:val="32"/>
          <w:szCs w:val="32"/>
        </w:rPr>
        <w:t>2024.1</w:t>
      </w:r>
      <w:r>
        <w:rPr>
          <w:rFonts w:hint="eastAsia" w:ascii="黑体" w:hAnsi="黑体" w:eastAsia="黑体" w:cs="黑体"/>
          <w:sz w:val="32"/>
          <w:szCs w:val="32"/>
          <w:lang w:val="en-US" w:eastAsia="zh-CN"/>
        </w:rPr>
        <w:t>2</w:t>
      </w:r>
      <w:bookmarkStart w:id="2" w:name="_GoBack"/>
      <w:bookmarkEnd w:id="2"/>
    </w:p>
    <w:p w14:paraId="5543224F">
      <w:pPr>
        <w:autoSpaceDE w:val="0"/>
        <w:autoSpaceDN w:val="0"/>
        <w:adjustRightInd w:val="0"/>
        <w:spacing w:before="156" w:beforeLines="50" w:after="156" w:afterLines="50" w:line="52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一、任务来源及起草单位</w:t>
      </w:r>
    </w:p>
    <w:p w14:paraId="08C5BC4A">
      <w:pPr>
        <w:spacing w:line="520" w:lineRule="exact"/>
        <w:ind w:firstLine="600" w:firstLineChars="200"/>
        <w:rPr>
          <w:rFonts w:hint="eastAsia" w:eastAsia="仿宋_GB2312"/>
          <w:sz w:val="30"/>
          <w:szCs w:val="30"/>
        </w:rPr>
      </w:pPr>
      <w:r>
        <w:rPr>
          <w:rFonts w:hint="eastAsia" w:eastAsia="仿宋_GB2312"/>
          <w:sz w:val="30"/>
          <w:szCs w:val="30"/>
        </w:rPr>
        <w:t>由广西壮族自治区林业科学研究院提出，广西壮族自治区林业科学研究院、广西壮族自治区国有钦廉林场、广西壮族自治区中医药研究院、广西中药质量标准研究重点实验室、南宁市翔林生物科技有限公司共同起草的团体标准《互叶白千层加工生产技术规程》</w:t>
      </w:r>
      <w:r>
        <w:rPr>
          <w:rFonts w:hint="eastAsia" w:eastAsia="仿宋_GB2312"/>
          <w:sz w:val="30"/>
          <w:szCs w:val="30"/>
          <w:lang w:eastAsia="zh-CN"/>
        </w:rPr>
        <w:t>（</w:t>
      </w:r>
      <w:r>
        <w:rPr>
          <w:rFonts w:hint="eastAsia" w:eastAsia="仿宋_GB2312"/>
          <w:sz w:val="30"/>
          <w:szCs w:val="30"/>
          <w:lang w:val="en-US" w:eastAsia="zh-CN"/>
        </w:rPr>
        <w:t>2024.12.17日立项，立项编号2024-0303</w:t>
      </w:r>
      <w:r>
        <w:rPr>
          <w:rFonts w:hint="eastAsia" w:eastAsia="仿宋_GB2312"/>
          <w:sz w:val="30"/>
          <w:szCs w:val="30"/>
          <w:lang w:eastAsia="zh-CN"/>
        </w:rPr>
        <w:t>）</w:t>
      </w:r>
      <w:r>
        <w:rPr>
          <w:rFonts w:hint="eastAsia" w:eastAsia="仿宋_GB2312"/>
          <w:sz w:val="30"/>
          <w:szCs w:val="30"/>
        </w:rPr>
        <w:t>，为做好该规范编制项目的研究工作，确保人员落实、时间落实和任务落实，加强项目研究工作的指导和管理，确保各项工作的有效实施，特制定本编制方案。</w:t>
      </w:r>
      <w:r>
        <w:rPr>
          <w:rFonts w:eastAsia="仿宋_GB2312"/>
          <w:sz w:val="32"/>
          <w:szCs w:val="32"/>
        </w:rPr>
        <w:t xml:space="preserve"> </w:t>
      </w:r>
    </w:p>
    <w:p w14:paraId="458BE74E">
      <w:pPr>
        <w:numPr>
          <w:ilvl w:val="0"/>
          <w:numId w:val="9"/>
        </w:numPr>
        <w:autoSpaceDE w:val="0"/>
        <w:autoSpaceDN w:val="0"/>
        <w:adjustRightInd w:val="0"/>
        <w:spacing w:before="156" w:beforeLines="50" w:after="156" w:afterLines="50" w:line="520" w:lineRule="exact"/>
        <w:ind w:firstLine="640" w:firstLineChars="200"/>
        <w:jc w:val="left"/>
        <w:rPr>
          <w:rFonts w:hint="eastAsia" w:ascii="黑体" w:hAnsi="黑体" w:eastAsia="黑体" w:cs="仿宋_GB2312"/>
          <w:sz w:val="32"/>
          <w:szCs w:val="32"/>
        </w:rPr>
      </w:pPr>
      <w:r>
        <w:rPr>
          <w:rFonts w:hint="eastAsia" w:ascii="黑体" w:hAnsi="黑体" w:eastAsia="黑体" w:cs="仿宋_GB2312"/>
          <w:sz w:val="32"/>
          <w:szCs w:val="32"/>
        </w:rPr>
        <w:t>项目背景及目的意义</w:t>
      </w:r>
    </w:p>
    <w:p w14:paraId="5AEA03DE">
      <w:pPr>
        <w:spacing w:line="520" w:lineRule="exact"/>
        <w:ind w:firstLine="600" w:firstLineChars="200"/>
        <w:rPr>
          <w:rFonts w:hint="eastAsia" w:eastAsia="仿宋_GB2312"/>
          <w:sz w:val="30"/>
          <w:szCs w:val="30"/>
        </w:rPr>
      </w:pPr>
      <w:r>
        <w:rPr>
          <w:rFonts w:hint="eastAsia" w:eastAsia="仿宋_GB2312"/>
          <w:sz w:val="30"/>
          <w:szCs w:val="30"/>
        </w:rPr>
        <w:t>互叶白千层(Melaleuca alternifolia (Maiden &amp; Betche)Cheel)又称澳洲茶树，为小灌木，是桃金娘科白千层属植物，原产于澳大利亚，20世纪90年代在我国引种栽培，可一次种植，多次砍伐收获，利用其枝叶提取精油是互叶白千层的主要经济价值。互叶白千层（精）油，为无色至淡黄色液体又称澳洲茶树油或茶树油，被誉为澳洲黄金，气味清爽、芳香，有广谱杀菌、消炎作用，广泛用于化妆品、医药、食品保鲜、生物农药。</w:t>
      </w:r>
    </w:p>
    <w:p w14:paraId="3E1F2791">
      <w:pPr>
        <w:spacing w:line="520" w:lineRule="exact"/>
        <w:ind w:firstLine="600" w:firstLineChars="200"/>
        <w:rPr>
          <w:rFonts w:eastAsia="仿宋_GB2312"/>
          <w:sz w:val="30"/>
          <w:szCs w:val="30"/>
        </w:rPr>
      </w:pPr>
      <w:r>
        <w:rPr>
          <w:rFonts w:hint="eastAsia" w:eastAsia="仿宋_GB2312"/>
          <w:sz w:val="30"/>
          <w:szCs w:val="30"/>
        </w:rPr>
        <w:t>茶树油的生产都是采用水蒸汽蒸馏工艺，收集馏出液经油水分离，油相部分为茶树油，水相部分因为溶解了茶树油，作为茶树油的饱和或近饱和水溶液，通常称为茶树露，为无色至淡黄色的澄清水溶液，气微，具有茶树油的芳香味，其成分与茶树油接近，虽然浓度较低，但同样具有抗菌、消炎、杀虫、喷香、加湿、补水等功效，因其产量丰富，刺激性小，在杀菌消毒、喷香、加湿补水等领域有较好的应用潜力，合理的开发使用将大大提高互叶白千层的产业价值，部分地方已出现以茶树露为原料的消毒产品和芳香水剂。</w:t>
      </w:r>
    </w:p>
    <w:p w14:paraId="6437E208">
      <w:pPr>
        <w:spacing w:line="520" w:lineRule="exact"/>
        <w:ind w:firstLine="600" w:firstLineChars="200"/>
        <w:rPr>
          <w:rFonts w:eastAsia="仿宋_GB2312"/>
          <w:sz w:val="30"/>
          <w:szCs w:val="30"/>
        </w:rPr>
      </w:pPr>
      <w:r>
        <w:rPr>
          <w:rFonts w:hint="eastAsia" w:eastAsia="仿宋_GB2312"/>
          <w:sz w:val="30"/>
          <w:szCs w:val="30"/>
        </w:rPr>
        <w:t>目前互叶白千层被广泛种植，很多种植户自己加工生产，目前互叶白千层生产加工技术相对落后，且缺少相关的加工生产技术规程，为最大限度的保证精油的产量和品质，急需制定互叶白千层加工生产技术规程。本标准根据国家相关质量标准研究指导原则通过生产实践和科学研究，对互叶白千层的采收、茶树油和茶树露的生产加工技术进行规范，以解决产品质量参差不齐、技术创新不足、行业监管困难和市场信息不对称等问题，推动产业的可持续发展。</w:t>
      </w:r>
    </w:p>
    <w:p w14:paraId="7AC23976">
      <w:pPr>
        <w:spacing w:line="520" w:lineRule="exact"/>
        <w:ind w:firstLine="600" w:firstLineChars="200"/>
        <w:rPr>
          <w:rFonts w:eastAsia="仿宋_GB2312"/>
          <w:sz w:val="30"/>
          <w:szCs w:val="30"/>
        </w:rPr>
      </w:pPr>
      <w:r>
        <w:rPr>
          <w:rFonts w:hint="eastAsia" w:eastAsia="仿宋_GB2312"/>
          <w:sz w:val="30"/>
          <w:szCs w:val="30"/>
        </w:rPr>
        <w:t>目前已经发布的都是关于茶树精油的质量标准如GB/T 26514-2011《互叶白千层(精)油，松油烯-4-醇型[茶树(精)油]》；DB 45/T 889-2012《互叶白千层(精)油，1.8-桉叶素型》、《互叶白千层质量检验规程》、Q/WJHS 03-2014《复合精油松油烯-4-醇型》和互叶白千层的生产技术如《互叶白千层生产技术规程》、互叶白千层规范化种植操作规程(SOP)。关于采收及后续的精油生产过程还未有相关的标准可以参考。</w:t>
      </w:r>
    </w:p>
    <w:p w14:paraId="0BEB9825">
      <w:pPr>
        <w:spacing w:line="520" w:lineRule="exact"/>
        <w:ind w:firstLine="600" w:firstLineChars="200"/>
        <w:rPr>
          <w:rFonts w:eastAsia="仿宋_GB2312"/>
          <w:sz w:val="30"/>
          <w:szCs w:val="30"/>
        </w:rPr>
      </w:pPr>
      <w:r>
        <w:rPr>
          <w:rFonts w:hint="eastAsia" w:eastAsia="仿宋_GB2312"/>
          <w:sz w:val="30"/>
          <w:szCs w:val="30"/>
        </w:rPr>
        <w:t>广西国有钦廉林场和广西林科院承担了广西林业局项目“互叶白千层培育技术与利用”等项目，主要开展互叶白千层资源培育与加工利用。</w:t>
      </w:r>
    </w:p>
    <w:p w14:paraId="6A96DEE3">
      <w:pPr>
        <w:spacing w:line="520" w:lineRule="exact"/>
        <w:ind w:firstLine="600" w:firstLineChars="200"/>
        <w:rPr>
          <w:rFonts w:hint="eastAsia" w:eastAsia="仿宋_GB2312"/>
          <w:sz w:val="30"/>
          <w:szCs w:val="30"/>
        </w:rPr>
      </w:pPr>
      <w:r>
        <w:rPr>
          <w:rFonts w:hint="eastAsia" w:eastAsia="仿宋_GB2312"/>
          <w:sz w:val="30"/>
          <w:szCs w:val="30"/>
        </w:rPr>
        <w:t xml:space="preserve">（一）必要性 </w:t>
      </w:r>
    </w:p>
    <w:p w14:paraId="6089C72E">
      <w:pPr>
        <w:spacing w:line="520" w:lineRule="exact"/>
        <w:ind w:firstLine="600" w:firstLineChars="200"/>
        <w:rPr>
          <w:rFonts w:eastAsia="仿宋_GB2312"/>
          <w:sz w:val="30"/>
          <w:szCs w:val="30"/>
        </w:rPr>
      </w:pPr>
      <w:r>
        <w:rPr>
          <w:rFonts w:hint="eastAsia" w:eastAsia="仿宋_GB2312"/>
          <w:sz w:val="30"/>
          <w:szCs w:val="30"/>
        </w:rPr>
        <w:t>目前互叶白千层在广西种植推广超过2万亩，亩年产枝叶量大于3吨，每吨可提取精油</w:t>
      </w:r>
      <w:r>
        <w:rPr>
          <w:rFonts w:eastAsia="仿宋_GB2312"/>
          <w:sz w:val="30"/>
          <w:szCs w:val="30"/>
        </w:rPr>
        <w:t>8</w:t>
      </w:r>
      <w:r>
        <w:rPr>
          <w:rFonts w:hint="eastAsia" w:eastAsia="仿宋_GB2312"/>
          <w:sz w:val="30"/>
          <w:szCs w:val="30"/>
        </w:rPr>
        <w:t>公斤，每公斤</w:t>
      </w:r>
      <w:r>
        <w:rPr>
          <w:rFonts w:eastAsia="仿宋_GB2312"/>
          <w:sz w:val="30"/>
          <w:szCs w:val="30"/>
        </w:rPr>
        <w:t>200</w:t>
      </w:r>
      <w:r>
        <w:rPr>
          <w:rFonts w:hint="eastAsia" w:eastAsia="仿宋_GB2312"/>
          <w:sz w:val="30"/>
          <w:szCs w:val="30"/>
        </w:rPr>
        <w:t>元。精油主要以出口为主。因此，为保障互叶白千层采收后的成活率，最大程度的保障精油的产量和质量以及采收、加工生产的规范性，急需制定互叶白千层加工生产技术规程。</w:t>
      </w:r>
    </w:p>
    <w:p w14:paraId="351D13F1">
      <w:pPr>
        <w:spacing w:line="520" w:lineRule="exact"/>
        <w:ind w:firstLine="600" w:firstLineChars="200"/>
        <w:rPr>
          <w:rFonts w:hint="eastAsia" w:eastAsia="仿宋_GB2312"/>
          <w:sz w:val="30"/>
          <w:szCs w:val="30"/>
        </w:rPr>
      </w:pPr>
      <w:r>
        <w:rPr>
          <w:rFonts w:hint="eastAsia" w:eastAsia="仿宋_GB2312"/>
          <w:sz w:val="30"/>
          <w:szCs w:val="30"/>
        </w:rPr>
        <w:t>（二）紧迫性</w:t>
      </w:r>
    </w:p>
    <w:p w14:paraId="3369D989">
      <w:pPr>
        <w:spacing w:line="520" w:lineRule="exact"/>
        <w:ind w:firstLine="600" w:firstLineChars="200"/>
        <w:rPr>
          <w:rFonts w:hint="eastAsia" w:eastAsia="仿宋_GB2312"/>
          <w:sz w:val="30"/>
          <w:szCs w:val="30"/>
        </w:rPr>
      </w:pPr>
      <w:r>
        <w:rPr>
          <w:rFonts w:hint="eastAsia" w:eastAsia="仿宋_GB2312"/>
          <w:sz w:val="30"/>
          <w:szCs w:val="30"/>
        </w:rPr>
        <w:t>大量研究表明，不同的采收及蒸馏方式对精油产量和质量的影响极其显著。目前，还未有关于互叶白千层加工生产的技术规程。为推动互叶白千层精油及露向标准和高效化方向发展，急需制定《互叶白千层加工生产技术规程》。本技术规程的制定可填补该领域空白，为保障互叶白千层及其精油可持续发展提供技术支撑。</w:t>
      </w:r>
    </w:p>
    <w:p w14:paraId="6554ACD7">
      <w:pPr>
        <w:spacing w:line="520" w:lineRule="exact"/>
        <w:ind w:firstLine="600" w:firstLineChars="200"/>
        <w:rPr>
          <w:rFonts w:hint="eastAsia" w:eastAsia="仿宋_GB2312"/>
          <w:sz w:val="30"/>
          <w:szCs w:val="30"/>
        </w:rPr>
      </w:pPr>
      <w:r>
        <w:rPr>
          <w:rFonts w:hint="eastAsia" w:eastAsia="仿宋_GB2312"/>
          <w:sz w:val="30"/>
          <w:szCs w:val="30"/>
        </w:rPr>
        <w:t xml:space="preserve">（三）可行性 </w:t>
      </w:r>
    </w:p>
    <w:p w14:paraId="0F978619">
      <w:pPr>
        <w:spacing w:line="520" w:lineRule="exact"/>
        <w:ind w:firstLine="600" w:firstLineChars="200"/>
        <w:rPr>
          <w:rFonts w:eastAsia="仿宋_GB2312"/>
          <w:sz w:val="30"/>
          <w:szCs w:val="30"/>
        </w:rPr>
      </w:pPr>
      <w:r>
        <w:rPr>
          <w:rFonts w:hint="eastAsia" w:eastAsia="仿宋_GB2312"/>
          <w:sz w:val="30"/>
          <w:szCs w:val="30"/>
        </w:rPr>
        <w:t>广西壮族自治区林业科学研究院，拥有雄厚的技术力量和较好的研究基础，在互叶白千层种质资源收集、选优、无性繁育、加工利用等方面成效显著，获得了较大的经济和社会效益。此外，广西林科院的综合科技发展实力位居全国省属林业院所之首，在区内率先突破互叶白千层组培技术的单位，是唯一一家规模化生产互叶白千层组培苗的单位。截止2023年12月31日，承担标准制定项目302项（其中国家标准4项、行业标准27项、地方标准217项、团体标准54项），已经发布实施标准218项（其中国家标准4项、行业标准23项、地方标准168项、团体标准23项）。本项目中负责种苗繁育和采收，编制产品标准。</w:t>
      </w:r>
    </w:p>
    <w:p w14:paraId="5F22B7A4">
      <w:pPr>
        <w:spacing w:line="520" w:lineRule="exact"/>
        <w:ind w:firstLine="600" w:firstLineChars="200"/>
        <w:rPr>
          <w:rFonts w:eastAsia="仿宋_GB2312"/>
          <w:sz w:val="30"/>
          <w:szCs w:val="30"/>
        </w:rPr>
      </w:pPr>
      <w:r>
        <w:rPr>
          <w:rFonts w:hint="eastAsia" w:eastAsia="仿宋_GB2312"/>
          <w:sz w:val="30"/>
          <w:szCs w:val="30"/>
        </w:rPr>
        <w:t>广西国有钦廉林场建有全区最大的互叶白千层高效栽培示范基地和精油加工设备。被自治区人民政府认定为广西现代特色农业（三星级）核心示范区。标准主持人长期从事白千层组培育种工作，具有熟练的技术优势和深厚的理论基础。本项目中负责精油和茶树露的加工生产。</w:t>
      </w:r>
    </w:p>
    <w:p w14:paraId="1DF5563A">
      <w:pPr>
        <w:spacing w:line="520" w:lineRule="exact"/>
        <w:ind w:firstLine="600" w:firstLineChars="200"/>
        <w:rPr>
          <w:rFonts w:hint="eastAsia" w:eastAsia="仿宋_GB2312"/>
          <w:sz w:val="30"/>
          <w:szCs w:val="30"/>
        </w:rPr>
      </w:pPr>
      <w:r>
        <w:rPr>
          <w:rFonts w:hint="eastAsia" w:eastAsia="仿宋_GB2312"/>
          <w:sz w:val="30"/>
          <w:szCs w:val="30"/>
        </w:rPr>
        <w:t>广西壮族自治区中医药研究院、广西中药质量标准研究重点实验室，长期从事中药、中成药质量标准研究工作，起草建立多部中药标准，参与多项国家、行业、地方和团体标准的制定，具有丰富的质量标准研究经验，实验室具备完善的药物资源、药物成分、药效作用、标准开发的研究团队，拥有广西最先进的药物分析和质量检测设备，针对互叶白千层的化学成分及药效作用进行了长期和充分的研究，先后发表多篇文献，取得了可喜的成果。本项目中主要进行质量标准、理化指标的研究，建立分析测试方法，编制标准。几家单位通力合作，各自发挥优势，为标准制定顺利进行提供了保障。广西壮族自治区林业科学研究院相关部门设立了标准专项基金，为标准起草工作提供资金支持。</w:t>
      </w:r>
    </w:p>
    <w:p w14:paraId="53CD37F0">
      <w:pPr>
        <w:spacing w:line="520" w:lineRule="exact"/>
        <w:ind w:firstLine="600" w:firstLineChars="200"/>
        <w:rPr>
          <w:rFonts w:eastAsia="仿宋_GB2312"/>
          <w:sz w:val="30"/>
          <w:szCs w:val="30"/>
        </w:rPr>
      </w:pPr>
      <w:r>
        <w:rPr>
          <w:rFonts w:hint="eastAsia" w:eastAsia="仿宋_GB2312"/>
          <w:sz w:val="30"/>
          <w:szCs w:val="30"/>
        </w:rPr>
        <w:t>目前并无相关的标准制定，这在一定程度上导致了互叶白千层加工生产的盲目性，因此非常有必要制定互叶白千层加工生产技术规程。</w:t>
      </w:r>
    </w:p>
    <w:p w14:paraId="24A91983">
      <w:pPr>
        <w:spacing w:line="520" w:lineRule="exact"/>
        <w:ind w:firstLine="600" w:firstLineChars="200"/>
        <w:rPr>
          <w:rFonts w:hint="eastAsia" w:eastAsia="仿宋_GB2312"/>
          <w:sz w:val="30"/>
          <w:szCs w:val="30"/>
        </w:rPr>
      </w:pPr>
      <w:r>
        <w:rPr>
          <w:rFonts w:hint="eastAsia" w:eastAsia="仿宋_GB2312"/>
          <w:sz w:val="30"/>
          <w:szCs w:val="30"/>
        </w:rPr>
        <w:t>综上所述，制定该团体标准对产业发展具有重要的支撑作用，可以解决产品质量参差不齐、技术创新不足、行业监管困难和市场信息不对称等问题，推动产业的可持续发展。</w:t>
      </w:r>
    </w:p>
    <w:p w14:paraId="3CAD1761">
      <w:pPr>
        <w:autoSpaceDE w:val="0"/>
        <w:autoSpaceDN w:val="0"/>
        <w:adjustRightInd w:val="0"/>
        <w:spacing w:before="156" w:beforeLines="50" w:after="156" w:afterLines="50" w:line="520" w:lineRule="exact"/>
        <w:ind w:firstLine="640" w:firstLineChars="200"/>
        <w:jc w:val="left"/>
        <w:rPr>
          <w:rFonts w:hint="eastAsia" w:ascii="黑体" w:hAnsi="黑体" w:eastAsia="黑体" w:cs="仿宋_GB2312"/>
          <w:sz w:val="32"/>
          <w:szCs w:val="32"/>
        </w:rPr>
      </w:pPr>
      <w:r>
        <w:rPr>
          <w:rFonts w:hint="eastAsia" w:ascii="黑体" w:hAnsi="黑体" w:eastAsia="黑体" w:cs="仿宋_GB2312"/>
          <w:sz w:val="32"/>
          <w:szCs w:val="32"/>
        </w:rPr>
        <w:t>三、项目编制过程</w:t>
      </w:r>
    </w:p>
    <w:p w14:paraId="4D195276">
      <w:pPr>
        <w:spacing w:before="156" w:beforeLines="50" w:after="156" w:afterLines="50" w:line="520" w:lineRule="exact"/>
        <w:ind w:firstLine="600" w:firstLineChars="200"/>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（一）成立标准编制工作组</w:t>
      </w:r>
    </w:p>
    <w:p w14:paraId="0298DE28">
      <w:pPr>
        <w:spacing w:line="600" w:lineRule="exact"/>
        <w:ind w:firstLine="600" w:firstLineChars="200"/>
        <w:rPr>
          <w:rFonts w:eastAsia="仿宋_GB2312"/>
          <w:sz w:val="30"/>
          <w:szCs w:val="30"/>
        </w:rPr>
      </w:pPr>
      <w:r>
        <w:rPr>
          <w:rFonts w:hint="eastAsia" w:eastAsia="仿宋_GB2312"/>
          <w:sz w:val="30"/>
          <w:szCs w:val="30"/>
        </w:rPr>
        <w:t>团体标准《互叶白千层-加工生产技术规程》项目任务下达后，广西壮族自治区林业科学研究院将成立标准编制工作组，制定了起草编写方案与进度安排，明确任务职责，确定工作技术路线，开展标准研制工作。具体标准编制工作组成员如下：张晓宁，邓力，张烨，陆海燕，余玉珠，刘海龙，陈卫国，覃子海，莫云善，魏秋兰，陆艳柳，钟连香，李秋荔，肖玉菲，欧成军，林东，黄盛光，花育宁，罗秀坚，龙怀春, 袁健童，柴玲，刘布鸣、吴滢、刘毅。</w:t>
      </w:r>
    </w:p>
    <w:p w14:paraId="5DADBEB6">
      <w:pPr>
        <w:spacing w:line="60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四、标准制定原则和依据</w:t>
      </w:r>
    </w:p>
    <w:p w14:paraId="782E3B43">
      <w:pPr>
        <w:spacing w:before="156" w:beforeLines="50" w:after="156" w:afterLines="50" w:line="520" w:lineRule="exact"/>
        <w:ind w:firstLine="600" w:firstLineChars="200"/>
        <w:rPr>
          <w:rFonts w:eastAsia="仿宋_GB2312"/>
          <w:bCs/>
          <w:sz w:val="30"/>
          <w:szCs w:val="30"/>
        </w:rPr>
      </w:pPr>
      <w:r>
        <w:rPr>
          <w:rFonts w:eastAsia="仿宋_GB2312"/>
          <w:bCs/>
          <w:sz w:val="30"/>
          <w:szCs w:val="30"/>
        </w:rPr>
        <w:t>1. 编制原则</w:t>
      </w:r>
    </w:p>
    <w:p w14:paraId="32F5058C">
      <w:pPr>
        <w:spacing w:line="600" w:lineRule="exact"/>
        <w:ind w:firstLine="600" w:firstLineChars="200"/>
        <w:rPr>
          <w:rFonts w:hint="eastAsia" w:eastAsia="仿宋_GB2312"/>
          <w:sz w:val="30"/>
          <w:szCs w:val="30"/>
        </w:rPr>
      </w:pPr>
      <w:r>
        <w:rPr>
          <w:rFonts w:hint="eastAsia" w:eastAsia="仿宋_GB2312"/>
          <w:sz w:val="30"/>
          <w:szCs w:val="30"/>
        </w:rPr>
        <w:t>本文件适用于经水蒸汽蒸馏法以互叶白千层为原料生产（精）油和露的加工过程。本标准按照中华人民共和国标准GB/T 1.1-2020《标准化工作导则第1部分：标准化文件的结构和起草规则》的规定进行编写，内容和要求参考了相关法律法规，引用了现行有效的国家标准、行业标准。引用的具体标准和法律法规如下：</w:t>
      </w:r>
    </w:p>
    <w:p w14:paraId="117634DB">
      <w:pPr>
        <w:autoSpaceDE w:val="0"/>
        <w:autoSpaceDN w:val="0"/>
        <w:ind w:firstLine="600" w:firstLineChars="200"/>
        <w:jc w:val="both"/>
        <w:rPr>
          <w:rFonts w:ascii="宋体" w:hAnsi="Times New Roman" w:eastAsia="宋体" w:cs="Times New Roman"/>
          <w:sz w:val="30"/>
          <w:szCs w:val="30"/>
          <w:lang w:val="en-US" w:eastAsia="zh-CN" w:bidi="ar-SA"/>
        </w:rPr>
      </w:pPr>
      <w:r>
        <w:rPr>
          <w:rFonts w:hint="eastAsia" w:ascii="宋体" w:hAnsi="Times New Roman" w:eastAsia="宋体" w:cs="Times New Roman"/>
          <w:sz w:val="30"/>
          <w:szCs w:val="30"/>
          <w:lang w:val="en-US" w:eastAsia="zh-CN" w:bidi="ar-SA"/>
        </w:rPr>
        <w:t>GB 150（所有部分）压力容器</w:t>
      </w:r>
    </w:p>
    <w:p w14:paraId="5CC787A2">
      <w:pPr>
        <w:autoSpaceDE w:val="0"/>
        <w:autoSpaceDN w:val="0"/>
        <w:ind w:firstLine="600" w:firstLineChars="200"/>
        <w:jc w:val="both"/>
        <w:rPr>
          <w:rFonts w:ascii="宋体" w:hAnsi="Times New Roman" w:eastAsia="宋体" w:cs="Times New Roman"/>
          <w:sz w:val="30"/>
          <w:szCs w:val="30"/>
          <w:lang w:val="en-US" w:eastAsia="zh-CN" w:bidi="ar-SA"/>
        </w:rPr>
      </w:pPr>
      <w:r>
        <w:rPr>
          <w:rFonts w:hint="eastAsia" w:ascii="宋体" w:hAnsi="Times New Roman" w:eastAsia="宋体" w:cs="Times New Roman"/>
          <w:sz w:val="30"/>
          <w:szCs w:val="30"/>
          <w:lang w:val="en-US" w:eastAsia="zh-CN" w:bidi="ar-SA"/>
        </w:rPr>
        <w:t>GB/T 151 热交换器</w:t>
      </w:r>
    </w:p>
    <w:p w14:paraId="17A4778C">
      <w:pPr>
        <w:autoSpaceDE w:val="0"/>
        <w:autoSpaceDN w:val="0"/>
        <w:ind w:firstLine="600" w:firstLineChars="200"/>
        <w:jc w:val="both"/>
        <w:rPr>
          <w:rFonts w:ascii="宋体" w:hAnsi="Times New Roman" w:eastAsia="宋体" w:cs="Times New Roman"/>
          <w:sz w:val="30"/>
          <w:szCs w:val="30"/>
          <w:lang w:val="en-US" w:eastAsia="zh-CN" w:bidi="ar-SA"/>
        </w:rPr>
      </w:pPr>
      <w:r>
        <w:rPr>
          <w:rFonts w:hint="eastAsia" w:ascii="宋体" w:hAnsi="Times New Roman" w:eastAsia="宋体" w:cs="Times New Roman"/>
          <w:sz w:val="30"/>
          <w:szCs w:val="30"/>
          <w:lang w:val="en-US" w:eastAsia="zh-CN" w:bidi="ar-SA"/>
        </w:rPr>
        <w:t>GB 5749 生活饮用水卫生标准</w:t>
      </w:r>
    </w:p>
    <w:p w14:paraId="6183CE14">
      <w:pPr>
        <w:autoSpaceDE w:val="0"/>
        <w:autoSpaceDN w:val="0"/>
        <w:ind w:firstLine="600" w:firstLineChars="200"/>
        <w:jc w:val="both"/>
        <w:rPr>
          <w:rFonts w:ascii="宋体" w:hAnsi="Times New Roman" w:eastAsia="宋体" w:cs="Times New Roman"/>
          <w:sz w:val="30"/>
          <w:szCs w:val="30"/>
          <w:lang w:val="en-US" w:eastAsia="zh-CN" w:bidi="ar-SA"/>
        </w:rPr>
      </w:pPr>
      <w:r>
        <w:rPr>
          <w:rFonts w:hint="eastAsia" w:ascii="宋体" w:hAnsi="Times New Roman" w:eastAsia="宋体" w:cs="Times New Roman"/>
          <w:sz w:val="30"/>
          <w:szCs w:val="30"/>
          <w:lang w:val="en-US" w:eastAsia="zh-CN" w:bidi="ar-SA"/>
        </w:rPr>
        <w:t>GB/T 20801.1 压力管道规范 工业管道 第1部分：总则</w:t>
      </w:r>
    </w:p>
    <w:p w14:paraId="5648DF7B">
      <w:pPr>
        <w:autoSpaceDE w:val="0"/>
        <w:autoSpaceDN w:val="0"/>
        <w:ind w:firstLine="600" w:firstLineChars="200"/>
        <w:jc w:val="both"/>
        <w:rPr>
          <w:rFonts w:ascii="宋体" w:hAnsi="Times New Roman" w:eastAsia="宋体" w:cs="Times New Roman"/>
          <w:sz w:val="30"/>
          <w:szCs w:val="30"/>
          <w:lang w:val="en-US" w:eastAsia="zh-CN" w:bidi="ar-SA"/>
        </w:rPr>
      </w:pPr>
      <w:r>
        <w:rPr>
          <w:rFonts w:hint="eastAsia" w:ascii="宋体" w:hAnsi="Times New Roman" w:eastAsia="宋体" w:cs="Times New Roman"/>
          <w:sz w:val="30"/>
          <w:szCs w:val="30"/>
          <w:lang w:val="en-US" w:eastAsia="zh-CN" w:bidi="ar-SA"/>
        </w:rPr>
        <w:t>GB/T 33000 企业安全生产标准化基本规范</w:t>
      </w:r>
    </w:p>
    <w:p w14:paraId="43C970C4">
      <w:pPr>
        <w:autoSpaceDE w:val="0"/>
        <w:autoSpaceDN w:val="0"/>
        <w:ind w:firstLine="600" w:firstLineChars="200"/>
        <w:jc w:val="both"/>
        <w:rPr>
          <w:rFonts w:hint="eastAsia" w:eastAsia="仿宋_GB2312"/>
          <w:sz w:val="30"/>
          <w:szCs w:val="30"/>
          <w:highlight w:val="yellow"/>
        </w:rPr>
      </w:pPr>
      <w:r>
        <w:rPr>
          <w:rFonts w:hint="eastAsia" w:ascii="宋体" w:hAnsi="Times New Roman" w:eastAsia="宋体" w:cs="Times New Roman"/>
          <w:sz w:val="30"/>
          <w:szCs w:val="30"/>
          <w:lang w:val="en-US" w:eastAsia="zh-CN" w:bidi="ar-SA"/>
        </w:rPr>
        <w:t>GBZ 1 工业企业设计卫生标准</w:t>
      </w:r>
    </w:p>
    <w:p w14:paraId="5CC5CC94">
      <w:pPr>
        <w:spacing w:line="600" w:lineRule="exact"/>
        <w:ind w:firstLine="600" w:firstLineChars="200"/>
        <w:rPr>
          <w:rFonts w:eastAsia="仿宋_GB2312"/>
          <w:sz w:val="30"/>
          <w:szCs w:val="30"/>
        </w:rPr>
      </w:pPr>
      <w:r>
        <w:rPr>
          <w:rFonts w:hint="eastAsia" w:eastAsia="仿宋_GB2312"/>
          <w:sz w:val="30"/>
          <w:szCs w:val="30"/>
        </w:rPr>
        <w:t>本文件确立了互叶白千层加工生产的程序，界定了互叶白千层加工生产技术涉及的术语和定义，规定了互叶白千层（精）油/露生产过程中的原料、设备、生产用水、生产环境、生产安全的要求，以及生产准备、原料预处理、装料、蒸馏、收集、包装、运输、贮存、生产记录等各阶段的操作指示。</w:t>
      </w:r>
    </w:p>
    <w:p w14:paraId="2BEAEB25">
      <w:pPr>
        <w:spacing w:line="600" w:lineRule="exact"/>
        <w:ind w:firstLine="600" w:firstLineChars="200"/>
        <w:rPr>
          <w:rFonts w:hint="eastAsia" w:eastAsia="仿宋_GB2312"/>
          <w:sz w:val="30"/>
          <w:szCs w:val="30"/>
        </w:rPr>
      </w:pPr>
      <w:r>
        <w:rPr>
          <w:rFonts w:hint="eastAsia" w:eastAsia="仿宋_GB2312"/>
          <w:sz w:val="30"/>
          <w:szCs w:val="30"/>
        </w:rPr>
        <w:t>本标准制定以互叶白千层加工生产技术研究的数据为基础，以推进互叶白千层加工生产标准化，实现枝叶高效利用，出油率高、精油和露品质好，促进产业融合发展等。遵循科学性、先进性、合理性和适用性的原则，力求做到科学规范、指标准确、可操作性强，既与国家相关标准接轨，又符合广西实际情况，具有较强的实用性，对互叶白千层产业发展有积极的推动作用。</w:t>
      </w:r>
    </w:p>
    <w:p w14:paraId="2A6E367D">
      <w:pPr>
        <w:spacing w:line="600" w:lineRule="exact"/>
        <w:ind w:firstLine="600" w:firstLineChars="200"/>
        <w:rPr>
          <w:rFonts w:hint="eastAsia" w:eastAsia="仿宋_GB2312"/>
          <w:sz w:val="30"/>
          <w:szCs w:val="30"/>
        </w:rPr>
      </w:pPr>
      <w:r>
        <w:rPr>
          <w:rFonts w:hint="eastAsia" w:eastAsia="仿宋_GB2312"/>
          <w:sz w:val="30"/>
          <w:szCs w:val="30"/>
        </w:rPr>
        <w:t>本标准编写过程中注意与互叶白千层加工生产相关法律法规的协调问题，在内容上与现行法律法规、标准协调一致。</w:t>
      </w:r>
    </w:p>
    <w:p w14:paraId="2C6D87BC">
      <w:pPr>
        <w:spacing w:line="600" w:lineRule="exact"/>
        <w:ind w:firstLine="600" w:firstLineChars="200"/>
        <w:rPr>
          <w:rFonts w:hint="eastAsia" w:eastAsia="仿宋_GB2312"/>
          <w:sz w:val="30"/>
          <w:szCs w:val="30"/>
        </w:rPr>
      </w:pPr>
      <w:r>
        <w:rPr>
          <w:rFonts w:hint="eastAsia" w:eastAsia="仿宋_GB2312"/>
          <w:sz w:val="30"/>
          <w:szCs w:val="30"/>
        </w:rPr>
        <w:t>2. 编制依据</w:t>
      </w:r>
    </w:p>
    <w:p w14:paraId="32FF3307">
      <w:pPr>
        <w:spacing w:line="600" w:lineRule="exact"/>
        <w:ind w:firstLine="600" w:firstLineChars="200"/>
        <w:rPr>
          <w:rFonts w:hint="eastAsia" w:eastAsia="仿宋_GB2312"/>
          <w:sz w:val="30"/>
          <w:szCs w:val="30"/>
        </w:rPr>
      </w:pPr>
      <w:r>
        <w:rPr>
          <w:rFonts w:hint="eastAsia" w:eastAsia="仿宋_GB2312"/>
          <w:sz w:val="30"/>
          <w:szCs w:val="30"/>
        </w:rPr>
        <w:t>本标准各项技术指标确定的依据，主要是经过多年对互叶白千层加工生产的实践经验和科学数据，促进产业融合发展等的优化、熟化，系统的分析总结。</w:t>
      </w:r>
    </w:p>
    <w:p w14:paraId="137B57E6">
      <w:pPr>
        <w:numPr>
          <w:ilvl w:val="0"/>
          <w:numId w:val="10"/>
        </w:numPr>
        <w:spacing w:line="600" w:lineRule="exact"/>
        <w:ind w:firstLine="600" w:firstLineChars="200"/>
        <w:rPr>
          <w:rFonts w:hint="eastAsia" w:eastAsia="仿宋_GB2312"/>
          <w:sz w:val="30"/>
          <w:szCs w:val="30"/>
        </w:rPr>
      </w:pPr>
      <w:r>
        <w:rPr>
          <w:rFonts w:hint="eastAsia" w:eastAsia="仿宋_GB2312"/>
          <w:sz w:val="30"/>
          <w:szCs w:val="30"/>
        </w:rPr>
        <w:t>关键技术指标依据</w:t>
      </w:r>
    </w:p>
    <w:p w14:paraId="4355B59A">
      <w:pPr>
        <w:spacing w:line="600" w:lineRule="exact"/>
        <w:rPr>
          <w:rFonts w:eastAsia="仿宋_GB2312"/>
          <w:sz w:val="30"/>
          <w:szCs w:val="30"/>
        </w:rPr>
      </w:pPr>
      <w:r>
        <w:rPr>
          <w:rFonts w:hint="eastAsia" w:eastAsia="仿宋_GB2312"/>
          <w:sz w:val="30"/>
          <w:szCs w:val="30"/>
        </w:rPr>
        <w:t xml:space="preserve">     本文件规定了互叶白千层采收时间、两次采收时间间隔、伐桩高度、打捆、切割、装料、蒸馏、收集、包装、运输、贮存等。</w:t>
      </w:r>
    </w:p>
    <w:p w14:paraId="0E5A4B1E">
      <w:pPr>
        <w:spacing w:line="600" w:lineRule="exact"/>
        <w:ind w:firstLine="602" w:firstLineChars="200"/>
        <w:rPr>
          <w:rFonts w:hint="eastAsia" w:eastAsia="仿宋_GB2312"/>
          <w:b/>
          <w:bCs/>
          <w:sz w:val="30"/>
          <w:szCs w:val="30"/>
        </w:rPr>
      </w:pPr>
      <w:r>
        <w:rPr>
          <w:rFonts w:hint="eastAsia" w:eastAsia="仿宋_GB2312"/>
          <w:b/>
          <w:bCs/>
          <w:sz w:val="30"/>
          <w:szCs w:val="30"/>
        </w:rPr>
        <w:t>3.1 试验方法</w:t>
      </w:r>
    </w:p>
    <w:p w14:paraId="720B0247">
      <w:pPr>
        <w:spacing w:line="600" w:lineRule="exact"/>
        <w:ind w:firstLine="600" w:firstLineChars="200"/>
        <w:rPr>
          <w:rFonts w:hint="eastAsia" w:eastAsia="仿宋_GB2312"/>
          <w:sz w:val="30"/>
          <w:szCs w:val="30"/>
        </w:rPr>
      </w:pPr>
      <w:r>
        <w:rPr>
          <w:rFonts w:hint="eastAsia" w:eastAsia="仿宋_GB2312"/>
          <w:sz w:val="30"/>
          <w:szCs w:val="30"/>
          <w:highlight w:val="lightGray"/>
        </w:rPr>
        <w:t>（1）</w:t>
      </w:r>
      <w:r>
        <w:rPr>
          <w:rFonts w:hint="eastAsia" w:eastAsia="仿宋_GB2312"/>
          <w:sz w:val="30"/>
          <w:szCs w:val="30"/>
        </w:rPr>
        <w:t>不同采伐时间对得油率和主效成分松油烯-4-醇的影响</w:t>
      </w:r>
    </w:p>
    <w:p w14:paraId="0ACEAA97">
      <w:pPr>
        <w:spacing w:line="600" w:lineRule="exact"/>
        <w:ind w:firstLine="600" w:firstLineChars="200"/>
        <w:rPr>
          <w:rFonts w:hint="eastAsia" w:eastAsia="仿宋_GB2312"/>
          <w:sz w:val="30"/>
          <w:szCs w:val="30"/>
          <w:highlight w:val="none"/>
        </w:rPr>
      </w:pPr>
      <w:r>
        <w:rPr>
          <w:rFonts w:hint="eastAsia" w:eastAsia="仿宋_GB2312"/>
          <w:sz w:val="30"/>
          <w:szCs w:val="30"/>
        </w:rPr>
        <w:t>针对不同月份的互叶白千层枝叶提取精油，测定含油率及精油主要成分。以确定最佳采伐时间。采用水蒸气蒸馏法提取精油，按样品鲜重计算产油率（湿基产油率），应用气相色谱-质谱联用技术（岛津QP5050A 气质联用仪）和气相色谱仪（Agilent7890A）分析测定所提取精油的化学成分及含量。精油的提取及成分的测定由广西林科院林化所完成，</w:t>
      </w:r>
      <w:r>
        <w:rPr>
          <w:rFonts w:hint="eastAsia" w:eastAsia="仿宋_GB2312"/>
          <w:sz w:val="30"/>
          <w:szCs w:val="30"/>
          <w:highlight w:val="none"/>
        </w:rPr>
        <w:t>方法参照陈海燕等[27]和梁忠云等[14]的方法。</w:t>
      </w:r>
    </w:p>
    <w:p w14:paraId="678F33F1">
      <w:pPr>
        <w:spacing w:line="600" w:lineRule="exact"/>
        <w:ind w:firstLine="600" w:firstLineChars="200"/>
        <w:rPr>
          <w:rFonts w:hint="eastAsia" w:eastAsia="仿宋_GB2312"/>
          <w:sz w:val="30"/>
          <w:szCs w:val="30"/>
          <w:highlight w:val="none"/>
          <w:lang w:val="en-US" w:eastAsia="zh-CN"/>
        </w:rPr>
      </w:pPr>
      <w:r>
        <w:rPr>
          <w:rFonts w:hint="eastAsia" w:eastAsia="仿宋_GB2312"/>
          <w:sz w:val="30"/>
          <w:szCs w:val="30"/>
          <w:highlight w:val="none"/>
          <w:lang w:val="en-US" w:eastAsia="zh-CN"/>
        </w:rPr>
        <w:t>梁忠云，李桂珍，陈海燕，等. 白千层油生化类型的研究[J]. 林业科技开发，2014，28（3）：90-93.</w:t>
      </w:r>
    </w:p>
    <w:p w14:paraId="512C90DC">
      <w:pPr>
        <w:spacing w:line="600" w:lineRule="exact"/>
        <w:ind w:firstLine="600" w:firstLineChars="200"/>
        <w:rPr>
          <w:rFonts w:hint="eastAsia" w:eastAsia="仿宋_GB2312"/>
          <w:sz w:val="30"/>
          <w:szCs w:val="30"/>
          <w:highlight w:val="yellow"/>
        </w:rPr>
      </w:pPr>
      <w:r>
        <w:rPr>
          <w:rFonts w:hint="eastAsia" w:eastAsia="仿宋_GB2312"/>
          <w:sz w:val="30"/>
          <w:szCs w:val="30"/>
          <w:highlight w:val="none"/>
          <w:lang w:val="en-US" w:eastAsia="zh-CN"/>
        </w:rPr>
        <w:t>陈海燕，李桂珍，梁校彰，等. 4-松油醇型澳洲茶树油产品质量的研究[J]. 广西林业科学，2019，48（1）：104-107.</w:t>
      </w:r>
    </w:p>
    <w:p w14:paraId="34CF347F">
      <w:pPr>
        <w:numPr>
          <w:ilvl w:val="0"/>
          <w:numId w:val="11"/>
        </w:numPr>
        <w:spacing w:line="600" w:lineRule="exact"/>
        <w:ind w:firstLine="600"/>
        <w:rPr>
          <w:rFonts w:eastAsia="仿宋_GB2312"/>
          <w:sz w:val="30"/>
          <w:szCs w:val="30"/>
        </w:rPr>
      </w:pPr>
      <w:r>
        <w:rPr>
          <w:rFonts w:hint="eastAsia" w:eastAsia="仿宋_GB2312"/>
          <w:sz w:val="30"/>
          <w:szCs w:val="30"/>
        </w:rPr>
        <w:t>不同伐桩高度对互叶白千层萌芽更新的试验</w:t>
      </w:r>
    </w:p>
    <w:p w14:paraId="57FBF282">
      <w:pPr>
        <w:spacing w:line="600" w:lineRule="exact"/>
        <w:ind w:firstLine="600" w:firstLineChars="200"/>
        <w:rPr>
          <w:rFonts w:hint="eastAsia" w:eastAsia="仿宋_GB2312"/>
          <w:sz w:val="30"/>
          <w:szCs w:val="30"/>
        </w:rPr>
      </w:pPr>
      <w:r>
        <w:rPr>
          <w:rFonts w:hint="eastAsia" w:eastAsia="仿宋_GB2312"/>
          <w:sz w:val="30"/>
          <w:szCs w:val="30"/>
        </w:rPr>
        <w:t xml:space="preserve">采用单因素随机区组设计，选择立地条件一致的林地，对互叶白千层进行不同伐桩高度试验处理。此试验共设置 </w:t>
      </w:r>
      <w:r>
        <w:rPr>
          <w:rFonts w:eastAsia="仿宋_GB2312"/>
          <w:sz w:val="30"/>
          <w:szCs w:val="30"/>
        </w:rPr>
        <w:t>4</w:t>
      </w:r>
      <w:r>
        <w:rPr>
          <w:rFonts w:hint="eastAsia" w:eastAsia="仿宋_GB2312"/>
          <w:sz w:val="30"/>
          <w:szCs w:val="30"/>
        </w:rPr>
        <w:t xml:space="preserve"> 个处理，分别为处理T 1（伐桩高度为</w:t>
      </w:r>
      <w:r>
        <w:rPr>
          <w:rFonts w:eastAsia="仿宋_GB2312"/>
          <w:sz w:val="30"/>
          <w:szCs w:val="30"/>
        </w:rPr>
        <w:t>5</w:t>
      </w:r>
      <w:r>
        <w:rPr>
          <w:rFonts w:hint="eastAsia" w:eastAsia="仿宋_GB2312"/>
          <w:sz w:val="30"/>
          <w:szCs w:val="30"/>
        </w:rPr>
        <w:t>～</w:t>
      </w:r>
      <w:r>
        <w:rPr>
          <w:rFonts w:eastAsia="仿宋_GB2312"/>
          <w:sz w:val="30"/>
          <w:szCs w:val="30"/>
        </w:rPr>
        <w:t>1</w:t>
      </w:r>
      <w:r>
        <w:rPr>
          <w:rFonts w:hint="eastAsia" w:eastAsia="仿宋_GB2312"/>
          <w:sz w:val="30"/>
          <w:szCs w:val="30"/>
        </w:rPr>
        <w:t>0 cm）、处理T 2（伐桩高度为</w:t>
      </w:r>
      <w:r>
        <w:rPr>
          <w:rFonts w:eastAsia="仿宋_GB2312"/>
          <w:sz w:val="30"/>
          <w:szCs w:val="30"/>
        </w:rPr>
        <w:t>1</w:t>
      </w:r>
      <w:r>
        <w:rPr>
          <w:rFonts w:hint="eastAsia" w:eastAsia="仿宋_GB2312"/>
          <w:sz w:val="30"/>
          <w:szCs w:val="30"/>
        </w:rPr>
        <w:t>0～</w:t>
      </w:r>
      <w:r>
        <w:rPr>
          <w:rFonts w:eastAsia="仿宋_GB2312"/>
          <w:sz w:val="30"/>
          <w:szCs w:val="30"/>
        </w:rPr>
        <w:t>20</w:t>
      </w:r>
      <w:r>
        <w:rPr>
          <w:rFonts w:hint="eastAsia" w:eastAsia="仿宋_GB2312"/>
          <w:sz w:val="30"/>
          <w:szCs w:val="30"/>
        </w:rPr>
        <w:t>cm）、处理 T3（伐桩高度为 20～</w:t>
      </w:r>
      <w:r>
        <w:rPr>
          <w:rFonts w:eastAsia="仿宋_GB2312"/>
          <w:sz w:val="30"/>
          <w:szCs w:val="30"/>
        </w:rPr>
        <w:t>30</w:t>
      </w:r>
      <w:r>
        <w:rPr>
          <w:rFonts w:hint="eastAsia" w:eastAsia="仿宋_GB2312"/>
          <w:sz w:val="30"/>
          <w:szCs w:val="30"/>
        </w:rPr>
        <w:t xml:space="preserve"> cm）、处理 T</w:t>
      </w:r>
      <w:r>
        <w:rPr>
          <w:rFonts w:eastAsia="仿宋_GB2312"/>
          <w:sz w:val="30"/>
          <w:szCs w:val="30"/>
        </w:rPr>
        <w:t>4</w:t>
      </w:r>
      <w:r>
        <w:rPr>
          <w:rFonts w:hint="eastAsia" w:eastAsia="仿宋_GB2312"/>
          <w:sz w:val="30"/>
          <w:szCs w:val="30"/>
        </w:rPr>
        <w:t>（伐桩高度为</w:t>
      </w:r>
      <w:r>
        <w:rPr>
          <w:rFonts w:eastAsia="仿宋_GB2312"/>
          <w:sz w:val="30"/>
          <w:szCs w:val="30"/>
        </w:rPr>
        <w:t>3</w:t>
      </w:r>
      <w:r>
        <w:rPr>
          <w:rFonts w:hint="eastAsia" w:eastAsia="仿宋_GB2312"/>
          <w:sz w:val="30"/>
          <w:szCs w:val="30"/>
        </w:rPr>
        <w:t>0～</w:t>
      </w:r>
      <w:r>
        <w:rPr>
          <w:rFonts w:eastAsia="仿宋_GB2312"/>
          <w:sz w:val="30"/>
          <w:szCs w:val="30"/>
        </w:rPr>
        <w:t>40</w:t>
      </w:r>
      <w:r>
        <w:rPr>
          <w:rFonts w:hint="eastAsia" w:eastAsia="仿宋_GB2312"/>
          <w:sz w:val="30"/>
          <w:szCs w:val="30"/>
        </w:rPr>
        <w:t xml:space="preserve"> cm）。每处理3次重复，共计</w:t>
      </w:r>
      <w:r>
        <w:rPr>
          <w:rFonts w:eastAsia="仿宋_GB2312"/>
          <w:sz w:val="30"/>
          <w:szCs w:val="30"/>
        </w:rPr>
        <w:t>12</w:t>
      </w:r>
      <w:r>
        <w:rPr>
          <w:rFonts w:hint="eastAsia" w:eastAsia="仿宋_GB2312"/>
          <w:sz w:val="30"/>
          <w:szCs w:val="30"/>
        </w:rPr>
        <w:t>个标准样地，每标准样地栽有互叶白千层</w:t>
      </w:r>
      <w:r>
        <w:rPr>
          <w:rFonts w:eastAsia="仿宋_GB2312"/>
          <w:sz w:val="30"/>
          <w:szCs w:val="30"/>
        </w:rPr>
        <w:t>1000</w:t>
      </w:r>
      <w:r>
        <w:rPr>
          <w:rFonts w:hint="eastAsia" w:eastAsia="仿宋_GB2312"/>
          <w:sz w:val="30"/>
          <w:szCs w:val="30"/>
        </w:rPr>
        <w:t>株，标准样地规格为1亩。各标准样地均采用相同的抚育技术及管理措施，并确保各标准样地之间的直线距离不超过100 m。调查各处理互叶白千层的成活情况（死株数量、成活株数、成活率=成活株数量/</w:t>
      </w:r>
      <w:r>
        <w:rPr>
          <w:rFonts w:eastAsia="仿宋_GB2312"/>
          <w:sz w:val="30"/>
          <w:szCs w:val="30"/>
        </w:rPr>
        <w:t>样地总栽种数量×100%</w:t>
      </w:r>
      <w:r>
        <w:rPr>
          <w:rFonts w:hint="eastAsia" w:eastAsia="仿宋_GB2312"/>
          <w:sz w:val="30"/>
          <w:szCs w:val="30"/>
        </w:rPr>
        <w:t>）、萌芽能力及生长量等指标。</w:t>
      </w:r>
    </w:p>
    <w:p w14:paraId="6FE0D930">
      <w:pPr>
        <w:numPr>
          <w:ilvl w:val="0"/>
          <w:numId w:val="11"/>
        </w:numPr>
        <w:spacing w:line="600" w:lineRule="exact"/>
        <w:ind w:left="0" w:leftChars="0" w:firstLine="600" w:firstLineChars="0"/>
        <w:rPr>
          <w:rFonts w:hint="eastAsia" w:eastAsia="仿宋_GB2312"/>
          <w:sz w:val="30"/>
          <w:szCs w:val="30"/>
          <w:lang w:val="en-US" w:eastAsia="zh-CN"/>
        </w:rPr>
      </w:pPr>
      <w:r>
        <w:rPr>
          <w:rFonts w:hint="eastAsia" w:eastAsia="仿宋_GB2312"/>
          <w:sz w:val="30"/>
          <w:szCs w:val="30"/>
          <w:lang w:val="en-US" w:eastAsia="zh-CN"/>
        </w:rPr>
        <w:t>生产设备</w:t>
      </w:r>
    </w:p>
    <w:p w14:paraId="2714E56E">
      <w:pPr>
        <w:pStyle w:val="47"/>
        <w:keepNext w:val="0"/>
        <w:keepLines w:val="0"/>
        <w:pageBreakBefore w:val="0"/>
        <w:widowControl/>
        <w:numPr>
          <w:ilvl w:val="0"/>
          <w:numId w:val="0"/>
        </w:numPr>
        <w:kinsoku/>
        <w:wordWrap/>
        <w:overflowPunct/>
        <w:topLinePunct w:val="0"/>
        <w:autoSpaceDE/>
        <w:autoSpaceDN/>
        <w:bidi w:val="0"/>
        <w:adjustRightInd/>
        <w:snapToGrid/>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生产设备包括但不限于a) 切碎机；b)锅炉；c）蒸馏锅；d）冷凝冷却器；e）油水分离器；f）产品收集器。</w:t>
      </w:r>
    </w:p>
    <w:p w14:paraId="0284FB3E">
      <w:pPr>
        <w:numPr>
          <w:ilvl w:val="0"/>
          <w:numId w:val="11"/>
        </w:numPr>
        <w:spacing w:line="600" w:lineRule="exact"/>
        <w:ind w:left="0" w:leftChars="0" w:firstLine="600" w:firstLineChars="0"/>
        <w:rPr>
          <w:rFonts w:hint="default" w:eastAsia="仿宋_GB2312"/>
          <w:sz w:val="30"/>
          <w:szCs w:val="30"/>
          <w:lang w:val="en-US" w:eastAsia="zh-CN"/>
        </w:rPr>
      </w:pPr>
      <w:r>
        <w:rPr>
          <w:rFonts w:hint="eastAsia" w:eastAsia="仿宋_GB2312"/>
          <w:sz w:val="30"/>
          <w:szCs w:val="30"/>
          <w:lang w:val="en-US" w:eastAsia="zh-CN"/>
        </w:rPr>
        <w:t>生产工艺</w:t>
      </w:r>
    </w:p>
    <w:p w14:paraId="3D7AE59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生产工艺包括原料处理-装料-切割-水蒸气蒸馏-冷凝-油水分离-互叶白千层精油/茶树露的收集-包装。</w:t>
      </w:r>
    </w:p>
    <w:p w14:paraId="190C6AC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20" w:firstLineChars="200"/>
        <w:textAlignment w:val="auto"/>
        <w:rPr>
          <w:rFonts w:hint="default" w:eastAsia="仿宋_GB2312"/>
          <w:sz w:val="30"/>
          <w:szCs w:val="30"/>
          <w:lang w:val="en-US" w:eastAsia="zh-CN"/>
        </w:rPr>
      </w:pPr>
      <w:r>
        <w:drawing>
          <wp:anchor distT="0" distB="0" distL="0" distR="0" simplePos="0" relativeHeight="251665408" behindDoc="0" locked="0" layoutInCell="1" allowOverlap="1">
            <wp:simplePos x="0" y="0"/>
            <wp:positionH relativeFrom="column">
              <wp:posOffset>343535</wp:posOffset>
            </wp:positionH>
            <wp:positionV relativeFrom="paragraph">
              <wp:posOffset>206375</wp:posOffset>
            </wp:positionV>
            <wp:extent cx="5181600" cy="1896110"/>
            <wp:effectExtent l="0" t="0" r="0" b="889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rcRect l="3993" t="12658" r="9202" b="30849"/>
                    <a:stretch>
                      <a:fillRect/>
                    </a:stretch>
                  </pic:blipFill>
                  <pic:spPr>
                    <a:xfrm>
                      <a:off x="0" y="0"/>
                      <a:ext cx="5184021" cy="1897352"/>
                    </a:xfrm>
                    <a:prstGeom prst="rect">
                      <a:avLst/>
                    </a:prstGeom>
                    <a:ln>
                      <a:noFill/>
                    </a:ln>
                  </pic:spPr>
                </pic:pic>
              </a:graphicData>
            </a:graphic>
          </wp:anchor>
        </w:drawing>
      </w:r>
    </w:p>
    <w:p w14:paraId="7CC7128C">
      <w:pPr>
        <w:spacing w:line="600" w:lineRule="exact"/>
        <w:ind w:firstLine="602" w:firstLineChars="200"/>
        <w:rPr>
          <w:rFonts w:hint="eastAsia" w:eastAsia="仿宋_GB2312"/>
          <w:b/>
          <w:bCs/>
          <w:sz w:val="30"/>
          <w:szCs w:val="30"/>
        </w:rPr>
      </w:pPr>
      <w:r>
        <w:rPr>
          <w:rFonts w:hint="eastAsia" w:eastAsia="仿宋_GB2312"/>
          <w:b/>
          <w:bCs/>
          <w:sz w:val="30"/>
          <w:szCs w:val="30"/>
        </w:rPr>
        <w:t>3.2 实验结果</w:t>
      </w:r>
    </w:p>
    <w:p w14:paraId="277093FB">
      <w:pPr>
        <w:spacing w:line="600" w:lineRule="exact"/>
        <w:ind w:firstLine="600" w:firstLineChars="200"/>
        <w:rPr>
          <w:rFonts w:hint="eastAsia" w:eastAsia="仿宋_GB2312"/>
          <w:sz w:val="30"/>
          <w:szCs w:val="30"/>
        </w:rPr>
      </w:pPr>
      <w:r>
        <w:rPr>
          <w:rFonts w:hint="eastAsia" w:eastAsia="仿宋_GB2312"/>
          <w:sz w:val="30"/>
          <w:szCs w:val="30"/>
        </w:rPr>
        <w:t>（</w:t>
      </w:r>
      <w:r>
        <w:rPr>
          <w:rFonts w:eastAsia="仿宋_GB2312"/>
          <w:sz w:val="30"/>
          <w:szCs w:val="30"/>
        </w:rPr>
        <w:t>1</w:t>
      </w:r>
      <w:r>
        <w:rPr>
          <w:rFonts w:hint="eastAsia" w:eastAsia="仿宋_GB2312"/>
          <w:sz w:val="30"/>
          <w:szCs w:val="30"/>
        </w:rPr>
        <w:t>）不同采伐时间茶树精油得油率</w:t>
      </w:r>
    </w:p>
    <w:p w14:paraId="77AA8D72">
      <w:pPr>
        <w:spacing w:line="600" w:lineRule="exact"/>
        <w:ind w:firstLine="600" w:firstLineChars="200"/>
        <w:rPr>
          <w:rFonts w:eastAsia="仿宋_GB2312"/>
          <w:sz w:val="30"/>
          <w:szCs w:val="30"/>
        </w:rPr>
      </w:pPr>
      <w:r>
        <w:rPr>
          <w:rFonts w:eastAsia="仿宋_GB2312"/>
          <w:sz w:val="30"/>
          <w:szCs w:val="30"/>
        </w:rPr>
        <w:t>不同月份</w:t>
      </w:r>
      <w:r>
        <w:rPr>
          <w:rFonts w:hint="eastAsia" w:eastAsia="仿宋_GB2312"/>
          <w:sz w:val="30"/>
          <w:szCs w:val="30"/>
        </w:rPr>
        <w:t>，</w:t>
      </w:r>
      <w:r>
        <w:rPr>
          <w:rFonts w:eastAsia="仿宋_GB2312"/>
          <w:sz w:val="30"/>
          <w:szCs w:val="30"/>
        </w:rPr>
        <w:t>得油率</w:t>
      </w:r>
      <w:r>
        <w:rPr>
          <w:rFonts w:hint="eastAsia" w:eastAsia="仿宋_GB2312"/>
          <w:sz w:val="30"/>
          <w:szCs w:val="30"/>
        </w:rPr>
        <w:t>波动范围在</w:t>
      </w:r>
      <w:r>
        <w:rPr>
          <w:rFonts w:eastAsia="仿宋_GB2312"/>
          <w:sz w:val="30"/>
          <w:szCs w:val="30"/>
        </w:rPr>
        <w:t>1.46%～2.27%，平均得油率为1.87%；4～12月总体呈上升趋势（7月小幅下降），12月～次年3月呈下降趋势，3～6月回升。总体来说，得油率随距离砍伐时间间隔的延长逐渐上升，</w:t>
      </w:r>
      <w:r>
        <w:rPr>
          <w:rFonts w:hint="eastAsia" w:eastAsia="仿宋_GB2312"/>
          <w:sz w:val="30"/>
          <w:szCs w:val="30"/>
        </w:rPr>
        <w:t>次年</w:t>
      </w:r>
      <w:r>
        <w:rPr>
          <w:rFonts w:eastAsia="仿宋_GB2312"/>
          <w:sz w:val="30"/>
          <w:szCs w:val="30"/>
        </w:rPr>
        <w:t>4</w:t>
      </w:r>
      <w:r>
        <w:rPr>
          <w:rFonts w:hint="eastAsia" w:eastAsia="仿宋_GB2312"/>
          <w:sz w:val="30"/>
          <w:szCs w:val="30"/>
        </w:rPr>
        <w:t>～</w:t>
      </w:r>
      <w:r>
        <w:rPr>
          <w:rFonts w:eastAsia="仿宋_GB2312"/>
          <w:sz w:val="30"/>
          <w:szCs w:val="30"/>
        </w:rPr>
        <w:t>6月得油率均高于</w:t>
      </w:r>
      <w:r>
        <w:rPr>
          <w:rFonts w:hint="eastAsia" w:eastAsia="仿宋_GB2312"/>
          <w:sz w:val="30"/>
          <w:szCs w:val="30"/>
        </w:rPr>
        <w:t>当</w:t>
      </w:r>
      <w:r>
        <w:rPr>
          <w:rFonts w:eastAsia="仿宋_GB2312"/>
          <w:sz w:val="30"/>
          <w:szCs w:val="30"/>
        </w:rPr>
        <w:t>年4</w:t>
      </w:r>
      <w:r>
        <w:rPr>
          <w:rFonts w:hint="eastAsia" w:eastAsia="仿宋_GB2312"/>
          <w:sz w:val="30"/>
          <w:szCs w:val="30"/>
        </w:rPr>
        <w:t>～</w:t>
      </w:r>
      <w:r>
        <w:rPr>
          <w:rFonts w:eastAsia="仿宋_GB2312"/>
          <w:sz w:val="30"/>
          <w:szCs w:val="30"/>
        </w:rPr>
        <w:t>6 月。</w:t>
      </w:r>
      <w:r>
        <w:rPr>
          <w:rFonts w:hint="eastAsia" w:eastAsia="仿宋_GB2312"/>
          <w:sz w:val="30"/>
          <w:szCs w:val="30"/>
        </w:rPr>
        <w:t>当</w:t>
      </w:r>
      <w:r>
        <w:rPr>
          <w:rFonts w:eastAsia="仿宋_GB2312"/>
          <w:sz w:val="30"/>
          <w:szCs w:val="30"/>
        </w:rPr>
        <w:t>年 10 月</w:t>
      </w:r>
      <w:r>
        <w:rPr>
          <w:rFonts w:hint="eastAsia" w:eastAsia="仿宋_GB2312"/>
          <w:sz w:val="30"/>
          <w:szCs w:val="30"/>
        </w:rPr>
        <w:t>～次</w:t>
      </w:r>
      <w:r>
        <w:rPr>
          <w:rFonts w:eastAsia="仿宋_GB2312"/>
          <w:sz w:val="30"/>
          <w:szCs w:val="30"/>
        </w:rPr>
        <w:t>年 1月得油率较高，</w:t>
      </w:r>
      <w:r>
        <w:rPr>
          <w:rFonts w:hint="eastAsia" w:eastAsia="仿宋_GB2312"/>
          <w:sz w:val="30"/>
          <w:szCs w:val="30"/>
        </w:rPr>
        <w:t>当</w:t>
      </w:r>
      <w:r>
        <w:rPr>
          <w:rFonts w:eastAsia="仿宋_GB2312"/>
          <w:sz w:val="30"/>
          <w:szCs w:val="30"/>
        </w:rPr>
        <w:t>年4、7 月和</w:t>
      </w:r>
      <w:r>
        <w:rPr>
          <w:rFonts w:hint="eastAsia" w:eastAsia="仿宋_GB2312"/>
          <w:sz w:val="30"/>
          <w:szCs w:val="30"/>
        </w:rPr>
        <w:t>次年</w:t>
      </w:r>
      <w:r>
        <w:rPr>
          <w:rFonts w:eastAsia="仿宋_GB2312"/>
          <w:sz w:val="30"/>
          <w:szCs w:val="30"/>
        </w:rPr>
        <w:t>年 3、4 月得油率相对较低（图1）。</w:t>
      </w:r>
    </w:p>
    <w:p w14:paraId="4BF9B828">
      <w:pPr>
        <w:spacing w:line="600" w:lineRule="exact"/>
        <w:ind w:firstLine="600" w:firstLineChars="200"/>
        <w:rPr>
          <w:rFonts w:hint="eastAsia" w:eastAsia="仿宋_GB2312"/>
          <w:sz w:val="30"/>
          <w:szCs w:val="30"/>
        </w:rPr>
      </w:pPr>
      <w:r>
        <w:rPr>
          <w:rFonts w:hint="eastAsia" w:eastAsia="仿宋_GB2312"/>
          <w:sz w:val="30"/>
          <w:szCs w:val="30"/>
        </w:rPr>
        <w:t>（</w:t>
      </w:r>
      <w:r>
        <w:rPr>
          <w:rFonts w:eastAsia="仿宋_GB2312"/>
          <w:sz w:val="30"/>
          <w:szCs w:val="30"/>
        </w:rPr>
        <w:t>2</w:t>
      </w:r>
      <w:r>
        <w:rPr>
          <w:rFonts w:hint="eastAsia" w:eastAsia="仿宋_GB2312"/>
          <w:sz w:val="30"/>
          <w:szCs w:val="30"/>
        </w:rPr>
        <w:t>）不同采伐时间松油烯-4-醇含量的变化</w:t>
      </w:r>
    </w:p>
    <w:p w14:paraId="73F69FBA">
      <w:pPr>
        <w:spacing w:line="600" w:lineRule="exact"/>
        <w:ind w:firstLine="600" w:firstLineChars="200"/>
        <w:rPr>
          <w:rFonts w:hint="eastAsia" w:eastAsia="仿宋_GB2312"/>
          <w:sz w:val="30"/>
          <w:szCs w:val="30"/>
        </w:rPr>
      </w:pPr>
      <w:r>
        <w:rPr>
          <w:rFonts w:eastAsia="仿宋_GB2312"/>
          <w:sz w:val="30"/>
          <w:szCs w:val="30"/>
        </w:rPr>
        <w:t>4-松油醇含量在不同</w:t>
      </w:r>
      <w:r>
        <w:rPr>
          <w:rFonts w:hint="eastAsia" w:eastAsia="仿宋_GB2312"/>
          <w:sz w:val="30"/>
          <w:szCs w:val="30"/>
        </w:rPr>
        <w:t>采伐时间</w:t>
      </w:r>
      <w:r>
        <w:rPr>
          <w:rFonts w:eastAsia="仿宋_GB2312"/>
          <w:sz w:val="30"/>
          <w:szCs w:val="30"/>
        </w:rPr>
        <w:t>变化较大，平均含量为38.39%；</w:t>
      </w:r>
      <w:r>
        <w:rPr>
          <w:rFonts w:hint="eastAsia" w:eastAsia="仿宋_GB2312"/>
          <w:sz w:val="30"/>
          <w:szCs w:val="30"/>
        </w:rPr>
        <w:t>当</w:t>
      </w:r>
      <w:r>
        <w:rPr>
          <w:rFonts w:eastAsia="仿宋_GB2312"/>
          <w:sz w:val="30"/>
          <w:szCs w:val="30"/>
        </w:rPr>
        <w:t>年4月</w:t>
      </w:r>
      <w:r>
        <w:rPr>
          <w:rFonts w:hint="eastAsia" w:eastAsia="仿宋_GB2312"/>
          <w:sz w:val="30"/>
          <w:szCs w:val="30"/>
        </w:rPr>
        <w:t>～</w:t>
      </w:r>
      <w:r>
        <w:rPr>
          <w:rFonts w:eastAsia="仿宋_GB2312"/>
          <w:sz w:val="30"/>
          <w:szCs w:val="30"/>
        </w:rPr>
        <w:t>次年2月上升；</w:t>
      </w:r>
      <w:r>
        <w:rPr>
          <w:rFonts w:hint="eastAsia" w:eastAsia="仿宋_GB2312"/>
          <w:sz w:val="30"/>
          <w:szCs w:val="30"/>
        </w:rPr>
        <w:t>次</w:t>
      </w:r>
      <w:r>
        <w:rPr>
          <w:rFonts w:eastAsia="仿宋_GB2312"/>
          <w:sz w:val="30"/>
          <w:szCs w:val="30"/>
        </w:rPr>
        <w:t>年2</w:t>
      </w:r>
      <w:r>
        <w:rPr>
          <w:rFonts w:hint="eastAsia" w:eastAsia="仿宋_GB2312"/>
          <w:sz w:val="30"/>
          <w:szCs w:val="30"/>
        </w:rPr>
        <w:t>～</w:t>
      </w:r>
      <w:r>
        <w:rPr>
          <w:rFonts w:eastAsia="仿宋_GB2312"/>
          <w:sz w:val="30"/>
          <w:szCs w:val="30"/>
        </w:rPr>
        <w:t>3月下降；3</w:t>
      </w:r>
      <w:r>
        <w:rPr>
          <w:rFonts w:hint="eastAsia" w:eastAsia="仿宋_GB2312"/>
          <w:sz w:val="30"/>
          <w:szCs w:val="30"/>
        </w:rPr>
        <w:t>～</w:t>
      </w:r>
      <w:r>
        <w:rPr>
          <w:rFonts w:eastAsia="仿宋_GB2312"/>
          <w:sz w:val="30"/>
          <w:szCs w:val="30"/>
        </w:rPr>
        <w:t>6月逐渐回升。总体来讲，4-松油醇含量随距离砍伐时间间隔的延长而增加；12月</w:t>
      </w:r>
      <w:r>
        <w:rPr>
          <w:rFonts w:hint="eastAsia" w:eastAsia="仿宋_GB2312"/>
          <w:sz w:val="30"/>
          <w:szCs w:val="30"/>
        </w:rPr>
        <w:t>～</w:t>
      </w:r>
      <w:r>
        <w:rPr>
          <w:rFonts w:eastAsia="仿宋_GB2312"/>
          <w:sz w:val="30"/>
          <w:szCs w:val="30"/>
        </w:rPr>
        <w:t>次年2月含量最高，</w:t>
      </w:r>
      <w:r>
        <w:rPr>
          <w:rFonts w:hint="eastAsia" w:eastAsia="仿宋_GB2312"/>
          <w:sz w:val="30"/>
          <w:szCs w:val="30"/>
        </w:rPr>
        <w:t>3～4月含量相对较低</w:t>
      </w:r>
      <w:r>
        <w:rPr>
          <w:rFonts w:eastAsia="仿宋_GB2312"/>
          <w:sz w:val="30"/>
          <w:szCs w:val="30"/>
        </w:rPr>
        <w:t>（图1）</w:t>
      </w:r>
      <w:r>
        <w:rPr>
          <w:rFonts w:hint="eastAsia" w:eastAsia="仿宋_GB2312"/>
          <w:sz w:val="30"/>
          <w:szCs w:val="30"/>
        </w:rPr>
        <w:t>。</w:t>
      </w:r>
    </w:p>
    <w:p w14:paraId="0336E001">
      <w:pPr>
        <w:spacing w:line="600" w:lineRule="exact"/>
        <w:ind w:firstLine="420" w:firstLineChars="200"/>
        <w:rPr>
          <w:rFonts w:eastAsia="仿宋_GB2312"/>
          <w:sz w:val="30"/>
          <w:szCs w:val="30"/>
        </w:rPr>
      </w:pPr>
      <w:r>
        <w:drawing>
          <wp:anchor distT="0" distB="0" distL="114300" distR="114300" simplePos="0" relativeHeight="251659264" behindDoc="1" locked="0" layoutInCell="1" allowOverlap="1">
            <wp:simplePos x="0" y="0"/>
            <wp:positionH relativeFrom="column">
              <wp:posOffset>125730</wp:posOffset>
            </wp:positionH>
            <wp:positionV relativeFrom="paragraph">
              <wp:posOffset>40640</wp:posOffset>
            </wp:positionV>
            <wp:extent cx="4572000" cy="2771775"/>
            <wp:effectExtent l="0" t="0" r="0" b="0"/>
            <wp:wrapThrough wrapText="bothSides">
              <wp:wrapPolygon>
                <wp:start x="2340" y="297"/>
                <wp:lineTo x="2340" y="2969"/>
                <wp:lineTo x="810" y="5344"/>
                <wp:lineTo x="810" y="13658"/>
                <wp:lineTo x="1530" y="14845"/>
                <wp:lineTo x="2340" y="14845"/>
                <wp:lineTo x="2790" y="17221"/>
                <wp:lineTo x="2790" y="18854"/>
                <wp:lineTo x="8100" y="19596"/>
                <wp:lineTo x="18450" y="19596"/>
                <wp:lineTo x="18270" y="20784"/>
                <wp:lineTo x="18810" y="20784"/>
                <wp:lineTo x="18900" y="20487"/>
                <wp:lineTo x="19800" y="19596"/>
                <wp:lineTo x="19980" y="18111"/>
                <wp:lineTo x="19980" y="17072"/>
                <wp:lineTo x="3960" y="14845"/>
                <wp:lineTo x="3960" y="12767"/>
                <wp:lineTo x="10530" y="12470"/>
                <wp:lineTo x="17820" y="11282"/>
                <wp:lineTo x="17820" y="10095"/>
                <wp:lineTo x="19080" y="7720"/>
                <wp:lineTo x="19710" y="5344"/>
                <wp:lineTo x="20070" y="4602"/>
                <wp:lineTo x="13500" y="2524"/>
                <wp:lineTo x="3420" y="297"/>
                <wp:lineTo x="2340" y="297"/>
              </wp:wrapPolygon>
            </wp:wrapThrough>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844786E">
      <w:pPr>
        <w:spacing w:line="600" w:lineRule="exact"/>
        <w:ind w:firstLine="420" w:firstLineChars="200"/>
        <w:rPr>
          <w:rFonts w:ascii="FZSSJW--GB1-0" w:hAnsi="FZSSJW--GB1-0" w:eastAsia="FZSSJW--GB1-0" w:cs="FZSSJW--GB1-0"/>
          <w:color w:val="231F20"/>
          <w:szCs w:val="21"/>
        </w:rPr>
      </w:pPr>
    </w:p>
    <w:p w14:paraId="220D3AD9">
      <w:pPr>
        <w:spacing w:line="600" w:lineRule="exact"/>
        <w:ind w:firstLine="420" w:firstLineChars="200"/>
        <w:rPr>
          <w:rFonts w:ascii="FZSSJW--GB1-0" w:hAnsi="FZSSJW--GB1-0" w:eastAsia="FZSSJW--GB1-0" w:cs="FZSSJW--GB1-0"/>
          <w:color w:val="231F20"/>
          <w:szCs w:val="21"/>
        </w:rPr>
      </w:pPr>
    </w:p>
    <w:p w14:paraId="18124B8C">
      <w:pPr>
        <w:spacing w:line="600" w:lineRule="exact"/>
        <w:ind w:firstLine="420" w:firstLineChars="200"/>
        <w:rPr>
          <w:rFonts w:ascii="FZSSJW--GB1-0" w:hAnsi="FZSSJW--GB1-0" w:eastAsia="FZSSJW--GB1-0" w:cs="FZSSJW--GB1-0"/>
          <w:color w:val="231F20"/>
          <w:szCs w:val="21"/>
        </w:rPr>
      </w:pPr>
    </w:p>
    <w:p w14:paraId="1872F4DF">
      <w:pPr>
        <w:spacing w:line="600" w:lineRule="exact"/>
        <w:ind w:firstLine="420" w:firstLineChars="200"/>
        <w:rPr>
          <w:rFonts w:ascii="FZSSJW--GB1-0" w:hAnsi="FZSSJW--GB1-0" w:eastAsia="FZSSJW--GB1-0" w:cs="FZSSJW--GB1-0"/>
          <w:color w:val="231F20"/>
          <w:szCs w:val="21"/>
        </w:rPr>
      </w:pPr>
    </w:p>
    <w:p w14:paraId="2DAFF982">
      <w:pPr>
        <w:spacing w:line="600" w:lineRule="exact"/>
        <w:ind w:firstLine="420" w:firstLineChars="200"/>
        <w:rPr>
          <w:rFonts w:ascii="FZSSJW--GB1-0" w:hAnsi="FZSSJW--GB1-0" w:eastAsia="FZSSJW--GB1-0" w:cs="FZSSJW--GB1-0"/>
          <w:color w:val="231F20"/>
          <w:szCs w:val="21"/>
        </w:rPr>
      </w:pPr>
    </w:p>
    <w:p w14:paraId="41CBC400">
      <w:pPr>
        <w:spacing w:line="600" w:lineRule="exact"/>
        <w:ind w:firstLine="420" w:firstLineChars="200"/>
        <w:rPr>
          <w:rFonts w:ascii="FZSSJW--GB1-0" w:hAnsi="FZSSJW--GB1-0" w:eastAsia="FZSSJW--GB1-0" w:cs="FZSSJW--GB1-0"/>
          <w:color w:val="231F20"/>
          <w:szCs w:val="21"/>
        </w:rPr>
      </w:pPr>
    </w:p>
    <w:p w14:paraId="604F2C0E">
      <w:pPr>
        <w:spacing w:line="600" w:lineRule="exact"/>
        <w:ind w:firstLine="2730" w:firstLineChars="1300"/>
        <w:rPr>
          <w:rFonts w:hint="eastAsia" w:ascii="FZSSJW--GB1-0" w:hAnsi="FZSSJW--GB1-0" w:eastAsia="FZSSJW--GB1-0" w:cs="FZSSJW--GB1-0"/>
          <w:color w:val="231F20"/>
          <w:szCs w:val="21"/>
        </w:rPr>
      </w:pPr>
      <w:r>
        <w:rPr>
          <w:rFonts w:hint="eastAsia" w:ascii="FZSSJW--GB1-0" w:hAnsi="FZSSJW--GB1-0" w:eastAsia="FZSSJW--GB1-0" w:cs="FZSSJW--GB1-0"/>
          <w:color w:val="231F20"/>
          <w:szCs w:val="21"/>
        </w:rPr>
        <w:t>图1</w:t>
      </w:r>
      <w:r>
        <w:rPr>
          <w:rFonts w:ascii="FZSSJW--GB1-0" w:hAnsi="FZSSJW--GB1-0" w:eastAsia="FZSSJW--GB1-0" w:cs="FZSSJW--GB1-0"/>
          <w:color w:val="231F20"/>
          <w:szCs w:val="21"/>
        </w:rPr>
        <w:t xml:space="preserve"> </w:t>
      </w:r>
      <w:r>
        <w:rPr>
          <w:rFonts w:hint="eastAsia" w:ascii="FZSSJW--GB1-0" w:hAnsi="FZSSJW--GB1-0" w:eastAsia="FZSSJW--GB1-0" w:cs="FZSSJW--GB1-0"/>
          <w:color w:val="231F20"/>
          <w:szCs w:val="21"/>
        </w:rPr>
        <w:t>不同采伐时间对得油率的影响</w:t>
      </w:r>
    </w:p>
    <w:p w14:paraId="290C88D8">
      <w:pPr>
        <w:spacing w:line="600" w:lineRule="exact"/>
        <w:ind w:firstLine="420" w:firstLineChars="200"/>
        <w:rPr>
          <w:rFonts w:hint="eastAsia" w:ascii="FZSSJW--GB1-0" w:hAnsi="FZSSJW--GB1-0" w:eastAsia="FZSSJW--GB1-0" w:cs="FZSSJW--GB1-0"/>
          <w:color w:val="231F20"/>
          <w:szCs w:val="21"/>
        </w:rPr>
      </w:pPr>
      <w:r>
        <w:drawing>
          <wp:anchor distT="0" distB="0" distL="114300" distR="114300" simplePos="0" relativeHeight="251660288" behindDoc="1" locked="0" layoutInCell="1" allowOverlap="1">
            <wp:simplePos x="0" y="0"/>
            <wp:positionH relativeFrom="column">
              <wp:posOffset>374015</wp:posOffset>
            </wp:positionH>
            <wp:positionV relativeFrom="paragraph">
              <wp:posOffset>93980</wp:posOffset>
            </wp:positionV>
            <wp:extent cx="4572000" cy="2743200"/>
            <wp:effectExtent l="0" t="0" r="0" b="0"/>
            <wp:wrapSquare wrapText="bothSides"/>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34B28F2">
      <w:pPr>
        <w:pStyle w:val="40"/>
        <w:spacing w:line="600" w:lineRule="exact"/>
        <w:ind w:left="420" w:firstLine="0" w:firstLineChars="0"/>
        <w:rPr>
          <w:rFonts w:eastAsia="仿宋_GB2312"/>
          <w:sz w:val="30"/>
          <w:szCs w:val="30"/>
        </w:rPr>
      </w:pPr>
    </w:p>
    <w:p w14:paraId="4E3B491C">
      <w:pPr>
        <w:pStyle w:val="40"/>
        <w:spacing w:line="600" w:lineRule="exact"/>
        <w:ind w:left="420" w:firstLine="0" w:firstLineChars="0"/>
        <w:rPr>
          <w:rFonts w:eastAsia="仿宋_GB2312"/>
          <w:sz w:val="30"/>
          <w:szCs w:val="30"/>
        </w:rPr>
      </w:pPr>
    </w:p>
    <w:p w14:paraId="0ACCAE15">
      <w:pPr>
        <w:pStyle w:val="40"/>
        <w:spacing w:line="600" w:lineRule="exact"/>
        <w:ind w:left="420" w:firstLine="0" w:firstLineChars="0"/>
        <w:rPr>
          <w:rFonts w:eastAsia="仿宋_GB2312"/>
          <w:sz w:val="30"/>
          <w:szCs w:val="30"/>
        </w:rPr>
      </w:pPr>
    </w:p>
    <w:p w14:paraId="1B0014F3">
      <w:pPr>
        <w:spacing w:line="600" w:lineRule="exact"/>
        <w:rPr>
          <w:rFonts w:hint="eastAsia" w:eastAsia="仿宋_GB2312"/>
          <w:sz w:val="30"/>
          <w:szCs w:val="30"/>
        </w:rPr>
      </w:pPr>
    </w:p>
    <w:p w14:paraId="1BFABE9C">
      <w:pPr>
        <w:spacing w:line="600" w:lineRule="exact"/>
        <w:ind w:firstLine="1890" w:firstLineChars="900"/>
        <w:rPr>
          <w:rFonts w:hint="eastAsia" w:ascii="FZSSJW--GB1-0" w:hAnsi="FZSSJW--GB1-0" w:eastAsia="FZSSJW--GB1-0" w:cs="FZSSJW--GB1-0"/>
          <w:color w:val="231F20"/>
          <w:szCs w:val="21"/>
        </w:rPr>
      </w:pPr>
      <w:r>
        <w:rPr>
          <w:rFonts w:hint="eastAsia" w:ascii="FZSSJW--GB1-0" w:hAnsi="FZSSJW--GB1-0" w:eastAsia="FZSSJW--GB1-0" w:cs="FZSSJW--GB1-0"/>
          <w:color w:val="231F20"/>
          <w:szCs w:val="21"/>
        </w:rPr>
        <w:t>图2</w:t>
      </w:r>
      <w:r>
        <w:rPr>
          <w:rFonts w:ascii="FZSSJW--GB1-0" w:hAnsi="FZSSJW--GB1-0" w:eastAsia="FZSSJW--GB1-0" w:cs="FZSSJW--GB1-0"/>
          <w:color w:val="231F20"/>
          <w:szCs w:val="21"/>
        </w:rPr>
        <w:t xml:space="preserve"> </w:t>
      </w:r>
      <w:r>
        <w:rPr>
          <w:rFonts w:hint="eastAsia" w:ascii="FZSSJW--GB1-0" w:hAnsi="FZSSJW--GB1-0" w:eastAsia="FZSSJW--GB1-0" w:cs="FZSSJW--GB1-0"/>
          <w:color w:val="231F20"/>
          <w:szCs w:val="21"/>
        </w:rPr>
        <w:t>不同采伐时间对松油烯-</w:t>
      </w:r>
      <w:r>
        <w:rPr>
          <w:rFonts w:ascii="FZSSJW--GB1-0" w:hAnsi="FZSSJW--GB1-0" w:eastAsia="FZSSJW--GB1-0" w:cs="FZSSJW--GB1-0"/>
          <w:color w:val="231F20"/>
          <w:szCs w:val="21"/>
        </w:rPr>
        <w:t>4-</w:t>
      </w:r>
      <w:r>
        <w:rPr>
          <w:rFonts w:hint="eastAsia" w:ascii="FZSSJW--GB1-0" w:hAnsi="FZSSJW--GB1-0" w:eastAsia="FZSSJW--GB1-0" w:cs="FZSSJW--GB1-0"/>
          <w:color w:val="231F20"/>
          <w:szCs w:val="21"/>
        </w:rPr>
        <w:t>醇含量的影响</w:t>
      </w:r>
    </w:p>
    <w:p w14:paraId="6798C946">
      <w:pPr>
        <w:pStyle w:val="40"/>
        <w:spacing w:line="600" w:lineRule="exact"/>
        <w:ind w:left="420" w:firstLine="0" w:firstLineChars="0"/>
        <w:rPr>
          <w:rFonts w:hint="eastAsia" w:eastAsia="仿宋_GB2312"/>
          <w:sz w:val="30"/>
          <w:szCs w:val="30"/>
        </w:rPr>
      </w:pPr>
      <w:r>
        <w:rPr>
          <w:rFonts w:hint="eastAsia" w:eastAsia="仿宋_GB2312"/>
          <w:sz w:val="30"/>
          <w:szCs w:val="30"/>
        </w:rPr>
        <w:t>（3）不同伐桩高度对成活率和萌芽率的影响</w:t>
      </w:r>
    </w:p>
    <w:p w14:paraId="5C0A03FE">
      <w:pPr>
        <w:spacing w:line="600" w:lineRule="exact"/>
        <w:ind w:firstLine="600" w:firstLineChars="200"/>
        <w:rPr>
          <w:rFonts w:hint="eastAsia" w:eastAsia="仿宋_GB2312"/>
          <w:sz w:val="30"/>
          <w:szCs w:val="30"/>
        </w:rPr>
      </w:pPr>
      <w:r>
        <w:rPr>
          <w:rFonts w:hint="eastAsia" w:eastAsia="仿宋_GB2312"/>
          <w:sz w:val="30"/>
          <w:szCs w:val="30"/>
        </w:rPr>
        <w:t>由表1</w:t>
      </w:r>
      <w:r>
        <w:rPr>
          <w:rFonts w:eastAsia="仿宋_GB2312"/>
          <w:sz w:val="30"/>
          <w:szCs w:val="30"/>
        </w:rPr>
        <w:t>可知，</w:t>
      </w:r>
      <w:r>
        <w:rPr>
          <w:rFonts w:hint="eastAsia" w:eastAsia="仿宋_GB2312"/>
          <w:sz w:val="30"/>
          <w:szCs w:val="30"/>
          <w:lang w:eastAsia="zh-CN"/>
        </w:rPr>
        <w:t>伐桩高度为</w:t>
      </w:r>
      <w:r>
        <w:rPr>
          <w:rFonts w:hint="eastAsia" w:eastAsia="仿宋_GB2312"/>
          <w:sz w:val="30"/>
          <w:szCs w:val="30"/>
          <w:lang w:val="en-US" w:eastAsia="zh-CN"/>
        </w:rPr>
        <w:t>5cm</w:t>
      </w:r>
      <w:r>
        <w:rPr>
          <w:rFonts w:eastAsia="仿宋_GB2312"/>
          <w:sz w:val="30"/>
          <w:szCs w:val="30"/>
        </w:rPr>
        <w:t>～</w:t>
      </w:r>
      <w:r>
        <w:rPr>
          <w:rFonts w:hint="eastAsia" w:eastAsia="仿宋_GB2312"/>
          <w:sz w:val="30"/>
          <w:szCs w:val="30"/>
          <w:lang w:val="en-US" w:eastAsia="zh-CN"/>
        </w:rPr>
        <w:t>10cm时，成活率显著低于伐桩高度为10cm</w:t>
      </w:r>
      <w:r>
        <w:rPr>
          <w:rFonts w:eastAsia="仿宋_GB2312"/>
          <w:sz w:val="30"/>
          <w:szCs w:val="30"/>
        </w:rPr>
        <w:t>～</w:t>
      </w:r>
      <w:r>
        <w:rPr>
          <w:rFonts w:hint="eastAsia" w:eastAsia="仿宋_GB2312"/>
          <w:sz w:val="30"/>
          <w:szCs w:val="30"/>
          <w:lang w:val="en-US" w:eastAsia="zh-CN"/>
        </w:rPr>
        <w:t>40cm。</w:t>
      </w:r>
      <w:r>
        <w:rPr>
          <w:rFonts w:eastAsia="仿宋_GB2312"/>
          <w:sz w:val="30"/>
          <w:szCs w:val="30"/>
        </w:rPr>
        <w:t>随着伐桩高度的增加，互叶白千层的萌芽点数和萌芽条数增多。</w:t>
      </w:r>
    </w:p>
    <w:tbl>
      <w:tblPr>
        <w:tblStyle w:val="10"/>
        <w:tblW w:w="7797" w:type="dxa"/>
        <w:tblInd w:w="56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1559"/>
        <w:gridCol w:w="1985"/>
        <w:gridCol w:w="1701"/>
        <w:gridCol w:w="1701"/>
      </w:tblGrid>
      <w:tr w14:paraId="113865D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tcBorders>
              <w:top w:val="single" w:color="auto" w:sz="4" w:space="0"/>
              <w:bottom w:val="single" w:color="auto" w:sz="4" w:space="0"/>
            </w:tcBorders>
            <w:shd w:val="clear" w:color="auto" w:fill="auto"/>
          </w:tcPr>
          <w:p w14:paraId="3ADCE133">
            <w:pPr>
              <w:tabs>
                <w:tab w:val="left" w:pos="360"/>
              </w:tabs>
              <w:spacing w:line="480" w:lineRule="exact"/>
              <w:jc w:val="center"/>
              <w:rPr>
                <w:rFonts w:ascii="Times New Roman" w:hAnsi="Times New Roman" w:eastAsia="仿宋_GB2312"/>
                <w:b/>
                <w:sz w:val="24"/>
              </w:rPr>
            </w:pPr>
            <w:r>
              <w:rPr>
                <w:rFonts w:hint="eastAsia" w:ascii="Times New Roman" w:hAnsi="Times New Roman" w:eastAsia="仿宋_GB2312"/>
                <w:b/>
                <w:sz w:val="24"/>
              </w:rPr>
              <w:t>处理</w:t>
            </w:r>
          </w:p>
        </w:tc>
        <w:tc>
          <w:tcPr>
            <w:tcW w:w="1559" w:type="dxa"/>
            <w:tcBorders>
              <w:top w:val="single" w:color="auto" w:sz="4" w:space="0"/>
              <w:bottom w:val="single" w:color="auto" w:sz="4" w:space="0"/>
            </w:tcBorders>
          </w:tcPr>
          <w:p w14:paraId="50B26B10">
            <w:pPr>
              <w:tabs>
                <w:tab w:val="left" w:pos="360"/>
              </w:tabs>
              <w:spacing w:line="480" w:lineRule="exact"/>
              <w:jc w:val="center"/>
              <w:rPr>
                <w:rFonts w:hint="eastAsia" w:ascii="Times New Roman" w:hAnsi="Times New Roman" w:eastAsia="仿宋_GB2312"/>
                <w:b/>
                <w:sz w:val="24"/>
              </w:rPr>
            </w:pPr>
            <w:r>
              <w:rPr>
                <w:rFonts w:hint="eastAsia" w:ascii="Times New Roman" w:hAnsi="Times New Roman" w:eastAsia="仿宋_GB2312"/>
                <w:b/>
                <w:sz w:val="24"/>
              </w:rPr>
              <w:t>伐桩高度/</w:t>
            </w:r>
            <w:r>
              <w:rPr>
                <w:rFonts w:ascii="Times New Roman" w:hAnsi="Times New Roman" w:eastAsia="仿宋_GB2312"/>
                <w:sz w:val="24"/>
              </w:rPr>
              <w:t>cm</w:t>
            </w:r>
          </w:p>
        </w:tc>
        <w:tc>
          <w:tcPr>
            <w:tcW w:w="1985" w:type="dxa"/>
            <w:tcBorders>
              <w:top w:val="single" w:color="auto" w:sz="4" w:space="0"/>
              <w:bottom w:val="single" w:color="auto" w:sz="4" w:space="0"/>
            </w:tcBorders>
            <w:shd w:val="clear" w:color="auto" w:fill="auto"/>
          </w:tcPr>
          <w:p w14:paraId="5527BC9E">
            <w:pPr>
              <w:tabs>
                <w:tab w:val="left" w:pos="360"/>
              </w:tabs>
              <w:spacing w:line="480" w:lineRule="exact"/>
              <w:jc w:val="center"/>
              <w:rPr>
                <w:rFonts w:ascii="Times New Roman" w:hAnsi="Times New Roman" w:eastAsia="仿宋_GB2312"/>
                <w:b/>
                <w:sz w:val="24"/>
              </w:rPr>
            </w:pPr>
            <w:r>
              <w:rPr>
                <w:rFonts w:hint="eastAsia" w:ascii="Times New Roman" w:hAnsi="Times New Roman" w:eastAsia="仿宋_GB2312"/>
                <w:b/>
                <w:sz w:val="24"/>
              </w:rPr>
              <w:t>成活率/%</w:t>
            </w:r>
          </w:p>
        </w:tc>
        <w:tc>
          <w:tcPr>
            <w:tcW w:w="1701" w:type="dxa"/>
            <w:tcBorders>
              <w:top w:val="single" w:color="auto" w:sz="4" w:space="0"/>
              <w:bottom w:val="single" w:color="auto" w:sz="4" w:space="0"/>
            </w:tcBorders>
            <w:shd w:val="clear" w:color="auto" w:fill="auto"/>
          </w:tcPr>
          <w:p w14:paraId="50CE3526">
            <w:pPr>
              <w:tabs>
                <w:tab w:val="left" w:pos="360"/>
              </w:tabs>
              <w:spacing w:line="480" w:lineRule="exact"/>
              <w:jc w:val="center"/>
              <w:rPr>
                <w:rFonts w:hint="eastAsia" w:ascii="Times New Roman" w:hAnsi="Times New Roman" w:eastAsia="仿宋_GB2312"/>
                <w:b/>
                <w:sz w:val="24"/>
              </w:rPr>
            </w:pPr>
            <w:r>
              <w:rPr>
                <w:rFonts w:hint="eastAsia" w:ascii="Times New Roman" w:hAnsi="Times New Roman" w:eastAsia="仿宋_GB2312"/>
                <w:b/>
                <w:sz w:val="24"/>
              </w:rPr>
              <w:t>萌芽点数/个</w:t>
            </w:r>
          </w:p>
        </w:tc>
        <w:tc>
          <w:tcPr>
            <w:tcW w:w="1701" w:type="dxa"/>
            <w:tcBorders>
              <w:top w:val="single" w:color="auto" w:sz="4" w:space="0"/>
              <w:bottom w:val="single" w:color="auto" w:sz="4" w:space="0"/>
            </w:tcBorders>
          </w:tcPr>
          <w:p w14:paraId="64FA6AC7">
            <w:pPr>
              <w:tabs>
                <w:tab w:val="left" w:pos="360"/>
              </w:tabs>
              <w:spacing w:line="480" w:lineRule="exact"/>
              <w:jc w:val="center"/>
              <w:rPr>
                <w:rFonts w:hint="eastAsia" w:eastAsia="仿宋_GB2312"/>
                <w:b/>
                <w:sz w:val="24"/>
              </w:rPr>
            </w:pPr>
            <w:r>
              <w:rPr>
                <w:rFonts w:hint="eastAsia" w:ascii="Times New Roman" w:hAnsi="Times New Roman" w:eastAsia="仿宋_GB2312"/>
                <w:b/>
                <w:sz w:val="24"/>
              </w:rPr>
              <w:t>萌芽条数/株</w:t>
            </w:r>
          </w:p>
        </w:tc>
      </w:tr>
      <w:tr w14:paraId="3472EFB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tcBorders>
              <w:top w:val="single" w:color="auto" w:sz="4" w:space="0"/>
            </w:tcBorders>
            <w:shd w:val="clear" w:color="auto" w:fill="auto"/>
          </w:tcPr>
          <w:p w14:paraId="37B3B6EF">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T</w:t>
            </w:r>
            <w:r>
              <w:rPr>
                <w:rFonts w:ascii="Times New Roman" w:hAnsi="Times New Roman" w:eastAsia="仿宋_GB2312"/>
                <w:sz w:val="24"/>
              </w:rPr>
              <w:t xml:space="preserve">1 </w:t>
            </w:r>
          </w:p>
        </w:tc>
        <w:tc>
          <w:tcPr>
            <w:tcW w:w="1559" w:type="dxa"/>
            <w:tcBorders>
              <w:top w:val="single" w:color="auto" w:sz="4" w:space="0"/>
            </w:tcBorders>
          </w:tcPr>
          <w:p w14:paraId="1B0BBF87">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5</w:t>
            </w:r>
            <w:r>
              <w:rPr>
                <w:rFonts w:ascii="Times New Roman" w:hAnsi="Times New Roman" w:eastAsia="仿宋_GB2312"/>
                <w:sz w:val="24"/>
              </w:rPr>
              <w:t>-10</w:t>
            </w:r>
          </w:p>
        </w:tc>
        <w:tc>
          <w:tcPr>
            <w:tcW w:w="1985" w:type="dxa"/>
            <w:tcBorders>
              <w:top w:val="single" w:color="auto" w:sz="4" w:space="0"/>
            </w:tcBorders>
            <w:shd w:val="clear" w:color="auto" w:fill="auto"/>
          </w:tcPr>
          <w:p w14:paraId="26A4FECF">
            <w:pPr>
              <w:tabs>
                <w:tab w:val="left" w:pos="360"/>
              </w:tabs>
              <w:spacing w:line="480" w:lineRule="exact"/>
              <w:jc w:val="center"/>
              <w:rPr>
                <w:rFonts w:hint="eastAsia" w:ascii="Times New Roman" w:hAnsi="Times New Roman" w:eastAsia="仿宋_GB2312"/>
                <w:sz w:val="24"/>
                <w:lang w:val="en-US" w:eastAsia="zh-CN"/>
              </w:rPr>
            </w:pPr>
            <w:r>
              <w:rPr>
                <w:rFonts w:hint="eastAsia" w:eastAsia="仿宋_GB2312"/>
                <w:sz w:val="24"/>
                <w:lang w:val="en-US" w:eastAsia="zh-CN"/>
              </w:rPr>
              <w:t>75</w:t>
            </w:r>
            <w:r>
              <w:rPr>
                <w:rFonts w:ascii="Times New Roman" w:hAnsi="Times New Roman" w:eastAsia="仿宋_GB2312"/>
                <w:sz w:val="24"/>
              </w:rPr>
              <w:t>.43±1.17</w:t>
            </w:r>
            <w:r>
              <w:rPr>
                <w:rFonts w:hint="eastAsia" w:eastAsia="仿宋_GB2312"/>
                <w:sz w:val="24"/>
                <w:lang w:val="en-US" w:eastAsia="zh-CN"/>
              </w:rPr>
              <w:t>b</w:t>
            </w:r>
          </w:p>
        </w:tc>
        <w:tc>
          <w:tcPr>
            <w:tcW w:w="1701" w:type="dxa"/>
            <w:tcBorders>
              <w:top w:val="single" w:color="auto" w:sz="4" w:space="0"/>
            </w:tcBorders>
            <w:shd w:val="clear" w:color="auto" w:fill="auto"/>
          </w:tcPr>
          <w:p w14:paraId="77DCAF63">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4</w:t>
            </w:r>
            <w:r>
              <w:rPr>
                <w:rFonts w:hint="eastAsia" w:ascii="Times New Roman" w:hAnsi="Times New Roman" w:eastAsia="仿宋_GB2312"/>
                <w:sz w:val="24"/>
              </w:rPr>
              <w:t>.</w:t>
            </w:r>
            <w:r>
              <w:rPr>
                <w:rFonts w:ascii="Times New Roman" w:hAnsi="Times New Roman" w:eastAsia="仿宋_GB2312"/>
                <w:sz w:val="24"/>
              </w:rPr>
              <w:t>56</w:t>
            </w:r>
            <w:r>
              <w:rPr>
                <w:rFonts w:hint="eastAsia" w:ascii="Times New Roman" w:hAnsi="Times New Roman" w:eastAsia="仿宋_GB2312"/>
                <w:sz w:val="24"/>
              </w:rPr>
              <w:t>±</w:t>
            </w:r>
            <w:r>
              <w:rPr>
                <w:rFonts w:ascii="Times New Roman" w:hAnsi="Times New Roman" w:eastAsia="仿宋_GB2312"/>
                <w:sz w:val="24"/>
              </w:rPr>
              <w:t>0.09b</w:t>
            </w:r>
            <w:r>
              <w:rPr>
                <w:rFonts w:hint="eastAsia" w:ascii="Times New Roman" w:hAnsi="Times New Roman" w:eastAsia="仿宋_GB2312"/>
                <w:sz w:val="24"/>
              </w:rPr>
              <w:t xml:space="preserve">  </w:t>
            </w:r>
          </w:p>
        </w:tc>
        <w:tc>
          <w:tcPr>
            <w:tcW w:w="1701" w:type="dxa"/>
            <w:tcBorders>
              <w:top w:val="single" w:color="auto" w:sz="4" w:space="0"/>
            </w:tcBorders>
          </w:tcPr>
          <w:p w14:paraId="1483EE25">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4</w:t>
            </w:r>
            <w:r>
              <w:rPr>
                <w:rFonts w:hint="eastAsia" w:ascii="Times New Roman" w:hAnsi="Times New Roman" w:eastAsia="仿宋_GB2312"/>
                <w:sz w:val="24"/>
              </w:rPr>
              <w:t>.</w:t>
            </w:r>
            <w:r>
              <w:rPr>
                <w:rFonts w:hint="eastAsia" w:eastAsia="仿宋_GB2312"/>
                <w:sz w:val="24"/>
                <w:lang w:val="en-US" w:eastAsia="zh-CN"/>
              </w:rPr>
              <w:t>1</w:t>
            </w:r>
            <w:r>
              <w:rPr>
                <w:rFonts w:ascii="Times New Roman" w:hAnsi="Times New Roman" w:eastAsia="仿宋_GB2312"/>
                <w:sz w:val="24"/>
              </w:rPr>
              <w:t>4</w:t>
            </w:r>
            <w:r>
              <w:rPr>
                <w:rFonts w:hint="eastAsia" w:ascii="Times New Roman" w:hAnsi="Times New Roman" w:eastAsia="仿宋_GB2312"/>
                <w:sz w:val="24"/>
              </w:rPr>
              <w:t>±</w:t>
            </w:r>
            <w:r>
              <w:rPr>
                <w:rFonts w:ascii="Times New Roman" w:hAnsi="Times New Roman" w:eastAsia="仿宋_GB2312"/>
                <w:sz w:val="24"/>
              </w:rPr>
              <w:t>0.06</w:t>
            </w:r>
            <w:r>
              <w:rPr>
                <w:rFonts w:hint="eastAsia" w:ascii="Times New Roman" w:hAnsi="Times New Roman" w:eastAsia="仿宋_GB2312"/>
                <w:sz w:val="24"/>
              </w:rPr>
              <w:t xml:space="preserve"> </w:t>
            </w:r>
            <w:r>
              <w:rPr>
                <w:rFonts w:ascii="Times New Roman" w:hAnsi="Times New Roman" w:eastAsia="仿宋_GB2312"/>
                <w:sz w:val="24"/>
              </w:rPr>
              <w:t>bc</w:t>
            </w:r>
            <w:r>
              <w:rPr>
                <w:rFonts w:hint="eastAsia" w:ascii="Times New Roman" w:hAnsi="Times New Roman" w:eastAsia="仿宋_GB2312"/>
                <w:sz w:val="24"/>
              </w:rPr>
              <w:t xml:space="preserve"> </w:t>
            </w:r>
          </w:p>
        </w:tc>
      </w:tr>
      <w:tr w14:paraId="6A8CB6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shd w:val="clear" w:color="auto" w:fill="auto"/>
          </w:tcPr>
          <w:p w14:paraId="54F40E73">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 xml:space="preserve">T2 </w:t>
            </w:r>
          </w:p>
        </w:tc>
        <w:tc>
          <w:tcPr>
            <w:tcW w:w="1559" w:type="dxa"/>
          </w:tcPr>
          <w:p w14:paraId="6A212E6D">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1</w:t>
            </w:r>
            <w:r>
              <w:rPr>
                <w:rFonts w:ascii="Times New Roman" w:hAnsi="Times New Roman" w:eastAsia="仿宋_GB2312"/>
                <w:sz w:val="24"/>
              </w:rPr>
              <w:t>0-20</w:t>
            </w:r>
          </w:p>
        </w:tc>
        <w:tc>
          <w:tcPr>
            <w:tcW w:w="1985" w:type="dxa"/>
            <w:shd w:val="clear" w:color="auto" w:fill="auto"/>
          </w:tcPr>
          <w:p w14:paraId="3A73B9E1">
            <w:pPr>
              <w:tabs>
                <w:tab w:val="left" w:pos="360"/>
              </w:tabs>
              <w:spacing w:line="480" w:lineRule="exact"/>
              <w:jc w:val="center"/>
              <w:rPr>
                <w:rFonts w:ascii="Times New Roman" w:hAnsi="Times New Roman" w:eastAsia="仿宋_GB2312"/>
                <w:sz w:val="24"/>
              </w:rPr>
            </w:pPr>
            <w:r>
              <w:rPr>
                <w:rFonts w:ascii="Times New Roman" w:hAnsi="Times New Roman" w:eastAsia="仿宋_GB2312"/>
                <w:sz w:val="24"/>
              </w:rPr>
              <w:t>8</w:t>
            </w:r>
            <w:r>
              <w:rPr>
                <w:rFonts w:hint="eastAsia" w:eastAsia="仿宋_GB2312"/>
                <w:sz w:val="24"/>
                <w:lang w:val="en-US" w:eastAsia="zh-CN"/>
              </w:rPr>
              <w:t>2</w:t>
            </w:r>
            <w:r>
              <w:rPr>
                <w:rFonts w:ascii="Times New Roman" w:hAnsi="Times New Roman" w:eastAsia="仿宋_GB2312"/>
                <w:sz w:val="24"/>
              </w:rPr>
              <w:t>.</w:t>
            </w:r>
            <w:r>
              <w:rPr>
                <w:rFonts w:hint="eastAsia" w:eastAsia="仿宋_GB2312"/>
                <w:sz w:val="24"/>
                <w:lang w:val="en-US" w:eastAsia="zh-CN"/>
              </w:rPr>
              <w:t>79</w:t>
            </w:r>
            <w:r>
              <w:rPr>
                <w:rFonts w:ascii="Times New Roman" w:hAnsi="Times New Roman" w:eastAsia="仿宋_GB2312"/>
                <w:sz w:val="24"/>
              </w:rPr>
              <w:t xml:space="preserve">±1.00a </w:t>
            </w:r>
          </w:p>
        </w:tc>
        <w:tc>
          <w:tcPr>
            <w:tcW w:w="1701" w:type="dxa"/>
            <w:shd w:val="clear" w:color="auto" w:fill="auto"/>
          </w:tcPr>
          <w:p w14:paraId="65B1BD99">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5</w:t>
            </w:r>
            <w:r>
              <w:rPr>
                <w:rFonts w:hint="eastAsia" w:ascii="Times New Roman" w:hAnsi="Times New Roman" w:eastAsia="仿宋_GB2312"/>
                <w:sz w:val="24"/>
              </w:rPr>
              <w:t>.</w:t>
            </w:r>
            <w:r>
              <w:rPr>
                <w:rFonts w:ascii="Times New Roman" w:hAnsi="Times New Roman" w:eastAsia="仿宋_GB2312"/>
                <w:sz w:val="24"/>
              </w:rPr>
              <w:t>16</w:t>
            </w:r>
            <w:r>
              <w:rPr>
                <w:rFonts w:hint="eastAsia" w:ascii="Times New Roman" w:hAnsi="Times New Roman" w:eastAsia="仿宋_GB2312"/>
                <w:sz w:val="24"/>
              </w:rPr>
              <w:t>±0.</w:t>
            </w:r>
            <w:r>
              <w:rPr>
                <w:rFonts w:ascii="Times New Roman" w:hAnsi="Times New Roman" w:eastAsia="仿宋_GB2312"/>
                <w:sz w:val="24"/>
              </w:rPr>
              <w:t>0</w:t>
            </w:r>
            <w:r>
              <w:rPr>
                <w:rFonts w:hint="eastAsia" w:ascii="Times New Roman" w:hAnsi="Times New Roman" w:eastAsia="仿宋_GB2312"/>
                <w:sz w:val="24"/>
              </w:rPr>
              <w:t xml:space="preserve">9 </w:t>
            </w:r>
            <w:r>
              <w:rPr>
                <w:rFonts w:ascii="Times New Roman" w:hAnsi="Times New Roman" w:eastAsia="仿宋_GB2312"/>
                <w:sz w:val="24"/>
              </w:rPr>
              <w:t>a</w:t>
            </w:r>
          </w:p>
        </w:tc>
        <w:tc>
          <w:tcPr>
            <w:tcW w:w="1701" w:type="dxa"/>
          </w:tcPr>
          <w:p w14:paraId="5BD2B9F0">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4.23</w:t>
            </w:r>
            <w:r>
              <w:rPr>
                <w:rFonts w:hint="eastAsia" w:ascii="Times New Roman" w:hAnsi="Times New Roman" w:eastAsia="仿宋_GB2312"/>
                <w:sz w:val="24"/>
              </w:rPr>
              <w:t>±0.</w:t>
            </w:r>
            <w:r>
              <w:rPr>
                <w:rFonts w:ascii="Times New Roman" w:hAnsi="Times New Roman" w:eastAsia="仿宋_GB2312"/>
                <w:sz w:val="24"/>
              </w:rPr>
              <w:t>09</w:t>
            </w:r>
            <w:r>
              <w:rPr>
                <w:rFonts w:hint="eastAsia" w:ascii="Times New Roman" w:hAnsi="Times New Roman" w:eastAsia="仿宋_GB2312"/>
                <w:sz w:val="24"/>
              </w:rPr>
              <w:t xml:space="preserve"> </w:t>
            </w:r>
            <w:r>
              <w:rPr>
                <w:rFonts w:ascii="Times New Roman" w:hAnsi="Times New Roman" w:eastAsia="仿宋_GB2312"/>
                <w:sz w:val="24"/>
              </w:rPr>
              <w:t>bc</w:t>
            </w:r>
            <w:r>
              <w:rPr>
                <w:rFonts w:hint="eastAsia" w:ascii="Times New Roman" w:hAnsi="Times New Roman" w:eastAsia="仿宋_GB2312"/>
                <w:sz w:val="24"/>
              </w:rPr>
              <w:t xml:space="preserve"> </w:t>
            </w:r>
          </w:p>
        </w:tc>
      </w:tr>
      <w:tr w14:paraId="0432A3B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shd w:val="clear" w:color="auto" w:fill="auto"/>
          </w:tcPr>
          <w:p w14:paraId="2B6421AF">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T3</w:t>
            </w:r>
          </w:p>
        </w:tc>
        <w:tc>
          <w:tcPr>
            <w:tcW w:w="1559" w:type="dxa"/>
          </w:tcPr>
          <w:p w14:paraId="3DAEA5BF">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2</w:t>
            </w:r>
            <w:r>
              <w:rPr>
                <w:rFonts w:ascii="Times New Roman" w:hAnsi="Times New Roman" w:eastAsia="仿宋_GB2312"/>
                <w:sz w:val="24"/>
              </w:rPr>
              <w:t>0-30</w:t>
            </w:r>
          </w:p>
        </w:tc>
        <w:tc>
          <w:tcPr>
            <w:tcW w:w="1985" w:type="dxa"/>
            <w:shd w:val="clear" w:color="auto" w:fill="auto"/>
          </w:tcPr>
          <w:p w14:paraId="468AB681">
            <w:pPr>
              <w:tabs>
                <w:tab w:val="left" w:pos="360"/>
              </w:tabs>
              <w:spacing w:line="480" w:lineRule="exact"/>
              <w:jc w:val="center"/>
              <w:rPr>
                <w:rFonts w:ascii="Times New Roman" w:hAnsi="Times New Roman" w:eastAsia="仿宋_GB2312"/>
                <w:sz w:val="24"/>
              </w:rPr>
            </w:pPr>
            <w:r>
              <w:rPr>
                <w:rFonts w:ascii="Times New Roman" w:hAnsi="Times New Roman" w:eastAsia="仿宋_GB2312"/>
                <w:sz w:val="24"/>
              </w:rPr>
              <w:t>82.</w:t>
            </w:r>
            <w:r>
              <w:rPr>
                <w:rFonts w:hint="eastAsia" w:eastAsia="仿宋_GB2312"/>
                <w:sz w:val="24"/>
                <w:lang w:val="en-US" w:eastAsia="zh-CN"/>
              </w:rPr>
              <w:t>04</w:t>
            </w:r>
            <w:r>
              <w:rPr>
                <w:rFonts w:ascii="Times New Roman" w:hAnsi="Times New Roman" w:eastAsia="仿宋_GB2312"/>
                <w:sz w:val="24"/>
              </w:rPr>
              <w:t>±1.39a</w:t>
            </w:r>
          </w:p>
        </w:tc>
        <w:tc>
          <w:tcPr>
            <w:tcW w:w="1701" w:type="dxa"/>
            <w:shd w:val="clear" w:color="auto" w:fill="auto"/>
          </w:tcPr>
          <w:p w14:paraId="574B2089">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5.43</w:t>
            </w:r>
            <w:r>
              <w:rPr>
                <w:rFonts w:hint="eastAsia" w:ascii="Times New Roman" w:hAnsi="Times New Roman" w:eastAsia="仿宋_GB2312"/>
                <w:sz w:val="24"/>
              </w:rPr>
              <w:t>±</w:t>
            </w:r>
            <w:r>
              <w:rPr>
                <w:rFonts w:ascii="Times New Roman" w:hAnsi="Times New Roman" w:eastAsia="仿宋_GB2312"/>
                <w:sz w:val="24"/>
              </w:rPr>
              <w:t>0.06</w:t>
            </w:r>
            <w:r>
              <w:rPr>
                <w:rFonts w:hint="eastAsia" w:ascii="Times New Roman" w:hAnsi="Times New Roman" w:eastAsia="仿宋_GB2312"/>
                <w:sz w:val="24"/>
              </w:rPr>
              <w:t xml:space="preserve"> </w:t>
            </w:r>
            <w:r>
              <w:rPr>
                <w:rFonts w:ascii="Times New Roman" w:hAnsi="Times New Roman" w:eastAsia="仿宋_GB2312"/>
                <w:sz w:val="24"/>
              </w:rPr>
              <w:t>a</w:t>
            </w:r>
          </w:p>
        </w:tc>
        <w:tc>
          <w:tcPr>
            <w:tcW w:w="1701" w:type="dxa"/>
          </w:tcPr>
          <w:p w14:paraId="3D716B01">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4.46</w:t>
            </w:r>
            <w:r>
              <w:rPr>
                <w:rFonts w:hint="eastAsia" w:ascii="Times New Roman" w:hAnsi="Times New Roman" w:eastAsia="仿宋_GB2312"/>
                <w:sz w:val="24"/>
              </w:rPr>
              <w:t>±0.</w:t>
            </w:r>
            <w:r>
              <w:rPr>
                <w:rFonts w:ascii="Times New Roman" w:hAnsi="Times New Roman" w:eastAsia="仿宋_GB2312"/>
                <w:sz w:val="24"/>
              </w:rPr>
              <w:t>15ab</w:t>
            </w:r>
          </w:p>
        </w:tc>
      </w:tr>
      <w:tr w14:paraId="12B64C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shd w:val="clear" w:color="auto" w:fill="auto"/>
          </w:tcPr>
          <w:p w14:paraId="3D682CBA">
            <w:pPr>
              <w:tabs>
                <w:tab w:val="left" w:pos="360"/>
              </w:tabs>
              <w:spacing w:line="480" w:lineRule="exact"/>
              <w:jc w:val="center"/>
              <w:rPr>
                <w:rFonts w:ascii="Times New Roman" w:hAnsi="Times New Roman" w:eastAsia="仿宋_GB2312"/>
                <w:sz w:val="24"/>
              </w:rPr>
            </w:pPr>
            <w:r>
              <w:rPr>
                <w:rFonts w:hint="eastAsia" w:ascii="Times New Roman" w:hAnsi="Times New Roman" w:eastAsia="仿宋_GB2312"/>
                <w:sz w:val="24"/>
              </w:rPr>
              <w:t>T</w:t>
            </w:r>
            <w:r>
              <w:rPr>
                <w:rFonts w:ascii="Times New Roman" w:hAnsi="Times New Roman" w:eastAsia="仿宋_GB2312"/>
                <w:sz w:val="24"/>
              </w:rPr>
              <w:t>4</w:t>
            </w:r>
          </w:p>
        </w:tc>
        <w:tc>
          <w:tcPr>
            <w:tcW w:w="1559" w:type="dxa"/>
          </w:tcPr>
          <w:p w14:paraId="17FCA738">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3</w:t>
            </w:r>
            <w:r>
              <w:rPr>
                <w:rFonts w:ascii="Times New Roman" w:hAnsi="Times New Roman" w:eastAsia="仿宋_GB2312"/>
                <w:sz w:val="24"/>
              </w:rPr>
              <w:t>0-40</w:t>
            </w:r>
          </w:p>
        </w:tc>
        <w:tc>
          <w:tcPr>
            <w:tcW w:w="1985" w:type="dxa"/>
            <w:shd w:val="clear" w:color="auto" w:fill="auto"/>
          </w:tcPr>
          <w:p w14:paraId="14A66139">
            <w:pPr>
              <w:tabs>
                <w:tab w:val="left" w:pos="360"/>
              </w:tabs>
              <w:spacing w:line="480" w:lineRule="exact"/>
              <w:jc w:val="center"/>
              <w:rPr>
                <w:rFonts w:ascii="Times New Roman" w:hAnsi="Times New Roman" w:eastAsia="仿宋_GB2312"/>
                <w:sz w:val="24"/>
              </w:rPr>
            </w:pPr>
            <w:r>
              <w:rPr>
                <w:rFonts w:ascii="Times New Roman" w:hAnsi="Times New Roman" w:eastAsia="仿宋_GB2312"/>
                <w:sz w:val="24"/>
              </w:rPr>
              <w:t>8</w:t>
            </w:r>
            <w:r>
              <w:rPr>
                <w:rFonts w:hint="eastAsia" w:eastAsia="仿宋_GB2312"/>
                <w:sz w:val="24"/>
                <w:lang w:val="en-US" w:eastAsia="zh-CN"/>
              </w:rPr>
              <w:t>2</w:t>
            </w:r>
            <w:r>
              <w:rPr>
                <w:rFonts w:ascii="Times New Roman" w:hAnsi="Times New Roman" w:eastAsia="仿宋_GB2312"/>
                <w:sz w:val="24"/>
              </w:rPr>
              <w:t>.39±1.11 a</w:t>
            </w:r>
          </w:p>
        </w:tc>
        <w:tc>
          <w:tcPr>
            <w:tcW w:w="1701" w:type="dxa"/>
            <w:shd w:val="clear" w:color="auto" w:fill="auto"/>
          </w:tcPr>
          <w:p w14:paraId="6DB95283">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5.21</w:t>
            </w:r>
            <w:r>
              <w:rPr>
                <w:rFonts w:hint="eastAsia" w:ascii="Times New Roman" w:hAnsi="Times New Roman" w:eastAsia="仿宋_GB2312"/>
                <w:sz w:val="24"/>
              </w:rPr>
              <w:t>±0</w:t>
            </w:r>
            <w:r>
              <w:rPr>
                <w:rFonts w:ascii="Times New Roman" w:hAnsi="Times New Roman" w:eastAsia="仿宋_GB2312"/>
                <w:sz w:val="24"/>
              </w:rPr>
              <w:t>.11a</w:t>
            </w:r>
          </w:p>
        </w:tc>
        <w:tc>
          <w:tcPr>
            <w:tcW w:w="1701" w:type="dxa"/>
          </w:tcPr>
          <w:p w14:paraId="61F58462">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4.65</w:t>
            </w:r>
            <w:r>
              <w:rPr>
                <w:rFonts w:hint="eastAsia" w:ascii="Times New Roman" w:hAnsi="Times New Roman" w:eastAsia="仿宋_GB2312"/>
                <w:sz w:val="24"/>
              </w:rPr>
              <w:t>±0</w:t>
            </w:r>
            <w:r>
              <w:rPr>
                <w:rFonts w:ascii="Times New Roman" w:hAnsi="Times New Roman" w:eastAsia="仿宋_GB2312"/>
                <w:sz w:val="24"/>
              </w:rPr>
              <w:t>.10a</w:t>
            </w:r>
          </w:p>
        </w:tc>
      </w:tr>
    </w:tbl>
    <w:p w14:paraId="7F8885AF">
      <w:pPr>
        <w:tabs>
          <w:tab w:val="left" w:pos="360"/>
        </w:tabs>
        <w:spacing w:line="480" w:lineRule="exact"/>
        <w:jc w:val="left"/>
        <w:rPr>
          <w:rFonts w:eastAsia="仿宋_GB2312"/>
          <w:sz w:val="24"/>
        </w:rPr>
      </w:pPr>
      <w:r>
        <w:rPr>
          <w:rFonts w:hint="eastAsia" w:eastAsia="仿宋_GB2312"/>
          <w:sz w:val="24"/>
        </w:rPr>
        <w:t>注：同列不同小写字母表示差异显著（P&lt;0.05</w:t>
      </w:r>
      <w:r>
        <w:rPr>
          <w:rFonts w:eastAsia="仿宋_GB2312"/>
          <w:sz w:val="24"/>
        </w:rPr>
        <w:t>）。</w:t>
      </w:r>
    </w:p>
    <w:p w14:paraId="0BC1AB72">
      <w:pPr>
        <w:spacing w:line="600" w:lineRule="exact"/>
        <w:ind w:firstLine="600" w:firstLineChars="200"/>
        <w:rPr>
          <w:rFonts w:hint="eastAsia" w:eastAsia="仿宋_GB2312"/>
          <w:sz w:val="30"/>
          <w:szCs w:val="30"/>
        </w:rPr>
      </w:pPr>
      <w:r>
        <w:rPr>
          <w:rFonts w:hint="eastAsia" w:eastAsia="仿宋_GB2312"/>
          <w:sz w:val="30"/>
          <w:szCs w:val="30"/>
        </w:rPr>
        <w:t>（</w:t>
      </w:r>
      <w:r>
        <w:rPr>
          <w:rFonts w:eastAsia="仿宋_GB2312"/>
          <w:sz w:val="30"/>
          <w:szCs w:val="30"/>
        </w:rPr>
        <w:t>4</w:t>
      </w:r>
      <w:r>
        <w:rPr>
          <w:rFonts w:hint="eastAsia" w:eastAsia="仿宋_GB2312"/>
          <w:sz w:val="30"/>
          <w:szCs w:val="30"/>
        </w:rPr>
        <w:t xml:space="preserve">）不同伐桩高度对互叶白千层生长量的影响 </w:t>
      </w:r>
    </w:p>
    <w:p w14:paraId="64424A85">
      <w:pPr>
        <w:spacing w:line="600" w:lineRule="exact"/>
        <w:ind w:firstLine="600" w:firstLineChars="200"/>
        <w:rPr>
          <w:rFonts w:hint="eastAsia" w:eastAsia="仿宋_GB2312"/>
          <w:sz w:val="30"/>
          <w:szCs w:val="30"/>
        </w:rPr>
      </w:pPr>
      <w:r>
        <w:rPr>
          <w:rFonts w:hint="eastAsia" w:eastAsia="仿宋_GB2312"/>
          <w:sz w:val="30"/>
          <w:szCs w:val="30"/>
        </w:rPr>
        <w:t>由表3可知，</w:t>
      </w:r>
      <w:r>
        <w:rPr>
          <w:rFonts w:hint="eastAsia" w:eastAsia="仿宋_GB2312"/>
          <w:sz w:val="30"/>
          <w:szCs w:val="30"/>
          <w:lang w:eastAsia="zh-CN"/>
        </w:rPr>
        <w:t>伐桩高度</w:t>
      </w:r>
      <w:r>
        <w:rPr>
          <w:rFonts w:hint="eastAsia" w:eastAsia="仿宋_GB2312"/>
          <w:sz w:val="30"/>
          <w:szCs w:val="30"/>
          <w:lang w:val="en-US" w:eastAsia="zh-CN"/>
        </w:rPr>
        <w:t>在10cm</w:t>
      </w:r>
      <w:r>
        <w:rPr>
          <w:rFonts w:eastAsia="仿宋_GB2312"/>
          <w:sz w:val="30"/>
          <w:szCs w:val="30"/>
        </w:rPr>
        <w:t>～</w:t>
      </w:r>
      <w:r>
        <w:rPr>
          <w:rFonts w:hint="eastAsia" w:eastAsia="仿宋_GB2312"/>
          <w:sz w:val="30"/>
          <w:szCs w:val="30"/>
          <w:lang w:val="en-US" w:eastAsia="zh-CN"/>
        </w:rPr>
        <w:t>20cm时</w:t>
      </w:r>
      <w:r>
        <w:rPr>
          <w:rFonts w:hint="eastAsia" w:eastAsia="仿宋_GB2312"/>
          <w:sz w:val="30"/>
          <w:szCs w:val="30"/>
        </w:rPr>
        <w:t>，互叶白千层伐桩上萌条的地径、高度、冠幅均</w:t>
      </w:r>
      <w:r>
        <w:rPr>
          <w:rFonts w:hint="eastAsia" w:eastAsia="仿宋_GB2312"/>
          <w:sz w:val="30"/>
          <w:szCs w:val="30"/>
          <w:lang w:val="en-US" w:eastAsia="zh-CN"/>
        </w:rPr>
        <w:t>最大</w:t>
      </w:r>
      <w:r>
        <w:rPr>
          <w:rFonts w:hint="eastAsia" w:eastAsia="仿宋_GB2312"/>
          <w:sz w:val="30"/>
          <w:szCs w:val="30"/>
        </w:rPr>
        <w:t>。</w:t>
      </w:r>
    </w:p>
    <w:tbl>
      <w:tblPr>
        <w:tblStyle w:val="10"/>
        <w:tblW w:w="7938" w:type="dxa"/>
        <w:tblInd w:w="56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1276"/>
        <w:gridCol w:w="1842"/>
        <w:gridCol w:w="1985"/>
        <w:gridCol w:w="1984"/>
      </w:tblGrid>
      <w:tr w14:paraId="4670EF4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tcBorders>
              <w:top w:val="single" w:color="auto" w:sz="4" w:space="0"/>
              <w:bottom w:val="single" w:color="auto" w:sz="4" w:space="0"/>
            </w:tcBorders>
            <w:shd w:val="clear" w:color="auto" w:fill="auto"/>
          </w:tcPr>
          <w:p w14:paraId="7D9A15E6">
            <w:pPr>
              <w:tabs>
                <w:tab w:val="left" w:pos="360"/>
              </w:tabs>
              <w:spacing w:line="480" w:lineRule="exact"/>
              <w:jc w:val="center"/>
              <w:rPr>
                <w:rFonts w:ascii="Times New Roman" w:hAnsi="Times New Roman" w:eastAsia="仿宋_GB2312"/>
                <w:sz w:val="24"/>
              </w:rPr>
            </w:pPr>
            <w:r>
              <w:rPr>
                <w:rFonts w:hint="eastAsia" w:ascii="Times New Roman" w:hAnsi="Times New Roman" w:eastAsia="仿宋_GB2312"/>
                <w:sz w:val="24"/>
              </w:rPr>
              <w:t>处理</w:t>
            </w:r>
          </w:p>
        </w:tc>
        <w:tc>
          <w:tcPr>
            <w:tcW w:w="1276" w:type="dxa"/>
            <w:tcBorders>
              <w:top w:val="single" w:color="auto" w:sz="4" w:space="0"/>
              <w:bottom w:val="single" w:color="auto" w:sz="4" w:space="0"/>
            </w:tcBorders>
          </w:tcPr>
          <w:p w14:paraId="2CC50FD5">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伐桩高度</w:t>
            </w:r>
          </w:p>
        </w:tc>
        <w:tc>
          <w:tcPr>
            <w:tcW w:w="1842" w:type="dxa"/>
            <w:tcBorders>
              <w:top w:val="single" w:color="auto" w:sz="4" w:space="0"/>
              <w:bottom w:val="single" w:color="auto" w:sz="4" w:space="0"/>
            </w:tcBorders>
            <w:shd w:val="clear" w:color="auto" w:fill="auto"/>
          </w:tcPr>
          <w:p w14:paraId="5471CAF4">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萌条地径/</w:t>
            </w:r>
            <w:r>
              <w:rPr>
                <w:rFonts w:ascii="Times New Roman" w:hAnsi="Times New Roman" w:eastAsia="仿宋_GB2312"/>
                <w:sz w:val="24"/>
              </w:rPr>
              <w:t>mm</w:t>
            </w:r>
          </w:p>
        </w:tc>
        <w:tc>
          <w:tcPr>
            <w:tcW w:w="1985" w:type="dxa"/>
            <w:tcBorders>
              <w:top w:val="single" w:color="auto" w:sz="4" w:space="0"/>
              <w:bottom w:val="single" w:color="auto" w:sz="4" w:space="0"/>
            </w:tcBorders>
            <w:shd w:val="clear" w:color="auto" w:fill="auto"/>
          </w:tcPr>
          <w:p w14:paraId="5580B06B">
            <w:pPr>
              <w:tabs>
                <w:tab w:val="left" w:pos="360"/>
              </w:tabs>
              <w:spacing w:line="480" w:lineRule="exact"/>
              <w:jc w:val="center"/>
              <w:rPr>
                <w:rFonts w:ascii="Times New Roman" w:hAnsi="Times New Roman" w:eastAsia="仿宋_GB2312"/>
                <w:sz w:val="24"/>
              </w:rPr>
            </w:pPr>
            <w:r>
              <w:rPr>
                <w:rFonts w:hint="eastAsia" w:ascii="Times New Roman" w:hAnsi="Times New Roman" w:eastAsia="仿宋_GB2312"/>
                <w:sz w:val="24"/>
              </w:rPr>
              <w:t>萌条高度</w:t>
            </w:r>
            <w:r>
              <w:rPr>
                <w:rFonts w:ascii="Times New Roman" w:hAnsi="Times New Roman" w:eastAsia="仿宋_GB2312"/>
                <w:sz w:val="24"/>
              </w:rPr>
              <w:t>/</w:t>
            </w:r>
            <w:r>
              <w:rPr>
                <w:rFonts w:hint="eastAsia" w:ascii="Times New Roman" w:hAnsi="Times New Roman" w:eastAsia="仿宋_GB2312"/>
                <w:sz w:val="24"/>
              </w:rPr>
              <w:t>c</w:t>
            </w:r>
            <w:r>
              <w:rPr>
                <w:rFonts w:ascii="Times New Roman" w:hAnsi="Times New Roman" w:eastAsia="仿宋_GB2312"/>
                <w:sz w:val="24"/>
              </w:rPr>
              <w:t>m</w:t>
            </w:r>
          </w:p>
        </w:tc>
        <w:tc>
          <w:tcPr>
            <w:tcW w:w="1984" w:type="dxa"/>
            <w:tcBorders>
              <w:top w:val="single" w:color="auto" w:sz="4" w:space="0"/>
              <w:bottom w:val="single" w:color="auto" w:sz="4" w:space="0"/>
            </w:tcBorders>
          </w:tcPr>
          <w:p w14:paraId="0C13B8BE">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萌条冠幅</w:t>
            </w:r>
          </w:p>
        </w:tc>
      </w:tr>
      <w:tr w14:paraId="668AD7C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tcBorders>
              <w:top w:val="single" w:color="auto" w:sz="4" w:space="0"/>
            </w:tcBorders>
            <w:shd w:val="clear" w:color="auto" w:fill="auto"/>
          </w:tcPr>
          <w:p w14:paraId="4462D8D8">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T</w:t>
            </w:r>
            <w:r>
              <w:rPr>
                <w:rFonts w:ascii="Times New Roman" w:hAnsi="Times New Roman" w:eastAsia="仿宋_GB2312"/>
                <w:sz w:val="24"/>
              </w:rPr>
              <w:t xml:space="preserve">1 </w:t>
            </w:r>
          </w:p>
        </w:tc>
        <w:tc>
          <w:tcPr>
            <w:tcW w:w="1276" w:type="dxa"/>
            <w:tcBorders>
              <w:top w:val="single" w:color="auto" w:sz="4" w:space="0"/>
            </w:tcBorders>
          </w:tcPr>
          <w:p w14:paraId="28964117">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5</w:t>
            </w:r>
            <w:r>
              <w:rPr>
                <w:rFonts w:ascii="Times New Roman" w:hAnsi="Times New Roman" w:eastAsia="仿宋_GB2312"/>
                <w:sz w:val="24"/>
              </w:rPr>
              <w:t>-10</w:t>
            </w:r>
          </w:p>
        </w:tc>
        <w:tc>
          <w:tcPr>
            <w:tcW w:w="1842" w:type="dxa"/>
            <w:tcBorders>
              <w:top w:val="single" w:color="auto" w:sz="4" w:space="0"/>
            </w:tcBorders>
            <w:shd w:val="clear" w:color="auto" w:fill="auto"/>
          </w:tcPr>
          <w:p w14:paraId="10B129F0">
            <w:pPr>
              <w:tabs>
                <w:tab w:val="left" w:pos="360"/>
              </w:tabs>
              <w:spacing w:line="480" w:lineRule="exact"/>
              <w:jc w:val="center"/>
              <w:rPr>
                <w:rFonts w:ascii="Times New Roman" w:hAnsi="Times New Roman" w:eastAsia="仿宋_GB2312"/>
                <w:sz w:val="24"/>
              </w:rPr>
            </w:pPr>
            <w:r>
              <w:rPr>
                <w:rFonts w:hint="eastAsia" w:eastAsia="仿宋_GB2312"/>
                <w:sz w:val="24"/>
                <w:lang w:val="en-US" w:eastAsia="zh-CN"/>
              </w:rPr>
              <w:t>20</w:t>
            </w:r>
            <w:r>
              <w:rPr>
                <w:rFonts w:ascii="Times New Roman" w:hAnsi="Times New Roman" w:eastAsia="仿宋_GB2312"/>
                <w:sz w:val="24"/>
              </w:rPr>
              <w:t>.33</w:t>
            </w:r>
            <w:r>
              <w:rPr>
                <w:rFonts w:hint="eastAsia" w:ascii="Times New Roman" w:hAnsi="Times New Roman" w:eastAsia="仿宋_GB2312"/>
                <w:sz w:val="24"/>
              </w:rPr>
              <w:t>±0.</w:t>
            </w:r>
            <w:r>
              <w:rPr>
                <w:rFonts w:ascii="Times New Roman" w:hAnsi="Times New Roman" w:eastAsia="仿宋_GB2312"/>
                <w:sz w:val="24"/>
              </w:rPr>
              <w:t>33</w:t>
            </w:r>
            <w:r>
              <w:rPr>
                <w:rFonts w:hint="eastAsia" w:ascii="Times New Roman" w:hAnsi="Times New Roman" w:eastAsia="仿宋_GB2312"/>
                <w:sz w:val="24"/>
              </w:rPr>
              <w:t xml:space="preserve"> a</w:t>
            </w:r>
          </w:p>
        </w:tc>
        <w:tc>
          <w:tcPr>
            <w:tcW w:w="1985" w:type="dxa"/>
            <w:tcBorders>
              <w:top w:val="single" w:color="auto" w:sz="4" w:space="0"/>
            </w:tcBorders>
            <w:shd w:val="clear" w:color="auto" w:fill="auto"/>
          </w:tcPr>
          <w:p w14:paraId="2C7E45A9">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1</w:t>
            </w:r>
            <w:r>
              <w:rPr>
                <w:rFonts w:ascii="Times New Roman" w:hAnsi="Times New Roman" w:eastAsia="仿宋_GB2312"/>
                <w:sz w:val="24"/>
              </w:rPr>
              <w:t>82.67</w:t>
            </w:r>
            <w:r>
              <w:rPr>
                <w:rFonts w:hint="eastAsia" w:ascii="Times New Roman" w:hAnsi="Times New Roman" w:eastAsia="仿宋_GB2312"/>
                <w:sz w:val="24"/>
              </w:rPr>
              <w:t>±5</w:t>
            </w:r>
            <w:r>
              <w:rPr>
                <w:rFonts w:ascii="Times New Roman" w:hAnsi="Times New Roman" w:eastAsia="仿宋_GB2312"/>
                <w:sz w:val="24"/>
              </w:rPr>
              <w:t>.81b</w:t>
            </w:r>
          </w:p>
        </w:tc>
        <w:tc>
          <w:tcPr>
            <w:tcW w:w="1984" w:type="dxa"/>
            <w:tcBorders>
              <w:top w:val="single" w:color="auto" w:sz="4" w:space="0"/>
            </w:tcBorders>
          </w:tcPr>
          <w:p w14:paraId="74C45B54">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50.</w:t>
            </w:r>
            <w:r>
              <w:rPr>
                <w:rFonts w:ascii="Times New Roman" w:hAnsi="Times New Roman" w:eastAsia="仿宋_GB2312"/>
                <w:sz w:val="24"/>
              </w:rPr>
              <w:t>33</w:t>
            </w:r>
            <w:r>
              <w:rPr>
                <w:rFonts w:hint="eastAsia" w:ascii="Times New Roman" w:hAnsi="Times New Roman" w:eastAsia="仿宋_GB2312"/>
                <w:sz w:val="24"/>
              </w:rPr>
              <w:t>±</w:t>
            </w:r>
            <w:r>
              <w:rPr>
                <w:rFonts w:ascii="Times New Roman" w:hAnsi="Times New Roman" w:eastAsia="仿宋_GB2312"/>
                <w:sz w:val="24"/>
              </w:rPr>
              <w:t>0.88</w:t>
            </w:r>
            <w:r>
              <w:rPr>
                <w:rFonts w:hint="eastAsia" w:ascii="Times New Roman" w:hAnsi="Times New Roman" w:eastAsia="仿宋_GB2312"/>
                <w:sz w:val="24"/>
              </w:rPr>
              <w:t xml:space="preserve"> b</w:t>
            </w:r>
          </w:p>
        </w:tc>
      </w:tr>
      <w:tr w14:paraId="6C37C84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shd w:val="clear" w:color="auto" w:fill="auto"/>
          </w:tcPr>
          <w:p w14:paraId="2183F884">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 xml:space="preserve">T2 </w:t>
            </w:r>
          </w:p>
        </w:tc>
        <w:tc>
          <w:tcPr>
            <w:tcW w:w="1276" w:type="dxa"/>
          </w:tcPr>
          <w:p w14:paraId="394AD7A7">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1</w:t>
            </w:r>
            <w:r>
              <w:rPr>
                <w:rFonts w:ascii="Times New Roman" w:hAnsi="Times New Roman" w:eastAsia="仿宋_GB2312"/>
                <w:sz w:val="24"/>
              </w:rPr>
              <w:t>0-20</w:t>
            </w:r>
          </w:p>
        </w:tc>
        <w:tc>
          <w:tcPr>
            <w:tcW w:w="1842" w:type="dxa"/>
            <w:shd w:val="clear" w:color="auto" w:fill="auto"/>
          </w:tcPr>
          <w:p w14:paraId="36A5A991">
            <w:pPr>
              <w:tabs>
                <w:tab w:val="left" w:pos="360"/>
              </w:tabs>
              <w:spacing w:line="480" w:lineRule="exact"/>
              <w:jc w:val="center"/>
              <w:rPr>
                <w:rFonts w:ascii="Times New Roman" w:hAnsi="Times New Roman" w:eastAsia="仿宋_GB2312"/>
                <w:sz w:val="24"/>
              </w:rPr>
            </w:pPr>
            <w:r>
              <w:rPr>
                <w:rFonts w:hint="eastAsia" w:eastAsia="仿宋_GB2312"/>
                <w:sz w:val="24"/>
                <w:lang w:val="en-US" w:eastAsia="zh-CN"/>
              </w:rPr>
              <w:t>21</w:t>
            </w:r>
            <w:r>
              <w:rPr>
                <w:rFonts w:ascii="Times New Roman" w:hAnsi="Times New Roman" w:eastAsia="仿宋_GB2312"/>
                <w:sz w:val="24"/>
              </w:rPr>
              <w:t>.00</w:t>
            </w:r>
            <w:r>
              <w:rPr>
                <w:rFonts w:hint="eastAsia" w:ascii="Times New Roman" w:hAnsi="Times New Roman" w:eastAsia="仿宋_GB2312"/>
                <w:sz w:val="24"/>
              </w:rPr>
              <w:t>±0</w:t>
            </w:r>
            <w:r>
              <w:rPr>
                <w:rFonts w:ascii="Times New Roman" w:hAnsi="Times New Roman" w:eastAsia="仿宋_GB2312"/>
                <w:sz w:val="24"/>
              </w:rPr>
              <w:t>.58a</w:t>
            </w:r>
          </w:p>
        </w:tc>
        <w:tc>
          <w:tcPr>
            <w:tcW w:w="1985" w:type="dxa"/>
            <w:shd w:val="clear" w:color="auto" w:fill="auto"/>
          </w:tcPr>
          <w:p w14:paraId="071131F8">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201</w:t>
            </w:r>
            <w:r>
              <w:rPr>
                <w:rFonts w:hint="eastAsia" w:ascii="Times New Roman" w:hAnsi="Times New Roman" w:eastAsia="仿宋_GB2312"/>
                <w:sz w:val="24"/>
              </w:rPr>
              <w:t>±5</w:t>
            </w:r>
            <w:r>
              <w:rPr>
                <w:rFonts w:ascii="Times New Roman" w:hAnsi="Times New Roman" w:eastAsia="仿宋_GB2312"/>
                <w:sz w:val="24"/>
              </w:rPr>
              <w:t>.77a</w:t>
            </w:r>
          </w:p>
        </w:tc>
        <w:tc>
          <w:tcPr>
            <w:tcW w:w="1984" w:type="dxa"/>
          </w:tcPr>
          <w:p w14:paraId="6127F640">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5</w:t>
            </w:r>
            <w:r>
              <w:rPr>
                <w:rFonts w:ascii="Times New Roman" w:hAnsi="Times New Roman" w:eastAsia="仿宋_GB2312"/>
                <w:sz w:val="24"/>
              </w:rPr>
              <w:t>9.33</w:t>
            </w:r>
            <w:r>
              <w:rPr>
                <w:rFonts w:hint="eastAsia" w:ascii="Times New Roman" w:hAnsi="Times New Roman" w:eastAsia="仿宋_GB2312"/>
                <w:sz w:val="24"/>
              </w:rPr>
              <w:t>±</w:t>
            </w:r>
            <w:r>
              <w:rPr>
                <w:rFonts w:ascii="Times New Roman" w:hAnsi="Times New Roman" w:eastAsia="仿宋_GB2312"/>
                <w:sz w:val="24"/>
              </w:rPr>
              <w:t>2.85</w:t>
            </w:r>
            <w:r>
              <w:rPr>
                <w:rFonts w:hint="eastAsia" w:ascii="Times New Roman" w:hAnsi="Times New Roman" w:eastAsia="仿宋_GB2312"/>
                <w:sz w:val="24"/>
              </w:rPr>
              <w:t xml:space="preserve"> a</w:t>
            </w:r>
          </w:p>
        </w:tc>
      </w:tr>
      <w:tr w14:paraId="5C349A0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shd w:val="clear" w:color="auto" w:fill="auto"/>
          </w:tcPr>
          <w:p w14:paraId="42403BE5">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T3</w:t>
            </w:r>
          </w:p>
        </w:tc>
        <w:tc>
          <w:tcPr>
            <w:tcW w:w="1276" w:type="dxa"/>
          </w:tcPr>
          <w:p w14:paraId="67A3BD82">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2</w:t>
            </w:r>
            <w:r>
              <w:rPr>
                <w:rFonts w:ascii="Times New Roman" w:hAnsi="Times New Roman" w:eastAsia="仿宋_GB2312"/>
                <w:sz w:val="24"/>
              </w:rPr>
              <w:t>0-30</w:t>
            </w:r>
          </w:p>
        </w:tc>
        <w:tc>
          <w:tcPr>
            <w:tcW w:w="1842" w:type="dxa"/>
            <w:shd w:val="clear" w:color="auto" w:fill="auto"/>
          </w:tcPr>
          <w:p w14:paraId="63D4D6F1">
            <w:pPr>
              <w:tabs>
                <w:tab w:val="left" w:pos="360"/>
              </w:tabs>
              <w:spacing w:line="480" w:lineRule="exact"/>
              <w:jc w:val="center"/>
              <w:rPr>
                <w:rFonts w:ascii="Times New Roman" w:hAnsi="Times New Roman" w:eastAsia="仿宋_GB2312"/>
                <w:sz w:val="24"/>
              </w:rPr>
            </w:pPr>
            <w:r>
              <w:rPr>
                <w:rFonts w:hint="eastAsia" w:eastAsia="仿宋_GB2312"/>
                <w:sz w:val="24"/>
                <w:lang w:val="en-US" w:eastAsia="zh-CN"/>
              </w:rPr>
              <w:t>19</w:t>
            </w:r>
            <w:r>
              <w:rPr>
                <w:rFonts w:ascii="Times New Roman" w:hAnsi="Times New Roman" w:eastAsia="仿宋_GB2312"/>
                <w:sz w:val="24"/>
              </w:rPr>
              <w:t>.67</w:t>
            </w:r>
            <w:r>
              <w:rPr>
                <w:rFonts w:hint="eastAsia" w:ascii="Times New Roman" w:hAnsi="Times New Roman" w:eastAsia="仿宋_GB2312"/>
                <w:sz w:val="24"/>
              </w:rPr>
              <w:t>±0.</w:t>
            </w:r>
            <w:r>
              <w:rPr>
                <w:rFonts w:ascii="Times New Roman" w:hAnsi="Times New Roman" w:eastAsia="仿宋_GB2312"/>
                <w:sz w:val="24"/>
              </w:rPr>
              <w:t>33</w:t>
            </w:r>
            <w:r>
              <w:rPr>
                <w:rFonts w:hint="eastAsia" w:ascii="Times New Roman" w:hAnsi="Times New Roman" w:eastAsia="仿宋_GB2312"/>
                <w:sz w:val="24"/>
              </w:rPr>
              <w:t xml:space="preserve"> a</w:t>
            </w:r>
            <w:r>
              <w:rPr>
                <w:rFonts w:ascii="Times New Roman" w:hAnsi="Times New Roman" w:eastAsia="仿宋_GB2312"/>
                <w:sz w:val="24"/>
              </w:rPr>
              <w:t>b</w:t>
            </w:r>
          </w:p>
        </w:tc>
        <w:tc>
          <w:tcPr>
            <w:tcW w:w="1985" w:type="dxa"/>
            <w:shd w:val="clear" w:color="auto" w:fill="auto"/>
          </w:tcPr>
          <w:p w14:paraId="17C81260">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1</w:t>
            </w:r>
            <w:r>
              <w:rPr>
                <w:rFonts w:ascii="Times New Roman" w:hAnsi="Times New Roman" w:eastAsia="仿宋_GB2312"/>
                <w:sz w:val="24"/>
              </w:rPr>
              <w:t>63.67</w:t>
            </w:r>
            <w:r>
              <w:rPr>
                <w:rFonts w:hint="eastAsia" w:ascii="Times New Roman" w:hAnsi="Times New Roman" w:eastAsia="仿宋_GB2312"/>
                <w:sz w:val="24"/>
              </w:rPr>
              <w:t>±5</w:t>
            </w:r>
            <w:r>
              <w:rPr>
                <w:rFonts w:ascii="Times New Roman" w:hAnsi="Times New Roman" w:eastAsia="仿宋_GB2312"/>
                <w:sz w:val="24"/>
              </w:rPr>
              <w:t>.81c</w:t>
            </w:r>
          </w:p>
        </w:tc>
        <w:tc>
          <w:tcPr>
            <w:tcW w:w="1984" w:type="dxa"/>
          </w:tcPr>
          <w:p w14:paraId="7357BB6E">
            <w:pPr>
              <w:tabs>
                <w:tab w:val="left" w:pos="360"/>
              </w:tabs>
              <w:spacing w:line="480" w:lineRule="exact"/>
              <w:jc w:val="center"/>
              <w:rPr>
                <w:rFonts w:hint="eastAsia" w:ascii="Times New Roman" w:hAnsi="Times New Roman" w:eastAsia="仿宋_GB2312"/>
                <w:sz w:val="24"/>
              </w:rPr>
            </w:pPr>
            <w:r>
              <w:rPr>
                <w:rFonts w:ascii="Times New Roman" w:hAnsi="Times New Roman" w:eastAsia="仿宋_GB2312"/>
                <w:sz w:val="24"/>
              </w:rPr>
              <w:t>45</w:t>
            </w:r>
            <w:r>
              <w:rPr>
                <w:rFonts w:hint="eastAsia" w:ascii="Times New Roman" w:hAnsi="Times New Roman" w:eastAsia="仿宋_GB2312"/>
                <w:sz w:val="24"/>
              </w:rPr>
              <w:t>±</w:t>
            </w:r>
            <w:r>
              <w:rPr>
                <w:rFonts w:ascii="Times New Roman" w:hAnsi="Times New Roman" w:eastAsia="仿宋_GB2312"/>
                <w:sz w:val="24"/>
              </w:rPr>
              <w:t>1.73</w:t>
            </w:r>
            <w:r>
              <w:rPr>
                <w:rFonts w:hint="eastAsia" w:ascii="Times New Roman" w:hAnsi="Times New Roman" w:eastAsia="仿宋_GB2312"/>
                <w:sz w:val="24"/>
              </w:rPr>
              <w:t xml:space="preserve"> </w:t>
            </w:r>
            <w:r>
              <w:rPr>
                <w:rFonts w:ascii="Times New Roman" w:hAnsi="Times New Roman" w:eastAsia="仿宋_GB2312"/>
                <w:sz w:val="24"/>
              </w:rPr>
              <w:t>bc</w:t>
            </w:r>
          </w:p>
        </w:tc>
      </w:tr>
      <w:tr w14:paraId="55042F8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 w:type="dxa"/>
            <w:shd w:val="clear" w:color="auto" w:fill="auto"/>
          </w:tcPr>
          <w:p w14:paraId="6EC9DE4A">
            <w:pPr>
              <w:tabs>
                <w:tab w:val="left" w:pos="360"/>
              </w:tabs>
              <w:spacing w:line="480" w:lineRule="exact"/>
              <w:jc w:val="center"/>
              <w:rPr>
                <w:rFonts w:ascii="Times New Roman" w:hAnsi="Times New Roman" w:eastAsia="仿宋_GB2312"/>
                <w:sz w:val="24"/>
              </w:rPr>
            </w:pPr>
            <w:r>
              <w:rPr>
                <w:rFonts w:hint="eastAsia" w:ascii="Times New Roman" w:hAnsi="Times New Roman" w:eastAsia="仿宋_GB2312"/>
                <w:sz w:val="24"/>
              </w:rPr>
              <w:t>T</w:t>
            </w:r>
            <w:r>
              <w:rPr>
                <w:rFonts w:ascii="Times New Roman" w:hAnsi="Times New Roman" w:eastAsia="仿宋_GB2312"/>
                <w:sz w:val="24"/>
              </w:rPr>
              <w:t>4</w:t>
            </w:r>
          </w:p>
        </w:tc>
        <w:tc>
          <w:tcPr>
            <w:tcW w:w="1276" w:type="dxa"/>
          </w:tcPr>
          <w:p w14:paraId="2EDDFF6C">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3</w:t>
            </w:r>
            <w:r>
              <w:rPr>
                <w:rFonts w:ascii="Times New Roman" w:hAnsi="Times New Roman" w:eastAsia="仿宋_GB2312"/>
                <w:sz w:val="24"/>
              </w:rPr>
              <w:t>0-40</w:t>
            </w:r>
          </w:p>
        </w:tc>
        <w:tc>
          <w:tcPr>
            <w:tcW w:w="1842" w:type="dxa"/>
            <w:shd w:val="clear" w:color="auto" w:fill="auto"/>
          </w:tcPr>
          <w:p w14:paraId="1CACF6F1">
            <w:pPr>
              <w:tabs>
                <w:tab w:val="left" w:pos="360"/>
              </w:tabs>
              <w:spacing w:line="480" w:lineRule="exact"/>
              <w:jc w:val="center"/>
              <w:rPr>
                <w:rFonts w:hint="eastAsia" w:ascii="Times New Roman" w:hAnsi="Times New Roman" w:eastAsia="仿宋_GB2312"/>
                <w:sz w:val="24"/>
              </w:rPr>
            </w:pPr>
            <w:r>
              <w:rPr>
                <w:rFonts w:hint="eastAsia" w:eastAsia="仿宋_GB2312"/>
                <w:sz w:val="24"/>
                <w:lang w:val="en-US" w:eastAsia="zh-CN"/>
              </w:rPr>
              <w:t>17</w:t>
            </w:r>
            <w:r>
              <w:rPr>
                <w:rFonts w:ascii="Times New Roman" w:hAnsi="Times New Roman" w:eastAsia="仿宋_GB2312"/>
                <w:sz w:val="24"/>
              </w:rPr>
              <w:t>.</w:t>
            </w:r>
            <w:r>
              <w:rPr>
                <w:rFonts w:hint="eastAsia" w:eastAsia="仿宋_GB2312"/>
                <w:sz w:val="24"/>
                <w:lang w:val="en-US" w:eastAsia="zh-CN"/>
              </w:rPr>
              <w:t>54</w:t>
            </w:r>
            <w:r>
              <w:rPr>
                <w:rFonts w:hint="eastAsia" w:ascii="Times New Roman" w:hAnsi="Times New Roman" w:eastAsia="仿宋_GB2312"/>
                <w:sz w:val="24"/>
              </w:rPr>
              <w:t>±0.</w:t>
            </w:r>
            <w:r>
              <w:rPr>
                <w:rFonts w:ascii="Times New Roman" w:hAnsi="Times New Roman" w:eastAsia="仿宋_GB2312"/>
                <w:sz w:val="24"/>
              </w:rPr>
              <w:t>33</w:t>
            </w:r>
            <w:r>
              <w:rPr>
                <w:rFonts w:hint="eastAsia" w:ascii="Times New Roman" w:hAnsi="Times New Roman" w:eastAsia="仿宋_GB2312"/>
                <w:sz w:val="24"/>
              </w:rPr>
              <w:t xml:space="preserve"> </w:t>
            </w:r>
            <w:r>
              <w:rPr>
                <w:rFonts w:ascii="Times New Roman" w:hAnsi="Times New Roman" w:eastAsia="仿宋_GB2312"/>
                <w:sz w:val="24"/>
              </w:rPr>
              <w:t>b</w:t>
            </w:r>
          </w:p>
        </w:tc>
        <w:tc>
          <w:tcPr>
            <w:tcW w:w="1985" w:type="dxa"/>
            <w:shd w:val="clear" w:color="auto" w:fill="auto"/>
          </w:tcPr>
          <w:p w14:paraId="2EB394F0">
            <w:pPr>
              <w:tabs>
                <w:tab w:val="left" w:pos="360"/>
              </w:tabs>
              <w:spacing w:line="480" w:lineRule="exact"/>
              <w:jc w:val="center"/>
              <w:rPr>
                <w:rFonts w:ascii="Times New Roman" w:hAnsi="Times New Roman" w:eastAsia="仿宋_GB2312"/>
                <w:sz w:val="24"/>
              </w:rPr>
            </w:pPr>
            <w:r>
              <w:rPr>
                <w:rFonts w:hint="eastAsia" w:ascii="Times New Roman" w:hAnsi="Times New Roman" w:eastAsia="仿宋_GB2312"/>
                <w:sz w:val="24"/>
              </w:rPr>
              <w:t>1</w:t>
            </w:r>
            <w:r>
              <w:rPr>
                <w:rFonts w:ascii="Times New Roman" w:hAnsi="Times New Roman" w:eastAsia="仿宋_GB2312"/>
                <w:sz w:val="24"/>
              </w:rPr>
              <w:t>53.33</w:t>
            </w:r>
            <w:r>
              <w:rPr>
                <w:rFonts w:hint="eastAsia" w:ascii="Times New Roman" w:hAnsi="Times New Roman" w:eastAsia="仿宋_GB2312"/>
                <w:sz w:val="24"/>
              </w:rPr>
              <w:t>±4</w:t>
            </w:r>
            <w:r>
              <w:rPr>
                <w:rFonts w:ascii="Times New Roman" w:hAnsi="Times New Roman" w:eastAsia="仿宋_GB2312"/>
                <w:sz w:val="24"/>
              </w:rPr>
              <w:t>.37c</w:t>
            </w:r>
          </w:p>
        </w:tc>
        <w:tc>
          <w:tcPr>
            <w:tcW w:w="1984" w:type="dxa"/>
          </w:tcPr>
          <w:p w14:paraId="6A8A9B87">
            <w:pPr>
              <w:tabs>
                <w:tab w:val="left" w:pos="360"/>
              </w:tabs>
              <w:spacing w:line="480" w:lineRule="exact"/>
              <w:jc w:val="center"/>
              <w:rPr>
                <w:rFonts w:hint="eastAsia" w:ascii="Times New Roman" w:hAnsi="Times New Roman" w:eastAsia="仿宋_GB2312"/>
                <w:sz w:val="24"/>
              </w:rPr>
            </w:pPr>
            <w:r>
              <w:rPr>
                <w:rFonts w:hint="eastAsia" w:ascii="Times New Roman" w:hAnsi="Times New Roman" w:eastAsia="仿宋_GB2312"/>
                <w:sz w:val="24"/>
              </w:rPr>
              <w:t>4</w:t>
            </w:r>
            <w:r>
              <w:rPr>
                <w:rFonts w:ascii="Times New Roman" w:hAnsi="Times New Roman" w:eastAsia="仿宋_GB2312"/>
                <w:sz w:val="24"/>
              </w:rPr>
              <w:t>2.67</w:t>
            </w:r>
            <w:r>
              <w:rPr>
                <w:rFonts w:hint="eastAsia" w:ascii="Times New Roman" w:hAnsi="Times New Roman" w:eastAsia="仿宋_GB2312"/>
                <w:sz w:val="24"/>
              </w:rPr>
              <w:t>±1</w:t>
            </w:r>
            <w:r>
              <w:rPr>
                <w:rFonts w:ascii="Times New Roman" w:hAnsi="Times New Roman" w:eastAsia="仿宋_GB2312"/>
                <w:sz w:val="24"/>
              </w:rPr>
              <w:t>.02c</w:t>
            </w:r>
          </w:p>
        </w:tc>
      </w:tr>
    </w:tbl>
    <w:p w14:paraId="2AAC1AD0">
      <w:pPr>
        <w:pStyle w:val="48"/>
        <w:ind w:firstLine="420"/>
        <w:rPr>
          <w:rFonts w:hint="default" w:eastAsia="仿宋_GB2312"/>
          <w:sz w:val="30"/>
          <w:szCs w:val="30"/>
          <w:lang w:val="en-US" w:eastAsia="zh-CN"/>
        </w:rPr>
      </w:pPr>
      <w:r>
        <w:rPr>
          <w:rFonts w:hint="eastAsia" w:eastAsia="仿宋_GB2312"/>
          <w:sz w:val="30"/>
          <w:szCs w:val="30"/>
          <w:lang w:eastAsia="zh-CN"/>
        </w:rPr>
        <w:t>（</w:t>
      </w:r>
      <w:r>
        <w:rPr>
          <w:rFonts w:hint="eastAsia" w:eastAsia="仿宋_GB2312"/>
          <w:sz w:val="30"/>
          <w:szCs w:val="30"/>
          <w:lang w:val="en-US" w:eastAsia="zh-CN"/>
        </w:rPr>
        <w:t>5</w:t>
      </w:r>
      <w:r>
        <w:rPr>
          <w:rFonts w:hint="eastAsia" w:eastAsia="仿宋_GB2312"/>
          <w:sz w:val="30"/>
          <w:szCs w:val="30"/>
          <w:lang w:eastAsia="zh-CN"/>
        </w:rPr>
        <w:t>）</w:t>
      </w:r>
      <w:r>
        <w:rPr>
          <w:rFonts w:hint="eastAsia" w:eastAsia="仿宋_GB2312"/>
          <w:sz w:val="30"/>
          <w:szCs w:val="30"/>
          <w:lang w:val="en-US" w:eastAsia="zh-CN"/>
        </w:rPr>
        <w:t>生产设备</w:t>
      </w:r>
      <w:r>
        <w:rPr>
          <w:rFonts w:hint="eastAsia" w:eastAsia="仿宋_GB2312"/>
          <w:sz w:val="30"/>
          <w:szCs w:val="30"/>
          <w:highlight w:val="none"/>
          <w:lang w:val="en-US" w:eastAsia="zh-CN"/>
        </w:rPr>
        <w:t>（补充设备示意图）</w:t>
      </w:r>
    </w:p>
    <w:p w14:paraId="777CF026">
      <w:pPr>
        <w:pStyle w:val="48"/>
        <w:ind w:firstLine="420"/>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生产设备的制作应符合GB 150（所有部分）和GB/T 151 的要求，管道的安装按GB/T 20801.1的规定执行。生产设备包括但不限于：</w:t>
      </w:r>
    </w:p>
    <w:p w14:paraId="0E337220">
      <w:pPr>
        <w:pStyle w:val="47"/>
        <w:keepNext w:val="0"/>
        <w:keepLines w:val="0"/>
        <w:pageBreakBefore w:val="0"/>
        <w:widowControl/>
        <w:numPr>
          <w:ilvl w:val="0"/>
          <w:numId w:val="0"/>
        </w:numPr>
        <w:kinsoku/>
        <w:wordWrap/>
        <w:overflowPunct/>
        <w:topLinePunct w:val="0"/>
        <w:autoSpaceDE/>
        <w:autoSpaceDN/>
        <w:bidi w:val="0"/>
        <w:adjustRightInd/>
        <w:snapToGrid/>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eastAsia="仿宋_GB2312" w:cs="Times New Roman"/>
          <w:kern w:val="2"/>
          <w:sz w:val="30"/>
          <w:szCs w:val="30"/>
          <w:lang w:val="en-US" w:eastAsia="zh-CN" w:bidi="ar-SA"/>
        </w:rPr>
        <w:t>A)</w:t>
      </w:r>
      <w:r>
        <w:rPr>
          <w:rFonts w:hint="eastAsia" w:ascii="Times New Roman" w:hAnsi="Times New Roman" w:eastAsia="仿宋_GB2312" w:cs="Times New Roman"/>
          <w:kern w:val="2"/>
          <w:sz w:val="30"/>
          <w:szCs w:val="30"/>
          <w:lang w:val="en-US" w:eastAsia="zh-CN" w:bidi="ar-SA"/>
        </w:rPr>
        <w:t>切粹机；</w:t>
      </w:r>
    </w:p>
    <w:p w14:paraId="2DB5ACE3">
      <w:pPr>
        <w:pStyle w:val="47"/>
        <w:keepNext w:val="0"/>
        <w:keepLines w:val="0"/>
        <w:pageBreakBefore w:val="0"/>
        <w:widowControl/>
        <w:numPr>
          <w:ilvl w:val="0"/>
          <w:numId w:val="0"/>
        </w:numPr>
        <w:kinsoku/>
        <w:wordWrap/>
        <w:overflowPunct/>
        <w:topLinePunct w:val="0"/>
        <w:autoSpaceDE/>
        <w:autoSpaceDN/>
        <w:bidi w:val="0"/>
        <w:adjustRightInd/>
        <w:snapToGrid/>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eastAsia="仿宋_GB2312" w:cs="Times New Roman"/>
          <w:kern w:val="2"/>
          <w:sz w:val="30"/>
          <w:szCs w:val="30"/>
          <w:lang w:val="en-US" w:eastAsia="zh-CN" w:bidi="ar-SA"/>
        </w:rPr>
        <w:t>B)</w:t>
      </w:r>
      <w:r>
        <w:rPr>
          <w:rFonts w:hint="eastAsia" w:ascii="Times New Roman" w:hAnsi="Times New Roman" w:eastAsia="仿宋_GB2312" w:cs="Times New Roman"/>
          <w:kern w:val="2"/>
          <w:sz w:val="30"/>
          <w:szCs w:val="30"/>
          <w:lang w:val="en-US" w:eastAsia="zh-CN" w:bidi="ar-SA"/>
        </w:rPr>
        <w:t>锅炉；</w:t>
      </w:r>
    </w:p>
    <w:p w14:paraId="7E9FF173">
      <w:pPr>
        <w:pStyle w:val="47"/>
        <w:keepNext w:val="0"/>
        <w:keepLines w:val="0"/>
        <w:pageBreakBefore w:val="0"/>
        <w:widowControl/>
        <w:numPr>
          <w:ilvl w:val="0"/>
          <w:numId w:val="0"/>
        </w:numPr>
        <w:kinsoku/>
        <w:wordWrap/>
        <w:overflowPunct/>
        <w:topLinePunct w:val="0"/>
        <w:autoSpaceDE/>
        <w:autoSpaceDN/>
        <w:bidi w:val="0"/>
        <w:adjustRightInd/>
        <w:snapToGrid/>
        <w:ind w:firstLine="600" w:firstLineChars="200"/>
        <w:textAlignment w:val="auto"/>
        <w:rPr>
          <w:rFonts w:hint="eastAsia" w:ascii="Times New Roman" w:eastAsia="仿宋_GB2312" w:cs="Times New Roman"/>
          <w:kern w:val="2"/>
          <w:sz w:val="30"/>
          <w:szCs w:val="30"/>
          <w:lang w:val="en-US" w:eastAsia="zh-CN" w:bidi="ar-SA"/>
        </w:rPr>
      </w:pPr>
      <w:r>
        <w:rPr>
          <w:rFonts w:hint="eastAsia" w:ascii="Times New Roman" w:eastAsia="仿宋_GB2312" w:cs="Times New Roman"/>
          <w:kern w:val="2"/>
          <w:sz w:val="30"/>
          <w:szCs w:val="30"/>
          <w:lang w:val="en-US" w:eastAsia="zh-CN" w:bidi="ar-SA"/>
        </w:rPr>
        <w:t>C)蒸馏锅；</w:t>
      </w:r>
    </w:p>
    <w:p w14:paraId="5AAE0828">
      <w:pPr>
        <w:pStyle w:val="47"/>
        <w:keepNext w:val="0"/>
        <w:keepLines w:val="0"/>
        <w:pageBreakBefore w:val="0"/>
        <w:widowControl/>
        <w:numPr>
          <w:ilvl w:val="0"/>
          <w:numId w:val="0"/>
        </w:numPr>
        <w:kinsoku/>
        <w:wordWrap/>
        <w:overflowPunct/>
        <w:topLinePunct w:val="0"/>
        <w:autoSpaceDE/>
        <w:autoSpaceDN/>
        <w:bidi w:val="0"/>
        <w:adjustRightInd/>
        <w:snapToGrid/>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eastAsia="仿宋_GB2312" w:cs="Times New Roman"/>
          <w:kern w:val="2"/>
          <w:sz w:val="30"/>
          <w:szCs w:val="30"/>
          <w:lang w:val="en-US" w:eastAsia="zh-CN" w:bidi="ar-SA"/>
        </w:rPr>
        <w:t>D)</w:t>
      </w:r>
      <w:r>
        <w:rPr>
          <w:rFonts w:hint="eastAsia" w:ascii="Times New Roman" w:hAnsi="Times New Roman" w:eastAsia="仿宋_GB2312" w:cs="Times New Roman"/>
          <w:kern w:val="2"/>
          <w:sz w:val="30"/>
          <w:szCs w:val="30"/>
          <w:lang w:val="en-US" w:eastAsia="zh-CN" w:bidi="ar-SA"/>
        </w:rPr>
        <w:t>冷凝冷却器；</w:t>
      </w:r>
    </w:p>
    <w:p w14:paraId="3EB86110">
      <w:pPr>
        <w:pStyle w:val="47"/>
        <w:keepNext w:val="0"/>
        <w:keepLines w:val="0"/>
        <w:pageBreakBefore w:val="0"/>
        <w:widowControl/>
        <w:numPr>
          <w:ilvl w:val="0"/>
          <w:numId w:val="0"/>
        </w:numPr>
        <w:kinsoku/>
        <w:wordWrap/>
        <w:overflowPunct/>
        <w:topLinePunct w:val="0"/>
        <w:autoSpaceDE/>
        <w:autoSpaceDN/>
        <w:bidi w:val="0"/>
        <w:adjustRightInd/>
        <w:snapToGrid/>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eastAsia="仿宋_GB2312" w:cs="Times New Roman"/>
          <w:kern w:val="2"/>
          <w:sz w:val="30"/>
          <w:szCs w:val="30"/>
          <w:lang w:val="en-US" w:eastAsia="zh-CN" w:bidi="ar-SA"/>
        </w:rPr>
        <w:t>E)</w:t>
      </w:r>
      <w:r>
        <w:rPr>
          <w:rFonts w:hint="eastAsia" w:ascii="Times New Roman" w:hAnsi="Times New Roman" w:eastAsia="仿宋_GB2312" w:cs="Times New Roman"/>
          <w:kern w:val="2"/>
          <w:sz w:val="30"/>
          <w:szCs w:val="30"/>
          <w:lang w:val="en-US" w:eastAsia="zh-CN" w:bidi="ar-SA"/>
        </w:rPr>
        <w:t>油水分离器；</w:t>
      </w:r>
    </w:p>
    <w:p w14:paraId="7F0A575E">
      <w:pPr>
        <w:pStyle w:val="47"/>
        <w:keepNext w:val="0"/>
        <w:keepLines w:val="0"/>
        <w:pageBreakBefore w:val="0"/>
        <w:widowControl/>
        <w:numPr>
          <w:ilvl w:val="0"/>
          <w:numId w:val="0"/>
        </w:numPr>
        <w:kinsoku/>
        <w:wordWrap/>
        <w:overflowPunct/>
        <w:topLinePunct w:val="0"/>
        <w:autoSpaceDE/>
        <w:autoSpaceDN/>
        <w:bidi w:val="0"/>
        <w:adjustRightInd/>
        <w:snapToGrid/>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eastAsia="仿宋_GB2312" w:cs="Times New Roman"/>
          <w:kern w:val="2"/>
          <w:sz w:val="30"/>
          <w:szCs w:val="30"/>
          <w:lang w:val="en-US" w:eastAsia="zh-CN" w:bidi="ar-SA"/>
        </w:rPr>
        <w:t>F)</w:t>
      </w:r>
      <w:r>
        <w:rPr>
          <w:rFonts w:hint="eastAsia" w:ascii="Times New Roman" w:hAnsi="Times New Roman" w:eastAsia="仿宋_GB2312" w:cs="Times New Roman"/>
          <w:kern w:val="2"/>
          <w:sz w:val="30"/>
          <w:szCs w:val="30"/>
          <w:lang w:val="en-US" w:eastAsia="zh-CN" w:bidi="ar-SA"/>
        </w:rPr>
        <w:t>产品收集器。</w:t>
      </w:r>
    </w:p>
    <w:p w14:paraId="39949B2D">
      <w:pPr>
        <w:pStyle w:val="48"/>
        <w:numPr>
          <w:ilvl w:val="0"/>
          <w:numId w:val="0"/>
        </w:numPr>
        <w:ind w:firstLine="600" w:firstLineChars="200"/>
        <w:rPr>
          <w:rFonts w:hint="eastAsia" w:eastAsia="仿宋_GB2312"/>
          <w:sz w:val="30"/>
          <w:szCs w:val="30"/>
          <w:lang w:val="en-US" w:eastAsia="zh-CN"/>
        </w:rPr>
      </w:pPr>
      <w:r>
        <w:rPr>
          <w:rFonts w:hint="eastAsia" w:eastAsia="仿宋_GB2312"/>
          <w:sz w:val="30"/>
          <w:szCs w:val="30"/>
          <w:lang w:val="en-US" w:eastAsia="zh-CN"/>
        </w:rPr>
        <w:t>(6)生产工艺</w:t>
      </w:r>
    </w:p>
    <w:p w14:paraId="682D05D4">
      <w:pPr>
        <w:pStyle w:val="47"/>
        <w:keepNext w:val="0"/>
        <w:keepLines w:val="0"/>
        <w:pageBreakBefore w:val="0"/>
        <w:widowControl/>
        <w:numPr>
          <w:ilvl w:val="0"/>
          <w:numId w:val="0"/>
        </w:numPr>
        <w:kinsoku/>
        <w:wordWrap/>
        <w:overflowPunct/>
        <w:topLinePunct w:val="0"/>
        <w:autoSpaceDE/>
        <w:autoSpaceDN/>
        <w:bidi w:val="0"/>
        <w:adjustRightInd/>
        <w:snapToGrid/>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A)</w:t>
      </w:r>
      <w:r>
        <w:rPr>
          <w:rFonts w:hint="eastAsia" w:ascii="Times New Roman" w:eastAsia="仿宋_GB2312" w:cs="Times New Roman"/>
          <w:kern w:val="2"/>
          <w:sz w:val="30"/>
          <w:szCs w:val="30"/>
          <w:lang w:val="en-US" w:eastAsia="zh-CN" w:bidi="ar-SA"/>
        </w:rPr>
        <w:t xml:space="preserve"> </w:t>
      </w:r>
      <w:r>
        <w:rPr>
          <w:rFonts w:hint="eastAsia" w:ascii="Times New Roman" w:hAnsi="Times New Roman" w:eastAsia="仿宋_GB2312" w:cs="Times New Roman"/>
          <w:kern w:val="2"/>
          <w:sz w:val="30"/>
          <w:szCs w:val="30"/>
          <w:lang w:val="en-US" w:eastAsia="zh-CN" w:bidi="ar-SA"/>
        </w:rPr>
        <w:t>原料预处理</w:t>
      </w:r>
    </w:p>
    <w:p w14:paraId="6DA955EC">
      <w:pPr>
        <w:pStyle w:val="48"/>
        <w:keepNext w:val="0"/>
        <w:keepLines w:val="0"/>
        <w:pageBreakBefore w:val="0"/>
        <w:widowControl/>
        <w:kinsoku/>
        <w:wordWrap/>
        <w:overflowPunct/>
        <w:topLinePunct w:val="0"/>
        <w:autoSpaceDE w:val="0"/>
        <w:autoSpaceDN w:val="0"/>
        <w:bidi w:val="0"/>
        <w:adjustRightInd/>
        <w:snapToGrid/>
        <w:ind w:left="0" w:leftChars="0" w:firstLine="600" w:firstLineChars="200"/>
        <w:textAlignment w:val="auto"/>
        <w:rPr>
          <w:rFonts w:hint="default"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将互叶白千层除去粗干的枝叶原料进行切割处理。</w:t>
      </w:r>
    </w:p>
    <w:p w14:paraId="4E11054C">
      <w:pPr>
        <w:pStyle w:val="47"/>
        <w:keepNext w:val="0"/>
        <w:keepLines w:val="0"/>
        <w:pageBreakBefore w:val="0"/>
        <w:widowControl/>
        <w:numPr>
          <w:ilvl w:val="0"/>
          <w:numId w:val="0"/>
        </w:numPr>
        <w:kinsoku/>
        <w:wordWrap/>
        <w:overflowPunct/>
        <w:topLinePunct w:val="0"/>
        <w:autoSpaceDE/>
        <w:autoSpaceDN/>
        <w:bidi w:val="0"/>
        <w:adjustRightInd/>
        <w:snapToGrid/>
        <w:ind w:left="0" w:leftChars="0" w:firstLine="600" w:firstLineChars="200"/>
        <w:textAlignment w:val="auto"/>
      </w:pPr>
      <w:r>
        <w:rPr>
          <w:rFonts w:hint="eastAsia" w:ascii="Times New Roman" w:eastAsia="仿宋_GB2312" w:cs="Times New Roman"/>
          <w:kern w:val="2"/>
          <w:sz w:val="30"/>
          <w:szCs w:val="30"/>
          <w:lang w:val="en-US" w:eastAsia="zh-CN" w:bidi="ar-SA"/>
        </w:rPr>
        <w:t>B) 装料：</w:t>
      </w:r>
      <w:r>
        <w:rPr>
          <w:rFonts w:hint="eastAsia" w:ascii="Times New Roman" w:hAnsi="Times New Roman" w:eastAsia="仿宋_GB2312" w:cs="Times New Roman"/>
          <w:kern w:val="2"/>
          <w:sz w:val="30"/>
          <w:szCs w:val="30"/>
          <w:lang w:val="en-US" w:eastAsia="zh-CN" w:bidi="ar-SA"/>
        </w:rPr>
        <w:t>切割后的原料均匀装入料框，边装边压实，直至与料框沿口齐平，记录加料量。将装好原料的料框转移至蒸馏锅内，并盖好蒸馏锅锅盖，进行密闭加固处理。</w:t>
      </w:r>
    </w:p>
    <w:p w14:paraId="28DC800F">
      <w:pPr>
        <w:pStyle w:val="48"/>
        <w:keepNext w:val="0"/>
        <w:keepLines w:val="0"/>
        <w:pageBreakBefore w:val="0"/>
        <w:widowControl/>
        <w:numPr>
          <w:ilvl w:val="0"/>
          <w:numId w:val="0"/>
        </w:numPr>
        <w:kinsoku/>
        <w:wordWrap/>
        <w:overflowPunct/>
        <w:topLinePunct w:val="0"/>
        <w:autoSpaceDE w:val="0"/>
        <w:autoSpaceDN w:val="0"/>
        <w:bidi w:val="0"/>
        <w:adjustRightInd/>
        <w:snapToGrid/>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C)</w:t>
      </w:r>
      <w:r>
        <w:rPr>
          <w:rFonts w:hint="eastAsia" w:ascii="Times New Roman" w:eastAsia="仿宋_GB2312" w:cs="Times New Roman"/>
          <w:kern w:val="2"/>
          <w:sz w:val="30"/>
          <w:szCs w:val="30"/>
          <w:lang w:val="en-US" w:eastAsia="zh-CN" w:bidi="ar-SA"/>
        </w:rPr>
        <w:t xml:space="preserve"> </w:t>
      </w:r>
      <w:r>
        <w:rPr>
          <w:rFonts w:hint="eastAsia" w:ascii="Times New Roman" w:hAnsi="Times New Roman" w:eastAsia="仿宋_GB2312" w:cs="Times New Roman"/>
          <w:kern w:val="2"/>
          <w:sz w:val="30"/>
          <w:szCs w:val="30"/>
          <w:lang w:val="en-US" w:eastAsia="zh-CN" w:bidi="ar-SA"/>
        </w:rPr>
        <w:t>蒸馏：采用常压水蒸汽蒸馏，具体操作流程及要求如下：</w:t>
      </w:r>
    </w:p>
    <w:p w14:paraId="41B56A31">
      <w:pPr>
        <w:pStyle w:val="48"/>
        <w:keepNext w:val="0"/>
        <w:keepLines w:val="0"/>
        <w:pageBreakBefore w:val="0"/>
        <w:widowControl/>
        <w:numPr>
          <w:ilvl w:val="0"/>
          <w:numId w:val="0"/>
        </w:numPr>
        <w:kinsoku/>
        <w:wordWrap/>
        <w:overflowPunct/>
        <w:topLinePunct w:val="0"/>
        <w:autoSpaceDE w:val="0"/>
        <w:autoSpaceDN w:val="0"/>
        <w:bidi w:val="0"/>
        <w:adjustRightInd/>
        <w:snapToGrid/>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开启冷凝冷却系统；锅炉内加水，水量处于液位计高低液位之间，加热产生蒸汽；或直接采用蒸汽管路通入水蒸汽，蒸汽压力≤0.1 MPa；蒸馏过程中，实时监控蒸馏锅、出料口、冷凝水出水口的温度以及锅炉液位的变化情况。锅炉液位应处于高、低液位之间；出料速度宜控制在2 L/min～5 L/min。</w:t>
      </w:r>
    </w:p>
    <w:p w14:paraId="2F1015B3">
      <w:pPr>
        <w:pStyle w:val="48"/>
        <w:keepNext w:val="0"/>
        <w:keepLines w:val="0"/>
        <w:pageBreakBefore w:val="0"/>
        <w:widowControl/>
        <w:numPr>
          <w:ilvl w:val="0"/>
          <w:numId w:val="12"/>
        </w:numPr>
        <w:kinsoku/>
        <w:wordWrap/>
        <w:overflowPunct/>
        <w:topLinePunct w:val="0"/>
        <w:autoSpaceDE w:val="0"/>
        <w:autoSpaceDN w:val="0"/>
        <w:bidi w:val="0"/>
        <w:adjustRightInd/>
        <w:snapToGrid/>
        <w:ind w:firstLine="600" w:firstLineChars="200"/>
        <w:textAlignment w:val="auto"/>
        <w:rPr>
          <w:rFonts w:hint="eastAsia" w:ascii="Times New Roman" w:eastAsia="仿宋_GB2312" w:cs="Times New Roman"/>
          <w:kern w:val="2"/>
          <w:sz w:val="30"/>
          <w:szCs w:val="30"/>
          <w:lang w:val="en-US" w:eastAsia="zh-CN" w:bidi="ar-SA"/>
        </w:rPr>
      </w:pPr>
      <w:r>
        <w:rPr>
          <w:rFonts w:hint="eastAsia" w:ascii="Times New Roman" w:eastAsia="仿宋_GB2312" w:cs="Times New Roman"/>
          <w:kern w:val="2"/>
          <w:sz w:val="30"/>
          <w:szCs w:val="30"/>
          <w:lang w:val="en-US" w:eastAsia="zh-CN" w:bidi="ar-SA"/>
        </w:rPr>
        <w:t>冷凝冷却：冷凝冷却过程中，控制冷凝水出水口温度在20 ℃～40 ℃。当冷凝水出水口温度超过40 ℃，减少水蒸汽通入量，直至温度稳定于40 ℃以下。</w:t>
      </w:r>
    </w:p>
    <w:p w14:paraId="72CAAA40">
      <w:pPr>
        <w:pStyle w:val="48"/>
        <w:keepNext w:val="0"/>
        <w:keepLines w:val="0"/>
        <w:pageBreakBefore w:val="0"/>
        <w:widowControl/>
        <w:numPr>
          <w:ilvl w:val="0"/>
          <w:numId w:val="12"/>
        </w:numPr>
        <w:kinsoku/>
        <w:wordWrap/>
        <w:overflowPunct/>
        <w:topLinePunct w:val="0"/>
        <w:autoSpaceDE w:val="0"/>
        <w:autoSpaceDN w:val="0"/>
        <w:bidi w:val="0"/>
        <w:adjustRightInd/>
        <w:snapToGrid/>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油水分离</w:t>
      </w:r>
      <w:r>
        <w:rPr>
          <w:rFonts w:hint="eastAsia" w:ascii="Times New Roman" w:eastAsia="仿宋_GB2312" w:cs="Times New Roman"/>
          <w:kern w:val="2"/>
          <w:sz w:val="30"/>
          <w:szCs w:val="30"/>
          <w:lang w:val="en-US" w:eastAsia="zh-CN" w:bidi="ar-SA"/>
        </w:rPr>
        <w:t>：</w:t>
      </w:r>
      <w:r>
        <w:rPr>
          <w:rFonts w:hint="eastAsia" w:ascii="Times New Roman" w:hAnsi="Times New Roman" w:eastAsia="仿宋_GB2312" w:cs="Times New Roman"/>
          <w:kern w:val="2"/>
          <w:sz w:val="30"/>
          <w:szCs w:val="30"/>
          <w:lang w:val="en-US" w:eastAsia="zh-CN" w:bidi="ar-SA"/>
        </w:rPr>
        <w:t>油水混合蒸汽经冷凝冷却，冷却液进入油水分离器中，进行油水分离。</w:t>
      </w:r>
    </w:p>
    <w:p w14:paraId="198095B0">
      <w:pPr>
        <w:pStyle w:val="48"/>
        <w:keepNext w:val="0"/>
        <w:keepLines w:val="0"/>
        <w:pageBreakBefore w:val="0"/>
        <w:widowControl/>
        <w:numPr>
          <w:ilvl w:val="0"/>
          <w:numId w:val="12"/>
        </w:numPr>
        <w:kinsoku/>
        <w:wordWrap/>
        <w:overflowPunct/>
        <w:topLinePunct w:val="0"/>
        <w:autoSpaceDE w:val="0"/>
        <w:autoSpaceDN w:val="0"/>
        <w:bidi w:val="0"/>
        <w:adjustRightInd/>
        <w:snapToGrid/>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停止蒸馏</w:t>
      </w:r>
      <w:r>
        <w:rPr>
          <w:rFonts w:hint="eastAsia" w:ascii="Times New Roman" w:eastAsia="仿宋_GB2312" w:cs="Times New Roman"/>
          <w:kern w:val="2"/>
          <w:sz w:val="30"/>
          <w:szCs w:val="30"/>
          <w:lang w:val="en-US" w:eastAsia="zh-CN" w:bidi="ar-SA"/>
        </w:rPr>
        <w:t>：</w:t>
      </w:r>
      <w:r>
        <w:rPr>
          <w:rFonts w:hint="eastAsia" w:ascii="Times New Roman" w:hAnsi="Times New Roman" w:eastAsia="仿宋_GB2312" w:cs="Times New Roman"/>
          <w:kern w:val="2"/>
          <w:sz w:val="30"/>
          <w:szCs w:val="30"/>
          <w:lang w:val="en-US" w:eastAsia="zh-CN" w:bidi="ar-SA"/>
        </w:rPr>
        <w:t>当蒸出的精油量不再增加时，停止加热或停止通入水蒸气。</w:t>
      </w:r>
    </w:p>
    <w:p w14:paraId="6648D33B">
      <w:pPr>
        <w:pStyle w:val="48"/>
        <w:keepNext w:val="0"/>
        <w:keepLines w:val="0"/>
        <w:pageBreakBefore w:val="0"/>
        <w:widowControl/>
        <w:numPr>
          <w:ilvl w:val="0"/>
          <w:numId w:val="12"/>
        </w:numPr>
        <w:kinsoku/>
        <w:wordWrap/>
        <w:overflowPunct/>
        <w:topLinePunct w:val="0"/>
        <w:autoSpaceDE w:val="0"/>
        <w:autoSpaceDN w:val="0"/>
        <w:bidi w:val="0"/>
        <w:adjustRightInd/>
        <w:snapToGrid/>
        <w:ind w:firstLine="600" w:firstLineChars="200"/>
        <w:textAlignment w:val="auto"/>
        <w:rPr>
          <w:rFonts w:hint="eastAsia" w:asci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收集</w:t>
      </w:r>
      <w:r>
        <w:rPr>
          <w:rFonts w:hint="eastAsia" w:ascii="Times New Roman" w:eastAsia="仿宋_GB2312" w:cs="Times New Roman"/>
          <w:kern w:val="2"/>
          <w:sz w:val="30"/>
          <w:szCs w:val="30"/>
          <w:lang w:val="en-US" w:eastAsia="zh-CN" w:bidi="ar-SA"/>
        </w:rPr>
        <w:t>：</w:t>
      </w:r>
      <w:r>
        <w:rPr>
          <w:rFonts w:hint="eastAsia" w:ascii="Times New Roman" w:hAnsi="Times New Roman" w:eastAsia="仿宋_GB2312" w:cs="Times New Roman"/>
          <w:kern w:val="2"/>
          <w:sz w:val="30"/>
          <w:szCs w:val="30"/>
          <w:lang w:val="en-US" w:eastAsia="zh-CN" w:bidi="ar-SA"/>
        </w:rPr>
        <w:t>收集上层互叶白千层（精）油和下层互叶白千层露。</w:t>
      </w:r>
    </w:p>
    <w:p w14:paraId="2F8CB8B3">
      <w:pPr>
        <w:pStyle w:val="48"/>
        <w:keepNext w:val="0"/>
        <w:keepLines w:val="0"/>
        <w:pageBreakBefore w:val="0"/>
        <w:widowControl/>
        <w:numPr>
          <w:ilvl w:val="0"/>
          <w:numId w:val="12"/>
        </w:numPr>
        <w:kinsoku/>
        <w:wordWrap/>
        <w:overflowPunct/>
        <w:topLinePunct w:val="0"/>
        <w:autoSpaceDE w:val="0"/>
        <w:autoSpaceDN w:val="0"/>
        <w:bidi w:val="0"/>
        <w:adjustRightInd/>
        <w:snapToGrid/>
        <w:ind w:firstLine="600" w:firstLineChars="200"/>
        <w:textAlignment w:val="auto"/>
        <w:rPr>
          <w:rFonts w:hint="default" w:ascii="Times New Roman" w:hAnsi="Times New Roman" w:eastAsia="仿宋_GB2312" w:cs="Times New Roman"/>
          <w:kern w:val="2"/>
          <w:sz w:val="30"/>
          <w:szCs w:val="30"/>
          <w:lang w:val="en-US" w:eastAsia="zh-CN" w:bidi="ar-SA"/>
        </w:rPr>
      </w:pPr>
      <w:r>
        <w:rPr>
          <w:rFonts w:hint="eastAsia" w:ascii="Times New Roman" w:eastAsia="仿宋_GB2312" w:cs="Times New Roman"/>
          <w:kern w:val="2"/>
          <w:sz w:val="30"/>
          <w:szCs w:val="30"/>
          <w:lang w:val="en-US" w:eastAsia="zh-CN" w:bidi="ar-SA"/>
        </w:rPr>
        <w:t>排渣：一个生产流程完成后排清蒸馏锅内料渣。</w:t>
      </w:r>
    </w:p>
    <w:p w14:paraId="2B91EE44">
      <w:pPr>
        <w:pStyle w:val="48"/>
        <w:keepNext w:val="0"/>
        <w:keepLines w:val="0"/>
        <w:pageBreakBefore w:val="0"/>
        <w:widowControl/>
        <w:numPr>
          <w:ilvl w:val="0"/>
          <w:numId w:val="12"/>
        </w:numPr>
        <w:kinsoku/>
        <w:wordWrap/>
        <w:overflowPunct/>
        <w:topLinePunct w:val="0"/>
        <w:autoSpaceDE w:val="0"/>
        <w:autoSpaceDN w:val="0"/>
        <w:bidi w:val="0"/>
        <w:adjustRightInd/>
        <w:snapToGrid/>
        <w:ind w:firstLine="600" w:firstLineChars="200"/>
        <w:textAlignment w:val="auto"/>
        <w:rPr>
          <w:rFonts w:hint="default" w:ascii="Times New Roman" w:eastAsia="仿宋_GB2312" w:cs="Times New Roman"/>
          <w:kern w:val="2"/>
          <w:sz w:val="30"/>
          <w:szCs w:val="30"/>
          <w:lang w:val="en-US" w:eastAsia="zh-CN" w:bidi="ar-SA"/>
        </w:rPr>
      </w:pPr>
      <w:r>
        <w:rPr>
          <w:rFonts w:hint="eastAsia" w:ascii="Times New Roman" w:eastAsia="仿宋_GB2312" w:cs="Times New Roman"/>
          <w:kern w:val="2"/>
          <w:sz w:val="30"/>
          <w:szCs w:val="30"/>
          <w:lang w:val="en-US" w:eastAsia="zh-CN" w:bidi="ar-SA"/>
        </w:rPr>
        <w:t>包装：互叶白千层（精）油装于清洁无杂味的镀锌铁桶，</w:t>
      </w:r>
      <w:bookmarkStart w:id="0" w:name="_Toc171500586"/>
      <w:bookmarkStart w:id="1" w:name="_Toc171500564"/>
      <w:r>
        <w:rPr>
          <w:rFonts w:hint="eastAsia" w:ascii="Times New Roman" w:eastAsia="仿宋_GB2312" w:cs="Times New Roman"/>
          <w:kern w:val="2"/>
          <w:sz w:val="30"/>
          <w:szCs w:val="30"/>
          <w:lang w:val="en-US" w:eastAsia="zh-CN" w:bidi="ar-SA"/>
        </w:rPr>
        <w:t>互叶白千层露应装于PVC材料桶，也可按用户要求包装，包装应能保持密封</w:t>
      </w:r>
      <w:bookmarkEnd w:id="0"/>
      <w:bookmarkEnd w:id="1"/>
      <w:r>
        <w:rPr>
          <w:rFonts w:hint="eastAsia" w:ascii="Times New Roman" w:eastAsia="仿宋_GB2312" w:cs="Times New Roman"/>
          <w:kern w:val="2"/>
          <w:sz w:val="30"/>
          <w:szCs w:val="30"/>
          <w:lang w:val="en-US" w:eastAsia="zh-CN" w:bidi="ar-SA"/>
        </w:rPr>
        <w:t>。</w:t>
      </w:r>
    </w:p>
    <w:p w14:paraId="29FDD3A2">
      <w:pPr>
        <w:spacing w:line="600" w:lineRule="exact"/>
        <w:ind w:firstLine="602" w:firstLineChars="200"/>
        <w:rPr>
          <w:rFonts w:hint="eastAsia" w:eastAsia="仿宋_GB2312"/>
          <w:b/>
          <w:bCs/>
          <w:sz w:val="30"/>
          <w:szCs w:val="30"/>
        </w:rPr>
      </w:pPr>
      <w:r>
        <w:rPr>
          <w:rFonts w:hint="eastAsia" w:eastAsia="仿宋_GB2312"/>
          <w:b/>
          <w:bCs/>
          <w:sz w:val="30"/>
          <w:szCs w:val="30"/>
        </w:rPr>
        <w:t xml:space="preserve">3.3结论 </w:t>
      </w:r>
    </w:p>
    <w:p w14:paraId="0A924DBE">
      <w:pPr>
        <w:keepNext w:val="0"/>
        <w:keepLines w:val="0"/>
        <w:pageBreakBefore w:val="0"/>
        <w:widowControl w:val="0"/>
        <w:numPr>
          <w:ilvl w:val="0"/>
          <w:numId w:val="13"/>
        </w:numPr>
        <w:kinsoku/>
        <w:wordWrap/>
        <w:overflowPunct/>
        <w:topLinePunct w:val="0"/>
        <w:autoSpaceDE/>
        <w:autoSpaceDN/>
        <w:bidi w:val="0"/>
        <w:adjustRightInd/>
        <w:snapToGrid/>
        <w:spacing w:line="600" w:lineRule="exact"/>
        <w:ind w:firstLine="600" w:firstLineChars="200"/>
        <w:textAlignment w:val="auto"/>
        <w:rPr>
          <w:rFonts w:hint="eastAsia" w:eastAsia="仿宋_GB2312"/>
          <w:sz w:val="30"/>
          <w:szCs w:val="30"/>
        </w:rPr>
      </w:pPr>
      <w:r>
        <w:rPr>
          <w:rFonts w:hint="eastAsia" w:eastAsia="仿宋_GB2312"/>
          <w:sz w:val="30"/>
          <w:szCs w:val="30"/>
        </w:rPr>
        <w:t>在1</w:t>
      </w:r>
      <w:r>
        <w:rPr>
          <w:rFonts w:eastAsia="仿宋_GB2312"/>
          <w:sz w:val="30"/>
          <w:szCs w:val="30"/>
        </w:rPr>
        <w:t>0</w:t>
      </w:r>
      <w:r>
        <w:rPr>
          <w:rFonts w:hint="eastAsia" w:eastAsia="仿宋_GB2312"/>
          <w:sz w:val="30"/>
          <w:szCs w:val="30"/>
        </w:rPr>
        <w:t>月</w:t>
      </w:r>
      <w:r>
        <w:rPr>
          <w:rFonts w:eastAsia="仿宋_GB2312"/>
          <w:sz w:val="30"/>
          <w:szCs w:val="30"/>
        </w:rPr>
        <w:t>～</w:t>
      </w:r>
      <w:r>
        <w:rPr>
          <w:rFonts w:hint="eastAsia" w:eastAsia="仿宋_GB2312"/>
          <w:sz w:val="30"/>
          <w:szCs w:val="30"/>
        </w:rPr>
        <w:t>次年1月互叶白千层含油率和其主效成分松油烯-</w:t>
      </w:r>
      <w:r>
        <w:rPr>
          <w:rFonts w:eastAsia="仿宋_GB2312"/>
          <w:sz w:val="30"/>
          <w:szCs w:val="30"/>
        </w:rPr>
        <w:t>4</w:t>
      </w:r>
      <w:r>
        <w:rPr>
          <w:rFonts w:hint="eastAsia" w:eastAsia="仿宋_GB2312"/>
          <w:sz w:val="30"/>
          <w:szCs w:val="30"/>
        </w:rPr>
        <w:t>醇含量最高，1</w:t>
      </w:r>
      <w:r>
        <w:rPr>
          <w:rFonts w:eastAsia="仿宋_GB2312"/>
          <w:sz w:val="30"/>
          <w:szCs w:val="30"/>
        </w:rPr>
        <w:t>2</w:t>
      </w:r>
      <w:r>
        <w:rPr>
          <w:rFonts w:hint="eastAsia" w:eastAsia="仿宋_GB2312"/>
          <w:sz w:val="30"/>
          <w:szCs w:val="30"/>
        </w:rPr>
        <w:t>月、1月、2月松油烯-</w:t>
      </w:r>
      <w:r>
        <w:rPr>
          <w:rFonts w:eastAsia="仿宋_GB2312"/>
          <w:sz w:val="30"/>
          <w:szCs w:val="30"/>
        </w:rPr>
        <w:t>4</w:t>
      </w:r>
      <w:r>
        <w:rPr>
          <w:rFonts w:hint="eastAsia" w:eastAsia="仿宋_GB2312"/>
          <w:sz w:val="30"/>
          <w:szCs w:val="30"/>
        </w:rPr>
        <w:t>醇含量最高，因松油烯-4醇含量整体都在</w:t>
      </w:r>
      <w:r>
        <w:rPr>
          <w:rFonts w:eastAsia="仿宋_GB2312"/>
          <w:sz w:val="30"/>
          <w:szCs w:val="30"/>
        </w:rPr>
        <w:t>ISO4730:2017</w:t>
      </w:r>
      <w:r>
        <w:rPr>
          <w:rFonts w:hint="eastAsia" w:eastAsia="仿宋_GB2312"/>
          <w:sz w:val="30"/>
          <w:szCs w:val="30"/>
        </w:rPr>
        <w:t>范围内（3</w:t>
      </w:r>
      <w:r>
        <w:rPr>
          <w:rFonts w:eastAsia="仿宋_GB2312"/>
          <w:sz w:val="30"/>
          <w:szCs w:val="30"/>
        </w:rPr>
        <w:t>5-48</w:t>
      </w:r>
      <w:r>
        <w:rPr>
          <w:rFonts w:hint="eastAsia" w:eastAsia="仿宋_GB2312"/>
          <w:sz w:val="30"/>
          <w:szCs w:val="30"/>
        </w:rPr>
        <w:t>），因此，得油率是决定采伐时间最关键的因素，最佳的采伐时间为1</w:t>
      </w:r>
      <w:r>
        <w:rPr>
          <w:rFonts w:eastAsia="仿宋_GB2312"/>
          <w:sz w:val="30"/>
          <w:szCs w:val="30"/>
        </w:rPr>
        <w:t>2</w:t>
      </w:r>
      <w:r>
        <w:rPr>
          <w:rFonts w:hint="eastAsia" w:eastAsia="仿宋_GB2312"/>
          <w:sz w:val="30"/>
          <w:szCs w:val="30"/>
        </w:rPr>
        <w:t>月。</w:t>
      </w:r>
    </w:p>
    <w:p w14:paraId="35F99920">
      <w:pPr>
        <w:keepNext w:val="0"/>
        <w:keepLines w:val="0"/>
        <w:pageBreakBefore w:val="0"/>
        <w:widowControl w:val="0"/>
        <w:numPr>
          <w:ilvl w:val="0"/>
          <w:numId w:val="13"/>
        </w:numPr>
        <w:kinsoku/>
        <w:wordWrap/>
        <w:overflowPunct/>
        <w:topLinePunct w:val="0"/>
        <w:autoSpaceDE/>
        <w:autoSpaceDN/>
        <w:bidi w:val="0"/>
        <w:adjustRightInd/>
        <w:snapToGrid/>
        <w:spacing w:line="600" w:lineRule="exact"/>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eastAsia="仿宋_GB2312"/>
          <w:sz w:val="30"/>
          <w:szCs w:val="30"/>
          <w:lang w:val="en-US" w:eastAsia="zh-CN"/>
        </w:rPr>
        <w:t>最佳伐桩高度为10cm</w:t>
      </w:r>
      <w:r>
        <w:rPr>
          <w:rFonts w:eastAsia="仿宋_GB2312"/>
          <w:sz w:val="30"/>
          <w:szCs w:val="30"/>
        </w:rPr>
        <w:t>～</w:t>
      </w:r>
      <w:r>
        <w:rPr>
          <w:rFonts w:hint="eastAsia" w:eastAsia="仿宋_GB2312"/>
          <w:sz w:val="30"/>
          <w:szCs w:val="30"/>
          <w:lang w:val="en-US" w:eastAsia="zh-CN"/>
        </w:rPr>
        <w:t>20cm</w:t>
      </w:r>
      <w:r>
        <w:rPr>
          <w:rFonts w:hint="eastAsia" w:eastAsia="仿宋_GB2312"/>
          <w:sz w:val="30"/>
          <w:szCs w:val="30"/>
        </w:rPr>
        <w:t>。</w:t>
      </w:r>
      <w:r>
        <w:rPr>
          <w:rFonts w:hint="eastAsia" w:eastAsia="仿宋_GB2312"/>
          <w:sz w:val="30"/>
          <w:szCs w:val="30"/>
          <w:lang w:val="en-US" w:eastAsia="zh-CN"/>
        </w:rPr>
        <w:t>此时，砍伐后</w:t>
      </w:r>
      <w:r>
        <w:rPr>
          <w:rFonts w:hint="eastAsia" w:eastAsia="仿宋_GB2312"/>
          <w:sz w:val="30"/>
          <w:szCs w:val="30"/>
        </w:rPr>
        <w:t>萌</w:t>
      </w:r>
      <w:r>
        <w:rPr>
          <w:rFonts w:hint="eastAsia" w:eastAsia="仿宋_GB2312"/>
          <w:sz w:val="30"/>
          <w:szCs w:val="30"/>
          <w:lang w:val="en-US" w:eastAsia="zh-CN"/>
        </w:rPr>
        <w:t>条地径、高度、冠幅最大</w:t>
      </w:r>
      <w:r>
        <w:rPr>
          <w:rFonts w:hint="eastAsia" w:eastAsia="仿宋_GB2312"/>
          <w:sz w:val="30"/>
          <w:szCs w:val="30"/>
        </w:rPr>
        <w:t>。</w:t>
      </w:r>
    </w:p>
    <w:p w14:paraId="60466DBF">
      <w:pPr>
        <w:keepNext w:val="0"/>
        <w:keepLines w:val="0"/>
        <w:pageBreakBefore w:val="0"/>
        <w:widowControl w:val="0"/>
        <w:numPr>
          <w:ilvl w:val="0"/>
          <w:numId w:val="13"/>
        </w:numPr>
        <w:kinsoku/>
        <w:wordWrap/>
        <w:overflowPunct/>
        <w:topLinePunct w:val="0"/>
        <w:autoSpaceDE/>
        <w:autoSpaceDN/>
        <w:bidi w:val="0"/>
        <w:adjustRightInd/>
        <w:snapToGrid/>
        <w:spacing w:line="600" w:lineRule="exact"/>
        <w:ind w:firstLine="600" w:firstLineChars="200"/>
        <w:textAlignment w:val="auto"/>
        <w:rPr>
          <w:rFonts w:hint="eastAsia" w:eastAsia="仿宋_GB2312"/>
          <w:sz w:val="30"/>
          <w:szCs w:val="30"/>
        </w:rPr>
      </w:pPr>
      <w:r>
        <w:rPr>
          <w:rFonts w:hint="eastAsia" w:ascii="Times New Roman" w:hAnsi="Times New Roman" w:eastAsia="仿宋_GB2312" w:cs="Times New Roman"/>
          <w:kern w:val="2"/>
          <w:sz w:val="30"/>
          <w:szCs w:val="30"/>
          <w:lang w:val="en-US" w:eastAsia="zh-CN" w:bidi="ar-SA"/>
        </w:rPr>
        <w:t>锅炉内水量处于液位计高低液位之间，加热产生蒸汽，蒸汽压力≤0.1 MPa；锅炉液位应处于高、低液位之间；出料速度宜控制在2 L/min～5 L/min。</w:t>
      </w:r>
      <w:r>
        <w:rPr>
          <w:rFonts w:hint="eastAsia" w:ascii="Times New Roman" w:eastAsia="仿宋_GB2312" w:cs="Times New Roman"/>
          <w:kern w:val="2"/>
          <w:sz w:val="30"/>
          <w:szCs w:val="30"/>
          <w:lang w:val="en-US" w:eastAsia="zh-CN" w:bidi="ar-SA"/>
        </w:rPr>
        <w:t>冷凝冷却过程中，控制冷凝水出水口温度在20 ℃～40 ℃。</w:t>
      </w:r>
      <w:r>
        <w:rPr>
          <w:rFonts w:hint="eastAsia" w:ascii="Times New Roman" w:hAnsi="Times New Roman" w:eastAsia="仿宋_GB2312" w:cs="Times New Roman"/>
          <w:kern w:val="2"/>
          <w:sz w:val="30"/>
          <w:szCs w:val="30"/>
          <w:lang w:val="en-US" w:eastAsia="zh-CN" w:bidi="ar-SA"/>
        </w:rPr>
        <w:t>油水混合蒸汽经冷凝冷却，冷却液进入油水分离器中，进行油水分离。当蒸出的精油量不再增加时，停止加热或停止通入水蒸气。收集上层互叶白千层（精）油和下层互叶白千层露。</w:t>
      </w:r>
    </w:p>
    <w:p w14:paraId="1475BFB9">
      <w:pPr>
        <w:spacing w:line="600" w:lineRule="exact"/>
        <w:ind w:firstLine="600" w:firstLineChars="200"/>
        <w:rPr>
          <w:rFonts w:hint="eastAsia" w:eastAsia="仿宋_GB2312"/>
          <w:sz w:val="30"/>
          <w:szCs w:val="30"/>
        </w:rPr>
      </w:pPr>
      <w:r>
        <w:rPr>
          <w:rFonts w:hint="eastAsia" w:eastAsia="仿宋_GB2312"/>
          <w:sz w:val="30"/>
          <w:szCs w:val="30"/>
        </w:rPr>
        <w:t>3.3 相关实验照片</w:t>
      </w:r>
    </w:p>
    <w:p w14:paraId="418C7A4A">
      <w:pPr>
        <w:spacing w:line="600" w:lineRule="exact"/>
        <w:ind w:firstLine="600" w:firstLineChars="200"/>
        <w:rPr>
          <w:rFonts w:hint="eastAsia" w:eastAsia="仿宋_GB2312"/>
          <w:sz w:val="30"/>
          <w:szCs w:val="30"/>
        </w:rPr>
      </w:pPr>
    </w:p>
    <w:p w14:paraId="792882B5">
      <w:pPr>
        <w:spacing w:line="600" w:lineRule="exact"/>
        <w:ind w:firstLine="600" w:firstLineChars="200"/>
        <w:rPr>
          <w:rFonts w:hint="eastAsia" w:eastAsia="仿宋_GB2312"/>
          <w:sz w:val="30"/>
          <w:szCs w:val="30"/>
        </w:rPr>
      </w:pPr>
    </w:p>
    <w:p w14:paraId="6C190AB2">
      <w:pPr>
        <w:spacing w:line="600" w:lineRule="exact"/>
        <w:rPr>
          <w:rFonts w:hint="eastAsia" w:eastAsia="仿宋_GB2312"/>
          <w:sz w:val="30"/>
          <w:szCs w:val="30"/>
        </w:rPr>
      </w:pPr>
    </w:p>
    <w:p w14:paraId="42E8C9AB">
      <w:pPr>
        <w:spacing w:line="600" w:lineRule="exact"/>
        <w:ind w:firstLine="600" w:firstLineChars="200"/>
        <w:rPr>
          <w:rFonts w:hint="eastAsia" w:eastAsia="仿宋_GB2312"/>
          <w:sz w:val="30"/>
          <w:szCs w:val="30"/>
        </w:rPr>
      </w:pPr>
      <w:r>
        <w:rPr>
          <w:rFonts w:eastAsia="仿宋_GB2312"/>
          <w:sz w:val="30"/>
          <w:szCs w:val="30"/>
        </w:rPr>
        <w:drawing>
          <wp:anchor distT="0" distB="0" distL="114300" distR="114300" simplePos="0" relativeHeight="251661312" behindDoc="0" locked="0" layoutInCell="1" allowOverlap="1">
            <wp:simplePos x="0" y="0"/>
            <wp:positionH relativeFrom="margin">
              <wp:posOffset>116840</wp:posOffset>
            </wp:positionH>
            <wp:positionV relativeFrom="paragraph">
              <wp:posOffset>95885</wp:posOffset>
            </wp:positionV>
            <wp:extent cx="2246630" cy="1685290"/>
            <wp:effectExtent l="0" t="0" r="1270" b="0"/>
            <wp:wrapThrough wrapText="bothSides">
              <wp:wrapPolygon>
                <wp:start x="0" y="0"/>
                <wp:lineTo x="0" y="21242"/>
                <wp:lineTo x="21429" y="21242"/>
                <wp:lineTo x="21429" y="0"/>
                <wp:lineTo x="0" y="0"/>
              </wp:wrapPolygon>
            </wp:wrapThrough>
            <wp:docPr id="2" name="图片 2" descr="F:\8.白千层\白千层专著\白千层照片\IMG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8.白千层\白千层专著\白千层照片\IMG_03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46630" cy="1685290"/>
                    </a:xfrm>
                    <a:prstGeom prst="rect">
                      <a:avLst/>
                    </a:prstGeom>
                    <a:noFill/>
                    <a:ln>
                      <a:noFill/>
                    </a:ln>
                  </pic:spPr>
                </pic:pic>
              </a:graphicData>
            </a:graphic>
          </wp:anchor>
        </w:drawing>
      </w:r>
      <w:r>
        <w:rPr>
          <w:rFonts w:eastAsia="仿宋_GB2312"/>
          <w:sz w:val="30"/>
          <w:szCs w:val="30"/>
        </w:rPr>
        <w:drawing>
          <wp:anchor distT="0" distB="0" distL="114300" distR="114300" simplePos="0" relativeHeight="251662336" behindDoc="0" locked="0" layoutInCell="1" allowOverlap="1">
            <wp:simplePos x="0" y="0"/>
            <wp:positionH relativeFrom="column">
              <wp:posOffset>2482215</wp:posOffset>
            </wp:positionH>
            <wp:positionV relativeFrom="paragraph">
              <wp:posOffset>72390</wp:posOffset>
            </wp:positionV>
            <wp:extent cx="2279015" cy="1709420"/>
            <wp:effectExtent l="0" t="0" r="6985" b="5080"/>
            <wp:wrapThrough wrapText="bothSides">
              <wp:wrapPolygon>
                <wp:start x="0" y="0"/>
                <wp:lineTo x="0" y="21423"/>
                <wp:lineTo x="21486" y="21423"/>
                <wp:lineTo x="21486" y="0"/>
                <wp:lineTo x="0" y="0"/>
              </wp:wrapPolygon>
            </wp:wrapThrough>
            <wp:docPr id="3" name="图片 3" descr="F:\8.白千层\白千层专著\白千层照片\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8.白千层\白千层专著\白千层照片\IMG_06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79015" cy="1709420"/>
                    </a:xfrm>
                    <a:prstGeom prst="rect">
                      <a:avLst/>
                    </a:prstGeom>
                    <a:noFill/>
                    <a:ln>
                      <a:noFill/>
                    </a:ln>
                  </pic:spPr>
                </pic:pic>
              </a:graphicData>
            </a:graphic>
          </wp:anchor>
        </w:drawing>
      </w:r>
    </w:p>
    <w:p w14:paraId="2D1A65EE">
      <w:pPr>
        <w:spacing w:line="600" w:lineRule="exact"/>
        <w:ind w:firstLine="600" w:firstLineChars="200"/>
        <w:rPr>
          <w:rFonts w:hint="eastAsia" w:eastAsia="仿宋_GB2312"/>
          <w:sz w:val="30"/>
          <w:szCs w:val="30"/>
        </w:rPr>
      </w:pPr>
    </w:p>
    <w:p w14:paraId="56BCD836">
      <w:pPr>
        <w:spacing w:line="600" w:lineRule="exact"/>
        <w:ind w:firstLine="600" w:firstLineChars="200"/>
        <w:rPr>
          <w:rFonts w:hint="eastAsia" w:eastAsia="仿宋_GB2312"/>
          <w:sz w:val="30"/>
          <w:szCs w:val="30"/>
        </w:rPr>
      </w:pPr>
    </w:p>
    <w:p w14:paraId="123C897D">
      <w:pPr>
        <w:spacing w:line="600" w:lineRule="exact"/>
        <w:ind w:firstLine="600" w:firstLineChars="200"/>
        <w:rPr>
          <w:rFonts w:hint="eastAsia" w:eastAsia="仿宋_GB2312"/>
          <w:sz w:val="30"/>
          <w:szCs w:val="30"/>
        </w:rPr>
      </w:pPr>
    </w:p>
    <w:p w14:paraId="47D2D43A">
      <w:pPr>
        <w:spacing w:line="600" w:lineRule="exact"/>
        <w:rPr>
          <w:rFonts w:eastAsia="仿宋_GB2312"/>
          <w:sz w:val="30"/>
          <w:szCs w:val="30"/>
        </w:rPr>
      </w:pPr>
      <w:r>
        <w:rPr>
          <w:rFonts w:ascii="微软雅黑" w:hAnsi="微软雅黑" w:eastAsia="微软雅黑"/>
          <w:color w:val="000000"/>
          <w:sz w:val="24"/>
        </w:rPr>
        <w:drawing>
          <wp:anchor distT="0" distB="0" distL="114300" distR="114300" simplePos="0" relativeHeight="251663360" behindDoc="0" locked="0" layoutInCell="1" allowOverlap="1">
            <wp:simplePos x="0" y="0"/>
            <wp:positionH relativeFrom="margin">
              <wp:posOffset>128270</wp:posOffset>
            </wp:positionH>
            <wp:positionV relativeFrom="paragraph">
              <wp:posOffset>332740</wp:posOffset>
            </wp:positionV>
            <wp:extent cx="2221230" cy="1719580"/>
            <wp:effectExtent l="0" t="0" r="7620" b="0"/>
            <wp:wrapThrough wrapText="bothSides">
              <wp:wrapPolygon>
                <wp:start x="0" y="0"/>
                <wp:lineTo x="0" y="21297"/>
                <wp:lineTo x="21489" y="21297"/>
                <wp:lineTo x="21489" y="0"/>
                <wp:lineTo x="0" y="0"/>
              </wp:wrapPolygon>
            </wp:wrapThrough>
            <wp:docPr id="4" name="图片 4" descr="C:\Users\Administrator\Documents\WeChat Files\wxid_nqfulqk5fa8r22\FileStorage\Temp\77c7cf059f7b50e151491950a549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WeChat Files\wxid_nqfulqk5fa8r22\FileStorage\Temp\77c7cf059f7b50e151491950a5498b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21230" cy="1719580"/>
                    </a:xfrm>
                    <a:prstGeom prst="rect">
                      <a:avLst/>
                    </a:prstGeom>
                    <a:noFill/>
                    <a:ln>
                      <a:noFill/>
                    </a:ln>
                  </pic:spPr>
                </pic:pic>
              </a:graphicData>
            </a:graphic>
          </wp:anchor>
        </w:drawing>
      </w:r>
      <w:r>
        <w:rPr>
          <w:rFonts w:ascii="微软雅黑" w:hAnsi="微软雅黑" w:eastAsia="微软雅黑"/>
          <w:color w:val="000000"/>
          <w:sz w:val="24"/>
        </w:rPr>
        <w:drawing>
          <wp:anchor distT="0" distB="0" distL="114300" distR="114300" simplePos="0" relativeHeight="251664384" behindDoc="0" locked="0" layoutInCell="1" allowOverlap="1">
            <wp:simplePos x="0" y="0"/>
            <wp:positionH relativeFrom="margin">
              <wp:posOffset>2454910</wp:posOffset>
            </wp:positionH>
            <wp:positionV relativeFrom="paragraph">
              <wp:posOffset>339725</wp:posOffset>
            </wp:positionV>
            <wp:extent cx="2326640" cy="1698625"/>
            <wp:effectExtent l="0" t="0" r="0" b="0"/>
            <wp:wrapThrough wrapText="bothSides">
              <wp:wrapPolygon>
                <wp:start x="0" y="0"/>
                <wp:lineTo x="0" y="21317"/>
                <wp:lineTo x="21400" y="21317"/>
                <wp:lineTo x="21400" y="0"/>
                <wp:lineTo x="0" y="0"/>
              </wp:wrapPolygon>
            </wp:wrapThrough>
            <wp:docPr id="5" name="图片 5" descr="C:\Users\Administrator\Documents\WeChat Files\wxid_nqfulqk5fa8r22\FileStorage\Temp\40f9b51b5fc9a006857886f99039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nqfulqk5fa8r22\FileStorage\Temp\40f9b51b5fc9a006857886f99039f7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26640" cy="1698625"/>
                    </a:xfrm>
                    <a:prstGeom prst="rect">
                      <a:avLst/>
                    </a:prstGeom>
                    <a:noFill/>
                    <a:ln>
                      <a:noFill/>
                    </a:ln>
                  </pic:spPr>
                </pic:pic>
              </a:graphicData>
            </a:graphic>
          </wp:anchor>
        </w:drawing>
      </w:r>
    </w:p>
    <w:p w14:paraId="1F96C68A">
      <w:pPr>
        <w:spacing w:line="600" w:lineRule="exact"/>
        <w:rPr>
          <w:rFonts w:ascii="微软雅黑" w:hAnsi="微软雅黑" w:eastAsia="微软雅黑"/>
          <w:color w:val="000000"/>
          <w:sz w:val="24"/>
          <w:lang w:val="zh-CN"/>
        </w:rPr>
      </w:pPr>
    </w:p>
    <w:p w14:paraId="5F5D941B">
      <w:pPr>
        <w:spacing w:line="600" w:lineRule="exact"/>
        <w:rPr>
          <w:rFonts w:ascii="微软雅黑" w:hAnsi="微软雅黑" w:eastAsia="微软雅黑"/>
          <w:color w:val="000000"/>
          <w:sz w:val="24"/>
          <w:lang w:val="zh-CN"/>
        </w:rPr>
      </w:pPr>
    </w:p>
    <w:p w14:paraId="5D9A6662">
      <w:pPr>
        <w:spacing w:line="600" w:lineRule="exact"/>
        <w:rPr>
          <w:rFonts w:ascii="微软雅黑" w:hAnsi="微软雅黑" w:eastAsia="微软雅黑"/>
          <w:color w:val="000000"/>
          <w:sz w:val="24"/>
          <w:lang w:val="zh-CN"/>
        </w:rPr>
      </w:pPr>
    </w:p>
    <w:p w14:paraId="53104A5B">
      <w:pPr>
        <w:spacing w:line="600" w:lineRule="exact"/>
        <w:rPr>
          <w:rFonts w:ascii="微软雅黑" w:hAnsi="微软雅黑" w:eastAsia="微软雅黑"/>
          <w:color w:val="000000"/>
          <w:sz w:val="24"/>
          <w:lang w:val="zh-CN"/>
        </w:rPr>
      </w:pPr>
    </w:p>
    <w:p w14:paraId="384225C3">
      <w:pPr>
        <w:spacing w:line="600" w:lineRule="exact"/>
        <w:rPr>
          <w:rFonts w:hint="eastAsia" w:ascii="微软雅黑" w:hAnsi="微软雅黑" w:eastAsia="微软雅黑"/>
          <w:color w:val="000000"/>
          <w:sz w:val="24"/>
          <w:lang w:val="zh-CN"/>
        </w:rPr>
      </w:pPr>
    </w:p>
    <w:p w14:paraId="66C84133">
      <w:pPr>
        <w:numPr>
          <w:ilvl w:val="0"/>
          <w:numId w:val="14"/>
        </w:numPr>
        <w:autoSpaceDE w:val="0"/>
        <w:autoSpaceDN w:val="0"/>
        <w:adjustRightInd w:val="0"/>
        <w:spacing w:before="156" w:beforeLines="50" w:after="156" w:afterLines="50" w:line="520" w:lineRule="exact"/>
        <w:ind w:firstLine="640"/>
        <w:jc w:val="left"/>
        <w:rPr>
          <w:rFonts w:hint="eastAsia" w:eastAsia="黑体"/>
          <w:sz w:val="32"/>
          <w:szCs w:val="32"/>
        </w:rPr>
      </w:pPr>
      <w:r>
        <w:rPr>
          <w:rFonts w:hint="eastAsia" w:eastAsia="黑体"/>
          <w:sz w:val="32"/>
          <w:szCs w:val="32"/>
        </w:rPr>
        <w:t>标准主要内容</w:t>
      </w:r>
    </w:p>
    <w:p w14:paraId="1F310211">
      <w:pPr>
        <w:spacing w:line="600" w:lineRule="exact"/>
        <w:ind w:firstLine="600" w:firstLineChars="200"/>
        <w:rPr>
          <w:rFonts w:hint="eastAsia" w:eastAsia="仿宋_GB2312"/>
          <w:sz w:val="30"/>
          <w:szCs w:val="30"/>
        </w:rPr>
      </w:pPr>
      <w:r>
        <w:rPr>
          <w:rFonts w:hint="eastAsia" w:eastAsia="仿宋_GB2312"/>
          <w:sz w:val="30"/>
          <w:szCs w:val="30"/>
        </w:rPr>
        <w:t>标准的主要技术内容包括10章：</w:t>
      </w:r>
    </w:p>
    <w:p w14:paraId="240B99E3">
      <w:pPr>
        <w:spacing w:line="600" w:lineRule="exact"/>
        <w:ind w:firstLine="600" w:firstLineChars="200"/>
        <w:rPr>
          <w:rFonts w:hint="eastAsia" w:eastAsia="仿宋_GB2312"/>
          <w:sz w:val="30"/>
          <w:szCs w:val="30"/>
        </w:rPr>
      </w:pPr>
      <w:r>
        <w:rPr>
          <w:rFonts w:hint="eastAsia" w:eastAsia="仿宋_GB2312"/>
          <w:sz w:val="30"/>
          <w:szCs w:val="30"/>
        </w:rPr>
        <w:t>第1章 范围：规定了标准的主要技术内容和适用范围。</w:t>
      </w:r>
    </w:p>
    <w:p w14:paraId="111DCD93">
      <w:pPr>
        <w:spacing w:line="600" w:lineRule="exact"/>
        <w:ind w:firstLine="600" w:firstLineChars="200"/>
        <w:rPr>
          <w:rFonts w:hint="eastAsia" w:eastAsia="仿宋_GB2312"/>
          <w:sz w:val="30"/>
          <w:szCs w:val="30"/>
        </w:rPr>
      </w:pPr>
      <w:r>
        <w:rPr>
          <w:rFonts w:hint="eastAsia" w:eastAsia="仿宋_GB2312"/>
          <w:sz w:val="30"/>
          <w:szCs w:val="30"/>
        </w:rPr>
        <w:t>第2章 规范性引用文件：说明了本标准引用文件的版本及规范性。</w:t>
      </w:r>
    </w:p>
    <w:p w14:paraId="684946AA">
      <w:pPr>
        <w:spacing w:line="600" w:lineRule="exact"/>
        <w:ind w:firstLine="600" w:firstLineChars="200"/>
        <w:rPr>
          <w:rFonts w:hint="eastAsia" w:eastAsia="仿宋_GB2312"/>
          <w:sz w:val="30"/>
          <w:szCs w:val="30"/>
        </w:rPr>
      </w:pPr>
      <w:r>
        <w:rPr>
          <w:rFonts w:hint="eastAsia" w:eastAsia="仿宋_GB2312"/>
          <w:sz w:val="30"/>
          <w:szCs w:val="30"/>
        </w:rPr>
        <w:t>第3章 术语和定义：说明了本标准中的相关术语和定义。</w:t>
      </w:r>
    </w:p>
    <w:p w14:paraId="7D07673D">
      <w:pPr>
        <w:spacing w:line="600" w:lineRule="exact"/>
        <w:ind w:firstLine="600" w:firstLineChars="200"/>
        <w:rPr>
          <w:rFonts w:hint="eastAsia" w:eastAsia="仿宋_GB2312"/>
          <w:sz w:val="30"/>
          <w:szCs w:val="30"/>
        </w:rPr>
      </w:pPr>
      <w:r>
        <w:rPr>
          <w:rFonts w:hint="eastAsia" w:eastAsia="仿宋_GB2312"/>
          <w:sz w:val="30"/>
          <w:szCs w:val="30"/>
        </w:rPr>
        <w:t>第4章 采收</w:t>
      </w:r>
    </w:p>
    <w:p w14:paraId="682162B9">
      <w:pPr>
        <w:spacing w:line="600" w:lineRule="exact"/>
        <w:ind w:firstLine="600" w:firstLineChars="200"/>
        <w:rPr>
          <w:rFonts w:hint="eastAsia" w:eastAsia="仿宋_GB2312"/>
          <w:sz w:val="30"/>
          <w:szCs w:val="30"/>
        </w:rPr>
      </w:pPr>
      <w:r>
        <w:rPr>
          <w:rFonts w:hint="eastAsia" w:eastAsia="仿宋_GB2312"/>
          <w:sz w:val="30"/>
          <w:szCs w:val="30"/>
        </w:rPr>
        <w:t>第5章 生产设备</w:t>
      </w:r>
    </w:p>
    <w:p w14:paraId="58C1E1E1">
      <w:pPr>
        <w:spacing w:line="600" w:lineRule="exact"/>
        <w:ind w:firstLine="600" w:firstLineChars="200"/>
        <w:rPr>
          <w:rFonts w:hint="eastAsia" w:eastAsia="仿宋_GB2312"/>
          <w:sz w:val="30"/>
          <w:szCs w:val="30"/>
        </w:rPr>
      </w:pPr>
      <w:r>
        <w:rPr>
          <w:rFonts w:hint="eastAsia" w:eastAsia="仿宋_GB2312"/>
          <w:sz w:val="30"/>
          <w:szCs w:val="30"/>
        </w:rPr>
        <w:t>第6章 生产用水</w:t>
      </w:r>
    </w:p>
    <w:p w14:paraId="2AA61B08">
      <w:pPr>
        <w:spacing w:line="600" w:lineRule="exact"/>
        <w:ind w:firstLine="600" w:firstLineChars="200"/>
        <w:rPr>
          <w:rFonts w:hint="eastAsia" w:eastAsia="仿宋_GB2312"/>
          <w:sz w:val="30"/>
          <w:szCs w:val="30"/>
        </w:rPr>
      </w:pPr>
      <w:r>
        <w:rPr>
          <w:rFonts w:hint="eastAsia" w:eastAsia="仿宋_GB2312"/>
          <w:sz w:val="30"/>
          <w:szCs w:val="30"/>
        </w:rPr>
        <w:t>第7章 生产环境</w:t>
      </w:r>
    </w:p>
    <w:p w14:paraId="3E1E0684">
      <w:pPr>
        <w:spacing w:line="600" w:lineRule="exact"/>
        <w:ind w:firstLine="600" w:firstLineChars="200"/>
        <w:rPr>
          <w:rFonts w:eastAsia="仿宋_GB2312"/>
          <w:sz w:val="30"/>
          <w:szCs w:val="30"/>
        </w:rPr>
      </w:pPr>
      <w:r>
        <w:rPr>
          <w:rFonts w:hint="eastAsia" w:eastAsia="仿宋_GB2312"/>
          <w:sz w:val="30"/>
          <w:szCs w:val="30"/>
        </w:rPr>
        <w:t>第8章 生产安全</w:t>
      </w:r>
    </w:p>
    <w:p w14:paraId="4E973743">
      <w:pPr>
        <w:spacing w:line="600" w:lineRule="exact"/>
        <w:ind w:firstLine="600" w:firstLineChars="200"/>
        <w:rPr>
          <w:rFonts w:eastAsia="仿宋_GB2312"/>
          <w:sz w:val="30"/>
          <w:szCs w:val="30"/>
        </w:rPr>
      </w:pPr>
      <w:r>
        <w:rPr>
          <w:rFonts w:hint="eastAsia" w:eastAsia="仿宋_GB2312"/>
          <w:sz w:val="30"/>
          <w:szCs w:val="30"/>
        </w:rPr>
        <w:t>第9章 生产工艺</w:t>
      </w:r>
    </w:p>
    <w:p w14:paraId="0567D847">
      <w:pPr>
        <w:spacing w:line="600" w:lineRule="exact"/>
        <w:ind w:firstLine="600" w:firstLineChars="200"/>
        <w:rPr>
          <w:rFonts w:hint="eastAsia" w:eastAsia="仿宋_GB2312"/>
          <w:sz w:val="30"/>
          <w:szCs w:val="30"/>
        </w:rPr>
      </w:pPr>
      <w:r>
        <w:rPr>
          <w:rFonts w:hint="eastAsia" w:eastAsia="仿宋_GB2312"/>
          <w:sz w:val="30"/>
          <w:szCs w:val="30"/>
        </w:rPr>
        <w:t>第1</w:t>
      </w:r>
      <w:r>
        <w:rPr>
          <w:rFonts w:eastAsia="仿宋_GB2312"/>
          <w:sz w:val="30"/>
          <w:szCs w:val="30"/>
        </w:rPr>
        <w:t>0</w:t>
      </w:r>
      <w:r>
        <w:rPr>
          <w:rFonts w:hint="eastAsia" w:eastAsia="仿宋_GB2312"/>
          <w:sz w:val="30"/>
          <w:szCs w:val="30"/>
        </w:rPr>
        <w:t>章 生产记录</w:t>
      </w:r>
    </w:p>
    <w:p w14:paraId="76DA88D7">
      <w:pPr>
        <w:numPr>
          <w:ilvl w:val="0"/>
          <w:numId w:val="14"/>
        </w:numPr>
        <w:autoSpaceDE w:val="0"/>
        <w:autoSpaceDN w:val="0"/>
        <w:adjustRightInd w:val="0"/>
        <w:spacing w:before="156" w:beforeLines="50" w:after="156" w:afterLines="50" w:line="520" w:lineRule="exact"/>
        <w:ind w:firstLine="640"/>
        <w:jc w:val="left"/>
        <w:rPr>
          <w:rFonts w:hint="eastAsia" w:eastAsia="黑体"/>
          <w:sz w:val="32"/>
          <w:szCs w:val="32"/>
        </w:rPr>
      </w:pPr>
      <w:r>
        <w:rPr>
          <w:rFonts w:hint="eastAsia" w:eastAsia="黑体"/>
          <w:sz w:val="32"/>
          <w:szCs w:val="32"/>
        </w:rPr>
        <w:t>国内同类标准制修订情况及与法律法规、强制性标准关系</w:t>
      </w:r>
    </w:p>
    <w:p w14:paraId="286C588E">
      <w:pPr>
        <w:autoSpaceDE w:val="0"/>
        <w:autoSpaceDN w:val="0"/>
        <w:adjustRightInd w:val="0"/>
        <w:spacing w:before="156" w:beforeLines="50" w:after="156" w:afterLines="50" w:line="520" w:lineRule="exact"/>
        <w:ind w:firstLine="600" w:firstLineChars="200"/>
        <w:jc w:val="left"/>
        <w:rPr>
          <w:rFonts w:hint="eastAsia" w:ascii="黑体" w:hAnsi="黑体" w:eastAsia="黑体" w:cs="仿宋_GB2312"/>
          <w:sz w:val="32"/>
          <w:szCs w:val="32"/>
        </w:rPr>
      </w:pPr>
      <w:r>
        <w:rPr>
          <w:rFonts w:hint="eastAsia" w:eastAsia="仿宋_GB2312"/>
          <w:sz w:val="30"/>
          <w:szCs w:val="30"/>
        </w:rPr>
        <w:t>本标准的编制依据现行的法律、法规和国家强制性标准，与这些文件中的规定不存在矛盾，协调一致。本标准内容和各项指标不低于国家强制性标准及国家推荐性标准。</w:t>
      </w:r>
    </w:p>
    <w:p w14:paraId="2009B249">
      <w:pPr>
        <w:numPr>
          <w:ilvl w:val="0"/>
          <w:numId w:val="14"/>
        </w:numPr>
        <w:autoSpaceDE w:val="0"/>
        <w:autoSpaceDN w:val="0"/>
        <w:adjustRightInd w:val="0"/>
        <w:spacing w:before="156" w:beforeLines="50" w:after="156" w:afterLines="50" w:line="520" w:lineRule="exact"/>
        <w:ind w:firstLine="640"/>
        <w:jc w:val="left"/>
        <w:rPr>
          <w:rFonts w:hint="eastAsia" w:ascii="黑体" w:hAnsi="黑体" w:eastAsia="黑体" w:cs="仿宋_GB2312"/>
          <w:sz w:val="32"/>
          <w:szCs w:val="32"/>
        </w:rPr>
      </w:pPr>
      <w:r>
        <w:rPr>
          <w:rFonts w:hint="eastAsia" w:ascii="黑体" w:hAnsi="黑体" w:eastAsia="黑体" w:cs="仿宋_GB2312"/>
          <w:sz w:val="32"/>
          <w:szCs w:val="32"/>
        </w:rPr>
        <w:t>重大分歧意见的处理经过和依据</w:t>
      </w:r>
    </w:p>
    <w:p w14:paraId="7B276FB4">
      <w:pPr>
        <w:autoSpaceDE w:val="0"/>
        <w:autoSpaceDN w:val="0"/>
        <w:adjustRightInd w:val="0"/>
        <w:spacing w:before="156" w:beforeLines="50" w:after="156" w:afterLines="50" w:line="520" w:lineRule="exact"/>
        <w:ind w:firstLine="600" w:firstLineChars="200"/>
        <w:jc w:val="left"/>
        <w:rPr>
          <w:rFonts w:hint="eastAsia" w:eastAsia="仿宋_GB2312"/>
          <w:sz w:val="30"/>
          <w:szCs w:val="30"/>
        </w:rPr>
      </w:pPr>
      <w:r>
        <w:rPr>
          <w:rFonts w:hint="eastAsia" w:eastAsia="仿宋_GB2312"/>
          <w:sz w:val="30"/>
          <w:szCs w:val="30"/>
        </w:rPr>
        <w:t>本标准研制过程中无重大分歧意见。</w:t>
      </w:r>
    </w:p>
    <w:p w14:paraId="09B6BC74">
      <w:pPr>
        <w:numPr>
          <w:ilvl w:val="0"/>
          <w:numId w:val="14"/>
        </w:numPr>
        <w:autoSpaceDE w:val="0"/>
        <w:autoSpaceDN w:val="0"/>
        <w:adjustRightInd w:val="0"/>
        <w:spacing w:before="156" w:beforeLines="50" w:after="156" w:afterLines="50" w:line="520" w:lineRule="exact"/>
        <w:ind w:firstLine="640"/>
        <w:jc w:val="left"/>
        <w:rPr>
          <w:rFonts w:hint="eastAsia" w:ascii="黑体" w:hAnsi="黑体" w:eastAsia="黑体" w:cs="仿宋_GB2312"/>
          <w:sz w:val="32"/>
          <w:szCs w:val="32"/>
        </w:rPr>
      </w:pPr>
      <w:r>
        <w:rPr>
          <w:rFonts w:hint="eastAsia" w:ascii="黑体" w:hAnsi="黑体" w:eastAsia="黑体" w:cs="仿宋_GB2312"/>
          <w:sz w:val="32"/>
          <w:szCs w:val="32"/>
        </w:rPr>
        <w:t>实施标准的要求和措施建议</w:t>
      </w:r>
    </w:p>
    <w:p w14:paraId="48DCDD2C">
      <w:pPr>
        <w:autoSpaceDE w:val="0"/>
        <w:autoSpaceDN w:val="0"/>
        <w:adjustRightInd w:val="0"/>
        <w:spacing w:before="156" w:beforeLines="50" w:after="156" w:afterLines="50" w:line="520" w:lineRule="exact"/>
        <w:ind w:firstLine="600" w:firstLineChars="200"/>
        <w:rPr>
          <w:rFonts w:hint="eastAsia" w:eastAsia="仿宋_GB2312"/>
          <w:sz w:val="30"/>
          <w:szCs w:val="30"/>
        </w:rPr>
      </w:pPr>
      <w:r>
        <w:rPr>
          <w:rFonts w:hint="eastAsia" w:eastAsia="仿宋_GB2312"/>
          <w:sz w:val="30"/>
          <w:szCs w:val="30"/>
        </w:rPr>
        <w:t>标准必须在遵循法律法规及国家相关标准的前提下，综合互叶白千层生产及加工的实际要求制定，标准必须具有法律依据及可操作性。</w:t>
      </w:r>
    </w:p>
    <w:p w14:paraId="198B093B">
      <w:pPr>
        <w:autoSpaceDE w:val="0"/>
        <w:autoSpaceDN w:val="0"/>
        <w:adjustRightInd w:val="0"/>
        <w:spacing w:before="156" w:beforeLines="50" w:after="156" w:afterLines="50" w:line="520" w:lineRule="exact"/>
        <w:ind w:firstLine="600" w:firstLineChars="200"/>
        <w:jc w:val="left"/>
        <w:rPr>
          <w:rFonts w:hint="eastAsia" w:eastAsia="仿宋_GB2312"/>
          <w:sz w:val="30"/>
          <w:szCs w:val="30"/>
        </w:rPr>
      </w:pPr>
      <w:r>
        <w:rPr>
          <w:rFonts w:hint="eastAsia" w:eastAsia="仿宋_GB2312"/>
          <w:sz w:val="30"/>
          <w:szCs w:val="30"/>
        </w:rPr>
        <w:t>由于目前并没有互叶白千层生产加工的标准，故建议本标准发布实施后加强宣传、培训工作，该标准仍需根据实际情况及时加以修订和更新，以适应产业发展和技术进步的需要。</w:t>
      </w:r>
    </w:p>
    <w:p w14:paraId="245CE287">
      <w:pPr>
        <w:numPr>
          <w:ilvl w:val="0"/>
          <w:numId w:val="14"/>
        </w:numPr>
        <w:autoSpaceDE w:val="0"/>
        <w:autoSpaceDN w:val="0"/>
        <w:adjustRightInd w:val="0"/>
        <w:spacing w:before="156" w:beforeLines="50" w:after="156" w:afterLines="50" w:line="520" w:lineRule="exact"/>
        <w:ind w:firstLine="640"/>
        <w:jc w:val="left"/>
        <w:rPr>
          <w:rFonts w:hint="eastAsia" w:ascii="黑体" w:hAnsi="黑体" w:eastAsia="黑体" w:cs="仿宋_GB2312"/>
          <w:sz w:val="32"/>
          <w:szCs w:val="32"/>
        </w:rPr>
      </w:pPr>
      <w:r>
        <w:rPr>
          <w:rFonts w:hint="eastAsia" w:ascii="黑体" w:hAnsi="黑体" w:eastAsia="黑体" w:cs="仿宋_GB2312"/>
          <w:sz w:val="32"/>
          <w:szCs w:val="32"/>
        </w:rPr>
        <w:t>自我承诺</w:t>
      </w:r>
    </w:p>
    <w:p w14:paraId="41D18C52">
      <w:pPr>
        <w:autoSpaceDE w:val="0"/>
        <w:autoSpaceDN w:val="0"/>
        <w:adjustRightInd w:val="0"/>
        <w:spacing w:before="156" w:beforeLines="50" w:after="156" w:afterLines="50" w:line="520" w:lineRule="exact"/>
        <w:ind w:firstLine="600" w:firstLineChars="200"/>
        <w:jc w:val="left"/>
        <w:rPr>
          <w:rFonts w:eastAsia="仿宋_GB2312"/>
          <w:sz w:val="30"/>
          <w:szCs w:val="30"/>
        </w:rPr>
      </w:pPr>
      <w:r>
        <w:rPr>
          <w:rFonts w:hint="eastAsia" w:eastAsia="仿宋_GB2312"/>
          <w:sz w:val="30"/>
          <w:szCs w:val="30"/>
        </w:rPr>
        <w:t>本标准内容与各项指标均不低于国家强制性标准、推荐性国家标准和行业标准。</w:t>
      </w:r>
    </w:p>
    <w:p w14:paraId="6C2EB4BB">
      <w:pPr>
        <w:spacing w:line="520" w:lineRule="exact"/>
        <w:jc w:val="right"/>
        <w:rPr>
          <w:rFonts w:eastAsia="仿宋_GB2312"/>
          <w:sz w:val="30"/>
          <w:szCs w:val="30"/>
        </w:rPr>
      </w:pPr>
      <w:r>
        <w:rPr>
          <w:rFonts w:hint="eastAsia" w:ascii="仿宋_GB2312" w:hAnsi="仿宋_GB2312" w:eastAsia="仿宋_GB2312" w:cs="仿宋_GB2312"/>
          <w:sz w:val="32"/>
          <w:szCs w:val="32"/>
        </w:rPr>
        <w:t xml:space="preserve"> </w:t>
      </w:r>
      <w:r>
        <w:rPr>
          <w:rFonts w:eastAsia="仿宋_GB2312"/>
          <w:sz w:val="30"/>
          <w:szCs w:val="30"/>
        </w:rPr>
        <w:t xml:space="preserve"> 团体标准《</w:t>
      </w:r>
      <w:r>
        <w:rPr>
          <w:rFonts w:hint="eastAsia" w:eastAsia="仿宋_GB2312"/>
          <w:sz w:val="30"/>
          <w:szCs w:val="30"/>
        </w:rPr>
        <w:t>互叶白千层生产加工技术</w:t>
      </w:r>
      <w:r>
        <w:rPr>
          <w:rFonts w:eastAsia="仿宋_GB2312"/>
          <w:sz w:val="30"/>
          <w:szCs w:val="30"/>
        </w:rPr>
        <w:t>规程》</w:t>
      </w:r>
    </w:p>
    <w:p w14:paraId="6EC5CAA5">
      <w:pPr>
        <w:spacing w:line="520" w:lineRule="exact"/>
        <w:ind w:right="1120"/>
        <w:jc w:val="center"/>
        <w:rPr>
          <w:rFonts w:eastAsia="仿宋_GB2312"/>
          <w:sz w:val="30"/>
          <w:szCs w:val="30"/>
        </w:rPr>
      </w:pPr>
      <w:r>
        <w:rPr>
          <w:rFonts w:eastAsia="仿宋_GB2312"/>
          <w:sz w:val="30"/>
          <w:szCs w:val="30"/>
        </w:rPr>
        <w:t xml:space="preserve">                        标准编制工作组</w:t>
      </w:r>
    </w:p>
    <w:p w14:paraId="225A191F">
      <w:pPr>
        <w:spacing w:line="520" w:lineRule="exact"/>
        <w:ind w:firstLine="600" w:firstLineChars="200"/>
        <w:rPr>
          <w:rFonts w:eastAsia="仿宋_GB2312"/>
          <w:sz w:val="30"/>
          <w:szCs w:val="30"/>
        </w:rPr>
      </w:pPr>
      <w:r>
        <w:rPr>
          <w:rFonts w:eastAsia="仿宋_GB2312"/>
          <w:sz w:val="30"/>
          <w:szCs w:val="30"/>
        </w:rPr>
        <w:t xml:space="preserve">                            202</w:t>
      </w:r>
      <w:r>
        <w:rPr>
          <w:rFonts w:hint="eastAsia" w:eastAsia="仿宋_GB2312"/>
          <w:sz w:val="30"/>
          <w:szCs w:val="30"/>
        </w:rPr>
        <w:t>4</w:t>
      </w:r>
      <w:r>
        <w:rPr>
          <w:rFonts w:eastAsia="仿宋_GB2312"/>
          <w:sz w:val="30"/>
          <w:szCs w:val="30"/>
        </w:rPr>
        <w:t>年12月</w:t>
      </w:r>
      <w:r>
        <w:rPr>
          <w:rFonts w:hint="eastAsia" w:eastAsia="仿宋_GB2312"/>
          <w:sz w:val="30"/>
          <w:szCs w:val="30"/>
        </w:rPr>
        <w:t>1</w:t>
      </w:r>
      <w:r>
        <w:rPr>
          <w:rFonts w:eastAsia="仿宋_GB2312"/>
          <w:sz w:val="30"/>
          <w:szCs w:val="30"/>
        </w:rPr>
        <w:t>3日</w:t>
      </w:r>
    </w:p>
    <w:p w14:paraId="6CC6F306">
      <w:pPr>
        <w:spacing w:line="520" w:lineRule="exact"/>
        <w:rPr>
          <w:rFonts w:eastAsia="仿宋_GB2312"/>
          <w:sz w:val="30"/>
          <w:szCs w:val="30"/>
        </w:rPr>
      </w:pPr>
    </w:p>
    <w:sectPr>
      <w:footerReference r:id="rId9" w:type="default"/>
      <w:pgSz w:w="11906" w:h="16838"/>
      <w:pgMar w:top="1474" w:right="1474" w:bottom="1474"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4903136-E7B5-4985-BD28-081176CA686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Microsoft JhengHei"/>
    <w:panose1 w:val="02010609000101010101"/>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embedRegular r:id="rId2" w:fontKey="{185FBEDF-3B55-4CC0-AD22-4FE2BAC423B6}"/>
  </w:font>
  <w:font w:name="仿宋_GB2312">
    <w:altName w:val="仿宋"/>
    <w:panose1 w:val="00000000000000000000"/>
    <w:charset w:val="86"/>
    <w:family w:val="modern"/>
    <w:pitch w:val="default"/>
    <w:sig w:usb0="00000000" w:usb1="00000000" w:usb2="00000000" w:usb3="00000000" w:csb0="00040000" w:csb1="00000000"/>
    <w:embedRegular r:id="rId3" w:fontKey="{03398215-43B3-45B8-BFD2-5FC33BE94C85}"/>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FZSSJW--GB1-0">
    <w:altName w:val="Segoe Print"/>
    <w:panose1 w:val="00000000000000000000"/>
    <w:charset w:val="00"/>
    <w:family w:val="auto"/>
    <w:pitch w:val="default"/>
    <w:sig w:usb0="00000000" w:usb1="00000000" w:usb2="00000000" w:usb3="00000000" w:csb0="00040001" w:csb1="00000000"/>
    <w:embedRegular r:id="rId4" w:fontKey="{671DB332-120F-4151-9E32-E4C5DFB5C6C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00000001" w:usb1="08000000" w:usb2="00000000" w:usb3="00000000" w:csb0="00040000" w:csb1="00000000"/>
    <w:embedRegular r:id="rId5" w:fontKey="{0A5B432C-8806-4C9E-B17C-8532EACDCE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D2657">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55BD3">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D3BD8">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5AAE0">
    <w:pPr>
      <w:pStyle w:val="7"/>
      <w:jc w:val="center"/>
    </w:pPr>
    <w:r>
      <w:fldChar w:fldCharType="begin"/>
    </w:r>
    <w:r>
      <w:instrText xml:space="preserve"> PAGE   \* MERGEFORMAT </w:instrText>
    </w:r>
    <w:r>
      <w:fldChar w:fldCharType="separate"/>
    </w:r>
    <w:r>
      <w:rPr>
        <w:lang w:val="zh-CN" w:eastAsia="zh-CN"/>
      </w:rPr>
      <w:t>1</w:t>
    </w:r>
    <w:r>
      <w:fldChar w:fldCharType="end"/>
    </w:r>
  </w:p>
  <w:p w14:paraId="6316E62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F01F">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6279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C4EAD">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F73E57"/>
    <w:multiLevelType w:val="singleLevel"/>
    <w:tmpl w:val="BCF73E57"/>
    <w:lvl w:ilvl="0" w:tentative="0">
      <w:start w:val="5"/>
      <w:numFmt w:val="chineseCounting"/>
      <w:suff w:val="nothing"/>
      <w:lvlText w:val="%1、"/>
      <w:lvlJc w:val="left"/>
      <w:pPr>
        <w:ind w:left="-10"/>
      </w:pPr>
      <w:rPr>
        <w:rFonts w:hint="eastAsia"/>
      </w:rPr>
    </w:lvl>
  </w:abstractNum>
  <w:abstractNum w:abstractNumId="1">
    <w:nsid w:val="CC0EA8AB"/>
    <w:multiLevelType w:val="singleLevel"/>
    <w:tmpl w:val="CC0EA8AB"/>
    <w:lvl w:ilvl="0" w:tentative="0">
      <w:start w:val="2"/>
      <w:numFmt w:val="decimal"/>
      <w:suff w:val="nothing"/>
      <w:lvlText w:val="（%1）"/>
      <w:lvlJc w:val="left"/>
    </w:lvl>
  </w:abstractNum>
  <w:abstractNum w:abstractNumId="2">
    <w:nsid w:val="F31361E8"/>
    <w:multiLevelType w:val="singleLevel"/>
    <w:tmpl w:val="F31361E8"/>
    <w:lvl w:ilvl="0" w:tentative="0">
      <w:start w:val="4"/>
      <w:numFmt w:val="upperLetter"/>
      <w:lvlText w:val="%1)"/>
      <w:lvlJc w:val="left"/>
      <w:pPr>
        <w:tabs>
          <w:tab w:val="left" w:pos="312"/>
        </w:tabs>
      </w:pPr>
    </w:lvl>
  </w:abstractNum>
  <w:abstractNum w:abstractNumId="3">
    <w:nsid w:val="079102AD"/>
    <w:multiLevelType w:val="multilevel"/>
    <w:tmpl w:val="079102AD"/>
    <w:lvl w:ilvl="0" w:tentative="0">
      <w:start w:val="1"/>
      <w:numFmt w:val="decimal"/>
      <w:pStyle w:val="37"/>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1FC91163"/>
    <w:multiLevelType w:val="multilevel"/>
    <w:tmpl w:val="1FC91163"/>
    <w:lvl w:ilvl="0" w:tentative="0">
      <w:start w:val="1"/>
      <w:numFmt w:val="decimal"/>
      <w:pStyle w:val="27"/>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5"/>
      <w:suff w:val="nothing"/>
      <w:lvlText w:val="%1.%2　"/>
      <w:lvlJc w:val="left"/>
      <w:pPr>
        <w:ind w:left="525"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24"/>
      <w:suff w:val="nothing"/>
      <w:lvlText w:val="%1.%2.%3　"/>
      <w:lvlJc w:val="left"/>
      <w:pPr>
        <w:ind w:left="0" w:firstLine="0"/>
      </w:pPr>
      <w:rPr>
        <w:rFonts w:hint="eastAsia" w:ascii="黑体" w:hAnsi="Times New Roman" w:eastAsia="黑体"/>
        <w:b w:val="0"/>
        <w:i w:val="0"/>
        <w:sz w:val="21"/>
      </w:rPr>
    </w:lvl>
    <w:lvl w:ilvl="3" w:tentative="0">
      <w:start w:val="1"/>
      <w:numFmt w:val="decimal"/>
      <w:pStyle w:val="31"/>
      <w:suff w:val="nothing"/>
      <w:lvlText w:val="%1.%2.%3.%4　"/>
      <w:lvlJc w:val="left"/>
      <w:pPr>
        <w:ind w:left="0" w:firstLine="0"/>
      </w:pPr>
      <w:rPr>
        <w:rFonts w:hint="eastAsia" w:ascii="黑体" w:hAnsi="Times New Roman" w:eastAsia="黑体"/>
        <w:b w:val="0"/>
        <w:i w:val="0"/>
        <w:sz w:val="21"/>
      </w:rPr>
    </w:lvl>
    <w:lvl w:ilvl="4" w:tentative="0">
      <w:start w:val="1"/>
      <w:numFmt w:val="decimal"/>
      <w:pStyle w:val="36"/>
      <w:suff w:val="nothing"/>
      <w:lvlText w:val="%1.%2.%3.%4.%5　"/>
      <w:lvlJc w:val="left"/>
      <w:pPr>
        <w:ind w:left="0" w:firstLine="0"/>
      </w:pPr>
      <w:rPr>
        <w:rFonts w:hint="eastAsia" w:ascii="黑体" w:hAnsi="Times New Roman" w:eastAsia="黑体"/>
        <w:b w:val="0"/>
        <w:i w:val="0"/>
        <w:sz w:val="21"/>
      </w:rPr>
    </w:lvl>
    <w:lvl w:ilvl="5" w:tentative="0">
      <w:start w:val="1"/>
      <w:numFmt w:val="decimal"/>
      <w:pStyle w:val="46"/>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2A8F7113"/>
    <w:multiLevelType w:val="multilevel"/>
    <w:tmpl w:val="2A8F7113"/>
    <w:lvl w:ilvl="0" w:tentative="0">
      <w:start w:val="1"/>
      <w:numFmt w:val="upperLetter"/>
      <w:pStyle w:val="41"/>
      <w:suff w:val="space"/>
      <w:lvlText w:val="%1"/>
      <w:lvlJc w:val="left"/>
      <w:pPr>
        <w:ind w:left="623" w:hanging="425"/>
      </w:pPr>
      <w:rPr>
        <w:rFonts w:hint="eastAsia"/>
      </w:rPr>
    </w:lvl>
    <w:lvl w:ilvl="1" w:tentative="0">
      <w:start w:val="1"/>
      <w:numFmt w:val="decimal"/>
      <w:pStyle w:val="43"/>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6">
    <w:nsid w:val="2C5917C3"/>
    <w:multiLevelType w:val="multilevel"/>
    <w:tmpl w:val="2C5917C3"/>
    <w:lvl w:ilvl="0" w:tentative="0">
      <w:start w:val="1"/>
      <w:numFmt w:val="none"/>
      <w:pStyle w:val="26"/>
      <w:suff w:val="nothing"/>
      <w:lvlText w:val="%1——"/>
      <w:lvlJc w:val="left"/>
      <w:pPr>
        <w:ind w:left="550" w:hanging="408"/>
      </w:pPr>
      <w:rPr>
        <w:rFonts w:hint="eastAsia"/>
      </w:rPr>
    </w:lvl>
    <w:lvl w:ilvl="1" w:tentative="0">
      <w:start w:val="1"/>
      <w:numFmt w:val="bullet"/>
      <w:pStyle w:val="30"/>
      <w:lvlText w:val=""/>
      <w:lvlJc w:val="left"/>
      <w:pPr>
        <w:tabs>
          <w:tab w:val="left" w:pos="760"/>
        </w:tabs>
        <w:ind w:left="1264" w:hanging="413"/>
      </w:pPr>
      <w:rPr>
        <w:rFonts w:hint="default" w:ascii="Symbol" w:hAnsi="Symbol"/>
        <w:color w:val="auto"/>
      </w:rPr>
    </w:lvl>
    <w:lvl w:ilvl="2" w:tentative="0">
      <w:start w:val="1"/>
      <w:numFmt w:val="bullet"/>
      <w:pStyle w:val="35"/>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7">
    <w:nsid w:val="44C50F90"/>
    <w:multiLevelType w:val="multilevel"/>
    <w:tmpl w:val="44C50F90"/>
    <w:lvl w:ilvl="0" w:tentative="0">
      <w:start w:val="1"/>
      <w:numFmt w:val="lowerLetter"/>
      <w:pStyle w:val="47"/>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8">
    <w:nsid w:val="4FE3C0EC"/>
    <w:multiLevelType w:val="singleLevel"/>
    <w:tmpl w:val="4FE3C0EC"/>
    <w:lvl w:ilvl="0" w:tentative="0">
      <w:start w:val="1"/>
      <w:numFmt w:val="decimal"/>
      <w:suff w:val="nothing"/>
      <w:lvlText w:val="（%1）"/>
      <w:lvlJc w:val="left"/>
    </w:lvl>
  </w:abstractNum>
  <w:abstractNum w:abstractNumId="9">
    <w:nsid w:val="50B2F860"/>
    <w:multiLevelType w:val="singleLevel"/>
    <w:tmpl w:val="50B2F860"/>
    <w:lvl w:ilvl="0" w:tentative="0">
      <w:start w:val="3"/>
      <w:numFmt w:val="decimal"/>
      <w:suff w:val="space"/>
      <w:lvlText w:val="%1."/>
      <w:lvlJc w:val="left"/>
    </w:lvl>
  </w:abstractNum>
  <w:abstractNum w:abstractNumId="10">
    <w:nsid w:val="557C2AF5"/>
    <w:multiLevelType w:val="multilevel"/>
    <w:tmpl w:val="557C2AF5"/>
    <w:lvl w:ilvl="0" w:tentative="0">
      <w:start w:val="1"/>
      <w:numFmt w:val="decimal"/>
      <w:pStyle w:val="42"/>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60534E5F"/>
    <w:multiLevelType w:val="singleLevel"/>
    <w:tmpl w:val="60534E5F"/>
    <w:lvl w:ilvl="0" w:tentative="0">
      <w:start w:val="2"/>
      <w:numFmt w:val="chineseCounting"/>
      <w:suff w:val="nothing"/>
      <w:lvlText w:val="%1、"/>
      <w:lvlJc w:val="left"/>
      <w:rPr>
        <w:rFonts w:hint="eastAsia"/>
      </w:rPr>
    </w:lvl>
  </w:abstractNum>
  <w:abstractNum w:abstractNumId="12">
    <w:nsid w:val="646260FA"/>
    <w:multiLevelType w:val="multilevel"/>
    <w:tmpl w:val="646260FA"/>
    <w:lvl w:ilvl="0" w:tentative="0">
      <w:start w:val="1"/>
      <w:numFmt w:val="decimal"/>
      <w:pStyle w:val="29"/>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567"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49"/>
      <w:suff w:val="nothing"/>
      <w:lvlText w:val="%1%2.%3.%4　"/>
      <w:lvlJc w:val="left"/>
      <w:pPr>
        <w:ind w:left="0" w:firstLine="0"/>
      </w:pPr>
      <w:rPr>
        <w:rFonts w:hint="eastAsia" w:ascii="黑体" w:eastAsia="黑体"/>
        <w:b w:val="0"/>
        <w:i w:val="0"/>
        <w:sz w:val="21"/>
      </w:rPr>
    </w:lvl>
    <w:lvl w:ilvl="4" w:tentative="0">
      <w:start w:val="1"/>
      <w:numFmt w:val="decimal"/>
      <w:pStyle w:val="50"/>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4"/>
  </w:num>
  <w:num w:numId="2">
    <w:abstractNumId w:val="6"/>
  </w:num>
  <w:num w:numId="3">
    <w:abstractNumId w:val="12"/>
  </w:num>
  <w:num w:numId="4">
    <w:abstractNumId w:val="3"/>
  </w:num>
  <w:num w:numId="5">
    <w:abstractNumId w:val="5"/>
  </w:num>
  <w:num w:numId="6">
    <w:abstractNumId w:val="10"/>
  </w:num>
  <w:num w:numId="7">
    <w:abstractNumId w:val="7"/>
  </w:num>
  <w:num w:numId="8">
    <w:abstractNumId w:val="13"/>
  </w:num>
  <w:num w:numId="9">
    <w:abstractNumId w:val="11"/>
  </w:num>
  <w:num w:numId="10">
    <w:abstractNumId w:val="9"/>
  </w:num>
  <w:num w:numId="11">
    <w:abstractNumId w:val="1"/>
  </w:num>
  <w:num w:numId="12">
    <w:abstractNumId w:val="2"/>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g5NTg2MDNlMzk2Yjk5NDIzYmZjNGJiNmU3ODJmNzIifQ=="/>
  </w:docVars>
  <w:rsids>
    <w:rsidRoot w:val="00172A27"/>
    <w:rsid w:val="00000274"/>
    <w:rsid w:val="000104AA"/>
    <w:rsid w:val="00020D9C"/>
    <w:rsid w:val="00024212"/>
    <w:rsid w:val="00024664"/>
    <w:rsid w:val="000246E6"/>
    <w:rsid w:val="00024C32"/>
    <w:rsid w:val="00024E38"/>
    <w:rsid w:val="00034233"/>
    <w:rsid w:val="00034BDB"/>
    <w:rsid w:val="000516F9"/>
    <w:rsid w:val="00056A44"/>
    <w:rsid w:val="000571C8"/>
    <w:rsid w:val="00065815"/>
    <w:rsid w:val="00073031"/>
    <w:rsid w:val="000750BE"/>
    <w:rsid w:val="00075577"/>
    <w:rsid w:val="0009177A"/>
    <w:rsid w:val="00092BCE"/>
    <w:rsid w:val="00093E74"/>
    <w:rsid w:val="000945CF"/>
    <w:rsid w:val="00094C76"/>
    <w:rsid w:val="000A0201"/>
    <w:rsid w:val="000A1A43"/>
    <w:rsid w:val="000A4601"/>
    <w:rsid w:val="000A70F6"/>
    <w:rsid w:val="000A77CD"/>
    <w:rsid w:val="000B4A06"/>
    <w:rsid w:val="000B767F"/>
    <w:rsid w:val="000D00DF"/>
    <w:rsid w:val="000D6612"/>
    <w:rsid w:val="000F2373"/>
    <w:rsid w:val="000F3365"/>
    <w:rsid w:val="000F74D3"/>
    <w:rsid w:val="001030BC"/>
    <w:rsid w:val="001032DA"/>
    <w:rsid w:val="00104F4F"/>
    <w:rsid w:val="00106296"/>
    <w:rsid w:val="00110DF2"/>
    <w:rsid w:val="00111C3F"/>
    <w:rsid w:val="00114946"/>
    <w:rsid w:val="001216B3"/>
    <w:rsid w:val="001216D5"/>
    <w:rsid w:val="00133572"/>
    <w:rsid w:val="0014204A"/>
    <w:rsid w:val="00156817"/>
    <w:rsid w:val="001639C0"/>
    <w:rsid w:val="00166CB2"/>
    <w:rsid w:val="001670DA"/>
    <w:rsid w:val="00172C53"/>
    <w:rsid w:val="00190F5F"/>
    <w:rsid w:val="001922EB"/>
    <w:rsid w:val="001923CF"/>
    <w:rsid w:val="001955BA"/>
    <w:rsid w:val="001972C8"/>
    <w:rsid w:val="001A2847"/>
    <w:rsid w:val="001A3108"/>
    <w:rsid w:val="001A40CF"/>
    <w:rsid w:val="001A6A33"/>
    <w:rsid w:val="001B7729"/>
    <w:rsid w:val="001C3DC6"/>
    <w:rsid w:val="001C5F01"/>
    <w:rsid w:val="001C793C"/>
    <w:rsid w:val="001D6899"/>
    <w:rsid w:val="001D7816"/>
    <w:rsid w:val="001E4951"/>
    <w:rsid w:val="001F17FB"/>
    <w:rsid w:val="001F2B71"/>
    <w:rsid w:val="001F3546"/>
    <w:rsid w:val="001F498B"/>
    <w:rsid w:val="001F5E8B"/>
    <w:rsid w:val="001F660A"/>
    <w:rsid w:val="00205603"/>
    <w:rsid w:val="00206B0B"/>
    <w:rsid w:val="00207868"/>
    <w:rsid w:val="00210E82"/>
    <w:rsid w:val="002116FB"/>
    <w:rsid w:val="00213005"/>
    <w:rsid w:val="0021745B"/>
    <w:rsid w:val="00220112"/>
    <w:rsid w:val="002223DD"/>
    <w:rsid w:val="00230C5B"/>
    <w:rsid w:val="00230F42"/>
    <w:rsid w:val="002367D2"/>
    <w:rsid w:val="00243DFC"/>
    <w:rsid w:val="00244ADA"/>
    <w:rsid w:val="002465C7"/>
    <w:rsid w:val="00247777"/>
    <w:rsid w:val="0025168C"/>
    <w:rsid w:val="00262753"/>
    <w:rsid w:val="00264A7D"/>
    <w:rsid w:val="00265295"/>
    <w:rsid w:val="00276C5D"/>
    <w:rsid w:val="00283085"/>
    <w:rsid w:val="0029084D"/>
    <w:rsid w:val="002A2053"/>
    <w:rsid w:val="002A3183"/>
    <w:rsid w:val="002A4132"/>
    <w:rsid w:val="002A44E5"/>
    <w:rsid w:val="002A590F"/>
    <w:rsid w:val="002C3DC0"/>
    <w:rsid w:val="002C73B6"/>
    <w:rsid w:val="002D2C5D"/>
    <w:rsid w:val="002D3273"/>
    <w:rsid w:val="002D5B90"/>
    <w:rsid w:val="002D6E80"/>
    <w:rsid w:val="002E073F"/>
    <w:rsid w:val="002E4BA4"/>
    <w:rsid w:val="002E5C3F"/>
    <w:rsid w:val="00303E23"/>
    <w:rsid w:val="003044A0"/>
    <w:rsid w:val="00313CD9"/>
    <w:rsid w:val="00314C54"/>
    <w:rsid w:val="003229F6"/>
    <w:rsid w:val="0032596F"/>
    <w:rsid w:val="0033144D"/>
    <w:rsid w:val="00335A1A"/>
    <w:rsid w:val="00335C81"/>
    <w:rsid w:val="0033670F"/>
    <w:rsid w:val="00343C24"/>
    <w:rsid w:val="003563DE"/>
    <w:rsid w:val="00356556"/>
    <w:rsid w:val="00356C98"/>
    <w:rsid w:val="00360A4B"/>
    <w:rsid w:val="00362DF8"/>
    <w:rsid w:val="00362F10"/>
    <w:rsid w:val="00374638"/>
    <w:rsid w:val="00382450"/>
    <w:rsid w:val="00382EFA"/>
    <w:rsid w:val="003862EF"/>
    <w:rsid w:val="00396FD3"/>
    <w:rsid w:val="003B169A"/>
    <w:rsid w:val="003B4664"/>
    <w:rsid w:val="003B4B2B"/>
    <w:rsid w:val="003B7651"/>
    <w:rsid w:val="003C5021"/>
    <w:rsid w:val="003C7AB1"/>
    <w:rsid w:val="003D096D"/>
    <w:rsid w:val="003D0ADE"/>
    <w:rsid w:val="003D5CB5"/>
    <w:rsid w:val="003D6332"/>
    <w:rsid w:val="003E27A7"/>
    <w:rsid w:val="003E38C5"/>
    <w:rsid w:val="003E7011"/>
    <w:rsid w:val="003E7B8D"/>
    <w:rsid w:val="003F04EA"/>
    <w:rsid w:val="003F0FDE"/>
    <w:rsid w:val="003F28D0"/>
    <w:rsid w:val="003F3119"/>
    <w:rsid w:val="003F383E"/>
    <w:rsid w:val="003F68F3"/>
    <w:rsid w:val="0040035D"/>
    <w:rsid w:val="0040509D"/>
    <w:rsid w:val="00415B48"/>
    <w:rsid w:val="0041732F"/>
    <w:rsid w:val="00420363"/>
    <w:rsid w:val="0042062E"/>
    <w:rsid w:val="00424FCB"/>
    <w:rsid w:val="00425860"/>
    <w:rsid w:val="00427978"/>
    <w:rsid w:val="00434E46"/>
    <w:rsid w:val="004351A3"/>
    <w:rsid w:val="004423B7"/>
    <w:rsid w:val="00443AC9"/>
    <w:rsid w:val="00443DB0"/>
    <w:rsid w:val="00446004"/>
    <w:rsid w:val="004503F4"/>
    <w:rsid w:val="0045306D"/>
    <w:rsid w:val="0046025A"/>
    <w:rsid w:val="004605D8"/>
    <w:rsid w:val="004626AF"/>
    <w:rsid w:val="004638F7"/>
    <w:rsid w:val="004640DB"/>
    <w:rsid w:val="00466099"/>
    <w:rsid w:val="004719C2"/>
    <w:rsid w:val="00473902"/>
    <w:rsid w:val="004748FE"/>
    <w:rsid w:val="00474A93"/>
    <w:rsid w:val="0047702C"/>
    <w:rsid w:val="004805D0"/>
    <w:rsid w:val="00480AD7"/>
    <w:rsid w:val="004810F1"/>
    <w:rsid w:val="00483409"/>
    <w:rsid w:val="0048357F"/>
    <w:rsid w:val="004848AA"/>
    <w:rsid w:val="00484EF3"/>
    <w:rsid w:val="004865C9"/>
    <w:rsid w:val="00487A6B"/>
    <w:rsid w:val="0049011A"/>
    <w:rsid w:val="0049388E"/>
    <w:rsid w:val="0049390C"/>
    <w:rsid w:val="00496A1A"/>
    <w:rsid w:val="004A678C"/>
    <w:rsid w:val="004A76AB"/>
    <w:rsid w:val="004B23FC"/>
    <w:rsid w:val="004B75D6"/>
    <w:rsid w:val="004C0940"/>
    <w:rsid w:val="004C1745"/>
    <w:rsid w:val="004C4136"/>
    <w:rsid w:val="004D1097"/>
    <w:rsid w:val="004D7B57"/>
    <w:rsid w:val="004E35A3"/>
    <w:rsid w:val="004E4EDE"/>
    <w:rsid w:val="004E6E0D"/>
    <w:rsid w:val="004F30B5"/>
    <w:rsid w:val="004F48C2"/>
    <w:rsid w:val="00504FB3"/>
    <w:rsid w:val="00505BF2"/>
    <w:rsid w:val="0050643E"/>
    <w:rsid w:val="00516967"/>
    <w:rsid w:val="00517E26"/>
    <w:rsid w:val="00530C70"/>
    <w:rsid w:val="00535563"/>
    <w:rsid w:val="00535AC6"/>
    <w:rsid w:val="005376CC"/>
    <w:rsid w:val="00546AD2"/>
    <w:rsid w:val="005603C6"/>
    <w:rsid w:val="0056049A"/>
    <w:rsid w:val="005639F8"/>
    <w:rsid w:val="00567660"/>
    <w:rsid w:val="005768CF"/>
    <w:rsid w:val="005802BD"/>
    <w:rsid w:val="0058151C"/>
    <w:rsid w:val="00590DE9"/>
    <w:rsid w:val="005968D6"/>
    <w:rsid w:val="005A4523"/>
    <w:rsid w:val="005A7762"/>
    <w:rsid w:val="005A7D1D"/>
    <w:rsid w:val="005B0CDC"/>
    <w:rsid w:val="005B15CA"/>
    <w:rsid w:val="005B7B7E"/>
    <w:rsid w:val="005C2D52"/>
    <w:rsid w:val="005C437D"/>
    <w:rsid w:val="005D0450"/>
    <w:rsid w:val="005D1EE1"/>
    <w:rsid w:val="005D3F96"/>
    <w:rsid w:val="005D6A5C"/>
    <w:rsid w:val="005E12BD"/>
    <w:rsid w:val="005E207A"/>
    <w:rsid w:val="005E2143"/>
    <w:rsid w:val="005F18BE"/>
    <w:rsid w:val="005F2CCB"/>
    <w:rsid w:val="005F6BC3"/>
    <w:rsid w:val="005F742A"/>
    <w:rsid w:val="006003C4"/>
    <w:rsid w:val="00606B5A"/>
    <w:rsid w:val="00610884"/>
    <w:rsid w:val="00612816"/>
    <w:rsid w:val="0061296E"/>
    <w:rsid w:val="00616671"/>
    <w:rsid w:val="006277D9"/>
    <w:rsid w:val="00631415"/>
    <w:rsid w:val="006404F1"/>
    <w:rsid w:val="00642140"/>
    <w:rsid w:val="0064385A"/>
    <w:rsid w:val="00645590"/>
    <w:rsid w:val="00652724"/>
    <w:rsid w:val="00654BF1"/>
    <w:rsid w:val="006610FC"/>
    <w:rsid w:val="00666363"/>
    <w:rsid w:val="0066734D"/>
    <w:rsid w:val="00680812"/>
    <w:rsid w:val="006811BF"/>
    <w:rsid w:val="00682FAD"/>
    <w:rsid w:val="0068494D"/>
    <w:rsid w:val="00694D12"/>
    <w:rsid w:val="00694E66"/>
    <w:rsid w:val="006966C1"/>
    <w:rsid w:val="00697B40"/>
    <w:rsid w:val="006A3B63"/>
    <w:rsid w:val="006A6082"/>
    <w:rsid w:val="006D155C"/>
    <w:rsid w:val="006E071D"/>
    <w:rsid w:val="006E155C"/>
    <w:rsid w:val="006E165B"/>
    <w:rsid w:val="006E42CF"/>
    <w:rsid w:val="006E7C2E"/>
    <w:rsid w:val="006F1C05"/>
    <w:rsid w:val="006F6252"/>
    <w:rsid w:val="006F6AC2"/>
    <w:rsid w:val="006F7E42"/>
    <w:rsid w:val="00700D32"/>
    <w:rsid w:val="00701CA5"/>
    <w:rsid w:val="00703EC8"/>
    <w:rsid w:val="00710EF2"/>
    <w:rsid w:val="00712BC5"/>
    <w:rsid w:val="007145B4"/>
    <w:rsid w:val="00720395"/>
    <w:rsid w:val="007206AC"/>
    <w:rsid w:val="00726016"/>
    <w:rsid w:val="00736414"/>
    <w:rsid w:val="007404B2"/>
    <w:rsid w:val="007417C3"/>
    <w:rsid w:val="00742F56"/>
    <w:rsid w:val="00743855"/>
    <w:rsid w:val="007513A7"/>
    <w:rsid w:val="0075401E"/>
    <w:rsid w:val="00756294"/>
    <w:rsid w:val="00756EFB"/>
    <w:rsid w:val="00757926"/>
    <w:rsid w:val="007812EA"/>
    <w:rsid w:val="00781F1A"/>
    <w:rsid w:val="0078487A"/>
    <w:rsid w:val="00786A2E"/>
    <w:rsid w:val="00791F28"/>
    <w:rsid w:val="00797654"/>
    <w:rsid w:val="007A36E9"/>
    <w:rsid w:val="007A3E34"/>
    <w:rsid w:val="007A472E"/>
    <w:rsid w:val="007B0646"/>
    <w:rsid w:val="007B69AA"/>
    <w:rsid w:val="007B7812"/>
    <w:rsid w:val="007C0A49"/>
    <w:rsid w:val="007C0C3A"/>
    <w:rsid w:val="007C1C19"/>
    <w:rsid w:val="007C4C1F"/>
    <w:rsid w:val="007C4F25"/>
    <w:rsid w:val="007C77E3"/>
    <w:rsid w:val="007D1435"/>
    <w:rsid w:val="007D3647"/>
    <w:rsid w:val="007D4663"/>
    <w:rsid w:val="007D59C6"/>
    <w:rsid w:val="007D646F"/>
    <w:rsid w:val="007E0035"/>
    <w:rsid w:val="007E18B8"/>
    <w:rsid w:val="007E2A45"/>
    <w:rsid w:val="007E3F04"/>
    <w:rsid w:val="007E5919"/>
    <w:rsid w:val="007F05BA"/>
    <w:rsid w:val="007F1B74"/>
    <w:rsid w:val="007F5002"/>
    <w:rsid w:val="007F67CB"/>
    <w:rsid w:val="007F7309"/>
    <w:rsid w:val="008014CE"/>
    <w:rsid w:val="00801FE9"/>
    <w:rsid w:val="0080598D"/>
    <w:rsid w:val="00807FA4"/>
    <w:rsid w:val="00816B37"/>
    <w:rsid w:val="00823A01"/>
    <w:rsid w:val="00824383"/>
    <w:rsid w:val="00825BEF"/>
    <w:rsid w:val="008275DE"/>
    <w:rsid w:val="0083163F"/>
    <w:rsid w:val="008334F4"/>
    <w:rsid w:val="008368B5"/>
    <w:rsid w:val="00837777"/>
    <w:rsid w:val="008401D0"/>
    <w:rsid w:val="008434CF"/>
    <w:rsid w:val="00846DBE"/>
    <w:rsid w:val="008522BA"/>
    <w:rsid w:val="008539C9"/>
    <w:rsid w:val="0085555C"/>
    <w:rsid w:val="00857143"/>
    <w:rsid w:val="00860076"/>
    <w:rsid w:val="00860D4E"/>
    <w:rsid w:val="008619AF"/>
    <w:rsid w:val="00862F37"/>
    <w:rsid w:val="008653E6"/>
    <w:rsid w:val="00866AC4"/>
    <w:rsid w:val="008709B5"/>
    <w:rsid w:val="0088023F"/>
    <w:rsid w:val="008805FD"/>
    <w:rsid w:val="00882551"/>
    <w:rsid w:val="008853E8"/>
    <w:rsid w:val="00890B67"/>
    <w:rsid w:val="00894B46"/>
    <w:rsid w:val="00896CD7"/>
    <w:rsid w:val="008A478E"/>
    <w:rsid w:val="008A5709"/>
    <w:rsid w:val="008A5E94"/>
    <w:rsid w:val="008B1A6F"/>
    <w:rsid w:val="008C109B"/>
    <w:rsid w:val="008C3AAC"/>
    <w:rsid w:val="008C4B10"/>
    <w:rsid w:val="008C51CC"/>
    <w:rsid w:val="008C7D8D"/>
    <w:rsid w:val="008D09C0"/>
    <w:rsid w:val="008D1D61"/>
    <w:rsid w:val="008D3059"/>
    <w:rsid w:val="008D3E73"/>
    <w:rsid w:val="008D44E2"/>
    <w:rsid w:val="008D5C1F"/>
    <w:rsid w:val="008E681B"/>
    <w:rsid w:val="008E7627"/>
    <w:rsid w:val="008F7D9A"/>
    <w:rsid w:val="009007EB"/>
    <w:rsid w:val="0090171A"/>
    <w:rsid w:val="00904F0A"/>
    <w:rsid w:val="00910D7C"/>
    <w:rsid w:val="00915953"/>
    <w:rsid w:val="00917188"/>
    <w:rsid w:val="0091780F"/>
    <w:rsid w:val="009226F2"/>
    <w:rsid w:val="00925616"/>
    <w:rsid w:val="00925C95"/>
    <w:rsid w:val="00930977"/>
    <w:rsid w:val="00932C58"/>
    <w:rsid w:val="00933333"/>
    <w:rsid w:val="00936282"/>
    <w:rsid w:val="00936A0A"/>
    <w:rsid w:val="0095019F"/>
    <w:rsid w:val="009505ED"/>
    <w:rsid w:val="009521D3"/>
    <w:rsid w:val="009560EA"/>
    <w:rsid w:val="00956E75"/>
    <w:rsid w:val="0096423F"/>
    <w:rsid w:val="00975377"/>
    <w:rsid w:val="00983CDC"/>
    <w:rsid w:val="009904E1"/>
    <w:rsid w:val="0099334D"/>
    <w:rsid w:val="00994DD6"/>
    <w:rsid w:val="0099585F"/>
    <w:rsid w:val="00996874"/>
    <w:rsid w:val="009B0311"/>
    <w:rsid w:val="009B2D96"/>
    <w:rsid w:val="009B4226"/>
    <w:rsid w:val="009B609B"/>
    <w:rsid w:val="009B6F4E"/>
    <w:rsid w:val="009B701D"/>
    <w:rsid w:val="009C16DD"/>
    <w:rsid w:val="009D38DB"/>
    <w:rsid w:val="009D76AE"/>
    <w:rsid w:val="009E4958"/>
    <w:rsid w:val="009F1992"/>
    <w:rsid w:val="009F7689"/>
    <w:rsid w:val="009F7E3F"/>
    <w:rsid w:val="00A027DA"/>
    <w:rsid w:val="00A06011"/>
    <w:rsid w:val="00A074C8"/>
    <w:rsid w:val="00A11E9D"/>
    <w:rsid w:val="00A22F2E"/>
    <w:rsid w:val="00A23145"/>
    <w:rsid w:val="00A24FB6"/>
    <w:rsid w:val="00A272BD"/>
    <w:rsid w:val="00A31E1C"/>
    <w:rsid w:val="00A403AA"/>
    <w:rsid w:val="00A40703"/>
    <w:rsid w:val="00A47251"/>
    <w:rsid w:val="00A51A1C"/>
    <w:rsid w:val="00A52C6D"/>
    <w:rsid w:val="00A53735"/>
    <w:rsid w:val="00A53E55"/>
    <w:rsid w:val="00A54EE3"/>
    <w:rsid w:val="00A55B5F"/>
    <w:rsid w:val="00A571A5"/>
    <w:rsid w:val="00A60040"/>
    <w:rsid w:val="00A630F2"/>
    <w:rsid w:val="00A64033"/>
    <w:rsid w:val="00A7226B"/>
    <w:rsid w:val="00A739D9"/>
    <w:rsid w:val="00A81E7E"/>
    <w:rsid w:val="00A82E7C"/>
    <w:rsid w:val="00A865B9"/>
    <w:rsid w:val="00A86ED8"/>
    <w:rsid w:val="00A951CE"/>
    <w:rsid w:val="00AA0A20"/>
    <w:rsid w:val="00AA6572"/>
    <w:rsid w:val="00AA7AC7"/>
    <w:rsid w:val="00AA7E86"/>
    <w:rsid w:val="00AB2275"/>
    <w:rsid w:val="00AB2BAF"/>
    <w:rsid w:val="00AB54B0"/>
    <w:rsid w:val="00AC6510"/>
    <w:rsid w:val="00AD1275"/>
    <w:rsid w:val="00AD2DEA"/>
    <w:rsid w:val="00AD547B"/>
    <w:rsid w:val="00AE238E"/>
    <w:rsid w:val="00AE3759"/>
    <w:rsid w:val="00AF00B0"/>
    <w:rsid w:val="00AF0B6D"/>
    <w:rsid w:val="00AF0C1B"/>
    <w:rsid w:val="00AF121E"/>
    <w:rsid w:val="00AF42F9"/>
    <w:rsid w:val="00B129A7"/>
    <w:rsid w:val="00B13544"/>
    <w:rsid w:val="00B17EA4"/>
    <w:rsid w:val="00B2702C"/>
    <w:rsid w:val="00B27F1E"/>
    <w:rsid w:val="00B31C1C"/>
    <w:rsid w:val="00B31E42"/>
    <w:rsid w:val="00B32A33"/>
    <w:rsid w:val="00B35A2B"/>
    <w:rsid w:val="00B4023E"/>
    <w:rsid w:val="00B47C6D"/>
    <w:rsid w:val="00B50A09"/>
    <w:rsid w:val="00B52BC2"/>
    <w:rsid w:val="00B55CEF"/>
    <w:rsid w:val="00B73133"/>
    <w:rsid w:val="00B803D1"/>
    <w:rsid w:val="00B82C4E"/>
    <w:rsid w:val="00B846C4"/>
    <w:rsid w:val="00B91C42"/>
    <w:rsid w:val="00B960F1"/>
    <w:rsid w:val="00B96F72"/>
    <w:rsid w:val="00BA1802"/>
    <w:rsid w:val="00BB0ED6"/>
    <w:rsid w:val="00BB3162"/>
    <w:rsid w:val="00BB4B74"/>
    <w:rsid w:val="00BB5E37"/>
    <w:rsid w:val="00BC3889"/>
    <w:rsid w:val="00BD50D0"/>
    <w:rsid w:val="00BD64AC"/>
    <w:rsid w:val="00BD6A32"/>
    <w:rsid w:val="00BE26FE"/>
    <w:rsid w:val="00BE2A38"/>
    <w:rsid w:val="00BF1592"/>
    <w:rsid w:val="00BF396B"/>
    <w:rsid w:val="00BF4DD7"/>
    <w:rsid w:val="00BF73A5"/>
    <w:rsid w:val="00C02702"/>
    <w:rsid w:val="00C04EDB"/>
    <w:rsid w:val="00C070A2"/>
    <w:rsid w:val="00C13043"/>
    <w:rsid w:val="00C13783"/>
    <w:rsid w:val="00C20056"/>
    <w:rsid w:val="00C206F2"/>
    <w:rsid w:val="00C31FF2"/>
    <w:rsid w:val="00C4151D"/>
    <w:rsid w:val="00C4463C"/>
    <w:rsid w:val="00C44645"/>
    <w:rsid w:val="00C50A3F"/>
    <w:rsid w:val="00C50BCE"/>
    <w:rsid w:val="00C50F18"/>
    <w:rsid w:val="00C5497A"/>
    <w:rsid w:val="00C6137D"/>
    <w:rsid w:val="00C61540"/>
    <w:rsid w:val="00C63CC5"/>
    <w:rsid w:val="00C654DE"/>
    <w:rsid w:val="00C706FA"/>
    <w:rsid w:val="00C7124E"/>
    <w:rsid w:val="00C72D9F"/>
    <w:rsid w:val="00C74A4C"/>
    <w:rsid w:val="00C802D6"/>
    <w:rsid w:val="00C81877"/>
    <w:rsid w:val="00C82744"/>
    <w:rsid w:val="00C85956"/>
    <w:rsid w:val="00C87C41"/>
    <w:rsid w:val="00C95C86"/>
    <w:rsid w:val="00CA0CFD"/>
    <w:rsid w:val="00CA37C8"/>
    <w:rsid w:val="00CA6785"/>
    <w:rsid w:val="00CB124A"/>
    <w:rsid w:val="00CB3C60"/>
    <w:rsid w:val="00CC4D82"/>
    <w:rsid w:val="00CC4EE7"/>
    <w:rsid w:val="00CD1056"/>
    <w:rsid w:val="00CD4C37"/>
    <w:rsid w:val="00CE3717"/>
    <w:rsid w:val="00CF160E"/>
    <w:rsid w:val="00D01E3B"/>
    <w:rsid w:val="00D047F7"/>
    <w:rsid w:val="00D0706B"/>
    <w:rsid w:val="00D140A3"/>
    <w:rsid w:val="00D20741"/>
    <w:rsid w:val="00D22D76"/>
    <w:rsid w:val="00D245DD"/>
    <w:rsid w:val="00D254B0"/>
    <w:rsid w:val="00D2608A"/>
    <w:rsid w:val="00D2671B"/>
    <w:rsid w:val="00D308F8"/>
    <w:rsid w:val="00D34827"/>
    <w:rsid w:val="00D41477"/>
    <w:rsid w:val="00D451AB"/>
    <w:rsid w:val="00D4521E"/>
    <w:rsid w:val="00D45415"/>
    <w:rsid w:val="00D50C1C"/>
    <w:rsid w:val="00D578AF"/>
    <w:rsid w:val="00D603FE"/>
    <w:rsid w:val="00D64EE5"/>
    <w:rsid w:val="00D65D7A"/>
    <w:rsid w:val="00D6793A"/>
    <w:rsid w:val="00D7347C"/>
    <w:rsid w:val="00D821B5"/>
    <w:rsid w:val="00D83C13"/>
    <w:rsid w:val="00D85092"/>
    <w:rsid w:val="00D86EAB"/>
    <w:rsid w:val="00D944CB"/>
    <w:rsid w:val="00D948AC"/>
    <w:rsid w:val="00D96EAA"/>
    <w:rsid w:val="00DA3EEC"/>
    <w:rsid w:val="00DA4FDB"/>
    <w:rsid w:val="00DA59FA"/>
    <w:rsid w:val="00DB295F"/>
    <w:rsid w:val="00DB3826"/>
    <w:rsid w:val="00DB51C1"/>
    <w:rsid w:val="00DC0BB9"/>
    <w:rsid w:val="00DC127D"/>
    <w:rsid w:val="00DC4424"/>
    <w:rsid w:val="00DC49A3"/>
    <w:rsid w:val="00DC5BD1"/>
    <w:rsid w:val="00DC65B1"/>
    <w:rsid w:val="00DD01EF"/>
    <w:rsid w:val="00DD4FB0"/>
    <w:rsid w:val="00DE00C5"/>
    <w:rsid w:val="00DE0E8A"/>
    <w:rsid w:val="00DE3FB5"/>
    <w:rsid w:val="00DF18E0"/>
    <w:rsid w:val="00DF2CD1"/>
    <w:rsid w:val="00DF4A31"/>
    <w:rsid w:val="00DF766E"/>
    <w:rsid w:val="00E00A27"/>
    <w:rsid w:val="00E00D0A"/>
    <w:rsid w:val="00E01C03"/>
    <w:rsid w:val="00E05725"/>
    <w:rsid w:val="00E05A24"/>
    <w:rsid w:val="00E061CF"/>
    <w:rsid w:val="00E06D72"/>
    <w:rsid w:val="00E13C9B"/>
    <w:rsid w:val="00E15A08"/>
    <w:rsid w:val="00E231D0"/>
    <w:rsid w:val="00E323CE"/>
    <w:rsid w:val="00E40596"/>
    <w:rsid w:val="00E44FCC"/>
    <w:rsid w:val="00E45EC3"/>
    <w:rsid w:val="00E46DBC"/>
    <w:rsid w:val="00E52B47"/>
    <w:rsid w:val="00E564E9"/>
    <w:rsid w:val="00E62C03"/>
    <w:rsid w:val="00E638C8"/>
    <w:rsid w:val="00E658DD"/>
    <w:rsid w:val="00E67940"/>
    <w:rsid w:val="00E73F0A"/>
    <w:rsid w:val="00E74ECA"/>
    <w:rsid w:val="00E8044B"/>
    <w:rsid w:val="00E80D3F"/>
    <w:rsid w:val="00E82204"/>
    <w:rsid w:val="00E8377B"/>
    <w:rsid w:val="00E86EB6"/>
    <w:rsid w:val="00E872E6"/>
    <w:rsid w:val="00E96877"/>
    <w:rsid w:val="00E96A5F"/>
    <w:rsid w:val="00EA0439"/>
    <w:rsid w:val="00EA1188"/>
    <w:rsid w:val="00EA6788"/>
    <w:rsid w:val="00EB4D46"/>
    <w:rsid w:val="00EC0207"/>
    <w:rsid w:val="00ED54C0"/>
    <w:rsid w:val="00ED5643"/>
    <w:rsid w:val="00EE4A8C"/>
    <w:rsid w:val="00EF768F"/>
    <w:rsid w:val="00EF7ED4"/>
    <w:rsid w:val="00EF7F8D"/>
    <w:rsid w:val="00F048DC"/>
    <w:rsid w:val="00F0500F"/>
    <w:rsid w:val="00F064D9"/>
    <w:rsid w:val="00F11B80"/>
    <w:rsid w:val="00F14368"/>
    <w:rsid w:val="00F16D31"/>
    <w:rsid w:val="00F210FD"/>
    <w:rsid w:val="00F21D27"/>
    <w:rsid w:val="00F22BB7"/>
    <w:rsid w:val="00F274AD"/>
    <w:rsid w:val="00F2766C"/>
    <w:rsid w:val="00F30186"/>
    <w:rsid w:val="00F32B1D"/>
    <w:rsid w:val="00F36160"/>
    <w:rsid w:val="00F406FD"/>
    <w:rsid w:val="00F40AA7"/>
    <w:rsid w:val="00F47C28"/>
    <w:rsid w:val="00F62098"/>
    <w:rsid w:val="00F648A9"/>
    <w:rsid w:val="00F76618"/>
    <w:rsid w:val="00F85E04"/>
    <w:rsid w:val="00F90CAE"/>
    <w:rsid w:val="00F95265"/>
    <w:rsid w:val="00FA26F3"/>
    <w:rsid w:val="00FA2BD4"/>
    <w:rsid w:val="00FA3EE8"/>
    <w:rsid w:val="00FA6041"/>
    <w:rsid w:val="00FB6392"/>
    <w:rsid w:val="00FB725F"/>
    <w:rsid w:val="00FC19B9"/>
    <w:rsid w:val="00FC29E2"/>
    <w:rsid w:val="00FD00A5"/>
    <w:rsid w:val="00FD0692"/>
    <w:rsid w:val="00FD1616"/>
    <w:rsid w:val="00FD299A"/>
    <w:rsid w:val="00FD3A04"/>
    <w:rsid w:val="00FD66A6"/>
    <w:rsid w:val="00FD678D"/>
    <w:rsid w:val="00FD7911"/>
    <w:rsid w:val="00FE123B"/>
    <w:rsid w:val="00FE4CB7"/>
    <w:rsid w:val="00FF0152"/>
    <w:rsid w:val="00FF483E"/>
    <w:rsid w:val="00FF5EE5"/>
    <w:rsid w:val="00FF7005"/>
    <w:rsid w:val="00FF7770"/>
    <w:rsid w:val="01461695"/>
    <w:rsid w:val="01B37695"/>
    <w:rsid w:val="022E6A60"/>
    <w:rsid w:val="026F28DD"/>
    <w:rsid w:val="029135E8"/>
    <w:rsid w:val="02AD5C1F"/>
    <w:rsid w:val="03D33559"/>
    <w:rsid w:val="040F2147"/>
    <w:rsid w:val="042423AF"/>
    <w:rsid w:val="043637D9"/>
    <w:rsid w:val="043B5AC3"/>
    <w:rsid w:val="04643EBB"/>
    <w:rsid w:val="055007C7"/>
    <w:rsid w:val="057E1961"/>
    <w:rsid w:val="060C459C"/>
    <w:rsid w:val="062F1B0F"/>
    <w:rsid w:val="06C41A89"/>
    <w:rsid w:val="06D81831"/>
    <w:rsid w:val="0793344F"/>
    <w:rsid w:val="07AC4E95"/>
    <w:rsid w:val="0802760C"/>
    <w:rsid w:val="08764D70"/>
    <w:rsid w:val="08E6152E"/>
    <w:rsid w:val="09F77C9C"/>
    <w:rsid w:val="0A017919"/>
    <w:rsid w:val="0A985198"/>
    <w:rsid w:val="0B7D149A"/>
    <w:rsid w:val="0C4072B2"/>
    <w:rsid w:val="0C57454A"/>
    <w:rsid w:val="0D2D108F"/>
    <w:rsid w:val="0E192587"/>
    <w:rsid w:val="0EB72D86"/>
    <w:rsid w:val="0F010B27"/>
    <w:rsid w:val="0F1943A2"/>
    <w:rsid w:val="0F2A5F17"/>
    <w:rsid w:val="0F481499"/>
    <w:rsid w:val="0F67724C"/>
    <w:rsid w:val="103E61FE"/>
    <w:rsid w:val="106A0F9F"/>
    <w:rsid w:val="12384B3A"/>
    <w:rsid w:val="12705105"/>
    <w:rsid w:val="134D15EB"/>
    <w:rsid w:val="13E643DE"/>
    <w:rsid w:val="145B22B4"/>
    <w:rsid w:val="146F2E2A"/>
    <w:rsid w:val="15023C9F"/>
    <w:rsid w:val="151A251A"/>
    <w:rsid w:val="154D34CF"/>
    <w:rsid w:val="15621DEB"/>
    <w:rsid w:val="168E1562"/>
    <w:rsid w:val="169F7CD8"/>
    <w:rsid w:val="16D072FD"/>
    <w:rsid w:val="16D43419"/>
    <w:rsid w:val="17671D32"/>
    <w:rsid w:val="18047D2E"/>
    <w:rsid w:val="182D617D"/>
    <w:rsid w:val="18746BDC"/>
    <w:rsid w:val="18F517E3"/>
    <w:rsid w:val="1904335E"/>
    <w:rsid w:val="192D1A3D"/>
    <w:rsid w:val="196D545F"/>
    <w:rsid w:val="19C35CDC"/>
    <w:rsid w:val="19EA7862"/>
    <w:rsid w:val="1A497D47"/>
    <w:rsid w:val="1A595B7F"/>
    <w:rsid w:val="1A9345B5"/>
    <w:rsid w:val="1B7310B5"/>
    <w:rsid w:val="1CBE78D0"/>
    <w:rsid w:val="1CC00731"/>
    <w:rsid w:val="1D012A8E"/>
    <w:rsid w:val="1DB95BD5"/>
    <w:rsid w:val="1DC15D79"/>
    <w:rsid w:val="1DF431F5"/>
    <w:rsid w:val="1E8E65A3"/>
    <w:rsid w:val="1E9841CA"/>
    <w:rsid w:val="1ECE6319"/>
    <w:rsid w:val="1F164930"/>
    <w:rsid w:val="1F9A0F77"/>
    <w:rsid w:val="206D1D5A"/>
    <w:rsid w:val="20E11FB3"/>
    <w:rsid w:val="21E36C06"/>
    <w:rsid w:val="22123A22"/>
    <w:rsid w:val="22227FB0"/>
    <w:rsid w:val="22354C97"/>
    <w:rsid w:val="23816DDD"/>
    <w:rsid w:val="24035AD1"/>
    <w:rsid w:val="24D40D90"/>
    <w:rsid w:val="25852068"/>
    <w:rsid w:val="259453AB"/>
    <w:rsid w:val="25A11F31"/>
    <w:rsid w:val="26581B62"/>
    <w:rsid w:val="27335F39"/>
    <w:rsid w:val="282C6E78"/>
    <w:rsid w:val="28516360"/>
    <w:rsid w:val="28AF6C28"/>
    <w:rsid w:val="28F26DC3"/>
    <w:rsid w:val="2AF0209B"/>
    <w:rsid w:val="2B5701A4"/>
    <w:rsid w:val="2B643655"/>
    <w:rsid w:val="2B7A2896"/>
    <w:rsid w:val="2BD761E0"/>
    <w:rsid w:val="2BEC66B7"/>
    <w:rsid w:val="2CE2348C"/>
    <w:rsid w:val="2D314985"/>
    <w:rsid w:val="30411AB8"/>
    <w:rsid w:val="30737801"/>
    <w:rsid w:val="307750E9"/>
    <w:rsid w:val="30A26347"/>
    <w:rsid w:val="30FB7FEA"/>
    <w:rsid w:val="325574A5"/>
    <w:rsid w:val="325A0717"/>
    <w:rsid w:val="32B713EA"/>
    <w:rsid w:val="33774BF8"/>
    <w:rsid w:val="338A58FC"/>
    <w:rsid w:val="344537B6"/>
    <w:rsid w:val="345B1363"/>
    <w:rsid w:val="348C782F"/>
    <w:rsid w:val="35284C04"/>
    <w:rsid w:val="35884114"/>
    <w:rsid w:val="35B62721"/>
    <w:rsid w:val="35CA1E9F"/>
    <w:rsid w:val="35EF3E37"/>
    <w:rsid w:val="36102232"/>
    <w:rsid w:val="3633124B"/>
    <w:rsid w:val="36500508"/>
    <w:rsid w:val="367274B2"/>
    <w:rsid w:val="36D42267"/>
    <w:rsid w:val="37122515"/>
    <w:rsid w:val="38093522"/>
    <w:rsid w:val="38C806FB"/>
    <w:rsid w:val="3A495E01"/>
    <w:rsid w:val="3A9E3AC3"/>
    <w:rsid w:val="3ABB63F2"/>
    <w:rsid w:val="3AC77713"/>
    <w:rsid w:val="3ACD6F9F"/>
    <w:rsid w:val="3BCB453B"/>
    <w:rsid w:val="3C74072E"/>
    <w:rsid w:val="3CBD0327"/>
    <w:rsid w:val="3CD411CD"/>
    <w:rsid w:val="3D3B5453"/>
    <w:rsid w:val="3D4E0304"/>
    <w:rsid w:val="3D52663D"/>
    <w:rsid w:val="3DB341DC"/>
    <w:rsid w:val="3DD93B5E"/>
    <w:rsid w:val="3DE7529E"/>
    <w:rsid w:val="3E817D4D"/>
    <w:rsid w:val="3F011AAC"/>
    <w:rsid w:val="3F47037C"/>
    <w:rsid w:val="3FA47EC1"/>
    <w:rsid w:val="3FDF51CD"/>
    <w:rsid w:val="4052710A"/>
    <w:rsid w:val="41171FD0"/>
    <w:rsid w:val="41285F8B"/>
    <w:rsid w:val="413B2703"/>
    <w:rsid w:val="41D140CE"/>
    <w:rsid w:val="426C2B77"/>
    <w:rsid w:val="42C16581"/>
    <w:rsid w:val="42CD6DEA"/>
    <w:rsid w:val="42E11D3C"/>
    <w:rsid w:val="43053324"/>
    <w:rsid w:val="43172A75"/>
    <w:rsid w:val="43255AAE"/>
    <w:rsid w:val="433B60C1"/>
    <w:rsid w:val="43426F96"/>
    <w:rsid w:val="43497102"/>
    <w:rsid w:val="43525C46"/>
    <w:rsid w:val="43820715"/>
    <w:rsid w:val="43E73502"/>
    <w:rsid w:val="43E837B0"/>
    <w:rsid w:val="442F478E"/>
    <w:rsid w:val="446C618F"/>
    <w:rsid w:val="44C47D79"/>
    <w:rsid w:val="450B3621"/>
    <w:rsid w:val="45973E10"/>
    <w:rsid w:val="45EC42CD"/>
    <w:rsid w:val="46832AED"/>
    <w:rsid w:val="46EE0718"/>
    <w:rsid w:val="4765328A"/>
    <w:rsid w:val="477B5067"/>
    <w:rsid w:val="47C24FBA"/>
    <w:rsid w:val="47E621A3"/>
    <w:rsid w:val="494177D7"/>
    <w:rsid w:val="49BA4F9E"/>
    <w:rsid w:val="49CA55DA"/>
    <w:rsid w:val="49CD27F6"/>
    <w:rsid w:val="4A1B043B"/>
    <w:rsid w:val="4B0C7329"/>
    <w:rsid w:val="4B5F178F"/>
    <w:rsid w:val="4BD87ECE"/>
    <w:rsid w:val="4C5F2895"/>
    <w:rsid w:val="4D5E24B8"/>
    <w:rsid w:val="4DA76B86"/>
    <w:rsid w:val="4DB64545"/>
    <w:rsid w:val="4E664E95"/>
    <w:rsid w:val="4E704ACE"/>
    <w:rsid w:val="4E9133C2"/>
    <w:rsid w:val="4ED0394D"/>
    <w:rsid w:val="4F0F24EC"/>
    <w:rsid w:val="4F1C6995"/>
    <w:rsid w:val="4F7C3B29"/>
    <w:rsid w:val="4FA10D91"/>
    <w:rsid w:val="501B39DF"/>
    <w:rsid w:val="505E0C6E"/>
    <w:rsid w:val="506001A5"/>
    <w:rsid w:val="506A2AFE"/>
    <w:rsid w:val="50B4118C"/>
    <w:rsid w:val="50FA2603"/>
    <w:rsid w:val="5164061B"/>
    <w:rsid w:val="52524271"/>
    <w:rsid w:val="52A65AAE"/>
    <w:rsid w:val="52EA23FC"/>
    <w:rsid w:val="549F7E20"/>
    <w:rsid w:val="55B861E4"/>
    <w:rsid w:val="57476D14"/>
    <w:rsid w:val="574D7803"/>
    <w:rsid w:val="57CD38A6"/>
    <w:rsid w:val="59390824"/>
    <w:rsid w:val="59635A11"/>
    <w:rsid w:val="59F93C29"/>
    <w:rsid w:val="5A2C42C6"/>
    <w:rsid w:val="5A3317D1"/>
    <w:rsid w:val="5A386DE8"/>
    <w:rsid w:val="5A583367"/>
    <w:rsid w:val="5B297C3B"/>
    <w:rsid w:val="5B7F3F94"/>
    <w:rsid w:val="5BCC59D9"/>
    <w:rsid w:val="5BEF797A"/>
    <w:rsid w:val="5C2B4A72"/>
    <w:rsid w:val="5C5A1297"/>
    <w:rsid w:val="5D162E9C"/>
    <w:rsid w:val="5D6A375C"/>
    <w:rsid w:val="5EFA466C"/>
    <w:rsid w:val="5F131BD1"/>
    <w:rsid w:val="5FA24883"/>
    <w:rsid w:val="5FB82D18"/>
    <w:rsid w:val="5FD23F01"/>
    <w:rsid w:val="60CD1D64"/>
    <w:rsid w:val="61112C7B"/>
    <w:rsid w:val="6128437E"/>
    <w:rsid w:val="612956DC"/>
    <w:rsid w:val="61786B56"/>
    <w:rsid w:val="61FC4B9F"/>
    <w:rsid w:val="62CC631F"/>
    <w:rsid w:val="634942E6"/>
    <w:rsid w:val="64604910"/>
    <w:rsid w:val="64791B7D"/>
    <w:rsid w:val="65330B80"/>
    <w:rsid w:val="6543783B"/>
    <w:rsid w:val="65654809"/>
    <w:rsid w:val="6639016F"/>
    <w:rsid w:val="66902D95"/>
    <w:rsid w:val="66BC433B"/>
    <w:rsid w:val="67406C20"/>
    <w:rsid w:val="676731EA"/>
    <w:rsid w:val="679B75B2"/>
    <w:rsid w:val="680B4E7C"/>
    <w:rsid w:val="6843005F"/>
    <w:rsid w:val="685C1EF3"/>
    <w:rsid w:val="68B166E3"/>
    <w:rsid w:val="68FE6043"/>
    <w:rsid w:val="692F6506"/>
    <w:rsid w:val="6A1A0DEB"/>
    <w:rsid w:val="6A4A1DA1"/>
    <w:rsid w:val="6A963A93"/>
    <w:rsid w:val="6ABA7508"/>
    <w:rsid w:val="6AE2263C"/>
    <w:rsid w:val="6BE40B7D"/>
    <w:rsid w:val="6C7426B6"/>
    <w:rsid w:val="6C9205D9"/>
    <w:rsid w:val="6C921AC8"/>
    <w:rsid w:val="6CE30E35"/>
    <w:rsid w:val="6E101B57"/>
    <w:rsid w:val="6E432FEE"/>
    <w:rsid w:val="6E5D4C17"/>
    <w:rsid w:val="6E6E0BD2"/>
    <w:rsid w:val="6ED43D68"/>
    <w:rsid w:val="6EF41A1D"/>
    <w:rsid w:val="6F0A3D6A"/>
    <w:rsid w:val="6F455D89"/>
    <w:rsid w:val="6F6B1443"/>
    <w:rsid w:val="6F8A6D33"/>
    <w:rsid w:val="705920AA"/>
    <w:rsid w:val="706C298A"/>
    <w:rsid w:val="70723A81"/>
    <w:rsid w:val="70B95112"/>
    <w:rsid w:val="70D53553"/>
    <w:rsid w:val="70D70CB1"/>
    <w:rsid w:val="70FE4EF8"/>
    <w:rsid w:val="71AD055C"/>
    <w:rsid w:val="71C74098"/>
    <w:rsid w:val="71D4085C"/>
    <w:rsid w:val="71EB6757"/>
    <w:rsid w:val="722B08FE"/>
    <w:rsid w:val="72B34E05"/>
    <w:rsid w:val="73267CCD"/>
    <w:rsid w:val="73321A02"/>
    <w:rsid w:val="734463A5"/>
    <w:rsid w:val="73B452D9"/>
    <w:rsid w:val="73B90640"/>
    <w:rsid w:val="73D74AA8"/>
    <w:rsid w:val="746266C3"/>
    <w:rsid w:val="74E37694"/>
    <w:rsid w:val="757B37AE"/>
    <w:rsid w:val="757E5B9F"/>
    <w:rsid w:val="75E050A9"/>
    <w:rsid w:val="75E83BF1"/>
    <w:rsid w:val="765F6C09"/>
    <w:rsid w:val="76D4652F"/>
    <w:rsid w:val="77560C8E"/>
    <w:rsid w:val="77862AE9"/>
    <w:rsid w:val="7865489F"/>
    <w:rsid w:val="7879089F"/>
    <w:rsid w:val="78EA354B"/>
    <w:rsid w:val="7A740C26"/>
    <w:rsid w:val="7A8D4DF7"/>
    <w:rsid w:val="7B41062F"/>
    <w:rsid w:val="7B89704B"/>
    <w:rsid w:val="7BE35E80"/>
    <w:rsid w:val="7BE60FF3"/>
    <w:rsid w:val="7D8D16F2"/>
    <w:rsid w:val="7DAC0DCF"/>
    <w:rsid w:val="7DAE3668"/>
    <w:rsid w:val="7DD35696"/>
    <w:rsid w:val="7E2A689D"/>
    <w:rsid w:val="7EA122E9"/>
    <w:rsid w:val="7EB96562"/>
    <w:rsid w:val="7F507E78"/>
    <w:rsid w:val="7F743B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qFormat/>
    <w:uiPriority w:val="99"/>
    <w:pPr>
      <w:widowControl w:val="0"/>
      <w:autoSpaceDE w:val="0"/>
      <w:autoSpaceDN w:val="0"/>
      <w:adjustRightInd w:val="0"/>
      <w:outlineLvl w:val="0"/>
    </w:pPr>
    <w:rPr>
      <w:rFonts w:ascii="MingLiU" w:hAnsi="MingLiU" w:eastAsia="MingLiU" w:cs="Times New Roman"/>
      <w:b/>
      <w:color w:val="000000"/>
      <w:sz w:val="32"/>
      <w:szCs w:val="24"/>
      <w:lang w:val="en-US" w:eastAsia="zh-CN" w:bidi="ar-SA"/>
    </w:rPr>
  </w:style>
  <w:style w:type="paragraph" w:styleId="3">
    <w:name w:val="heading 2"/>
    <w:next w:val="1"/>
    <w:qFormat/>
    <w:uiPriority w:val="99"/>
    <w:pPr>
      <w:widowControl w:val="0"/>
      <w:autoSpaceDE w:val="0"/>
      <w:autoSpaceDN w:val="0"/>
      <w:adjustRightInd w:val="0"/>
      <w:outlineLvl w:val="1"/>
    </w:pPr>
    <w:rPr>
      <w:rFonts w:ascii="MingLiU" w:hAnsi="MingLiU" w:eastAsia="MingLiU" w:cs="Times New Roman"/>
      <w:b/>
      <w:i/>
      <w:color w:val="000000"/>
      <w:sz w:val="28"/>
      <w:szCs w:val="24"/>
      <w:lang w:val="en-US" w:eastAsia="zh-CN" w:bidi="ar-SA"/>
    </w:rPr>
  </w:style>
  <w:style w:type="paragraph" w:styleId="4">
    <w:name w:val="heading 3"/>
    <w:basedOn w:val="1"/>
    <w:next w:val="1"/>
    <w:link w:val="20"/>
    <w:qFormat/>
    <w:uiPriority w:val="0"/>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0">
    <w:name w:val="Normal Table"/>
    <w:semiHidden/>
    <w:qFormat/>
    <w:uiPriority w:val="0"/>
    <w:rPr>
      <w:rFonts w:ascii="Calibri" w:hAnsi="Calibri"/>
      <w:kern w:val="2"/>
      <w:sz w:val="21"/>
      <w:szCs w:val="22"/>
    </w:rPr>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Plain Text"/>
    <w:basedOn w:val="1"/>
    <w:qFormat/>
    <w:uiPriority w:val="0"/>
    <w:rPr>
      <w:rFonts w:ascii="宋体" w:hAnsi="Courier New" w:cs="Courier New"/>
      <w:szCs w:val="21"/>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rPr>
      <w:sz w:val="24"/>
    </w:rPr>
  </w:style>
  <w:style w:type="table" w:styleId="11">
    <w:name w:val="Table Grid"/>
    <w:basedOn w:val="10"/>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Hyperlink"/>
    <w:qFormat/>
    <w:uiPriority w:val="0"/>
    <w:rPr>
      <w:color w:val="0000FF"/>
      <w:u w:val="single"/>
    </w:rPr>
  </w:style>
  <w:style w:type="character" w:customStyle="1" w:styleId="14">
    <w:name w:val="font21"/>
    <w:qFormat/>
    <w:uiPriority w:val="0"/>
    <w:rPr>
      <w:rFonts w:ascii="微软雅黑" w:hAnsi="微软雅黑" w:eastAsia="微软雅黑" w:cs="微软雅黑"/>
      <w:color w:val="000000"/>
      <w:sz w:val="36"/>
      <w:szCs w:val="36"/>
      <w:u w:val="none"/>
    </w:rPr>
  </w:style>
  <w:style w:type="character" w:customStyle="1" w:styleId="15">
    <w:name w:val="页脚 字符"/>
    <w:link w:val="7"/>
    <w:qFormat/>
    <w:uiPriority w:val="99"/>
    <w:rPr>
      <w:kern w:val="2"/>
      <w:sz w:val="18"/>
      <w:szCs w:val="18"/>
    </w:rPr>
  </w:style>
  <w:style w:type="character" w:customStyle="1" w:styleId="16">
    <w:name w:val="段 Char"/>
    <w:link w:val="17"/>
    <w:qFormat/>
    <w:uiPriority w:val="0"/>
    <w:rPr>
      <w:rFonts w:ascii="宋体"/>
      <w:sz w:val="21"/>
      <w:lang w:val="en-US" w:eastAsia="zh-CN" w:bidi="ar-SA"/>
    </w:rPr>
  </w:style>
  <w:style w:type="paragraph" w:customStyle="1" w:styleId="17">
    <w:name w:val="段"/>
    <w:link w:val="1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8">
    <w:name w:val="font11"/>
    <w:qFormat/>
    <w:uiPriority w:val="0"/>
    <w:rPr>
      <w:rFonts w:hint="default" w:ascii="Times New Roman" w:hAnsi="Times New Roman" w:cs="Times New Roman"/>
      <w:color w:val="000000"/>
      <w:sz w:val="36"/>
      <w:szCs w:val="36"/>
      <w:u w:val="none"/>
    </w:rPr>
  </w:style>
  <w:style w:type="character" w:customStyle="1" w:styleId="19">
    <w:name w:val="页眉 字符"/>
    <w:link w:val="8"/>
    <w:qFormat/>
    <w:uiPriority w:val="99"/>
    <w:rPr>
      <w:kern w:val="2"/>
      <w:sz w:val="18"/>
      <w:szCs w:val="18"/>
    </w:rPr>
  </w:style>
  <w:style w:type="character" w:customStyle="1" w:styleId="20">
    <w:name w:val="标题 3 字符"/>
    <w:link w:val="4"/>
    <w:semiHidden/>
    <w:qFormat/>
    <w:uiPriority w:val="0"/>
    <w:rPr>
      <w:b/>
      <w:bCs/>
      <w:kern w:val="2"/>
      <w:sz w:val="32"/>
      <w:szCs w:val="32"/>
    </w:rPr>
  </w:style>
  <w:style w:type="character" w:customStyle="1" w:styleId="21">
    <w:name w:val="font31"/>
    <w:qFormat/>
    <w:uiPriority w:val="0"/>
    <w:rPr>
      <w:rFonts w:hint="default" w:ascii="Times New Roman" w:hAnsi="Times New Roman" w:cs="Times New Roman"/>
      <w:color w:val="000000"/>
      <w:sz w:val="36"/>
      <w:szCs w:val="36"/>
      <w:u w:val="none"/>
    </w:rPr>
  </w:style>
  <w:style w:type="character" w:customStyle="1" w:styleId="22">
    <w:name w:val="font01"/>
    <w:qFormat/>
    <w:uiPriority w:val="0"/>
    <w:rPr>
      <w:rFonts w:ascii="微软雅黑" w:hAnsi="微软雅黑" w:eastAsia="微软雅黑" w:cs="微软雅黑"/>
      <w:color w:val="000000"/>
      <w:sz w:val="36"/>
      <w:szCs w:val="36"/>
      <w:u w:val="none"/>
    </w:rPr>
  </w:style>
  <w:style w:type="character" w:customStyle="1" w:styleId="23">
    <w:name w:val="二级条标题 Char"/>
    <w:link w:val="24"/>
    <w:qFormat/>
    <w:uiPriority w:val="0"/>
    <w:rPr>
      <w:rFonts w:ascii="黑体" w:eastAsia="黑体"/>
      <w:sz w:val="21"/>
      <w:szCs w:val="21"/>
    </w:rPr>
  </w:style>
  <w:style w:type="paragraph" w:customStyle="1" w:styleId="24">
    <w:name w:val="二级条标题"/>
    <w:basedOn w:val="25"/>
    <w:next w:val="17"/>
    <w:link w:val="23"/>
    <w:qFormat/>
    <w:uiPriority w:val="0"/>
    <w:pPr>
      <w:numPr>
        <w:ilvl w:val="2"/>
      </w:numPr>
      <w:spacing w:before="50" w:after="50"/>
      <w:outlineLvl w:val="3"/>
    </w:pPr>
  </w:style>
  <w:style w:type="paragraph" w:customStyle="1" w:styleId="25">
    <w:name w:val="一级条标题"/>
    <w:next w:val="17"/>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6">
    <w:name w:val="列项——（一级）"/>
    <w:qFormat/>
    <w:uiPriority w:val="0"/>
    <w:pPr>
      <w:widowControl w:val="0"/>
      <w:numPr>
        <w:ilvl w:val="0"/>
        <w:numId w:val="2"/>
      </w:numPr>
      <w:ind w:left="833"/>
      <w:jc w:val="both"/>
    </w:pPr>
    <w:rPr>
      <w:rFonts w:ascii="宋体" w:hAnsi="Times New Roman" w:eastAsia="宋体" w:cs="Times New Roman"/>
      <w:sz w:val="21"/>
      <w:lang w:val="en-US" w:eastAsia="zh-CN" w:bidi="ar-SA"/>
    </w:rPr>
  </w:style>
  <w:style w:type="paragraph" w:customStyle="1" w:styleId="27">
    <w:name w:val="章标题"/>
    <w:next w:val="17"/>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8">
    <w:name w:val="目次、标准名称标题"/>
    <w:basedOn w:val="1"/>
    <w:next w:val="17"/>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29">
    <w:name w:val="正文图标题"/>
    <w:next w:val="17"/>
    <w:qFormat/>
    <w:uiPriority w:val="0"/>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30">
    <w:name w:val="列项●（二级）"/>
    <w:qFormat/>
    <w:uiPriority w:val="0"/>
    <w:pPr>
      <w:numPr>
        <w:ilvl w:val="1"/>
        <w:numId w:val="2"/>
      </w:numPr>
      <w:tabs>
        <w:tab w:val="left" w:pos="840"/>
      </w:tabs>
      <w:jc w:val="both"/>
    </w:pPr>
    <w:rPr>
      <w:rFonts w:ascii="宋体" w:hAnsi="Times New Roman" w:eastAsia="宋体" w:cs="Times New Roman"/>
      <w:sz w:val="21"/>
      <w:lang w:val="en-US" w:eastAsia="zh-CN" w:bidi="ar-SA"/>
    </w:rPr>
  </w:style>
  <w:style w:type="paragraph" w:customStyle="1" w:styleId="31">
    <w:name w:val="三级条标题"/>
    <w:basedOn w:val="24"/>
    <w:next w:val="17"/>
    <w:qFormat/>
    <w:uiPriority w:val="0"/>
    <w:pPr>
      <w:numPr>
        <w:ilvl w:val="3"/>
      </w:numPr>
      <w:outlineLvl w:val="4"/>
    </w:pPr>
  </w:style>
  <w:style w:type="paragraph" w:styleId="3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34">
    <w:name w:val="表序"/>
    <w:basedOn w:val="1"/>
    <w:qFormat/>
    <w:uiPriority w:val="0"/>
    <w:pPr>
      <w:overflowPunct w:val="0"/>
      <w:topLinePunct/>
      <w:adjustRightInd w:val="0"/>
      <w:jc w:val="center"/>
    </w:pPr>
    <w:rPr>
      <w:szCs w:val="21"/>
    </w:rPr>
  </w:style>
  <w:style w:type="paragraph" w:customStyle="1" w:styleId="35">
    <w:name w:val="列项◆（三级）"/>
    <w:basedOn w:val="1"/>
    <w:qFormat/>
    <w:uiPriority w:val="0"/>
    <w:pPr>
      <w:numPr>
        <w:ilvl w:val="2"/>
        <w:numId w:val="2"/>
      </w:numPr>
    </w:pPr>
    <w:rPr>
      <w:rFonts w:ascii="宋体"/>
      <w:szCs w:val="21"/>
    </w:rPr>
  </w:style>
  <w:style w:type="paragraph" w:customStyle="1" w:styleId="36">
    <w:name w:val="四级条标题"/>
    <w:basedOn w:val="31"/>
    <w:next w:val="17"/>
    <w:qFormat/>
    <w:uiPriority w:val="0"/>
    <w:pPr>
      <w:numPr>
        <w:ilvl w:val="4"/>
      </w:numPr>
      <w:outlineLvl w:val="5"/>
    </w:pPr>
  </w:style>
  <w:style w:type="paragraph" w:customStyle="1" w:styleId="37">
    <w:name w:val="注："/>
    <w:next w:val="17"/>
    <w:qFormat/>
    <w:uiPriority w:val="0"/>
    <w:pPr>
      <w:widowControl w:val="0"/>
      <w:numPr>
        <w:ilvl w:val="0"/>
        <w:numId w:val="4"/>
      </w:numPr>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38">
    <w:name w:val="正文表标题"/>
    <w:next w:val="17"/>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39">
    <w:name w:val="p15"/>
    <w:basedOn w:val="1"/>
    <w:qFormat/>
    <w:uiPriority w:val="0"/>
    <w:pPr>
      <w:widowControl/>
      <w:ind w:firstLine="420"/>
    </w:pPr>
    <w:rPr>
      <w:rFonts w:ascii="宋体" w:hAnsi="宋体" w:cs="宋体"/>
      <w:kern w:val="0"/>
      <w:szCs w:val="21"/>
    </w:rPr>
  </w:style>
  <w:style w:type="paragraph" w:styleId="40">
    <w:name w:val="List Paragraph"/>
    <w:basedOn w:val="1"/>
    <w:qFormat/>
    <w:uiPriority w:val="99"/>
    <w:pPr>
      <w:ind w:firstLine="420" w:firstLineChars="200"/>
    </w:pPr>
  </w:style>
  <w:style w:type="paragraph" w:customStyle="1" w:styleId="41">
    <w:name w:val="附录图标号"/>
    <w:basedOn w:val="1"/>
    <w:qFormat/>
    <w:uiPriority w:val="0"/>
    <w:pPr>
      <w:keepNext/>
      <w:pageBreakBefore/>
      <w:widowControl/>
      <w:numPr>
        <w:ilvl w:val="0"/>
        <w:numId w:val="5"/>
      </w:numPr>
      <w:spacing w:line="14" w:lineRule="exact"/>
      <w:ind w:left="0" w:firstLine="363"/>
      <w:jc w:val="center"/>
      <w:outlineLvl w:val="0"/>
    </w:pPr>
    <w:rPr>
      <w:color w:val="FFFFFF"/>
    </w:rPr>
  </w:style>
  <w:style w:type="paragraph" w:customStyle="1" w:styleId="42">
    <w:name w:val="其他发布日期"/>
    <w:basedOn w:val="1"/>
    <w:qFormat/>
    <w:uiPriority w:val="0"/>
    <w:pPr>
      <w:framePr w:w="3997" w:h="471" w:hRule="exact" w:vSpace="181" w:wrap="around" w:vAnchor="page" w:hAnchor="page" w:x="1419" w:y="14097" w:anchorLock="1"/>
      <w:widowControl/>
      <w:numPr>
        <w:ilvl w:val="0"/>
        <w:numId w:val="6"/>
      </w:numPr>
      <w:jc w:val="left"/>
    </w:pPr>
    <w:rPr>
      <w:rFonts w:eastAsia="黑体"/>
      <w:kern w:val="0"/>
      <w:sz w:val="28"/>
      <w:szCs w:val="20"/>
    </w:rPr>
  </w:style>
  <w:style w:type="paragraph" w:customStyle="1" w:styleId="43">
    <w:name w:val="附录图标题"/>
    <w:basedOn w:val="1"/>
    <w:next w:val="17"/>
    <w:qFormat/>
    <w:uiPriority w:val="0"/>
    <w:pPr>
      <w:numPr>
        <w:ilvl w:val="1"/>
        <w:numId w:val="5"/>
      </w:numPr>
      <w:tabs>
        <w:tab w:val="left" w:pos="363"/>
      </w:tabs>
      <w:spacing w:before="50" w:beforeLines="50" w:after="50" w:afterLines="50"/>
      <w:ind w:left="0" w:firstLine="0"/>
      <w:jc w:val="center"/>
    </w:pPr>
    <w:rPr>
      <w:rFonts w:ascii="黑体" w:eastAsia="黑体"/>
      <w:szCs w:val="21"/>
    </w:rPr>
  </w:style>
  <w:style w:type="paragraph" w:customStyle="1" w:styleId="44">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5">
    <w:name w:val="p0"/>
    <w:basedOn w:val="1"/>
    <w:qFormat/>
    <w:uiPriority w:val="0"/>
    <w:pPr>
      <w:widowControl/>
    </w:pPr>
    <w:rPr>
      <w:kern w:val="0"/>
      <w:szCs w:val="21"/>
    </w:rPr>
  </w:style>
  <w:style w:type="paragraph" w:customStyle="1" w:styleId="46">
    <w:name w:val="五级条标题"/>
    <w:basedOn w:val="36"/>
    <w:next w:val="17"/>
    <w:qFormat/>
    <w:uiPriority w:val="0"/>
    <w:pPr>
      <w:numPr>
        <w:ilvl w:val="5"/>
      </w:numPr>
      <w:outlineLvl w:val="6"/>
    </w:pPr>
  </w:style>
  <w:style w:type="paragraph" w:customStyle="1" w:styleId="47">
    <w:name w:val="标准文件_字母编号列项（一级）"/>
    <w:qFormat/>
    <w:uiPriority w:val="0"/>
    <w:pPr>
      <w:numPr>
        <w:ilvl w:val="0"/>
        <w:numId w:val="7"/>
      </w:numPr>
      <w:jc w:val="both"/>
    </w:pPr>
    <w:rPr>
      <w:rFonts w:ascii="宋体" w:hAnsi="Times New Roman" w:eastAsia="宋体" w:cs="Times New Roman"/>
      <w:sz w:val="21"/>
      <w:lang w:val="en-US" w:eastAsia="zh-CN" w:bidi="ar-SA"/>
    </w:rPr>
  </w:style>
  <w:style w:type="paragraph" w:customStyle="1" w:styleId="48">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9">
    <w:name w:val="标准文件_二级条标题"/>
    <w:next w:val="48"/>
    <w:qFormat/>
    <w:uiPriority w:val="0"/>
    <w:pPr>
      <w:widowControl w:val="0"/>
      <w:numPr>
        <w:ilvl w:val="3"/>
        <w:numId w:val="8"/>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50">
    <w:name w:val="标准文件_三级条标题"/>
    <w:basedOn w:val="49"/>
    <w:next w:val="48"/>
    <w:qFormat/>
    <w:uiPriority w:val="0"/>
    <w:pPr>
      <w:widowControl/>
      <w:numPr>
        <w:ilvl w:val="4"/>
      </w:numPr>
      <w:outlineLvl w:val="3"/>
    </w:pPr>
  </w:style>
  <w:style w:type="paragraph" w:customStyle="1" w:styleId="51">
    <w:name w:val="NormalIndent"/>
    <w:qFormat/>
    <w:uiPriority w:val="0"/>
    <w:pPr>
      <w:widowControl w:val="0"/>
      <w:adjustRightInd w:val="0"/>
      <w:spacing w:line="312" w:lineRule="atLeast"/>
      <w:ind w:firstLine="200" w:firstLineChars="200"/>
      <w:jc w:val="both"/>
    </w:pPr>
    <w:rPr>
      <w:rFonts w:ascii="Calibri" w:hAnsi="Calibri" w:eastAsia="宋体" w:cs="Times New Roman"/>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E:\0000000-2024&#24180;&#32844;&#31216;\4.zxn%20&#19994;&#32489;\2.&#25991;&#31456;\2020-49-1.&#24191;&#35199;&#26519;&#19994;&#31185;&#23398;\2019.09.23&#30333;&#21315;&#23618;&#25991;&#31456;&#25968;&#25454;%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0000000-2024&#24180;&#32844;&#31216;\4.zxn%20&#19994;&#32489;\2.&#25991;&#31456;\2020-49-1.&#24191;&#35199;&#26519;&#19994;&#31185;&#23398;\2019.09.23&#30333;&#21315;&#23618;&#25991;&#31456;&#25968;&#25454;%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016185476816"/>
          <c:y val="0.0514005540974045"/>
          <c:w val="0.739338363954506"/>
          <c:h val="0.76109251968504"/>
        </c:manualLayout>
      </c:layout>
      <c:lineChart>
        <c:grouping val="standard"/>
        <c:varyColors val="0"/>
        <c:ser>
          <c:idx val="1"/>
          <c:order val="0"/>
          <c:spPr>
            <a:ln w="9525" cap="rnd" cmpd="sng" algn="ctr">
              <a:solidFill>
                <a:srgbClr val="000000"/>
              </a:solidFill>
              <a:prstDash val="solid"/>
              <a:round/>
            </a:ln>
          </c:spPr>
          <c:marker>
            <c:spPr>
              <a:solidFill>
                <a:srgbClr val="000000"/>
              </a:solidFill>
              <a:ln w="9525" cap="flat" cmpd="sng" algn="ctr">
                <a:noFill/>
                <a:prstDash val="solid"/>
                <a:round/>
              </a:ln>
            </c:spPr>
          </c:marker>
          <c:dLbls>
            <c:delete val="1"/>
          </c:dLbls>
          <c:cat>
            <c:strRef>
              <c:f>'[2019.09.23白千层文章数据 (2).xlsx]得油率'!$B$1:$P$1</c:f>
              <c:strCache>
                <c:ptCount val="15"/>
                <c:pt idx="0">
                  <c:v>4</c:v>
                </c:pt>
                <c:pt idx="1">
                  <c:v>5</c:v>
                </c:pt>
                <c:pt idx="2">
                  <c:v>6</c:v>
                </c:pt>
                <c:pt idx="3">
                  <c:v>7</c:v>
                </c:pt>
                <c:pt idx="4">
                  <c:v>8</c:v>
                </c:pt>
                <c:pt idx="5">
                  <c:v>9</c:v>
                </c:pt>
                <c:pt idx="6">
                  <c:v>10</c:v>
                </c:pt>
                <c:pt idx="7">
                  <c:v>11</c:v>
                </c:pt>
                <c:pt idx="8">
                  <c:v>12</c:v>
                </c:pt>
                <c:pt idx="9">
                  <c:v>1</c:v>
                </c:pt>
                <c:pt idx="10">
                  <c:v>2</c:v>
                </c:pt>
                <c:pt idx="11">
                  <c:v>3</c:v>
                </c:pt>
                <c:pt idx="12">
                  <c:v>4</c:v>
                </c:pt>
                <c:pt idx="13">
                  <c:v>5</c:v>
                </c:pt>
                <c:pt idx="14">
                  <c:v>+6(月)</c:v>
                </c:pt>
              </c:strCache>
            </c:strRef>
          </c:cat>
          <c:val>
            <c:numRef>
              <c:f>'[2019.09.23白千层文章数据 (2).xlsx]得油率'!$B$2:$P$2</c:f>
              <c:numCache>
                <c:formatCode>General</c:formatCode>
                <c:ptCount val="15"/>
                <c:pt idx="0">
                  <c:v>1.458</c:v>
                </c:pt>
                <c:pt idx="1">
                  <c:v>1.728</c:v>
                </c:pt>
                <c:pt idx="2">
                  <c:v>1.7439</c:v>
                </c:pt>
                <c:pt idx="3">
                  <c:v>1.5748</c:v>
                </c:pt>
                <c:pt idx="4">
                  <c:v>1.818</c:v>
                </c:pt>
                <c:pt idx="5">
                  <c:v>2.059</c:v>
                </c:pt>
                <c:pt idx="6">
                  <c:v>2.11</c:v>
                </c:pt>
                <c:pt idx="7">
                  <c:v>2.2133</c:v>
                </c:pt>
                <c:pt idx="8">
                  <c:v>2.2702</c:v>
                </c:pt>
                <c:pt idx="9">
                  <c:v>2.1005</c:v>
                </c:pt>
                <c:pt idx="10">
                  <c:v>1.9498</c:v>
                </c:pt>
                <c:pt idx="11">
                  <c:v>1.518</c:v>
                </c:pt>
                <c:pt idx="12">
                  <c:v>1.6204</c:v>
                </c:pt>
                <c:pt idx="13">
                  <c:v>1.7772</c:v>
                </c:pt>
                <c:pt idx="14">
                  <c:v>2.093</c:v>
                </c:pt>
              </c:numCache>
            </c:numRef>
          </c:val>
          <c:smooth val="0"/>
        </c:ser>
        <c:dLbls>
          <c:showLegendKey val="0"/>
          <c:showVal val="0"/>
          <c:showCatName val="0"/>
          <c:showSerName val="0"/>
          <c:showPercent val="0"/>
          <c:showBubbleSize val="0"/>
        </c:dLbls>
        <c:marker val="1"/>
        <c:smooth val="0"/>
        <c:axId val="97123328"/>
        <c:axId val="106325120"/>
      </c:lineChart>
      <c:catAx>
        <c:axId val="97123328"/>
        <c:scaling>
          <c:orientation val="minMax"/>
        </c:scaling>
        <c:delete val="0"/>
        <c:axPos val="b"/>
        <c:numFmt formatCode="General" sourceLinked="1"/>
        <c:majorTickMark val="in"/>
        <c:minorTickMark val="none"/>
        <c:tickLblPos val="nextTo"/>
        <c:spPr>
          <a:ln w="9525" cap="flat" cmpd="sng" algn="ctr">
            <a:solidFill>
              <a:srgbClr val="000000"/>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06325120"/>
        <c:crosses val="autoZero"/>
        <c:auto val="1"/>
        <c:lblAlgn val="ctr"/>
        <c:lblOffset val="100"/>
        <c:tickLblSkip val="1"/>
        <c:noMultiLvlLbl val="0"/>
      </c:catAx>
      <c:valAx>
        <c:axId val="106325120"/>
        <c:scaling>
          <c:orientation val="minMax"/>
          <c:min val="1"/>
        </c:scaling>
        <c:delete val="0"/>
        <c:axPos val="l"/>
        <c:title>
          <c:tx>
            <c:rich>
              <a:bodyPr rot="-5400000" spcFirstLastPara="0" vertOverflow="ellipsis" vert="horz" wrap="square" anchor="ctr" anchorCtr="1"/>
              <a:lstStyle/>
              <a:p>
                <a:pPr>
                  <a:defRPr lang="zh-CN" sz="1000" b="1" i="0" u="none" strike="noStrike" kern="1200" baseline="0">
                    <a:solidFill>
                      <a:srgbClr val="000000"/>
                    </a:solidFill>
                    <a:latin typeface="+mn-lt"/>
                    <a:ea typeface="+mn-ea"/>
                    <a:cs typeface="+mn-cs"/>
                  </a:defRPr>
                </a:pPr>
                <a:r>
                  <a:rPr lang="en-US" altLang="zh-CN" baseline="0"/>
                  <a:t> </a:t>
                </a:r>
                <a:r>
                  <a:rPr lang="zh-CN" altLang="en-US" baseline="0"/>
                  <a:t>得油率 </a:t>
                </a:r>
                <a:r>
                  <a:rPr lang="en-US" altLang="zh-CN" baseline="0"/>
                  <a:t>oil yield (%) </a:t>
                </a:r>
                <a:endParaRPr lang="zh-CN" altLang="en-US"/>
              </a:p>
            </c:rich>
          </c:tx>
          <c:layout>
            <c:manualLayout>
              <c:xMode val="edge"/>
              <c:yMode val="edge"/>
              <c:x val="0.0388888888888889"/>
              <c:y val="0.240564620144131"/>
            </c:manualLayout>
          </c:layout>
          <c:overlay val="0"/>
        </c:title>
        <c:numFmt formatCode="General" sourceLinked="1"/>
        <c:majorTickMark val="in"/>
        <c:minorTickMark val="none"/>
        <c:tickLblPos val="nextTo"/>
        <c:spPr>
          <a:ln w="9525" cap="flat" cmpd="sng" algn="ctr">
            <a:solidFill>
              <a:srgbClr val="000000"/>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97123328"/>
        <c:crossesAt val="1"/>
        <c:crossBetween val="midCat"/>
      </c:valAx>
      <c:spPr>
        <a:noFill/>
      </c:spPr>
    </c:plotArea>
    <c:plotVisOnly val="1"/>
    <c:dispBlanksAs val="gap"/>
    <c:showDLblsOverMax val="0"/>
    <c:extLst>
      <c:ext uri="{0b15fc19-7d7d-44ad-8c2d-2c3a37ce22c3}">
        <chartProps xmlns="https://web.wps.cn/et/2018/main" chartId="{edc36041-e3ab-480d-9d92-f81cbd434274}"/>
      </c:ext>
    </c:extLst>
  </c:chart>
  <c:spPr>
    <a:noFill/>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099518810149"/>
          <c:y val="0.0536472003499563"/>
          <c:w val="0.744143919510062"/>
          <c:h val="0.728648554692254"/>
        </c:manualLayout>
      </c:layout>
      <c:lineChart>
        <c:grouping val="standard"/>
        <c:varyColors val="0"/>
        <c:ser>
          <c:idx val="0"/>
          <c:order val="0"/>
          <c:spPr>
            <a:ln w="9525" cap="rnd" cmpd="sng" algn="ctr">
              <a:solidFill>
                <a:prstClr val="black"/>
              </a:solidFill>
              <a:prstDash val="solid"/>
              <a:round/>
            </a:ln>
          </c:spPr>
          <c:marker>
            <c:symbol val="square"/>
            <c:size val="3"/>
            <c:spPr>
              <a:solidFill>
                <a:srgbClr val="000000"/>
              </a:solidFill>
              <a:ln w="9525" cap="flat" cmpd="sng" algn="ctr">
                <a:noFill/>
                <a:prstDash val="solid"/>
                <a:round/>
              </a:ln>
            </c:spPr>
          </c:marker>
          <c:dLbls>
            <c:delete val="1"/>
          </c:dLbls>
          <c:cat>
            <c:strRef>
              <c:f>'[2019.09.23白千层文章数据 (2).xlsx]4-松油醇'!$B$1:$P$1</c:f>
              <c:strCache>
                <c:ptCount val="15"/>
                <c:pt idx="0">
                  <c:v>4</c:v>
                </c:pt>
                <c:pt idx="1">
                  <c:v>5</c:v>
                </c:pt>
                <c:pt idx="2">
                  <c:v>6</c:v>
                </c:pt>
                <c:pt idx="3">
                  <c:v>7</c:v>
                </c:pt>
                <c:pt idx="4">
                  <c:v>8</c:v>
                </c:pt>
                <c:pt idx="5">
                  <c:v>9</c:v>
                </c:pt>
                <c:pt idx="6">
                  <c:v>10</c:v>
                </c:pt>
                <c:pt idx="7">
                  <c:v>11</c:v>
                </c:pt>
                <c:pt idx="8">
                  <c:v>12</c:v>
                </c:pt>
                <c:pt idx="9">
                  <c:v>1</c:v>
                </c:pt>
                <c:pt idx="10">
                  <c:v>2</c:v>
                </c:pt>
                <c:pt idx="11">
                  <c:v>3</c:v>
                </c:pt>
                <c:pt idx="12">
                  <c:v>4</c:v>
                </c:pt>
                <c:pt idx="13">
                  <c:v>5</c:v>
                </c:pt>
                <c:pt idx="14">
                  <c:v>+6（月）</c:v>
                </c:pt>
              </c:strCache>
            </c:strRef>
          </c:cat>
          <c:val>
            <c:numRef>
              <c:f>'[2019.09.23白千层文章数据 (2).xlsx]4-松油醇'!$B$2:$P$2</c:f>
              <c:numCache>
                <c:formatCode>General</c:formatCode>
                <c:ptCount val="15"/>
                <c:pt idx="0">
                  <c:v>33.647</c:v>
                </c:pt>
                <c:pt idx="1">
                  <c:v>37.069</c:v>
                </c:pt>
                <c:pt idx="2">
                  <c:v>37.051</c:v>
                </c:pt>
                <c:pt idx="3">
                  <c:v>37.734</c:v>
                </c:pt>
                <c:pt idx="4">
                  <c:v>38.256</c:v>
                </c:pt>
                <c:pt idx="5">
                  <c:v>38.029</c:v>
                </c:pt>
                <c:pt idx="6">
                  <c:v>38.84</c:v>
                </c:pt>
                <c:pt idx="7">
                  <c:v>38.5</c:v>
                </c:pt>
                <c:pt idx="8">
                  <c:v>39.93</c:v>
                </c:pt>
                <c:pt idx="9">
                  <c:v>40.264</c:v>
                </c:pt>
                <c:pt idx="10">
                  <c:v>41.028</c:v>
                </c:pt>
                <c:pt idx="11">
                  <c:v>37.787</c:v>
                </c:pt>
                <c:pt idx="12">
                  <c:v>38.232</c:v>
                </c:pt>
                <c:pt idx="13">
                  <c:v>39.67</c:v>
                </c:pt>
                <c:pt idx="14">
                  <c:v>39.876</c:v>
                </c:pt>
              </c:numCache>
            </c:numRef>
          </c:val>
          <c:smooth val="0"/>
        </c:ser>
        <c:dLbls>
          <c:showLegendKey val="0"/>
          <c:showVal val="0"/>
          <c:showCatName val="0"/>
          <c:showSerName val="0"/>
          <c:showPercent val="0"/>
          <c:showBubbleSize val="0"/>
        </c:dLbls>
        <c:marker val="1"/>
        <c:smooth val="0"/>
        <c:axId val="103359616"/>
        <c:axId val="103361536"/>
      </c:lineChart>
      <c:catAx>
        <c:axId val="103359616"/>
        <c:scaling>
          <c:orientation val="minMax"/>
        </c:scaling>
        <c:delete val="0"/>
        <c:axPos val="b"/>
        <c:numFmt formatCode="General" sourceLinked="0"/>
        <c:majorTickMark val="in"/>
        <c:minorTickMark val="none"/>
        <c:tickLblPos val="nextTo"/>
        <c:spPr>
          <a:ln w="9525" cap="flat" cmpd="sng" algn="ctr">
            <a:solidFill>
              <a:srgbClr val="000000"/>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03361536"/>
        <c:crossesAt val="0"/>
        <c:auto val="1"/>
        <c:lblAlgn val="ctr"/>
        <c:lblOffset val="100"/>
        <c:noMultiLvlLbl val="0"/>
      </c:catAx>
      <c:valAx>
        <c:axId val="103361536"/>
        <c:scaling>
          <c:orientation val="minMax"/>
          <c:min val="33"/>
        </c:scaling>
        <c:delete val="0"/>
        <c:axPos val="l"/>
        <c:title>
          <c:tx>
            <c:rich>
              <a:bodyPr rot="-5400000" spcFirstLastPara="0" vertOverflow="ellipsis" vert="horz" wrap="square" anchor="ctr" anchorCtr="1"/>
              <a:lstStyle/>
              <a:p>
                <a:pPr>
                  <a:defRPr lang="zh-CN" sz="1000" b="1" i="0" u="none" strike="noStrike" kern="1200" baseline="0">
                    <a:solidFill>
                      <a:srgbClr val="000000"/>
                    </a:solidFill>
                    <a:latin typeface="+mn-lt"/>
                    <a:ea typeface="+mn-ea"/>
                    <a:cs typeface="+mn-cs"/>
                  </a:defRPr>
                </a:pPr>
                <a:r>
                  <a:rPr lang="en-US" altLang="en-US"/>
                  <a:t>4-</a:t>
                </a:r>
                <a:r>
                  <a:rPr lang="zh-CN" altLang="en-US"/>
                  <a:t>松油醇 </a:t>
                </a:r>
                <a:r>
                  <a:rPr lang="en-US" altLang="zh-CN"/>
                  <a:t>terpinen-4-ol (%)</a:t>
                </a:r>
                <a:endParaRPr lang="en-US" altLang="en-US"/>
              </a:p>
            </c:rich>
          </c:tx>
          <c:layout>
            <c:manualLayout>
              <c:xMode val="edge"/>
              <c:yMode val="edge"/>
              <c:x val="0.0166666666666667"/>
              <c:y val="0.115972222222222"/>
            </c:manualLayout>
          </c:layout>
          <c:overlay val="0"/>
        </c:title>
        <c:numFmt formatCode="General" sourceLinked="1"/>
        <c:majorTickMark val="in"/>
        <c:minorTickMark val="none"/>
        <c:tickLblPos val="nextTo"/>
        <c:spPr>
          <a:ln w="9525" cap="flat" cmpd="sng" algn="ctr">
            <a:solidFill>
              <a:srgbClr val="000000"/>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103359616"/>
        <c:crosses val="autoZero"/>
        <c:crossBetween val="midCat"/>
      </c:valAx>
      <c:spPr>
        <a:noFill/>
      </c:spPr>
    </c:plotArea>
    <c:plotVisOnly val="1"/>
    <c:dispBlanksAs val="gap"/>
    <c:showDLblsOverMax val="0"/>
    <c:extLst>
      <c:ext uri="{0b15fc19-7d7d-44ad-8c2d-2c3a37ce22c3}">
        <chartProps xmlns="https://web.wps.cn/et/2018/main" chartId="{f4e5e175-b52d-49b9-8fff-24e42ecb18ab}"/>
      </c:ext>
    </c:extLst>
  </c:chart>
  <c:spPr>
    <a:noFill/>
    <a:ln w="9525"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WWW.YlmF.CoM</Company>
  <Pages>14</Pages>
  <Words>5803</Words>
  <Characters>6424</Characters>
  <Lines>164</Lines>
  <Paragraphs>138</Paragraphs>
  <TotalTime>3</TotalTime>
  <ScaleCrop>false</ScaleCrop>
  <LinksUpToDate>false</LinksUpToDate>
  <CharactersWithSpaces>6591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2024-12-13T07:11:00Z</dcterms:created>
  <dc:creator>Microsoft</dc:creator>
  <cp:lastModifiedBy>Lining</cp:lastModifiedBy>
  <dcterms:modified xsi:type="dcterms:W3CDTF">2025-01-10T06:56:20Z</dcterms:modified>
  <dc:title>广西地方标准《脱氢枞酸》（征求意见稿）</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11F52B594A4A46CCAAE9E5BF9CD9A6BF_13</vt:lpwstr>
  </property>
  <property fmtid="{D5CDD505-2E9C-101B-9397-08002B2CF9AE}" pid="4" name="GrammarlyDocumentId">
    <vt:lpwstr>b20b941f645ace97675d94d8aaf069f8f7e1384602264cfb10c57e5298bce7a1</vt:lpwstr>
  </property>
</Properties>
</file>