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E2A0A">
      <w:pPr>
        <w:pStyle w:val="7"/>
        <w:spacing w:line="248" w:lineRule="auto"/>
      </w:pPr>
    </w:p>
    <w:p w14:paraId="1D546DDF">
      <w:pPr>
        <w:pStyle w:val="7"/>
        <w:spacing w:line="248" w:lineRule="auto"/>
      </w:pPr>
    </w:p>
    <w:p w14:paraId="7E8AE341">
      <w:pPr>
        <w:pStyle w:val="7"/>
        <w:spacing w:line="248" w:lineRule="auto"/>
      </w:pPr>
    </w:p>
    <w:p w14:paraId="0DAE59EA">
      <w:pPr>
        <w:pStyle w:val="7"/>
        <w:spacing w:line="248" w:lineRule="auto"/>
      </w:pPr>
    </w:p>
    <w:p w14:paraId="1AD65012">
      <w:pPr>
        <w:pStyle w:val="7"/>
        <w:spacing w:line="248" w:lineRule="auto"/>
      </w:pPr>
    </w:p>
    <w:p w14:paraId="2F7B1C46">
      <w:pPr>
        <w:pStyle w:val="7"/>
        <w:spacing w:line="248" w:lineRule="auto"/>
      </w:pPr>
    </w:p>
    <w:p w14:paraId="562859FB">
      <w:pPr>
        <w:pStyle w:val="7"/>
        <w:spacing w:line="248" w:lineRule="auto"/>
      </w:pPr>
    </w:p>
    <w:p w14:paraId="6F4DE2E5">
      <w:pPr>
        <w:pStyle w:val="7"/>
        <w:spacing w:line="248" w:lineRule="auto"/>
      </w:pPr>
    </w:p>
    <w:p w14:paraId="2A41775E">
      <w:pPr>
        <w:pStyle w:val="7"/>
        <w:spacing w:line="248" w:lineRule="auto"/>
      </w:pPr>
    </w:p>
    <w:p w14:paraId="6A082090">
      <w:pPr>
        <w:pStyle w:val="7"/>
        <w:spacing w:line="248" w:lineRule="auto"/>
      </w:pPr>
    </w:p>
    <w:p w14:paraId="7EF4114E">
      <w:pPr>
        <w:pStyle w:val="7"/>
        <w:spacing w:line="248" w:lineRule="auto"/>
      </w:pPr>
    </w:p>
    <w:p w14:paraId="2B74916E">
      <w:pPr>
        <w:pStyle w:val="7"/>
        <w:spacing w:line="249" w:lineRule="auto"/>
      </w:pPr>
    </w:p>
    <w:p w14:paraId="32D4F2D2">
      <w:pPr>
        <w:pStyle w:val="7"/>
        <w:spacing w:line="249" w:lineRule="auto"/>
      </w:pPr>
    </w:p>
    <w:p w14:paraId="6C2F1412">
      <w:pPr>
        <w:pStyle w:val="7"/>
        <w:spacing w:line="249" w:lineRule="auto"/>
      </w:pPr>
    </w:p>
    <w:p w14:paraId="178A5667">
      <w:pPr>
        <w:pStyle w:val="7"/>
        <w:spacing w:line="249" w:lineRule="auto"/>
      </w:pPr>
    </w:p>
    <w:p w14:paraId="0ADB5945">
      <w:pPr>
        <w:pStyle w:val="7"/>
        <w:spacing w:line="249" w:lineRule="auto"/>
      </w:pPr>
    </w:p>
    <w:p w14:paraId="567C7039">
      <w:pPr>
        <w:pStyle w:val="7"/>
        <w:spacing w:line="249" w:lineRule="auto"/>
      </w:pPr>
    </w:p>
    <w:p w14:paraId="368BBB62">
      <w:pPr>
        <w:spacing w:before="111" w:line="283" w:lineRule="auto"/>
        <w:ind w:right="-100" w:rightChars="0"/>
        <w:jc w:val="center"/>
        <w:outlineLvl w:val="0"/>
        <w:rPr>
          <w:rFonts w:hint="eastAsia" w:ascii="仿宋" w:hAnsi="仿宋" w:eastAsia="仿宋" w:cs="仿宋"/>
          <w:spacing w:val="8"/>
          <w:sz w:val="36"/>
          <w:szCs w:val="36"/>
        </w:rPr>
      </w:pPr>
      <w:bookmarkStart w:id="0" w:name="_Toc11291"/>
      <w:bookmarkStart w:id="1" w:name="_Toc9689"/>
      <w:bookmarkStart w:id="2" w:name="_Toc21322"/>
      <w:r>
        <w:rPr>
          <w:rFonts w:hint="eastAsia" w:ascii="仿宋" w:hAnsi="仿宋" w:eastAsia="仿宋" w:cs="仿宋"/>
          <w:spacing w:val="8"/>
          <w:sz w:val="36"/>
          <w:szCs w:val="36"/>
        </w:rPr>
        <w:t>公共建筑和居民住宅高品质管道直饮水系统</w:t>
      </w:r>
      <w:bookmarkEnd w:id="0"/>
      <w:bookmarkEnd w:id="1"/>
    </w:p>
    <w:p w14:paraId="0D6B516C">
      <w:pPr>
        <w:spacing w:before="111" w:line="283" w:lineRule="auto"/>
        <w:ind w:right="-100" w:rightChars="0"/>
        <w:jc w:val="center"/>
        <w:outlineLvl w:val="0"/>
        <w:rPr>
          <w:rFonts w:hint="eastAsia" w:ascii="仿宋" w:hAnsi="仿宋" w:eastAsia="仿宋" w:cs="仿宋"/>
          <w:spacing w:val="8"/>
          <w:sz w:val="36"/>
          <w:szCs w:val="36"/>
        </w:rPr>
      </w:pPr>
      <w:bookmarkStart w:id="3" w:name="_Toc5013"/>
      <w:bookmarkStart w:id="4" w:name="_Toc22058"/>
      <w:r>
        <w:rPr>
          <w:rFonts w:hint="eastAsia" w:ascii="仿宋" w:hAnsi="仿宋" w:eastAsia="仿宋" w:cs="仿宋"/>
          <w:spacing w:val="8"/>
          <w:sz w:val="36"/>
          <w:szCs w:val="36"/>
        </w:rPr>
        <w:t>建设规范</w:t>
      </w:r>
      <w:bookmarkEnd w:id="2"/>
      <w:bookmarkEnd w:id="3"/>
      <w:bookmarkEnd w:id="4"/>
    </w:p>
    <w:p w14:paraId="14712713">
      <w:pPr>
        <w:spacing w:before="111" w:line="283" w:lineRule="auto"/>
        <w:ind w:right="-100" w:rightChars="0"/>
        <w:jc w:val="center"/>
        <w:outlineLvl w:val="9"/>
        <w:rPr>
          <w:rFonts w:hint="eastAsia" w:ascii="仿宋" w:hAnsi="仿宋" w:eastAsia="仿宋" w:cs="仿宋"/>
          <w:spacing w:val="8"/>
          <w:sz w:val="36"/>
          <w:szCs w:val="36"/>
        </w:rPr>
      </w:pPr>
    </w:p>
    <w:p w14:paraId="3F7E4215">
      <w:pPr>
        <w:spacing w:before="111" w:line="283" w:lineRule="auto"/>
        <w:ind w:right="-100" w:rightChars="0"/>
        <w:jc w:val="center"/>
        <w:outlineLvl w:val="0"/>
        <w:rPr>
          <w:rFonts w:ascii="仿宋" w:hAnsi="仿宋" w:eastAsia="仿宋" w:cs="仿宋"/>
          <w:sz w:val="34"/>
          <w:szCs w:val="34"/>
        </w:rPr>
      </w:pPr>
      <w:bookmarkStart w:id="5" w:name="_Toc31687"/>
      <w:bookmarkStart w:id="6" w:name="_Toc20510"/>
      <w:bookmarkStart w:id="7" w:name="_Toc26485"/>
      <w:r>
        <w:rPr>
          <w:rFonts w:hint="eastAsia" w:ascii="仿宋" w:hAnsi="仿宋" w:eastAsia="仿宋" w:cs="仿宋"/>
          <w:spacing w:val="8"/>
          <w:sz w:val="34"/>
          <w:szCs w:val="34"/>
          <w:lang w:eastAsia="zh-CN"/>
        </w:rPr>
        <w:t>（</w:t>
      </w:r>
      <w:r>
        <w:rPr>
          <w:rFonts w:ascii="仿宋" w:hAnsi="仿宋" w:eastAsia="仿宋" w:cs="仿宋"/>
          <w:spacing w:val="8"/>
          <w:sz w:val="34"/>
          <w:szCs w:val="34"/>
        </w:rPr>
        <w:t>编制说明</w:t>
      </w:r>
      <w:r>
        <w:rPr>
          <w:rFonts w:hint="eastAsia" w:ascii="仿宋" w:hAnsi="仿宋" w:eastAsia="仿宋" w:cs="仿宋"/>
          <w:spacing w:val="8"/>
          <w:sz w:val="34"/>
          <w:szCs w:val="34"/>
          <w:lang w:eastAsia="zh-CN"/>
        </w:rPr>
        <w:t>）</w:t>
      </w:r>
      <w:bookmarkEnd w:id="5"/>
      <w:bookmarkEnd w:id="6"/>
      <w:bookmarkEnd w:id="7"/>
    </w:p>
    <w:p w14:paraId="4B38FBB3">
      <w:pPr>
        <w:pStyle w:val="7"/>
        <w:spacing w:line="244" w:lineRule="auto"/>
      </w:pPr>
    </w:p>
    <w:p w14:paraId="4DCFD991">
      <w:pPr>
        <w:pStyle w:val="7"/>
        <w:spacing w:line="244" w:lineRule="auto"/>
      </w:pPr>
    </w:p>
    <w:p w14:paraId="097ED174">
      <w:pPr>
        <w:pStyle w:val="7"/>
        <w:spacing w:line="244" w:lineRule="auto"/>
      </w:pPr>
    </w:p>
    <w:p w14:paraId="6628B336">
      <w:pPr>
        <w:pStyle w:val="7"/>
        <w:spacing w:line="244" w:lineRule="auto"/>
      </w:pPr>
    </w:p>
    <w:p w14:paraId="3E18950B">
      <w:pPr>
        <w:pStyle w:val="7"/>
        <w:spacing w:line="244" w:lineRule="auto"/>
      </w:pPr>
    </w:p>
    <w:p w14:paraId="61932E62">
      <w:pPr>
        <w:pStyle w:val="7"/>
        <w:spacing w:line="244" w:lineRule="auto"/>
      </w:pPr>
    </w:p>
    <w:p w14:paraId="51DDF5C6">
      <w:pPr>
        <w:pStyle w:val="7"/>
        <w:spacing w:line="244" w:lineRule="auto"/>
      </w:pPr>
    </w:p>
    <w:p w14:paraId="146BB512">
      <w:pPr>
        <w:pStyle w:val="7"/>
        <w:spacing w:line="244" w:lineRule="auto"/>
      </w:pPr>
    </w:p>
    <w:p w14:paraId="4271BAFF">
      <w:pPr>
        <w:pStyle w:val="7"/>
        <w:spacing w:line="244" w:lineRule="auto"/>
      </w:pPr>
    </w:p>
    <w:p w14:paraId="6616FF1D">
      <w:pPr>
        <w:pStyle w:val="7"/>
        <w:spacing w:line="244" w:lineRule="auto"/>
      </w:pPr>
    </w:p>
    <w:p w14:paraId="309FDB8F">
      <w:pPr>
        <w:pStyle w:val="7"/>
        <w:spacing w:line="244" w:lineRule="auto"/>
      </w:pPr>
    </w:p>
    <w:p w14:paraId="61998B82">
      <w:pPr>
        <w:pStyle w:val="7"/>
        <w:spacing w:line="244" w:lineRule="auto"/>
      </w:pPr>
    </w:p>
    <w:p w14:paraId="07287444">
      <w:pPr>
        <w:pStyle w:val="7"/>
        <w:spacing w:line="244" w:lineRule="auto"/>
      </w:pPr>
    </w:p>
    <w:p w14:paraId="6179100A">
      <w:pPr>
        <w:pStyle w:val="7"/>
        <w:spacing w:line="244" w:lineRule="auto"/>
      </w:pPr>
    </w:p>
    <w:p w14:paraId="55F44992">
      <w:pPr>
        <w:pStyle w:val="7"/>
        <w:spacing w:line="244" w:lineRule="auto"/>
      </w:pPr>
    </w:p>
    <w:p w14:paraId="2831F5EA">
      <w:pPr>
        <w:pStyle w:val="7"/>
        <w:spacing w:line="244" w:lineRule="auto"/>
      </w:pPr>
    </w:p>
    <w:p w14:paraId="3C782E53">
      <w:pPr>
        <w:pStyle w:val="7"/>
        <w:spacing w:line="244" w:lineRule="auto"/>
      </w:pPr>
    </w:p>
    <w:p w14:paraId="5B6A28C7">
      <w:pPr>
        <w:pStyle w:val="7"/>
        <w:spacing w:line="244" w:lineRule="auto"/>
      </w:pPr>
    </w:p>
    <w:p w14:paraId="24DE7964">
      <w:pPr>
        <w:pStyle w:val="7"/>
        <w:spacing w:line="245" w:lineRule="auto"/>
      </w:pPr>
    </w:p>
    <w:p w14:paraId="7D619D54">
      <w:pPr>
        <w:pStyle w:val="7"/>
        <w:spacing w:line="245" w:lineRule="auto"/>
      </w:pPr>
    </w:p>
    <w:p w14:paraId="6CDC9147">
      <w:pPr>
        <w:pStyle w:val="7"/>
        <w:spacing w:line="245" w:lineRule="auto"/>
      </w:pPr>
    </w:p>
    <w:p w14:paraId="6551194D">
      <w:pPr>
        <w:pStyle w:val="7"/>
        <w:spacing w:line="245" w:lineRule="auto"/>
      </w:pPr>
    </w:p>
    <w:p w14:paraId="0528A6A1">
      <w:pPr>
        <w:spacing w:before="78" w:line="345" w:lineRule="auto"/>
        <w:ind w:right="-64" w:rightChars="0"/>
        <w:jc w:val="center"/>
        <w:rPr>
          <w:rFonts w:ascii="仿宋" w:hAnsi="仿宋" w:eastAsia="仿宋" w:cs="仿宋"/>
          <w:sz w:val="24"/>
          <w:szCs w:val="24"/>
        </w:rPr>
      </w:pPr>
      <w:r>
        <w:rPr>
          <w:rFonts w:ascii="仿宋" w:hAnsi="仿宋" w:eastAsia="仿宋" w:cs="仿宋"/>
          <w:spacing w:val="-1"/>
          <w:sz w:val="24"/>
          <w:szCs w:val="24"/>
        </w:rPr>
        <w:t>《</w:t>
      </w:r>
      <w:r>
        <w:rPr>
          <w:rFonts w:hint="eastAsia" w:ascii="仿宋" w:hAnsi="仿宋" w:eastAsia="仿宋" w:cs="仿宋"/>
          <w:spacing w:val="-1"/>
          <w:sz w:val="24"/>
          <w:szCs w:val="24"/>
        </w:rPr>
        <w:t>公共建筑和居民住宅高品质管道饮水系统建设规范</w:t>
      </w:r>
      <w:r>
        <w:rPr>
          <w:rFonts w:ascii="仿宋" w:hAnsi="仿宋" w:eastAsia="仿宋" w:cs="仿宋"/>
          <w:spacing w:val="-1"/>
          <w:sz w:val="24"/>
          <w:szCs w:val="24"/>
        </w:rPr>
        <w:t>》编制组</w:t>
      </w:r>
    </w:p>
    <w:p w14:paraId="0FDA7F79">
      <w:pPr>
        <w:spacing w:before="78" w:line="345" w:lineRule="auto"/>
        <w:ind w:right="-64" w:rightChars="0"/>
        <w:jc w:val="center"/>
        <w:rPr>
          <w:rFonts w:ascii="仿宋" w:hAnsi="仿宋" w:eastAsia="仿宋" w:cs="仿宋"/>
          <w:spacing w:val="-3"/>
          <w:sz w:val="24"/>
          <w:szCs w:val="24"/>
        </w:rPr>
      </w:pPr>
      <w:r>
        <w:rPr>
          <w:rFonts w:ascii="仿宋" w:hAnsi="仿宋" w:eastAsia="仿宋" w:cs="仿宋"/>
          <w:spacing w:val="-3"/>
          <w:sz w:val="24"/>
          <w:szCs w:val="24"/>
        </w:rPr>
        <w:t>二〇</w:t>
      </w:r>
      <w:r>
        <w:rPr>
          <w:rFonts w:hint="eastAsia" w:ascii="仿宋" w:hAnsi="仿宋" w:eastAsia="仿宋" w:cs="仿宋"/>
          <w:spacing w:val="-3"/>
          <w:sz w:val="24"/>
          <w:szCs w:val="24"/>
          <w:lang w:val="en-US" w:eastAsia="zh-CN"/>
        </w:rPr>
        <w:t>二四</w:t>
      </w:r>
      <w:r>
        <w:rPr>
          <w:rFonts w:ascii="仿宋" w:hAnsi="仿宋" w:eastAsia="仿宋" w:cs="仿宋"/>
          <w:spacing w:val="-3"/>
          <w:sz w:val="24"/>
          <w:szCs w:val="24"/>
        </w:rPr>
        <w:t>年十</w:t>
      </w:r>
      <w:r>
        <w:rPr>
          <w:rFonts w:hint="eastAsia" w:ascii="仿宋" w:hAnsi="仿宋" w:eastAsia="仿宋" w:cs="仿宋"/>
          <w:spacing w:val="-3"/>
          <w:sz w:val="24"/>
          <w:szCs w:val="24"/>
          <w:lang w:val="en-US" w:eastAsia="zh-CN"/>
        </w:rPr>
        <w:t>二</w:t>
      </w:r>
      <w:r>
        <w:rPr>
          <w:rFonts w:ascii="仿宋" w:hAnsi="仿宋" w:eastAsia="仿宋" w:cs="仿宋"/>
          <w:spacing w:val="-3"/>
          <w:sz w:val="24"/>
          <w:szCs w:val="24"/>
        </w:rPr>
        <w:t>月</w:t>
      </w:r>
    </w:p>
    <w:p w14:paraId="31CD1CE1">
      <w:pPr>
        <w:pStyle w:val="2"/>
      </w:pPr>
    </w:p>
    <w:p w14:paraId="00EAC125">
      <w:pPr>
        <w:spacing w:line="345" w:lineRule="auto"/>
        <w:rPr>
          <w:rFonts w:ascii="仿宋" w:hAnsi="仿宋" w:eastAsia="仿宋" w:cs="仿宋"/>
          <w:sz w:val="24"/>
          <w:szCs w:val="24"/>
        </w:rPr>
        <w:sectPr>
          <w:footerReference r:id="rId5" w:type="default"/>
          <w:pgSz w:w="11906" w:h="16839"/>
          <w:pgMar w:top="1440" w:right="1803" w:bottom="1440" w:left="1803" w:header="0" w:footer="0" w:gutter="0"/>
          <w:pgNumType w:fmt="decimal"/>
          <w:cols w:space="0" w:num="1"/>
          <w:rtlGutter w:val="0"/>
          <w:docGrid w:linePitch="0" w:charSpace="0"/>
        </w:sectPr>
      </w:pPr>
    </w:p>
    <w:p w14:paraId="40961FDB">
      <w:pPr>
        <w:pStyle w:val="7"/>
        <w:spacing w:line="299" w:lineRule="auto"/>
      </w:pPr>
    </w:p>
    <w:sdt>
      <w:sdtPr>
        <w:rPr>
          <w:rFonts w:hint="eastAsia" w:ascii="黑体" w:hAnsi="黑体" w:eastAsia="黑体" w:cs="黑体"/>
          <w:b/>
          <w:bCs/>
          <w:snapToGrid/>
          <w:kern w:val="2"/>
          <w:lang w:val="en-US" w:eastAsia="en-US"/>
        </w:rPr>
        <w:id w:val="147453451"/>
        <w15:color w:val="DBDBDB"/>
        <w:docPartObj>
          <w:docPartGallery w:val="Table of Contents"/>
          <w:docPartUnique/>
        </w:docPartObj>
      </w:sdtPr>
      <w:sdtEndPr>
        <w:rPr>
          <w:rFonts w:hint="eastAsia" w:ascii="等线" w:hAnsi="等线" w:eastAsia="等线" w:cs="等线"/>
          <w:b/>
          <w:bCs/>
          <w:snapToGrid w:val="0"/>
          <w:color w:val="000000"/>
          <w:kern w:val="0"/>
          <w:sz w:val="21"/>
          <w:szCs w:val="20"/>
          <w:lang w:val="en-US" w:eastAsia="en-US" w:bidi="ar-SA"/>
        </w:rPr>
      </w:sdtEndPr>
      <w:sdtContent>
        <w:p w14:paraId="16DD643B">
          <w:pPr>
            <w:pStyle w:val="20"/>
            <w:widowControl w:val="0"/>
            <w:kinsoku/>
            <w:autoSpaceDE/>
            <w:autoSpaceDN/>
            <w:snapToGrid/>
            <w:spacing w:after="360"/>
            <w:textAlignment w:val="auto"/>
            <w:rPr>
              <w:rFonts w:hint="eastAsia" w:ascii="黑体" w:hAnsi="黑体" w:eastAsia="黑体" w:cs="黑体"/>
              <w:b/>
              <w:bCs/>
              <w:snapToGrid/>
              <w:kern w:val="2"/>
              <w:lang w:eastAsia="zh-CN"/>
            </w:rPr>
          </w:pPr>
          <w:r>
            <w:rPr>
              <w:rFonts w:hint="eastAsia" w:ascii="黑体" w:hAnsi="黑体" w:eastAsia="黑体" w:cs="黑体"/>
              <w:b/>
              <w:bCs/>
              <w:snapToGrid/>
              <w:kern w:val="2"/>
              <w:lang w:eastAsia="zh-CN"/>
            </w:rPr>
            <w:t>目</w:t>
          </w:r>
          <w:r>
            <w:rPr>
              <w:rFonts w:hint="eastAsia" w:ascii="黑体" w:hAnsi="黑体" w:eastAsia="黑体" w:cs="黑体"/>
              <w:b/>
              <w:bCs/>
              <w:snapToGrid/>
              <w:kern w:val="2"/>
              <w:lang w:val="en-US" w:eastAsia="zh-CN"/>
            </w:rPr>
            <w:t xml:space="preserve">  </w:t>
          </w:r>
          <w:r>
            <w:rPr>
              <w:rFonts w:hint="eastAsia" w:ascii="黑体" w:hAnsi="黑体" w:eastAsia="黑体" w:cs="黑体"/>
              <w:b/>
              <w:bCs/>
              <w:snapToGrid/>
              <w:kern w:val="2"/>
              <w:lang w:eastAsia="zh-CN"/>
            </w:rPr>
            <w:t>录</w:t>
          </w:r>
        </w:p>
        <w:p w14:paraId="3C3CE359">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ascii="等线" w:hAnsi="等线" w:eastAsia="等线" w:cs="等线"/>
              <w:sz w:val="28"/>
              <w:szCs w:val="28"/>
            </w:rPr>
            <w:fldChar w:fldCharType="begin"/>
          </w:r>
          <w:r>
            <w:rPr>
              <w:rFonts w:ascii="等线" w:hAnsi="等线" w:eastAsia="等线" w:cs="等线"/>
              <w:sz w:val="28"/>
              <w:szCs w:val="28"/>
            </w:rPr>
            <w:instrText xml:space="preserve">TOC \o "1-2" \h \u </w:instrText>
          </w:r>
          <w:r>
            <w:rPr>
              <w:rFonts w:ascii="等线" w:hAnsi="等线" w:eastAsia="等线" w:cs="等线"/>
              <w:sz w:val="28"/>
              <w:szCs w:val="28"/>
            </w:rPr>
            <w:fldChar w:fldCharType="separate"/>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_Toc22540 </w:instrText>
          </w:r>
          <w:r>
            <w:rPr>
              <w:rFonts w:hint="eastAsia" w:ascii="黑体" w:hAnsi="黑体" w:eastAsia="黑体" w:cs="黑体"/>
              <w:sz w:val="28"/>
              <w:szCs w:val="28"/>
            </w:rPr>
            <w:fldChar w:fldCharType="separate"/>
          </w:r>
          <w:r>
            <w:rPr>
              <w:rFonts w:hint="eastAsia" w:ascii="黑体" w:hAnsi="黑体" w:eastAsia="黑体" w:cs="黑体"/>
              <w:snapToGrid/>
              <w:kern w:val="0"/>
              <w:sz w:val="28"/>
              <w:szCs w:val="28"/>
              <w:lang w:val="en-US" w:eastAsia="zh-CN"/>
            </w:rPr>
            <w:t>一、项目背景</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_Toc22540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7CFF3637">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_Toc1107 </w:instrText>
          </w:r>
          <w:r>
            <w:rPr>
              <w:rFonts w:hint="eastAsia" w:ascii="黑体" w:hAnsi="黑体" w:eastAsia="黑体" w:cs="黑体"/>
              <w:sz w:val="28"/>
              <w:szCs w:val="28"/>
            </w:rPr>
            <w:fldChar w:fldCharType="separate"/>
          </w:r>
          <w:r>
            <w:rPr>
              <w:rFonts w:hint="eastAsia" w:ascii="黑体" w:hAnsi="黑体" w:eastAsia="黑体" w:cs="黑体"/>
              <w:snapToGrid/>
              <w:kern w:val="0"/>
              <w:sz w:val="28"/>
              <w:szCs w:val="28"/>
              <w:lang w:val="en-US" w:eastAsia="zh-CN"/>
            </w:rPr>
            <w:t>二、项目来源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_Toc1107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11E74149">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_Toc764 </w:instrText>
          </w:r>
          <w:r>
            <w:rPr>
              <w:rFonts w:hint="eastAsia" w:ascii="黑体" w:hAnsi="黑体" w:eastAsia="黑体" w:cs="黑体"/>
              <w:sz w:val="28"/>
              <w:szCs w:val="28"/>
            </w:rPr>
            <w:fldChar w:fldCharType="separate"/>
          </w:r>
          <w:r>
            <w:rPr>
              <w:rFonts w:hint="eastAsia" w:ascii="黑体" w:hAnsi="黑体" w:eastAsia="黑体" w:cs="黑体"/>
              <w:snapToGrid/>
              <w:kern w:val="0"/>
              <w:sz w:val="28"/>
              <w:szCs w:val="28"/>
              <w:lang w:val="en-US" w:eastAsia="zh-CN"/>
            </w:rPr>
            <w:t>三、标准制定工作概况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_Toc764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64A97500">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_Toc19827 </w:instrText>
          </w:r>
          <w:r>
            <w:rPr>
              <w:rFonts w:hint="eastAsia" w:ascii="仿宋" w:hAnsi="仿宋" w:eastAsia="仿宋" w:cs="仿宋"/>
              <w:sz w:val="28"/>
              <w:szCs w:val="28"/>
            </w:rPr>
            <w:fldChar w:fldCharType="separate"/>
          </w:r>
          <w:r>
            <w:rPr>
              <w:rFonts w:hint="eastAsia" w:ascii="仿宋" w:hAnsi="仿宋" w:eastAsia="仿宋" w:cs="仿宋"/>
              <w:bCs/>
              <w:sz w:val="28"/>
              <w:szCs w:val="28"/>
              <w:lang w:eastAsia="zh-CN"/>
            </w:rPr>
            <w:t>3.1 标准制定相关单位及人员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_Toc19827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D814D92">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_Toc26602 </w:instrText>
          </w:r>
          <w:r>
            <w:rPr>
              <w:rFonts w:hint="eastAsia" w:ascii="仿宋" w:hAnsi="仿宋" w:eastAsia="仿宋" w:cs="仿宋"/>
              <w:sz w:val="28"/>
              <w:szCs w:val="28"/>
            </w:rPr>
            <w:fldChar w:fldCharType="separate"/>
          </w:r>
          <w:r>
            <w:rPr>
              <w:rFonts w:hint="eastAsia" w:ascii="仿宋" w:hAnsi="仿宋" w:eastAsia="仿宋" w:cs="仿宋"/>
              <w:bCs/>
              <w:sz w:val="28"/>
              <w:szCs w:val="28"/>
              <w:lang w:eastAsia="zh-CN"/>
            </w:rPr>
            <w:t>3.2 主要工作过程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_Toc26602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B09A4E6">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_Toc866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四、现有政策文件及标准</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_Toc866 \h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AA7AAA7">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_Toc10001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 xml:space="preserve">4.1 </w:t>
          </w:r>
          <w:r>
            <w:rPr>
              <w:rFonts w:hint="eastAsia" w:ascii="仿宋" w:hAnsi="仿宋" w:eastAsia="仿宋" w:cs="仿宋"/>
              <w:sz w:val="28"/>
              <w:szCs w:val="28"/>
              <w:lang w:val="en-US" w:eastAsia="zh-CN"/>
            </w:rPr>
            <w:t>相关政策文件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_Toc10001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159591E">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_Toc30129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 xml:space="preserve">4.2 </w:t>
          </w:r>
          <w:r>
            <w:rPr>
              <w:rFonts w:hint="eastAsia" w:ascii="仿宋" w:hAnsi="仿宋" w:eastAsia="仿宋" w:cs="仿宋"/>
              <w:sz w:val="28"/>
              <w:szCs w:val="28"/>
              <w:lang w:val="en-US" w:eastAsia="zh-CN"/>
            </w:rPr>
            <w:t>现有标准情况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_Toc30129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DBB8669">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_Toc18681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五、标准编制原则、主要内容及确定依据</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_Toc18681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52F09E73">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_Toc3353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5.1 编制原则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_Toc3353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252D8E5">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_Toc21634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5.2 主要内容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_Toc21634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135E1FC">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_Toc6620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六、标准先进性体现</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_Toc6620 \h </w:instrText>
          </w:r>
          <w:r>
            <w:rPr>
              <w:rFonts w:hint="eastAsia" w:ascii="黑体" w:hAnsi="黑体" w:eastAsia="黑体" w:cs="黑体"/>
              <w:sz w:val="28"/>
              <w:szCs w:val="28"/>
            </w:rPr>
            <w:fldChar w:fldCharType="separate"/>
          </w:r>
          <w:r>
            <w:rPr>
              <w:rFonts w:hint="eastAsia" w:ascii="黑体" w:hAnsi="黑体" w:eastAsia="黑体" w:cs="黑体"/>
              <w:sz w:val="28"/>
              <w:szCs w:val="28"/>
            </w:rPr>
            <w:t>8</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034D0BE">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_Toc12862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七、与现行相关法律、法规、规章及相关</w:t>
          </w:r>
          <w:bookmarkStart w:id="53" w:name="_GoBack"/>
          <w:bookmarkEnd w:id="53"/>
          <w:r>
            <w:rPr>
              <w:rFonts w:hint="eastAsia" w:ascii="黑体" w:hAnsi="黑体" w:eastAsia="黑体" w:cs="黑体"/>
              <w:sz w:val="28"/>
              <w:szCs w:val="28"/>
              <w:lang w:val="en-US" w:eastAsia="zh-CN"/>
            </w:rPr>
            <w:t>标准的协调性</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_Toc12862 \h </w:instrText>
          </w:r>
          <w:r>
            <w:rPr>
              <w:rFonts w:hint="eastAsia" w:ascii="黑体" w:hAnsi="黑体" w:eastAsia="黑体" w:cs="黑体"/>
              <w:sz w:val="28"/>
              <w:szCs w:val="28"/>
            </w:rPr>
            <w:fldChar w:fldCharType="separate"/>
          </w:r>
          <w:r>
            <w:rPr>
              <w:rFonts w:hint="eastAsia" w:ascii="黑体" w:hAnsi="黑体" w:eastAsia="黑体" w:cs="黑体"/>
              <w:sz w:val="28"/>
              <w:szCs w:val="28"/>
            </w:rPr>
            <w:t>8</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D53CCB9">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_Toc15926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7.1 目前已有的标准情况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_Toc15926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AB37F1A">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_Toc12199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7.2 与相关法律、法规、规章、强制性标准相冲突情况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_Toc12199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B392F17">
          <w:pPr>
            <w:pStyle w:val="11"/>
            <w:tabs>
              <w:tab w:val="right" w:leader="dot" w:pos="833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_Toc7485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7.3 规范性引用文件情况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_Toc7485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4D3949D">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_Toc18672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八、社会效益</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_Toc18672 \h </w:instrText>
          </w:r>
          <w:r>
            <w:rPr>
              <w:rFonts w:hint="eastAsia" w:ascii="黑体" w:hAnsi="黑体" w:eastAsia="黑体" w:cs="黑体"/>
              <w:sz w:val="28"/>
              <w:szCs w:val="28"/>
            </w:rPr>
            <w:fldChar w:fldCharType="separate"/>
          </w:r>
          <w:r>
            <w:rPr>
              <w:rFonts w:hint="eastAsia" w:ascii="黑体" w:hAnsi="黑体" w:eastAsia="黑体" w:cs="黑体"/>
              <w:sz w:val="28"/>
              <w:szCs w:val="28"/>
            </w:rPr>
            <w:t>11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5D403644">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_Toc31205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九、重大分歧意见的处理经过和依据</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_Toc31205 \h </w:instrText>
          </w:r>
          <w:r>
            <w:rPr>
              <w:rFonts w:hint="eastAsia" w:ascii="黑体" w:hAnsi="黑体" w:eastAsia="黑体" w:cs="黑体"/>
              <w:sz w:val="28"/>
              <w:szCs w:val="28"/>
            </w:rPr>
            <w:fldChar w:fldCharType="separate"/>
          </w:r>
          <w:r>
            <w:rPr>
              <w:rFonts w:hint="eastAsia" w:ascii="黑体" w:hAnsi="黑体" w:eastAsia="黑体" w:cs="黑体"/>
              <w:sz w:val="28"/>
              <w:szCs w:val="28"/>
            </w:rPr>
            <w:t>11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42E3019A">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_Toc22153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十、废止现行相关标准的建议</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_Toc22153 \h </w:instrText>
          </w:r>
          <w:r>
            <w:rPr>
              <w:rFonts w:hint="eastAsia" w:ascii="黑体" w:hAnsi="黑体" w:eastAsia="黑体" w:cs="黑体"/>
              <w:sz w:val="28"/>
              <w:szCs w:val="28"/>
            </w:rPr>
            <w:fldChar w:fldCharType="separate"/>
          </w:r>
          <w:r>
            <w:rPr>
              <w:rFonts w:hint="eastAsia" w:ascii="黑体" w:hAnsi="黑体" w:eastAsia="黑体" w:cs="黑体"/>
              <w:sz w:val="28"/>
              <w:szCs w:val="28"/>
            </w:rPr>
            <w:t>11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540C18B9">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_Toc3844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十一、提出标准强制实施或推荐实施的建议和理由</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_Toc3844 \h </w:instrText>
          </w:r>
          <w:r>
            <w:rPr>
              <w:rFonts w:hint="eastAsia" w:ascii="黑体" w:hAnsi="黑体" w:eastAsia="黑体" w:cs="黑体"/>
              <w:sz w:val="28"/>
              <w:szCs w:val="28"/>
            </w:rPr>
            <w:fldChar w:fldCharType="separate"/>
          </w:r>
          <w:r>
            <w:rPr>
              <w:rFonts w:hint="eastAsia" w:ascii="黑体" w:hAnsi="黑体" w:eastAsia="黑体" w:cs="黑体"/>
              <w:sz w:val="28"/>
              <w:szCs w:val="28"/>
            </w:rPr>
            <w:t>11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69533D6C">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_Toc25482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十二、贯彻标准的要求和措施建议</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_Toc25482 \h </w:instrText>
          </w:r>
          <w:r>
            <w:rPr>
              <w:rFonts w:hint="eastAsia" w:ascii="黑体" w:hAnsi="黑体" w:eastAsia="黑体" w:cs="黑体"/>
              <w:sz w:val="28"/>
              <w:szCs w:val="28"/>
            </w:rPr>
            <w:fldChar w:fldCharType="separate"/>
          </w:r>
          <w:r>
            <w:rPr>
              <w:rFonts w:hint="eastAsia" w:ascii="黑体" w:hAnsi="黑体" w:eastAsia="黑体" w:cs="黑体"/>
              <w:sz w:val="28"/>
              <w:szCs w:val="28"/>
            </w:rPr>
            <w:t>12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2F55299A">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_Toc28806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十三、其他应予说明的事项</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_Toc28806 \h </w:instrText>
          </w:r>
          <w:r>
            <w:rPr>
              <w:rFonts w:hint="eastAsia" w:ascii="黑体" w:hAnsi="黑体" w:eastAsia="黑体" w:cs="黑体"/>
              <w:sz w:val="28"/>
              <w:szCs w:val="28"/>
            </w:rPr>
            <w:fldChar w:fldCharType="separate"/>
          </w:r>
          <w:r>
            <w:rPr>
              <w:rFonts w:hint="eastAsia" w:ascii="黑体" w:hAnsi="黑体" w:eastAsia="黑体" w:cs="黑体"/>
              <w:sz w:val="28"/>
              <w:szCs w:val="28"/>
            </w:rPr>
            <w:t>12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13501971">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288" w:lineRule="auto"/>
            <w:textAlignment w:val="baseline"/>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_Toc1842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附件 1 12月18日讨论会会议纪要及与会人员签到表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_Toc1842 \h </w:instrText>
          </w:r>
          <w:r>
            <w:rPr>
              <w:rFonts w:hint="eastAsia" w:ascii="黑体" w:hAnsi="黑体" w:eastAsia="黑体" w:cs="黑体"/>
              <w:sz w:val="28"/>
              <w:szCs w:val="28"/>
            </w:rPr>
            <w:fldChar w:fldCharType="separate"/>
          </w:r>
          <w:r>
            <w:rPr>
              <w:rFonts w:hint="eastAsia" w:ascii="黑体" w:hAnsi="黑体" w:eastAsia="黑体" w:cs="黑体"/>
              <w:sz w:val="28"/>
              <w:szCs w:val="28"/>
            </w:rPr>
            <w:t>13</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4F5ADF1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等线" w:hAnsi="等线" w:eastAsia="等线" w:cs="等线"/>
              <w:b/>
              <w:snapToGrid w:val="0"/>
              <w:color w:val="000000"/>
              <w:kern w:val="0"/>
              <w:sz w:val="21"/>
              <w:szCs w:val="20"/>
              <w:lang w:val="en-US" w:eastAsia="en-US" w:bidi="ar-SA"/>
            </w:rPr>
          </w:pPr>
          <w:r>
            <w:rPr>
              <w:rFonts w:ascii="等线" w:hAnsi="等线" w:eastAsia="等线" w:cs="等线"/>
              <w:szCs w:val="28"/>
            </w:rPr>
            <w:fldChar w:fldCharType="end"/>
          </w:r>
        </w:p>
      </w:sdtContent>
    </w:sdt>
    <w:p w14:paraId="569385CC">
      <w:pPr>
        <w:pStyle w:val="2"/>
        <w:sectPr>
          <w:pgSz w:w="11906" w:h="16839"/>
          <w:pgMar w:top="1431" w:right="1785" w:bottom="0" w:left="1785" w:header="0" w:footer="0" w:gutter="0"/>
          <w:pgNumType w:fmt="decimal"/>
          <w:cols w:space="720" w:num="1"/>
        </w:sectPr>
      </w:pPr>
    </w:p>
    <w:p w14:paraId="2D4B1586">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8" w:name="bookmark2"/>
      <w:bookmarkEnd w:id="8"/>
      <w:bookmarkStart w:id="9" w:name="_Toc22540"/>
      <w:r>
        <w:rPr>
          <w:rFonts w:hint="eastAsia" w:ascii="仿宋" w:hAnsi="仿宋" w:eastAsia="仿宋" w:cs="仿宋"/>
          <w:b/>
          <w:snapToGrid/>
          <w:kern w:val="0"/>
          <w:sz w:val="28"/>
          <w:szCs w:val="28"/>
          <w:lang w:val="en-US" w:eastAsia="zh-CN"/>
        </w:rPr>
        <w:t>一、项目背景</w:t>
      </w:r>
      <w:bookmarkEnd w:id="9"/>
    </w:p>
    <w:p w14:paraId="5DAADD8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z w:val="28"/>
          <w:szCs w:val="28"/>
        </w:rPr>
        <w:t>随着经济社会的发展</w:t>
      </w:r>
      <w:r>
        <w:rPr>
          <w:rFonts w:hint="eastAsia" w:ascii="仿宋" w:hAnsi="仿宋" w:eastAsia="仿宋" w:cs="仿宋"/>
          <w:sz w:val="28"/>
          <w:szCs w:val="28"/>
          <w:lang w:eastAsia="zh-CN"/>
        </w:rPr>
        <w:t>，</w:t>
      </w:r>
      <w:r>
        <w:rPr>
          <w:rFonts w:hint="eastAsia" w:ascii="仿宋" w:hAnsi="仿宋" w:eastAsia="仿宋" w:cs="仿宋"/>
          <w:sz w:val="28"/>
          <w:szCs w:val="28"/>
        </w:rPr>
        <w:t>生活水平的提高</w:t>
      </w:r>
      <w:r>
        <w:rPr>
          <w:rFonts w:hint="eastAsia" w:ascii="仿宋" w:hAnsi="仿宋" w:eastAsia="仿宋" w:cs="仿宋"/>
          <w:sz w:val="28"/>
          <w:szCs w:val="28"/>
          <w:lang w:eastAsia="zh-CN"/>
        </w:rPr>
        <w:t>，</w:t>
      </w:r>
      <w:r>
        <w:rPr>
          <w:rFonts w:hint="eastAsia" w:ascii="仿宋" w:hAnsi="仿宋" w:eastAsia="仿宋" w:cs="仿宋"/>
          <w:snapToGrid/>
          <w:kern w:val="2"/>
          <w:sz w:val="28"/>
          <w:szCs w:val="28"/>
          <w:lang w:eastAsia="zh-CN"/>
        </w:rPr>
        <w:t>公众对健康饮水需求的关注不断增加，对饮水的健康意识、口感和舒适度要求逐渐加强，供水行业也逐渐从关注“量”向关注“质”转变，管道直饮水作为高效、安全、便捷的饮水方式，</w:t>
      </w:r>
      <w:r>
        <w:rPr>
          <w:rFonts w:hint="eastAsia" w:ascii="仿宋" w:hAnsi="仿宋" w:eastAsia="仿宋" w:cs="仿宋"/>
          <w:sz w:val="28"/>
          <w:szCs w:val="28"/>
        </w:rPr>
        <w:t>在公共建筑和居民住宅逐渐普及</w:t>
      </w:r>
      <w:r>
        <w:rPr>
          <w:rFonts w:hint="eastAsia" w:ascii="仿宋" w:hAnsi="仿宋" w:eastAsia="仿宋" w:cs="仿宋"/>
          <w:snapToGrid/>
          <w:kern w:val="2"/>
          <w:sz w:val="28"/>
          <w:szCs w:val="28"/>
          <w:lang w:eastAsia="zh-CN"/>
        </w:rPr>
        <w:t>。</w:t>
      </w:r>
    </w:p>
    <w:p w14:paraId="04C3D8B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为了规范管道直饮水市场并推动行业的持续健康发展，各级政府和相关部门已经颁布了一系列政策文件。特别是《“十四五”水安全保障规划》和《“十四五”全国城市基础设施建设规划》这两项重要规划，为管道直饮水行业的发展提供了清晰的宏观指导和坚实的政策支撑。这些规划着重于提高供水安全的保障能力，增强城市水资源的涵养、蓄积和净化能力，从而为管道直饮水行业的迅速发展构建了稳固的基础。</w:t>
      </w:r>
      <w:r>
        <w:rPr>
          <w:rFonts w:hint="eastAsia" w:ascii="仿宋" w:hAnsi="仿宋" w:eastAsia="仿宋" w:cs="仿宋"/>
          <w:snapToGrid/>
          <w:kern w:val="2"/>
          <w:sz w:val="28"/>
          <w:szCs w:val="28"/>
          <w:lang w:val="en-US" w:eastAsia="zh-CN"/>
        </w:rPr>
        <w:t>此外，</w:t>
      </w:r>
      <w:r>
        <w:rPr>
          <w:rFonts w:hint="eastAsia" w:ascii="仿宋" w:hAnsi="仿宋" w:eastAsia="仿宋" w:cs="仿宋"/>
          <w:snapToGrid/>
          <w:kern w:val="2"/>
          <w:sz w:val="28"/>
          <w:szCs w:val="28"/>
          <w:lang w:eastAsia="zh-CN"/>
        </w:rPr>
        <w:t>建设部发布了行业标准《饮用净水水质标准》CJ</w:t>
      </w:r>
      <w:r>
        <w:rPr>
          <w:rFonts w:hint="eastAsia" w:ascii="仿宋" w:hAnsi="仿宋" w:eastAsia="仿宋" w:cs="仿宋"/>
          <w:snapToGrid/>
          <w:kern w:val="2"/>
          <w:sz w:val="28"/>
          <w:szCs w:val="28"/>
          <w:lang w:val="en-US" w:eastAsia="zh-CN"/>
        </w:rPr>
        <w:t xml:space="preserve"> </w:t>
      </w:r>
      <w:r>
        <w:rPr>
          <w:rFonts w:hint="eastAsia" w:ascii="仿宋" w:hAnsi="仿宋" w:eastAsia="仿宋" w:cs="仿宋"/>
          <w:snapToGrid/>
          <w:kern w:val="2"/>
          <w:sz w:val="28"/>
          <w:szCs w:val="28"/>
          <w:lang w:eastAsia="zh-CN"/>
        </w:rPr>
        <w:t>94-2005和《建筑与小区管道直饮水系统技术规程》CJJ/T 110-2017，明确了直饮水的水质要求，规范了直饮水系统的设计、管材和设施的选择等关键环节，对确保管道直饮水水质发挥了重要作用。</w:t>
      </w:r>
    </w:p>
    <w:p w14:paraId="69FF711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lang w:eastAsia="zh-CN"/>
        </w:rPr>
      </w:pPr>
      <w:r>
        <w:rPr>
          <w:rFonts w:hint="eastAsia" w:ascii="仿宋" w:hAnsi="仿宋" w:eastAsia="仿宋" w:cs="仿宋"/>
          <w:snapToGrid/>
          <w:kern w:val="2"/>
          <w:sz w:val="28"/>
          <w:szCs w:val="28"/>
          <w:lang w:eastAsia="zh-CN"/>
        </w:rPr>
        <w:t>然而，现有标准更多地提供了基础性和通用性的行业指导，难以充分满足各地多样化的实际情况和反映高品质直饮水系统最新技术进展与要求，因此迫切需要新的标准来引领新技术、新工艺的应用，进一步提高管道直饮水的</w:t>
      </w:r>
      <w:r>
        <w:rPr>
          <w:rFonts w:hint="eastAsia" w:ascii="仿宋" w:hAnsi="仿宋" w:eastAsia="仿宋" w:cs="仿宋"/>
          <w:snapToGrid/>
          <w:kern w:val="2"/>
          <w:sz w:val="28"/>
          <w:szCs w:val="28"/>
          <w:lang w:val="en-US" w:eastAsia="zh-CN"/>
        </w:rPr>
        <w:t>品质、</w:t>
      </w:r>
      <w:r>
        <w:rPr>
          <w:rFonts w:hint="eastAsia" w:ascii="仿宋" w:hAnsi="仿宋" w:eastAsia="仿宋" w:cs="仿宋"/>
          <w:snapToGrid/>
          <w:kern w:val="2"/>
          <w:sz w:val="28"/>
          <w:szCs w:val="28"/>
          <w:lang w:eastAsia="zh-CN"/>
        </w:rPr>
        <w:t>水质安全、运行管理水平及服务水平。为了确保管道直饮水供水工程的质量、安全，保护广大民众的健康，并推动供水行业的高质量发展，有必要制定具有新技术属性和专业深度的技术规范，以促进管道直饮水系统的高品质建设和发展。</w:t>
      </w:r>
    </w:p>
    <w:p w14:paraId="00FD6B2A">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10" w:name="bookmark4"/>
      <w:bookmarkEnd w:id="10"/>
      <w:bookmarkStart w:id="11" w:name="_Toc1107"/>
      <w:r>
        <w:rPr>
          <w:rFonts w:hint="eastAsia" w:ascii="仿宋" w:hAnsi="仿宋" w:eastAsia="仿宋" w:cs="仿宋"/>
          <w:b/>
          <w:snapToGrid/>
          <w:kern w:val="0"/>
          <w:sz w:val="28"/>
          <w:szCs w:val="28"/>
          <w:lang w:val="en-US" w:eastAsia="zh-CN"/>
        </w:rPr>
        <w:t>二、项目来源</w:t>
      </w:r>
      <w:bookmarkEnd w:id="11"/>
    </w:p>
    <w:p w14:paraId="23B68ED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该标准任务来源于浙江省产品与工程标准化协会2024年第73号文件，项目名称：《公共建筑和居民住宅高品质管道直饮水系统建设规范》。</w:t>
      </w:r>
    </w:p>
    <w:p w14:paraId="47359AEB">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12" w:name="bookmark6"/>
      <w:bookmarkEnd w:id="12"/>
      <w:bookmarkStart w:id="13" w:name="_Toc764"/>
      <w:r>
        <w:rPr>
          <w:rFonts w:hint="eastAsia" w:ascii="仿宋" w:hAnsi="仿宋" w:eastAsia="仿宋" w:cs="仿宋"/>
          <w:b/>
          <w:snapToGrid/>
          <w:kern w:val="0"/>
          <w:sz w:val="28"/>
          <w:szCs w:val="28"/>
          <w:lang w:val="en-US" w:eastAsia="zh-CN"/>
        </w:rPr>
        <w:t>三、标准制定工作概况</w:t>
      </w:r>
      <w:bookmarkEnd w:id="13"/>
    </w:p>
    <w:p w14:paraId="4096B6FF">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14" w:name="bookmark1"/>
      <w:bookmarkEnd w:id="14"/>
      <w:bookmarkStart w:id="15" w:name="_Toc19827"/>
      <w:r>
        <w:rPr>
          <w:rFonts w:hint="eastAsia" w:ascii="仿宋" w:hAnsi="仿宋" w:eastAsia="仿宋" w:cs="仿宋"/>
          <w:b w:val="0"/>
          <w:bCs/>
          <w:sz w:val="28"/>
          <w:szCs w:val="28"/>
          <w:lang w:eastAsia="zh-CN"/>
        </w:rPr>
        <w:t>3.1 标准制定相关单位及人员</w:t>
      </w:r>
      <w:bookmarkEnd w:id="15"/>
    </w:p>
    <w:p w14:paraId="2CC6E9B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本标准主要起草单位：钱江水利开发股份有限公司。</w:t>
      </w:r>
    </w:p>
    <w:p w14:paraId="47C9AEF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本标准参与起草单位：钱江水利开发股份有限公司、浙江省城乡规划设计研究院、平湖市钱江独山水务有限公司、浙江钱江水利供水有限公司、浙江省产品与工程标准化协会。</w:t>
      </w:r>
    </w:p>
    <w:p w14:paraId="68B8850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本标准起草人为：</w:t>
      </w:r>
    </w:p>
    <w:p w14:paraId="2D27BC53">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16" w:name="bookmark1"/>
      <w:bookmarkEnd w:id="16"/>
      <w:bookmarkStart w:id="17" w:name="_Toc26602"/>
      <w:r>
        <w:rPr>
          <w:rFonts w:hint="eastAsia" w:ascii="仿宋" w:hAnsi="仿宋" w:eastAsia="仿宋" w:cs="仿宋"/>
          <w:b w:val="0"/>
          <w:bCs/>
          <w:sz w:val="28"/>
          <w:szCs w:val="28"/>
          <w:lang w:eastAsia="zh-CN"/>
        </w:rPr>
        <w:t>3.2 主要工作过程</w:t>
      </w:r>
      <w:bookmarkEnd w:id="17"/>
    </w:p>
    <w:p w14:paraId="62F9E2A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3.2.1 前期准备工作</w:t>
      </w:r>
    </w:p>
    <w:p w14:paraId="036C9F3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eastAsia="zh-CN"/>
        </w:rPr>
        <w:t>202</w:t>
      </w:r>
      <w:r>
        <w:rPr>
          <w:rFonts w:hint="eastAsia" w:ascii="仿宋" w:hAnsi="仿宋" w:eastAsia="仿宋" w:cs="仿宋"/>
          <w:snapToGrid/>
          <w:kern w:val="2"/>
          <w:sz w:val="28"/>
          <w:szCs w:val="28"/>
          <w:lang w:val="en-US" w:eastAsia="zh-CN"/>
        </w:rPr>
        <w:t>4</w:t>
      </w:r>
      <w:r>
        <w:rPr>
          <w:rFonts w:hint="eastAsia" w:ascii="仿宋" w:hAnsi="仿宋" w:eastAsia="仿宋" w:cs="仿宋"/>
          <w:snapToGrid/>
          <w:kern w:val="2"/>
          <w:sz w:val="28"/>
          <w:szCs w:val="28"/>
          <w:lang w:eastAsia="zh-CN"/>
        </w:rPr>
        <w:t>年</w:t>
      </w:r>
      <w:r>
        <w:rPr>
          <w:rFonts w:hint="eastAsia" w:ascii="仿宋" w:hAnsi="仿宋" w:eastAsia="仿宋" w:cs="仿宋"/>
          <w:snapToGrid/>
          <w:kern w:val="2"/>
          <w:sz w:val="28"/>
          <w:szCs w:val="28"/>
          <w:lang w:val="en-US" w:eastAsia="zh-CN"/>
        </w:rPr>
        <w:t>9月20日，标准编制小组召开立项前的讨论会，</w:t>
      </w:r>
      <w:r>
        <w:rPr>
          <w:rFonts w:hint="eastAsia" w:ascii="仿宋" w:hAnsi="仿宋" w:eastAsia="仿宋" w:cs="仿宋"/>
          <w:snapToGrid/>
          <w:kern w:val="2"/>
          <w:sz w:val="28"/>
          <w:szCs w:val="28"/>
          <w:lang w:eastAsia="zh-CN"/>
        </w:rPr>
        <w:t>钱江水利开展</w:t>
      </w:r>
      <w:r>
        <w:rPr>
          <w:rFonts w:hint="eastAsia" w:ascii="仿宋" w:hAnsi="仿宋" w:eastAsia="仿宋" w:cs="仿宋"/>
          <w:snapToGrid/>
          <w:kern w:val="2"/>
          <w:sz w:val="28"/>
          <w:szCs w:val="28"/>
          <w:lang w:val="en-US" w:eastAsia="zh-CN"/>
        </w:rPr>
        <w:t>本</w:t>
      </w:r>
      <w:r>
        <w:rPr>
          <w:rFonts w:hint="eastAsia" w:ascii="仿宋" w:hAnsi="仿宋" w:eastAsia="仿宋" w:cs="仿宋"/>
          <w:snapToGrid/>
          <w:kern w:val="2"/>
          <w:sz w:val="28"/>
          <w:szCs w:val="28"/>
          <w:lang w:eastAsia="zh-CN"/>
        </w:rPr>
        <w:t>标准制定的对接工作，成立标准编制小组。</w:t>
      </w:r>
    </w:p>
    <w:p w14:paraId="767CF0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202</w:t>
      </w:r>
      <w:r>
        <w:rPr>
          <w:rFonts w:hint="eastAsia" w:ascii="仿宋" w:hAnsi="仿宋" w:eastAsia="仿宋" w:cs="仿宋"/>
          <w:snapToGrid/>
          <w:kern w:val="2"/>
          <w:sz w:val="28"/>
          <w:szCs w:val="28"/>
          <w:lang w:val="en-US" w:eastAsia="zh-CN"/>
        </w:rPr>
        <w:t>4</w:t>
      </w:r>
      <w:r>
        <w:rPr>
          <w:rFonts w:hint="eastAsia" w:ascii="仿宋" w:hAnsi="仿宋" w:eastAsia="仿宋" w:cs="仿宋"/>
          <w:snapToGrid/>
          <w:kern w:val="2"/>
          <w:sz w:val="28"/>
          <w:szCs w:val="28"/>
          <w:lang w:eastAsia="zh-CN"/>
        </w:rPr>
        <w:t>年</w:t>
      </w:r>
      <w:r>
        <w:rPr>
          <w:rFonts w:hint="eastAsia" w:ascii="仿宋" w:hAnsi="仿宋" w:eastAsia="仿宋" w:cs="仿宋"/>
          <w:snapToGrid/>
          <w:kern w:val="2"/>
          <w:sz w:val="28"/>
          <w:szCs w:val="28"/>
          <w:lang w:val="en-US" w:eastAsia="zh-CN"/>
        </w:rPr>
        <w:t>9</w:t>
      </w:r>
      <w:r>
        <w:rPr>
          <w:rFonts w:hint="eastAsia" w:ascii="仿宋" w:hAnsi="仿宋" w:eastAsia="仿宋" w:cs="仿宋"/>
          <w:snapToGrid/>
          <w:kern w:val="2"/>
          <w:sz w:val="28"/>
          <w:szCs w:val="28"/>
          <w:lang w:eastAsia="zh-CN"/>
        </w:rPr>
        <w:t>～</w:t>
      </w:r>
      <w:r>
        <w:rPr>
          <w:rFonts w:hint="eastAsia" w:ascii="仿宋" w:hAnsi="仿宋" w:eastAsia="仿宋" w:cs="仿宋"/>
          <w:snapToGrid/>
          <w:kern w:val="2"/>
          <w:sz w:val="28"/>
          <w:szCs w:val="28"/>
          <w:lang w:val="en-US" w:eastAsia="zh-CN"/>
        </w:rPr>
        <w:t>10</w:t>
      </w:r>
      <w:r>
        <w:rPr>
          <w:rFonts w:hint="eastAsia" w:ascii="仿宋" w:hAnsi="仿宋" w:eastAsia="仿宋" w:cs="仿宋"/>
          <w:snapToGrid/>
          <w:kern w:val="2"/>
          <w:sz w:val="28"/>
          <w:szCs w:val="28"/>
          <w:lang w:eastAsia="zh-CN"/>
        </w:rPr>
        <w:t>月，整理相关管道直饮水系统</w:t>
      </w:r>
      <w:r>
        <w:rPr>
          <w:rFonts w:hint="eastAsia" w:ascii="仿宋" w:hAnsi="仿宋" w:eastAsia="仿宋" w:cs="仿宋"/>
          <w:snapToGrid/>
          <w:kern w:val="2"/>
          <w:sz w:val="28"/>
          <w:szCs w:val="28"/>
          <w:lang w:val="en-US" w:eastAsia="zh-CN"/>
        </w:rPr>
        <w:t>建设</w:t>
      </w:r>
      <w:r>
        <w:rPr>
          <w:rFonts w:hint="eastAsia" w:ascii="仿宋" w:hAnsi="仿宋" w:eastAsia="仿宋" w:cs="仿宋"/>
          <w:snapToGrid/>
          <w:kern w:val="2"/>
          <w:sz w:val="28"/>
          <w:szCs w:val="28"/>
          <w:lang w:eastAsia="zh-CN"/>
        </w:rPr>
        <w:t>规范、标准文件，初步</w:t>
      </w:r>
      <w:r>
        <w:rPr>
          <w:rFonts w:hint="eastAsia" w:ascii="仿宋" w:hAnsi="仿宋" w:eastAsia="仿宋" w:cs="仿宋"/>
          <w:snapToGrid/>
          <w:kern w:val="2"/>
          <w:sz w:val="28"/>
          <w:szCs w:val="28"/>
          <w:lang w:val="en-US" w:eastAsia="zh-CN"/>
        </w:rPr>
        <w:t>拟定工作方案，编写立项申请</w:t>
      </w:r>
      <w:r>
        <w:rPr>
          <w:rFonts w:hint="eastAsia" w:ascii="仿宋" w:hAnsi="仿宋" w:eastAsia="仿宋" w:cs="仿宋"/>
          <w:snapToGrid/>
          <w:kern w:val="2"/>
          <w:sz w:val="28"/>
          <w:szCs w:val="28"/>
          <w:lang w:eastAsia="zh-CN"/>
        </w:rPr>
        <w:t>。</w:t>
      </w:r>
    </w:p>
    <w:p w14:paraId="200798E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val="en-US" w:eastAsia="zh-CN"/>
        </w:rPr>
        <w:t>2024年10月23日</w:t>
      </w:r>
      <w:r>
        <w:rPr>
          <w:rFonts w:hint="eastAsia" w:ascii="仿宋" w:hAnsi="仿宋" w:eastAsia="仿宋" w:cs="仿宋"/>
          <w:snapToGrid/>
          <w:kern w:val="2"/>
          <w:sz w:val="28"/>
          <w:szCs w:val="28"/>
          <w:lang w:eastAsia="zh-CN"/>
        </w:rPr>
        <w:t>，浙江省产品与工程标准化协会正式对《公共建筑和居民住宅高品质管道直饮水系统建设规范》团体标准进行立项。</w:t>
      </w:r>
    </w:p>
    <w:p w14:paraId="76F4E66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val="en-US" w:eastAsia="zh-CN"/>
        </w:rPr>
        <w:t>2024年11月8日</w:t>
      </w:r>
      <w:r>
        <w:rPr>
          <w:rFonts w:hint="eastAsia" w:ascii="仿宋" w:hAnsi="仿宋" w:eastAsia="仿宋" w:cs="仿宋"/>
          <w:snapToGrid/>
          <w:kern w:val="2"/>
          <w:sz w:val="28"/>
          <w:szCs w:val="28"/>
          <w:lang w:eastAsia="zh-CN"/>
        </w:rPr>
        <w:t>，开展标准制定对接，探讨了标准框架。</w:t>
      </w:r>
    </w:p>
    <w:p w14:paraId="71D8313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val="en-US" w:eastAsia="zh-CN"/>
        </w:rPr>
        <w:t>2024年11</w:t>
      </w:r>
      <w:r>
        <w:rPr>
          <w:rFonts w:hint="eastAsia" w:ascii="仿宋" w:hAnsi="仿宋" w:eastAsia="仿宋" w:cs="仿宋"/>
          <w:snapToGrid/>
          <w:kern w:val="2"/>
          <w:sz w:val="28"/>
          <w:szCs w:val="28"/>
          <w:lang w:eastAsia="zh-CN"/>
        </w:rPr>
        <w:t>～</w:t>
      </w:r>
      <w:r>
        <w:rPr>
          <w:rFonts w:hint="eastAsia" w:ascii="仿宋" w:hAnsi="仿宋" w:eastAsia="仿宋" w:cs="仿宋"/>
          <w:snapToGrid/>
          <w:kern w:val="2"/>
          <w:sz w:val="28"/>
          <w:szCs w:val="28"/>
          <w:lang w:val="en-US" w:eastAsia="zh-CN"/>
        </w:rPr>
        <w:t>12月</w:t>
      </w:r>
      <w:r>
        <w:rPr>
          <w:rFonts w:hint="eastAsia" w:ascii="仿宋" w:hAnsi="仿宋" w:eastAsia="仿宋" w:cs="仿宋"/>
          <w:snapToGrid/>
          <w:kern w:val="2"/>
          <w:sz w:val="28"/>
          <w:szCs w:val="28"/>
          <w:lang w:eastAsia="zh-CN"/>
        </w:rPr>
        <w:t>，</w:t>
      </w:r>
      <w:r>
        <w:rPr>
          <w:rFonts w:hint="eastAsia" w:ascii="仿宋" w:hAnsi="仿宋" w:eastAsia="仿宋" w:cs="仿宋"/>
          <w:snapToGrid/>
          <w:kern w:val="2"/>
          <w:sz w:val="28"/>
          <w:szCs w:val="28"/>
          <w:lang w:val="en-US" w:eastAsia="zh-CN"/>
        </w:rPr>
        <w:t>按照对接内容，根据标准框架进行初稿编制</w:t>
      </w:r>
      <w:r>
        <w:rPr>
          <w:rFonts w:hint="eastAsia" w:ascii="仿宋" w:hAnsi="仿宋" w:eastAsia="仿宋" w:cs="仿宋"/>
          <w:snapToGrid/>
          <w:kern w:val="2"/>
          <w:sz w:val="28"/>
          <w:szCs w:val="28"/>
          <w:lang w:eastAsia="zh-CN"/>
        </w:rPr>
        <w:t>。</w:t>
      </w:r>
    </w:p>
    <w:p w14:paraId="43BFF0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val="en-US" w:eastAsia="zh-CN"/>
        </w:rPr>
        <w:t>2024年12月18日，标准编制小组召开第二次讨论会，对标准初稿进行探讨，提出修改意见，并形成标准讨论会纪要（详见附件1）</w:t>
      </w:r>
      <w:r>
        <w:rPr>
          <w:rFonts w:hint="eastAsia" w:ascii="仿宋" w:hAnsi="仿宋" w:eastAsia="仿宋" w:cs="仿宋"/>
          <w:snapToGrid/>
          <w:kern w:val="2"/>
          <w:sz w:val="28"/>
          <w:szCs w:val="28"/>
          <w:lang w:eastAsia="zh-CN"/>
        </w:rPr>
        <w:t>。</w:t>
      </w:r>
    </w:p>
    <w:p w14:paraId="39256A2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drawing>
          <wp:inline distT="0" distB="0" distL="114300" distR="114300">
            <wp:extent cx="5281295" cy="2141855"/>
            <wp:effectExtent l="0" t="0" r="0" b="0"/>
            <wp:docPr id="3" name="图片 3" descr="37f2bfb2e278312a88387c542c7b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7f2bfb2e278312a88387c542c7b6ac"/>
                    <pic:cNvPicPr>
                      <a:picLocks noChangeAspect="1"/>
                    </pic:cNvPicPr>
                  </pic:nvPicPr>
                  <pic:blipFill>
                    <a:blip r:embed="rId9"/>
                    <a:srcRect t="27452" b="18494"/>
                    <a:stretch>
                      <a:fillRect/>
                    </a:stretch>
                  </pic:blipFill>
                  <pic:spPr>
                    <a:xfrm>
                      <a:off x="0" y="0"/>
                      <a:ext cx="5281295" cy="2141855"/>
                    </a:xfrm>
                    <a:prstGeom prst="rect">
                      <a:avLst/>
                    </a:prstGeom>
                  </pic:spPr>
                </pic:pic>
              </a:graphicData>
            </a:graphic>
          </wp:inline>
        </w:drawing>
      </w:r>
    </w:p>
    <w:p w14:paraId="5B940A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drawing>
          <wp:inline distT="0" distB="0" distL="114300" distR="114300">
            <wp:extent cx="5281295" cy="2610485"/>
            <wp:effectExtent l="0" t="0" r="0" b="0"/>
            <wp:docPr id="2" name="图片 2" descr="0fefacb03b61f8765ea7e9e5c58b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fefacb03b61f8765ea7e9e5c58bb2b"/>
                    <pic:cNvPicPr>
                      <a:picLocks noChangeAspect="1"/>
                    </pic:cNvPicPr>
                  </pic:nvPicPr>
                  <pic:blipFill>
                    <a:blip r:embed="rId10"/>
                    <a:srcRect t="34119"/>
                    <a:stretch>
                      <a:fillRect/>
                    </a:stretch>
                  </pic:blipFill>
                  <pic:spPr>
                    <a:xfrm>
                      <a:off x="0" y="0"/>
                      <a:ext cx="5281295" cy="2610485"/>
                    </a:xfrm>
                    <a:prstGeom prst="rect">
                      <a:avLst/>
                    </a:prstGeom>
                  </pic:spPr>
                </pic:pic>
              </a:graphicData>
            </a:graphic>
          </wp:inline>
        </w:drawing>
      </w:r>
    </w:p>
    <w:p w14:paraId="1F3FCBD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drawing>
          <wp:inline distT="0" distB="0" distL="114300" distR="114300">
            <wp:extent cx="5281295" cy="2818765"/>
            <wp:effectExtent l="0" t="0" r="0" b="0"/>
            <wp:docPr id="5" name="图片 5" descr="e20796dbf38bf8fe23b41d2a1001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796dbf38bf8fe23b41d2a10015a7"/>
                    <pic:cNvPicPr>
                      <a:picLocks noChangeAspect="1"/>
                    </pic:cNvPicPr>
                  </pic:nvPicPr>
                  <pic:blipFill>
                    <a:blip r:embed="rId11"/>
                    <a:srcRect t="28862"/>
                    <a:stretch>
                      <a:fillRect/>
                    </a:stretch>
                  </pic:blipFill>
                  <pic:spPr>
                    <a:xfrm>
                      <a:off x="0" y="0"/>
                      <a:ext cx="5281295" cy="2818765"/>
                    </a:xfrm>
                    <a:prstGeom prst="rect">
                      <a:avLst/>
                    </a:prstGeom>
                  </pic:spPr>
                </pic:pic>
              </a:graphicData>
            </a:graphic>
          </wp:inline>
        </w:drawing>
      </w:r>
    </w:p>
    <w:p w14:paraId="188203B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2024年12月26日，完成标准初稿修改</w:t>
      </w:r>
      <w:r>
        <w:rPr>
          <w:rFonts w:hint="eastAsia" w:ascii="仿宋" w:hAnsi="仿宋" w:eastAsia="仿宋" w:cs="仿宋"/>
          <w:snapToGrid/>
          <w:kern w:val="2"/>
          <w:sz w:val="28"/>
          <w:szCs w:val="28"/>
          <w:lang w:eastAsia="zh-CN"/>
        </w:rPr>
        <w:t>。</w:t>
      </w:r>
    </w:p>
    <w:p w14:paraId="4DBBD63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3.2.2 征求意见</w:t>
      </w:r>
    </w:p>
    <w:p w14:paraId="49D3956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2024年12月31日</w:t>
      </w:r>
      <w:r>
        <w:rPr>
          <w:rFonts w:hint="eastAsia" w:ascii="仿宋" w:hAnsi="仿宋" w:eastAsia="仿宋" w:cs="仿宋"/>
          <w:snapToGrid/>
          <w:kern w:val="2"/>
          <w:sz w:val="28"/>
          <w:szCs w:val="28"/>
          <w:lang w:eastAsia="zh-CN"/>
        </w:rPr>
        <w:t>～</w:t>
      </w:r>
      <w:r>
        <w:rPr>
          <w:rFonts w:hint="eastAsia" w:ascii="仿宋" w:hAnsi="仿宋" w:eastAsia="仿宋" w:cs="仿宋"/>
          <w:snapToGrid/>
          <w:kern w:val="2"/>
          <w:sz w:val="28"/>
          <w:szCs w:val="28"/>
          <w:lang w:val="en-US" w:eastAsia="zh-CN"/>
        </w:rPr>
        <w:t>2025年1月31日进行征求意见。</w:t>
      </w:r>
    </w:p>
    <w:p w14:paraId="78EA9F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p>
    <w:p w14:paraId="23DD0F4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napToGrid/>
          <w:kern w:val="2"/>
          <w:sz w:val="28"/>
          <w:szCs w:val="28"/>
          <w:lang w:eastAsia="zh-CN"/>
        </w:rPr>
      </w:pPr>
      <w:r>
        <w:rPr>
          <w:rFonts w:hint="eastAsia" w:ascii="仿宋" w:hAnsi="仿宋" w:eastAsia="仿宋" w:cs="仿宋"/>
          <w:snapToGrid/>
          <w:kern w:val="2"/>
          <w:sz w:val="28"/>
          <w:szCs w:val="28"/>
          <w:lang w:eastAsia="zh-CN"/>
        </w:rPr>
        <w:t>3.2.3 专家评审</w:t>
      </w:r>
    </w:p>
    <w:p w14:paraId="5A7FC86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p>
    <w:p w14:paraId="000CC3F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eastAsia="zh-CN"/>
        </w:rPr>
      </w:pPr>
    </w:p>
    <w:p w14:paraId="46C22CCA">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default" w:ascii="仿宋" w:hAnsi="仿宋" w:eastAsia="仿宋" w:cs="仿宋"/>
          <w:b/>
          <w:snapToGrid/>
          <w:kern w:val="0"/>
          <w:sz w:val="28"/>
          <w:szCs w:val="28"/>
          <w:lang w:val="en-US" w:eastAsia="zh-CN"/>
        </w:rPr>
      </w:pPr>
      <w:bookmarkStart w:id="18" w:name="bookmark10"/>
      <w:bookmarkEnd w:id="18"/>
      <w:bookmarkStart w:id="19" w:name="_Toc866"/>
      <w:r>
        <w:rPr>
          <w:rFonts w:hint="eastAsia" w:ascii="仿宋" w:hAnsi="仿宋" w:eastAsia="仿宋" w:cs="仿宋"/>
          <w:b/>
          <w:snapToGrid/>
          <w:kern w:val="0"/>
          <w:sz w:val="28"/>
          <w:szCs w:val="28"/>
          <w:lang w:val="en-US" w:eastAsia="zh-CN"/>
        </w:rPr>
        <w:t>四、现有政策文件及标准</w:t>
      </w:r>
      <w:bookmarkEnd w:id="19"/>
    </w:p>
    <w:p w14:paraId="75420D86">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bCs/>
          <w:sz w:val="28"/>
          <w:szCs w:val="28"/>
          <w:lang w:val="en-US" w:eastAsia="zh-CN"/>
        </w:rPr>
      </w:pPr>
      <w:bookmarkStart w:id="20" w:name="bookmark12"/>
      <w:bookmarkEnd w:id="20"/>
      <w:bookmarkStart w:id="21" w:name="_Toc10001"/>
      <w:r>
        <w:rPr>
          <w:rFonts w:hint="eastAsia" w:ascii="仿宋" w:hAnsi="仿宋" w:eastAsia="仿宋" w:cs="仿宋"/>
          <w:b w:val="0"/>
          <w:bCs/>
          <w:sz w:val="28"/>
          <w:szCs w:val="28"/>
          <w:lang w:eastAsia="zh-CN"/>
        </w:rPr>
        <w:t xml:space="preserve">4.1 </w:t>
      </w:r>
      <w:r>
        <w:rPr>
          <w:rFonts w:hint="eastAsia" w:ascii="仿宋" w:hAnsi="仿宋" w:eastAsia="仿宋" w:cs="仿宋"/>
          <w:b w:val="0"/>
          <w:bCs/>
          <w:sz w:val="28"/>
          <w:szCs w:val="28"/>
          <w:lang w:val="en-US" w:eastAsia="zh-CN"/>
        </w:rPr>
        <w:t>相关政策文件</w:t>
      </w:r>
      <w:bookmarkEnd w:id="21"/>
    </w:p>
    <w:p w14:paraId="736380A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2022年1月19日，住房和城乡建设部办公厅、国家发展改革委办公厅发布《关于加强公共供水管网漏损控制的通知》，要求结合城市更新、老旧小区改造、二次供水设施改造和一户一表改造等，对超过使用年限、材质落后或受损失修的供水管网进行更新改造，确保建设质量。</w:t>
      </w:r>
    </w:p>
    <w:p w14:paraId="551A06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2022年7月7日，住房和城乡建设部、国家发展改革委联合印发“十四五”全国城市基础设施建设规划，提出加强城市供水安全保障。推进全流程供水设施升级改造。加快对水厂、管网和加压调蓄设施的更新改造，保障用户龙头水水质安全。有条件的地区要设置水量、水质、水压等指标在线监测，加强供水安全风险管理。</w:t>
      </w:r>
    </w:p>
    <w:p w14:paraId="22A4C1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3）2022年9月13日，住房和城乡建设部办公厅、国家发展改革委办公厅、国家疾病预防控制局综合司印发《关于加强城市供水安全保障工作的通知》（以下简称《通知》）。《通知》提出，2023年4月1日，城市供水全面执行《生活饮用水卫生标准》（GB 5749-2022）；到2025年，建立较为完善的城市供水全流程保障体系和基本健全的城市供水应急体系。</w:t>
      </w:r>
    </w:p>
    <w:p w14:paraId="38A1EB1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4）2022年10月16日，在二十大报告中，习近平总书记着重指出，必须坚持在发展中保障和改善民生，鼓励共同奋斗创造美好生活，不断实现人民对美好生活的向往。更优质的饮用水符合人民群众对美好生活的向往，也符合全面实现社会主义现代化的要求。</w:t>
      </w:r>
    </w:p>
    <w:p w14:paraId="6864CA0D">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bCs/>
          <w:sz w:val="28"/>
          <w:szCs w:val="28"/>
          <w:lang w:val="en-US" w:eastAsia="zh-CN"/>
        </w:rPr>
      </w:pPr>
      <w:bookmarkStart w:id="22" w:name="bookmark14"/>
      <w:bookmarkEnd w:id="22"/>
      <w:bookmarkStart w:id="23" w:name="_Toc30129"/>
      <w:r>
        <w:rPr>
          <w:rFonts w:hint="eastAsia" w:ascii="仿宋" w:hAnsi="仿宋" w:eastAsia="仿宋" w:cs="仿宋"/>
          <w:b w:val="0"/>
          <w:bCs/>
          <w:sz w:val="28"/>
          <w:szCs w:val="28"/>
          <w:lang w:eastAsia="zh-CN"/>
        </w:rPr>
        <w:t xml:space="preserve">4.2 </w:t>
      </w:r>
      <w:r>
        <w:rPr>
          <w:rFonts w:hint="eastAsia" w:ascii="仿宋" w:hAnsi="仿宋" w:eastAsia="仿宋" w:cs="仿宋"/>
          <w:b w:val="0"/>
          <w:bCs/>
          <w:sz w:val="28"/>
          <w:szCs w:val="28"/>
          <w:lang w:val="en-US" w:eastAsia="zh-CN"/>
        </w:rPr>
        <w:t>现有标准情况</w:t>
      </w:r>
      <w:bookmarkEnd w:id="23"/>
    </w:p>
    <w:p w14:paraId="76476F6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（1）《生活饮用水卫生标准》GB 5749-2022</w:t>
      </w:r>
    </w:p>
    <w:p w14:paraId="7804C2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2022年3月15日发布了国家标准《生活饮用水卫生标准》GB 5749-2022，该标准规定了生活饮用水水质要求、生活饮用水水源水质要求、集中式供水单位卫生要求、二次供水卫生要求、涉及饮用水卫生安全的产品卫生要求、水质检验方法。</w:t>
      </w:r>
    </w:p>
    <w:p w14:paraId="27BC645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w:t>
      </w:r>
      <w:r>
        <w:rPr>
          <w:rFonts w:hint="eastAsia" w:ascii="仿宋" w:hAnsi="仿宋" w:eastAsia="仿宋" w:cs="仿宋"/>
          <w:snapToGrid/>
          <w:kern w:val="2"/>
          <w:sz w:val="28"/>
          <w:szCs w:val="28"/>
          <w:lang w:eastAsia="zh-CN"/>
        </w:rPr>
        <w:t>饮用净水水质标准</w:t>
      </w:r>
      <w:r>
        <w:rPr>
          <w:rFonts w:hint="eastAsia" w:ascii="仿宋" w:hAnsi="仿宋" w:eastAsia="仿宋" w:cs="仿宋"/>
          <w:snapToGrid/>
          <w:kern w:val="2"/>
          <w:sz w:val="28"/>
          <w:szCs w:val="28"/>
          <w:lang w:val="en-US" w:eastAsia="zh-CN"/>
        </w:rPr>
        <w:t>》CJ 94-2005</w:t>
      </w:r>
    </w:p>
    <w:p w14:paraId="6E5DD15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2005年5月16日发布了行业标准《</w:t>
      </w:r>
      <w:r>
        <w:rPr>
          <w:rFonts w:hint="eastAsia" w:ascii="仿宋" w:hAnsi="仿宋" w:eastAsia="仿宋" w:cs="仿宋"/>
          <w:snapToGrid/>
          <w:kern w:val="2"/>
          <w:sz w:val="28"/>
          <w:szCs w:val="28"/>
          <w:lang w:eastAsia="zh-CN"/>
        </w:rPr>
        <w:t>饮用净水水质标准</w:t>
      </w:r>
      <w:r>
        <w:rPr>
          <w:rFonts w:hint="eastAsia" w:ascii="仿宋" w:hAnsi="仿宋" w:eastAsia="仿宋" w:cs="仿宋"/>
          <w:snapToGrid/>
          <w:kern w:val="2"/>
          <w:sz w:val="28"/>
          <w:szCs w:val="28"/>
          <w:lang w:val="en-US" w:eastAsia="zh-CN"/>
        </w:rPr>
        <w:t>》CJ 94-2005，该标准规定了</w:t>
      </w:r>
      <w:r>
        <w:rPr>
          <w:rFonts w:hint="eastAsia" w:ascii="仿宋" w:hAnsi="仿宋" w:eastAsia="仿宋" w:cs="仿宋"/>
          <w:snapToGrid/>
          <w:kern w:val="2"/>
          <w:sz w:val="28"/>
          <w:szCs w:val="28"/>
          <w:lang w:eastAsia="zh-CN"/>
        </w:rPr>
        <w:t>饮用净水</w:t>
      </w:r>
      <w:r>
        <w:rPr>
          <w:rFonts w:hint="eastAsia" w:ascii="仿宋" w:hAnsi="仿宋" w:eastAsia="仿宋" w:cs="仿宋"/>
          <w:snapToGrid/>
          <w:kern w:val="2"/>
          <w:sz w:val="28"/>
          <w:szCs w:val="28"/>
          <w:lang w:val="en-US" w:eastAsia="zh-CN"/>
        </w:rPr>
        <w:t>的水质标准及水质检测方法。</w:t>
      </w:r>
    </w:p>
    <w:p w14:paraId="428E6E6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（3）《建筑与小区管道直饮水系统技术规程》CJJ/T 110-2017</w:t>
      </w:r>
    </w:p>
    <w:p w14:paraId="45C1162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lang w:val="en-US" w:eastAsia="zh-CN"/>
        </w:rPr>
      </w:pPr>
      <w:r>
        <w:rPr>
          <w:rFonts w:hint="eastAsia" w:ascii="仿宋" w:hAnsi="仿宋" w:eastAsia="仿宋" w:cs="仿宋"/>
          <w:snapToGrid/>
          <w:kern w:val="2"/>
          <w:sz w:val="28"/>
          <w:szCs w:val="28"/>
          <w:lang w:val="en-US" w:eastAsia="zh-CN"/>
        </w:rPr>
        <w:t>2017年5月15日发布了行业标准《建筑与小区管道直饮水系统技术规程》CJJ/T 110-2017，该规程适用于民用建筑与小区管道直饮水系统设计、施工、验收、运行维护和管理。主要包括水质、水量和水压，水处理工艺，系统设计，系统计算与设备选择，净水机房，水质检验，控制系统，施工安装，工程验收，运行维护和管理的相关规定。</w:t>
      </w:r>
    </w:p>
    <w:p w14:paraId="046A14C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lang w:val="en-US" w:eastAsia="zh-CN"/>
        </w:rPr>
      </w:pPr>
      <w:r>
        <w:rPr>
          <w:rFonts w:hint="eastAsia" w:ascii="仿宋" w:hAnsi="仿宋" w:eastAsia="仿宋" w:cs="仿宋"/>
          <w:snapToGrid/>
          <w:kern w:val="2"/>
          <w:sz w:val="28"/>
          <w:szCs w:val="28"/>
          <w:lang w:val="en-US" w:eastAsia="zh-CN"/>
        </w:rPr>
        <w:t>由上述相关政策与标准可知，现有的涉及</w:t>
      </w:r>
      <w:r>
        <w:rPr>
          <w:rFonts w:hint="eastAsia" w:ascii="仿宋" w:hAnsi="仿宋" w:eastAsia="仿宋" w:cs="仿宋"/>
          <w:snapToGrid/>
          <w:kern w:val="2"/>
          <w:sz w:val="28"/>
          <w:szCs w:val="28"/>
          <w:lang w:eastAsia="zh-CN"/>
        </w:rPr>
        <w:t>管道直饮水系统建设</w:t>
      </w:r>
      <w:r>
        <w:rPr>
          <w:rFonts w:hint="eastAsia" w:ascii="仿宋" w:hAnsi="仿宋" w:eastAsia="仿宋" w:cs="仿宋"/>
          <w:snapToGrid/>
          <w:kern w:val="2"/>
          <w:sz w:val="28"/>
          <w:szCs w:val="28"/>
          <w:lang w:val="en-US" w:eastAsia="zh-CN"/>
        </w:rPr>
        <w:t>的标准、规范，不能完全满足各地不同情况的实际情况需要，无法在技术标准上支持解决近期高品质管道直饮水系统建设实践中发现的共性问题。</w:t>
      </w:r>
    </w:p>
    <w:p w14:paraId="255937BC">
      <w:pPr>
        <w:pStyle w:val="4"/>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24" w:name="bookmark16"/>
      <w:bookmarkEnd w:id="24"/>
      <w:bookmarkStart w:id="25" w:name="_Toc18681"/>
      <w:r>
        <w:rPr>
          <w:rFonts w:hint="eastAsia" w:ascii="仿宋" w:hAnsi="仿宋" w:eastAsia="仿宋" w:cs="仿宋"/>
          <w:b/>
          <w:snapToGrid/>
          <w:kern w:val="0"/>
          <w:sz w:val="28"/>
          <w:szCs w:val="28"/>
          <w:lang w:val="en-US" w:eastAsia="zh-CN"/>
        </w:rPr>
        <w:t>五、标准编制原则、主要内容及确定依据</w:t>
      </w:r>
      <w:bookmarkEnd w:id="25"/>
    </w:p>
    <w:p w14:paraId="6D800D1C">
      <w:pPr>
        <w:pStyle w:val="5"/>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26" w:name="bookmark18"/>
      <w:bookmarkEnd w:id="26"/>
      <w:bookmarkStart w:id="27" w:name="_Toc3353"/>
      <w:r>
        <w:rPr>
          <w:rFonts w:hint="eastAsia" w:ascii="仿宋" w:hAnsi="仿宋" w:eastAsia="仿宋" w:cs="仿宋"/>
          <w:b w:val="0"/>
          <w:bCs/>
          <w:sz w:val="28"/>
          <w:szCs w:val="28"/>
          <w:lang w:eastAsia="zh-CN"/>
        </w:rPr>
        <w:t>5.1 编制原则</w:t>
      </w:r>
      <w:bookmarkEnd w:id="27"/>
    </w:p>
    <w:p w14:paraId="5E10F4D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安全性原则。本标准的起草是基于现有国行标准的基础上，进一步明确或提升相关水质及管道系统的标准，将饮用水安全放在首位，确保从水源选择、水处理工艺、管道材质到终端用户的整个供水过程均能符合安全饮用水的标准，能够持续、稳定地供应高品质饮用水，保障公众健康。</w:t>
      </w:r>
    </w:p>
    <w:p w14:paraId="1D2ACEA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适用性原则。本标准在编制前和编制过程中，进行了大量的调研和技术分析，查阅了大量相关文献资料，充分调研了相关设备、水处理工艺，以及技术规范。强化可操作性、规范性，细化工艺流程，明确技术规范，突出技术操作，量化技术指标，从而保证标准的适用性。</w:t>
      </w:r>
    </w:p>
    <w:p w14:paraId="3A1A5ED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协调性原则。本标准与现行法律法规规章、强制性国家标准、其他国际标准、国家标准、行业标准、相应地方标准没有冲突，与相关法律法规保持协调。</w:t>
      </w:r>
    </w:p>
    <w:p w14:paraId="02F2C3EA">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28" w:name="bookmark20"/>
      <w:bookmarkEnd w:id="28"/>
      <w:bookmarkStart w:id="29" w:name="_Toc21634"/>
      <w:r>
        <w:rPr>
          <w:rFonts w:hint="eastAsia" w:ascii="仿宋" w:hAnsi="仿宋" w:eastAsia="仿宋" w:cs="仿宋"/>
          <w:b w:val="0"/>
          <w:bCs/>
          <w:sz w:val="28"/>
          <w:szCs w:val="28"/>
          <w:lang w:eastAsia="zh-CN"/>
        </w:rPr>
        <w:t>5.2 主要内容</w:t>
      </w:r>
      <w:bookmarkEnd w:id="29"/>
    </w:p>
    <w:p w14:paraId="1B119DB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了范围，规范性引用文件，术语和定义，水质、水量和水压，水处理工艺，管道及阀门，设备，净水机房，水质检测，智慧化监控系统，施工安装、调试与验收，运行维护与管理等内容。对相关内容做如下简述。</w:t>
      </w:r>
    </w:p>
    <w:p w14:paraId="704EBE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（1）范围</w:t>
      </w:r>
    </w:p>
    <w:p w14:paraId="28E560F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适用范围是标准编制中需要确定的一项重要内容，是标准能否顺利实施的必要条件。规定了本标准的适用范围为“公共建筑和居民住宅高品质管道直饮水系统的建设”。</w:t>
      </w:r>
    </w:p>
    <w:p w14:paraId="3FAAF7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color w:val="000000"/>
          <w:kern w:val="2"/>
          <w:sz w:val="28"/>
          <w:szCs w:val="28"/>
          <w:lang w:val="en-US" w:eastAsia="zh-CN" w:bidi="ar-SA"/>
        </w:rPr>
        <w:t>（2）</w:t>
      </w:r>
      <w:r>
        <w:rPr>
          <w:rFonts w:hint="eastAsia" w:ascii="仿宋" w:hAnsi="仿宋" w:eastAsia="仿宋" w:cs="仿宋"/>
          <w:snapToGrid/>
          <w:kern w:val="2"/>
          <w:sz w:val="28"/>
          <w:szCs w:val="28"/>
          <w:lang w:val="en-US" w:eastAsia="zh-CN"/>
        </w:rPr>
        <w:t>规范性引用文件</w:t>
      </w:r>
    </w:p>
    <w:p w14:paraId="7589995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详见本文件7.3条规范性引用文件情况。</w:t>
      </w:r>
    </w:p>
    <w:p w14:paraId="43B01EB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（3）术语和定义</w:t>
      </w:r>
    </w:p>
    <w:p w14:paraId="1555335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定义了13个术语和定义，包括高品质管道直饮水系统、原水、瞬时高峰用水量、循环流量、分布式净水站、回水站、集中式配水站、深度净化处理、常规净化处理、常用流量、最小流量、净水机房、产品水等。</w:t>
      </w:r>
    </w:p>
    <w:p w14:paraId="377DB7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（4）水质、水量和水压</w:t>
      </w:r>
    </w:p>
    <w:p w14:paraId="3B7B173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包括原水及用户端水质要求；最高日直饮水量、定时循环时循环流量、瞬时高峰用水量的计算方法，用户端直饮水专用水嘴定额流量的要求；用户端直饮水专用水嘴数量要求。</w:t>
      </w:r>
    </w:p>
    <w:p w14:paraId="6B25186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（5）水处理工艺</w:t>
      </w:r>
    </w:p>
    <w:p w14:paraId="0393BB1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包括水处理工艺选择办法，水处理工艺流程，深度净化技术要求及消毒处理技术要求。</w:t>
      </w:r>
    </w:p>
    <w:p w14:paraId="008C5A7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（6）管道和阀门</w:t>
      </w:r>
    </w:p>
    <w:p w14:paraId="7336E0B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包括管道和阀门的一般要求，管道的设计、材料选择等要求，阀门的设置及材料等要求。</w:t>
      </w:r>
    </w:p>
    <w:p w14:paraId="449CEF9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（7）设备</w:t>
      </w:r>
    </w:p>
    <w:p w14:paraId="0192EA8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包括一般规定，水泵性能要求、流量及扬程规定，水箱材质、容量等要求，净水设备产水量计算、产水率、过滤器及膜处理设备的要求，消毒设备的选择及不同消毒设备的要求，水表质量及选用要求。</w:t>
      </w:r>
    </w:p>
    <w:p w14:paraId="6702830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（8）净水机房</w:t>
      </w:r>
    </w:p>
    <w:p w14:paraId="0614481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包括净水机房位置要求，平面布局，墙面地面材料要求，内部设施装置设置要求等。</w:t>
      </w:r>
    </w:p>
    <w:p w14:paraId="4FD012B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（9）水质检测</w:t>
      </w:r>
    </w:p>
    <w:p w14:paraId="482D549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包括水质检测的项目及频率，水质检测采集点设置的位置，需进行全部项目检测的特殊情况等。</w:t>
      </w:r>
    </w:p>
    <w:p w14:paraId="2240A07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（10）智慧化监控系统</w:t>
      </w:r>
    </w:p>
    <w:p w14:paraId="73DF0D0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包括智慧化监控系统应具备的功能及配置要求。</w:t>
      </w:r>
    </w:p>
    <w:p w14:paraId="2DF9F0D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（11）施工安装、调试与验收</w:t>
      </w:r>
    </w:p>
    <w:p w14:paraId="3951071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包括管道施工、设备安装，管网调试、设备调试、整体系统调试，以及验收的相关要求。</w:t>
      </w:r>
    </w:p>
    <w:p w14:paraId="608B49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（12）运行维护管理</w:t>
      </w:r>
    </w:p>
    <w:p w14:paraId="536EC9C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包括运行维护管理单位及人员的相关要求以及对系统管网、设备、水质的运维管理要求。</w:t>
      </w:r>
    </w:p>
    <w:p w14:paraId="4B171C7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（13）应急处置</w:t>
      </w:r>
    </w:p>
    <w:p w14:paraId="523560D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lang w:val="en-US" w:eastAsia="zh-CN"/>
        </w:rPr>
      </w:pPr>
      <w:r>
        <w:rPr>
          <w:rFonts w:hint="eastAsia" w:ascii="仿宋" w:hAnsi="仿宋" w:eastAsia="仿宋" w:cs="仿宋"/>
          <w:snapToGrid/>
          <w:kern w:val="2"/>
          <w:sz w:val="28"/>
          <w:szCs w:val="28"/>
          <w:lang w:val="en-US" w:eastAsia="zh-CN"/>
        </w:rPr>
        <w:t>包括应急防范工作、应急小组及预案启动等管理要求。</w:t>
      </w:r>
    </w:p>
    <w:p w14:paraId="51978922">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30" w:name="bookmark22"/>
      <w:bookmarkEnd w:id="30"/>
      <w:bookmarkStart w:id="31" w:name="_Toc6620"/>
      <w:r>
        <w:rPr>
          <w:rFonts w:hint="eastAsia" w:ascii="仿宋" w:hAnsi="仿宋" w:eastAsia="仿宋" w:cs="仿宋"/>
          <w:b/>
          <w:snapToGrid/>
          <w:kern w:val="0"/>
          <w:sz w:val="28"/>
          <w:szCs w:val="28"/>
          <w:lang w:val="en-US" w:eastAsia="zh-CN"/>
        </w:rPr>
        <w:t>六、标准先进性体现</w:t>
      </w:r>
      <w:bookmarkEnd w:id="31"/>
    </w:p>
    <w:p w14:paraId="0D6046C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本标准的先进性主要体现在以下几方面：</w:t>
      </w:r>
    </w:p>
    <w:p w14:paraId="7DC6A9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color w:val="000000"/>
          <w:kern w:val="2"/>
          <w:sz w:val="28"/>
          <w:szCs w:val="28"/>
          <w:lang w:val="en-US" w:eastAsia="zh-CN" w:bidi="ar-SA"/>
        </w:rPr>
        <w:t>（1）技术前沿性</w:t>
      </w:r>
      <w:r>
        <w:rPr>
          <w:rFonts w:hint="eastAsia" w:ascii="仿宋" w:hAnsi="仿宋" w:eastAsia="仿宋" w:cs="仿宋"/>
          <w:snapToGrid/>
          <w:kern w:val="2"/>
          <w:sz w:val="28"/>
          <w:szCs w:val="28"/>
          <w:lang w:val="en-US" w:eastAsia="zh-CN"/>
        </w:rPr>
        <w:t>。本标准注意引入和采用当前水处理工艺中较为前沿的技术和理念，如精密过滤、离子交换、微滤、超滤、KDF处理等，以确保公共建筑和居民住宅高品质管道直饮水系统在技术层面保持领先地位。</w:t>
      </w:r>
    </w:p>
    <w:p w14:paraId="446EB0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bookmarkStart w:id="32" w:name="_Toc27782"/>
      <w:r>
        <w:rPr>
          <w:rFonts w:hint="eastAsia" w:ascii="仿宋" w:hAnsi="仿宋" w:eastAsia="仿宋" w:cs="仿宋"/>
          <w:snapToGrid/>
          <w:kern w:val="2"/>
          <w:sz w:val="28"/>
          <w:szCs w:val="28"/>
          <w:lang w:val="en-US" w:eastAsia="zh-CN"/>
        </w:rPr>
        <w:t>（2）</w:t>
      </w:r>
      <w:bookmarkEnd w:id="32"/>
      <w:r>
        <w:rPr>
          <w:rFonts w:hint="eastAsia" w:ascii="仿宋" w:hAnsi="仿宋" w:eastAsia="仿宋" w:cs="仿宋"/>
          <w:snapToGrid/>
          <w:kern w:val="2"/>
          <w:sz w:val="28"/>
          <w:szCs w:val="28"/>
          <w:lang w:val="en-US" w:eastAsia="zh-CN"/>
        </w:rPr>
        <w:t>管理先进性。通过引入智慧化监控系统，如自动化检测、智能控制等，提高公共建筑和居民住宅高品质管道直饮水系统的运行效率，降低管理成本。</w:t>
      </w:r>
    </w:p>
    <w:p w14:paraId="5C32C88C">
      <w:pPr>
        <w:pStyle w:val="4"/>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33" w:name="bookmark24"/>
      <w:bookmarkEnd w:id="33"/>
      <w:bookmarkStart w:id="34" w:name="_Toc12862"/>
      <w:r>
        <w:rPr>
          <w:rFonts w:hint="eastAsia" w:ascii="仿宋" w:hAnsi="仿宋" w:eastAsia="仿宋" w:cs="仿宋"/>
          <w:b/>
          <w:snapToGrid/>
          <w:kern w:val="0"/>
          <w:sz w:val="28"/>
          <w:szCs w:val="28"/>
          <w:lang w:val="en-US" w:eastAsia="zh-CN"/>
        </w:rPr>
        <w:t>七、与现行相关法律、法规、规章及相关标准的协调性</w:t>
      </w:r>
      <w:bookmarkEnd w:id="34"/>
    </w:p>
    <w:p w14:paraId="029DE235">
      <w:pPr>
        <w:pStyle w:val="5"/>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35" w:name="bookmark26"/>
      <w:bookmarkEnd w:id="35"/>
      <w:bookmarkStart w:id="36" w:name="_Toc15926"/>
      <w:r>
        <w:rPr>
          <w:rFonts w:hint="eastAsia" w:ascii="仿宋" w:hAnsi="仿宋" w:eastAsia="仿宋" w:cs="仿宋"/>
          <w:b w:val="0"/>
          <w:bCs/>
          <w:sz w:val="28"/>
          <w:szCs w:val="28"/>
          <w:lang w:eastAsia="zh-CN"/>
        </w:rPr>
        <w:t>7.1 目前已有的标准情况</w:t>
      </w:r>
      <w:bookmarkEnd w:id="36"/>
    </w:p>
    <w:p w14:paraId="3CB6B6D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国家标准《生活饮用水卫生标准》GB 5749-2022、行业标准《建筑与小区管道直饮水系统技术规程》CJJ/T 110-2017、行业标准《</w:t>
      </w:r>
      <w:r>
        <w:rPr>
          <w:rFonts w:hint="eastAsia" w:ascii="仿宋" w:hAnsi="仿宋" w:eastAsia="仿宋" w:cs="仿宋"/>
          <w:snapToGrid/>
          <w:kern w:val="2"/>
          <w:sz w:val="28"/>
          <w:szCs w:val="28"/>
          <w:lang w:eastAsia="zh-CN"/>
        </w:rPr>
        <w:t>饮用净水水质标准</w:t>
      </w:r>
      <w:r>
        <w:rPr>
          <w:rFonts w:hint="eastAsia" w:ascii="仿宋" w:hAnsi="仿宋" w:eastAsia="仿宋" w:cs="仿宋"/>
          <w:snapToGrid/>
          <w:kern w:val="2"/>
          <w:sz w:val="28"/>
          <w:szCs w:val="28"/>
          <w:lang w:val="en-US" w:eastAsia="zh-CN"/>
        </w:rPr>
        <w:t>》CJ 94-2005，但尚未有针对</w:t>
      </w:r>
      <w:r>
        <w:rPr>
          <w:rFonts w:hint="eastAsia" w:ascii="仿宋" w:hAnsi="仿宋" w:eastAsia="仿宋" w:cs="仿宋"/>
          <w:snapToGrid/>
          <w:kern w:val="2"/>
          <w:sz w:val="28"/>
          <w:szCs w:val="28"/>
          <w:lang w:eastAsia="zh-CN"/>
        </w:rPr>
        <w:t>公共建筑和居民住宅高品质管道直饮水系统建设</w:t>
      </w:r>
      <w:r>
        <w:rPr>
          <w:rFonts w:hint="eastAsia" w:ascii="仿宋" w:hAnsi="仿宋" w:eastAsia="仿宋" w:cs="仿宋"/>
          <w:snapToGrid/>
          <w:kern w:val="2"/>
          <w:sz w:val="28"/>
          <w:szCs w:val="28"/>
          <w:lang w:val="en-US" w:eastAsia="zh-CN"/>
        </w:rPr>
        <w:t>的相关标准。</w:t>
      </w:r>
    </w:p>
    <w:p w14:paraId="77966F44">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37" w:name="bookmark28"/>
      <w:bookmarkEnd w:id="37"/>
      <w:bookmarkStart w:id="38" w:name="_Toc12199"/>
      <w:r>
        <w:rPr>
          <w:rFonts w:hint="eastAsia" w:ascii="仿宋" w:hAnsi="仿宋" w:eastAsia="仿宋" w:cs="仿宋"/>
          <w:b w:val="0"/>
          <w:bCs/>
          <w:sz w:val="28"/>
          <w:szCs w:val="28"/>
          <w:lang w:eastAsia="zh-CN"/>
        </w:rPr>
        <w:t>7.2 与相关法律、法规、规章、强制性标准相冲突情况</w:t>
      </w:r>
      <w:bookmarkEnd w:id="38"/>
    </w:p>
    <w:p w14:paraId="2D988AC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本标准与法律法规和规章、强制性国家标准、其他国际标准、国家标准、行业标准、相应地方标准没有冲突，与相关法律法规保持协调。</w:t>
      </w:r>
    </w:p>
    <w:p w14:paraId="5448719A">
      <w:pPr>
        <w:pStyle w:val="5"/>
        <w:keepNext/>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bCs/>
          <w:sz w:val="28"/>
          <w:szCs w:val="28"/>
          <w:lang w:eastAsia="zh-CN"/>
        </w:rPr>
      </w:pPr>
      <w:bookmarkStart w:id="39" w:name="bookmark30"/>
      <w:bookmarkEnd w:id="39"/>
      <w:bookmarkStart w:id="40" w:name="_Toc7485"/>
      <w:r>
        <w:rPr>
          <w:rFonts w:hint="eastAsia" w:ascii="仿宋" w:hAnsi="仿宋" w:eastAsia="仿宋" w:cs="仿宋"/>
          <w:b w:val="0"/>
          <w:bCs/>
          <w:sz w:val="28"/>
          <w:szCs w:val="28"/>
          <w:lang w:eastAsia="zh-CN"/>
        </w:rPr>
        <w:t>7.3 规范性引用文件情况</w:t>
      </w:r>
      <w:bookmarkEnd w:id="40"/>
    </w:p>
    <w:p w14:paraId="08ABD16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0FD452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778（所有部分）  饮用冷水水表和热水水表</w:t>
      </w:r>
    </w:p>
    <w:p w14:paraId="21BFCA2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3096  声环境质量标准</w:t>
      </w:r>
    </w:p>
    <w:p w14:paraId="7C268F0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3838  地表水环境质量标准</w:t>
      </w:r>
    </w:p>
    <w:p w14:paraId="6973C7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4208  外壳防护等级（IP代码）</w:t>
      </w:r>
    </w:p>
    <w:p w14:paraId="6B060AD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4806.1  食品安全国家标准  食品接触材料及制品通用安全要求</w:t>
      </w:r>
    </w:p>
    <w:p w14:paraId="51E7910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4806.7  食品安全国家标准  食品接触用塑料材料及制品</w:t>
      </w:r>
    </w:p>
    <w:p w14:paraId="1A4D0F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5657  离心泵技术条件（Ⅲ类）</w:t>
      </w:r>
    </w:p>
    <w:p w14:paraId="05E9EF1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5749  生活饮用水卫生标准</w:t>
      </w:r>
    </w:p>
    <w:p w14:paraId="50ED976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13006  离心泵、混流泵和轴流泵  汽蚀余量</w:t>
      </w:r>
    </w:p>
    <w:p w14:paraId="2F72DD9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13007  离心泵  效率</w:t>
      </w:r>
    </w:p>
    <w:p w14:paraId="7BA4458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14848  地下水质量标准</w:t>
      </w:r>
    </w:p>
    <w:p w14:paraId="5EB43D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17218  饮用水化学处理剂卫生安全性评价</w:t>
      </w:r>
    </w:p>
    <w:p w14:paraId="2C47167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17219  生活饮用水输配水设备及防护材料的安全性评价标准</w:t>
      </w:r>
    </w:p>
    <w:p w14:paraId="328ED0B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19837  城镇给排水紫外线消毒设备</w:t>
      </w:r>
    </w:p>
    <w:p w14:paraId="011851F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21873  橡胶密封件  给、排水管及污水管道用接口密封圈  材料规范</w:t>
      </w:r>
    </w:p>
    <w:p w14:paraId="574EC7E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25920  饮用冷水水表塑料表壳及承压件技术规范</w:t>
      </w:r>
    </w:p>
    <w:p w14:paraId="5642A0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28035  软件系统验收规范</w:t>
      </w:r>
    </w:p>
    <w:p w14:paraId="322775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50013  室外给水设计标准</w:t>
      </w:r>
    </w:p>
    <w:p w14:paraId="5F75F9A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50015  建筑给水排水设计标准</w:t>
      </w:r>
    </w:p>
    <w:p w14:paraId="15C0B25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50118  民用建筑隔声设计规范</w:t>
      </w:r>
    </w:p>
    <w:p w14:paraId="3ACCE7C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50141  给水排水构筑物工程施工及验收规范</w:t>
      </w:r>
    </w:p>
    <w:p w14:paraId="065C860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50242  建筑给水排水及采暖工程施工质量验收规范</w:t>
      </w:r>
    </w:p>
    <w:p w14:paraId="724552E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GB/T 50265  泵站设计标准</w:t>
      </w:r>
    </w:p>
    <w:p w14:paraId="01A93B6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50275  风机、压缩机、泵安装工程施工及验收规范</w:t>
      </w:r>
    </w:p>
    <w:p w14:paraId="5B9F8D5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50268  给水排水管道工程施工及验收规范</w:t>
      </w:r>
    </w:p>
    <w:p w14:paraId="5F8147F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50300  建筑工程施工质量验收统一标准</w:t>
      </w:r>
    </w:p>
    <w:p w14:paraId="71A057D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50332  给水排水工程管道结构设计规范</w:t>
      </w:r>
    </w:p>
    <w:p w14:paraId="00B105D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50348  安全防范工程技术标准</w:t>
      </w:r>
    </w:p>
    <w:p w14:paraId="121F6E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50838  城市综合管廊工程技术规范</w:t>
      </w:r>
    </w:p>
    <w:p w14:paraId="592289D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55020  建筑给水排水与节水通用规范</w:t>
      </w:r>
    </w:p>
    <w:p w14:paraId="6AB6001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GB 55026  城市给水工程项目规范</w:t>
      </w:r>
    </w:p>
    <w:p w14:paraId="49ABBB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CJ/T 43  水处理用滤料</w:t>
      </w:r>
    </w:p>
    <w:p w14:paraId="77BAD41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 94  饮用净水水质标准</w:t>
      </w:r>
    </w:p>
    <w:p w14:paraId="2E6E531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CJ/T 169  微滤水处理设备</w:t>
      </w:r>
    </w:p>
    <w:p w14:paraId="23CD3CE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CJ/T 170  超滤水处理设备</w:t>
      </w:r>
    </w:p>
    <w:p w14:paraId="153293A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CJ/T 188  户用计量仪表数据传输技术条件</w:t>
      </w:r>
    </w:p>
    <w:p w14:paraId="23E0F65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CJ/T 345  生活饮用水净水厂用煤质活性炭</w:t>
      </w:r>
    </w:p>
    <w:p w14:paraId="6C5A266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CJJ/T 110  建筑与小区管道直饮水系统技术规程</w:t>
      </w:r>
    </w:p>
    <w:p w14:paraId="38F377D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CJJ/T 154  建筑给水金属管道工程技术标准</w:t>
      </w:r>
    </w:p>
    <w:p w14:paraId="6E66730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HY/T 113  纳滤膜及其元件</w:t>
      </w:r>
    </w:p>
    <w:p w14:paraId="688B52C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JB/T 12820  浅层滤料水过滤器</w:t>
      </w:r>
    </w:p>
    <w:p w14:paraId="5A7536B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JG/T 162  民用建筑远传抄表系统</w:t>
      </w:r>
    </w:p>
    <w:p w14:paraId="3212386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GA 308  安全防范系统验收规则</w:t>
      </w:r>
    </w:p>
    <w:p w14:paraId="4AAD7B08">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41" w:name="_Toc18672"/>
      <w:r>
        <w:rPr>
          <w:rFonts w:hint="eastAsia" w:ascii="仿宋" w:hAnsi="仿宋" w:eastAsia="仿宋" w:cs="仿宋"/>
          <w:b/>
          <w:snapToGrid/>
          <w:kern w:val="0"/>
          <w:sz w:val="28"/>
          <w:szCs w:val="28"/>
          <w:lang w:val="en-US" w:eastAsia="zh-CN"/>
        </w:rPr>
        <w:t>八、社会效益</w:t>
      </w:r>
      <w:bookmarkEnd w:id="41"/>
    </w:p>
    <w:p w14:paraId="105A3FF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本标准规定了公共建筑和居民住宅管道直饮水系统在设计、施工、验收方面的具体要求，从技术标准层面上为我省政府主管部门及有关单位对管道直饮水供水系统的规范化管理和建设提供依据。</w:t>
      </w:r>
    </w:p>
    <w:p w14:paraId="26E7B3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一方面本标准的制定将有利于引导和规范我省管道直饮水行业，有利于相关设计施工单位和供水单位的自身管理及相关行政主管部门的监督检查，促进我省管道直饮水行业的健康发展。另一方面，本标准的制定实施、经实践应用以及持续改进，为后续主管部门行业标准的制定奠定基础，提供参考依据，进而引领行业进步与发展。</w:t>
      </w:r>
    </w:p>
    <w:p w14:paraId="31971E4A">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42" w:name="bookmark34"/>
      <w:bookmarkEnd w:id="42"/>
      <w:bookmarkStart w:id="43" w:name="_Toc31205"/>
      <w:r>
        <w:rPr>
          <w:rFonts w:hint="eastAsia" w:ascii="仿宋" w:hAnsi="仿宋" w:eastAsia="仿宋" w:cs="仿宋"/>
          <w:b/>
          <w:snapToGrid/>
          <w:kern w:val="0"/>
          <w:sz w:val="28"/>
          <w:szCs w:val="28"/>
          <w:lang w:val="en-US" w:eastAsia="zh-CN"/>
        </w:rPr>
        <w:t>九、重大分歧意见的处理经过和依据</w:t>
      </w:r>
      <w:bookmarkEnd w:id="43"/>
    </w:p>
    <w:p w14:paraId="6342CC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无重大分歧意见。</w:t>
      </w:r>
    </w:p>
    <w:p w14:paraId="74D27F91">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44" w:name="bookmark36"/>
      <w:bookmarkEnd w:id="44"/>
      <w:bookmarkStart w:id="45" w:name="_Toc22153"/>
      <w:r>
        <w:rPr>
          <w:rFonts w:hint="eastAsia" w:ascii="仿宋" w:hAnsi="仿宋" w:eastAsia="仿宋" w:cs="仿宋"/>
          <w:b/>
          <w:snapToGrid/>
          <w:kern w:val="0"/>
          <w:sz w:val="28"/>
          <w:szCs w:val="28"/>
          <w:lang w:val="en-US" w:eastAsia="zh-CN"/>
        </w:rPr>
        <w:t>十、废止现行相关标准的建议</w:t>
      </w:r>
      <w:bookmarkEnd w:id="45"/>
    </w:p>
    <w:p w14:paraId="2094BD6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无需废止现行相关标准。</w:t>
      </w:r>
    </w:p>
    <w:p w14:paraId="62412CB9">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46" w:name="bookmark38"/>
      <w:bookmarkEnd w:id="46"/>
      <w:bookmarkStart w:id="47" w:name="_Toc3844"/>
      <w:r>
        <w:rPr>
          <w:rFonts w:hint="eastAsia" w:ascii="仿宋" w:hAnsi="仿宋" w:eastAsia="仿宋" w:cs="仿宋"/>
          <w:b/>
          <w:snapToGrid/>
          <w:kern w:val="0"/>
          <w:sz w:val="28"/>
          <w:szCs w:val="28"/>
          <w:lang w:val="en-US" w:eastAsia="zh-CN"/>
        </w:rPr>
        <w:t>十一、提出标准强制实施或推荐实施的建议和理由</w:t>
      </w:r>
      <w:bookmarkEnd w:id="47"/>
    </w:p>
    <w:p w14:paraId="64268B6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本标准为</w:t>
      </w:r>
      <w:r>
        <w:rPr>
          <w:rFonts w:hint="eastAsia" w:ascii="仿宋" w:hAnsi="仿宋" w:eastAsia="仿宋" w:cs="仿宋"/>
          <w:snapToGrid/>
          <w:kern w:val="2"/>
          <w:sz w:val="28"/>
          <w:szCs w:val="28"/>
          <w:lang w:eastAsia="zh-CN"/>
        </w:rPr>
        <w:t>浙江省产品与工程标准化协会</w:t>
      </w:r>
      <w:r>
        <w:rPr>
          <w:rFonts w:hint="eastAsia" w:ascii="仿宋" w:hAnsi="仿宋" w:eastAsia="仿宋" w:cs="仿宋"/>
          <w:snapToGrid/>
          <w:kern w:val="2"/>
          <w:sz w:val="28"/>
          <w:szCs w:val="28"/>
          <w:lang w:val="en-US" w:eastAsia="zh-CN"/>
        </w:rPr>
        <w:t>团体标准。</w:t>
      </w:r>
    </w:p>
    <w:p w14:paraId="087122A3">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48" w:name="bookmark40"/>
      <w:bookmarkEnd w:id="48"/>
      <w:bookmarkStart w:id="49" w:name="_Toc25482"/>
      <w:r>
        <w:rPr>
          <w:rFonts w:hint="eastAsia" w:ascii="仿宋" w:hAnsi="仿宋" w:eastAsia="仿宋" w:cs="仿宋"/>
          <w:b/>
          <w:snapToGrid/>
          <w:kern w:val="0"/>
          <w:sz w:val="28"/>
          <w:szCs w:val="28"/>
          <w:lang w:val="en-US" w:eastAsia="zh-CN"/>
        </w:rPr>
        <w:t>十二、贯彻标准的要求和措施建议</w:t>
      </w:r>
      <w:bookmarkEnd w:id="49"/>
    </w:p>
    <w:p w14:paraId="4E1DAE5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本标准将在全国团体标准信息平台（http://www.ttbz.org.cn/）上自我声明采用本标准，其他采用本标准的单位也应在信息平台上进行自我声明。</w:t>
      </w:r>
    </w:p>
    <w:p w14:paraId="159C6132">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50" w:name="bookmark42"/>
      <w:bookmarkEnd w:id="50"/>
      <w:bookmarkStart w:id="51" w:name="_Toc28806"/>
      <w:r>
        <w:rPr>
          <w:rFonts w:hint="eastAsia" w:ascii="仿宋" w:hAnsi="仿宋" w:eastAsia="仿宋" w:cs="仿宋"/>
          <w:b/>
          <w:snapToGrid/>
          <w:kern w:val="0"/>
          <w:sz w:val="28"/>
          <w:szCs w:val="28"/>
          <w:lang w:val="en-US" w:eastAsia="zh-CN"/>
        </w:rPr>
        <w:t>十三、其他应予说明的事项</w:t>
      </w:r>
      <w:bookmarkEnd w:id="51"/>
    </w:p>
    <w:p w14:paraId="4B1EE5F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无。</w:t>
      </w:r>
    </w:p>
    <w:p w14:paraId="09BA5C4C">
      <w:pPr>
        <w:pStyle w:val="7"/>
        <w:keepLines w:val="0"/>
        <w:pageBreakBefore w:val="0"/>
        <w:widowControl w:val="0"/>
        <w:wordWrap/>
        <w:overflowPunct/>
        <w:topLinePunct w:val="0"/>
        <w:bidi w:val="0"/>
        <w:adjustRightInd w:val="0"/>
        <w:snapToGrid w:val="0"/>
        <w:spacing w:line="312" w:lineRule="auto"/>
      </w:pPr>
    </w:p>
    <w:p w14:paraId="05B3C03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right"/>
        <w:textAlignment w:val="auto"/>
        <w:rPr>
          <w:rFonts w:hint="eastAsia" w:ascii="仿宋" w:hAnsi="仿宋" w:eastAsia="仿宋" w:cs="仿宋"/>
          <w:snapToGrid/>
          <w:kern w:val="2"/>
          <w:sz w:val="28"/>
          <w:szCs w:val="28"/>
          <w:lang w:val="en-US" w:eastAsia="zh-CN"/>
        </w:rPr>
      </w:pPr>
      <w:r>
        <w:rPr>
          <w:rFonts w:hint="eastAsia" w:ascii="仿宋" w:hAnsi="仿宋" w:eastAsia="仿宋" w:cs="仿宋"/>
          <w:snapToGrid/>
          <w:kern w:val="2"/>
          <w:sz w:val="28"/>
          <w:szCs w:val="28"/>
          <w:lang w:val="en-US" w:eastAsia="zh-CN"/>
        </w:rPr>
        <w:t>2024年12月31日</w:t>
      </w:r>
    </w:p>
    <w:p w14:paraId="10120DEB">
      <w:pPr>
        <w:pStyle w:val="2"/>
        <w:rPr>
          <w:rFonts w:hint="eastAsia"/>
          <w:lang w:val="en-US" w:eastAsia="zh-CN"/>
        </w:rPr>
        <w:sectPr>
          <w:footerReference r:id="rId6" w:type="default"/>
          <w:pgSz w:w="11906" w:h="16839"/>
          <w:pgMar w:top="1440" w:right="1785" w:bottom="1440" w:left="1785" w:header="0" w:footer="994" w:gutter="0"/>
          <w:pgNumType w:fmt="decimal" w:start="1"/>
          <w:cols w:space="720" w:num="1"/>
        </w:sectPr>
      </w:pPr>
    </w:p>
    <w:p w14:paraId="5D06028A">
      <w:pPr>
        <w:pStyle w:val="4"/>
        <w:keepLines w:val="0"/>
        <w:pageBreakBefore w:val="0"/>
        <w:widowControl w:val="0"/>
        <w:kinsoku/>
        <w:wordWrap/>
        <w:overflowPunct/>
        <w:topLinePunct w:val="0"/>
        <w:autoSpaceDE/>
        <w:autoSpaceDN/>
        <w:bidi w:val="0"/>
        <w:adjustRightInd w:val="0"/>
        <w:snapToGrid w:val="0"/>
        <w:spacing w:before="156" w:beforeLines="50" w:line="360" w:lineRule="auto"/>
        <w:ind w:firstLine="0" w:firstLineChars="0"/>
        <w:jc w:val="both"/>
        <w:textAlignment w:val="auto"/>
        <w:rPr>
          <w:rFonts w:hint="eastAsia" w:ascii="仿宋" w:hAnsi="仿宋" w:eastAsia="仿宋" w:cs="仿宋"/>
          <w:b/>
          <w:snapToGrid/>
          <w:kern w:val="0"/>
          <w:sz w:val="28"/>
          <w:szCs w:val="28"/>
          <w:lang w:val="en-US" w:eastAsia="zh-CN"/>
        </w:rPr>
      </w:pPr>
      <w:bookmarkStart w:id="52" w:name="_Toc1842"/>
      <w:r>
        <w:rPr>
          <w:rFonts w:hint="eastAsia" w:ascii="仿宋" w:hAnsi="仿宋" w:eastAsia="仿宋" w:cs="仿宋"/>
          <w:b/>
          <w:snapToGrid/>
          <w:kern w:val="0"/>
          <w:sz w:val="28"/>
          <w:szCs w:val="28"/>
          <w:lang w:val="en-US" w:eastAsia="zh-CN"/>
        </w:rPr>
        <w:t xml:space="preserve">附件 </w:t>
      </w:r>
      <w:bookmarkEnd w:id="52"/>
      <w:r>
        <w:rPr>
          <w:rFonts w:hint="eastAsia" w:ascii="仿宋" w:hAnsi="仿宋" w:eastAsia="仿宋" w:cs="仿宋"/>
          <w:b/>
          <w:snapToGrid/>
          <w:kern w:val="0"/>
          <w:sz w:val="28"/>
          <w:szCs w:val="28"/>
          <w:lang w:val="en-US" w:eastAsia="zh-CN"/>
        </w:rPr>
        <w:t>1</w:t>
      </w:r>
    </w:p>
    <w:p w14:paraId="38971B3B">
      <w:pPr>
        <w:rPr>
          <w:rFonts w:hint="default"/>
          <w:lang w:val="en-US" w:eastAsia="zh-CN"/>
        </w:rPr>
      </w:pPr>
    </w:p>
    <w:p w14:paraId="3AEB4C61">
      <w:pPr>
        <w:pStyle w:val="2"/>
        <w:jc w:val="center"/>
        <w:rPr>
          <w:rFonts w:hint="eastAsia" w:eastAsia="宋体_x0003_...销."/>
          <w:lang w:eastAsia="zh-CN"/>
        </w:rPr>
      </w:pPr>
      <w:r>
        <w:rPr>
          <w:rFonts w:hint="eastAsia" w:eastAsia="宋体_x0003_...销."/>
          <w:lang w:eastAsia="zh-CN"/>
        </w:rPr>
        <w:drawing>
          <wp:inline distT="0" distB="0" distL="114300" distR="114300">
            <wp:extent cx="5410835" cy="7653655"/>
            <wp:effectExtent l="0" t="0" r="18415" b="4445"/>
            <wp:docPr id="11" name="图片 11" descr="提取自直饮水团标讨论会会议纪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提取自直饮水团标讨论会会议纪要"/>
                    <pic:cNvPicPr>
                      <a:picLocks noChangeAspect="1"/>
                    </pic:cNvPicPr>
                  </pic:nvPicPr>
                  <pic:blipFill>
                    <a:blip r:embed="rId12"/>
                    <a:stretch>
                      <a:fillRect/>
                    </a:stretch>
                  </pic:blipFill>
                  <pic:spPr>
                    <a:xfrm>
                      <a:off x="0" y="0"/>
                      <a:ext cx="5410835" cy="7653655"/>
                    </a:xfrm>
                    <a:prstGeom prst="rect">
                      <a:avLst/>
                    </a:prstGeom>
                  </pic:spPr>
                </pic:pic>
              </a:graphicData>
            </a:graphic>
          </wp:inline>
        </w:drawing>
      </w:r>
    </w:p>
    <w:p w14:paraId="6C8CF6DD">
      <w:pPr>
        <w:pStyle w:val="3"/>
      </w:pPr>
    </w:p>
    <w:p w14:paraId="6DAAFE1D"/>
    <w:p w14:paraId="5364B547"/>
    <w:p w14:paraId="05CE10D2"/>
    <w:p w14:paraId="35849487"/>
    <w:p w14:paraId="0EC1B7D1"/>
    <w:p w14:paraId="106A3076"/>
    <w:p w14:paraId="6DB291A5">
      <w:pPr>
        <w:jc w:val="center"/>
        <w:rPr>
          <w:rFonts w:hint="default"/>
          <w:lang w:val="en-US" w:eastAsia="zh-CN"/>
        </w:rPr>
      </w:pPr>
      <w:r>
        <w:rPr>
          <w:rFonts w:hint="default"/>
          <w:lang w:val="en-US" w:eastAsia="zh-CN"/>
        </w:rPr>
        <w:drawing>
          <wp:inline distT="0" distB="0" distL="114300" distR="114300">
            <wp:extent cx="5410835" cy="7653655"/>
            <wp:effectExtent l="0" t="0" r="18415" b="4445"/>
            <wp:docPr id="12" name="图片 12" descr="提取自直饮水团标讨论会会议纪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提取自直饮水团标讨论会会议纪要(1)"/>
                    <pic:cNvPicPr>
                      <a:picLocks noChangeAspect="1"/>
                    </pic:cNvPicPr>
                  </pic:nvPicPr>
                  <pic:blipFill>
                    <a:blip r:embed="rId13"/>
                    <a:stretch>
                      <a:fillRect/>
                    </a:stretch>
                  </pic:blipFill>
                  <pic:spPr>
                    <a:xfrm>
                      <a:off x="0" y="0"/>
                      <a:ext cx="5410835" cy="7653655"/>
                    </a:xfrm>
                    <a:prstGeom prst="rect">
                      <a:avLst/>
                    </a:prstGeom>
                  </pic:spPr>
                </pic:pic>
              </a:graphicData>
            </a:graphic>
          </wp:inline>
        </w:drawing>
      </w:r>
    </w:p>
    <w:sectPr>
      <w:footerReference r:id="rId7" w:type="default"/>
      <w:pgSz w:w="11906" w:h="16839"/>
      <w:pgMar w:top="1440" w:right="1785" w:bottom="1440" w:left="1785" w:header="0" w:footer="99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_x0003_...销.">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F05A">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3653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D3653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3AF9A">
    <w:pPr>
      <w:spacing w:line="175" w:lineRule="auto"/>
      <w:ind w:left="4086"/>
      <w:rPr>
        <w:rFonts w:hint="eastAsia" w:ascii="等线" w:hAnsi="等线" w:eastAsia="等线" w:cs="等线"/>
        <w:sz w:val="18"/>
        <w:szCs w:val="18"/>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364E8">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35364E8">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ABE46">
    <w:pPr>
      <w:spacing w:line="175" w:lineRule="auto"/>
      <w:ind w:left="4086"/>
      <w:rPr>
        <w:rFonts w:hint="eastAsia" w:ascii="等线" w:hAnsi="等线" w:eastAsia="等线" w:cs="等线"/>
        <w:sz w:val="18"/>
        <w:szCs w:val="18"/>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0B97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C0B97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25"/>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24"/>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501EE6"/>
    <w:rsid w:val="02247ACE"/>
    <w:rsid w:val="04F80D9E"/>
    <w:rsid w:val="05121E5F"/>
    <w:rsid w:val="086E2614"/>
    <w:rsid w:val="0DBE0DD6"/>
    <w:rsid w:val="0EB61AAE"/>
    <w:rsid w:val="0EBC4BEA"/>
    <w:rsid w:val="0F554209"/>
    <w:rsid w:val="0FFA00C0"/>
    <w:rsid w:val="0FFA234C"/>
    <w:rsid w:val="117619C8"/>
    <w:rsid w:val="135B2C24"/>
    <w:rsid w:val="14504752"/>
    <w:rsid w:val="15451DDD"/>
    <w:rsid w:val="15520B8A"/>
    <w:rsid w:val="1A6C0E46"/>
    <w:rsid w:val="1B0A38AE"/>
    <w:rsid w:val="1D1C3400"/>
    <w:rsid w:val="1E9D2342"/>
    <w:rsid w:val="1F100D66"/>
    <w:rsid w:val="1F117043"/>
    <w:rsid w:val="202076CF"/>
    <w:rsid w:val="21BE2CFB"/>
    <w:rsid w:val="223B259E"/>
    <w:rsid w:val="2377175E"/>
    <w:rsid w:val="25D243A7"/>
    <w:rsid w:val="26763615"/>
    <w:rsid w:val="26A240AC"/>
    <w:rsid w:val="287D2558"/>
    <w:rsid w:val="29C54E43"/>
    <w:rsid w:val="2AE553C9"/>
    <w:rsid w:val="2BA57D3C"/>
    <w:rsid w:val="2C6170A5"/>
    <w:rsid w:val="2D870D8D"/>
    <w:rsid w:val="33F94008"/>
    <w:rsid w:val="34461FE3"/>
    <w:rsid w:val="354B10A8"/>
    <w:rsid w:val="36397326"/>
    <w:rsid w:val="3826307B"/>
    <w:rsid w:val="386664E7"/>
    <w:rsid w:val="3A164196"/>
    <w:rsid w:val="3A9B19D4"/>
    <w:rsid w:val="3BB30F9F"/>
    <w:rsid w:val="3C5067EE"/>
    <w:rsid w:val="3D5B5988"/>
    <w:rsid w:val="3DD75419"/>
    <w:rsid w:val="3EF053D3"/>
    <w:rsid w:val="3FAF7CCF"/>
    <w:rsid w:val="3FDF4713"/>
    <w:rsid w:val="44722751"/>
    <w:rsid w:val="44D77AAC"/>
    <w:rsid w:val="47665118"/>
    <w:rsid w:val="4AFD3FE5"/>
    <w:rsid w:val="4B0D4C3D"/>
    <w:rsid w:val="4EE47996"/>
    <w:rsid w:val="51872C71"/>
    <w:rsid w:val="52BA523F"/>
    <w:rsid w:val="54D63A30"/>
    <w:rsid w:val="567F7A35"/>
    <w:rsid w:val="56E322DB"/>
    <w:rsid w:val="5ACD5782"/>
    <w:rsid w:val="5BB60E5B"/>
    <w:rsid w:val="5BF7739A"/>
    <w:rsid w:val="5EFA466C"/>
    <w:rsid w:val="61AB4343"/>
    <w:rsid w:val="62CF7BBD"/>
    <w:rsid w:val="62FC3808"/>
    <w:rsid w:val="637701A9"/>
    <w:rsid w:val="63F42350"/>
    <w:rsid w:val="66AC7689"/>
    <w:rsid w:val="673A6416"/>
    <w:rsid w:val="68D94025"/>
    <w:rsid w:val="68E819D9"/>
    <w:rsid w:val="69222494"/>
    <w:rsid w:val="69513099"/>
    <w:rsid w:val="6B392EB4"/>
    <w:rsid w:val="6B574BF4"/>
    <w:rsid w:val="6C21592D"/>
    <w:rsid w:val="6E301113"/>
    <w:rsid w:val="6F377216"/>
    <w:rsid w:val="6F4F4560"/>
    <w:rsid w:val="6FC0720B"/>
    <w:rsid w:val="705C0623"/>
    <w:rsid w:val="70DA5631"/>
    <w:rsid w:val="71687C83"/>
    <w:rsid w:val="717209D9"/>
    <w:rsid w:val="72D1172F"/>
    <w:rsid w:val="741D2E7E"/>
    <w:rsid w:val="743401C8"/>
    <w:rsid w:val="75256071"/>
    <w:rsid w:val="75931DF8"/>
    <w:rsid w:val="7610431D"/>
    <w:rsid w:val="77A67671"/>
    <w:rsid w:val="77E55714"/>
    <w:rsid w:val="77F75794"/>
    <w:rsid w:val="78314C01"/>
    <w:rsid w:val="78B67C22"/>
    <w:rsid w:val="79DC2E94"/>
    <w:rsid w:val="7A7346ED"/>
    <w:rsid w:val="7C156B31"/>
    <w:rsid w:val="7CC36A30"/>
    <w:rsid w:val="7D2B4269"/>
    <w:rsid w:val="7EB501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keepNext/>
      <w:keepLines/>
      <w:spacing w:line="360" w:lineRule="auto"/>
      <w:ind w:firstLine="640" w:firstLineChars="200"/>
      <w:outlineLvl w:val="0"/>
    </w:pPr>
    <w:rPr>
      <w:rFonts w:eastAsia="黑体"/>
      <w:bCs/>
      <w:kern w:val="44"/>
      <w:sz w:val="32"/>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_x0003_...销." w:hAnsi="Times New Roman" w:eastAsia="宋体_x0003_...销." w:cs="宋体_x0003_...销."/>
      <w:color w:val="000000"/>
      <w:sz w:val="24"/>
      <w:szCs w:val="24"/>
      <w:lang w:val="en-US" w:eastAsia="zh-CN" w:bidi="ar-SA"/>
    </w:rPr>
  </w:style>
  <w:style w:type="paragraph" w:styleId="3">
    <w:name w:val="index 8"/>
    <w:basedOn w:val="1"/>
    <w:next w:val="1"/>
    <w:qFormat/>
    <w:uiPriority w:val="0"/>
    <w:pPr>
      <w:ind w:left="1680" w:hanging="210"/>
      <w:jc w:val="left"/>
    </w:pPr>
    <w:rPr>
      <w:rFonts w:ascii="Calibri" w:hAnsi="Calibri"/>
      <w:sz w:val="20"/>
      <w:szCs w:val="20"/>
    </w:r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annotation reference"/>
    <w:basedOn w:val="14"/>
    <w:semiHidden/>
    <w:unhideWhenUsed/>
    <w:qFormat/>
    <w:uiPriority w:val="99"/>
    <w:rPr>
      <w:sz w:val="21"/>
      <w:szCs w:val="21"/>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仿宋" w:hAnsi="仿宋" w:eastAsia="仿宋" w:cs="仿宋"/>
      <w:sz w:val="24"/>
      <w:szCs w:val="24"/>
      <w:lang w:val="en-US" w:eastAsia="en-US" w:bidi="ar-SA"/>
    </w:rPr>
  </w:style>
  <w:style w:type="paragraph" w:customStyle="1" w:styleId="1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
    <w:name w:val="标准文件_目录标题"/>
    <w:basedOn w:val="1"/>
    <w:qFormat/>
    <w:uiPriority w:val="0"/>
    <w:pPr>
      <w:spacing w:afterLines="150" w:line="240" w:lineRule="auto"/>
      <w:jc w:val="center"/>
    </w:pPr>
    <w:rPr>
      <w:rFonts w:ascii="黑体" w:eastAsia="黑体"/>
      <w:sz w:val="32"/>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标准文件_二级无标题"/>
    <w:basedOn w:val="24"/>
    <w:qFormat/>
    <w:uiPriority w:val="0"/>
    <w:pPr>
      <w:spacing w:beforeLines="0" w:afterLines="0"/>
      <w:outlineLvl w:val="9"/>
    </w:pPr>
    <w:rPr>
      <w:rFonts w:ascii="宋体" w:eastAsia="宋体"/>
    </w:rPr>
  </w:style>
  <w:style w:type="paragraph" w:customStyle="1" w:styleId="24">
    <w:name w:val="标准文件_二级条标题"/>
    <w:next w:val="19"/>
    <w:qFormat/>
    <w:uiPriority w:val="0"/>
    <w:pPr>
      <w:widowControl w:val="0"/>
      <w:numPr>
        <w:ilvl w:val="3"/>
        <w:numId w:val="1"/>
      </w:numPr>
      <w:spacing w:beforeLines="50" w:afterLines="50"/>
      <w:jc w:val="both"/>
      <w:outlineLvl w:val="2"/>
    </w:pPr>
    <w:rPr>
      <w:rFonts w:ascii="黑体" w:hAnsi="Times New Roman" w:eastAsia="黑体" w:cs="Times New Roman"/>
      <w:sz w:val="21"/>
      <w:lang w:val="en-US" w:eastAsia="zh-CN" w:bidi="ar-SA"/>
    </w:rPr>
  </w:style>
  <w:style w:type="paragraph" w:customStyle="1" w:styleId="25">
    <w:name w:val="标准文件_章标题"/>
    <w:next w:val="19"/>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5717</Words>
  <Characters>6272</Characters>
  <TotalTime>0</TotalTime>
  <ScaleCrop>false</ScaleCrop>
  <LinksUpToDate>false</LinksUpToDate>
  <CharactersWithSpaces>6543</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2020-11-18T23:39:00Z</dcterms:created>
  <dc:creator>LENOVO</dc:creator>
  <cp:lastModifiedBy>WPS_1725515118</cp:lastModifiedBy>
  <dcterms:modified xsi:type="dcterms:W3CDTF">2024-12-30T01:20:26Z</dcterms:modified>
  <dc:titl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2024-12-10T13:56:18Z</vt:filetime>
  </property>
  <property fmtid="{D5CDD505-2E9C-101B-9397-08002B2CF9AE}" pid="4" name="KSOProductBuildVer">
    <vt:lpwstr>2052-12.1.0.19302</vt:lpwstr>
  </property>
  <property fmtid="{D5CDD505-2E9C-101B-9397-08002B2CF9AE}" pid="5" name="ICV">
    <vt:lpwstr>3878EBF0E5874ADFA6C4179104895A28_13</vt:lpwstr>
  </property>
  <property fmtid="{D5CDD505-2E9C-101B-9397-08002B2CF9AE}" pid="6" name="KSOTemplateDocerSaveRecord">
    <vt:lpwstr>eyJoZGlkIjoiOGJiNTViNjg1ODEyMjM1MGZiZmI4ZWM5YzA3YTQ2OWIiLCJ1c2VySWQiOiIxNjI5NDk4OTM1In0=</vt:lpwstr>
  </property>
</Properties>
</file>