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EB6BB">
      <w:pPr>
        <w:framePr w:hSpace="181" w:vSpace="181" w:wrap="around" w:vAnchor="page" w:hAnchor="page" w:x="1419" w:y="2286" w:anchorLock="1"/>
        <w:jc w:val="distribute"/>
        <w:rPr>
          <w:rFonts w:ascii="黑体" w:hAnsi="黑体" w:eastAsia="黑体"/>
          <w:sz w:val="84"/>
          <w:szCs w:val="84"/>
          <w:lang w:val="en-US" w:eastAsia="zh-CN"/>
        </w:rPr>
      </w:pPr>
      <w:bookmarkStart w:id="0" w:name="_Toc28109"/>
      <w:r>
        <w:rPr>
          <w:rFonts w:hint="eastAsia" w:ascii="黑体" w:hAnsi="黑体" w:eastAsia="黑体"/>
          <w:sz w:val="84"/>
          <w:szCs w:val="84"/>
          <w:lang w:val="en-US" w:eastAsia="zh-CN"/>
        </w:rPr>
        <w:t>团体标准</w:t>
      </w:r>
      <w:bookmarkEnd w:id="0"/>
    </w:p>
    <w:p w14:paraId="08152557">
      <w:pPr>
        <w:pStyle w:val="47"/>
        <w:framePr w:h="853" w:hRule="exact" w:wrap="around" w:y="3289"/>
      </w:pPr>
      <w:r>
        <w:rPr>
          <w:rFonts w:ascii="Times New Roman"/>
        </w:rPr>
        <w:t>T</w:t>
      </w:r>
      <w:r>
        <w:t xml:space="preserve">/ </w:t>
      </w:r>
      <w:r>
        <w:rPr>
          <w:rFonts w:hint="eastAsia"/>
          <w:lang w:val="en-US" w:eastAsia="zh-CN"/>
        </w:rPr>
        <w:t>JXFIA</w:t>
      </w:r>
      <w:r>
        <w:t>—2024</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53A24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2E462265">
            <w:pPr>
              <w:pStyle w:val="53"/>
              <w:framePr w:h="853" w:hRule="exact" w:wrap="around" w:y="3289"/>
            </w:pPr>
            <w:bookmarkStart w:id="1"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1"/>
          </w:p>
        </w:tc>
      </w:tr>
    </w:tbl>
    <w:p w14:paraId="12B6B56C">
      <w:pPr>
        <w:pStyle w:val="47"/>
        <w:framePr w:h="853" w:hRule="exact" w:wrap="around" w:y="3289"/>
      </w:pPr>
    </w:p>
    <w:p w14:paraId="065AAA62">
      <w:pPr>
        <w:pStyle w:val="47"/>
        <w:framePr w:h="853" w:hRule="exact" w:wrap="around" w:y="3289"/>
      </w:pPr>
    </w:p>
    <w:p w14:paraId="5F472347">
      <w:pPr>
        <w:framePr w:w="9639" w:h="6917" w:hRule="exact" w:wrap="around" w:vAnchor="page" w:hAnchor="page" w:xAlign="center" w:y="6408" w:anchorLock="1"/>
        <w:spacing w:line="600" w:lineRule="auto"/>
        <w:jc w:val="center"/>
        <w:rPr>
          <w:rFonts w:ascii="宋体" w:hAnsi="宋体" w:cs="宋体"/>
          <w:color w:val="000000"/>
          <w:sz w:val="32"/>
          <w:szCs w:val="32"/>
        </w:rPr>
      </w:pPr>
      <w:r>
        <w:rPr>
          <w:rFonts w:hint="eastAsia" w:ascii="宋体" w:hAnsi="宋体" w:cs="宋体"/>
          <w:color w:val="000000"/>
          <w:sz w:val="32"/>
          <w:szCs w:val="32"/>
        </w:rPr>
        <w:t>富硒百合果糕</w:t>
      </w:r>
    </w:p>
    <w:p w14:paraId="4721450B">
      <w:pPr>
        <w:pStyle w:val="36"/>
        <w:framePr w:wrap="around"/>
        <w:rPr>
          <w:rFonts w:ascii="Times New Roman" w:eastAsia="黑体"/>
        </w:rPr>
      </w:pPr>
      <w:r>
        <w:rPr>
          <w:rFonts w:ascii="Times New Roman" w:eastAsia="黑体"/>
        </w:rPr>
        <w:t>Selenium-rich Lily fruit cake</w:t>
      </w:r>
    </w:p>
    <w:p w14:paraId="78AFED0E">
      <w:pPr>
        <w:pStyle w:val="36"/>
        <w:framePr w:wrap="around"/>
        <w:rPr>
          <w:rFonts w:hint="default" w:ascii="Times New Roman" w:eastAsia="黑体"/>
          <w:lang w:val="en-US" w:eastAsia="zh-CN"/>
        </w:rPr>
      </w:pPr>
      <w:r>
        <w:rPr>
          <w:rFonts w:hint="eastAsia" w:ascii="Times New Roman" w:eastAsia="黑体"/>
          <w:lang w:val="en-US" w:eastAsia="zh-CN"/>
        </w:rPr>
        <w:t>(征求意见稿）</w:t>
      </w:r>
    </w:p>
    <w:p w14:paraId="6FF6CD33">
      <w:pPr>
        <w:pStyle w:val="36"/>
        <w:framePr w:w="10309" w:h="793" w:hRule="exact" w:vSpace="181" w:wrap="around" w:x="769" w:y="13813"/>
      </w:pPr>
      <w:r>
        <w:rPr>
          <w:rFonts w:ascii="黑体"/>
        </w:rPr>
        <w:t>2024-</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2"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7"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h2s81gAAAAsBAAAPAAAA&#10;AAAAAAEAIAAAACIAAABkcnMvZG93bnJldi54bWxQSwECFAAUAAAACACHTuJAWDBUtN4BAADQAwAA&#10;DgAAAAAAAAABACAAAAAlAQAAZHJzL2Uyb0RvYy54bWxQSwUGAAAAAAYABgBZAQAAdQUAAAAA&#10;">
                <v:fill on="f" focussize="0,0"/>
                <v:stroke color="#000000" joinstyle="round"/>
                <v:imagedata o:title=""/>
                <o:lock v:ext="edit" aspectratio="f"/>
                <w10:anchorlock/>
              </v:line>
            </w:pict>
          </mc:Fallback>
        </mc:AlternateContent>
      </w:r>
      <w:r>
        <w:rPr>
          <w:rFonts w:ascii="黑体"/>
        </w:rPr>
        <w:t xml:space="preserve">                                  </w:t>
      </w:r>
      <w:r>
        <w:rPr>
          <w:rFonts w:hint="eastAsia" w:ascii="黑体"/>
        </w:rPr>
        <w:t>20</w:t>
      </w:r>
      <w:r>
        <w:rPr>
          <w:rFonts w:ascii="黑体"/>
        </w:rPr>
        <w:t>24</w:t>
      </w:r>
      <w:r>
        <w:t xml:space="preserve"> </w:t>
      </w:r>
      <w:r>
        <w:rPr>
          <w:rFonts w:ascii="黑体"/>
        </w:rPr>
        <w:t>-</w:t>
      </w:r>
      <w:r>
        <w:t xml:space="preserve"> </w:t>
      </w:r>
      <w:bookmarkStart w:id="3"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bookmarkStart w:id="4"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实施</w:t>
      </w:r>
    </w:p>
    <w:p w14:paraId="6A2B1F13">
      <w:pPr>
        <w:pStyle w:val="54"/>
        <w:framePr w:wrap="around"/>
      </w:pPr>
      <w:bookmarkStart w:id="5" w:name="fm"/>
      <w:r>
        <w:rPr>
          <w:rFonts w:ascii="宋体" w:hAnsi="宋体" w:eastAsia="宋体"/>
          <w:spacing w:val="0"/>
          <w:w w:val="100"/>
          <w:kern w:val="2"/>
          <w:sz w:val="30"/>
          <w:szCs w:val="3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BXfBLqp&#10;AQAAZwMAAA4AAAAAAAAAAQAgAAAAKAEAAGRycy9lMm9Eb2MueG1sUEsFBgAAAAAGAAYAWQEAAEMF&#10;AAAAAA==&#10;">
                <v:fill on="t" focussize="0,0"/>
                <v:stroke on="f"/>
                <v:imagedata o:title=""/>
                <o:lock v:ext="edit" aspectratio="f"/>
              </v:rect>
            </w:pict>
          </mc:Fallback>
        </mc:AlternateContent>
      </w:r>
      <w:r>
        <w:rPr>
          <w:rFonts w:ascii="宋体" w:hAnsi="宋体" w:eastAsia="宋体"/>
          <w:spacing w:val="0"/>
          <w:w w:val="100"/>
          <w:kern w:val="2"/>
          <w:sz w:val="30"/>
          <w:szCs w:val="3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9p9R&#10;CqoBAABnAwAADgAAAAAAAAABACAAAAApAQAAZHJzL2Uyb0RvYy54bWxQSwUGAAAAAAYABgBZAQAA&#10;RQUAAAAA&#10;">
                <v:fill on="t" focussize="0,0"/>
                <v:stroke on="f"/>
                <v:imagedata o:title=""/>
                <o:lock v:ext="edit" aspectratio="f"/>
              </v:rect>
            </w:pict>
          </mc:Fallback>
        </mc:AlternateContent>
      </w:r>
      <w:r>
        <w:rPr>
          <w:rFonts w:ascii="宋体" w:hAnsi="宋体" w:eastAsia="宋体"/>
          <w:spacing w:val="0"/>
          <w:w w:val="100"/>
          <w:kern w:val="2"/>
          <w:sz w:val="30"/>
          <w:szCs w:val="30"/>
        </w:rPr>
        <mc:AlternateContent>
          <mc:Choice Requires="wps">
            <w:drawing>
              <wp:anchor distT="0" distB="0" distL="114300" distR="114300" simplePos="0" relativeHeight="251661312" behindDoc="0" locked="0" layoutInCell="1" allowOverlap="1">
                <wp:simplePos x="0" y="0"/>
                <wp:positionH relativeFrom="column">
                  <wp:posOffset>-464820</wp:posOffset>
                </wp:positionH>
                <wp:positionV relativeFrom="paragraph">
                  <wp:posOffset>-7021195</wp:posOffset>
                </wp:positionV>
                <wp:extent cx="6120130" cy="0"/>
                <wp:effectExtent l="0" t="4445" r="0" b="5080"/>
                <wp:wrapNone/>
                <wp:docPr id="10"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36.6pt;margin-top:-552.85pt;height:0pt;width:481.9pt;z-index:251661312;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7JZGg2AAAAA8BAAAP&#10;AAAAAAAAAAEAIAAAACIAAABkcnMvZG93bnJldi54bWxQSwECFAAUAAAACACHTuJAnNXEY98BAADR&#10;AwAADgAAAAAAAAABACAAAAAnAQAAZHJzL2Uyb0RvYy54bWxQSwUGAAAAAAYABgBZAQAAeAUAAAAA&#10;">
                <v:fill on="f" focussize="0,0"/>
                <v:stroke color="#000000" joinstyle="round"/>
                <v:imagedata o:title=""/>
                <o:lock v:ext="edit" aspectratio="f"/>
              </v:line>
            </w:pict>
          </mc:Fallback>
        </mc:AlternateContent>
      </w:r>
      <w:bookmarkEnd w:id="5"/>
      <w:r>
        <w:rPr>
          <w:rFonts w:hint="eastAsia" w:ascii="宋体" w:hAnsi="宋体" w:eastAsia="宋体"/>
          <w:spacing w:val="0"/>
          <w:w w:val="100"/>
          <w:kern w:val="2"/>
          <w:sz w:val="30"/>
          <w:szCs w:val="30"/>
        </w:rPr>
        <w:t>江西省食品工业协会</w:t>
      </w:r>
      <w:r>
        <w:t>   </w:t>
      </w:r>
      <w:r>
        <w:rPr>
          <w:rStyle w:val="55"/>
          <w:rFonts w:hint="eastAsia"/>
        </w:rPr>
        <w:t>发布</w:t>
      </w:r>
    </w:p>
    <w:p w14:paraId="68E74ADE">
      <w:pPr>
        <w:spacing w:line="600" w:lineRule="auto"/>
        <w:jc w:val="left"/>
        <w:rPr>
          <w:rFonts w:hint="eastAsia"/>
          <w:lang w:val="en-US" w:eastAsia="zh-CN"/>
        </w:rPr>
      </w:pPr>
      <w:bookmarkStart w:id="63" w:name="_GoBack"/>
      <w:bookmarkEnd w:id="63"/>
      <w:r>
        <w:rPr>
          <w:sz w:val="21"/>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230505</wp:posOffset>
                </wp:positionV>
                <wp:extent cx="1619250" cy="744855"/>
                <wp:effectExtent l="0" t="0" r="0" b="17145"/>
                <wp:wrapNone/>
                <wp:docPr id="3" name="文本框 3"/>
                <wp:cNvGraphicFramePr/>
                <a:graphic xmlns:a="http://schemas.openxmlformats.org/drawingml/2006/main">
                  <a:graphicData uri="http://schemas.microsoft.com/office/word/2010/wordprocessingShape">
                    <wps:wsp>
                      <wps:cNvSpPr txBox="1"/>
                      <wps:spPr>
                        <a:xfrm>
                          <a:off x="918210" y="590550"/>
                          <a:ext cx="1619250" cy="7448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FEADE73">
                            <w:pPr>
                              <w:rPr>
                                <w:rFonts w:hint="eastAsia"/>
                                <w:lang w:val="en-US" w:eastAsia="zh-CN"/>
                              </w:rPr>
                            </w:pPr>
                            <w:r>
                              <w:rPr>
                                <w:rFonts w:hint="eastAsia"/>
                                <w:lang w:val="en-US" w:eastAsia="zh-CN"/>
                              </w:rPr>
                              <w:t>X24</w:t>
                            </w:r>
                          </w:p>
                          <w:p w14:paraId="159302DC">
                            <w:pPr>
                              <w:rPr>
                                <w:rFonts w:hint="default"/>
                                <w:lang w:val="en-US" w:eastAsia="zh-CN"/>
                              </w:rPr>
                            </w:pPr>
                            <w:r>
                              <w:rPr>
                                <w:rFonts w:hint="eastAsia"/>
                                <w:lang w:val="en-US" w:eastAsia="zh-CN"/>
                              </w:rPr>
                              <w:t>67.180.10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pt;margin-top:18.15pt;height:58.65pt;width:127.5pt;z-index:251663360;mso-width-relative:page;mso-height-relative:page;" fillcolor="#FFFFFF [3201]" filled="t" stroked="f" coordsize="21600,21600" o:gfxdata="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AHyHvTAAAACAEA&#10;AA8AAAAAAAAAAQAgAAAAIgAAAGRycy9kb3ducmV2LnhtbFBLAQIUABQAAAAIAIdO4kAOUsZ5WAIA&#10;AJkEAAAOAAAAAAAAAAEAIAAAACIBAABkcnMvZTJvRG9jLnhtbFBLBQYAAAAABgAGAFkBAADsBQAA&#10;AAA=&#10;">
                <v:fill on="t" focussize="0,0"/>
                <v:stroke on="f" weight="0.5pt"/>
                <v:imagedata o:title=""/>
                <o:lock v:ext="edit" aspectratio="f"/>
                <v:textbox>
                  <w:txbxContent>
                    <w:p w14:paraId="1FEADE73">
                      <w:pPr>
                        <w:rPr>
                          <w:rFonts w:hint="eastAsia"/>
                          <w:lang w:val="en-US" w:eastAsia="zh-CN"/>
                        </w:rPr>
                      </w:pPr>
                      <w:r>
                        <w:rPr>
                          <w:rFonts w:hint="eastAsia"/>
                          <w:lang w:val="en-US" w:eastAsia="zh-CN"/>
                        </w:rPr>
                        <w:t>X24</w:t>
                      </w:r>
                    </w:p>
                    <w:p w14:paraId="159302DC">
                      <w:pPr>
                        <w:rPr>
                          <w:rFonts w:hint="default"/>
                          <w:lang w:val="en-US" w:eastAsia="zh-CN"/>
                        </w:rPr>
                      </w:pPr>
                      <w:r>
                        <w:rPr>
                          <w:rFonts w:hint="eastAsia"/>
                          <w:lang w:val="en-US" w:eastAsia="zh-CN"/>
                        </w:rPr>
                        <w:t>67.180.10</w:t>
                      </w:r>
                    </w:p>
                  </w:txbxContent>
                </v:textbox>
              </v:shape>
            </w:pict>
          </mc:Fallback>
        </mc:AlternateContent>
      </w:r>
    </w:p>
    <w:p w14:paraId="64EE3227">
      <w:pPr>
        <w:spacing w:line="600" w:lineRule="auto"/>
        <w:jc w:val="left"/>
        <w:rPr>
          <w:rFonts w:hint="eastAsia"/>
          <w:lang w:val="en-US" w:eastAsia="zh-CN"/>
        </w:rPr>
      </w:pPr>
    </w:p>
    <w:p w14:paraId="2A844CAA">
      <w:pPr>
        <w:spacing w:line="600" w:lineRule="auto"/>
        <w:jc w:val="left"/>
        <w:rPr>
          <w:rFonts w:hint="eastAsia"/>
          <w:lang w:val="en-US" w:eastAsia="zh-CN"/>
        </w:rPr>
      </w:pPr>
    </w:p>
    <w:p w14:paraId="60246826">
      <w:pPr>
        <w:spacing w:line="600" w:lineRule="auto"/>
        <w:jc w:val="left"/>
        <w:rPr>
          <w:rFonts w:hint="default"/>
          <w:lang w:val="en-US" w:eastAsia="zh-CN"/>
        </w:rPr>
        <w:sectPr>
          <w:pgSz w:w="11906" w:h="16838"/>
          <w:pgMar w:top="567" w:right="850" w:bottom="1134" w:left="1418" w:header="0" w:footer="0" w:gutter="0"/>
          <w:pgNumType w:start="1"/>
          <w:cols w:space="720" w:num="1"/>
          <w:docGrid w:type="lines" w:linePitch="312" w:charSpace="0"/>
        </w:sectPr>
      </w:pPr>
    </w:p>
    <w:sdt>
      <w:sdtPr>
        <w:rPr>
          <w:rFonts w:ascii="宋体" w:hAnsi="宋体"/>
        </w:rPr>
        <w:id w:val="147475853"/>
        <w15:color w:val="DBDBDB"/>
        <w:docPartObj>
          <w:docPartGallery w:val="Table of Contents"/>
          <w:docPartUnique/>
        </w:docPartObj>
      </w:sdtPr>
      <w:sdtEndPr>
        <w:rPr>
          <w:rFonts w:ascii="宋体" w:hAnsi="宋体"/>
          <w:b/>
        </w:rPr>
      </w:sdtEndPr>
      <w:sdtContent>
        <w:p w14:paraId="147DA0F0">
          <w:pPr>
            <w:jc w:val="center"/>
            <w:rPr>
              <w:rFonts w:hint="eastAsia" w:hAnsi="宋体"/>
              <w:sz w:val="44"/>
              <w:szCs w:val="44"/>
            </w:rPr>
          </w:pPr>
          <w:r>
            <w:rPr>
              <w:rFonts w:hAnsi="宋体"/>
              <w:sz w:val="44"/>
              <w:szCs w:val="44"/>
            </w:rPr>
            <w:t>目</w:t>
          </w:r>
          <w:r>
            <w:rPr>
              <w:rFonts w:hint="eastAsia" w:hAnsi="宋体"/>
              <w:sz w:val="44"/>
              <w:szCs w:val="44"/>
            </w:rPr>
            <w:t xml:space="preserve"> </w:t>
          </w:r>
          <w:r>
            <w:rPr>
              <w:rFonts w:hAnsi="宋体"/>
              <w:sz w:val="44"/>
              <w:szCs w:val="44"/>
            </w:rPr>
            <w:t xml:space="preserve"> </w:t>
          </w:r>
          <w:r>
            <w:rPr>
              <w:rFonts w:hint="eastAsia" w:hAnsi="宋体"/>
              <w:sz w:val="44"/>
              <w:szCs w:val="44"/>
            </w:rPr>
            <w:t>次</w:t>
          </w:r>
        </w:p>
        <w:p w14:paraId="66B44002">
          <w:pPr>
            <w:pStyle w:val="8"/>
            <w:tabs>
              <w:tab w:val="right" w:leader="dot" w:pos="9344"/>
            </w:tabs>
            <w:rPr>
              <w:rFonts w:asciiTheme="minorHAnsi" w:hAnsiTheme="minorHAnsi" w:eastAsiaTheme="minorEastAsia" w:cstheme="minorBidi"/>
              <w:szCs w:val="22"/>
            </w:rPr>
          </w:pPr>
          <w:r>
            <w:rPr>
              <w:rFonts w:ascii="宋体"/>
              <w:szCs w:val="21"/>
            </w:rPr>
            <w:fldChar w:fldCharType="begin"/>
          </w:r>
          <w:r>
            <w:instrText xml:space="preserve">TOC \o "1-2" \h \u </w:instrText>
          </w:r>
          <w:r>
            <w:rPr>
              <w:rFonts w:ascii="宋体"/>
              <w:szCs w:val="21"/>
            </w:rPr>
            <w:fldChar w:fldCharType="separate"/>
          </w:r>
          <w:r>
            <w:fldChar w:fldCharType="begin"/>
          </w:r>
          <w:r>
            <w:instrText xml:space="preserve"> HYPERLINK \l "_Toc184503822" </w:instrText>
          </w:r>
          <w:r>
            <w:fldChar w:fldCharType="separate"/>
          </w:r>
          <w:r>
            <w:rPr>
              <w:rStyle w:val="12"/>
              <w:rFonts w:hAnsi="Cambria"/>
            </w:rPr>
            <w:t>前  言</w:t>
          </w:r>
          <w:r>
            <w:tab/>
          </w:r>
          <w:r>
            <w:fldChar w:fldCharType="begin"/>
          </w:r>
          <w:r>
            <w:instrText xml:space="preserve"> PAGEREF _Toc184503822 \h </w:instrText>
          </w:r>
          <w:r>
            <w:fldChar w:fldCharType="separate"/>
          </w:r>
          <w:r>
            <w:t>I</w:t>
          </w:r>
          <w:r>
            <w:fldChar w:fldCharType="end"/>
          </w:r>
          <w:r>
            <w:fldChar w:fldCharType="end"/>
          </w:r>
        </w:p>
        <w:p w14:paraId="2C0887FC">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"_Toc184503823" </w:instrText>
          </w:r>
          <w:r>
            <w:fldChar w:fldCharType="separate"/>
          </w:r>
          <w:r>
            <w:rPr>
              <w:rStyle w:val="12"/>
              <w:rFonts w:hAnsi="黑体" w:eastAsia="黑体"/>
            </w:rPr>
            <w:t>1 范围</w:t>
          </w:r>
          <w:r>
            <w:tab/>
          </w:r>
          <w:r>
            <w:fldChar w:fldCharType="begin"/>
          </w:r>
          <w:r>
            <w:instrText xml:space="preserve"> PAGEREF _Toc184503823 \h </w:instrText>
          </w:r>
          <w:r>
            <w:fldChar w:fldCharType="separate"/>
          </w:r>
          <w:r>
            <w:t>1</w:t>
          </w:r>
          <w:r>
            <w:fldChar w:fldCharType="end"/>
          </w:r>
          <w:r>
            <w:fldChar w:fldCharType="end"/>
          </w:r>
        </w:p>
        <w:p w14:paraId="5E55A0AB">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"_Toc184503824" </w:instrText>
          </w:r>
          <w:r>
            <w:fldChar w:fldCharType="separate"/>
          </w:r>
          <w:r>
            <w:rPr>
              <w:rStyle w:val="12"/>
              <w:rFonts w:hAnsi="黑体" w:eastAsia="黑体"/>
            </w:rPr>
            <w:t>2 规范性引用文件</w:t>
          </w:r>
          <w:r>
            <w:tab/>
          </w:r>
          <w:r>
            <w:fldChar w:fldCharType="begin"/>
          </w:r>
          <w:r>
            <w:instrText xml:space="preserve"> PAGEREF _Toc184503824 \h </w:instrText>
          </w:r>
          <w:r>
            <w:fldChar w:fldCharType="separate"/>
          </w:r>
          <w:r>
            <w:t>1</w:t>
          </w:r>
          <w:r>
            <w:fldChar w:fldCharType="end"/>
          </w:r>
          <w:r>
            <w:fldChar w:fldCharType="end"/>
          </w:r>
        </w:p>
        <w:p w14:paraId="16019CF6">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"_Toc184503825" </w:instrText>
          </w:r>
          <w:r>
            <w:fldChar w:fldCharType="separate"/>
          </w:r>
          <w:r>
            <w:rPr>
              <w:rStyle w:val="12"/>
              <w:rFonts w:hAnsi="黑体" w:eastAsia="黑体"/>
            </w:rPr>
            <w:t>3 技术要求</w:t>
          </w:r>
          <w:r>
            <w:tab/>
          </w:r>
          <w:r>
            <w:fldChar w:fldCharType="begin"/>
          </w:r>
          <w:r>
            <w:instrText xml:space="preserve"> PAGEREF _Toc184503825 \h </w:instrText>
          </w:r>
          <w:r>
            <w:fldChar w:fldCharType="separate"/>
          </w:r>
          <w:r>
            <w:t>2</w:t>
          </w:r>
          <w:r>
            <w:fldChar w:fldCharType="end"/>
          </w:r>
          <w:r>
            <w:fldChar w:fldCharType="end"/>
          </w:r>
        </w:p>
        <w:p w14:paraId="56EF3EDD">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"_Toc184503826" </w:instrText>
          </w:r>
          <w:r>
            <w:fldChar w:fldCharType="separate"/>
          </w:r>
          <w:r>
            <w:rPr>
              <w:rStyle w:val="12"/>
              <w:rFonts w:hAnsi="宋体"/>
            </w:rPr>
            <w:t>3.1环境要求</w:t>
          </w:r>
          <w:r>
            <w:tab/>
          </w:r>
          <w:r>
            <w:fldChar w:fldCharType="begin"/>
          </w:r>
          <w:r>
            <w:instrText xml:space="preserve"> PAGEREF _Toc184503826 \h </w:instrText>
          </w:r>
          <w:r>
            <w:fldChar w:fldCharType="separate"/>
          </w:r>
          <w:r>
            <w:t>2</w:t>
          </w:r>
          <w:r>
            <w:fldChar w:fldCharType="end"/>
          </w:r>
          <w:r>
            <w:fldChar w:fldCharType="end"/>
          </w:r>
        </w:p>
        <w:p w14:paraId="334B98A6">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"_Toc184503827" </w:instrText>
          </w:r>
          <w:r>
            <w:fldChar w:fldCharType="separate"/>
          </w:r>
          <w:r>
            <w:rPr>
              <w:rStyle w:val="12"/>
              <w:rFonts w:hAnsi="宋体"/>
            </w:rPr>
            <w:t>3.2原料要求</w:t>
          </w:r>
          <w:r>
            <w:tab/>
          </w:r>
          <w:r>
            <w:fldChar w:fldCharType="begin"/>
          </w:r>
          <w:r>
            <w:instrText xml:space="preserve"> PAGEREF _Toc184503827 \h </w:instrText>
          </w:r>
          <w:r>
            <w:fldChar w:fldCharType="separate"/>
          </w:r>
          <w:r>
            <w:t>2</w:t>
          </w:r>
          <w:r>
            <w:fldChar w:fldCharType="end"/>
          </w:r>
          <w:r>
            <w:fldChar w:fldCharType="end"/>
          </w:r>
        </w:p>
        <w:p w14:paraId="762BF583">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"_Toc184503828" </w:instrText>
          </w:r>
          <w:r>
            <w:fldChar w:fldCharType="separate"/>
          </w:r>
          <w:r>
            <w:rPr>
              <w:rStyle w:val="12"/>
              <w:rFonts w:hAnsi="黑体" w:eastAsia="黑体"/>
            </w:rPr>
            <w:t>4 加工工艺</w:t>
          </w:r>
          <w:r>
            <w:tab/>
          </w:r>
          <w:r>
            <w:fldChar w:fldCharType="begin"/>
          </w:r>
          <w:r>
            <w:instrText xml:space="preserve"> PAGEREF _Toc184503828 \h </w:instrText>
          </w:r>
          <w:r>
            <w:fldChar w:fldCharType="separate"/>
          </w:r>
          <w:r>
            <w:t>2</w:t>
          </w:r>
          <w:r>
            <w:fldChar w:fldCharType="end"/>
          </w:r>
          <w:r>
            <w:fldChar w:fldCharType="end"/>
          </w:r>
        </w:p>
        <w:p w14:paraId="0F76A14C">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"_Toc184503829" </w:instrText>
          </w:r>
          <w:r>
            <w:fldChar w:fldCharType="separate"/>
          </w:r>
          <w:r>
            <w:rPr>
              <w:rStyle w:val="12"/>
              <w:rFonts w:hAnsi="宋体"/>
            </w:rPr>
            <w:t>4.1 选果</w:t>
          </w:r>
          <w:r>
            <w:tab/>
          </w:r>
          <w:r>
            <w:fldChar w:fldCharType="begin"/>
          </w:r>
          <w:r>
            <w:instrText xml:space="preserve"> PAGEREF _Toc184503829 \h </w:instrText>
          </w:r>
          <w:r>
            <w:fldChar w:fldCharType="separate"/>
          </w:r>
          <w:r>
            <w:t>2</w:t>
          </w:r>
          <w:r>
            <w:fldChar w:fldCharType="end"/>
          </w:r>
          <w:r>
            <w:fldChar w:fldCharType="end"/>
          </w:r>
        </w:p>
        <w:p w14:paraId="55169A14">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"_Toc184503830" </w:instrText>
          </w:r>
          <w:r>
            <w:fldChar w:fldCharType="separate"/>
          </w:r>
          <w:r>
            <w:rPr>
              <w:rStyle w:val="12"/>
              <w:rFonts w:hAnsi="宋体"/>
            </w:rPr>
            <w:t>4.2 剥片</w:t>
          </w:r>
          <w:r>
            <w:tab/>
          </w:r>
          <w:r>
            <w:fldChar w:fldCharType="begin"/>
          </w:r>
          <w:r>
            <w:instrText xml:space="preserve"> PAGEREF _Toc184503830 \h </w:instrText>
          </w:r>
          <w:r>
            <w:fldChar w:fldCharType="separate"/>
          </w:r>
          <w:r>
            <w:t>2</w:t>
          </w:r>
          <w:r>
            <w:fldChar w:fldCharType="end"/>
          </w:r>
          <w:r>
            <w:fldChar w:fldCharType="end"/>
          </w:r>
        </w:p>
        <w:p w14:paraId="5F21D751">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"_Toc184503831" </w:instrText>
          </w:r>
          <w:r>
            <w:fldChar w:fldCharType="separate"/>
          </w:r>
          <w:r>
            <w:rPr>
              <w:rStyle w:val="12"/>
              <w:rFonts w:hAnsi="宋体"/>
            </w:rPr>
            <w:t>4.3 洗果</w:t>
          </w:r>
          <w:r>
            <w:tab/>
          </w:r>
          <w:r>
            <w:fldChar w:fldCharType="begin"/>
          </w:r>
          <w:r>
            <w:instrText xml:space="preserve"> PAGEREF _Toc184503831 \h </w:instrText>
          </w:r>
          <w:r>
            <w:fldChar w:fldCharType="separate"/>
          </w:r>
          <w:r>
            <w:t>2</w:t>
          </w:r>
          <w:r>
            <w:fldChar w:fldCharType="end"/>
          </w:r>
          <w:r>
            <w:fldChar w:fldCharType="end"/>
          </w:r>
        </w:p>
        <w:p w14:paraId="304E2767">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"_Toc184503832" </w:instrText>
          </w:r>
          <w:r>
            <w:fldChar w:fldCharType="separate"/>
          </w:r>
          <w:r>
            <w:rPr>
              <w:rStyle w:val="12"/>
              <w:rFonts w:hAnsi="宋体"/>
            </w:rPr>
            <w:t>4.4 熬浆</w:t>
          </w:r>
          <w:r>
            <w:tab/>
          </w:r>
          <w:r>
            <w:fldChar w:fldCharType="begin"/>
          </w:r>
          <w:r>
            <w:instrText xml:space="preserve"> PAGEREF _Toc184503832 \h </w:instrText>
          </w:r>
          <w:r>
            <w:fldChar w:fldCharType="separate"/>
          </w:r>
          <w:r>
            <w:t>2</w:t>
          </w:r>
          <w:r>
            <w:fldChar w:fldCharType="end"/>
          </w:r>
          <w:r>
            <w:fldChar w:fldCharType="end"/>
          </w:r>
        </w:p>
        <w:p w14:paraId="414A6040">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"_Toc184503833" </w:instrText>
          </w:r>
          <w:r>
            <w:fldChar w:fldCharType="separate"/>
          </w:r>
          <w:r>
            <w:rPr>
              <w:rStyle w:val="12"/>
              <w:rFonts w:hAnsi="宋体"/>
            </w:rPr>
            <w:t>4.5 熬糖</w:t>
          </w:r>
          <w:r>
            <w:tab/>
          </w:r>
          <w:r>
            <w:fldChar w:fldCharType="begin"/>
          </w:r>
          <w:r>
            <w:instrText xml:space="preserve"> PAGEREF _Toc184503833 \h </w:instrText>
          </w:r>
          <w:r>
            <w:fldChar w:fldCharType="separate"/>
          </w:r>
          <w:r>
            <w:t>2</w:t>
          </w:r>
          <w:r>
            <w:fldChar w:fldCharType="end"/>
          </w:r>
          <w:r>
            <w:fldChar w:fldCharType="end"/>
          </w:r>
        </w:p>
        <w:p w14:paraId="5D5B5C2D">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"_Toc184503834" </w:instrText>
          </w:r>
          <w:r>
            <w:fldChar w:fldCharType="separate"/>
          </w:r>
          <w:r>
            <w:rPr>
              <w:rStyle w:val="12"/>
              <w:rFonts w:hAnsi="宋体"/>
            </w:rPr>
            <w:t>4.6 配浆搅拌</w:t>
          </w:r>
          <w:r>
            <w:tab/>
          </w:r>
          <w:r>
            <w:fldChar w:fldCharType="begin"/>
          </w:r>
          <w:r>
            <w:instrText xml:space="preserve"> PAGEREF _Toc184503834 \h </w:instrText>
          </w:r>
          <w:r>
            <w:fldChar w:fldCharType="separate"/>
          </w:r>
          <w:r>
            <w:t>3</w:t>
          </w:r>
          <w:r>
            <w:fldChar w:fldCharType="end"/>
          </w:r>
          <w:r>
            <w:fldChar w:fldCharType="end"/>
          </w:r>
        </w:p>
        <w:p w14:paraId="14EC1DE4">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"_Toc184503835" </w:instrText>
          </w:r>
          <w:r>
            <w:fldChar w:fldCharType="separate"/>
          </w:r>
          <w:r>
            <w:rPr>
              <w:rStyle w:val="12"/>
              <w:rFonts w:hAnsi="宋体"/>
            </w:rPr>
            <w:t>4.7 置盘</w:t>
          </w:r>
          <w:r>
            <w:tab/>
          </w:r>
          <w:r>
            <w:fldChar w:fldCharType="begin"/>
          </w:r>
          <w:r>
            <w:instrText xml:space="preserve"> PAGEREF _Toc184503835 \h </w:instrText>
          </w:r>
          <w:r>
            <w:fldChar w:fldCharType="separate"/>
          </w:r>
          <w:r>
            <w:t>3</w:t>
          </w:r>
          <w:r>
            <w:fldChar w:fldCharType="end"/>
          </w:r>
          <w:r>
            <w:fldChar w:fldCharType="end"/>
          </w:r>
        </w:p>
        <w:p w14:paraId="41436AC0">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"_Toc184503836" </w:instrText>
          </w:r>
          <w:r>
            <w:fldChar w:fldCharType="separate"/>
          </w:r>
          <w:r>
            <w:rPr>
              <w:rStyle w:val="12"/>
              <w:rFonts w:hAnsi="宋体"/>
            </w:rPr>
            <w:t>4.8 干燥、冷却</w:t>
          </w:r>
          <w:r>
            <w:tab/>
          </w:r>
          <w:r>
            <w:fldChar w:fldCharType="begin"/>
          </w:r>
          <w:r>
            <w:instrText xml:space="preserve"> PAGEREF _Toc184503836 \h </w:instrText>
          </w:r>
          <w:r>
            <w:fldChar w:fldCharType="separate"/>
          </w:r>
          <w:r>
            <w:t>3</w:t>
          </w:r>
          <w:r>
            <w:fldChar w:fldCharType="end"/>
          </w:r>
          <w:r>
            <w:fldChar w:fldCharType="end"/>
          </w:r>
        </w:p>
        <w:p w14:paraId="5263270F">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"_Toc184503837" </w:instrText>
          </w:r>
          <w:r>
            <w:fldChar w:fldCharType="separate"/>
          </w:r>
          <w:r>
            <w:rPr>
              <w:rStyle w:val="12"/>
              <w:rFonts w:hAnsi="宋体"/>
            </w:rPr>
            <w:t>4.9 分切、包装</w:t>
          </w:r>
          <w:r>
            <w:tab/>
          </w:r>
          <w:r>
            <w:fldChar w:fldCharType="begin"/>
          </w:r>
          <w:r>
            <w:instrText xml:space="preserve"> PAGEREF _Toc184503837 \h </w:instrText>
          </w:r>
          <w:r>
            <w:fldChar w:fldCharType="separate"/>
          </w:r>
          <w:r>
            <w:t>3</w:t>
          </w:r>
          <w:r>
            <w:fldChar w:fldCharType="end"/>
          </w:r>
          <w:r>
            <w:fldChar w:fldCharType="end"/>
          </w:r>
        </w:p>
        <w:p w14:paraId="40DE4616">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"_Toc184503838" </w:instrText>
          </w:r>
          <w:r>
            <w:fldChar w:fldCharType="separate"/>
          </w:r>
          <w:r>
            <w:rPr>
              <w:rStyle w:val="12"/>
              <w:rFonts w:hAnsi="黑体" w:eastAsia="黑体"/>
            </w:rPr>
            <w:t>5 质量要求</w:t>
          </w:r>
          <w:r>
            <w:tab/>
          </w:r>
          <w:r>
            <w:fldChar w:fldCharType="begin"/>
          </w:r>
          <w:r>
            <w:instrText xml:space="preserve"> PAGEREF _Toc184503838 \h </w:instrText>
          </w:r>
          <w:r>
            <w:fldChar w:fldCharType="separate"/>
          </w:r>
          <w:r>
            <w:t>3</w:t>
          </w:r>
          <w:r>
            <w:fldChar w:fldCharType="end"/>
          </w:r>
          <w:r>
            <w:fldChar w:fldCharType="end"/>
          </w:r>
        </w:p>
        <w:p w14:paraId="2A339974">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"_Toc184503839" </w:instrText>
          </w:r>
          <w:r>
            <w:fldChar w:fldCharType="separate"/>
          </w:r>
          <w:r>
            <w:rPr>
              <w:rStyle w:val="12"/>
              <w:rFonts w:hAnsi="宋体"/>
            </w:rPr>
            <w:t>5.1 感官要求</w:t>
          </w:r>
          <w:r>
            <w:tab/>
          </w:r>
          <w:r>
            <w:fldChar w:fldCharType="begin"/>
          </w:r>
          <w:r>
            <w:instrText xml:space="preserve"> PAGEREF _Toc184503839 \h </w:instrText>
          </w:r>
          <w:r>
            <w:fldChar w:fldCharType="separate"/>
          </w:r>
          <w:r>
            <w:t>3</w:t>
          </w:r>
          <w:r>
            <w:fldChar w:fldCharType="end"/>
          </w:r>
          <w:r>
            <w:fldChar w:fldCharType="end"/>
          </w:r>
        </w:p>
        <w:p w14:paraId="1892BA5B">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"_Toc184503840" </w:instrText>
          </w:r>
          <w:r>
            <w:fldChar w:fldCharType="separate"/>
          </w:r>
          <w:r>
            <w:rPr>
              <w:rStyle w:val="12"/>
              <w:rFonts w:hAnsi="宋体"/>
            </w:rPr>
            <w:t>5.2理化指标</w:t>
          </w:r>
          <w:r>
            <w:tab/>
          </w:r>
          <w:r>
            <w:fldChar w:fldCharType="begin"/>
          </w:r>
          <w:r>
            <w:instrText xml:space="preserve"> PAGEREF _Toc184503840 \h </w:instrText>
          </w:r>
          <w:r>
            <w:fldChar w:fldCharType="separate"/>
          </w:r>
          <w:r>
            <w:t>3</w:t>
          </w:r>
          <w:r>
            <w:fldChar w:fldCharType="end"/>
          </w:r>
          <w:r>
            <w:fldChar w:fldCharType="end"/>
          </w:r>
        </w:p>
        <w:p w14:paraId="5003E5E9">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"_Toc184503841" </w:instrText>
          </w:r>
          <w:r>
            <w:fldChar w:fldCharType="separate"/>
          </w:r>
          <w:r>
            <w:rPr>
              <w:rStyle w:val="12"/>
              <w:rFonts w:hAnsi="宋体"/>
            </w:rPr>
            <w:t>5.3微生物限量</w:t>
          </w:r>
          <w:r>
            <w:tab/>
          </w:r>
          <w:r>
            <w:fldChar w:fldCharType="begin"/>
          </w:r>
          <w:r>
            <w:instrText xml:space="preserve"> PAGEREF _Toc184503841 \h </w:instrText>
          </w:r>
          <w:r>
            <w:fldChar w:fldCharType="separate"/>
          </w:r>
          <w:r>
            <w:t>4</w:t>
          </w:r>
          <w:r>
            <w:fldChar w:fldCharType="end"/>
          </w:r>
          <w:r>
            <w:fldChar w:fldCharType="end"/>
          </w:r>
        </w:p>
        <w:p w14:paraId="409805F8">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"_Toc184503842" </w:instrText>
          </w:r>
          <w:r>
            <w:fldChar w:fldCharType="separate"/>
          </w:r>
          <w:r>
            <w:rPr>
              <w:rStyle w:val="12"/>
              <w:rFonts w:hAnsi="宋体"/>
            </w:rPr>
            <w:t>5.4真菌毒素限量、污染物限量、农药残留限量</w:t>
          </w:r>
          <w:r>
            <w:tab/>
          </w:r>
          <w:r>
            <w:fldChar w:fldCharType="begin"/>
          </w:r>
          <w:r>
            <w:instrText xml:space="preserve"> PAGEREF _Toc184503842 \h </w:instrText>
          </w:r>
          <w:r>
            <w:fldChar w:fldCharType="separate"/>
          </w:r>
          <w:r>
            <w:t>4</w:t>
          </w:r>
          <w:r>
            <w:fldChar w:fldCharType="end"/>
          </w:r>
          <w:r>
            <w:fldChar w:fldCharType="end"/>
          </w:r>
        </w:p>
        <w:p w14:paraId="2329CB45">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"_Toc184503843" </w:instrText>
          </w:r>
          <w:r>
            <w:fldChar w:fldCharType="separate"/>
          </w:r>
          <w:r>
            <w:rPr>
              <w:rStyle w:val="12"/>
              <w:rFonts w:hAnsi="宋体"/>
            </w:rPr>
            <w:t>5.5食品添加剂</w:t>
          </w:r>
          <w:r>
            <w:tab/>
          </w:r>
          <w:r>
            <w:fldChar w:fldCharType="begin"/>
          </w:r>
          <w:r>
            <w:instrText xml:space="preserve"> PAGEREF _Toc184503843 \h </w:instrText>
          </w:r>
          <w:r>
            <w:fldChar w:fldCharType="separate"/>
          </w:r>
          <w:r>
            <w:t>4</w:t>
          </w:r>
          <w:r>
            <w:fldChar w:fldCharType="end"/>
          </w:r>
          <w:r>
            <w:fldChar w:fldCharType="end"/>
          </w:r>
        </w:p>
        <w:p w14:paraId="1567D72F">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"_Toc184503844" </w:instrText>
          </w:r>
          <w:r>
            <w:fldChar w:fldCharType="separate"/>
          </w:r>
          <w:r>
            <w:rPr>
              <w:rStyle w:val="12"/>
              <w:rFonts w:hAnsi="宋体"/>
            </w:rPr>
            <w:t>5.6净含量</w:t>
          </w:r>
          <w:r>
            <w:tab/>
          </w:r>
          <w:r>
            <w:fldChar w:fldCharType="begin"/>
          </w:r>
          <w:r>
            <w:instrText xml:space="preserve"> PAGEREF _Toc184503844 \h </w:instrText>
          </w:r>
          <w:r>
            <w:fldChar w:fldCharType="separate"/>
          </w:r>
          <w:r>
            <w:t>4</w:t>
          </w:r>
          <w:r>
            <w:fldChar w:fldCharType="end"/>
          </w:r>
          <w:r>
            <w:fldChar w:fldCharType="end"/>
          </w:r>
        </w:p>
        <w:p w14:paraId="4BB6D3A1">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"_Toc184503845" </w:instrText>
          </w:r>
          <w:r>
            <w:fldChar w:fldCharType="separate"/>
          </w:r>
          <w:r>
            <w:rPr>
              <w:rStyle w:val="12"/>
              <w:rFonts w:hAnsi="宋体"/>
            </w:rPr>
            <w:t>5.7 生产加工过程卫生要求</w:t>
          </w:r>
          <w:r>
            <w:tab/>
          </w:r>
          <w:r>
            <w:fldChar w:fldCharType="begin"/>
          </w:r>
          <w:r>
            <w:instrText xml:space="preserve"> PAGEREF _Toc184503845 \h </w:instrText>
          </w:r>
          <w:r>
            <w:fldChar w:fldCharType="separate"/>
          </w:r>
          <w:r>
            <w:t>4</w:t>
          </w:r>
          <w:r>
            <w:fldChar w:fldCharType="end"/>
          </w:r>
          <w:r>
            <w:fldChar w:fldCharType="end"/>
          </w:r>
        </w:p>
        <w:p w14:paraId="3FE1B21D">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"_Toc184503846" </w:instrText>
          </w:r>
          <w:r>
            <w:fldChar w:fldCharType="separate"/>
          </w:r>
          <w:r>
            <w:rPr>
              <w:rStyle w:val="12"/>
              <w:rFonts w:hAnsi="黑体" w:eastAsia="黑体"/>
            </w:rPr>
            <w:t>6 检验规则</w:t>
          </w:r>
          <w:r>
            <w:tab/>
          </w:r>
          <w:r>
            <w:fldChar w:fldCharType="begin"/>
          </w:r>
          <w:r>
            <w:instrText xml:space="preserve"> PAGEREF _Toc184503846 \h </w:instrText>
          </w:r>
          <w:r>
            <w:fldChar w:fldCharType="separate"/>
          </w:r>
          <w:r>
            <w:t>4</w:t>
          </w:r>
          <w:r>
            <w:fldChar w:fldCharType="end"/>
          </w:r>
          <w:r>
            <w:fldChar w:fldCharType="end"/>
          </w:r>
        </w:p>
        <w:p w14:paraId="507AC838">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"_Toc184503847" </w:instrText>
          </w:r>
          <w:r>
            <w:fldChar w:fldCharType="separate"/>
          </w:r>
          <w:r>
            <w:rPr>
              <w:rStyle w:val="12"/>
              <w:rFonts w:hAnsi="宋体"/>
            </w:rPr>
            <w:t>6.1 组批</w:t>
          </w:r>
          <w:r>
            <w:tab/>
          </w:r>
          <w:r>
            <w:fldChar w:fldCharType="begin"/>
          </w:r>
          <w:r>
            <w:instrText xml:space="preserve"> PAGEREF _Toc184503847 \h </w:instrText>
          </w:r>
          <w:r>
            <w:fldChar w:fldCharType="separate"/>
          </w:r>
          <w:r>
            <w:t>4</w:t>
          </w:r>
          <w:r>
            <w:fldChar w:fldCharType="end"/>
          </w:r>
          <w:r>
            <w:fldChar w:fldCharType="end"/>
          </w:r>
        </w:p>
        <w:p w14:paraId="115FE357">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"_Toc184503848" </w:instrText>
          </w:r>
          <w:r>
            <w:fldChar w:fldCharType="separate"/>
          </w:r>
          <w:r>
            <w:rPr>
              <w:rStyle w:val="12"/>
              <w:rFonts w:hAnsi="宋体"/>
            </w:rPr>
            <w:t>6.2抽样</w:t>
          </w:r>
          <w:r>
            <w:tab/>
          </w:r>
          <w:r>
            <w:fldChar w:fldCharType="begin"/>
          </w:r>
          <w:r>
            <w:instrText xml:space="preserve"> PAGEREF _Toc184503848 \h </w:instrText>
          </w:r>
          <w:r>
            <w:fldChar w:fldCharType="separate"/>
          </w:r>
          <w:r>
            <w:t>4</w:t>
          </w:r>
          <w:r>
            <w:fldChar w:fldCharType="end"/>
          </w:r>
          <w:r>
            <w:fldChar w:fldCharType="end"/>
          </w:r>
        </w:p>
        <w:p w14:paraId="26A12FAA">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"_Toc184503849" </w:instrText>
          </w:r>
          <w:r>
            <w:fldChar w:fldCharType="separate"/>
          </w:r>
          <w:r>
            <w:rPr>
              <w:rStyle w:val="12"/>
              <w:rFonts w:hAnsi="宋体"/>
            </w:rPr>
            <w:t>6.3出厂检验</w:t>
          </w:r>
          <w:r>
            <w:tab/>
          </w:r>
          <w:r>
            <w:fldChar w:fldCharType="begin"/>
          </w:r>
          <w:r>
            <w:instrText xml:space="preserve"> PAGEREF _Toc184503849 \h </w:instrText>
          </w:r>
          <w:r>
            <w:fldChar w:fldCharType="separate"/>
          </w:r>
          <w:r>
            <w:t>4</w:t>
          </w:r>
          <w:r>
            <w:fldChar w:fldCharType="end"/>
          </w:r>
          <w:r>
            <w:fldChar w:fldCharType="end"/>
          </w:r>
        </w:p>
        <w:p w14:paraId="10AE42EF">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"_Toc184503850" </w:instrText>
          </w:r>
          <w:r>
            <w:fldChar w:fldCharType="separate"/>
          </w:r>
          <w:r>
            <w:rPr>
              <w:rStyle w:val="12"/>
              <w:rFonts w:hAnsi="宋体"/>
            </w:rPr>
            <w:t>6.4型式检验</w:t>
          </w:r>
          <w:r>
            <w:tab/>
          </w:r>
          <w:r>
            <w:fldChar w:fldCharType="begin"/>
          </w:r>
          <w:r>
            <w:instrText xml:space="preserve"> PAGEREF _Toc184503850 \h </w:instrText>
          </w:r>
          <w:r>
            <w:fldChar w:fldCharType="separate"/>
          </w:r>
          <w:r>
            <w:t>4</w:t>
          </w:r>
          <w:r>
            <w:fldChar w:fldCharType="end"/>
          </w:r>
          <w:r>
            <w:fldChar w:fldCharType="end"/>
          </w:r>
        </w:p>
        <w:p w14:paraId="084A8AD1">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"_Toc184503851" </w:instrText>
          </w:r>
          <w:r>
            <w:fldChar w:fldCharType="separate"/>
          </w:r>
          <w:r>
            <w:rPr>
              <w:rStyle w:val="12"/>
              <w:rFonts w:hAnsi="宋体"/>
            </w:rPr>
            <w:t>6.5判定规则</w:t>
          </w:r>
          <w:r>
            <w:tab/>
          </w:r>
          <w:r>
            <w:fldChar w:fldCharType="begin"/>
          </w:r>
          <w:r>
            <w:instrText xml:space="preserve"> PAGEREF _Toc184503851 \h </w:instrText>
          </w:r>
          <w:r>
            <w:fldChar w:fldCharType="separate"/>
          </w:r>
          <w:r>
            <w:t>5</w:t>
          </w:r>
          <w:r>
            <w:fldChar w:fldCharType="end"/>
          </w:r>
          <w:r>
            <w:fldChar w:fldCharType="end"/>
          </w:r>
        </w:p>
        <w:p w14:paraId="2EBC2C0C">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"_Toc184503852" </w:instrText>
          </w:r>
          <w:r>
            <w:fldChar w:fldCharType="separate"/>
          </w:r>
          <w:r>
            <w:rPr>
              <w:rStyle w:val="12"/>
              <w:rFonts w:hAnsi="黑体" w:eastAsia="黑体"/>
            </w:rPr>
            <w:t>7 标签、标志、包装</w:t>
          </w:r>
          <w:r>
            <w:tab/>
          </w:r>
          <w:r>
            <w:fldChar w:fldCharType="begin"/>
          </w:r>
          <w:r>
            <w:instrText xml:space="preserve"> PAGEREF _Toc184503852 \h </w:instrText>
          </w:r>
          <w:r>
            <w:fldChar w:fldCharType="separate"/>
          </w:r>
          <w:r>
            <w:t>5</w:t>
          </w:r>
          <w:r>
            <w:fldChar w:fldCharType="end"/>
          </w:r>
          <w:r>
            <w:fldChar w:fldCharType="end"/>
          </w:r>
        </w:p>
        <w:p w14:paraId="03F2A413">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"_Toc184503853" </w:instrText>
          </w:r>
          <w:r>
            <w:fldChar w:fldCharType="separate"/>
          </w:r>
          <w:r>
            <w:rPr>
              <w:rStyle w:val="12"/>
              <w:rFonts w:hAnsi="宋体"/>
            </w:rPr>
            <w:t>7.1 标签</w:t>
          </w:r>
          <w:r>
            <w:tab/>
          </w:r>
          <w:r>
            <w:fldChar w:fldCharType="begin"/>
          </w:r>
          <w:r>
            <w:instrText xml:space="preserve"> PAGEREF _Toc184503853 \h </w:instrText>
          </w:r>
          <w:r>
            <w:fldChar w:fldCharType="separate"/>
          </w:r>
          <w:r>
            <w:t>5</w:t>
          </w:r>
          <w:r>
            <w:fldChar w:fldCharType="end"/>
          </w:r>
          <w:r>
            <w:fldChar w:fldCharType="end"/>
          </w:r>
        </w:p>
        <w:p w14:paraId="0E8D2CF8">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"_Toc184503854" </w:instrText>
          </w:r>
          <w:r>
            <w:fldChar w:fldCharType="separate"/>
          </w:r>
          <w:r>
            <w:rPr>
              <w:rStyle w:val="12"/>
              <w:rFonts w:hAnsi="宋体"/>
            </w:rPr>
            <w:t>7.2标志</w:t>
          </w:r>
          <w:r>
            <w:tab/>
          </w:r>
          <w:r>
            <w:fldChar w:fldCharType="begin"/>
          </w:r>
          <w:r>
            <w:instrText xml:space="preserve"> PAGEREF _Toc184503854 \h </w:instrText>
          </w:r>
          <w:r>
            <w:fldChar w:fldCharType="separate"/>
          </w:r>
          <w:r>
            <w:t>5</w:t>
          </w:r>
          <w:r>
            <w:fldChar w:fldCharType="end"/>
          </w:r>
          <w:r>
            <w:fldChar w:fldCharType="end"/>
          </w:r>
        </w:p>
        <w:p w14:paraId="5902E52F">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"_Toc184503855" </w:instrText>
          </w:r>
          <w:r>
            <w:fldChar w:fldCharType="separate"/>
          </w:r>
          <w:r>
            <w:rPr>
              <w:rStyle w:val="12"/>
              <w:rFonts w:hAnsi="宋体"/>
            </w:rPr>
            <w:t>7.3包装</w:t>
          </w:r>
          <w:r>
            <w:tab/>
          </w:r>
          <w:r>
            <w:fldChar w:fldCharType="begin"/>
          </w:r>
          <w:r>
            <w:instrText xml:space="preserve"> PAGEREF _Toc184503855 \h </w:instrText>
          </w:r>
          <w:r>
            <w:fldChar w:fldCharType="separate"/>
          </w:r>
          <w:r>
            <w:t>5</w:t>
          </w:r>
          <w:r>
            <w:fldChar w:fldCharType="end"/>
          </w:r>
          <w:r>
            <w:fldChar w:fldCharType="end"/>
          </w:r>
        </w:p>
        <w:p w14:paraId="5F1F13AA">
          <w:pPr>
            <w:pStyle w:val="8"/>
            <w:tabs>
              <w:tab w:val="right" w:leader="dot" w:pos="9344"/>
            </w:tabs>
            <w:rPr>
              <w:rFonts w:asciiTheme="minorHAnsi" w:hAnsiTheme="minorHAnsi" w:eastAsiaTheme="minorEastAsia" w:cstheme="minorBidi"/>
              <w:szCs w:val="22"/>
            </w:rPr>
          </w:pPr>
          <w:r>
            <w:fldChar w:fldCharType="begin"/>
          </w:r>
          <w:r>
            <w:instrText xml:space="preserve"> HYPERLINK \l "_Toc184503856" </w:instrText>
          </w:r>
          <w:r>
            <w:fldChar w:fldCharType="separate"/>
          </w:r>
          <w:r>
            <w:rPr>
              <w:rStyle w:val="12"/>
              <w:rFonts w:hAnsi="黑体" w:eastAsia="黑体"/>
            </w:rPr>
            <w:t>8 贮存和运输</w:t>
          </w:r>
          <w:r>
            <w:tab/>
          </w:r>
          <w:r>
            <w:fldChar w:fldCharType="begin"/>
          </w:r>
          <w:r>
            <w:instrText xml:space="preserve"> PAGEREF _Toc184503856 \h </w:instrText>
          </w:r>
          <w:r>
            <w:fldChar w:fldCharType="separate"/>
          </w:r>
          <w:r>
            <w:t>5</w:t>
          </w:r>
          <w:r>
            <w:fldChar w:fldCharType="end"/>
          </w:r>
          <w:r>
            <w:fldChar w:fldCharType="end"/>
          </w:r>
        </w:p>
        <w:p w14:paraId="51984537">
          <w:pPr>
            <w:rPr>
              <w:b/>
            </w:rPr>
          </w:pPr>
          <w:r>
            <w:fldChar w:fldCharType="end"/>
          </w:r>
        </w:p>
      </w:sdtContent>
    </w:sdt>
    <w:p w14:paraId="59A42453">
      <w:pPr>
        <w:widowControl/>
        <w:jc w:val="left"/>
        <w:rPr>
          <w:b/>
        </w:rPr>
      </w:pPr>
      <w:r>
        <w:rPr>
          <w:b/>
        </w:rPr>
        <w:br w:type="page"/>
      </w:r>
    </w:p>
    <w:p w14:paraId="68A143FF">
      <w:pPr>
        <w:rPr>
          <w:b/>
        </w:rPr>
      </w:pPr>
    </w:p>
    <w:p w14:paraId="091259B9">
      <w:pPr>
        <w:pStyle w:val="3"/>
        <w:jc w:val="center"/>
        <w:rPr>
          <w:rFonts w:ascii="Times New Roman" w:hAnsi="Cambria" w:eastAsia="宋体" w:cs="Times New Roman"/>
        </w:rPr>
      </w:pPr>
      <w:bookmarkStart w:id="6" w:name="_Toc184503822"/>
      <w:bookmarkStart w:id="7" w:name="_Toc26926"/>
      <w:r>
        <w:rPr>
          <w:rFonts w:hint="eastAsia" w:ascii="Times New Roman" w:hAnsi="Cambria" w:eastAsia="宋体" w:cs="Times New Roman"/>
        </w:rPr>
        <w:t>前</w:t>
      </w:r>
      <w:bookmarkStart w:id="8" w:name="BKQY"/>
      <w:r>
        <w:rPr>
          <w:rFonts w:ascii="Times New Roman" w:hAnsi="Cambria" w:eastAsia="宋体" w:cs="Times New Roman"/>
        </w:rPr>
        <w:t>  </w:t>
      </w:r>
      <w:r>
        <w:rPr>
          <w:rFonts w:hint="eastAsia" w:ascii="Times New Roman" w:hAnsi="Cambria" w:eastAsia="宋体" w:cs="Times New Roman"/>
        </w:rPr>
        <w:t>言</w:t>
      </w:r>
      <w:bookmarkEnd w:id="6"/>
      <w:bookmarkEnd w:id="7"/>
      <w:bookmarkEnd w:id="8"/>
    </w:p>
    <w:p w14:paraId="2008D252">
      <w:pPr>
        <w:spacing w:line="300" w:lineRule="auto"/>
        <w:ind w:firstLine="480" w:firstLineChars="200"/>
        <w:jc w:val="left"/>
        <w:rPr>
          <w:rFonts w:hAnsi="宋体"/>
          <w:sz w:val="24"/>
        </w:rPr>
      </w:pPr>
    </w:p>
    <w:p w14:paraId="0D794B8A">
      <w:pPr>
        <w:pStyle w:val="58"/>
        <w:spacing w:line="400" w:lineRule="exact"/>
        <w:ind w:firstLine="420" w:firstLineChars="200"/>
        <w:rPr>
          <w:sz w:val="21"/>
          <w:szCs w:val="21"/>
        </w:rPr>
      </w:pPr>
      <w:r>
        <w:rPr>
          <w:sz w:val="21"/>
          <w:szCs w:val="21"/>
        </w:rPr>
        <w:t>本文件按照 GB/T 1.1—2020《标准化工作导则 第 1 部分：标准化文件的结构和起草规则》的规定起草。</w:t>
      </w:r>
    </w:p>
    <w:p w14:paraId="0153A602">
      <w:pPr>
        <w:pStyle w:val="58"/>
        <w:spacing w:line="400" w:lineRule="exact"/>
        <w:ind w:firstLine="420" w:firstLineChars="200"/>
        <w:rPr>
          <w:sz w:val="21"/>
          <w:szCs w:val="21"/>
        </w:rPr>
      </w:pPr>
      <w:r>
        <w:rPr>
          <w:sz w:val="21"/>
          <w:szCs w:val="21"/>
        </w:rPr>
        <w:t>请注意本文件的某些内容可能涉及专利。本文件的发布机构不承担识别专利的责任。</w:t>
      </w:r>
    </w:p>
    <w:p w14:paraId="01144909">
      <w:pPr>
        <w:pStyle w:val="58"/>
        <w:spacing w:line="400" w:lineRule="exact"/>
        <w:ind w:firstLine="420" w:firstLineChars="200"/>
        <w:rPr>
          <w:sz w:val="21"/>
          <w:szCs w:val="21"/>
        </w:rPr>
      </w:pPr>
      <w:r>
        <w:rPr>
          <w:sz w:val="21"/>
          <w:szCs w:val="21"/>
        </w:rPr>
        <w:t>本文件由江西</w:t>
      </w:r>
      <w:r>
        <w:rPr>
          <w:rFonts w:hint="eastAsia"/>
          <w:sz w:val="21"/>
          <w:szCs w:val="21"/>
        </w:rPr>
        <w:t>农业农村厅</w:t>
      </w:r>
      <w:r>
        <w:rPr>
          <w:sz w:val="21"/>
          <w:szCs w:val="21"/>
        </w:rPr>
        <w:t>提出并归口。</w:t>
      </w:r>
    </w:p>
    <w:p w14:paraId="02429B7E">
      <w:pPr>
        <w:pStyle w:val="58"/>
        <w:spacing w:line="400" w:lineRule="exact"/>
        <w:ind w:firstLine="420" w:firstLineChars="200"/>
        <w:rPr>
          <w:sz w:val="21"/>
          <w:szCs w:val="21"/>
        </w:rPr>
      </w:pPr>
      <w:r>
        <w:rPr>
          <w:sz w:val="21"/>
          <w:szCs w:val="21"/>
        </w:rPr>
        <w:t>本文件起草单位：</w:t>
      </w:r>
      <w:r>
        <w:rPr>
          <w:rFonts w:hint="eastAsia"/>
          <w:sz w:val="21"/>
          <w:szCs w:val="21"/>
        </w:rPr>
        <w:t>江西万载千年食品有限公司、赣南师范大学、江西博君生态农业开发有限公司</w:t>
      </w:r>
    </w:p>
    <w:p w14:paraId="5053D8BF">
      <w:pPr>
        <w:pStyle w:val="58"/>
        <w:spacing w:line="400" w:lineRule="exact"/>
        <w:ind w:firstLine="420" w:firstLineChars="200"/>
        <w:rPr>
          <w:sz w:val="21"/>
          <w:szCs w:val="21"/>
        </w:rPr>
      </w:pPr>
      <w:r>
        <w:rPr>
          <w:sz w:val="21"/>
          <w:szCs w:val="21"/>
        </w:rPr>
        <w:t>本文件主要起草人：</w:t>
      </w:r>
      <w:r>
        <w:rPr>
          <w:rFonts w:hint="eastAsia"/>
          <w:sz w:val="21"/>
          <w:szCs w:val="21"/>
        </w:rPr>
        <w:t>孙浩、萧越、朱昱坤、刘鹏、郑小杰、李俊伟、陈道宗、成臣、杨建军、朱志良、刘科鹏、朱博</w:t>
      </w:r>
    </w:p>
    <w:p w14:paraId="3BAEE9C8">
      <w:pPr>
        <w:spacing w:line="300" w:lineRule="auto"/>
        <w:ind w:firstLine="480" w:firstLineChars="200"/>
        <w:jc w:val="left"/>
        <w:rPr>
          <w:rFonts w:hAnsi="宋体"/>
          <w:sz w:val="24"/>
        </w:rPr>
      </w:pPr>
    </w:p>
    <w:p w14:paraId="404B6896">
      <w:pPr>
        <w:spacing w:line="300" w:lineRule="auto"/>
        <w:ind w:firstLine="480" w:firstLineChars="200"/>
        <w:jc w:val="left"/>
        <w:rPr>
          <w:rFonts w:hAnsi="宋体"/>
          <w:sz w:val="24"/>
        </w:rPr>
      </w:pPr>
    </w:p>
    <w:p w14:paraId="072225FE">
      <w:pPr>
        <w:spacing w:line="300" w:lineRule="auto"/>
        <w:ind w:firstLine="480" w:firstLineChars="200"/>
        <w:jc w:val="left"/>
        <w:rPr>
          <w:rFonts w:hAnsi="宋体"/>
          <w:sz w:val="24"/>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14:paraId="7252D258">
      <w:pPr>
        <w:jc w:val="center"/>
        <w:rPr>
          <w:rFonts w:hAnsi="黑体" w:eastAsia="黑体"/>
          <w:sz w:val="44"/>
          <w:szCs w:val="44"/>
        </w:rPr>
      </w:pPr>
      <w:bookmarkStart w:id="9" w:name="_Toc173943214"/>
      <w:r>
        <w:rPr>
          <w:rFonts w:hint="eastAsia" w:hAnsi="黑体" w:eastAsia="黑体"/>
          <w:sz w:val="44"/>
          <w:szCs w:val="44"/>
        </w:rPr>
        <w:t>富硒百合果糕</w:t>
      </w:r>
      <w:r>
        <w:rPr>
          <w:rFonts w:hAnsi="黑体" w:eastAsia="黑体"/>
          <w:sz w:val="44"/>
          <w:szCs w:val="44"/>
        </w:rPr>
        <w:t>加工技术规程</w:t>
      </w:r>
      <w:bookmarkEnd w:id="9"/>
    </w:p>
    <w:p w14:paraId="6E5C70BA">
      <w:pPr>
        <w:pStyle w:val="3"/>
        <w:rPr>
          <w:rFonts w:ascii="Times New Roman" w:hAnsi="黑体" w:eastAsia="黑体" w:cs="Times New Roman"/>
          <w:b w:val="0"/>
          <w:sz w:val="24"/>
          <w:szCs w:val="24"/>
        </w:rPr>
      </w:pPr>
      <w:bookmarkStart w:id="10" w:name="_Toc466470257"/>
      <w:bookmarkStart w:id="11" w:name="_Toc466470278"/>
      <w:bookmarkStart w:id="12" w:name="_Toc28340"/>
      <w:bookmarkStart w:id="13" w:name="_Toc466361599"/>
      <w:bookmarkStart w:id="14" w:name="_Toc30969"/>
      <w:bookmarkStart w:id="15" w:name="_Toc477247002"/>
      <w:bookmarkStart w:id="16" w:name="_Toc469992089"/>
      <w:bookmarkStart w:id="17" w:name="_Toc173943215"/>
      <w:bookmarkStart w:id="18" w:name="_Toc184503823"/>
      <w:r>
        <w:rPr>
          <w:rFonts w:hint="eastAsia" w:ascii="Times New Roman" w:hAnsi="黑体" w:eastAsia="黑体" w:cs="Times New Roman"/>
          <w:b w:val="0"/>
          <w:sz w:val="24"/>
          <w:szCs w:val="24"/>
        </w:rPr>
        <w:t>1 范围</w:t>
      </w:r>
      <w:bookmarkEnd w:id="10"/>
      <w:bookmarkEnd w:id="11"/>
      <w:bookmarkEnd w:id="12"/>
      <w:bookmarkEnd w:id="13"/>
      <w:bookmarkEnd w:id="14"/>
      <w:bookmarkEnd w:id="15"/>
      <w:bookmarkEnd w:id="16"/>
      <w:bookmarkEnd w:id="17"/>
      <w:bookmarkEnd w:id="18"/>
    </w:p>
    <w:p w14:paraId="6B5D8C06">
      <w:pPr>
        <w:spacing w:line="300" w:lineRule="auto"/>
        <w:ind w:firstLine="480" w:firstLineChars="200"/>
        <w:jc w:val="left"/>
        <w:rPr>
          <w:rFonts w:hAnsi="宋体"/>
          <w:sz w:val="24"/>
        </w:rPr>
      </w:pPr>
      <w:r>
        <w:rPr>
          <w:rFonts w:hint="eastAsia" w:hAnsi="宋体"/>
          <w:sz w:val="24"/>
        </w:rPr>
        <w:t>本文件规定了富硒百合果糕加工的术语和定义、要求、工艺技术等内容。</w:t>
      </w:r>
    </w:p>
    <w:p w14:paraId="7ED1B724">
      <w:pPr>
        <w:spacing w:line="300" w:lineRule="auto"/>
        <w:ind w:firstLine="480" w:firstLineChars="200"/>
        <w:jc w:val="left"/>
        <w:rPr>
          <w:rFonts w:hAnsi="宋体"/>
          <w:sz w:val="24"/>
        </w:rPr>
      </w:pPr>
      <w:bookmarkStart w:id="19" w:name="_Toc25876"/>
      <w:bookmarkStart w:id="20" w:name="_Toc466470258"/>
      <w:bookmarkStart w:id="21" w:name="_Toc469992090"/>
      <w:bookmarkStart w:id="22" w:name="_Toc8330"/>
      <w:bookmarkStart w:id="23" w:name="_Toc466361600"/>
      <w:bookmarkStart w:id="24" w:name="_Toc477247003"/>
      <w:bookmarkStart w:id="25" w:name="_Toc466470279"/>
      <w:r>
        <w:rPr>
          <w:rFonts w:hAnsi="宋体"/>
          <w:sz w:val="24"/>
        </w:rPr>
        <w:t>以</w:t>
      </w:r>
      <w:r>
        <w:rPr>
          <w:rFonts w:hint="eastAsia" w:hAnsi="宋体"/>
          <w:sz w:val="24"/>
        </w:rPr>
        <w:t>百合</w:t>
      </w:r>
      <w:r>
        <w:rPr>
          <w:rFonts w:hAnsi="宋体"/>
          <w:sz w:val="24"/>
        </w:rPr>
        <w:t>等</w:t>
      </w:r>
      <w:r>
        <w:rPr>
          <w:rFonts w:hint="eastAsia" w:hAnsi="宋体"/>
          <w:sz w:val="24"/>
        </w:rPr>
        <w:t>水果</w:t>
      </w:r>
      <w:r>
        <w:rPr>
          <w:rFonts w:hAnsi="宋体"/>
          <w:sz w:val="24"/>
        </w:rPr>
        <w:t>为主要原料，添加食品添加剂和其他辅料，经煮制、制浆、成型、干燥等工艺制成的可直接食用的</w:t>
      </w:r>
      <w:r>
        <w:rPr>
          <w:rFonts w:hint="eastAsia" w:hAnsi="宋体"/>
          <w:sz w:val="24"/>
        </w:rPr>
        <w:t>发酵果糕（水果条）</w:t>
      </w:r>
      <w:r>
        <w:rPr>
          <w:rFonts w:hAnsi="宋体"/>
          <w:sz w:val="24"/>
        </w:rPr>
        <w:t>制品。</w:t>
      </w:r>
    </w:p>
    <w:p w14:paraId="4E6BCEBF">
      <w:pPr>
        <w:pStyle w:val="3"/>
        <w:rPr>
          <w:rFonts w:ascii="Times New Roman" w:hAnsi="黑体" w:eastAsia="黑体" w:cs="Times New Roman"/>
          <w:b w:val="0"/>
          <w:sz w:val="24"/>
          <w:szCs w:val="24"/>
        </w:rPr>
      </w:pPr>
      <w:bookmarkStart w:id="26" w:name="_Toc173943216"/>
      <w:bookmarkStart w:id="27" w:name="_Toc184503824"/>
      <w:r>
        <w:rPr>
          <w:rFonts w:hint="eastAsia" w:ascii="Times New Roman" w:hAnsi="黑体" w:eastAsia="黑体" w:cs="Times New Roman"/>
          <w:b w:val="0"/>
          <w:sz w:val="24"/>
          <w:szCs w:val="24"/>
        </w:rPr>
        <w:t>2 规范性引用文件</w:t>
      </w:r>
      <w:bookmarkEnd w:id="19"/>
      <w:bookmarkEnd w:id="20"/>
      <w:bookmarkEnd w:id="21"/>
      <w:bookmarkEnd w:id="22"/>
      <w:bookmarkEnd w:id="23"/>
      <w:bookmarkEnd w:id="24"/>
      <w:bookmarkEnd w:id="25"/>
      <w:bookmarkEnd w:id="26"/>
      <w:bookmarkEnd w:id="27"/>
    </w:p>
    <w:p w14:paraId="18E75A2B">
      <w:pPr>
        <w:spacing w:line="300" w:lineRule="auto"/>
        <w:ind w:firstLine="480" w:firstLineChars="200"/>
        <w:jc w:val="left"/>
        <w:rPr>
          <w:rFonts w:hAnsi="宋体"/>
          <w:sz w:val="24"/>
        </w:rPr>
      </w:pPr>
      <w:r>
        <w:rPr>
          <w:rFonts w:hint="eastAsia" w:hAnsi="宋体"/>
          <w:sz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E7AE2DB">
      <w:pPr>
        <w:spacing w:line="300" w:lineRule="auto"/>
        <w:ind w:firstLine="480" w:firstLineChars="200"/>
        <w:jc w:val="left"/>
        <w:rPr>
          <w:rFonts w:hAnsi="宋体"/>
          <w:sz w:val="24"/>
        </w:rPr>
      </w:pPr>
    </w:p>
    <w:p w14:paraId="4B5DF773">
      <w:pPr>
        <w:spacing w:line="300" w:lineRule="auto"/>
        <w:ind w:firstLine="480" w:firstLineChars="200"/>
        <w:jc w:val="left"/>
        <w:rPr>
          <w:rFonts w:hAnsi="宋体"/>
          <w:sz w:val="24"/>
        </w:rPr>
      </w:pPr>
      <w:r>
        <w:rPr>
          <w:rFonts w:hint="eastAsia" w:hAnsi="宋体"/>
          <w:sz w:val="24"/>
        </w:rPr>
        <w:t>GB 317  白砂糖</w:t>
      </w:r>
    </w:p>
    <w:p w14:paraId="6EEAD569">
      <w:pPr>
        <w:spacing w:line="300" w:lineRule="auto"/>
        <w:ind w:firstLine="480" w:firstLineChars="200"/>
        <w:jc w:val="left"/>
        <w:rPr>
          <w:rFonts w:hAnsi="宋体"/>
          <w:sz w:val="24"/>
        </w:rPr>
      </w:pPr>
      <w:r>
        <w:rPr>
          <w:rFonts w:hint="eastAsia" w:hAnsi="宋体"/>
          <w:sz w:val="24"/>
        </w:rPr>
        <w:t>GB 1886.169  食品安全国家标准食品添加剂卡拉胶</w:t>
      </w:r>
    </w:p>
    <w:p w14:paraId="420A06CB">
      <w:pPr>
        <w:spacing w:line="300" w:lineRule="auto"/>
        <w:ind w:firstLine="480" w:firstLineChars="200"/>
        <w:jc w:val="left"/>
        <w:rPr>
          <w:rFonts w:hAnsi="宋体"/>
          <w:sz w:val="24"/>
        </w:rPr>
      </w:pPr>
      <w:r>
        <w:rPr>
          <w:rFonts w:hint="eastAsia" w:hAnsi="宋体"/>
          <w:sz w:val="24"/>
        </w:rPr>
        <w:t>GB 1886.239  食品安全国家标准食品添加剂琼脂</w:t>
      </w:r>
    </w:p>
    <w:p w14:paraId="15B37815">
      <w:pPr>
        <w:spacing w:line="300" w:lineRule="auto"/>
        <w:ind w:firstLine="480" w:firstLineChars="200"/>
        <w:jc w:val="left"/>
        <w:rPr>
          <w:rFonts w:hAnsi="宋体"/>
          <w:sz w:val="24"/>
        </w:rPr>
      </w:pPr>
      <w:r>
        <w:rPr>
          <w:rFonts w:hint="eastAsia" w:hAnsi="宋体"/>
          <w:sz w:val="24"/>
        </w:rPr>
        <w:t>GB 2760  食品安全国家标准食品添加剂使用标准</w:t>
      </w:r>
    </w:p>
    <w:p w14:paraId="21128B68">
      <w:pPr>
        <w:spacing w:line="300" w:lineRule="auto"/>
        <w:ind w:firstLine="480" w:firstLineChars="200"/>
        <w:jc w:val="left"/>
        <w:rPr>
          <w:rFonts w:hAnsi="宋体"/>
          <w:sz w:val="24"/>
        </w:rPr>
      </w:pPr>
      <w:r>
        <w:rPr>
          <w:rFonts w:hint="eastAsia" w:hAnsi="宋体"/>
          <w:sz w:val="24"/>
        </w:rPr>
        <w:t>GB 5009.3  食品安全国家标准食品中水分的测定</w:t>
      </w:r>
    </w:p>
    <w:p w14:paraId="5F7ADD16">
      <w:pPr>
        <w:spacing w:line="300" w:lineRule="auto"/>
        <w:ind w:firstLine="480" w:firstLineChars="200"/>
        <w:jc w:val="left"/>
        <w:rPr>
          <w:rFonts w:hAnsi="宋体"/>
          <w:sz w:val="24"/>
        </w:rPr>
      </w:pPr>
      <w:r>
        <w:rPr>
          <w:rFonts w:hint="eastAsia" w:hAnsi="宋体"/>
          <w:sz w:val="24"/>
        </w:rPr>
        <w:t>GB 5009.11  食品安全国家标准食品中总砷及无机砷的测定</w:t>
      </w:r>
    </w:p>
    <w:p w14:paraId="078079B3">
      <w:pPr>
        <w:spacing w:line="300" w:lineRule="auto"/>
        <w:ind w:firstLine="480" w:firstLineChars="200"/>
        <w:jc w:val="left"/>
        <w:rPr>
          <w:rFonts w:hAnsi="宋体"/>
          <w:sz w:val="24"/>
        </w:rPr>
      </w:pPr>
      <w:r>
        <w:rPr>
          <w:rFonts w:hint="eastAsia" w:hAnsi="宋体"/>
          <w:sz w:val="24"/>
        </w:rPr>
        <w:t>GB 5009.12  食品安全国家标准食品中铅的测定</w:t>
      </w:r>
    </w:p>
    <w:p w14:paraId="66C9804C">
      <w:pPr>
        <w:spacing w:line="300" w:lineRule="auto"/>
        <w:ind w:firstLine="480" w:firstLineChars="200"/>
        <w:jc w:val="left"/>
        <w:rPr>
          <w:rFonts w:hAnsi="宋体"/>
          <w:sz w:val="24"/>
        </w:rPr>
      </w:pPr>
      <w:r>
        <w:rPr>
          <w:rFonts w:hint="eastAsia" w:hAnsi="宋体"/>
          <w:sz w:val="24"/>
        </w:rPr>
        <w:t>GB 5749  生活饮用水卫生标准</w:t>
      </w:r>
    </w:p>
    <w:p w14:paraId="5B4BCD42">
      <w:pPr>
        <w:spacing w:line="300" w:lineRule="auto"/>
        <w:ind w:firstLine="480" w:firstLineChars="200"/>
        <w:jc w:val="left"/>
        <w:rPr>
          <w:rFonts w:hAnsi="宋体"/>
          <w:sz w:val="24"/>
        </w:rPr>
      </w:pPr>
      <w:r>
        <w:rPr>
          <w:rFonts w:hint="eastAsia" w:hAnsi="宋体"/>
          <w:sz w:val="24"/>
        </w:rPr>
        <w:t>GB 7718  食品安全国家标准预包装食品标签通则</w:t>
      </w:r>
    </w:p>
    <w:p w14:paraId="060E3B2A">
      <w:pPr>
        <w:spacing w:line="300" w:lineRule="auto"/>
        <w:ind w:firstLine="480" w:firstLineChars="200"/>
        <w:jc w:val="left"/>
        <w:rPr>
          <w:rFonts w:hAnsi="宋体"/>
          <w:sz w:val="24"/>
        </w:rPr>
      </w:pPr>
      <w:r>
        <w:rPr>
          <w:rFonts w:hint="eastAsia" w:hAnsi="宋体"/>
          <w:sz w:val="24"/>
        </w:rPr>
        <w:t>GB 14880  食品安全国家标准食品营养强化剂使用标准</w:t>
      </w:r>
    </w:p>
    <w:p w14:paraId="6B007A18">
      <w:pPr>
        <w:spacing w:line="300" w:lineRule="auto"/>
        <w:ind w:firstLine="480" w:firstLineChars="200"/>
        <w:jc w:val="left"/>
        <w:rPr>
          <w:rFonts w:hAnsi="宋体"/>
          <w:sz w:val="24"/>
        </w:rPr>
      </w:pPr>
      <w:r>
        <w:rPr>
          <w:rFonts w:hint="eastAsia" w:hAnsi="宋体"/>
          <w:sz w:val="24"/>
        </w:rPr>
        <w:t>GB 14881  食品安全国家标准食品生产通用卫生规范</w:t>
      </w:r>
    </w:p>
    <w:p w14:paraId="0C58E1A2">
      <w:pPr>
        <w:spacing w:line="300" w:lineRule="auto"/>
        <w:ind w:firstLine="480" w:firstLineChars="200"/>
        <w:jc w:val="left"/>
        <w:rPr>
          <w:rFonts w:hAnsi="宋体"/>
          <w:sz w:val="24"/>
        </w:rPr>
      </w:pPr>
      <w:r>
        <w:rPr>
          <w:rFonts w:hint="eastAsia" w:hAnsi="宋体"/>
          <w:sz w:val="24"/>
        </w:rPr>
        <w:t>GB 14884  食品安全国家标准蜜饯</w:t>
      </w:r>
    </w:p>
    <w:p w14:paraId="48D4C184">
      <w:pPr>
        <w:spacing w:line="300" w:lineRule="auto"/>
        <w:ind w:firstLine="480" w:firstLineChars="200"/>
        <w:jc w:val="left"/>
        <w:rPr>
          <w:rFonts w:hAnsi="宋体"/>
          <w:sz w:val="24"/>
        </w:rPr>
      </w:pPr>
      <w:r>
        <w:rPr>
          <w:rFonts w:hint="eastAsia" w:hAnsi="宋体"/>
          <w:sz w:val="24"/>
        </w:rPr>
        <w:t>GB 25533  食品安全国家标准食品添加剂果胶</w:t>
      </w:r>
    </w:p>
    <w:p w14:paraId="2510D19A">
      <w:pPr>
        <w:spacing w:line="300" w:lineRule="auto"/>
        <w:ind w:firstLine="480" w:firstLineChars="200"/>
        <w:jc w:val="left"/>
        <w:rPr>
          <w:rFonts w:hAnsi="宋体"/>
          <w:sz w:val="24"/>
        </w:rPr>
      </w:pPr>
      <w:r>
        <w:rPr>
          <w:rFonts w:hint="eastAsia" w:hAnsi="宋体"/>
          <w:sz w:val="24"/>
        </w:rPr>
        <w:t>GB 28050  食品安全国家标准预包装食品营养标签通则</w:t>
      </w:r>
    </w:p>
    <w:p w14:paraId="1145C2F6">
      <w:pPr>
        <w:spacing w:line="300" w:lineRule="auto"/>
        <w:ind w:firstLine="480" w:firstLineChars="200"/>
        <w:jc w:val="left"/>
        <w:rPr>
          <w:rFonts w:hAnsi="宋体"/>
          <w:sz w:val="24"/>
        </w:rPr>
      </w:pPr>
      <w:r>
        <w:rPr>
          <w:rFonts w:hint="eastAsia" w:hAnsi="宋体"/>
          <w:sz w:val="24"/>
        </w:rPr>
        <w:t>GB/T 4789.24  食品微生物学检验糖果、糕点、蜜饯检验</w:t>
      </w:r>
    </w:p>
    <w:p w14:paraId="3C550BD1">
      <w:pPr>
        <w:spacing w:line="300" w:lineRule="auto"/>
        <w:ind w:firstLine="480" w:firstLineChars="200"/>
        <w:jc w:val="left"/>
        <w:rPr>
          <w:rFonts w:hAnsi="宋体"/>
          <w:sz w:val="24"/>
        </w:rPr>
      </w:pPr>
      <w:r>
        <w:rPr>
          <w:rFonts w:hint="eastAsia" w:hAnsi="宋体"/>
          <w:sz w:val="24"/>
        </w:rPr>
        <w:t>GB/T 10782  蜜饯通则</w:t>
      </w:r>
    </w:p>
    <w:p w14:paraId="25B33076">
      <w:pPr>
        <w:spacing w:line="300" w:lineRule="auto"/>
        <w:ind w:firstLine="480" w:firstLineChars="200"/>
        <w:jc w:val="left"/>
        <w:rPr>
          <w:rFonts w:hAnsi="宋体"/>
          <w:sz w:val="24"/>
        </w:rPr>
      </w:pPr>
      <w:r>
        <w:rPr>
          <w:rFonts w:hint="eastAsia" w:hAnsi="宋体"/>
          <w:sz w:val="24"/>
        </w:rPr>
        <w:t>GB/T 18672  食品安全国家标准枸杞</w:t>
      </w:r>
    </w:p>
    <w:p w14:paraId="6656E90B">
      <w:pPr>
        <w:spacing w:line="300" w:lineRule="auto"/>
        <w:ind w:firstLine="480" w:firstLineChars="200"/>
        <w:jc w:val="left"/>
        <w:rPr>
          <w:rFonts w:hAnsi="宋体"/>
          <w:sz w:val="24"/>
        </w:rPr>
      </w:pPr>
      <w:r>
        <w:rPr>
          <w:rFonts w:hint="eastAsia" w:hAnsi="宋体"/>
          <w:sz w:val="24"/>
        </w:rPr>
        <w:t>GB/T 20882  果葡糖浆</w:t>
      </w:r>
    </w:p>
    <w:p w14:paraId="2F374475">
      <w:pPr>
        <w:spacing w:line="300" w:lineRule="auto"/>
        <w:ind w:firstLine="480" w:firstLineChars="200"/>
        <w:jc w:val="left"/>
        <w:rPr>
          <w:rFonts w:hAnsi="宋体"/>
          <w:sz w:val="24"/>
        </w:rPr>
      </w:pPr>
      <w:r>
        <w:rPr>
          <w:rFonts w:hint="eastAsia" w:hAnsi="宋体"/>
          <w:sz w:val="24"/>
        </w:rPr>
        <w:t>GB/T 20885  葡萄糖浆</w:t>
      </w:r>
    </w:p>
    <w:p w14:paraId="764A00D6">
      <w:pPr>
        <w:spacing w:line="300" w:lineRule="auto"/>
        <w:ind w:firstLine="480" w:firstLineChars="200"/>
        <w:jc w:val="left"/>
        <w:rPr>
          <w:rFonts w:hAnsi="宋体"/>
          <w:sz w:val="24"/>
        </w:rPr>
      </w:pPr>
      <w:r>
        <w:rPr>
          <w:rFonts w:hint="eastAsia" w:hAnsi="宋体"/>
          <w:sz w:val="24"/>
        </w:rPr>
        <w:t>JJF1070  定量包装商品净含量计量检验规则</w:t>
      </w:r>
    </w:p>
    <w:p w14:paraId="100F04C3">
      <w:pPr>
        <w:spacing w:line="300" w:lineRule="auto"/>
        <w:ind w:firstLine="480" w:firstLineChars="200"/>
        <w:jc w:val="left"/>
        <w:rPr>
          <w:rFonts w:hAnsi="宋体"/>
          <w:sz w:val="24"/>
        </w:rPr>
      </w:pPr>
      <w:r>
        <w:rPr>
          <w:rFonts w:hint="eastAsia" w:hAnsi="宋体"/>
          <w:sz w:val="24"/>
        </w:rPr>
        <w:t>国家质量监督检验检疫总局令（2005）第75号《定量包装商品计量监督管理办法》</w:t>
      </w:r>
    </w:p>
    <w:p w14:paraId="2B36596C">
      <w:pPr>
        <w:spacing w:line="300" w:lineRule="auto"/>
        <w:ind w:firstLine="480" w:firstLineChars="200"/>
        <w:jc w:val="left"/>
        <w:rPr>
          <w:rFonts w:hAnsi="宋体"/>
          <w:sz w:val="24"/>
        </w:rPr>
      </w:pPr>
    </w:p>
    <w:p w14:paraId="5F1160FE">
      <w:pPr>
        <w:spacing w:line="300" w:lineRule="auto"/>
        <w:ind w:firstLine="480" w:firstLineChars="200"/>
        <w:jc w:val="left"/>
        <w:rPr>
          <w:rFonts w:hAnsi="宋体"/>
          <w:sz w:val="24"/>
        </w:rPr>
      </w:pPr>
    </w:p>
    <w:p w14:paraId="38C2EB88">
      <w:pPr>
        <w:pStyle w:val="3"/>
        <w:rPr>
          <w:rFonts w:ascii="Times New Roman" w:hAnsi="黑体" w:eastAsia="黑体" w:cs="Times New Roman"/>
          <w:b w:val="0"/>
          <w:sz w:val="24"/>
          <w:szCs w:val="24"/>
        </w:rPr>
      </w:pPr>
      <w:bookmarkStart w:id="28" w:name="_Toc173943217"/>
      <w:bookmarkStart w:id="29" w:name="_Toc184503825"/>
      <w:r>
        <w:rPr>
          <w:rFonts w:hint="eastAsia" w:ascii="Times New Roman" w:hAnsi="黑体" w:eastAsia="黑体" w:cs="Times New Roman"/>
          <w:b w:val="0"/>
          <w:sz w:val="24"/>
          <w:szCs w:val="24"/>
        </w:rPr>
        <w:t>3 技术要求</w:t>
      </w:r>
      <w:bookmarkEnd w:id="28"/>
      <w:bookmarkEnd w:id="29"/>
    </w:p>
    <w:p w14:paraId="28D29288">
      <w:pPr>
        <w:pStyle w:val="33"/>
        <w:numPr>
          <w:ilvl w:val="0"/>
          <w:numId w:val="0"/>
        </w:numPr>
        <w:outlineLvl w:val="1"/>
        <w:rPr>
          <w:rFonts w:ascii="Times New Roman" w:hAnsi="宋体" w:eastAsia="宋体"/>
          <w:kern w:val="2"/>
          <w:sz w:val="24"/>
          <w:szCs w:val="24"/>
        </w:rPr>
      </w:pPr>
      <w:bookmarkStart w:id="30" w:name="_Toc184503826"/>
      <w:r>
        <w:rPr>
          <w:rFonts w:hint="eastAsia" w:ascii="Times New Roman" w:hAnsi="宋体" w:eastAsia="宋体"/>
          <w:kern w:val="2"/>
          <w:sz w:val="24"/>
          <w:szCs w:val="24"/>
        </w:rPr>
        <w:t>3.1环境要求</w:t>
      </w:r>
      <w:bookmarkEnd w:id="30"/>
    </w:p>
    <w:p w14:paraId="314C21E1">
      <w:pPr>
        <w:spacing w:line="300" w:lineRule="auto"/>
        <w:ind w:firstLine="480" w:firstLineChars="200"/>
        <w:jc w:val="left"/>
        <w:rPr>
          <w:rFonts w:hAnsi="宋体"/>
          <w:sz w:val="24"/>
        </w:rPr>
      </w:pPr>
      <w:r>
        <w:rPr>
          <w:rFonts w:hAnsi="宋体"/>
          <w:sz w:val="24"/>
        </w:rPr>
        <w:t>厂区环境、厂房与车间、设施及设备、生产过程的食品安全控制、加工人员健康等卫生要求应符合GB 14881的规定。</w:t>
      </w:r>
    </w:p>
    <w:p w14:paraId="50BC909A">
      <w:pPr>
        <w:pStyle w:val="33"/>
        <w:numPr>
          <w:ilvl w:val="0"/>
          <w:numId w:val="0"/>
        </w:numPr>
        <w:outlineLvl w:val="1"/>
        <w:rPr>
          <w:rFonts w:ascii="Times New Roman" w:hAnsi="宋体" w:eastAsia="宋体"/>
          <w:kern w:val="2"/>
          <w:sz w:val="24"/>
          <w:szCs w:val="24"/>
        </w:rPr>
      </w:pPr>
      <w:bookmarkStart w:id="31" w:name="_Toc184503827"/>
      <w:r>
        <w:rPr>
          <w:rFonts w:hint="eastAsia" w:ascii="Times New Roman" w:hAnsi="宋体" w:eastAsia="宋体"/>
          <w:kern w:val="2"/>
          <w:sz w:val="24"/>
          <w:szCs w:val="24"/>
        </w:rPr>
        <w:t>3.2原料要求</w:t>
      </w:r>
      <w:bookmarkEnd w:id="31"/>
    </w:p>
    <w:p w14:paraId="6D0431F1">
      <w:pPr>
        <w:spacing w:line="300" w:lineRule="auto"/>
        <w:ind w:firstLine="480" w:firstLineChars="200"/>
        <w:jc w:val="left"/>
        <w:rPr>
          <w:rFonts w:hAnsi="宋体"/>
          <w:sz w:val="24"/>
        </w:rPr>
      </w:pPr>
      <w:r>
        <w:rPr>
          <w:rFonts w:hint="eastAsia" w:hAnsi="宋体"/>
          <w:sz w:val="24"/>
        </w:rPr>
        <w:t>3.2.1</w:t>
      </w:r>
      <w:r>
        <w:rPr>
          <w:rFonts w:hAnsi="宋体"/>
          <w:sz w:val="24"/>
        </w:rPr>
        <w:t xml:space="preserve"> 白砂糖应符合GB/T 317的规定。</w:t>
      </w:r>
    </w:p>
    <w:p w14:paraId="54FCEE20">
      <w:pPr>
        <w:spacing w:line="300" w:lineRule="auto"/>
        <w:ind w:firstLine="480" w:firstLineChars="200"/>
        <w:jc w:val="left"/>
        <w:rPr>
          <w:rFonts w:hAnsi="宋体"/>
          <w:sz w:val="24"/>
        </w:rPr>
      </w:pPr>
      <w:r>
        <w:rPr>
          <w:rFonts w:hint="eastAsia" w:hAnsi="宋体"/>
          <w:sz w:val="24"/>
        </w:rPr>
        <w:t>3.2.2</w:t>
      </w:r>
      <w:r>
        <w:rPr>
          <w:rFonts w:hAnsi="宋体"/>
          <w:sz w:val="24"/>
        </w:rPr>
        <w:t xml:space="preserve"> 麦芽糖应符合 GB/T 20883 的规定。</w:t>
      </w:r>
    </w:p>
    <w:p w14:paraId="064819F8">
      <w:pPr>
        <w:spacing w:line="300" w:lineRule="auto"/>
        <w:ind w:firstLine="480" w:firstLineChars="200"/>
        <w:jc w:val="left"/>
        <w:rPr>
          <w:rFonts w:hAnsi="宋体"/>
          <w:sz w:val="24"/>
        </w:rPr>
      </w:pPr>
      <w:r>
        <w:rPr>
          <w:rFonts w:hint="eastAsia" w:hAnsi="宋体"/>
          <w:sz w:val="24"/>
        </w:rPr>
        <w:t>3.2.3</w:t>
      </w:r>
      <w:r>
        <w:rPr>
          <w:rFonts w:hAnsi="宋体"/>
          <w:sz w:val="24"/>
        </w:rPr>
        <w:t xml:space="preserve"> 生产用水应符合GB 5749的规定。</w:t>
      </w:r>
    </w:p>
    <w:p w14:paraId="1718F87E">
      <w:pPr>
        <w:spacing w:line="300" w:lineRule="auto"/>
        <w:ind w:firstLine="480" w:firstLineChars="200"/>
        <w:jc w:val="left"/>
        <w:rPr>
          <w:rFonts w:hAnsi="宋体"/>
          <w:sz w:val="24"/>
        </w:rPr>
      </w:pPr>
      <w:r>
        <w:rPr>
          <w:rFonts w:hint="eastAsia" w:hAnsi="宋体"/>
          <w:sz w:val="24"/>
        </w:rPr>
        <w:t>3.2.3</w:t>
      </w:r>
      <w:r>
        <w:rPr>
          <w:rFonts w:hAnsi="宋体"/>
          <w:sz w:val="24"/>
        </w:rPr>
        <w:t xml:space="preserve"> 所有原料都应符合GB 2761、GB 2762、GB 2763的规定。</w:t>
      </w:r>
    </w:p>
    <w:p w14:paraId="3401B27F">
      <w:pPr>
        <w:spacing w:line="300" w:lineRule="auto"/>
        <w:ind w:firstLine="480" w:firstLineChars="200"/>
        <w:jc w:val="left"/>
        <w:rPr>
          <w:rFonts w:hAnsi="宋体"/>
          <w:sz w:val="24"/>
        </w:rPr>
      </w:pPr>
    </w:p>
    <w:p w14:paraId="402978DF">
      <w:pPr>
        <w:pStyle w:val="3"/>
        <w:rPr>
          <w:rFonts w:ascii="Times New Roman" w:hAnsi="黑体" w:eastAsia="黑体" w:cs="Times New Roman"/>
          <w:b w:val="0"/>
          <w:sz w:val="24"/>
          <w:szCs w:val="24"/>
        </w:rPr>
      </w:pPr>
      <w:bookmarkStart w:id="32" w:name="_Toc184503828"/>
      <w:r>
        <w:rPr>
          <w:rFonts w:hint="eastAsia" w:ascii="Times New Roman" w:hAnsi="黑体" w:eastAsia="黑体" w:cs="Times New Roman"/>
          <w:b w:val="0"/>
          <w:sz w:val="24"/>
          <w:szCs w:val="24"/>
        </w:rPr>
        <w:t>4 加工工艺</w:t>
      </w:r>
      <w:bookmarkEnd w:id="32"/>
    </w:p>
    <w:p w14:paraId="120EC879">
      <w:pPr>
        <w:pStyle w:val="33"/>
        <w:numPr>
          <w:ilvl w:val="0"/>
          <w:numId w:val="0"/>
        </w:numPr>
        <w:outlineLvl w:val="1"/>
        <w:rPr>
          <w:rFonts w:ascii="Times New Roman" w:hAnsi="宋体" w:eastAsia="宋体"/>
          <w:kern w:val="2"/>
          <w:sz w:val="24"/>
          <w:szCs w:val="24"/>
        </w:rPr>
      </w:pPr>
      <w:bookmarkStart w:id="33" w:name="_Toc184503829"/>
      <w:r>
        <w:rPr>
          <w:rFonts w:hint="eastAsia" w:ascii="Times New Roman" w:hAnsi="宋体" w:eastAsia="宋体"/>
          <w:kern w:val="2"/>
          <w:sz w:val="24"/>
          <w:szCs w:val="24"/>
        </w:rPr>
        <w:t>4.1 选果</w:t>
      </w:r>
      <w:bookmarkEnd w:id="33"/>
    </w:p>
    <w:p w14:paraId="5C2D8C0B">
      <w:pPr>
        <w:spacing w:line="300" w:lineRule="auto"/>
        <w:ind w:firstLine="480" w:firstLineChars="200"/>
        <w:jc w:val="left"/>
        <w:rPr>
          <w:rFonts w:hAnsi="宋体"/>
          <w:sz w:val="24"/>
        </w:rPr>
      </w:pPr>
      <w:r>
        <w:rPr>
          <w:rFonts w:hint="eastAsia" w:hAnsi="宋体"/>
          <w:sz w:val="24"/>
        </w:rPr>
        <w:t>挑选果实新鲜、饱满、光亮的优质百合，且无虫害、无霉变、无杂物。果实采取适当措施进行贮运，防止腐烂、变质。</w:t>
      </w:r>
    </w:p>
    <w:p w14:paraId="3DA6562D">
      <w:pPr>
        <w:pStyle w:val="33"/>
        <w:numPr>
          <w:ilvl w:val="0"/>
          <w:numId w:val="0"/>
        </w:numPr>
        <w:outlineLvl w:val="1"/>
        <w:rPr>
          <w:rFonts w:ascii="Times New Roman" w:hAnsi="宋体" w:eastAsia="宋体"/>
          <w:kern w:val="2"/>
          <w:sz w:val="24"/>
          <w:szCs w:val="24"/>
        </w:rPr>
      </w:pPr>
      <w:bookmarkStart w:id="34" w:name="_Toc184503830"/>
      <w:r>
        <w:rPr>
          <w:rFonts w:hint="eastAsia" w:ascii="Times New Roman" w:hAnsi="宋体" w:eastAsia="宋体"/>
          <w:kern w:val="2"/>
          <w:sz w:val="24"/>
          <w:szCs w:val="24"/>
        </w:rPr>
        <w:t>4.2 剥片</w:t>
      </w:r>
      <w:bookmarkEnd w:id="34"/>
    </w:p>
    <w:p w14:paraId="36AABC05">
      <w:pPr>
        <w:spacing w:line="300" w:lineRule="auto"/>
        <w:ind w:firstLine="480" w:firstLineChars="200"/>
        <w:jc w:val="left"/>
        <w:rPr>
          <w:rFonts w:hAnsi="宋体"/>
          <w:sz w:val="24"/>
        </w:rPr>
      </w:pPr>
      <w:r>
        <w:rPr>
          <w:rFonts w:hint="eastAsia" w:hAnsi="宋体"/>
          <w:sz w:val="24"/>
        </w:rPr>
        <w:t>将鲜百合鳞片层层剥离，剥至百合心时，除去茎基盘。</w:t>
      </w:r>
    </w:p>
    <w:p w14:paraId="5A6263C7">
      <w:pPr>
        <w:pStyle w:val="33"/>
        <w:numPr>
          <w:ilvl w:val="0"/>
          <w:numId w:val="0"/>
        </w:numPr>
        <w:outlineLvl w:val="1"/>
        <w:rPr>
          <w:rFonts w:ascii="Times New Roman" w:hAnsi="宋体" w:eastAsia="宋体"/>
          <w:kern w:val="2"/>
          <w:sz w:val="24"/>
          <w:szCs w:val="24"/>
        </w:rPr>
      </w:pPr>
      <w:bookmarkStart w:id="35" w:name="_Toc184503831"/>
      <w:r>
        <w:rPr>
          <w:rFonts w:hint="eastAsia" w:ascii="Times New Roman" w:hAnsi="宋体" w:eastAsia="宋体"/>
          <w:kern w:val="2"/>
          <w:sz w:val="24"/>
          <w:szCs w:val="24"/>
        </w:rPr>
        <w:t>4.3</w:t>
      </w:r>
      <w:r>
        <w:rPr>
          <w:rFonts w:ascii="Times New Roman" w:hAnsi="宋体" w:eastAsia="宋体"/>
          <w:kern w:val="2"/>
          <w:sz w:val="24"/>
          <w:szCs w:val="24"/>
        </w:rPr>
        <w:t xml:space="preserve"> </w:t>
      </w:r>
      <w:r>
        <w:rPr>
          <w:rFonts w:hint="eastAsia" w:ascii="Times New Roman" w:hAnsi="宋体" w:eastAsia="宋体"/>
          <w:kern w:val="2"/>
          <w:sz w:val="24"/>
          <w:szCs w:val="24"/>
        </w:rPr>
        <w:t>洗果</w:t>
      </w:r>
      <w:bookmarkEnd w:id="35"/>
    </w:p>
    <w:p w14:paraId="0B9AA4B6">
      <w:pPr>
        <w:spacing w:line="300" w:lineRule="auto"/>
        <w:ind w:firstLine="480" w:firstLineChars="200"/>
        <w:jc w:val="left"/>
        <w:rPr>
          <w:rFonts w:hAnsi="宋体"/>
          <w:sz w:val="24"/>
        </w:rPr>
      </w:pPr>
      <w:r>
        <w:rPr>
          <w:rFonts w:hint="eastAsia" w:hAnsi="宋体"/>
          <w:sz w:val="24"/>
        </w:rPr>
        <w:t>采用机械方式用清水将百合表面清洗干净。</w:t>
      </w:r>
    </w:p>
    <w:p w14:paraId="46AD7E4F">
      <w:pPr>
        <w:pStyle w:val="33"/>
        <w:numPr>
          <w:ilvl w:val="0"/>
          <w:numId w:val="0"/>
        </w:numPr>
        <w:outlineLvl w:val="1"/>
        <w:rPr>
          <w:rFonts w:ascii="Times New Roman" w:hAnsi="宋体" w:eastAsia="宋体"/>
          <w:kern w:val="2"/>
          <w:sz w:val="24"/>
          <w:szCs w:val="24"/>
        </w:rPr>
      </w:pPr>
      <w:bookmarkStart w:id="36" w:name="_Toc184503832"/>
      <w:r>
        <w:rPr>
          <w:rFonts w:hint="eastAsia" w:ascii="Times New Roman" w:hAnsi="宋体" w:eastAsia="宋体"/>
          <w:kern w:val="2"/>
          <w:sz w:val="24"/>
          <w:szCs w:val="24"/>
        </w:rPr>
        <w:t>4.4 熬浆</w:t>
      </w:r>
      <w:bookmarkEnd w:id="36"/>
    </w:p>
    <w:p w14:paraId="08D36C47">
      <w:pPr>
        <w:spacing w:line="300" w:lineRule="auto"/>
        <w:ind w:firstLine="480" w:firstLineChars="200"/>
        <w:jc w:val="left"/>
        <w:rPr>
          <w:rFonts w:hAnsi="宋体"/>
          <w:sz w:val="24"/>
        </w:rPr>
      </w:pPr>
      <w:r>
        <w:rPr>
          <w:rFonts w:hint="eastAsia" w:hAnsi="宋体"/>
          <w:sz w:val="24"/>
        </w:rPr>
        <w:t>采用机械方式将百合熬浆，果浆密封冷冻储存。</w:t>
      </w:r>
    </w:p>
    <w:p w14:paraId="31ED8F86">
      <w:pPr>
        <w:pStyle w:val="33"/>
        <w:numPr>
          <w:ilvl w:val="0"/>
          <w:numId w:val="0"/>
        </w:numPr>
        <w:outlineLvl w:val="1"/>
        <w:rPr>
          <w:rFonts w:ascii="Times New Roman" w:hAnsi="宋体" w:eastAsia="宋体"/>
          <w:kern w:val="2"/>
          <w:sz w:val="24"/>
          <w:szCs w:val="24"/>
        </w:rPr>
      </w:pPr>
      <w:bookmarkStart w:id="37" w:name="_Toc184503833"/>
      <w:r>
        <w:rPr>
          <w:rFonts w:hint="eastAsia" w:ascii="Times New Roman" w:hAnsi="宋体" w:eastAsia="宋体"/>
          <w:kern w:val="2"/>
          <w:sz w:val="24"/>
          <w:szCs w:val="24"/>
        </w:rPr>
        <w:t>4.5 熬糖</w:t>
      </w:r>
      <w:bookmarkEnd w:id="37"/>
    </w:p>
    <w:p w14:paraId="01A7D635">
      <w:pPr>
        <w:spacing w:line="300" w:lineRule="auto"/>
        <w:ind w:firstLine="480" w:firstLineChars="200"/>
        <w:jc w:val="left"/>
        <w:rPr>
          <w:rFonts w:hAnsi="宋体"/>
          <w:sz w:val="24"/>
        </w:rPr>
      </w:pPr>
      <w:r>
        <w:rPr>
          <w:rFonts w:hint="eastAsia" w:hAnsi="宋体"/>
          <w:sz w:val="24"/>
        </w:rPr>
        <w:t>将白砂糖和麦芽糖浆加热至100°C～110°C熬制成糖液，加入到果浆中或经解冻的果浆中，配浆搅拌成混合果浆。熬糖温度95°C～105°C，时间宜保持10min～30min，还原糖控制在25%～35%。</w:t>
      </w:r>
    </w:p>
    <w:p w14:paraId="1ED17085">
      <w:pPr>
        <w:pStyle w:val="33"/>
        <w:numPr>
          <w:ilvl w:val="0"/>
          <w:numId w:val="0"/>
        </w:numPr>
        <w:outlineLvl w:val="1"/>
        <w:rPr>
          <w:rFonts w:ascii="Times New Roman" w:hAnsi="宋体" w:eastAsia="宋体"/>
          <w:kern w:val="2"/>
          <w:sz w:val="24"/>
          <w:szCs w:val="24"/>
        </w:rPr>
      </w:pPr>
      <w:bookmarkStart w:id="38" w:name="_Toc184503834"/>
      <w:r>
        <w:rPr>
          <w:rFonts w:hint="eastAsia" w:ascii="Times New Roman" w:hAnsi="宋体" w:eastAsia="宋体"/>
          <w:kern w:val="2"/>
          <w:sz w:val="24"/>
          <w:szCs w:val="24"/>
        </w:rPr>
        <w:t>4.6 配浆搅拌</w:t>
      </w:r>
      <w:bookmarkEnd w:id="38"/>
    </w:p>
    <w:p w14:paraId="63D659CF">
      <w:pPr>
        <w:spacing w:line="300" w:lineRule="auto"/>
        <w:ind w:firstLine="480" w:firstLineChars="200"/>
        <w:jc w:val="left"/>
        <w:rPr>
          <w:rFonts w:hAnsi="宋体"/>
          <w:sz w:val="24"/>
        </w:rPr>
      </w:pPr>
      <w:r>
        <w:rPr>
          <w:rFonts w:hint="eastAsia" w:hAnsi="宋体"/>
          <w:sz w:val="24"/>
        </w:rPr>
        <w:t>对打浆后的果浆添加一定比例的富硒菌粉，并将熬制好的糖浆与果浆混合均匀。</w:t>
      </w:r>
    </w:p>
    <w:p w14:paraId="31404815">
      <w:pPr>
        <w:pStyle w:val="33"/>
        <w:numPr>
          <w:ilvl w:val="0"/>
          <w:numId w:val="0"/>
        </w:numPr>
        <w:outlineLvl w:val="1"/>
        <w:rPr>
          <w:rFonts w:ascii="Times New Roman" w:hAnsi="宋体" w:eastAsia="宋体"/>
          <w:kern w:val="2"/>
          <w:sz w:val="24"/>
          <w:szCs w:val="24"/>
        </w:rPr>
      </w:pPr>
      <w:bookmarkStart w:id="39" w:name="_Toc184503835"/>
      <w:r>
        <w:rPr>
          <w:rFonts w:hint="eastAsia" w:ascii="Times New Roman" w:hAnsi="宋体" w:eastAsia="宋体"/>
          <w:kern w:val="2"/>
          <w:sz w:val="24"/>
          <w:szCs w:val="24"/>
        </w:rPr>
        <w:t>4.7 置盘</w:t>
      </w:r>
      <w:bookmarkEnd w:id="39"/>
    </w:p>
    <w:p w14:paraId="0A1A22C0">
      <w:pPr>
        <w:spacing w:line="300" w:lineRule="auto"/>
        <w:ind w:firstLine="480" w:firstLineChars="200"/>
        <w:jc w:val="left"/>
        <w:rPr>
          <w:rFonts w:hAnsi="宋体"/>
          <w:sz w:val="24"/>
        </w:rPr>
      </w:pPr>
      <w:r>
        <w:rPr>
          <w:rFonts w:hint="eastAsia" w:hAnsi="宋体"/>
          <w:sz w:val="24"/>
        </w:rPr>
        <w:t>将熬糖制浆所得的果浆注入盘具中。</w:t>
      </w:r>
    </w:p>
    <w:p w14:paraId="27B3E06A">
      <w:pPr>
        <w:spacing w:line="300" w:lineRule="auto"/>
        <w:ind w:firstLine="480" w:firstLineChars="200"/>
        <w:jc w:val="left"/>
        <w:rPr>
          <w:rFonts w:hAnsi="宋体"/>
          <w:sz w:val="24"/>
        </w:rPr>
      </w:pPr>
    </w:p>
    <w:p w14:paraId="3AB512FB">
      <w:pPr>
        <w:pStyle w:val="33"/>
        <w:numPr>
          <w:ilvl w:val="0"/>
          <w:numId w:val="0"/>
        </w:numPr>
        <w:outlineLvl w:val="1"/>
        <w:rPr>
          <w:rFonts w:ascii="Times New Roman" w:hAnsi="宋体" w:eastAsia="宋体"/>
          <w:kern w:val="2"/>
          <w:sz w:val="24"/>
          <w:szCs w:val="24"/>
        </w:rPr>
      </w:pPr>
      <w:bookmarkStart w:id="40" w:name="_Toc184503836"/>
      <w:r>
        <w:rPr>
          <w:rFonts w:hint="eastAsia" w:ascii="Times New Roman" w:hAnsi="宋体" w:eastAsia="宋体"/>
          <w:kern w:val="2"/>
          <w:sz w:val="24"/>
          <w:szCs w:val="24"/>
        </w:rPr>
        <w:t>4.8 干燥、冷却</w:t>
      </w:r>
      <w:bookmarkEnd w:id="40"/>
    </w:p>
    <w:p w14:paraId="4FA6042B">
      <w:pPr>
        <w:spacing w:line="300" w:lineRule="auto"/>
        <w:ind w:firstLine="480" w:firstLineChars="200"/>
        <w:jc w:val="left"/>
        <w:rPr>
          <w:rFonts w:hAnsi="宋体"/>
          <w:sz w:val="24"/>
        </w:rPr>
      </w:pPr>
      <w:r>
        <w:rPr>
          <w:rFonts w:hint="eastAsia" w:hAnsi="宋体"/>
          <w:sz w:val="24"/>
        </w:rPr>
        <w:t>将盘具中的百合果糕放烘房干燥50°C～70°C干燥25h～36h，干燥后冷却至室温。</w:t>
      </w:r>
    </w:p>
    <w:p w14:paraId="2EFACF6C">
      <w:pPr>
        <w:spacing w:line="300" w:lineRule="auto"/>
        <w:ind w:firstLine="480" w:firstLineChars="200"/>
        <w:jc w:val="left"/>
        <w:rPr>
          <w:rFonts w:hAnsi="宋体"/>
          <w:sz w:val="24"/>
        </w:rPr>
      </w:pPr>
    </w:p>
    <w:p w14:paraId="66F427FE">
      <w:pPr>
        <w:pStyle w:val="33"/>
        <w:numPr>
          <w:ilvl w:val="0"/>
          <w:numId w:val="0"/>
        </w:numPr>
        <w:outlineLvl w:val="1"/>
        <w:rPr>
          <w:rFonts w:ascii="Times New Roman" w:hAnsi="宋体" w:eastAsia="宋体"/>
          <w:kern w:val="2"/>
          <w:sz w:val="24"/>
          <w:szCs w:val="24"/>
        </w:rPr>
      </w:pPr>
      <w:bookmarkStart w:id="41" w:name="_Toc184503837"/>
      <w:r>
        <w:rPr>
          <w:rFonts w:hint="eastAsia" w:ascii="Times New Roman" w:hAnsi="宋体" w:eastAsia="宋体"/>
          <w:kern w:val="2"/>
          <w:sz w:val="24"/>
          <w:szCs w:val="24"/>
        </w:rPr>
        <w:t>4.9 分切、包装</w:t>
      </w:r>
      <w:bookmarkEnd w:id="41"/>
    </w:p>
    <w:p w14:paraId="3FAF193C">
      <w:pPr>
        <w:spacing w:line="300" w:lineRule="auto"/>
        <w:ind w:firstLine="480" w:firstLineChars="200"/>
        <w:jc w:val="left"/>
        <w:rPr>
          <w:rFonts w:hAnsi="宋体"/>
          <w:sz w:val="24"/>
        </w:rPr>
      </w:pPr>
      <w:r>
        <w:rPr>
          <w:rFonts w:hint="eastAsia" w:hAnsi="宋体"/>
          <w:sz w:val="24"/>
        </w:rPr>
        <w:t>采用人工或切片机进行切条，在分切包装机上将切好的条裹上糯米纸，再进行切片，完成分切、内包装和外包装。</w:t>
      </w:r>
    </w:p>
    <w:p w14:paraId="3B67E418">
      <w:pPr>
        <w:spacing w:line="300" w:lineRule="auto"/>
        <w:ind w:firstLine="480" w:firstLineChars="200"/>
        <w:jc w:val="left"/>
        <w:rPr>
          <w:rFonts w:hAnsi="宋体"/>
          <w:sz w:val="24"/>
        </w:rPr>
      </w:pPr>
    </w:p>
    <w:p w14:paraId="632E77A4">
      <w:pPr>
        <w:spacing w:line="300" w:lineRule="auto"/>
        <w:ind w:firstLine="480" w:firstLineChars="200"/>
        <w:jc w:val="left"/>
        <w:rPr>
          <w:rFonts w:hint="eastAsia" w:hAnsi="宋体"/>
          <w:sz w:val="24"/>
        </w:rPr>
      </w:pPr>
    </w:p>
    <w:p w14:paraId="1BA649A2">
      <w:pPr>
        <w:pStyle w:val="3"/>
        <w:rPr>
          <w:rFonts w:ascii="Times New Roman" w:hAnsi="黑体" w:eastAsia="黑体" w:cs="Times New Roman"/>
          <w:b w:val="0"/>
          <w:sz w:val="24"/>
          <w:szCs w:val="24"/>
        </w:rPr>
      </w:pPr>
      <w:bookmarkStart w:id="42" w:name="_Toc184503838"/>
      <w:r>
        <w:rPr>
          <w:rFonts w:hint="eastAsia" w:ascii="Times New Roman" w:hAnsi="黑体" w:eastAsia="黑体" w:cs="Times New Roman"/>
          <w:b w:val="0"/>
          <w:sz w:val="24"/>
          <w:szCs w:val="24"/>
        </w:rPr>
        <w:t>5</w:t>
      </w:r>
      <w:r>
        <w:rPr>
          <w:rFonts w:ascii="Times New Roman" w:hAnsi="黑体" w:eastAsia="黑体" w:cs="Times New Roman"/>
          <w:b w:val="0"/>
          <w:sz w:val="24"/>
          <w:szCs w:val="24"/>
        </w:rPr>
        <w:t xml:space="preserve"> </w:t>
      </w:r>
      <w:r>
        <w:rPr>
          <w:rFonts w:hint="eastAsia" w:ascii="Times New Roman" w:hAnsi="黑体" w:eastAsia="黑体" w:cs="Times New Roman"/>
          <w:b w:val="0"/>
          <w:sz w:val="24"/>
          <w:szCs w:val="24"/>
        </w:rPr>
        <w:t>质量要求</w:t>
      </w:r>
      <w:bookmarkEnd w:id="42"/>
    </w:p>
    <w:p w14:paraId="55638851">
      <w:pPr>
        <w:pStyle w:val="33"/>
        <w:numPr>
          <w:ilvl w:val="0"/>
          <w:numId w:val="0"/>
        </w:numPr>
        <w:outlineLvl w:val="1"/>
        <w:rPr>
          <w:rFonts w:ascii="Times New Roman" w:hAnsi="宋体" w:eastAsia="宋体"/>
          <w:kern w:val="2"/>
          <w:sz w:val="24"/>
          <w:szCs w:val="24"/>
        </w:rPr>
      </w:pPr>
      <w:bookmarkStart w:id="43" w:name="_Toc184503839"/>
      <w:r>
        <w:rPr>
          <w:rFonts w:hint="eastAsia" w:ascii="Times New Roman" w:hAnsi="宋体" w:eastAsia="宋体"/>
          <w:kern w:val="2"/>
          <w:sz w:val="24"/>
          <w:szCs w:val="24"/>
        </w:rPr>
        <w:t>5.1 感官要求</w:t>
      </w:r>
      <w:bookmarkEnd w:id="43"/>
    </w:p>
    <w:p w14:paraId="66717BAB">
      <w:pPr>
        <w:spacing w:line="300" w:lineRule="auto"/>
        <w:ind w:firstLine="480" w:firstLineChars="200"/>
        <w:jc w:val="left"/>
        <w:rPr>
          <w:rFonts w:hAnsi="宋体"/>
          <w:sz w:val="24"/>
        </w:rPr>
      </w:pPr>
      <w:r>
        <w:rPr>
          <w:rFonts w:hint="eastAsia" w:hAnsi="宋体"/>
          <w:sz w:val="24"/>
        </w:rPr>
        <w:t>应符合表1的规定。</w:t>
      </w:r>
    </w:p>
    <w:p w14:paraId="2AA22CB5">
      <w:pPr>
        <w:spacing w:line="300" w:lineRule="auto"/>
        <w:ind w:firstLine="480" w:firstLineChars="200"/>
        <w:jc w:val="left"/>
        <w:rPr>
          <w:rFonts w:hAnsi="宋体"/>
          <w:sz w:val="24"/>
        </w:rPr>
      </w:pPr>
      <w:r>
        <w:rPr>
          <w:rFonts w:hint="eastAsia" w:hAnsi="宋体"/>
          <w:sz w:val="24"/>
        </w:rPr>
        <w:t>表1 感官检测指标</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9"/>
        <w:gridCol w:w="2840"/>
        <w:gridCol w:w="2840"/>
      </w:tblGrid>
      <w:tr w14:paraId="225CC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839" w:type="dxa"/>
            <w:vAlign w:val="center"/>
          </w:tcPr>
          <w:p w14:paraId="2A99F093">
            <w:pPr>
              <w:pStyle w:val="38"/>
              <w:ind w:firstLine="0" w:firstLineChars="0"/>
              <w:jc w:val="center"/>
              <w:rPr>
                <w:b/>
                <w:bCs/>
              </w:rPr>
            </w:pPr>
            <w:r>
              <w:rPr>
                <w:rFonts w:hint="eastAsia"/>
                <w:b/>
                <w:bCs/>
              </w:rPr>
              <w:t>项目</w:t>
            </w:r>
          </w:p>
        </w:tc>
        <w:tc>
          <w:tcPr>
            <w:tcW w:w="2840" w:type="dxa"/>
            <w:vAlign w:val="center"/>
          </w:tcPr>
          <w:p w14:paraId="6EAF028E">
            <w:pPr>
              <w:pStyle w:val="38"/>
              <w:ind w:firstLine="0" w:firstLineChars="0"/>
              <w:jc w:val="center"/>
              <w:rPr>
                <w:b/>
                <w:bCs/>
              </w:rPr>
            </w:pPr>
            <w:r>
              <w:rPr>
                <w:rFonts w:hint="eastAsia"/>
                <w:b/>
                <w:bCs/>
              </w:rPr>
              <w:t>要求</w:t>
            </w:r>
          </w:p>
        </w:tc>
        <w:tc>
          <w:tcPr>
            <w:tcW w:w="2840" w:type="dxa"/>
            <w:vAlign w:val="center"/>
          </w:tcPr>
          <w:p w14:paraId="4B01E28B">
            <w:pPr>
              <w:pStyle w:val="38"/>
              <w:ind w:firstLine="0" w:firstLineChars="0"/>
              <w:jc w:val="center"/>
              <w:rPr>
                <w:b/>
                <w:bCs/>
              </w:rPr>
            </w:pPr>
            <w:r>
              <w:rPr>
                <w:rFonts w:hint="eastAsia"/>
                <w:b/>
                <w:bCs/>
              </w:rPr>
              <w:t>检验方法</w:t>
            </w:r>
          </w:p>
        </w:tc>
      </w:tr>
      <w:tr w14:paraId="6782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2839" w:type="dxa"/>
            <w:vAlign w:val="center"/>
          </w:tcPr>
          <w:p w14:paraId="5CC359CF">
            <w:pPr>
              <w:pStyle w:val="38"/>
              <w:ind w:firstLine="0" w:firstLineChars="0"/>
              <w:jc w:val="center"/>
            </w:pPr>
            <w:r>
              <w:rPr>
                <w:rFonts w:hint="eastAsia"/>
              </w:rPr>
              <w:t>色泽</w:t>
            </w:r>
          </w:p>
        </w:tc>
        <w:tc>
          <w:tcPr>
            <w:tcW w:w="2840" w:type="dxa"/>
            <w:vAlign w:val="center"/>
          </w:tcPr>
          <w:p w14:paraId="4D5943C6">
            <w:pPr>
              <w:pStyle w:val="38"/>
              <w:ind w:firstLine="0" w:firstLineChars="0"/>
              <w:jc w:val="center"/>
            </w:pPr>
            <w:r>
              <w:rPr>
                <w:rFonts w:hint="eastAsia"/>
              </w:rPr>
              <w:t>颜色均匀，呈亮白色至琥珀色</w:t>
            </w:r>
          </w:p>
        </w:tc>
        <w:tc>
          <w:tcPr>
            <w:tcW w:w="2840" w:type="dxa"/>
            <w:vMerge w:val="restart"/>
            <w:vAlign w:val="center"/>
          </w:tcPr>
          <w:p w14:paraId="7489DA25">
            <w:pPr>
              <w:pStyle w:val="38"/>
              <w:ind w:firstLine="0" w:firstLineChars="0"/>
              <w:jc w:val="center"/>
            </w:pPr>
            <w:r>
              <w:rPr>
                <w:rFonts w:hint="eastAsia"/>
              </w:rPr>
              <w:t>取适量试样置于洁净的白色盘（瓷盘或同类容器）中，在自然光下观察色泽和组织形态，检查有无杂质，闻其气味，用温开水漱口，品尝滋味</w:t>
            </w:r>
          </w:p>
        </w:tc>
      </w:tr>
      <w:tr w14:paraId="2F552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839" w:type="dxa"/>
            <w:vAlign w:val="center"/>
          </w:tcPr>
          <w:p w14:paraId="1A6ADA74">
            <w:pPr>
              <w:pStyle w:val="38"/>
              <w:ind w:firstLine="0" w:firstLineChars="0"/>
              <w:jc w:val="center"/>
            </w:pPr>
            <w:r>
              <w:rPr>
                <w:rFonts w:hint="eastAsia"/>
              </w:rPr>
              <w:t>组织形态</w:t>
            </w:r>
          </w:p>
        </w:tc>
        <w:tc>
          <w:tcPr>
            <w:tcW w:w="2840" w:type="dxa"/>
            <w:vAlign w:val="center"/>
          </w:tcPr>
          <w:p w14:paraId="104B5C3A">
            <w:pPr>
              <w:pStyle w:val="38"/>
              <w:ind w:firstLine="0" w:firstLineChars="0"/>
              <w:jc w:val="center"/>
            </w:pPr>
            <w:r>
              <w:rPr>
                <w:rFonts w:hint="eastAsia"/>
              </w:rPr>
              <w:t>块形完整，无残缺，大小一致，允许有少量果肉</w:t>
            </w:r>
          </w:p>
        </w:tc>
        <w:tc>
          <w:tcPr>
            <w:tcW w:w="2840" w:type="dxa"/>
            <w:vMerge w:val="continue"/>
            <w:vAlign w:val="center"/>
          </w:tcPr>
          <w:p w14:paraId="361DC682">
            <w:pPr>
              <w:pStyle w:val="38"/>
              <w:ind w:firstLine="0" w:firstLineChars="0"/>
              <w:jc w:val="center"/>
            </w:pPr>
          </w:p>
        </w:tc>
      </w:tr>
      <w:tr w14:paraId="41C39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jc w:val="center"/>
        </w:trPr>
        <w:tc>
          <w:tcPr>
            <w:tcW w:w="2839" w:type="dxa"/>
            <w:vAlign w:val="center"/>
          </w:tcPr>
          <w:p w14:paraId="71CD3972">
            <w:pPr>
              <w:pStyle w:val="38"/>
              <w:ind w:firstLine="0" w:firstLineChars="0"/>
              <w:jc w:val="center"/>
            </w:pPr>
            <w:r>
              <w:rPr>
                <w:rFonts w:hint="eastAsia"/>
              </w:rPr>
              <w:t>气味和滋味</w:t>
            </w:r>
          </w:p>
        </w:tc>
        <w:tc>
          <w:tcPr>
            <w:tcW w:w="2840" w:type="dxa"/>
            <w:vAlign w:val="center"/>
          </w:tcPr>
          <w:p w14:paraId="6921B329">
            <w:pPr>
              <w:pStyle w:val="38"/>
              <w:ind w:firstLine="0" w:firstLineChars="0"/>
              <w:jc w:val="center"/>
            </w:pPr>
            <w:r>
              <w:rPr>
                <w:rFonts w:hint="eastAsia"/>
              </w:rPr>
              <w:t>口感柔滑不粘牙，酸甜适中，有韧性、无异味，具有产品特有的滋味与香气</w:t>
            </w:r>
          </w:p>
        </w:tc>
        <w:tc>
          <w:tcPr>
            <w:tcW w:w="2840" w:type="dxa"/>
            <w:vMerge w:val="continue"/>
            <w:vAlign w:val="center"/>
          </w:tcPr>
          <w:p w14:paraId="4CE329B3">
            <w:pPr>
              <w:pStyle w:val="38"/>
              <w:ind w:firstLine="0" w:firstLineChars="0"/>
              <w:jc w:val="center"/>
            </w:pPr>
          </w:p>
        </w:tc>
      </w:tr>
      <w:tr w14:paraId="2543C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839" w:type="dxa"/>
            <w:vAlign w:val="center"/>
          </w:tcPr>
          <w:p w14:paraId="069A6501">
            <w:pPr>
              <w:pStyle w:val="38"/>
              <w:ind w:firstLine="0" w:firstLineChars="0"/>
              <w:jc w:val="center"/>
            </w:pPr>
            <w:r>
              <w:rPr>
                <w:rFonts w:hint="eastAsia"/>
              </w:rPr>
              <w:t>杂质</w:t>
            </w:r>
          </w:p>
        </w:tc>
        <w:tc>
          <w:tcPr>
            <w:tcW w:w="2840" w:type="dxa"/>
            <w:vAlign w:val="center"/>
          </w:tcPr>
          <w:p w14:paraId="6C219999">
            <w:pPr>
              <w:pStyle w:val="38"/>
              <w:ind w:firstLine="0" w:firstLineChars="0"/>
              <w:jc w:val="center"/>
            </w:pPr>
            <w:r>
              <w:rPr>
                <w:rFonts w:hint="eastAsia"/>
              </w:rPr>
              <w:t>无肉眼可见外来杂质</w:t>
            </w:r>
          </w:p>
        </w:tc>
        <w:tc>
          <w:tcPr>
            <w:tcW w:w="2840" w:type="dxa"/>
            <w:vMerge w:val="continue"/>
            <w:vAlign w:val="center"/>
          </w:tcPr>
          <w:p w14:paraId="600E724C">
            <w:pPr>
              <w:pStyle w:val="38"/>
              <w:ind w:firstLine="0" w:firstLineChars="0"/>
              <w:jc w:val="center"/>
            </w:pPr>
          </w:p>
        </w:tc>
      </w:tr>
    </w:tbl>
    <w:p w14:paraId="343E819E">
      <w:pPr>
        <w:pStyle w:val="33"/>
        <w:numPr>
          <w:ilvl w:val="0"/>
          <w:numId w:val="0"/>
        </w:numPr>
        <w:outlineLvl w:val="1"/>
        <w:rPr>
          <w:rFonts w:ascii="Times New Roman" w:hAnsi="宋体" w:eastAsia="宋体"/>
          <w:kern w:val="2"/>
          <w:sz w:val="24"/>
          <w:szCs w:val="24"/>
        </w:rPr>
      </w:pPr>
      <w:bookmarkStart w:id="44" w:name="_Toc184503840"/>
      <w:r>
        <w:rPr>
          <w:rFonts w:hint="eastAsia" w:ascii="Times New Roman" w:hAnsi="宋体" w:eastAsia="宋体"/>
          <w:kern w:val="2"/>
          <w:sz w:val="24"/>
          <w:szCs w:val="24"/>
        </w:rPr>
        <w:t>5.2理化指标</w:t>
      </w:r>
      <w:bookmarkEnd w:id="44"/>
    </w:p>
    <w:p w14:paraId="5CFF4ECE">
      <w:pPr>
        <w:spacing w:line="300" w:lineRule="auto"/>
        <w:ind w:firstLine="480" w:firstLineChars="200"/>
        <w:jc w:val="left"/>
        <w:rPr>
          <w:rFonts w:hAnsi="宋体"/>
          <w:sz w:val="24"/>
        </w:rPr>
      </w:pPr>
      <w:r>
        <w:rPr>
          <w:rFonts w:hint="eastAsia" w:hAnsi="宋体"/>
          <w:sz w:val="24"/>
        </w:rPr>
        <w:t>应符合表2规定。</w:t>
      </w:r>
    </w:p>
    <w:p w14:paraId="497F2ED2">
      <w:pPr>
        <w:spacing w:line="300" w:lineRule="auto"/>
        <w:ind w:firstLine="480" w:firstLineChars="200"/>
        <w:jc w:val="left"/>
        <w:rPr>
          <w:rFonts w:hAnsi="宋体"/>
          <w:sz w:val="24"/>
        </w:rPr>
      </w:pPr>
      <w:r>
        <w:rPr>
          <w:rFonts w:hint="eastAsia" w:hAnsi="宋体"/>
          <w:sz w:val="24"/>
        </w:rPr>
        <w:t>表2 理化检测指标</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6"/>
        <w:gridCol w:w="2837"/>
        <w:gridCol w:w="2837"/>
      </w:tblGrid>
      <w:tr w14:paraId="3F9FC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2836" w:type="dxa"/>
            <w:vAlign w:val="center"/>
          </w:tcPr>
          <w:p w14:paraId="2F33FD0A">
            <w:pPr>
              <w:pStyle w:val="38"/>
              <w:ind w:firstLine="0" w:firstLineChars="0"/>
              <w:jc w:val="center"/>
              <w:rPr>
                <w:b/>
                <w:bCs/>
              </w:rPr>
            </w:pPr>
            <w:r>
              <w:rPr>
                <w:rFonts w:hint="eastAsia"/>
                <w:b/>
                <w:bCs/>
              </w:rPr>
              <w:t>项目</w:t>
            </w:r>
          </w:p>
        </w:tc>
        <w:tc>
          <w:tcPr>
            <w:tcW w:w="2837" w:type="dxa"/>
            <w:vAlign w:val="center"/>
          </w:tcPr>
          <w:p w14:paraId="787F3ECC">
            <w:pPr>
              <w:pStyle w:val="38"/>
              <w:ind w:firstLine="0" w:firstLineChars="0"/>
              <w:jc w:val="center"/>
              <w:rPr>
                <w:b/>
                <w:bCs/>
              </w:rPr>
            </w:pPr>
            <w:r>
              <w:rPr>
                <w:rFonts w:hint="eastAsia"/>
                <w:b/>
                <w:bCs/>
              </w:rPr>
              <w:t>要求</w:t>
            </w:r>
          </w:p>
        </w:tc>
        <w:tc>
          <w:tcPr>
            <w:tcW w:w="2837" w:type="dxa"/>
            <w:vAlign w:val="center"/>
          </w:tcPr>
          <w:p w14:paraId="449913F7">
            <w:pPr>
              <w:pStyle w:val="38"/>
              <w:ind w:firstLine="0" w:firstLineChars="0"/>
              <w:jc w:val="center"/>
              <w:rPr>
                <w:b/>
                <w:bCs/>
              </w:rPr>
            </w:pPr>
            <w:r>
              <w:rPr>
                <w:rFonts w:hint="eastAsia"/>
                <w:b/>
                <w:bCs/>
              </w:rPr>
              <w:t>检验方法</w:t>
            </w:r>
          </w:p>
        </w:tc>
      </w:tr>
      <w:tr w14:paraId="42CAC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2836" w:type="dxa"/>
            <w:vAlign w:val="center"/>
          </w:tcPr>
          <w:p w14:paraId="70BA95E5">
            <w:pPr>
              <w:pStyle w:val="38"/>
              <w:ind w:firstLine="0" w:firstLineChars="0"/>
              <w:jc w:val="center"/>
            </w:pPr>
            <w:r>
              <w:rPr>
                <w:rFonts w:hint="eastAsia"/>
              </w:rPr>
              <w:t>水分，g/100g ≤</w:t>
            </w:r>
          </w:p>
        </w:tc>
        <w:tc>
          <w:tcPr>
            <w:tcW w:w="2837" w:type="dxa"/>
            <w:vAlign w:val="center"/>
          </w:tcPr>
          <w:p w14:paraId="4115734B">
            <w:pPr>
              <w:pStyle w:val="38"/>
              <w:ind w:firstLine="0" w:firstLineChars="0"/>
              <w:jc w:val="center"/>
            </w:pPr>
            <w:r>
              <w:rPr>
                <w:rFonts w:hint="eastAsia"/>
              </w:rPr>
              <w:t>20</w:t>
            </w:r>
          </w:p>
        </w:tc>
        <w:tc>
          <w:tcPr>
            <w:tcW w:w="2837" w:type="dxa"/>
            <w:vAlign w:val="center"/>
          </w:tcPr>
          <w:p w14:paraId="6EF4DCE2">
            <w:pPr>
              <w:pStyle w:val="38"/>
              <w:ind w:firstLine="0" w:firstLineChars="0"/>
              <w:jc w:val="center"/>
            </w:pPr>
            <w:r>
              <w:rPr>
                <w:rFonts w:hint="eastAsia"/>
              </w:rPr>
              <w:t>按GB 5009.3中规定的第一法测定</w:t>
            </w:r>
          </w:p>
        </w:tc>
      </w:tr>
      <w:tr w14:paraId="7253E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2836" w:type="dxa"/>
            <w:vAlign w:val="center"/>
          </w:tcPr>
          <w:p w14:paraId="78108C0B">
            <w:pPr>
              <w:pStyle w:val="38"/>
              <w:ind w:firstLine="0" w:firstLineChars="0"/>
              <w:jc w:val="center"/>
            </w:pPr>
            <w:r>
              <w:rPr>
                <w:rFonts w:hint="eastAsia"/>
              </w:rPr>
              <w:t>总糖（以葡萄糖计），g/100g ≤</w:t>
            </w:r>
          </w:p>
        </w:tc>
        <w:tc>
          <w:tcPr>
            <w:tcW w:w="2837" w:type="dxa"/>
            <w:vAlign w:val="center"/>
          </w:tcPr>
          <w:p w14:paraId="2DD97E87">
            <w:pPr>
              <w:pStyle w:val="38"/>
              <w:ind w:firstLine="0" w:firstLineChars="0"/>
              <w:jc w:val="center"/>
            </w:pPr>
            <w:r>
              <w:rPr>
                <w:rFonts w:hint="eastAsia"/>
              </w:rPr>
              <w:t>80</w:t>
            </w:r>
          </w:p>
        </w:tc>
        <w:tc>
          <w:tcPr>
            <w:tcW w:w="2837" w:type="dxa"/>
            <w:vAlign w:val="center"/>
          </w:tcPr>
          <w:p w14:paraId="0BD7D6B1">
            <w:pPr>
              <w:pStyle w:val="38"/>
              <w:ind w:firstLine="0" w:firstLineChars="0"/>
              <w:jc w:val="center"/>
            </w:pPr>
            <w:r>
              <w:rPr>
                <w:rFonts w:hint="eastAsia"/>
              </w:rPr>
              <w:t>按GB/T 10782中7.4规定的方法</w:t>
            </w:r>
          </w:p>
        </w:tc>
      </w:tr>
      <w:tr w14:paraId="18735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2836" w:type="dxa"/>
            <w:vAlign w:val="center"/>
          </w:tcPr>
          <w:p w14:paraId="181F1872">
            <w:pPr>
              <w:pStyle w:val="38"/>
              <w:ind w:firstLine="0" w:firstLineChars="0"/>
              <w:jc w:val="center"/>
            </w:pPr>
            <w:r>
              <w:rPr>
                <w:rFonts w:hint="eastAsia"/>
              </w:rPr>
              <w:t>总酸（以柠檬酸计），g/100g ≤</w:t>
            </w:r>
          </w:p>
        </w:tc>
        <w:tc>
          <w:tcPr>
            <w:tcW w:w="2837" w:type="dxa"/>
            <w:vAlign w:val="center"/>
          </w:tcPr>
          <w:p w14:paraId="7BF986BB">
            <w:pPr>
              <w:pStyle w:val="38"/>
              <w:ind w:firstLine="0" w:firstLineChars="0"/>
              <w:jc w:val="center"/>
            </w:pPr>
            <w:r>
              <w:rPr>
                <w:rFonts w:hint="eastAsia"/>
              </w:rPr>
              <w:t>2.5</w:t>
            </w:r>
          </w:p>
        </w:tc>
        <w:tc>
          <w:tcPr>
            <w:tcW w:w="2837" w:type="dxa"/>
            <w:vAlign w:val="center"/>
          </w:tcPr>
          <w:p w14:paraId="2EB2B26A">
            <w:pPr>
              <w:pStyle w:val="38"/>
              <w:ind w:firstLine="0" w:firstLineChars="0"/>
              <w:jc w:val="center"/>
            </w:pPr>
            <w:r>
              <w:rPr>
                <w:rFonts w:hint="eastAsia"/>
              </w:rPr>
              <w:t>按GB 12456中规定的第一法测定</w:t>
            </w:r>
          </w:p>
        </w:tc>
      </w:tr>
      <w:tr w14:paraId="26B06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2836" w:type="dxa"/>
            <w:vAlign w:val="center"/>
          </w:tcPr>
          <w:p w14:paraId="1BEB4FDF">
            <w:pPr>
              <w:pStyle w:val="38"/>
              <w:ind w:firstLine="0" w:firstLineChars="0"/>
              <w:jc w:val="center"/>
            </w:pPr>
            <w:r>
              <w:rPr>
                <w:rFonts w:hint="eastAsia"/>
              </w:rPr>
              <w:t>总黄酮，mg/100g ≥</w:t>
            </w:r>
          </w:p>
        </w:tc>
        <w:tc>
          <w:tcPr>
            <w:tcW w:w="2837" w:type="dxa"/>
            <w:vAlign w:val="center"/>
          </w:tcPr>
          <w:p w14:paraId="2D63E39F">
            <w:pPr>
              <w:pStyle w:val="38"/>
              <w:ind w:firstLine="0" w:firstLineChars="0"/>
              <w:jc w:val="center"/>
            </w:pPr>
            <w:r>
              <w:rPr>
                <w:rFonts w:hint="eastAsia"/>
              </w:rPr>
              <w:t>497</w:t>
            </w:r>
          </w:p>
        </w:tc>
        <w:tc>
          <w:tcPr>
            <w:tcW w:w="2837" w:type="dxa"/>
            <w:vAlign w:val="center"/>
          </w:tcPr>
          <w:p w14:paraId="6C201AC8">
            <w:pPr>
              <w:pStyle w:val="38"/>
              <w:ind w:firstLine="0" w:firstLineChars="0"/>
              <w:jc w:val="center"/>
            </w:pPr>
            <w:r>
              <w:rPr>
                <w:rFonts w:hint="eastAsia"/>
              </w:rPr>
              <w:t>按DB36/T 1247附录C中规定的方法</w:t>
            </w:r>
          </w:p>
        </w:tc>
      </w:tr>
      <w:tr w14:paraId="03A30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2836" w:type="dxa"/>
            <w:vAlign w:val="center"/>
          </w:tcPr>
          <w:p w14:paraId="58F4CC2F">
            <w:pPr>
              <w:pStyle w:val="38"/>
              <w:ind w:firstLine="0" w:firstLineChars="0"/>
              <w:jc w:val="center"/>
            </w:pPr>
            <w:r>
              <w:rPr>
                <w:rFonts w:hint="eastAsia"/>
              </w:rPr>
              <w:t>总有机硒，μg/100g</w:t>
            </w:r>
            <w:r>
              <w:t xml:space="preserve"> </w:t>
            </w:r>
            <w:r>
              <w:rPr>
                <w:rFonts w:hint="eastAsia"/>
              </w:rPr>
              <w:t>≥</w:t>
            </w:r>
          </w:p>
        </w:tc>
        <w:tc>
          <w:tcPr>
            <w:tcW w:w="2837" w:type="dxa"/>
            <w:vAlign w:val="center"/>
          </w:tcPr>
          <w:p w14:paraId="424A17EB">
            <w:pPr>
              <w:pStyle w:val="38"/>
              <w:ind w:firstLine="0" w:firstLineChars="0"/>
              <w:jc w:val="center"/>
            </w:pPr>
            <w:r>
              <w:t>0.</w:t>
            </w:r>
            <w:r>
              <w:rPr>
                <w:rFonts w:hint="eastAsia"/>
              </w:rPr>
              <w:t>29</w:t>
            </w:r>
          </w:p>
        </w:tc>
        <w:tc>
          <w:tcPr>
            <w:tcW w:w="2837" w:type="dxa"/>
            <w:vAlign w:val="center"/>
          </w:tcPr>
          <w:p w14:paraId="2F845AFA">
            <w:pPr>
              <w:pStyle w:val="38"/>
              <w:ind w:firstLine="0" w:firstLineChars="0"/>
              <w:jc w:val="center"/>
            </w:pPr>
            <w:r>
              <w:rPr>
                <w:rFonts w:hint="eastAsia"/>
              </w:rPr>
              <w:t>按GB 5009.93-2017中规定的第二法测定</w:t>
            </w:r>
          </w:p>
        </w:tc>
      </w:tr>
    </w:tbl>
    <w:p w14:paraId="1FB83E6C">
      <w:pPr>
        <w:pStyle w:val="33"/>
        <w:numPr>
          <w:ilvl w:val="0"/>
          <w:numId w:val="0"/>
        </w:numPr>
        <w:outlineLvl w:val="1"/>
        <w:rPr>
          <w:rFonts w:ascii="Times New Roman" w:hAnsi="宋体" w:eastAsia="宋体"/>
          <w:kern w:val="2"/>
          <w:sz w:val="24"/>
          <w:szCs w:val="24"/>
        </w:rPr>
      </w:pPr>
      <w:bookmarkStart w:id="45" w:name="_Toc184503841"/>
      <w:r>
        <w:rPr>
          <w:rFonts w:hint="eastAsia" w:ascii="Times New Roman" w:hAnsi="宋体" w:eastAsia="宋体"/>
          <w:kern w:val="2"/>
          <w:sz w:val="24"/>
          <w:szCs w:val="24"/>
        </w:rPr>
        <w:t>5.3微生物限量</w:t>
      </w:r>
      <w:bookmarkEnd w:id="45"/>
    </w:p>
    <w:p w14:paraId="7A3F7A04">
      <w:pPr>
        <w:spacing w:line="300" w:lineRule="auto"/>
        <w:ind w:firstLine="480" w:firstLineChars="200"/>
        <w:jc w:val="left"/>
        <w:rPr>
          <w:rFonts w:hAnsi="宋体"/>
          <w:sz w:val="24"/>
        </w:rPr>
      </w:pPr>
      <w:r>
        <w:rPr>
          <w:rFonts w:hint="eastAsia" w:hAnsi="宋体"/>
          <w:sz w:val="24"/>
        </w:rPr>
        <w:t>应符合GB 14884中3.4的微生物限量要求。</w:t>
      </w:r>
    </w:p>
    <w:p w14:paraId="7038E1EA">
      <w:pPr>
        <w:pStyle w:val="33"/>
        <w:numPr>
          <w:ilvl w:val="0"/>
          <w:numId w:val="0"/>
        </w:numPr>
        <w:outlineLvl w:val="1"/>
        <w:rPr>
          <w:rFonts w:ascii="Times New Roman" w:hAnsi="宋体" w:eastAsia="宋体"/>
          <w:kern w:val="2"/>
          <w:sz w:val="24"/>
          <w:szCs w:val="24"/>
        </w:rPr>
      </w:pPr>
      <w:bookmarkStart w:id="46" w:name="_Toc184503842"/>
      <w:r>
        <w:rPr>
          <w:rFonts w:hint="eastAsia" w:ascii="Times New Roman" w:hAnsi="宋体" w:eastAsia="宋体"/>
          <w:kern w:val="2"/>
          <w:sz w:val="24"/>
          <w:szCs w:val="24"/>
        </w:rPr>
        <w:t>5.4真菌毒素限量、污染物限量、农药残留限量</w:t>
      </w:r>
      <w:bookmarkEnd w:id="46"/>
    </w:p>
    <w:p w14:paraId="513FAE97">
      <w:pPr>
        <w:spacing w:line="300" w:lineRule="auto"/>
        <w:ind w:firstLine="480" w:firstLineChars="200"/>
        <w:jc w:val="left"/>
        <w:rPr>
          <w:rFonts w:hAnsi="宋体"/>
          <w:sz w:val="24"/>
        </w:rPr>
      </w:pPr>
      <w:r>
        <w:rPr>
          <w:rFonts w:hint="eastAsia" w:hAnsi="宋体"/>
          <w:sz w:val="24"/>
        </w:rPr>
        <w:t>应符合GB 2761、GB 2762、GB 2763的规定。</w:t>
      </w:r>
    </w:p>
    <w:p w14:paraId="1319B5F1">
      <w:pPr>
        <w:pStyle w:val="33"/>
        <w:numPr>
          <w:ilvl w:val="0"/>
          <w:numId w:val="0"/>
        </w:numPr>
        <w:outlineLvl w:val="1"/>
        <w:rPr>
          <w:rFonts w:ascii="Times New Roman" w:hAnsi="宋体" w:eastAsia="宋体"/>
          <w:kern w:val="2"/>
          <w:sz w:val="24"/>
          <w:szCs w:val="24"/>
        </w:rPr>
      </w:pPr>
      <w:bookmarkStart w:id="47" w:name="_Toc184503843"/>
      <w:r>
        <w:rPr>
          <w:rFonts w:hint="eastAsia" w:ascii="Times New Roman" w:hAnsi="宋体" w:eastAsia="宋体"/>
          <w:kern w:val="2"/>
          <w:sz w:val="24"/>
          <w:szCs w:val="24"/>
        </w:rPr>
        <w:t>5.5食品添加剂</w:t>
      </w:r>
      <w:bookmarkEnd w:id="47"/>
    </w:p>
    <w:p w14:paraId="5C65A548">
      <w:pPr>
        <w:spacing w:line="300" w:lineRule="auto"/>
        <w:ind w:firstLine="480" w:firstLineChars="200"/>
        <w:jc w:val="left"/>
        <w:rPr>
          <w:rFonts w:hAnsi="宋体"/>
          <w:sz w:val="24"/>
        </w:rPr>
      </w:pPr>
      <w:r>
        <w:rPr>
          <w:rFonts w:hint="eastAsia" w:hAnsi="宋体"/>
          <w:sz w:val="24"/>
        </w:rPr>
        <w:t>应符合GB 2760的规定。</w:t>
      </w:r>
    </w:p>
    <w:p w14:paraId="4282A6FA">
      <w:pPr>
        <w:pStyle w:val="33"/>
        <w:numPr>
          <w:ilvl w:val="0"/>
          <w:numId w:val="0"/>
        </w:numPr>
        <w:outlineLvl w:val="1"/>
        <w:rPr>
          <w:rFonts w:ascii="Times New Roman" w:hAnsi="宋体" w:eastAsia="宋体"/>
          <w:kern w:val="2"/>
          <w:sz w:val="24"/>
          <w:szCs w:val="24"/>
        </w:rPr>
      </w:pPr>
      <w:bookmarkStart w:id="48" w:name="_Toc184503844"/>
      <w:r>
        <w:rPr>
          <w:rFonts w:hint="eastAsia" w:ascii="Times New Roman" w:hAnsi="宋体" w:eastAsia="宋体"/>
          <w:kern w:val="2"/>
          <w:sz w:val="24"/>
          <w:szCs w:val="24"/>
        </w:rPr>
        <w:t>5.6净含量</w:t>
      </w:r>
      <w:bookmarkEnd w:id="48"/>
    </w:p>
    <w:p w14:paraId="294CAD46">
      <w:pPr>
        <w:spacing w:line="300" w:lineRule="auto"/>
        <w:ind w:firstLine="480" w:firstLineChars="200"/>
        <w:jc w:val="left"/>
        <w:rPr>
          <w:rFonts w:hAnsi="宋体"/>
          <w:sz w:val="24"/>
        </w:rPr>
      </w:pPr>
      <w:r>
        <w:rPr>
          <w:rFonts w:hint="eastAsia" w:hAnsi="宋体"/>
          <w:sz w:val="24"/>
        </w:rPr>
        <w:t>应符合《定量包装商品计量监督管理办法》的规定，按JJF 1070规定方法测定。</w:t>
      </w:r>
    </w:p>
    <w:p w14:paraId="7DA011D8">
      <w:pPr>
        <w:pStyle w:val="33"/>
        <w:numPr>
          <w:ilvl w:val="0"/>
          <w:numId w:val="0"/>
        </w:numPr>
        <w:outlineLvl w:val="1"/>
        <w:rPr>
          <w:rFonts w:ascii="Times New Roman" w:hAnsi="宋体" w:eastAsia="宋体"/>
          <w:kern w:val="2"/>
          <w:sz w:val="24"/>
          <w:szCs w:val="24"/>
        </w:rPr>
      </w:pPr>
      <w:bookmarkStart w:id="49" w:name="_Toc184503845"/>
      <w:r>
        <w:rPr>
          <w:rFonts w:hint="eastAsia" w:ascii="Times New Roman" w:hAnsi="宋体" w:eastAsia="宋体"/>
          <w:kern w:val="2"/>
          <w:sz w:val="24"/>
          <w:szCs w:val="24"/>
        </w:rPr>
        <w:t>5.7 生产加工过程卫生要求</w:t>
      </w:r>
      <w:bookmarkEnd w:id="49"/>
    </w:p>
    <w:p w14:paraId="00D98D40">
      <w:pPr>
        <w:spacing w:line="300" w:lineRule="auto"/>
        <w:ind w:firstLine="480" w:firstLineChars="200"/>
        <w:jc w:val="left"/>
        <w:rPr>
          <w:rFonts w:hAnsi="宋体"/>
          <w:sz w:val="24"/>
        </w:rPr>
      </w:pPr>
      <w:r>
        <w:rPr>
          <w:rFonts w:hint="eastAsia" w:hAnsi="宋体"/>
          <w:sz w:val="24"/>
        </w:rPr>
        <w:t>应符合GB 14881和DB36/T 1090的规定。</w:t>
      </w:r>
    </w:p>
    <w:p w14:paraId="350C7471">
      <w:pPr>
        <w:pStyle w:val="3"/>
        <w:rPr>
          <w:rFonts w:ascii="Times New Roman" w:hAnsi="黑体" w:eastAsia="黑体" w:cs="Times New Roman"/>
          <w:b w:val="0"/>
          <w:sz w:val="24"/>
          <w:szCs w:val="24"/>
        </w:rPr>
      </w:pPr>
      <w:bookmarkStart w:id="50" w:name="_Toc173943218"/>
      <w:bookmarkStart w:id="51" w:name="_Toc184503846"/>
      <w:r>
        <w:rPr>
          <w:rFonts w:hint="eastAsia" w:ascii="Times New Roman" w:hAnsi="黑体" w:eastAsia="黑体" w:cs="Times New Roman"/>
          <w:b w:val="0"/>
          <w:sz w:val="24"/>
          <w:szCs w:val="24"/>
        </w:rPr>
        <w:t>6 检验规则</w:t>
      </w:r>
      <w:bookmarkEnd w:id="50"/>
      <w:bookmarkEnd w:id="51"/>
    </w:p>
    <w:p w14:paraId="39DBE2A0">
      <w:pPr>
        <w:pStyle w:val="33"/>
        <w:numPr>
          <w:ilvl w:val="0"/>
          <w:numId w:val="0"/>
        </w:numPr>
        <w:outlineLvl w:val="1"/>
        <w:rPr>
          <w:rFonts w:ascii="Times New Roman" w:hAnsi="宋体" w:eastAsia="宋体"/>
          <w:kern w:val="2"/>
          <w:sz w:val="24"/>
          <w:szCs w:val="24"/>
        </w:rPr>
      </w:pPr>
      <w:bookmarkStart w:id="52" w:name="_Toc184503847"/>
      <w:r>
        <w:rPr>
          <w:rFonts w:hint="eastAsia" w:ascii="Times New Roman" w:hAnsi="宋体" w:eastAsia="宋体"/>
          <w:kern w:val="2"/>
          <w:sz w:val="24"/>
          <w:szCs w:val="24"/>
        </w:rPr>
        <w:t>6.1</w:t>
      </w:r>
      <w:r>
        <w:rPr>
          <w:rFonts w:ascii="Times New Roman" w:hAnsi="宋体" w:eastAsia="宋体"/>
          <w:kern w:val="2"/>
          <w:sz w:val="24"/>
          <w:szCs w:val="24"/>
        </w:rPr>
        <w:t xml:space="preserve"> </w:t>
      </w:r>
      <w:r>
        <w:rPr>
          <w:rFonts w:hint="eastAsia" w:ascii="Times New Roman" w:hAnsi="宋体" w:eastAsia="宋体"/>
          <w:kern w:val="2"/>
          <w:sz w:val="24"/>
          <w:szCs w:val="24"/>
        </w:rPr>
        <w:t>组批</w:t>
      </w:r>
      <w:bookmarkEnd w:id="52"/>
    </w:p>
    <w:p w14:paraId="4391F5B8">
      <w:pPr>
        <w:spacing w:line="300" w:lineRule="auto"/>
        <w:ind w:firstLine="480" w:firstLineChars="200"/>
        <w:jc w:val="left"/>
        <w:rPr>
          <w:rFonts w:hAnsi="宋体"/>
          <w:sz w:val="24"/>
        </w:rPr>
      </w:pPr>
      <w:r>
        <w:rPr>
          <w:rFonts w:hint="eastAsia" w:hAnsi="宋体"/>
          <w:sz w:val="24"/>
        </w:rPr>
        <w:t>同一次投料并由同一班次生产，包装完好的同一品种的产品为一批次。</w:t>
      </w:r>
    </w:p>
    <w:p w14:paraId="518C710E">
      <w:pPr>
        <w:pStyle w:val="33"/>
        <w:numPr>
          <w:ilvl w:val="0"/>
          <w:numId w:val="0"/>
        </w:numPr>
        <w:outlineLvl w:val="1"/>
        <w:rPr>
          <w:rFonts w:ascii="Times New Roman" w:hAnsi="宋体" w:eastAsia="宋体"/>
          <w:kern w:val="2"/>
          <w:sz w:val="24"/>
          <w:szCs w:val="24"/>
        </w:rPr>
      </w:pPr>
      <w:bookmarkStart w:id="53" w:name="_Toc184503848"/>
      <w:r>
        <w:rPr>
          <w:rFonts w:hint="eastAsia" w:ascii="Times New Roman" w:hAnsi="宋体" w:eastAsia="宋体"/>
          <w:kern w:val="2"/>
          <w:sz w:val="24"/>
          <w:szCs w:val="24"/>
        </w:rPr>
        <w:t>6.2抽样</w:t>
      </w:r>
      <w:bookmarkEnd w:id="53"/>
    </w:p>
    <w:p w14:paraId="13D9FE6E">
      <w:pPr>
        <w:spacing w:line="300" w:lineRule="auto"/>
        <w:ind w:firstLine="480" w:firstLineChars="200"/>
        <w:jc w:val="left"/>
        <w:rPr>
          <w:rFonts w:hAnsi="宋体"/>
          <w:sz w:val="24"/>
        </w:rPr>
      </w:pPr>
      <w:r>
        <w:rPr>
          <w:rFonts w:hint="eastAsia" w:hAnsi="宋体"/>
          <w:sz w:val="24"/>
        </w:rPr>
        <w:t>每批产品随机抽取，抽样量为检验所需量的3倍，作为检验及留样。</w:t>
      </w:r>
    </w:p>
    <w:p w14:paraId="2D027B5C">
      <w:pPr>
        <w:pStyle w:val="33"/>
        <w:numPr>
          <w:ilvl w:val="0"/>
          <w:numId w:val="0"/>
        </w:numPr>
        <w:outlineLvl w:val="1"/>
        <w:rPr>
          <w:rFonts w:ascii="Times New Roman" w:hAnsi="宋体" w:eastAsia="宋体"/>
          <w:kern w:val="2"/>
          <w:sz w:val="24"/>
          <w:szCs w:val="24"/>
        </w:rPr>
      </w:pPr>
      <w:bookmarkStart w:id="54" w:name="_Toc184503849"/>
      <w:r>
        <w:rPr>
          <w:rFonts w:hint="eastAsia" w:ascii="Times New Roman" w:hAnsi="宋体" w:eastAsia="宋体"/>
          <w:kern w:val="2"/>
          <w:sz w:val="24"/>
          <w:szCs w:val="24"/>
        </w:rPr>
        <w:t>6.3出厂检验</w:t>
      </w:r>
      <w:bookmarkEnd w:id="54"/>
    </w:p>
    <w:p w14:paraId="53433124">
      <w:pPr>
        <w:spacing w:line="300" w:lineRule="auto"/>
        <w:ind w:firstLine="480" w:firstLineChars="200"/>
        <w:jc w:val="left"/>
        <w:rPr>
          <w:rFonts w:hAnsi="宋体"/>
          <w:sz w:val="24"/>
        </w:rPr>
      </w:pPr>
      <w:r>
        <w:rPr>
          <w:rFonts w:hint="eastAsia" w:hAnsi="宋体"/>
          <w:sz w:val="24"/>
        </w:rPr>
        <w:t>出厂检验项目包括：感官、水分、菌落总数、大肠菌群和净含量。每批产品应经检验合格，出具合格证明后方可出厂。</w:t>
      </w:r>
    </w:p>
    <w:p w14:paraId="53C11F2C">
      <w:pPr>
        <w:pStyle w:val="33"/>
        <w:numPr>
          <w:ilvl w:val="0"/>
          <w:numId w:val="0"/>
        </w:numPr>
        <w:outlineLvl w:val="1"/>
        <w:rPr>
          <w:rFonts w:ascii="Times New Roman" w:hAnsi="宋体" w:eastAsia="宋体"/>
          <w:kern w:val="2"/>
          <w:sz w:val="24"/>
          <w:szCs w:val="24"/>
        </w:rPr>
      </w:pPr>
      <w:bookmarkStart w:id="55" w:name="_Toc184503850"/>
      <w:r>
        <w:rPr>
          <w:rFonts w:hint="eastAsia" w:ascii="Times New Roman" w:hAnsi="宋体" w:eastAsia="宋体"/>
          <w:kern w:val="2"/>
          <w:sz w:val="24"/>
          <w:szCs w:val="24"/>
        </w:rPr>
        <w:t>6.4型式检验</w:t>
      </w:r>
      <w:bookmarkEnd w:id="55"/>
    </w:p>
    <w:p w14:paraId="32D5C6CF">
      <w:pPr>
        <w:pStyle w:val="33"/>
        <w:numPr>
          <w:ilvl w:val="0"/>
          <w:numId w:val="0"/>
        </w:numPr>
        <w:ind w:left="426"/>
        <w:rPr>
          <w:rFonts w:ascii="宋体" w:hAnsi="宋体" w:eastAsia="宋体"/>
        </w:rPr>
      </w:pPr>
      <w:r>
        <w:rPr>
          <w:rFonts w:hint="eastAsia" w:ascii="宋体" w:hAnsi="宋体" w:eastAsia="宋体"/>
        </w:rPr>
        <w:t>6.4.1型式检验项目为本文件规定的全部检验项目。</w:t>
      </w:r>
    </w:p>
    <w:p w14:paraId="4E38B549">
      <w:pPr>
        <w:pStyle w:val="33"/>
        <w:numPr>
          <w:ilvl w:val="0"/>
          <w:numId w:val="0"/>
        </w:numPr>
        <w:ind w:left="426"/>
        <w:rPr>
          <w:rFonts w:ascii="宋体" w:hAnsi="宋体" w:eastAsia="宋体"/>
        </w:rPr>
      </w:pPr>
      <w:r>
        <w:rPr>
          <w:rFonts w:hint="eastAsia" w:ascii="宋体" w:hAnsi="宋体" w:eastAsia="宋体"/>
        </w:rPr>
        <w:t>6.4.2正常生产情况下，型式检验每半年进行一次，发生下列情况之一时也应进行：</w:t>
      </w:r>
    </w:p>
    <w:p w14:paraId="708F934C">
      <w:pPr>
        <w:spacing w:line="300" w:lineRule="auto"/>
        <w:ind w:firstLine="480" w:firstLineChars="200"/>
        <w:jc w:val="left"/>
        <w:rPr>
          <w:rFonts w:hAnsi="宋体"/>
          <w:sz w:val="24"/>
        </w:rPr>
      </w:pPr>
      <w:r>
        <w:rPr>
          <w:rFonts w:hint="eastAsia" w:hAnsi="宋体"/>
          <w:sz w:val="24"/>
        </w:rPr>
        <w:t>a）主要原料或工艺发生重大改变时；</w:t>
      </w:r>
    </w:p>
    <w:p w14:paraId="4F12CC62">
      <w:pPr>
        <w:spacing w:line="300" w:lineRule="auto"/>
        <w:ind w:firstLine="480" w:firstLineChars="200"/>
        <w:jc w:val="left"/>
        <w:rPr>
          <w:rFonts w:hAnsi="宋体"/>
          <w:sz w:val="24"/>
        </w:rPr>
      </w:pPr>
      <w:r>
        <w:rPr>
          <w:rFonts w:hint="eastAsia" w:hAnsi="宋体"/>
          <w:sz w:val="24"/>
        </w:rPr>
        <w:t>b）本次检验结果与上次检验结果发生较大差异时；</w:t>
      </w:r>
    </w:p>
    <w:p w14:paraId="1F37BC85">
      <w:pPr>
        <w:spacing w:line="300" w:lineRule="auto"/>
        <w:ind w:firstLine="480" w:firstLineChars="200"/>
        <w:jc w:val="left"/>
        <w:rPr>
          <w:rFonts w:hAnsi="宋体"/>
          <w:sz w:val="24"/>
        </w:rPr>
      </w:pPr>
      <w:r>
        <w:rPr>
          <w:rFonts w:hint="eastAsia" w:hAnsi="宋体"/>
          <w:sz w:val="24"/>
        </w:rPr>
        <w:t>停产半年后恢复生产时。</w:t>
      </w:r>
    </w:p>
    <w:p w14:paraId="384809E4">
      <w:pPr>
        <w:pStyle w:val="33"/>
        <w:numPr>
          <w:ilvl w:val="0"/>
          <w:numId w:val="0"/>
        </w:numPr>
        <w:outlineLvl w:val="1"/>
        <w:rPr>
          <w:rFonts w:ascii="Times New Roman" w:hAnsi="宋体" w:eastAsia="宋体"/>
          <w:kern w:val="2"/>
          <w:sz w:val="24"/>
          <w:szCs w:val="24"/>
        </w:rPr>
      </w:pPr>
      <w:bookmarkStart w:id="56" w:name="_Toc184503851"/>
      <w:r>
        <w:rPr>
          <w:rFonts w:hint="eastAsia" w:ascii="Times New Roman" w:hAnsi="宋体" w:eastAsia="宋体"/>
          <w:kern w:val="2"/>
          <w:sz w:val="24"/>
          <w:szCs w:val="24"/>
        </w:rPr>
        <w:t>6.5判定规则</w:t>
      </w:r>
      <w:bookmarkEnd w:id="56"/>
    </w:p>
    <w:p w14:paraId="3EB045EC">
      <w:pPr>
        <w:spacing w:line="300" w:lineRule="auto"/>
        <w:ind w:firstLine="480" w:firstLineChars="200"/>
        <w:jc w:val="left"/>
        <w:rPr>
          <w:rFonts w:hAnsi="宋体"/>
          <w:sz w:val="24"/>
        </w:rPr>
      </w:pPr>
      <w:r>
        <w:rPr>
          <w:rFonts w:hint="eastAsia" w:hAnsi="宋体"/>
          <w:sz w:val="24"/>
        </w:rPr>
        <w:t>检验结果符合本文件规定的指标要求，则判定该批产品为合格品。检验结果中有一项或一项以上指标不符合本文件规定时，应在同一批产品中重新加倍抽样，对不合格项目进行复检，若仍有一项不合格时，则判定为不合格。微生物指标不符合要求时，不得复检，判定该批次产品不合格。</w:t>
      </w:r>
    </w:p>
    <w:p w14:paraId="0B773D43">
      <w:pPr>
        <w:pStyle w:val="3"/>
        <w:rPr>
          <w:rFonts w:ascii="Times New Roman" w:hAnsi="黑体" w:eastAsia="黑体" w:cs="Times New Roman"/>
          <w:b w:val="0"/>
          <w:sz w:val="24"/>
          <w:szCs w:val="24"/>
        </w:rPr>
      </w:pPr>
      <w:bookmarkStart w:id="57" w:name="_Toc184503852"/>
      <w:bookmarkStart w:id="58" w:name="_Toc173943219"/>
      <w:r>
        <w:rPr>
          <w:rFonts w:hint="eastAsia" w:ascii="Times New Roman" w:hAnsi="黑体" w:eastAsia="黑体" w:cs="Times New Roman"/>
          <w:b w:val="0"/>
          <w:sz w:val="24"/>
          <w:szCs w:val="24"/>
        </w:rPr>
        <w:t>7 标签、标志、包装</w:t>
      </w:r>
      <w:bookmarkEnd w:id="57"/>
      <w:bookmarkEnd w:id="58"/>
    </w:p>
    <w:p w14:paraId="7875F499">
      <w:pPr>
        <w:pStyle w:val="33"/>
        <w:numPr>
          <w:ilvl w:val="0"/>
          <w:numId w:val="0"/>
        </w:numPr>
        <w:outlineLvl w:val="1"/>
        <w:rPr>
          <w:rFonts w:ascii="Times New Roman" w:hAnsi="宋体" w:eastAsia="宋体"/>
          <w:kern w:val="2"/>
          <w:sz w:val="24"/>
          <w:szCs w:val="24"/>
        </w:rPr>
      </w:pPr>
      <w:bookmarkStart w:id="59" w:name="_Toc184503853"/>
      <w:r>
        <w:rPr>
          <w:rFonts w:hint="eastAsia" w:ascii="Times New Roman" w:hAnsi="宋体" w:eastAsia="宋体"/>
          <w:kern w:val="2"/>
          <w:sz w:val="24"/>
          <w:szCs w:val="24"/>
        </w:rPr>
        <w:t xml:space="preserve">7.1 </w:t>
      </w:r>
      <w:r>
        <w:rPr>
          <w:rFonts w:ascii="Times New Roman" w:hAnsi="宋体" w:eastAsia="宋体"/>
          <w:kern w:val="2"/>
          <w:sz w:val="24"/>
          <w:szCs w:val="24"/>
        </w:rPr>
        <w:t>标签</w:t>
      </w:r>
      <w:bookmarkEnd w:id="59"/>
    </w:p>
    <w:p w14:paraId="603599CD">
      <w:pPr>
        <w:spacing w:line="300" w:lineRule="auto"/>
        <w:ind w:firstLine="480" w:firstLineChars="200"/>
        <w:jc w:val="left"/>
        <w:rPr>
          <w:rFonts w:hAnsi="宋体"/>
          <w:sz w:val="24"/>
        </w:rPr>
      </w:pPr>
      <w:r>
        <w:rPr>
          <w:rFonts w:hint="eastAsia" w:hAnsi="宋体"/>
          <w:sz w:val="24"/>
        </w:rPr>
        <w:t>应符合GB 7718、GB 28050和GB/T 17924的规定</w:t>
      </w:r>
    </w:p>
    <w:p w14:paraId="035A3002">
      <w:pPr>
        <w:pStyle w:val="33"/>
        <w:numPr>
          <w:ilvl w:val="0"/>
          <w:numId w:val="0"/>
        </w:numPr>
        <w:outlineLvl w:val="1"/>
        <w:rPr>
          <w:rFonts w:ascii="Times New Roman" w:hAnsi="宋体" w:eastAsia="宋体"/>
          <w:kern w:val="2"/>
          <w:sz w:val="24"/>
          <w:szCs w:val="24"/>
        </w:rPr>
      </w:pPr>
      <w:bookmarkStart w:id="60" w:name="_Toc184503854"/>
      <w:r>
        <w:rPr>
          <w:rFonts w:hint="eastAsia" w:ascii="Times New Roman" w:hAnsi="宋体" w:eastAsia="宋体"/>
          <w:kern w:val="2"/>
          <w:sz w:val="24"/>
          <w:szCs w:val="24"/>
        </w:rPr>
        <w:t>7.2</w:t>
      </w:r>
      <w:r>
        <w:rPr>
          <w:rFonts w:ascii="Times New Roman" w:hAnsi="宋体" w:eastAsia="宋体"/>
          <w:kern w:val="2"/>
          <w:sz w:val="24"/>
          <w:szCs w:val="24"/>
        </w:rPr>
        <w:t>标志</w:t>
      </w:r>
      <w:bookmarkEnd w:id="60"/>
    </w:p>
    <w:p w14:paraId="35F06ABC">
      <w:pPr>
        <w:spacing w:line="300" w:lineRule="auto"/>
        <w:ind w:firstLine="480" w:firstLineChars="200"/>
        <w:jc w:val="left"/>
        <w:rPr>
          <w:rFonts w:hAnsi="宋体"/>
          <w:sz w:val="24"/>
        </w:rPr>
      </w:pPr>
      <w:r>
        <w:rPr>
          <w:rFonts w:hint="eastAsia" w:hAnsi="宋体"/>
          <w:sz w:val="24"/>
        </w:rPr>
        <w:t>外包装标志应符合GB/T 191的规定，地理标志专用标志应符合地理标志产品保护规定和《地理标志专用标志使用管理办法（试行）》的要求</w:t>
      </w:r>
    </w:p>
    <w:p w14:paraId="633B7600">
      <w:pPr>
        <w:pStyle w:val="33"/>
        <w:numPr>
          <w:ilvl w:val="0"/>
          <w:numId w:val="0"/>
        </w:numPr>
        <w:outlineLvl w:val="1"/>
        <w:rPr>
          <w:rFonts w:ascii="Times New Roman" w:hAnsi="宋体" w:eastAsia="宋体"/>
          <w:kern w:val="2"/>
          <w:sz w:val="24"/>
          <w:szCs w:val="24"/>
        </w:rPr>
      </w:pPr>
      <w:bookmarkStart w:id="61" w:name="_Toc184503855"/>
      <w:r>
        <w:rPr>
          <w:rFonts w:hint="eastAsia" w:ascii="Times New Roman" w:hAnsi="宋体" w:eastAsia="宋体"/>
          <w:kern w:val="2"/>
          <w:sz w:val="24"/>
          <w:szCs w:val="24"/>
        </w:rPr>
        <w:t>7.3包装</w:t>
      </w:r>
      <w:bookmarkEnd w:id="61"/>
    </w:p>
    <w:p w14:paraId="7B2AD7AE">
      <w:pPr>
        <w:spacing w:line="300" w:lineRule="auto"/>
        <w:ind w:firstLine="480" w:firstLineChars="200"/>
        <w:jc w:val="left"/>
        <w:rPr>
          <w:rFonts w:hAnsi="宋体"/>
          <w:sz w:val="24"/>
        </w:rPr>
      </w:pPr>
      <w:r>
        <w:rPr>
          <w:rFonts w:hint="eastAsia" w:hAnsi="宋体"/>
          <w:sz w:val="24"/>
        </w:rPr>
        <w:t>内包装材料应符合GB 4806.1、GB 4806.7要求，包装容器封口严密，不得破损泄漏。</w:t>
      </w:r>
    </w:p>
    <w:p w14:paraId="35A12DD1">
      <w:pPr>
        <w:pStyle w:val="3"/>
        <w:rPr>
          <w:rFonts w:ascii="Times New Roman" w:hAnsi="黑体" w:eastAsia="黑体" w:cs="Times New Roman"/>
          <w:b w:val="0"/>
          <w:sz w:val="24"/>
          <w:szCs w:val="24"/>
        </w:rPr>
      </w:pPr>
      <w:bookmarkStart w:id="62" w:name="_Toc184503856"/>
      <w:r>
        <w:rPr>
          <w:rFonts w:hint="eastAsia" w:ascii="Times New Roman" w:hAnsi="黑体" w:eastAsia="黑体" w:cs="Times New Roman"/>
          <w:b w:val="0"/>
          <w:sz w:val="24"/>
          <w:szCs w:val="24"/>
        </w:rPr>
        <w:t>8 贮存和运输</w:t>
      </w:r>
      <w:bookmarkEnd w:id="62"/>
    </w:p>
    <w:p w14:paraId="1B248542">
      <w:pPr>
        <w:spacing w:line="300" w:lineRule="auto"/>
        <w:ind w:firstLine="480" w:firstLineChars="200"/>
        <w:jc w:val="left"/>
        <w:rPr>
          <w:rFonts w:hAnsi="宋体"/>
          <w:sz w:val="24"/>
        </w:rPr>
      </w:pPr>
      <w:r>
        <w:rPr>
          <w:rFonts w:hint="eastAsia" w:hAnsi="宋体"/>
          <w:sz w:val="24"/>
        </w:rPr>
        <w:t>产品应存放在阴凉、通风、干燥处，防止阳光直射和雨淋，不得与有毒、有害或有异味物品混贮和混运。保质期一年</w:t>
      </w:r>
    </w:p>
    <w:p w14:paraId="5D9E3AA3">
      <w:pPr>
        <w:spacing w:line="300" w:lineRule="auto"/>
        <w:ind w:firstLine="480" w:firstLineChars="200"/>
        <w:jc w:val="left"/>
        <w:rPr>
          <w:rFonts w:hAnsi="宋体"/>
          <w:sz w:val="24"/>
        </w:rPr>
      </w:pPr>
    </w:p>
    <w:p w14:paraId="182B8005">
      <w:pPr>
        <w:spacing w:line="300" w:lineRule="auto"/>
        <w:ind w:firstLine="480" w:firstLineChars="200"/>
        <w:jc w:val="left"/>
        <w:rPr>
          <w:rFonts w:hAnsi="宋体"/>
          <w:sz w:val="24"/>
        </w:rPr>
      </w:pPr>
    </w:p>
    <w:p w14:paraId="06DF4879">
      <w:pPr>
        <w:spacing w:line="300" w:lineRule="auto"/>
        <w:ind w:firstLine="480" w:firstLineChars="200"/>
        <w:jc w:val="left"/>
        <w:rPr>
          <w:rFonts w:hAnsi="宋体"/>
          <w:sz w:val="24"/>
        </w:rPr>
      </w:pPr>
    </w:p>
    <w:p w14:paraId="7D582926">
      <w:pPr>
        <w:spacing w:line="300" w:lineRule="auto"/>
        <w:ind w:firstLine="480" w:firstLineChars="200"/>
        <w:jc w:val="left"/>
        <w:rPr>
          <w:rFonts w:hAnsi="宋体"/>
          <w:sz w:val="24"/>
        </w:rPr>
      </w:pPr>
    </w:p>
    <w:p w14:paraId="04FD5E94"/>
    <w:sectPr>
      <w:footerReference r:id="rId5" w:type="default"/>
      <w:footerReference r:id="rId6" w:type="even"/>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5D35F">
    <w:pPr>
      <w:pStyle w:val="57"/>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F7835">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EF39C82">
                          <w:pPr>
                            <w:pStyle w:val="5"/>
                          </w:pPr>
                          <w:r>
                            <w:fldChar w:fldCharType="begin"/>
                          </w:r>
                          <w:r>
                            <w:instrText xml:space="preserve">PAGE   \* MERGEFORMAT</w:instrText>
                          </w:r>
                          <w:r>
                            <w:fldChar w:fldCharType="separate"/>
                          </w:r>
                          <w:r>
                            <w:rPr>
                              <w:lang w:val="zh-CN"/>
                            </w:rP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sW1gUCAAAEBAAADgAAAGRycy9lMm9Eb2MueG1srVNLbtswEN0X6B0I&#10;7mvZBlI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c+xbWBQIAAAQEAAAOAAAAAAAAAAEAIAAAAB4BAABkcnMvZTJv&#10;RG9jLnhtbFBLBQYAAAAABgAGAFkBAACVBQAAAAA=&#10;">
              <v:fill on="f" focussize="0,0"/>
              <v:stroke on="f"/>
              <v:imagedata o:title=""/>
              <o:lock v:ext="edit" aspectratio="f"/>
              <v:textbox inset="0mm,0mm,0mm,0mm" style="mso-fit-shape-to-text:t;">
                <w:txbxContent>
                  <w:p w14:paraId="1EF39C82">
                    <w:pPr>
                      <w:pStyle w:val="5"/>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4B8F2">
    <w:pPr>
      <w:pStyle w:val="42"/>
      <w:rPr>
        <w:rFonts w:ascii="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28B84D4">
                          <w:pPr>
                            <w:pStyle w:val="42"/>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2</w:t>
                          </w:r>
                          <w:r>
                            <w:rPr>
                              <w:rFonts w:ascii="Times New Roma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14:paraId="128B84D4">
                    <w:pPr>
                      <w:pStyle w:val="42"/>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2</w:t>
                    </w:r>
                    <w:r>
                      <w:rPr>
                        <w:rFonts w:asci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8998">
    <w:pPr>
      <w:pStyle w:val="56"/>
    </w:pPr>
    <w: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E74BD"/>
    <w:multiLevelType w:val="multilevel"/>
    <w:tmpl w:val="1D4E74BD"/>
    <w:lvl w:ilvl="0" w:tentative="0">
      <w:start w:val="1"/>
      <w:numFmt w:val="decimal"/>
      <w:pStyle w:val="4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1FC91163"/>
    <w:multiLevelType w:val="multilevel"/>
    <w:tmpl w:val="1FC91163"/>
    <w:lvl w:ilvl="0" w:tentative="0">
      <w:start w:val="1"/>
      <w:numFmt w:val="decimal"/>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426"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2C"/>
    <w:rsid w:val="000042EB"/>
    <w:rsid w:val="000863D1"/>
    <w:rsid w:val="0011184B"/>
    <w:rsid w:val="00204BDF"/>
    <w:rsid w:val="002C352C"/>
    <w:rsid w:val="00336639"/>
    <w:rsid w:val="004B5B9D"/>
    <w:rsid w:val="005D6884"/>
    <w:rsid w:val="0063379C"/>
    <w:rsid w:val="006C4349"/>
    <w:rsid w:val="007715F0"/>
    <w:rsid w:val="007D1433"/>
    <w:rsid w:val="00952F99"/>
    <w:rsid w:val="00A74271"/>
    <w:rsid w:val="00AC36C3"/>
    <w:rsid w:val="00AE4DFC"/>
    <w:rsid w:val="00B84944"/>
    <w:rsid w:val="00C16EE2"/>
    <w:rsid w:val="00C4512A"/>
    <w:rsid w:val="00C8206F"/>
    <w:rsid w:val="00CA0ECF"/>
    <w:rsid w:val="00E227C6"/>
    <w:rsid w:val="00E67EEA"/>
    <w:rsid w:val="00F32CFE"/>
    <w:rsid w:val="0B606591"/>
    <w:rsid w:val="27392E24"/>
    <w:rsid w:val="36E1074C"/>
    <w:rsid w:val="62306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footer"/>
    <w:basedOn w:val="1"/>
    <w:link w:val="29"/>
    <w:unhideWhenUsed/>
    <w:qFormat/>
    <w:uiPriority w:val="99"/>
    <w:pPr>
      <w:tabs>
        <w:tab w:val="center" w:pos="4153"/>
        <w:tab w:val="right" w:pos="8306"/>
      </w:tabs>
      <w:snapToGrid w:val="0"/>
      <w:jc w:val="left"/>
    </w:pPr>
    <w:rPr>
      <w:sz w:val="18"/>
      <w:szCs w:val="18"/>
    </w:rPr>
  </w:style>
  <w:style w:type="paragraph" w:styleId="6">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242"/>
      </w:tabs>
      <w:spacing w:before="79" w:beforeLines="25" w:after="79" w:afterLines="25"/>
      <w:jc w:val="left"/>
    </w:pPr>
    <w:rPr>
      <w:rFonts w:ascii="宋体"/>
      <w:szCs w:val="21"/>
    </w:rPr>
  </w:style>
  <w:style w:type="paragraph" w:styleId="8">
    <w:name w:val="toc 2"/>
    <w:basedOn w:val="1"/>
    <w:next w:val="1"/>
    <w:qFormat/>
    <w:uiPriority w:val="39"/>
    <w:pPr>
      <w:ind w:left="420" w:leftChars="200"/>
    </w:pPr>
  </w:style>
  <w:style w:type="paragraph" w:styleId="9">
    <w:name w:val="Title"/>
    <w:basedOn w:val="1"/>
    <w:next w:val="1"/>
    <w:link w:val="27"/>
    <w:qFormat/>
    <w:uiPriority w:val="10"/>
    <w:pPr>
      <w:spacing w:before="240" w:after="60"/>
      <w:jc w:val="center"/>
      <w:outlineLvl w:val="0"/>
    </w:pPr>
    <w:rPr>
      <w:rFonts w:asciiTheme="majorHAnsi" w:hAnsiTheme="majorHAnsi" w:eastAsiaTheme="majorEastAsia" w:cstheme="majorBidi"/>
      <w:b/>
      <w:bCs/>
      <w:sz w:val="32"/>
      <w:szCs w:val="32"/>
    </w:rPr>
  </w:style>
  <w:style w:type="character" w:styleId="12">
    <w:name w:val="Hyperlink"/>
    <w:qFormat/>
    <w:uiPriority w:val="99"/>
    <w:rPr>
      <w:color w:val="0000FF"/>
      <w:spacing w:val="0"/>
      <w:w w:val="100"/>
      <w:szCs w:val="21"/>
      <w:u w:val="single"/>
      <w:lang w:val="en-US" w:eastAsia="zh-CN"/>
    </w:rPr>
  </w:style>
  <w:style w:type="character" w:styleId="13">
    <w:name w:val="annotation reference"/>
    <w:qFormat/>
    <w:uiPriority w:val="0"/>
    <w:rPr>
      <w:sz w:val="21"/>
      <w:szCs w:val="21"/>
    </w:rPr>
  </w:style>
  <w:style w:type="paragraph" w:customStyle="1" w:styleId="14">
    <w:name w:val="办公标题"/>
    <w:basedOn w:val="2"/>
    <w:link w:val="15"/>
    <w:autoRedefine/>
    <w:qFormat/>
    <w:uiPriority w:val="0"/>
    <w:pPr>
      <w:spacing w:line="720" w:lineRule="exact"/>
      <w:jc w:val="center"/>
    </w:pPr>
    <w:rPr>
      <w:rFonts w:ascii="仿宋_GB2312" w:hAnsi="Calibri" w:eastAsia="方正小标宋简体" w:cs="仿宋_GB2312"/>
      <w:b w:val="0"/>
      <w:kern w:val="0"/>
      <w:szCs w:val="32"/>
    </w:rPr>
  </w:style>
  <w:style w:type="character" w:customStyle="1" w:styleId="15">
    <w:name w:val="办公标题 字符"/>
    <w:basedOn w:val="11"/>
    <w:link w:val="14"/>
    <w:qFormat/>
    <w:uiPriority w:val="0"/>
    <w:rPr>
      <w:rFonts w:ascii="仿宋_GB2312" w:hAnsi="Calibri" w:eastAsia="方正小标宋简体" w:cs="仿宋_GB2312"/>
      <w:bCs/>
      <w:kern w:val="0"/>
      <w:sz w:val="44"/>
      <w:szCs w:val="32"/>
    </w:rPr>
  </w:style>
  <w:style w:type="character" w:customStyle="1" w:styleId="16">
    <w:name w:val="标题 1 字符"/>
    <w:basedOn w:val="11"/>
    <w:link w:val="2"/>
    <w:uiPriority w:val="9"/>
    <w:rPr>
      <w:b/>
      <w:bCs/>
      <w:kern w:val="44"/>
      <w:sz w:val="44"/>
      <w:szCs w:val="44"/>
    </w:rPr>
  </w:style>
  <w:style w:type="paragraph" w:customStyle="1" w:styleId="17">
    <w:name w:val="办公 正文"/>
    <w:basedOn w:val="1"/>
    <w:link w:val="18"/>
    <w:autoRedefine/>
    <w:qFormat/>
    <w:uiPriority w:val="0"/>
    <w:pPr>
      <w:spacing w:line="560" w:lineRule="exact"/>
      <w:ind w:firstLine="200" w:firstLineChars="200"/>
      <w:jc w:val="left"/>
    </w:pPr>
    <w:rPr>
      <w:rFonts w:eastAsia="仿宋_GB2312"/>
      <w:sz w:val="32"/>
    </w:rPr>
  </w:style>
  <w:style w:type="character" w:customStyle="1" w:styleId="18">
    <w:name w:val="办公 正文 字符"/>
    <w:basedOn w:val="11"/>
    <w:link w:val="17"/>
    <w:qFormat/>
    <w:uiPriority w:val="0"/>
    <w:rPr>
      <w:rFonts w:eastAsia="仿宋_GB2312"/>
      <w:sz w:val="32"/>
    </w:rPr>
  </w:style>
  <w:style w:type="paragraph" w:customStyle="1" w:styleId="19">
    <w:name w:val="办公 一级标题"/>
    <w:basedOn w:val="2"/>
    <w:link w:val="20"/>
    <w:autoRedefine/>
    <w:qFormat/>
    <w:uiPriority w:val="0"/>
    <w:pPr>
      <w:topLinePunct/>
      <w:adjustRightInd w:val="0"/>
      <w:snapToGrid w:val="0"/>
      <w:spacing w:before="0" w:after="0" w:line="560" w:lineRule="exact"/>
      <w:jc w:val="left"/>
    </w:pPr>
    <w:rPr>
      <w:rFonts w:ascii="Calibri" w:hAnsi="Calibri" w:eastAsia="黑体" w:cs="黑体"/>
      <w:b w:val="0"/>
      <w:sz w:val="32"/>
      <w:szCs w:val="32"/>
    </w:rPr>
  </w:style>
  <w:style w:type="character" w:customStyle="1" w:styleId="20">
    <w:name w:val="办公 一级标题 字符"/>
    <w:basedOn w:val="11"/>
    <w:link w:val="19"/>
    <w:qFormat/>
    <w:uiPriority w:val="0"/>
    <w:rPr>
      <w:rFonts w:ascii="Calibri" w:hAnsi="Calibri" w:eastAsia="黑体" w:cs="黑体"/>
      <w:bCs/>
      <w:kern w:val="44"/>
      <w:sz w:val="32"/>
      <w:szCs w:val="32"/>
    </w:rPr>
  </w:style>
  <w:style w:type="paragraph" w:customStyle="1" w:styleId="21">
    <w:name w:val="办公 三级标题"/>
    <w:basedOn w:val="1"/>
    <w:link w:val="22"/>
    <w:autoRedefine/>
    <w:qFormat/>
    <w:uiPriority w:val="0"/>
    <w:pPr>
      <w:spacing w:line="560" w:lineRule="exact"/>
      <w:ind w:firstLine="200" w:firstLineChars="200"/>
      <w:jc w:val="left"/>
    </w:pPr>
    <w:rPr>
      <w:rFonts w:ascii="仿宋" w:hAnsi="仿宋" w:eastAsia="仿宋_GB2312" w:cs="仿宋"/>
      <w:b/>
      <w:sz w:val="32"/>
      <w:szCs w:val="32"/>
    </w:rPr>
  </w:style>
  <w:style w:type="character" w:customStyle="1" w:styleId="22">
    <w:name w:val="办公 三级标题 字符"/>
    <w:basedOn w:val="11"/>
    <w:link w:val="21"/>
    <w:qFormat/>
    <w:uiPriority w:val="0"/>
    <w:rPr>
      <w:rFonts w:ascii="仿宋" w:hAnsi="仿宋" w:eastAsia="仿宋_GB2312" w:cs="仿宋"/>
      <w:b/>
      <w:sz w:val="32"/>
      <w:szCs w:val="32"/>
    </w:rPr>
  </w:style>
  <w:style w:type="paragraph" w:customStyle="1" w:styleId="23">
    <w:name w:val="办公 二级标题"/>
    <w:basedOn w:val="3"/>
    <w:link w:val="24"/>
    <w:autoRedefine/>
    <w:qFormat/>
    <w:uiPriority w:val="0"/>
    <w:pPr>
      <w:spacing w:before="0" w:after="0" w:line="560" w:lineRule="exact"/>
      <w:jc w:val="left"/>
    </w:pPr>
    <w:rPr>
      <w:rFonts w:ascii="楷体_GB2312" w:hAnsi="仿宋" w:eastAsia="楷体_GB2312" w:cs="仿宋"/>
      <w:b w:val="0"/>
    </w:rPr>
  </w:style>
  <w:style w:type="character" w:customStyle="1" w:styleId="24">
    <w:name w:val="办公 二级标题 字符"/>
    <w:basedOn w:val="25"/>
    <w:link w:val="23"/>
    <w:uiPriority w:val="0"/>
    <w:rPr>
      <w:rFonts w:ascii="楷体_GB2312" w:hAnsi="仿宋" w:eastAsia="楷体_GB2312" w:cs="仿宋"/>
      <w:b w:val="0"/>
      <w:sz w:val="32"/>
      <w:szCs w:val="32"/>
    </w:rPr>
  </w:style>
  <w:style w:type="character" w:customStyle="1" w:styleId="25">
    <w:name w:val="标题 2 字符"/>
    <w:basedOn w:val="11"/>
    <w:link w:val="3"/>
    <w:uiPriority w:val="9"/>
    <w:rPr>
      <w:rFonts w:asciiTheme="majorHAnsi" w:hAnsiTheme="majorHAnsi" w:eastAsiaTheme="majorEastAsia" w:cstheme="majorBidi"/>
      <w:b/>
      <w:bCs/>
      <w:sz w:val="32"/>
      <w:szCs w:val="32"/>
    </w:rPr>
  </w:style>
  <w:style w:type="paragraph" w:customStyle="1" w:styleId="26">
    <w:name w:val="办公 标题"/>
    <w:basedOn w:val="9"/>
    <w:autoRedefine/>
    <w:qFormat/>
    <w:uiPriority w:val="0"/>
    <w:pPr>
      <w:spacing w:before="0" w:after="0" w:line="720" w:lineRule="exact"/>
    </w:pPr>
    <w:rPr>
      <w:rFonts w:ascii="方正小标宋简体" w:hAnsi="方正小标宋简体" w:eastAsia="方正小标宋简体" w:cs="方正小标宋简体"/>
      <w:b w:val="0"/>
      <w:bCs w:val="0"/>
      <w:sz w:val="44"/>
      <w:szCs w:val="36"/>
    </w:rPr>
  </w:style>
  <w:style w:type="character" w:customStyle="1" w:styleId="27">
    <w:name w:val="标题 字符"/>
    <w:basedOn w:val="11"/>
    <w:link w:val="9"/>
    <w:qFormat/>
    <w:uiPriority w:val="10"/>
    <w:rPr>
      <w:rFonts w:asciiTheme="majorHAnsi" w:hAnsiTheme="majorHAnsi" w:eastAsiaTheme="majorEastAsia" w:cstheme="majorBidi"/>
      <w:b/>
      <w:bCs/>
      <w:sz w:val="32"/>
      <w:szCs w:val="32"/>
    </w:rPr>
  </w:style>
  <w:style w:type="character" w:customStyle="1" w:styleId="28">
    <w:name w:val="页眉 字符"/>
    <w:basedOn w:val="11"/>
    <w:link w:val="6"/>
    <w:uiPriority w:val="99"/>
    <w:rPr>
      <w:sz w:val="18"/>
      <w:szCs w:val="18"/>
    </w:rPr>
  </w:style>
  <w:style w:type="character" w:customStyle="1" w:styleId="29">
    <w:name w:val="页脚 字符"/>
    <w:basedOn w:val="11"/>
    <w:link w:val="5"/>
    <w:qFormat/>
    <w:uiPriority w:val="99"/>
    <w:rPr>
      <w:sz w:val="18"/>
      <w:szCs w:val="18"/>
    </w:rPr>
  </w:style>
  <w:style w:type="paragraph" w:customStyle="1" w:styleId="30">
    <w:name w:val="段"/>
    <w:link w:val="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31">
    <w:name w:val="段 Char"/>
    <w:link w:val="30"/>
    <w:qFormat/>
    <w:uiPriority w:val="0"/>
    <w:rPr>
      <w:rFonts w:ascii="宋体" w:hAnsi="Times New Roman" w:eastAsia="宋体" w:cs="Times New Roman"/>
      <w:kern w:val="0"/>
      <w:szCs w:val="20"/>
    </w:rPr>
  </w:style>
  <w:style w:type="paragraph" w:customStyle="1" w:styleId="32">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33">
    <w:name w:val="一级条标题"/>
    <w:next w:val="30"/>
    <w:qFormat/>
    <w:uiPriority w:val="0"/>
    <w:pPr>
      <w:numPr>
        <w:ilvl w:val="1"/>
        <w:numId w:val="1"/>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34">
    <w:name w:val="封面标准文稿编辑信息"/>
    <w:basedOn w:val="35"/>
    <w:qFormat/>
    <w:uiPriority w:val="0"/>
    <w:pPr>
      <w:framePr w:wrap="around"/>
      <w:spacing w:before="180" w:line="180" w:lineRule="exact"/>
    </w:pPr>
    <w:rPr>
      <w:sz w:val="21"/>
    </w:rPr>
  </w:style>
  <w:style w:type="paragraph" w:customStyle="1" w:styleId="35">
    <w:name w:val="封面标准文稿类别"/>
    <w:basedOn w:val="36"/>
    <w:qFormat/>
    <w:uiPriority w:val="0"/>
    <w:pPr>
      <w:framePr w:wrap="around"/>
      <w:spacing w:after="160" w:line="240" w:lineRule="auto"/>
    </w:pPr>
    <w:rPr>
      <w:sz w:val="24"/>
    </w:rPr>
  </w:style>
  <w:style w:type="paragraph" w:customStyle="1" w:styleId="36">
    <w:name w:val="封面一致性程度标识"/>
    <w:basedOn w:val="37"/>
    <w:qFormat/>
    <w:uiPriority w:val="0"/>
    <w:pPr>
      <w:framePr w:wrap="around"/>
      <w:spacing w:before="440"/>
    </w:pPr>
    <w:rPr>
      <w:rFonts w:ascii="宋体" w:eastAsia="宋体"/>
    </w:rPr>
  </w:style>
  <w:style w:type="paragraph" w:customStyle="1" w:styleId="37">
    <w:name w:val="封面标准英文名称"/>
    <w:basedOn w:val="1"/>
    <w:qFormat/>
    <w:uiPriority w:val="0"/>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paragraph" w:customStyle="1" w:styleId="38">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3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customStyle="1" w:styleId="40">
    <w:name w:val="标准书眉_偶数页"/>
    <w:basedOn w:val="1"/>
    <w:next w:val="1"/>
    <w:qFormat/>
    <w:uiPriority w:val="0"/>
    <w:pPr>
      <w:widowControl/>
      <w:tabs>
        <w:tab w:val="center" w:pos="4154"/>
        <w:tab w:val="right" w:pos="8306"/>
      </w:tabs>
      <w:spacing w:after="220"/>
      <w:jc w:val="left"/>
    </w:pPr>
    <w:rPr>
      <w:rFonts w:ascii="黑体" w:eastAsia="黑体"/>
      <w:kern w:val="0"/>
      <w:szCs w:val="21"/>
    </w:rPr>
  </w:style>
  <w:style w:type="paragraph" w:customStyle="1" w:styleId="41">
    <w:name w:val="章标题"/>
    <w:next w:val="30"/>
    <w:qFormat/>
    <w:uiPriority w:val="0"/>
    <w:pPr>
      <w:numPr>
        <w:ilvl w:val="0"/>
        <w:numId w:val="2"/>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42">
    <w:name w:val="标准书脚_偶数页"/>
    <w:qFormat/>
    <w:uiPriority w:val="0"/>
    <w:pPr>
      <w:spacing w:before="120"/>
      <w:ind w:left="221"/>
    </w:pPr>
    <w:rPr>
      <w:rFonts w:ascii="宋体" w:hAnsi="Times New Roman" w:eastAsia="宋体" w:cs="Times New Roman"/>
      <w:kern w:val="0"/>
      <w:sz w:val="18"/>
      <w:szCs w:val="18"/>
      <w:lang w:val="en-US" w:eastAsia="zh-CN" w:bidi="ar-SA"/>
    </w:rPr>
  </w:style>
  <w:style w:type="paragraph" w:customStyle="1" w:styleId="4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44">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45">
    <w:name w:val="列项——（一级）"/>
    <w:qFormat/>
    <w:uiPriority w:val="0"/>
    <w:pPr>
      <w:widowControl w:val="0"/>
      <w:tabs>
        <w:tab w:val="left" w:pos="720"/>
      </w:tabs>
      <w:ind w:left="720" w:hanging="720"/>
      <w:jc w:val="both"/>
    </w:pPr>
    <w:rPr>
      <w:rFonts w:ascii="宋体" w:hAnsi="Times New Roman" w:eastAsia="宋体" w:cs="Times New Roman"/>
      <w:kern w:val="0"/>
      <w:sz w:val="21"/>
      <w:szCs w:val="20"/>
      <w:lang w:val="en-US" w:eastAsia="zh-CN" w:bidi="ar-SA"/>
    </w:rPr>
  </w:style>
  <w:style w:type="paragraph" w:customStyle="1" w:styleId="46">
    <w:name w:val="发布部门"/>
    <w:next w:val="3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48">
    <w:name w:val="目次、标准名称标题"/>
    <w:basedOn w:val="1"/>
    <w:next w:val="3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前言、引言标题"/>
    <w:next w:val="30"/>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50">
    <w:name w:val="标题 3 字符"/>
    <w:basedOn w:val="11"/>
    <w:link w:val="4"/>
    <w:semiHidden/>
    <w:qFormat/>
    <w:uiPriority w:val="9"/>
    <w:rPr>
      <w:rFonts w:ascii="Times New Roman" w:hAnsi="Times New Roman" w:eastAsia="宋体" w:cs="Times New Roman"/>
      <w:b/>
      <w:bCs/>
      <w:sz w:val="32"/>
      <w:szCs w:val="32"/>
    </w:rPr>
  </w:style>
  <w:style w:type="paragraph" w:customStyle="1" w:styleId="51">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5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5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54">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55">
    <w:name w:val="发布"/>
    <w:basedOn w:val="11"/>
    <w:qFormat/>
    <w:uiPriority w:val="0"/>
    <w:rPr>
      <w:rFonts w:ascii="黑体" w:eastAsia="黑体"/>
      <w:spacing w:val="85"/>
      <w:w w:val="100"/>
      <w:position w:val="3"/>
      <w:sz w:val="28"/>
      <w:szCs w:val="28"/>
    </w:rPr>
  </w:style>
  <w:style w:type="paragraph" w:customStyle="1" w:styleId="56">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57">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58">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8B4F7-5F77-42D9-9E52-9EDF0B64A3E9}">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261</Words>
  <Characters>365</Characters>
  <Lines>41</Lines>
  <Paragraphs>11</Paragraphs>
  <TotalTime>7</TotalTime>
  <ScaleCrop>false</ScaleCrop>
  <LinksUpToDate>false</LinksUpToDate>
  <CharactersWithSpaces>539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2024-12-07T14:46:00Z</dcterms:created>
  <dc:creator>孙 浩</dc:creator>
  <cp:lastModifiedBy>pi</cp:lastModifiedBy>
  <dcterms:modified xsi:type="dcterms:W3CDTF">2024-12-10T15:07:54Z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959EFF442A5B4F8AB346F9FFFB3BDA2D_12</vt:lpwstr>
  </property>
</Properties>
</file>