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05E15">
      <w:pPr>
        <w:spacing w:line="400" w:lineRule="exact"/>
        <w:ind w:firstLine="0" w:firstLineChars="0"/>
        <w:jc w:val="left"/>
        <w:rPr>
          <w:rFonts w:hint="default" w:ascii="仿宋" w:hAnsi="宋体" w:eastAsia="仿宋"/>
          <w:color w:val="auto"/>
          <w:sz w:val="28"/>
          <w:szCs w:val="28"/>
          <w:highlight w:val="none"/>
          <w:lang w:val="en-US" w:eastAsia="zh-CN"/>
        </w:rPr>
      </w:pPr>
      <w:r>
        <w:rPr>
          <w:rFonts w:hint="eastAsia" w:ascii="仿宋" w:hAnsi="宋体" w:eastAsia="仿宋"/>
          <w:color w:val="auto"/>
          <w:sz w:val="28"/>
          <w:szCs w:val="28"/>
          <w:highlight w:val="none"/>
        </w:rPr>
        <w:t>I</w:t>
      </w:r>
      <w:r>
        <w:rPr>
          <w:rFonts w:ascii="仿宋" w:hAnsi="宋体" w:eastAsia="仿宋"/>
          <w:color w:val="auto"/>
          <w:sz w:val="28"/>
          <w:szCs w:val="28"/>
          <w:highlight w:val="none"/>
        </w:rPr>
        <w:t>CS</w:t>
      </w:r>
      <w:r>
        <w:rPr>
          <w:rFonts w:hint="eastAsia" w:ascii="仿宋" w:hAnsi="宋体" w:eastAsia="仿宋"/>
          <w:color w:val="auto"/>
          <w:sz w:val="28"/>
          <w:szCs w:val="28"/>
          <w:highlight w:val="none"/>
          <w:lang w:val="en-US" w:eastAsia="zh-CN"/>
        </w:rPr>
        <w:t xml:space="preserve"> 11.020</w:t>
      </w:r>
    </w:p>
    <w:p w14:paraId="28D33B5E">
      <w:pPr>
        <w:spacing w:line="400" w:lineRule="exact"/>
        <w:ind w:firstLine="0" w:firstLineChars="0"/>
        <w:jc w:val="left"/>
        <w:rPr>
          <w:rFonts w:hint="default" w:ascii="仿宋" w:hAnsi="宋体" w:eastAsia="仿宋"/>
          <w:color w:val="auto"/>
          <w:sz w:val="28"/>
          <w:szCs w:val="28"/>
          <w:highlight w:val="none"/>
          <w:lang w:val="en-US" w:eastAsia="zh-CN"/>
        </w:rPr>
      </w:pPr>
      <w:r>
        <w:rPr>
          <w:rFonts w:hint="eastAsia" w:ascii="仿宋" w:hAnsi="宋体" w:eastAsia="仿宋"/>
          <w:color w:val="auto"/>
          <w:sz w:val="28"/>
          <w:szCs w:val="28"/>
          <w:highlight w:val="none"/>
          <w:lang w:val="en-US" w:eastAsia="zh-CN"/>
        </w:rPr>
        <w:t>C  07</w:t>
      </w:r>
    </w:p>
    <w:p w14:paraId="08D5713D">
      <w:pPr>
        <w:spacing w:before="312" w:beforeLines="100" w:after="312" w:afterLines="100"/>
        <w:ind w:firstLine="0" w:firstLineChars="0"/>
        <w:jc w:val="center"/>
        <w:rPr>
          <w:rFonts w:hint="eastAsia" w:ascii="宋体" w:hAnsi="宋体"/>
          <w:color w:val="auto"/>
          <w:sz w:val="96"/>
          <w:szCs w:val="28"/>
          <w:highlight w:val="none"/>
        </w:rPr>
      </w:pPr>
      <w:r>
        <w:rPr>
          <w:rFonts w:hint="eastAsia" w:ascii="宋体" w:hAnsi="宋体"/>
          <w:color w:val="auto"/>
          <w:sz w:val="96"/>
          <w:szCs w:val="28"/>
          <w:highlight w:val="none"/>
        </w:rPr>
        <w:t xml:space="preserve">团 </w:t>
      </w:r>
      <w:r>
        <w:rPr>
          <w:rFonts w:ascii="宋体" w:hAnsi="宋体"/>
          <w:color w:val="auto"/>
          <w:sz w:val="96"/>
          <w:szCs w:val="28"/>
          <w:highlight w:val="none"/>
        </w:rPr>
        <w:t xml:space="preserve"> </w:t>
      </w:r>
      <w:r>
        <w:rPr>
          <w:rFonts w:hint="eastAsia" w:ascii="宋体" w:hAnsi="宋体"/>
          <w:color w:val="auto"/>
          <w:sz w:val="96"/>
          <w:szCs w:val="28"/>
          <w:highlight w:val="none"/>
        </w:rPr>
        <w:t xml:space="preserve">体 </w:t>
      </w:r>
      <w:r>
        <w:rPr>
          <w:rFonts w:ascii="宋体" w:hAnsi="宋体"/>
          <w:color w:val="auto"/>
          <w:sz w:val="96"/>
          <w:szCs w:val="28"/>
          <w:highlight w:val="none"/>
        </w:rPr>
        <w:t xml:space="preserve"> </w:t>
      </w:r>
      <w:r>
        <w:rPr>
          <w:rFonts w:hint="eastAsia" w:ascii="宋体" w:hAnsi="宋体"/>
          <w:color w:val="auto"/>
          <w:sz w:val="96"/>
          <w:szCs w:val="28"/>
          <w:highlight w:val="none"/>
        </w:rPr>
        <w:t xml:space="preserve">标 </w:t>
      </w:r>
      <w:r>
        <w:rPr>
          <w:rFonts w:ascii="宋体" w:hAnsi="宋体"/>
          <w:color w:val="auto"/>
          <w:sz w:val="96"/>
          <w:szCs w:val="28"/>
          <w:highlight w:val="none"/>
        </w:rPr>
        <w:t xml:space="preserve"> </w:t>
      </w:r>
      <w:r>
        <w:rPr>
          <w:rFonts w:hint="eastAsia" w:ascii="宋体" w:hAnsi="宋体"/>
          <w:color w:val="auto"/>
          <w:sz w:val="96"/>
          <w:szCs w:val="28"/>
          <w:highlight w:val="none"/>
        </w:rPr>
        <w:t>准</w:t>
      </w:r>
    </w:p>
    <w:p w14:paraId="328CEB9F">
      <w:pPr>
        <w:ind w:firstLine="440"/>
        <w:jc w:val="right"/>
        <w:rPr>
          <w:rFonts w:hint="eastAsia" w:ascii="黑体" w:hAnsi="黑体" w:eastAsia="黑体"/>
          <w:color w:val="auto"/>
          <w:sz w:val="22"/>
          <w:szCs w:val="28"/>
          <w:highlight w:val="none"/>
        </w:rPr>
      </w:pPr>
      <w:r>
        <w:rPr>
          <w:rFonts w:hint="eastAsia" w:ascii="黑体" w:hAnsi="黑体" w:eastAsia="黑体"/>
          <w:color w:val="auto"/>
          <w:sz w:val="22"/>
          <w:szCs w:val="28"/>
          <w:highlight w:val="none"/>
        </w:rPr>
        <w:t>团体标准编号T</w:t>
      </w:r>
      <w:r>
        <w:rPr>
          <w:rFonts w:ascii="黑体" w:hAnsi="黑体" w:eastAsia="黑体"/>
          <w:color w:val="auto"/>
          <w:sz w:val="22"/>
          <w:szCs w:val="28"/>
          <w:highlight w:val="none"/>
        </w:rPr>
        <w:t>/</w:t>
      </w:r>
      <w:r>
        <w:rPr>
          <w:rFonts w:hint="eastAsia" w:ascii="黑体" w:hAnsi="黑体" w:eastAsia="黑体"/>
          <w:color w:val="auto"/>
          <w:sz w:val="22"/>
          <w:szCs w:val="28"/>
          <w:highlight w:val="none"/>
        </w:rPr>
        <w:t>BRA-CDCHE</w:t>
      </w:r>
      <w:r>
        <w:rPr>
          <w:rFonts w:hint="eastAsia"/>
          <w:color w:val="auto"/>
          <w:highlight w:val="none"/>
        </w:rPr>
        <w:t>/</w:t>
      </w:r>
      <w:r>
        <w:rPr>
          <w:rFonts w:ascii="黑体" w:hAnsi="黑体" w:eastAsia="黑体"/>
          <w:color w:val="auto"/>
          <w:sz w:val="22"/>
          <w:szCs w:val="28"/>
          <w:highlight w:val="none"/>
        </w:rPr>
        <w:t xml:space="preserve"> XXXX-XXXX</w:t>
      </w:r>
    </w:p>
    <w:p w14:paraId="22B09290">
      <w:pPr>
        <w:ind w:firstLine="440"/>
        <w:jc w:val="right"/>
        <w:rPr>
          <w:rFonts w:hint="eastAsia" w:ascii="黑体" w:hAnsi="黑体" w:eastAsia="黑体"/>
          <w:color w:val="auto"/>
          <w:sz w:val="22"/>
          <w:szCs w:val="28"/>
          <w:highlight w:val="none"/>
        </w:rPr>
      </w:pPr>
      <w:r>
        <w:rPr>
          <w:rFonts w:hint="eastAsia" w:ascii="黑体" w:hAnsi="黑体" w:eastAsia="黑体"/>
          <w:color w:val="auto"/>
          <w:sz w:val="22"/>
          <w:szCs w:val="28"/>
          <w:highlight w:val="none"/>
        </w:rPr>
        <w:t xml:space="preserve">                                   代替的团体标准编号（修订填写）</w:t>
      </w:r>
    </w:p>
    <w:p w14:paraId="33720FA5">
      <w:pPr>
        <w:spacing w:line="240" w:lineRule="exact"/>
        <w:ind w:firstLine="0" w:firstLineChars="0"/>
        <w:jc w:val="left"/>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p>
    <w:p w14:paraId="28F61E0E">
      <w:pPr>
        <w:ind w:firstLine="560"/>
        <w:jc w:val="left"/>
        <w:rPr>
          <w:rFonts w:hint="eastAsia" w:ascii="宋体" w:hAnsi="宋体"/>
          <w:color w:val="auto"/>
          <w:sz w:val="28"/>
          <w:szCs w:val="28"/>
          <w:highlight w:val="none"/>
        </w:rPr>
      </w:pPr>
    </w:p>
    <w:p w14:paraId="548E7215">
      <w:pPr>
        <w:ind w:firstLine="560"/>
        <w:jc w:val="left"/>
        <w:rPr>
          <w:rFonts w:hint="eastAsia" w:ascii="宋体" w:hAnsi="宋体"/>
          <w:color w:val="auto"/>
          <w:sz w:val="28"/>
          <w:szCs w:val="28"/>
          <w:highlight w:val="none"/>
        </w:rPr>
      </w:pPr>
    </w:p>
    <w:p w14:paraId="504C8E38">
      <w:pPr>
        <w:ind w:firstLine="560"/>
        <w:jc w:val="left"/>
        <w:rPr>
          <w:rFonts w:hint="eastAsia" w:ascii="宋体" w:hAnsi="宋体"/>
          <w:color w:val="auto"/>
          <w:sz w:val="28"/>
          <w:szCs w:val="28"/>
          <w:highlight w:val="none"/>
        </w:rPr>
      </w:pPr>
    </w:p>
    <w:p w14:paraId="1D7A14AA">
      <w:pPr>
        <w:ind w:firstLine="0" w:firstLineChars="0"/>
        <w:jc w:val="center"/>
        <w:rPr>
          <w:rFonts w:hint="eastAsia" w:ascii="黑体" w:hAnsi="黑体" w:eastAsia="黑体"/>
          <w:color w:val="auto"/>
          <w:sz w:val="52"/>
          <w:szCs w:val="28"/>
          <w:highlight w:val="none"/>
        </w:rPr>
      </w:pPr>
      <w:r>
        <w:rPr>
          <w:rFonts w:hint="eastAsia" w:ascii="黑体" w:hAnsi="黑体" w:eastAsia="黑体"/>
          <w:color w:val="auto"/>
          <w:sz w:val="52"/>
          <w:szCs w:val="28"/>
          <w:highlight w:val="none"/>
        </w:rPr>
        <w:t>银屑病诊疗数据采集规范</w:t>
      </w:r>
    </w:p>
    <w:p w14:paraId="4691E11E">
      <w:pPr>
        <w:ind w:firstLine="560"/>
        <w:jc w:val="center"/>
        <w:rPr>
          <w:rFonts w:hint="eastAsia" w:ascii="等线" w:hAnsi="等线" w:eastAsia="等线" w:cs="等线"/>
          <w:color w:val="auto"/>
          <w:sz w:val="28"/>
          <w:szCs w:val="28"/>
          <w:highlight w:val="none"/>
        </w:rPr>
      </w:pPr>
      <w:r>
        <w:rPr>
          <w:rFonts w:hint="eastAsia" w:ascii="等线" w:hAnsi="等线" w:eastAsia="等线" w:cs="等线"/>
          <w:color w:val="auto"/>
          <w:sz w:val="28"/>
          <w:szCs w:val="28"/>
          <w:highlight w:val="none"/>
          <w:lang w:eastAsia="en-US"/>
        </w:rPr>
        <w:t xml:space="preserve">Specification for </w:t>
      </w:r>
      <w:r>
        <w:rPr>
          <w:rFonts w:hint="eastAsia" w:ascii="等线" w:hAnsi="等线" w:eastAsia="等线" w:cs="等线"/>
          <w:color w:val="auto"/>
          <w:sz w:val="28"/>
          <w:szCs w:val="28"/>
          <w:highlight w:val="none"/>
        </w:rPr>
        <w:t>data collection of psoriasis diagnosis and treatment</w:t>
      </w:r>
    </w:p>
    <w:p w14:paraId="0A4FC820">
      <w:pPr>
        <w:ind w:firstLine="560"/>
        <w:jc w:val="left"/>
        <w:rPr>
          <w:rFonts w:hint="eastAsia" w:ascii="宋体" w:hAnsi="宋体"/>
          <w:color w:val="auto"/>
          <w:sz w:val="28"/>
          <w:szCs w:val="28"/>
          <w:highlight w:val="none"/>
        </w:rPr>
      </w:pPr>
    </w:p>
    <w:p w14:paraId="3E17990F">
      <w:pPr>
        <w:ind w:firstLine="0" w:firstLineChars="0"/>
        <w:jc w:val="left"/>
        <w:rPr>
          <w:rFonts w:hint="eastAsia" w:ascii="宋体" w:hAnsi="宋体"/>
          <w:color w:val="auto"/>
          <w:sz w:val="28"/>
          <w:szCs w:val="28"/>
          <w:highlight w:val="none"/>
        </w:rPr>
      </w:pPr>
    </w:p>
    <w:p w14:paraId="2DFCF82B">
      <w:pPr>
        <w:ind w:firstLine="0" w:firstLineChars="0"/>
        <w:jc w:val="left"/>
        <w:rPr>
          <w:rFonts w:hint="eastAsia" w:ascii="宋体" w:hAnsi="宋体"/>
          <w:color w:val="auto"/>
          <w:sz w:val="28"/>
          <w:szCs w:val="28"/>
          <w:highlight w:val="none"/>
        </w:rPr>
      </w:pPr>
    </w:p>
    <w:p w14:paraId="244CF841">
      <w:pPr>
        <w:ind w:firstLine="0" w:firstLineChars="0"/>
        <w:jc w:val="left"/>
        <w:rPr>
          <w:rFonts w:hint="eastAsia" w:ascii="宋体" w:hAnsi="宋体"/>
          <w:color w:val="auto"/>
          <w:sz w:val="28"/>
          <w:szCs w:val="28"/>
          <w:highlight w:val="none"/>
        </w:rPr>
      </w:pPr>
    </w:p>
    <w:p w14:paraId="701CE23D">
      <w:pPr>
        <w:ind w:firstLine="560"/>
        <w:jc w:val="left"/>
        <w:rPr>
          <w:rFonts w:hint="eastAsia" w:ascii="宋体" w:hAnsi="宋体"/>
          <w:color w:val="auto"/>
          <w:sz w:val="28"/>
          <w:szCs w:val="28"/>
          <w:highlight w:val="none"/>
        </w:rPr>
      </w:pPr>
    </w:p>
    <w:p w14:paraId="13C51FF5">
      <w:pPr>
        <w:ind w:firstLine="560"/>
        <w:jc w:val="left"/>
        <w:rPr>
          <w:rFonts w:hint="eastAsia" w:ascii="宋体" w:hAnsi="宋体"/>
          <w:color w:val="auto"/>
          <w:sz w:val="28"/>
          <w:szCs w:val="28"/>
          <w:highlight w:val="none"/>
        </w:rPr>
      </w:pPr>
    </w:p>
    <w:p w14:paraId="29BE1EA9">
      <w:pPr>
        <w:ind w:firstLine="280" w:firstLineChars="100"/>
        <w:jc w:val="left"/>
        <w:rPr>
          <w:rFonts w:hint="eastAsia" w:ascii="宋体" w:hAnsi="宋体"/>
          <w:color w:val="auto"/>
          <w:sz w:val="28"/>
          <w:szCs w:val="28"/>
          <w:highlight w:val="none"/>
        </w:rPr>
      </w:pPr>
      <w:r>
        <w:rPr>
          <w:rFonts w:hint="eastAsia" w:ascii="宋体" w:hAnsi="宋体"/>
          <w:color w:val="auto"/>
          <w:sz w:val="28"/>
          <w:szCs w:val="28"/>
          <w:highlight w:val="none"/>
        </w:rPr>
        <w:t>X</w:t>
      </w:r>
      <w:r>
        <w:rPr>
          <w:rFonts w:ascii="宋体" w:hAnsi="宋体"/>
          <w:color w:val="auto"/>
          <w:sz w:val="28"/>
          <w:szCs w:val="28"/>
          <w:highlight w:val="none"/>
        </w:rPr>
        <w:t>XXX</w:t>
      </w:r>
      <w:r>
        <w:rPr>
          <w:rFonts w:hint="eastAsia" w:ascii="宋体" w:hAnsi="宋体"/>
          <w:color w:val="auto"/>
          <w:sz w:val="28"/>
          <w:szCs w:val="28"/>
          <w:highlight w:val="none"/>
        </w:rPr>
        <w:t>年X</w:t>
      </w:r>
      <w:r>
        <w:rPr>
          <w:rFonts w:ascii="宋体" w:hAnsi="宋体"/>
          <w:color w:val="auto"/>
          <w:sz w:val="28"/>
          <w:szCs w:val="28"/>
          <w:highlight w:val="none"/>
        </w:rPr>
        <w:t>X</w:t>
      </w:r>
      <w:r>
        <w:rPr>
          <w:rFonts w:hint="eastAsia" w:ascii="宋体" w:hAnsi="宋体"/>
          <w:color w:val="auto"/>
          <w:sz w:val="28"/>
          <w:szCs w:val="28"/>
          <w:highlight w:val="none"/>
        </w:rPr>
        <w:t>月X</w:t>
      </w:r>
      <w:r>
        <w:rPr>
          <w:rFonts w:ascii="宋体" w:hAnsi="宋体"/>
          <w:color w:val="auto"/>
          <w:sz w:val="28"/>
          <w:szCs w:val="28"/>
          <w:highlight w:val="none"/>
        </w:rPr>
        <w:t>X</w:t>
      </w:r>
      <w:r>
        <w:rPr>
          <w:rFonts w:hint="eastAsia" w:ascii="宋体" w:hAnsi="宋体"/>
          <w:color w:val="auto"/>
          <w:sz w:val="28"/>
          <w:szCs w:val="28"/>
          <w:highlight w:val="none"/>
        </w:rPr>
        <w:t xml:space="preserve">日 </w:t>
      </w:r>
      <w:r>
        <w:rPr>
          <w:rFonts w:ascii="宋体" w:hAnsi="宋体"/>
          <w:color w:val="auto"/>
          <w:sz w:val="28"/>
          <w:szCs w:val="28"/>
          <w:highlight w:val="none"/>
        </w:rPr>
        <w:t xml:space="preserve">                </w:t>
      </w:r>
      <w:r>
        <w:rPr>
          <w:rFonts w:hint="eastAsia" w:ascii="宋体" w:hAnsi="宋体"/>
          <w:color w:val="auto"/>
          <w:sz w:val="28"/>
          <w:szCs w:val="28"/>
          <w:highlight w:val="none"/>
        </w:rPr>
        <w:t xml:space="preserve">  </w:t>
      </w:r>
      <w:r>
        <w:rPr>
          <w:rFonts w:ascii="宋体" w:hAnsi="宋体"/>
          <w:color w:val="auto"/>
          <w:sz w:val="28"/>
          <w:szCs w:val="28"/>
          <w:highlight w:val="none"/>
        </w:rPr>
        <w:t xml:space="preserve"> </w:t>
      </w:r>
      <w:r>
        <w:rPr>
          <w:rFonts w:hint="eastAsia" w:ascii="宋体" w:hAnsi="宋体"/>
          <w:color w:val="auto"/>
          <w:sz w:val="28"/>
          <w:szCs w:val="28"/>
          <w:highlight w:val="none"/>
        </w:rPr>
        <w:t>X</w:t>
      </w:r>
      <w:r>
        <w:rPr>
          <w:rFonts w:ascii="宋体" w:hAnsi="宋体"/>
          <w:color w:val="auto"/>
          <w:sz w:val="28"/>
          <w:szCs w:val="28"/>
          <w:highlight w:val="none"/>
        </w:rPr>
        <w:t>XXX</w:t>
      </w:r>
      <w:r>
        <w:rPr>
          <w:rFonts w:hint="eastAsia" w:ascii="宋体" w:hAnsi="宋体"/>
          <w:color w:val="auto"/>
          <w:sz w:val="28"/>
          <w:szCs w:val="28"/>
          <w:highlight w:val="none"/>
        </w:rPr>
        <w:t>年X</w:t>
      </w:r>
      <w:r>
        <w:rPr>
          <w:rFonts w:ascii="宋体" w:hAnsi="宋体"/>
          <w:color w:val="auto"/>
          <w:sz w:val="28"/>
          <w:szCs w:val="28"/>
          <w:highlight w:val="none"/>
        </w:rPr>
        <w:t>X</w:t>
      </w:r>
      <w:r>
        <w:rPr>
          <w:rFonts w:hint="eastAsia" w:ascii="宋体" w:hAnsi="宋体"/>
          <w:color w:val="auto"/>
          <w:sz w:val="28"/>
          <w:szCs w:val="28"/>
          <w:highlight w:val="none"/>
        </w:rPr>
        <w:t>月X</w:t>
      </w:r>
      <w:r>
        <w:rPr>
          <w:rFonts w:ascii="宋体" w:hAnsi="宋体"/>
          <w:color w:val="auto"/>
          <w:sz w:val="28"/>
          <w:szCs w:val="28"/>
          <w:highlight w:val="none"/>
        </w:rPr>
        <w:t>X</w:t>
      </w:r>
      <w:r>
        <w:rPr>
          <w:rFonts w:hint="eastAsia" w:ascii="宋体" w:hAnsi="宋体"/>
          <w:color w:val="auto"/>
          <w:sz w:val="28"/>
          <w:szCs w:val="28"/>
          <w:highlight w:val="none"/>
        </w:rPr>
        <w:t>日实施</w:t>
      </w:r>
    </w:p>
    <w:p w14:paraId="675E3C37">
      <w:pPr>
        <w:ind w:firstLine="280" w:firstLineChars="100"/>
        <w:jc w:val="left"/>
        <w:rPr>
          <w:rFonts w:hint="eastAsia" w:ascii="宋体" w:hAnsi="宋体"/>
          <w:color w:val="auto"/>
          <w:sz w:val="28"/>
          <w:szCs w:val="28"/>
          <w:highlight w:val="none"/>
          <w:u w:val="single"/>
        </w:rPr>
      </w:pP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p>
    <w:p w14:paraId="27E4FBD8">
      <w:pPr>
        <w:jc w:val="center"/>
        <w:rPr>
          <w:rFonts w:eastAsia="黑体"/>
          <w:kern w:val="0"/>
          <w:sz w:val="21"/>
          <w:szCs w:val="21"/>
        </w:rPr>
      </w:pPr>
      <w:r>
        <w:rPr>
          <w:rFonts w:hint="eastAsia" w:ascii="宋体" w:hAnsi="宋体"/>
          <w:color w:val="auto"/>
          <w:sz w:val="36"/>
          <w:szCs w:val="24"/>
          <w:highlight w:val="none"/>
          <w:lang w:eastAsia="zh-CN"/>
        </w:rPr>
        <w:t>北京慢性病防治与健康教育研究会</w:t>
      </w:r>
      <w:r>
        <w:rPr>
          <w:rFonts w:hint="eastAsia" w:ascii="宋体" w:hAnsi="宋体"/>
          <w:color w:val="auto"/>
          <w:sz w:val="40"/>
          <w:szCs w:val="28"/>
          <w:highlight w:val="none"/>
        </w:rPr>
        <w:t xml:space="preserve"> </w:t>
      </w:r>
      <w:r>
        <w:rPr>
          <w:rFonts w:hint="eastAsia" w:ascii="黑体" w:hAnsi="黑体" w:eastAsia="黑体"/>
          <w:color w:val="auto"/>
          <w:sz w:val="28"/>
          <w:szCs w:val="28"/>
          <w:highlight w:val="none"/>
        </w:rPr>
        <w:t>发布</w:t>
      </w:r>
      <w:r>
        <w:rPr>
          <w:rFonts w:eastAsia="黑体"/>
          <w:kern w:val="0"/>
          <w:sz w:val="21"/>
          <w:szCs w:val="21"/>
        </w:rPr>
        <w:br w:type="page"/>
      </w:r>
    </w:p>
    <w:sdt>
      <w:sdtPr>
        <w:rPr>
          <w:rFonts w:ascii="Times New Roman" w:hAnsi="Times New Roman" w:eastAsia="宋体" w:cs="Times New Roman"/>
          <w:color w:val="auto"/>
          <w:kern w:val="2"/>
          <w:sz w:val="21"/>
          <w:szCs w:val="24"/>
          <w:lang w:val="zh-CN"/>
        </w:rPr>
        <w:id w:val="-843550710"/>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620550CC">
          <w:pPr>
            <w:pStyle w:val="145"/>
            <w:ind w:firstLine="3990" w:firstLineChars="1900"/>
            <w:rPr>
              <w:rFonts w:hint="eastAsia" w:eastAsiaTheme="majorEastAsia"/>
              <w:lang w:eastAsia="zh-CN"/>
            </w:rPr>
          </w:pPr>
          <w:r>
            <w:rPr>
              <w:lang w:val="zh-CN"/>
            </w:rPr>
            <w:t>目</w:t>
          </w:r>
          <w:r>
            <w:rPr>
              <w:rFonts w:hint="eastAsia"/>
              <w:lang w:val="zh-CN"/>
            </w:rPr>
            <w:t xml:space="preserve"> </w:t>
          </w:r>
          <w:r>
            <w:rPr>
              <w:rFonts w:hint="eastAsia"/>
              <w:lang w:val="en-US" w:eastAsia="zh-CN"/>
            </w:rPr>
            <w:t>录</w:t>
          </w:r>
        </w:p>
        <w:p w14:paraId="3C456745">
          <w:pPr>
            <w:pStyle w:val="20"/>
            <w:tabs>
              <w:tab w:val="right" w:leader="dot" w:pos="9353"/>
              <w:tab w:val="clear" w:pos="9242"/>
            </w:tabs>
          </w:pPr>
          <w:r>
            <w:fldChar w:fldCharType="begin"/>
          </w:r>
          <w:r>
            <w:instrText xml:space="preserve"> TOC \o "1-3" \h \z \u </w:instrText>
          </w:r>
          <w:r>
            <w:fldChar w:fldCharType="separate"/>
          </w:r>
          <w:r>
            <w:rPr>
              <w:bCs/>
              <w:lang w:val="zh-CN"/>
            </w:rPr>
            <w:fldChar w:fldCharType="begin"/>
          </w:r>
          <w:r>
            <w:rPr>
              <w:bCs/>
              <w:lang w:val="zh-CN"/>
            </w:rPr>
            <w:instrText xml:space="preserve"> HYPERLINK \l _Toc8459 </w:instrText>
          </w:r>
          <w:r>
            <w:rPr>
              <w:bCs/>
              <w:lang w:val="zh-CN"/>
            </w:rPr>
            <w:fldChar w:fldCharType="separate"/>
          </w:r>
          <w:r>
            <w:rPr>
              <w:rFonts w:hint="eastAsia" w:ascii="黑体" w:eastAsia="黑体"/>
              <w:kern w:val="0"/>
              <w:szCs w:val="20"/>
            </w:rPr>
            <w:t>前  言</w:t>
          </w:r>
          <w:r>
            <w:tab/>
          </w:r>
          <w:r>
            <w:fldChar w:fldCharType="begin"/>
          </w:r>
          <w:r>
            <w:instrText xml:space="preserve"> PAGEREF _Toc8459 \h </w:instrText>
          </w:r>
          <w:r>
            <w:fldChar w:fldCharType="separate"/>
          </w:r>
          <w:r>
            <w:t>II</w:t>
          </w:r>
          <w:r>
            <w:fldChar w:fldCharType="end"/>
          </w:r>
          <w:r>
            <w:rPr>
              <w:bCs/>
              <w:lang w:val="zh-CN"/>
            </w:rPr>
            <w:fldChar w:fldCharType="end"/>
          </w:r>
        </w:p>
        <w:p w14:paraId="6D679DE8">
          <w:pPr>
            <w:pStyle w:val="29"/>
            <w:tabs>
              <w:tab w:val="right" w:leader="dot" w:pos="9353"/>
              <w:tab w:val="clear" w:pos="9242"/>
            </w:tabs>
          </w:pPr>
          <w:r>
            <w:rPr>
              <w:bCs/>
              <w:lang w:val="zh-CN"/>
            </w:rPr>
            <w:fldChar w:fldCharType="begin"/>
          </w:r>
          <w:r>
            <w:rPr>
              <w:bCs/>
              <w:lang w:val="zh-CN"/>
            </w:rPr>
            <w:instrText xml:space="preserve"> HYPERLINK \l _Toc18409 </w:instrText>
          </w:r>
          <w:r>
            <w:rPr>
              <w:bCs/>
              <w:lang w:val="zh-CN"/>
            </w:rPr>
            <w:fldChar w:fldCharType="separate"/>
          </w:r>
          <w:r>
            <w:rPr>
              <w:rFonts w:hint="eastAsia"/>
            </w:rPr>
            <w:t>1 范围</w:t>
          </w:r>
          <w:r>
            <w:tab/>
          </w:r>
          <w:r>
            <w:fldChar w:fldCharType="begin"/>
          </w:r>
          <w:r>
            <w:instrText xml:space="preserve"> PAGEREF _Toc18409 \h </w:instrText>
          </w:r>
          <w:r>
            <w:fldChar w:fldCharType="separate"/>
          </w:r>
          <w:r>
            <w:t>3</w:t>
          </w:r>
          <w:r>
            <w:fldChar w:fldCharType="end"/>
          </w:r>
          <w:r>
            <w:rPr>
              <w:bCs/>
              <w:lang w:val="zh-CN"/>
            </w:rPr>
            <w:fldChar w:fldCharType="end"/>
          </w:r>
        </w:p>
        <w:p w14:paraId="3B710A95">
          <w:pPr>
            <w:pStyle w:val="29"/>
            <w:tabs>
              <w:tab w:val="right" w:leader="dot" w:pos="9353"/>
              <w:tab w:val="clear" w:pos="9242"/>
            </w:tabs>
          </w:pPr>
          <w:r>
            <w:rPr>
              <w:bCs/>
              <w:lang w:val="zh-CN"/>
            </w:rPr>
            <w:fldChar w:fldCharType="begin"/>
          </w:r>
          <w:r>
            <w:rPr>
              <w:bCs/>
              <w:lang w:val="zh-CN"/>
            </w:rPr>
            <w:instrText xml:space="preserve"> HYPERLINK \l _Toc18077 </w:instrText>
          </w:r>
          <w:r>
            <w:rPr>
              <w:bCs/>
              <w:lang w:val="zh-CN"/>
            </w:rPr>
            <w:fldChar w:fldCharType="separate"/>
          </w:r>
          <w:r>
            <w:rPr>
              <w:rFonts w:hint="eastAsia"/>
            </w:rPr>
            <w:t>2 规范性引用文件</w:t>
          </w:r>
          <w:r>
            <w:tab/>
          </w:r>
          <w:r>
            <w:fldChar w:fldCharType="begin"/>
          </w:r>
          <w:r>
            <w:instrText xml:space="preserve"> PAGEREF _Toc18077 \h </w:instrText>
          </w:r>
          <w:r>
            <w:fldChar w:fldCharType="separate"/>
          </w:r>
          <w:r>
            <w:t>3</w:t>
          </w:r>
          <w:r>
            <w:fldChar w:fldCharType="end"/>
          </w:r>
          <w:r>
            <w:rPr>
              <w:bCs/>
              <w:lang w:val="zh-CN"/>
            </w:rPr>
            <w:fldChar w:fldCharType="end"/>
          </w:r>
        </w:p>
        <w:p w14:paraId="481993E3">
          <w:pPr>
            <w:pStyle w:val="29"/>
            <w:tabs>
              <w:tab w:val="right" w:leader="dot" w:pos="9353"/>
              <w:tab w:val="clear" w:pos="9242"/>
            </w:tabs>
          </w:pPr>
          <w:r>
            <w:rPr>
              <w:bCs/>
              <w:lang w:val="zh-CN"/>
            </w:rPr>
            <w:fldChar w:fldCharType="begin"/>
          </w:r>
          <w:r>
            <w:rPr>
              <w:bCs/>
              <w:lang w:val="zh-CN"/>
            </w:rPr>
            <w:instrText xml:space="preserve"> HYPERLINK \l _Toc6403 </w:instrText>
          </w:r>
          <w:r>
            <w:rPr>
              <w:bCs/>
              <w:lang w:val="zh-CN"/>
            </w:rPr>
            <w:fldChar w:fldCharType="separate"/>
          </w:r>
          <w:r>
            <w:rPr>
              <w:rFonts w:hint="eastAsia"/>
            </w:rPr>
            <w:t>3 术语和定义</w:t>
          </w:r>
          <w:r>
            <w:tab/>
          </w:r>
          <w:r>
            <w:fldChar w:fldCharType="begin"/>
          </w:r>
          <w:r>
            <w:instrText xml:space="preserve"> PAGEREF _Toc6403 \h </w:instrText>
          </w:r>
          <w:r>
            <w:fldChar w:fldCharType="separate"/>
          </w:r>
          <w:r>
            <w:t>3</w:t>
          </w:r>
          <w:r>
            <w:fldChar w:fldCharType="end"/>
          </w:r>
          <w:r>
            <w:rPr>
              <w:bCs/>
              <w:lang w:val="zh-CN"/>
            </w:rPr>
            <w:fldChar w:fldCharType="end"/>
          </w:r>
        </w:p>
        <w:p w14:paraId="48E1BE83">
          <w:pPr>
            <w:pStyle w:val="29"/>
            <w:tabs>
              <w:tab w:val="right" w:leader="dot" w:pos="9353"/>
              <w:tab w:val="clear" w:pos="9242"/>
            </w:tabs>
          </w:pPr>
          <w:r>
            <w:rPr>
              <w:bCs/>
              <w:lang w:val="zh-CN"/>
            </w:rPr>
            <w:fldChar w:fldCharType="begin"/>
          </w:r>
          <w:r>
            <w:rPr>
              <w:bCs/>
              <w:lang w:val="zh-CN"/>
            </w:rPr>
            <w:instrText xml:space="preserve"> HYPERLINK \l _Toc23505 </w:instrText>
          </w:r>
          <w:r>
            <w:rPr>
              <w:bCs/>
              <w:lang w:val="zh-CN"/>
            </w:rPr>
            <w:fldChar w:fldCharType="separate"/>
          </w:r>
          <w:r>
            <w:rPr>
              <w:rFonts w:hint="eastAsia"/>
            </w:rPr>
            <w:t>4 数据采集内容</w:t>
          </w:r>
          <w:r>
            <w:tab/>
          </w:r>
          <w:r>
            <w:fldChar w:fldCharType="begin"/>
          </w:r>
          <w:r>
            <w:instrText xml:space="preserve"> PAGEREF _Toc23505 \h </w:instrText>
          </w:r>
          <w:r>
            <w:fldChar w:fldCharType="separate"/>
          </w:r>
          <w:r>
            <w:t>4</w:t>
          </w:r>
          <w:r>
            <w:fldChar w:fldCharType="end"/>
          </w:r>
          <w:r>
            <w:rPr>
              <w:bCs/>
              <w:lang w:val="zh-CN"/>
            </w:rPr>
            <w:fldChar w:fldCharType="end"/>
          </w:r>
        </w:p>
        <w:p w14:paraId="041B395B">
          <w:pPr>
            <w:pStyle w:val="29"/>
            <w:tabs>
              <w:tab w:val="right" w:leader="dot" w:pos="9353"/>
              <w:tab w:val="clear" w:pos="9242"/>
            </w:tabs>
          </w:pPr>
          <w:r>
            <w:rPr>
              <w:bCs/>
              <w:lang w:val="zh-CN"/>
            </w:rPr>
            <w:fldChar w:fldCharType="begin"/>
          </w:r>
          <w:r>
            <w:rPr>
              <w:bCs/>
              <w:lang w:val="zh-CN"/>
            </w:rPr>
            <w:instrText xml:space="preserve"> HYPERLINK \l _Toc15210 </w:instrText>
          </w:r>
          <w:r>
            <w:rPr>
              <w:bCs/>
              <w:lang w:val="zh-CN"/>
            </w:rPr>
            <w:fldChar w:fldCharType="separate"/>
          </w:r>
          <w:r>
            <w:rPr>
              <w:rFonts w:hint="eastAsia"/>
            </w:rPr>
            <w:t>5 数据采集前应完成的准备工作</w:t>
          </w:r>
          <w:r>
            <w:tab/>
          </w:r>
          <w:r>
            <w:fldChar w:fldCharType="begin"/>
          </w:r>
          <w:r>
            <w:instrText xml:space="preserve"> PAGEREF _Toc15210 \h </w:instrText>
          </w:r>
          <w:r>
            <w:fldChar w:fldCharType="separate"/>
          </w:r>
          <w:r>
            <w:t>5</w:t>
          </w:r>
          <w:r>
            <w:fldChar w:fldCharType="end"/>
          </w:r>
          <w:r>
            <w:rPr>
              <w:bCs/>
              <w:lang w:val="zh-CN"/>
            </w:rPr>
            <w:fldChar w:fldCharType="end"/>
          </w:r>
        </w:p>
        <w:p w14:paraId="4697B5A9">
          <w:pPr>
            <w:pStyle w:val="29"/>
            <w:tabs>
              <w:tab w:val="right" w:leader="dot" w:pos="9353"/>
              <w:tab w:val="clear" w:pos="9242"/>
            </w:tabs>
          </w:pPr>
          <w:r>
            <w:rPr>
              <w:bCs/>
              <w:lang w:val="zh-CN"/>
            </w:rPr>
            <w:fldChar w:fldCharType="begin"/>
          </w:r>
          <w:r>
            <w:rPr>
              <w:bCs/>
              <w:lang w:val="zh-CN"/>
            </w:rPr>
            <w:instrText xml:space="preserve"> HYPERLINK \l _Toc14264 </w:instrText>
          </w:r>
          <w:r>
            <w:rPr>
              <w:bCs/>
              <w:lang w:val="zh-CN"/>
            </w:rPr>
            <w:fldChar w:fldCharType="separate"/>
          </w:r>
          <w:r>
            <w:rPr>
              <w:rFonts w:hint="eastAsia"/>
            </w:rPr>
            <w:t>6 数据采集方法</w:t>
          </w:r>
          <w:r>
            <w:tab/>
          </w:r>
          <w:r>
            <w:fldChar w:fldCharType="begin"/>
          </w:r>
          <w:r>
            <w:instrText xml:space="preserve"> PAGEREF _Toc14264 \h </w:instrText>
          </w:r>
          <w:r>
            <w:fldChar w:fldCharType="separate"/>
          </w:r>
          <w:r>
            <w:t>5</w:t>
          </w:r>
          <w:r>
            <w:fldChar w:fldCharType="end"/>
          </w:r>
          <w:r>
            <w:rPr>
              <w:bCs/>
              <w:lang w:val="zh-CN"/>
            </w:rPr>
            <w:fldChar w:fldCharType="end"/>
          </w:r>
        </w:p>
        <w:p w14:paraId="58823D4E">
          <w:pPr>
            <w:pStyle w:val="29"/>
            <w:tabs>
              <w:tab w:val="right" w:leader="dot" w:pos="9353"/>
              <w:tab w:val="clear" w:pos="9242"/>
            </w:tabs>
          </w:pPr>
          <w:r>
            <w:rPr>
              <w:bCs/>
              <w:lang w:val="zh-CN"/>
            </w:rPr>
            <w:fldChar w:fldCharType="begin"/>
          </w:r>
          <w:r>
            <w:rPr>
              <w:bCs/>
              <w:lang w:val="zh-CN"/>
            </w:rPr>
            <w:instrText xml:space="preserve"> HYPERLINK \l _Toc6766 </w:instrText>
          </w:r>
          <w:r>
            <w:rPr>
              <w:bCs/>
              <w:lang w:val="zh-CN"/>
            </w:rPr>
            <w:fldChar w:fldCharType="separate"/>
          </w:r>
          <w:r>
            <w:rPr>
              <w:rFonts w:hint="eastAsia"/>
            </w:rPr>
            <w:t>7 数据采集流程</w:t>
          </w:r>
          <w:r>
            <w:tab/>
          </w:r>
          <w:r>
            <w:fldChar w:fldCharType="begin"/>
          </w:r>
          <w:r>
            <w:instrText xml:space="preserve"> PAGEREF _Toc6766 \h </w:instrText>
          </w:r>
          <w:r>
            <w:fldChar w:fldCharType="separate"/>
          </w:r>
          <w:r>
            <w:t>5</w:t>
          </w:r>
          <w:r>
            <w:fldChar w:fldCharType="end"/>
          </w:r>
          <w:r>
            <w:rPr>
              <w:bCs/>
              <w:lang w:val="zh-CN"/>
            </w:rPr>
            <w:fldChar w:fldCharType="end"/>
          </w:r>
        </w:p>
        <w:p w14:paraId="1BAF1EA9">
          <w:pPr>
            <w:pStyle w:val="29"/>
            <w:tabs>
              <w:tab w:val="right" w:leader="dot" w:pos="9353"/>
              <w:tab w:val="clear" w:pos="9242"/>
            </w:tabs>
          </w:pPr>
          <w:r>
            <w:rPr>
              <w:bCs/>
              <w:lang w:val="zh-CN"/>
            </w:rPr>
            <w:fldChar w:fldCharType="begin"/>
          </w:r>
          <w:r>
            <w:rPr>
              <w:bCs/>
              <w:lang w:val="zh-CN"/>
            </w:rPr>
            <w:instrText xml:space="preserve"> HYPERLINK \l _Toc2993 </w:instrText>
          </w:r>
          <w:r>
            <w:rPr>
              <w:bCs/>
              <w:lang w:val="zh-CN"/>
            </w:rPr>
            <w:fldChar w:fldCharType="separate"/>
          </w:r>
          <w:r>
            <w:rPr>
              <w:rFonts w:hint="eastAsia"/>
            </w:rPr>
            <w:t>8 数据采集质量要求</w:t>
          </w:r>
          <w:r>
            <w:tab/>
          </w:r>
          <w:r>
            <w:fldChar w:fldCharType="begin"/>
          </w:r>
          <w:r>
            <w:instrText xml:space="preserve"> PAGEREF _Toc2993 \h </w:instrText>
          </w:r>
          <w:r>
            <w:fldChar w:fldCharType="separate"/>
          </w:r>
          <w:r>
            <w:t>7</w:t>
          </w:r>
          <w:r>
            <w:fldChar w:fldCharType="end"/>
          </w:r>
          <w:r>
            <w:rPr>
              <w:bCs/>
              <w:lang w:val="zh-CN"/>
            </w:rPr>
            <w:fldChar w:fldCharType="end"/>
          </w:r>
        </w:p>
        <w:p w14:paraId="219122CC">
          <w:pPr>
            <w:pStyle w:val="29"/>
            <w:tabs>
              <w:tab w:val="right" w:leader="dot" w:pos="9353"/>
              <w:tab w:val="clear" w:pos="9242"/>
            </w:tabs>
          </w:pPr>
          <w:r>
            <w:rPr>
              <w:bCs/>
              <w:lang w:val="zh-CN"/>
            </w:rPr>
            <w:fldChar w:fldCharType="begin"/>
          </w:r>
          <w:r>
            <w:rPr>
              <w:bCs/>
              <w:lang w:val="zh-CN"/>
            </w:rPr>
            <w:instrText xml:space="preserve"> HYPERLINK \l _Toc16446 </w:instrText>
          </w:r>
          <w:r>
            <w:rPr>
              <w:bCs/>
              <w:lang w:val="zh-CN"/>
            </w:rPr>
            <w:fldChar w:fldCharType="separate"/>
          </w:r>
          <w:r>
            <w:rPr>
              <w:rFonts w:hint="eastAsia"/>
            </w:rPr>
            <w:t>9 敏感数据处理要求</w:t>
          </w:r>
          <w:r>
            <w:tab/>
          </w:r>
          <w:r>
            <w:fldChar w:fldCharType="begin"/>
          </w:r>
          <w:r>
            <w:instrText xml:space="preserve"> PAGEREF _Toc16446 \h </w:instrText>
          </w:r>
          <w:r>
            <w:fldChar w:fldCharType="separate"/>
          </w:r>
          <w:r>
            <w:t>7</w:t>
          </w:r>
          <w:r>
            <w:fldChar w:fldCharType="end"/>
          </w:r>
          <w:r>
            <w:rPr>
              <w:bCs/>
              <w:lang w:val="zh-CN"/>
            </w:rPr>
            <w:fldChar w:fldCharType="end"/>
          </w:r>
        </w:p>
        <w:p w14:paraId="2D2DF4C4">
          <w:pPr>
            <w:pStyle w:val="20"/>
            <w:tabs>
              <w:tab w:val="right" w:leader="dot" w:pos="9353"/>
              <w:tab w:val="clear" w:pos="9242"/>
            </w:tabs>
          </w:pPr>
          <w:r>
            <w:rPr>
              <w:bCs/>
              <w:lang w:val="zh-CN"/>
            </w:rPr>
            <w:fldChar w:fldCharType="begin"/>
          </w:r>
          <w:r>
            <w:rPr>
              <w:bCs/>
              <w:lang w:val="zh-CN"/>
            </w:rPr>
            <w:instrText xml:space="preserve"> HYPERLINK \l _Toc24375 </w:instrText>
          </w:r>
          <w:r>
            <w:rPr>
              <w:bCs/>
              <w:lang w:val="zh-CN"/>
            </w:rPr>
            <w:fldChar w:fldCharType="separate"/>
          </w:r>
          <w:r>
            <w:rPr>
              <w:rFonts w:hint="eastAsia"/>
            </w:rPr>
            <w:t>参考文献</w:t>
          </w:r>
          <w:r>
            <w:tab/>
          </w:r>
          <w:r>
            <w:fldChar w:fldCharType="begin"/>
          </w:r>
          <w:r>
            <w:instrText xml:space="preserve"> PAGEREF _Toc24375 \h </w:instrText>
          </w:r>
          <w:r>
            <w:fldChar w:fldCharType="separate"/>
          </w:r>
          <w:r>
            <w:t>8</w:t>
          </w:r>
          <w:r>
            <w:fldChar w:fldCharType="end"/>
          </w:r>
          <w:r>
            <w:rPr>
              <w:bCs/>
              <w:lang w:val="zh-CN"/>
            </w:rPr>
            <w:fldChar w:fldCharType="end"/>
          </w:r>
        </w:p>
        <w:p w14:paraId="0123AD25">
          <w:r>
            <w:rPr>
              <w:b/>
              <w:bCs/>
              <w:lang w:val="zh-CN"/>
            </w:rPr>
            <w:fldChar w:fldCharType="end"/>
          </w:r>
        </w:p>
      </w:sdtContent>
    </w:sdt>
    <w:p w14:paraId="50B60A0E">
      <w:pPr>
        <w:pStyle w:val="20"/>
        <w:tabs>
          <w:tab w:val="right" w:leader="dot" w:pos="9353"/>
          <w:tab w:val="clear" w:pos="9242"/>
        </w:tabs>
        <w:spacing w:before="78" w:after="78"/>
      </w:pPr>
    </w:p>
    <w:p w14:paraId="06AE21F8">
      <w:pPr>
        <w:pStyle w:val="31"/>
        <w:keepNext/>
        <w:pageBreakBefore/>
        <w:widowControl/>
        <w:shd w:val="clear" w:color="auto" w:fill="FFFFFF"/>
        <w:spacing w:before="640" w:after="560"/>
        <w:jc w:val="center"/>
        <w:outlineLvl w:val="0"/>
      </w:pPr>
      <w:bookmarkStart w:id="0" w:name="_Toc167241448"/>
      <w:bookmarkStart w:id="1" w:name="_Toc8459"/>
      <w:bookmarkStart w:id="2" w:name="_Toc171299703"/>
      <w:bookmarkStart w:id="3" w:name="_Toc147640854"/>
      <w:r>
        <w:rPr>
          <w:rFonts w:hint="eastAsia" w:ascii="黑体" w:eastAsia="黑体"/>
          <w:kern w:val="0"/>
          <w:sz w:val="32"/>
          <w:szCs w:val="20"/>
        </w:rPr>
        <w:t>前</w:t>
      </w:r>
      <w:bookmarkStart w:id="4" w:name="BKQY"/>
      <w:r>
        <w:rPr>
          <w:rFonts w:hint="eastAsia" w:ascii="黑体" w:eastAsia="黑体"/>
          <w:kern w:val="0"/>
          <w:sz w:val="32"/>
          <w:szCs w:val="20"/>
        </w:rPr>
        <w:t>  言</w:t>
      </w:r>
      <w:bookmarkEnd w:id="0"/>
      <w:bookmarkEnd w:id="1"/>
      <w:bookmarkEnd w:id="2"/>
      <w:bookmarkEnd w:id="3"/>
      <w:bookmarkEnd w:id="4"/>
    </w:p>
    <w:p w14:paraId="6159E86E">
      <w:pPr>
        <w:pStyle w:val="31"/>
        <w:widowControl/>
        <w:tabs>
          <w:tab w:val="center" w:pos="4201"/>
          <w:tab w:val="right" w:leader="dot" w:pos="9298"/>
        </w:tabs>
        <w:autoSpaceDE w:val="0"/>
        <w:autoSpaceDN w:val="0"/>
        <w:spacing w:before="156" w:after="156"/>
        <w:ind w:firstLine="420" w:firstLineChars="200"/>
        <w:rPr>
          <w:rFonts w:hint="eastAsia" w:ascii="宋体" w:hAnsi="宋体" w:cs="黑体"/>
          <w:kern w:val="0"/>
          <w:sz w:val="21"/>
          <w:szCs w:val="21"/>
        </w:rPr>
      </w:pPr>
      <w:r>
        <w:rPr>
          <w:rFonts w:hint="eastAsia" w:ascii="宋体" w:hAnsi="宋体" w:cs="黑体"/>
          <w:kern w:val="0"/>
          <w:sz w:val="21"/>
          <w:szCs w:val="21"/>
        </w:rPr>
        <w:t>本文件按照GB/T 1.1—2020《标准化工作导则  第1部分：标准化文件的结构和起草规则》的规定起草。</w:t>
      </w:r>
    </w:p>
    <w:p w14:paraId="24817982">
      <w:pPr>
        <w:pStyle w:val="31"/>
        <w:widowControl/>
        <w:tabs>
          <w:tab w:val="center" w:pos="4201"/>
          <w:tab w:val="right" w:leader="dot" w:pos="9298"/>
        </w:tabs>
        <w:autoSpaceDE w:val="0"/>
        <w:autoSpaceDN w:val="0"/>
        <w:spacing w:before="156" w:after="156"/>
        <w:ind w:firstLine="420" w:firstLineChars="200"/>
        <w:rPr>
          <w:rFonts w:hint="eastAsia" w:ascii="宋体" w:hAnsi="宋体" w:cs="黑体"/>
          <w:kern w:val="0"/>
          <w:sz w:val="21"/>
          <w:szCs w:val="21"/>
        </w:rPr>
      </w:pPr>
      <w:r>
        <w:rPr>
          <w:rFonts w:hint="eastAsia" w:ascii="宋体" w:hAnsi="宋体" w:cs="黑体"/>
          <w:kern w:val="0"/>
          <w:sz w:val="21"/>
          <w:szCs w:val="21"/>
        </w:rPr>
        <w:t>请注意本文件的某些内容可能涉及专利。本文件的发布机构不承担识别专利的责任。</w:t>
      </w:r>
    </w:p>
    <w:p w14:paraId="5136ACC9">
      <w:pPr>
        <w:pStyle w:val="31"/>
        <w:widowControl/>
        <w:tabs>
          <w:tab w:val="center" w:pos="4201"/>
          <w:tab w:val="right" w:leader="dot" w:pos="9298"/>
        </w:tabs>
        <w:autoSpaceDE w:val="0"/>
        <w:autoSpaceDN w:val="0"/>
        <w:spacing w:before="156" w:after="156"/>
        <w:ind w:firstLine="420" w:firstLineChars="200"/>
        <w:rPr>
          <w:rFonts w:hint="eastAsia" w:ascii="宋体" w:hAnsi="宋体" w:cs="黑体"/>
          <w:kern w:val="0"/>
          <w:sz w:val="21"/>
          <w:szCs w:val="21"/>
        </w:rPr>
      </w:pPr>
      <w:r>
        <w:rPr>
          <w:rFonts w:hint="eastAsia" w:ascii="宋体" w:hAnsi="宋体" w:cs="黑体"/>
          <w:kern w:val="0"/>
          <w:sz w:val="21"/>
          <w:szCs w:val="21"/>
        </w:rPr>
        <w:t>本文件由北京大学第一医院提出。</w:t>
      </w:r>
    </w:p>
    <w:p w14:paraId="398F7948">
      <w:pPr>
        <w:pStyle w:val="31"/>
        <w:widowControl/>
        <w:tabs>
          <w:tab w:val="center" w:pos="4201"/>
          <w:tab w:val="right" w:leader="dot" w:pos="9298"/>
        </w:tabs>
        <w:autoSpaceDE w:val="0"/>
        <w:autoSpaceDN w:val="0"/>
        <w:spacing w:before="156" w:after="156"/>
        <w:ind w:firstLine="420" w:firstLineChars="200"/>
        <w:rPr>
          <w:rFonts w:hint="eastAsia" w:ascii="宋体" w:hAnsi="宋体" w:cs="黑体"/>
          <w:kern w:val="0"/>
          <w:sz w:val="21"/>
          <w:szCs w:val="21"/>
        </w:rPr>
      </w:pPr>
      <w:r>
        <w:rPr>
          <w:rFonts w:hint="eastAsia" w:ascii="宋体" w:hAnsi="宋体" w:cs="黑体"/>
          <w:kern w:val="0"/>
          <w:sz w:val="21"/>
          <w:szCs w:val="21"/>
        </w:rPr>
        <w:t>本文件由北京慢性病防治与健康教育研究会归口。</w:t>
      </w:r>
    </w:p>
    <w:p w14:paraId="502C85F6">
      <w:pPr>
        <w:pStyle w:val="31"/>
        <w:widowControl/>
        <w:tabs>
          <w:tab w:val="center" w:pos="4201"/>
          <w:tab w:val="right" w:leader="dot" w:pos="9298"/>
        </w:tabs>
        <w:autoSpaceDE w:val="0"/>
        <w:autoSpaceDN w:val="0"/>
        <w:spacing w:before="156" w:after="156"/>
        <w:ind w:firstLine="420" w:firstLineChars="200"/>
        <w:rPr>
          <w:rFonts w:hint="eastAsia" w:ascii="宋体" w:hAnsi="宋体" w:cs="黑体"/>
          <w:kern w:val="0"/>
          <w:sz w:val="21"/>
          <w:szCs w:val="21"/>
        </w:rPr>
      </w:pPr>
      <w:r>
        <w:rPr>
          <w:rFonts w:hint="eastAsia" w:ascii="宋体" w:hAnsi="宋体" w:cs="黑体"/>
          <w:kern w:val="0"/>
          <w:sz w:val="21"/>
          <w:szCs w:val="21"/>
        </w:rPr>
        <w:t>本文件起草单位：北京大学第一医院、北京大学人民医院、北京大学第三医院、北京大学深圳医院、北京大学第一医院太原医院、山东大学、中国电子技术标准化研究院。</w:t>
      </w:r>
    </w:p>
    <w:p w14:paraId="571C2128">
      <w:pPr>
        <w:pStyle w:val="31"/>
        <w:widowControl/>
        <w:tabs>
          <w:tab w:val="center" w:pos="4201"/>
          <w:tab w:val="right" w:leader="dot" w:pos="9298"/>
        </w:tabs>
        <w:autoSpaceDE w:val="0"/>
        <w:autoSpaceDN w:val="0"/>
        <w:spacing w:before="156" w:after="156"/>
        <w:ind w:firstLine="420" w:firstLineChars="200"/>
        <w:rPr>
          <w:rFonts w:hint="eastAsia" w:ascii="宋体" w:hAnsi="宋体" w:cs="黑体"/>
          <w:kern w:val="0"/>
          <w:sz w:val="21"/>
          <w:szCs w:val="21"/>
        </w:rPr>
      </w:pPr>
      <w:r>
        <w:rPr>
          <w:rFonts w:hint="eastAsia" w:ascii="宋体" w:hAnsi="宋体" w:cs="黑体"/>
          <w:kern w:val="0"/>
          <w:sz w:val="21"/>
          <w:szCs w:val="21"/>
        </w:rPr>
        <w:t>本文件主要起草人： 李航、白倩倩、杨之辉、周城、慕彰磊、李琨、王文慧、王艺萌、于波、吴瑕、沈长兵、牛旭平、李俊琴、侯瑞霞、吕明、张媛、李瑞琪。</w:t>
      </w:r>
    </w:p>
    <w:p w14:paraId="6D30DFDC">
      <w:pPr>
        <w:pStyle w:val="31"/>
        <w:widowControl/>
        <w:tabs>
          <w:tab w:val="center" w:pos="4201"/>
          <w:tab w:val="right" w:leader="dot" w:pos="9298"/>
        </w:tabs>
        <w:autoSpaceDE w:val="0"/>
        <w:autoSpaceDN w:val="0"/>
        <w:ind w:firstLine="480" w:firstLineChars="200"/>
      </w:pPr>
    </w:p>
    <w:p w14:paraId="0708DD15">
      <w:pPr>
        <w:pStyle w:val="31"/>
        <w:widowControl/>
        <w:tabs>
          <w:tab w:val="center" w:pos="4201"/>
          <w:tab w:val="right" w:leader="dot" w:pos="9298"/>
        </w:tabs>
        <w:autoSpaceDE w:val="0"/>
        <w:autoSpaceDN w:val="0"/>
        <w:ind w:firstLine="480" w:firstLineChars="200"/>
      </w:pPr>
    </w:p>
    <w:p w14:paraId="7A16204E">
      <w:pPr>
        <w:pStyle w:val="31"/>
        <w:widowControl/>
        <w:tabs>
          <w:tab w:val="left" w:pos="4201"/>
        </w:tabs>
        <w:autoSpaceDE w:val="0"/>
        <w:autoSpaceDN w:val="0"/>
        <w:ind w:firstLine="480" w:firstLineChars="200"/>
      </w:pPr>
      <w:r>
        <w:tab/>
      </w:r>
    </w:p>
    <w:p w14:paraId="3DE23A96"/>
    <w:p w14:paraId="5D33D26D">
      <w:pPr>
        <w:sectPr>
          <w:headerReference r:id="rId3" w:type="default"/>
          <w:footerReference r:id="rId4" w:type="default"/>
          <w:pgSz w:w="11906" w:h="16838"/>
          <w:pgMar w:top="567" w:right="1135" w:bottom="1135" w:left="1418" w:header="1418" w:footer="1135" w:gutter="0"/>
          <w:pgNumType w:fmt="upperRoman" w:start="1"/>
          <w:cols w:space="720" w:num="1"/>
          <w:formProt w:val="0"/>
          <w:docGrid w:type="lines" w:linePitch="312" w:charSpace="0"/>
        </w:sectPr>
      </w:pPr>
    </w:p>
    <w:p w14:paraId="14603901">
      <w:pPr>
        <w:pStyle w:val="31"/>
        <w:widowControl/>
        <w:tabs>
          <w:tab w:val="center" w:pos="4201"/>
          <w:tab w:val="right" w:leader="dot" w:pos="9298"/>
        </w:tabs>
        <w:autoSpaceDE w:val="0"/>
        <w:autoSpaceDN w:val="0"/>
        <w:ind w:firstLine="480" w:firstLineChars="200"/>
      </w:pPr>
    </w:p>
    <w:p w14:paraId="4A77A6AA">
      <w:pPr>
        <w:pStyle w:val="31"/>
        <w:widowControl/>
        <w:tabs>
          <w:tab w:val="center" w:pos="4201"/>
          <w:tab w:val="right" w:leader="dot" w:pos="9298"/>
        </w:tabs>
        <w:autoSpaceDE w:val="0"/>
        <w:autoSpaceDN w:val="0"/>
        <w:rPr>
          <w:rFonts w:hint="eastAsia" w:ascii="黑体" w:hAnsi="宋体" w:eastAsia="黑体" w:cs="黑体"/>
          <w:kern w:val="0"/>
          <w:sz w:val="32"/>
          <w:szCs w:val="32"/>
        </w:rPr>
      </w:pPr>
    </w:p>
    <w:p w14:paraId="6B41B6A6">
      <w:pPr>
        <w:pStyle w:val="31"/>
        <w:widowControl/>
        <w:tabs>
          <w:tab w:val="center" w:pos="4201"/>
          <w:tab w:val="right" w:leader="dot" w:pos="9298"/>
        </w:tabs>
        <w:autoSpaceDE w:val="0"/>
        <w:autoSpaceDN w:val="0"/>
        <w:jc w:val="center"/>
        <w:rPr>
          <w:rFonts w:hint="eastAsia" w:ascii="黑体" w:hAnsi="宋体" w:eastAsia="黑体" w:cs="黑体"/>
          <w:sz w:val="32"/>
          <w:szCs w:val="32"/>
        </w:rPr>
      </w:pPr>
      <w:r>
        <w:rPr>
          <w:rFonts w:hint="eastAsia" w:ascii="黑体" w:hAnsi="宋体" w:eastAsia="黑体" w:cs="黑体"/>
          <w:kern w:val="0"/>
          <w:sz w:val="32"/>
          <w:szCs w:val="32"/>
        </w:rPr>
        <w:t>银屑病诊疗数据采集规范</w:t>
      </w:r>
    </w:p>
    <w:p w14:paraId="5308F7EA">
      <w:pPr>
        <w:pStyle w:val="106"/>
        <w:numPr>
          <w:ilvl w:val="0"/>
          <w:numId w:val="19"/>
        </w:numPr>
        <w:spacing w:before="240" w:after="240"/>
        <w:ind w:left="284" w:hanging="284"/>
      </w:pPr>
      <w:bookmarkStart w:id="5" w:name="_Toc147640855"/>
      <w:bookmarkStart w:id="6" w:name="_Toc11794"/>
      <w:bookmarkStart w:id="7" w:name="_Toc167241449"/>
      <w:bookmarkStart w:id="8" w:name="_Toc29690"/>
      <w:bookmarkStart w:id="9" w:name="_Toc171299704"/>
      <w:bookmarkStart w:id="10" w:name="_Toc18409"/>
      <w:r>
        <w:rPr>
          <w:rFonts w:hint="eastAsia"/>
        </w:rPr>
        <w:t>范围</w:t>
      </w:r>
      <w:bookmarkEnd w:id="5"/>
      <w:bookmarkEnd w:id="6"/>
      <w:bookmarkEnd w:id="7"/>
      <w:bookmarkEnd w:id="8"/>
      <w:bookmarkEnd w:id="9"/>
      <w:bookmarkEnd w:id="10"/>
    </w:p>
    <w:p w14:paraId="1A1B9E5B">
      <w:pPr>
        <w:pStyle w:val="24"/>
      </w:pPr>
      <w:r>
        <w:rPr>
          <w:rFonts w:hint="eastAsia"/>
        </w:rPr>
        <w:t>本标准规定了银屑病诊疗数据的采集内容、采集方法、采集流程和采集质量要求。</w:t>
      </w:r>
    </w:p>
    <w:p w14:paraId="3096D470">
      <w:pPr>
        <w:pStyle w:val="24"/>
      </w:pPr>
      <w:r>
        <w:rPr>
          <w:rFonts w:hint="eastAsia"/>
        </w:rPr>
        <w:t>本标准适用于医疗机构开展银屑病诊疗数据的采集、共享、交换与应用。</w:t>
      </w:r>
    </w:p>
    <w:p w14:paraId="25609C30">
      <w:pPr>
        <w:pStyle w:val="106"/>
        <w:numPr>
          <w:ilvl w:val="0"/>
          <w:numId w:val="19"/>
        </w:numPr>
        <w:spacing w:before="240" w:after="240"/>
        <w:ind w:left="284" w:hanging="284"/>
      </w:pPr>
      <w:bookmarkStart w:id="11" w:name="_Toc171299705"/>
      <w:bookmarkStart w:id="12" w:name="_Toc167241450"/>
      <w:bookmarkStart w:id="13" w:name="_Toc18077"/>
      <w:bookmarkStart w:id="14" w:name="_Toc147640856"/>
      <w:bookmarkStart w:id="15" w:name="_Toc22809"/>
      <w:bookmarkStart w:id="16" w:name="_Toc27653"/>
      <w:r>
        <w:rPr>
          <w:rFonts w:hint="eastAsia"/>
        </w:rPr>
        <w:t>规范性引用文件</w:t>
      </w:r>
      <w:bookmarkEnd w:id="11"/>
      <w:bookmarkEnd w:id="12"/>
      <w:bookmarkEnd w:id="13"/>
      <w:bookmarkEnd w:id="14"/>
    </w:p>
    <w:bookmarkEnd w:id="15"/>
    <w:bookmarkEnd w:id="16"/>
    <w:p w14:paraId="0654AC91">
      <w:pPr>
        <w:pStyle w:val="24"/>
      </w:pPr>
      <w:bookmarkStart w:id="17" w:name="_Toc20636"/>
      <w:bookmarkStart w:id="18" w:name="_Toc3130"/>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96CE2F5">
      <w:pPr>
        <w:pStyle w:val="24"/>
      </w:pPr>
    </w:p>
    <w:p w14:paraId="614BB841">
      <w:pPr>
        <w:pStyle w:val="24"/>
        <w:ind w:left="420" w:firstLine="0" w:firstLineChars="0"/>
      </w:pPr>
      <w:r>
        <w:rPr>
          <w:rFonts w:hint="eastAsia"/>
        </w:rPr>
        <w:t>WS/T 305 卫生健康信息数据集元数据标准</w:t>
      </w:r>
    </w:p>
    <w:p w14:paraId="30E87B24">
      <w:pPr>
        <w:pStyle w:val="24"/>
        <w:ind w:left="420" w:firstLine="0" w:firstLineChars="0"/>
      </w:pPr>
      <w:r>
        <w:rPr>
          <w:rFonts w:hint="eastAsia"/>
        </w:rPr>
        <w:t>WS/T 363.6 卫生健康信息数据元目录 第6部分：主诉与症状</w:t>
      </w:r>
    </w:p>
    <w:p w14:paraId="61C8F2A3">
      <w:pPr>
        <w:pStyle w:val="24"/>
        <w:ind w:left="420" w:firstLine="0" w:firstLineChars="0"/>
      </w:pPr>
      <w:r>
        <w:rPr>
          <w:rFonts w:hint="eastAsia"/>
        </w:rPr>
        <w:t>WS/T 363.7 卫生健康信息数据元目录 第7部分：体格检查</w:t>
      </w:r>
    </w:p>
    <w:p w14:paraId="751139E4">
      <w:pPr>
        <w:pStyle w:val="24"/>
        <w:ind w:left="420" w:firstLine="0" w:firstLineChars="0"/>
      </w:pPr>
      <w:r>
        <w:rPr>
          <w:rFonts w:hint="eastAsia"/>
        </w:rPr>
        <w:t>WS/T 363.8 卫生健康信息数据元目录 第8部分：临床辅助检查</w:t>
      </w:r>
    </w:p>
    <w:p w14:paraId="30E6E880">
      <w:pPr>
        <w:pStyle w:val="24"/>
        <w:ind w:left="420" w:firstLine="0" w:firstLineChars="0"/>
      </w:pPr>
      <w:r>
        <w:rPr>
          <w:rFonts w:hint="eastAsia"/>
        </w:rPr>
        <w:t>WS/T 363.9 卫生健康信息数据元目录 第9部分：实验室检查</w:t>
      </w:r>
    </w:p>
    <w:p w14:paraId="257235F7">
      <w:pPr>
        <w:pStyle w:val="24"/>
        <w:ind w:left="420" w:firstLine="0" w:firstLineChars="0"/>
      </w:pPr>
      <w:r>
        <w:rPr>
          <w:rFonts w:hint="eastAsia"/>
        </w:rPr>
        <w:t>WS/T 363.10 卫生信息数据元目录 第10部分：医学诊断</w:t>
      </w:r>
    </w:p>
    <w:p w14:paraId="298D18CD">
      <w:pPr>
        <w:pStyle w:val="24"/>
        <w:ind w:left="420" w:firstLine="0" w:firstLineChars="0"/>
      </w:pPr>
      <w:r>
        <w:rPr>
          <w:rFonts w:hint="eastAsia"/>
        </w:rPr>
        <w:t>WS/T 370  卫生信息基本数据集编制规范</w:t>
      </w:r>
    </w:p>
    <w:p w14:paraId="24FD42AC">
      <w:pPr>
        <w:pStyle w:val="24"/>
        <w:ind w:left="420" w:firstLine="0" w:firstLineChars="0"/>
      </w:pPr>
      <w:r>
        <w:rPr>
          <w:rFonts w:hint="eastAsia"/>
        </w:rPr>
        <w:t>WS 371 基本信息基本数据集 个人信息</w:t>
      </w:r>
    </w:p>
    <w:p w14:paraId="22F37DED">
      <w:pPr>
        <w:pStyle w:val="24"/>
        <w:ind w:left="420" w:firstLine="0" w:firstLineChars="0"/>
      </w:pPr>
      <w:r>
        <w:rPr>
          <w:rFonts w:hint="eastAsia"/>
        </w:rPr>
        <w:t>WS 372</w:t>
      </w:r>
      <w:r>
        <w:t xml:space="preserve"> </w:t>
      </w:r>
      <w:r>
        <w:rPr>
          <w:rFonts w:hint="eastAsia"/>
        </w:rPr>
        <w:t>疾病管理基本数据集</w:t>
      </w:r>
    </w:p>
    <w:p w14:paraId="20B63A7C">
      <w:pPr>
        <w:pStyle w:val="106"/>
        <w:numPr>
          <w:ilvl w:val="0"/>
          <w:numId w:val="19"/>
        </w:numPr>
        <w:spacing w:before="240" w:after="240"/>
        <w:ind w:left="284" w:hanging="284"/>
      </w:pPr>
      <w:bookmarkStart w:id="19" w:name="_Toc147640857"/>
      <w:bookmarkStart w:id="20" w:name="_Toc171299706"/>
      <w:bookmarkStart w:id="21" w:name="_Toc167241451"/>
      <w:bookmarkStart w:id="22" w:name="_Toc6403"/>
      <w:r>
        <w:rPr>
          <w:rFonts w:hint="eastAsia"/>
        </w:rPr>
        <w:t>术语和</w:t>
      </w:r>
      <w:bookmarkEnd w:id="19"/>
      <w:r>
        <w:rPr>
          <w:rFonts w:hint="eastAsia"/>
        </w:rPr>
        <w:t>定义</w:t>
      </w:r>
      <w:bookmarkEnd w:id="20"/>
      <w:bookmarkEnd w:id="21"/>
      <w:bookmarkEnd w:id="22"/>
    </w:p>
    <w:p w14:paraId="09EE5A87">
      <w:pPr>
        <w:pStyle w:val="106"/>
        <w:spacing w:before="240" w:after="240"/>
      </w:pPr>
      <w:bookmarkStart w:id="23" w:name="_Toc171299707"/>
      <w:bookmarkStart w:id="24" w:name="_Toc31996"/>
      <w:bookmarkStart w:id="25" w:name="_Toc147640858"/>
      <w:bookmarkStart w:id="26" w:name="_Toc167241452"/>
      <w:bookmarkStart w:id="27" w:name="_Hlk167241523"/>
      <w:r>
        <w:rPr>
          <w:rFonts w:hint="eastAsia"/>
        </w:rPr>
        <w:t>3.1</w:t>
      </w:r>
      <w:bookmarkEnd w:id="23"/>
      <w:bookmarkEnd w:id="24"/>
      <w:r>
        <w:rPr>
          <w:rFonts w:hint="eastAsia"/>
        </w:rPr>
        <w:t xml:space="preserve"> </w:t>
      </w:r>
      <w:bookmarkEnd w:id="17"/>
      <w:bookmarkEnd w:id="18"/>
      <w:bookmarkEnd w:id="25"/>
      <w:bookmarkStart w:id="28" w:name="_Toc22602"/>
      <w:bookmarkStart w:id="29" w:name="_Toc3904"/>
    </w:p>
    <w:p w14:paraId="1813985B">
      <w:pPr>
        <w:pStyle w:val="106"/>
        <w:spacing w:before="240" w:after="240"/>
        <w:ind w:firstLine="420" w:firstLineChars="200"/>
        <w:rPr>
          <w:rFonts w:hint="eastAsia" w:hAnsi="黑体" w:cs="黑体"/>
        </w:rPr>
      </w:pPr>
      <w:bookmarkStart w:id="30" w:name="_Toc11140"/>
      <w:bookmarkStart w:id="31" w:name="_Toc171299708"/>
      <w:r>
        <w:rPr>
          <w:rFonts w:hint="eastAsia"/>
        </w:rPr>
        <w:t xml:space="preserve">银屑病 </w:t>
      </w:r>
      <w:bookmarkEnd w:id="26"/>
      <w:r>
        <w:rPr>
          <w:rFonts w:hint="eastAsia"/>
        </w:rPr>
        <w:t xml:space="preserve"> </w:t>
      </w:r>
      <w:r>
        <w:rPr>
          <w:rFonts w:ascii="Times New Roman"/>
        </w:rPr>
        <w:t>psoriasis</w:t>
      </w:r>
      <w:bookmarkEnd w:id="30"/>
      <w:bookmarkEnd w:id="31"/>
    </w:p>
    <w:bookmarkEnd w:id="27"/>
    <w:p w14:paraId="42C88E16">
      <w:pPr>
        <w:pStyle w:val="24"/>
        <w:spacing w:after="240"/>
      </w:pPr>
      <w:r>
        <w:rPr>
          <w:rFonts w:hint="eastAsia"/>
        </w:rPr>
        <w:t>为个体与环境相互影响诱发的免疫介导的慢性、炎症性、系统性易复发疾病。常见临床亚型有寻常型银屑病、脓疱型银屑病、红皮病型银屑病和关节炎型银屑病。</w:t>
      </w:r>
    </w:p>
    <w:p w14:paraId="22FFB038">
      <w:pPr>
        <w:pStyle w:val="106"/>
        <w:spacing w:before="240" w:after="240"/>
      </w:pPr>
      <w:bookmarkStart w:id="32" w:name="_Toc171299709"/>
      <w:bookmarkStart w:id="33" w:name="_Toc3272"/>
      <w:r>
        <w:rPr>
          <w:rFonts w:hint="eastAsia"/>
        </w:rPr>
        <w:t>3.2</w:t>
      </w:r>
      <w:bookmarkEnd w:id="32"/>
      <w:bookmarkEnd w:id="33"/>
      <w:r>
        <w:rPr>
          <w:rFonts w:hint="eastAsia"/>
        </w:rPr>
        <w:t xml:space="preserve"> </w:t>
      </w:r>
    </w:p>
    <w:p w14:paraId="46182019">
      <w:pPr>
        <w:pStyle w:val="106"/>
        <w:spacing w:before="240" w:after="240"/>
        <w:ind w:firstLine="420" w:firstLineChars="200"/>
        <w:rPr>
          <w:rFonts w:ascii="Times New Roman"/>
        </w:rPr>
      </w:pPr>
      <w:bookmarkStart w:id="34" w:name="_Toc28119"/>
      <w:bookmarkStart w:id="35" w:name="_Toc171299710"/>
      <w:r>
        <w:rPr>
          <w:rFonts w:hint="eastAsia" w:hAnsi="黑体" w:cs="黑体"/>
          <w:szCs w:val="21"/>
        </w:rPr>
        <w:t xml:space="preserve">银屑病皮损面积及严重指数  </w:t>
      </w:r>
      <w:r>
        <w:rPr>
          <w:rFonts w:ascii="Times New Roman"/>
          <w:szCs w:val="21"/>
        </w:rPr>
        <w:t>psoriasis area and severity index ,</w:t>
      </w:r>
      <w:r>
        <w:rPr>
          <w:rFonts w:ascii="Times New Roman"/>
        </w:rPr>
        <w:t>PASI</w:t>
      </w:r>
      <w:bookmarkEnd w:id="34"/>
      <w:bookmarkEnd w:id="35"/>
    </w:p>
    <w:p w14:paraId="26942B10">
      <w:pPr>
        <w:pStyle w:val="31"/>
        <w:widowControl/>
        <w:tabs>
          <w:tab w:val="center" w:pos="4201"/>
          <w:tab w:val="right" w:leader="dot" w:pos="9298"/>
        </w:tabs>
        <w:spacing w:after="240"/>
        <w:ind w:firstLine="430"/>
        <w:rPr>
          <w:rFonts w:ascii="宋体"/>
          <w:kern w:val="0"/>
          <w:sz w:val="21"/>
          <w:szCs w:val="20"/>
        </w:rPr>
      </w:pPr>
      <w:r>
        <w:rPr>
          <w:rFonts w:hint="eastAsia" w:ascii="宋体"/>
          <w:kern w:val="0"/>
          <w:sz w:val="21"/>
          <w:szCs w:val="20"/>
        </w:rPr>
        <w:t>评估银屑病严重程度的国际通行评分指标，包括皮损面积评分和皮损严重程度评分。</w:t>
      </w:r>
    </w:p>
    <w:p w14:paraId="1D44BF55">
      <w:pPr>
        <w:pStyle w:val="106"/>
        <w:spacing w:before="240" w:after="240"/>
      </w:pPr>
      <w:bookmarkStart w:id="36" w:name="_Toc6599"/>
      <w:bookmarkStart w:id="37" w:name="_Toc171299711"/>
      <w:bookmarkStart w:id="38" w:name="_Toc147640859"/>
      <w:bookmarkStart w:id="39" w:name="_Toc167241453"/>
      <w:bookmarkStart w:id="40" w:name="_Hlk167239789"/>
      <w:r>
        <w:rPr>
          <w:rFonts w:hint="eastAsia"/>
        </w:rPr>
        <w:t>3.3</w:t>
      </w:r>
      <w:bookmarkEnd w:id="36"/>
      <w:bookmarkEnd w:id="37"/>
      <w:r>
        <w:rPr>
          <w:rFonts w:hint="eastAsia"/>
        </w:rPr>
        <w:t xml:space="preserve"> </w:t>
      </w:r>
      <w:bookmarkEnd w:id="38"/>
    </w:p>
    <w:p w14:paraId="716CF465">
      <w:pPr>
        <w:pStyle w:val="106"/>
        <w:spacing w:before="240" w:after="240"/>
        <w:ind w:firstLine="420" w:firstLineChars="200"/>
        <w:rPr>
          <w:rFonts w:ascii="Times New Roman"/>
        </w:rPr>
      </w:pPr>
      <w:bookmarkStart w:id="41" w:name="_Toc171299712"/>
      <w:bookmarkStart w:id="42" w:name="_Toc20367"/>
      <w:r>
        <w:rPr>
          <w:rFonts w:hint="eastAsia"/>
        </w:rPr>
        <w:t xml:space="preserve">身体表面积评分 </w:t>
      </w:r>
      <w:bookmarkEnd w:id="39"/>
      <w:r>
        <w:rPr>
          <w:rFonts w:hint="eastAsia"/>
        </w:rPr>
        <w:t xml:space="preserve"> </w:t>
      </w:r>
      <w:r>
        <w:rPr>
          <w:rFonts w:hint="eastAsia" w:ascii="Times New Roman"/>
        </w:rPr>
        <w:t>body surface area，BSA</w:t>
      </w:r>
      <w:bookmarkEnd w:id="41"/>
      <w:bookmarkEnd w:id="42"/>
    </w:p>
    <w:bookmarkEnd w:id="40"/>
    <w:p w14:paraId="7BE8C2B2">
      <w:pPr>
        <w:pStyle w:val="31"/>
        <w:widowControl/>
        <w:tabs>
          <w:tab w:val="center" w:pos="4201"/>
          <w:tab w:val="right" w:leader="dot" w:pos="9298"/>
        </w:tabs>
        <w:autoSpaceDE w:val="0"/>
        <w:autoSpaceDN w:val="0"/>
        <w:spacing w:after="240"/>
        <w:ind w:firstLine="424" w:firstLineChars="202"/>
        <w:rPr>
          <w:rFonts w:hint="eastAsia" w:ascii="宋体" w:hAnsi="宋体" w:cs="黑体"/>
          <w:kern w:val="0"/>
          <w:sz w:val="21"/>
          <w:szCs w:val="21"/>
        </w:rPr>
      </w:pPr>
      <w:r>
        <w:rPr>
          <w:rFonts w:hint="eastAsia" w:ascii="宋体" w:hAnsi="宋体" w:cs="黑体"/>
          <w:kern w:val="0"/>
          <w:sz w:val="21"/>
          <w:szCs w:val="21"/>
        </w:rPr>
        <w:t>反映银屑病整体皮损面积的重要指标，通过皮损面积可大致评判病情的严重程度。</w:t>
      </w:r>
    </w:p>
    <w:p w14:paraId="0913045D">
      <w:pPr>
        <w:pStyle w:val="106"/>
        <w:spacing w:before="240" w:after="240"/>
      </w:pPr>
      <w:bookmarkStart w:id="43" w:name="_Toc19614"/>
      <w:bookmarkStart w:id="44" w:name="_Toc171299713"/>
      <w:r>
        <w:rPr>
          <w:rFonts w:hint="eastAsia"/>
        </w:rPr>
        <w:t>3.4</w:t>
      </w:r>
      <w:bookmarkEnd w:id="43"/>
      <w:bookmarkEnd w:id="44"/>
      <w:r>
        <w:rPr>
          <w:rFonts w:hint="eastAsia"/>
        </w:rPr>
        <w:t xml:space="preserve"> </w:t>
      </w:r>
    </w:p>
    <w:p w14:paraId="399B1F8B">
      <w:pPr>
        <w:pStyle w:val="106"/>
        <w:spacing w:before="240" w:after="240"/>
        <w:ind w:firstLine="420" w:firstLineChars="200"/>
        <w:rPr>
          <w:rFonts w:ascii="Times New Roman"/>
        </w:rPr>
      </w:pPr>
      <w:bookmarkStart w:id="45" w:name="_Toc22706"/>
      <w:bookmarkStart w:id="46" w:name="_Toc171299714"/>
      <w:r>
        <w:rPr>
          <w:rFonts w:hint="eastAsia"/>
        </w:rPr>
        <w:t xml:space="preserve">生物制剂  </w:t>
      </w:r>
      <w:r>
        <w:rPr>
          <w:rFonts w:hint="eastAsia" w:ascii="Times New Roman"/>
        </w:rPr>
        <w:t>biologic</w:t>
      </w:r>
      <w:bookmarkEnd w:id="45"/>
      <w:r>
        <w:rPr>
          <w:rFonts w:hint="eastAsia" w:ascii="Times New Roman"/>
        </w:rPr>
        <w:t xml:space="preserve"> </w:t>
      </w:r>
      <w:bookmarkEnd w:id="46"/>
    </w:p>
    <w:p w14:paraId="4B324C0A">
      <w:pPr>
        <w:pStyle w:val="24"/>
        <w:ind w:firstLine="430" w:firstLineChars="0"/>
      </w:pPr>
      <w:r>
        <w:rPr>
          <w:rFonts w:hint="eastAsia"/>
        </w:rPr>
        <w:t>通过生物工程技术制造的用于治疗疾病的活性物质（通常为大分子物质）。</w:t>
      </w:r>
    </w:p>
    <w:p w14:paraId="6043BA99">
      <w:pPr>
        <w:pStyle w:val="106"/>
        <w:spacing w:before="240" w:after="240"/>
      </w:pPr>
      <w:bookmarkStart w:id="47" w:name="_Toc171299715"/>
      <w:bookmarkStart w:id="48" w:name="_Toc20322"/>
      <w:r>
        <w:rPr>
          <w:rFonts w:hint="eastAsia"/>
        </w:rPr>
        <w:t>3.5</w:t>
      </w:r>
      <w:bookmarkEnd w:id="47"/>
      <w:bookmarkEnd w:id="48"/>
      <w:r>
        <w:rPr>
          <w:rFonts w:hint="eastAsia"/>
        </w:rPr>
        <w:t xml:space="preserve"> </w:t>
      </w:r>
    </w:p>
    <w:p w14:paraId="215A5D52">
      <w:pPr>
        <w:pStyle w:val="106"/>
        <w:spacing w:before="240" w:after="240"/>
        <w:ind w:firstLine="420" w:firstLineChars="200"/>
        <w:rPr>
          <w:rFonts w:ascii="Times New Roman"/>
        </w:rPr>
      </w:pPr>
      <w:bookmarkStart w:id="49" w:name="_Toc27775"/>
      <w:bookmarkStart w:id="50" w:name="_Toc171299716"/>
      <w:r>
        <w:rPr>
          <w:rFonts w:hint="eastAsia"/>
        </w:rPr>
        <w:t xml:space="preserve">小分子药物  </w:t>
      </w:r>
      <w:r>
        <w:rPr>
          <w:rFonts w:hint="eastAsia" w:ascii="Times New Roman"/>
        </w:rPr>
        <w:t>small molecule drug</w:t>
      </w:r>
      <w:bookmarkEnd w:id="49"/>
      <w:r>
        <w:rPr>
          <w:rFonts w:hint="eastAsia" w:ascii="Times New Roman"/>
        </w:rPr>
        <w:t xml:space="preserve"> </w:t>
      </w:r>
      <w:bookmarkEnd w:id="50"/>
    </w:p>
    <w:p w14:paraId="22BACF2F">
      <w:pPr>
        <w:pStyle w:val="24"/>
        <w:ind w:firstLine="0" w:firstLineChars="0"/>
      </w:pPr>
      <w:r>
        <w:rPr>
          <w:rFonts w:hint="eastAsia"/>
        </w:rPr>
        <w:t xml:space="preserve">    通常指用于治疗疾病的小于 900 道尔顿的有机化合物。 </w:t>
      </w:r>
    </w:p>
    <w:bookmarkEnd w:id="28"/>
    <w:bookmarkEnd w:id="29"/>
    <w:p w14:paraId="73AB00FB">
      <w:pPr>
        <w:pStyle w:val="106"/>
        <w:numPr>
          <w:ilvl w:val="0"/>
          <w:numId w:val="19"/>
        </w:numPr>
        <w:spacing w:before="240" w:after="240"/>
        <w:ind w:left="284" w:hanging="284"/>
      </w:pPr>
      <w:bookmarkStart w:id="51" w:name="_Toc171299717"/>
      <w:bookmarkStart w:id="52" w:name="_Toc23505"/>
      <w:bookmarkStart w:id="53" w:name="_Toc167241454"/>
      <w:bookmarkStart w:id="54" w:name="_Toc147640860"/>
      <w:r>
        <w:rPr>
          <w:rFonts w:hint="eastAsia"/>
        </w:rPr>
        <w:t>数据采集内容</w:t>
      </w:r>
      <w:bookmarkEnd w:id="51"/>
      <w:bookmarkEnd w:id="52"/>
      <w:bookmarkEnd w:id="53"/>
      <w:bookmarkEnd w:id="54"/>
    </w:p>
    <w:p w14:paraId="0251A542">
      <w:pPr>
        <w:pStyle w:val="106"/>
        <w:spacing w:before="240" w:after="240"/>
      </w:pPr>
      <w:bookmarkStart w:id="55" w:name="_Toc171299718"/>
      <w:bookmarkStart w:id="56" w:name="_Toc6989"/>
      <w:bookmarkStart w:id="57" w:name="_Hlk169233986"/>
      <w:bookmarkStart w:id="58" w:name="_Toc167241455"/>
      <w:bookmarkStart w:id="59" w:name="_Hlk169234576"/>
      <w:r>
        <w:rPr>
          <w:rFonts w:hint="eastAsia"/>
        </w:rPr>
        <w:t>4.1 患者信息</w:t>
      </w:r>
      <w:bookmarkEnd w:id="55"/>
      <w:bookmarkEnd w:id="56"/>
    </w:p>
    <w:bookmarkEnd w:id="57"/>
    <w:p w14:paraId="113D8310">
      <w:pPr>
        <w:pStyle w:val="24"/>
        <w:ind w:firstLine="0" w:firstLineChars="0"/>
      </w:pPr>
      <w:r>
        <w:rPr>
          <w:rFonts w:hint="eastAsia"/>
        </w:rPr>
        <w:t>4.4.1 应包括但不限于姓名、性别、年龄、住址、联系方式、身份证号、医疗保险信息等。</w:t>
      </w:r>
    </w:p>
    <w:p w14:paraId="7FD9A51F">
      <w:pPr>
        <w:pStyle w:val="24"/>
        <w:ind w:firstLine="0" w:firstLineChars="0"/>
      </w:pPr>
      <w:r>
        <w:rPr>
          <w:rFonts w:hint="eastAsia"/>
        </w:rPr>
        <w:t>4.1.2 宜包括民族、职业、婚姻状况、生育状况、教育程度等。</w:t>
      </w:r>
    </w:p>
    <w:p w14:paraId="5BA0A2D3">
      <w:pPr>
        <w:pStyle w:val="24"/>
        <w:ind w:firstLine="0" w:firstLineChars="0"/>
      </w:pPr>
      <w:r>
        <w:rPr>
          <w:rFonts w:hint="eastAsia"/>
        </w:rPr>
        <w:t>4.1.3 患者基本信息的管理和维护，应符合</w:t>
      </w:r>
      <w:r>
        <w:t>WS/T 305</w:t>
      </w:r>
      <w:r>
        <w:rPr>
          <w:rFonts w:hint="eastAsia"/>
        </w:rPr>
        <w:t>、WS/T 370和</w:t>
      </w:r>
      <w:r>
        <w:t>WS 371</w:t>
      </w:r>
      <w:r>
        <w:rPr>
          <w:rFonts w:hint="eastAsia"/>
        </w:rPr>
        <w:t>的相应要求。</w:t>
      </w:r>
    </w:p>
    <w:p w14:paraId="3C936F90">
      <w:pPr>
        <w:pStyle w:val="24"/>
        <w:ind w:firstLine="0" w:firstLineChars="0"/>
      </w:pPr>
      <w:r>
        <w:rPr>
          <w:rFonts w:hint="eastAsia"/>
        </w:rPr>
        <w:t>4.1.4 应遵循保护患者隐私的原则。</w:t>
      </w:r>
    </w:p>
    <w:p w14:paraId="7F2BCB43">
      <w:pPr>
        <w:pStyle w:val="106"/>
        <w:spacing w:before="240" w:after="240"/>
      </w:pPr>
      <w:bookmarkStart w:id="60" w:name="_Toc20529"/>
      <w:bookmarkStart w:id="61" w:name="_Toc171299719"/>
      <w:r>
        <w:rPr>
          <w:rFonts w:hint="eastAsia"/>
        </w:rPr>
        <w:t>4.2 病史信息</w:t>
      </w:r>
      <w:bookmarkEnd w:id="60"/>
      <w:bookmarkEnd w:id="61"/>
    </w:p>
    <w:p w14:paraId="4E21D561">
      <w:pPr>
        <w:pStyle w:val="24"/>
        <w:ind w:firstLine="0" w:firstLineChars="0"/>
      </w:pPr>
      <w:r>
        <w:rPr>
          <w:rFonts w:hint="eastAsia"/>
        </w:rPr>
        <w:t>4.2.1 应包括既往病史、药物过敏史等。</w:t>
      </w:r>
    </w:p>
    <w:p w14:paraId="0303D6D0">
      <w:pPr>
        <w:pStyle w:val="24"/>
        <w:ind w:firstLine="0" w:firstLineChars="0"/>
      </w:pPr>
      <w:r>
        <w:rPr>
          <w:rFonts w:hint="eastAsia"/>
        </w:rPr>
        <w:t>4.2.2 宜包括个人生活史、家族病史、手术史、本次疾病发作过程、既往治疗史等。</w:t>
      </w:r>
    </w:p>
    <w:p w14:paraId="4554A49B">
      <w:pPr>
        <w:pStyle w:val="106"/>
        <w:spacing w:before="240" w:after="240"/>
      </w:pPr>
      <w:bookmarkStart w:id="62" w:name="_Toc17522"/>
      <w:bookmarkStart w:id="63" w:name="_Toc171299720"/>
      <w:r>
        <w:rPr>
          <w:rFonts w:hint="eastAsia"/>
        </w:rPr>
        <w:t>4.3 症状与体征</w:t>
      </w:r>
      <w:bookmarkEnd w:id="62"/>
      <w:bookmarkEnd w:id="63"/>
    </w:p>
    <w:p w14:paraId="5B3BAD3E">
      <w:pPr>
        <w:pStyle w:val="24"/>
        <w:ind w:firstLine="0" w:firstLineChars="0"/>
      </w:pPr>
      <w:r>
        <w:rPr>
          <w:rFonts w:hint="eastAsia"/>
        </w:rPr>
        <w:t>4.3.1 应包括瘙痒程度、皮损部位、皮损形态、皮损颜色、皮损鳞屑、PASI评分及BSA评分等。</w:t>
      </w:r>
    </w:p>
    <w:p w14:paraId="1B7219B0">
      <w:pPr>
        <w:pStyle w:val="24"/>
        <w:ind w:firstLine="0" w:firstLineChars="0"/>
      </w:pPr>
      <w:r>
        <w:rPr>
          <w:rFonts w:hint="eastAsia"/>
        </w:rPr>
        <w:t>4.3.2 应遵循</w:t>
      </w:r>
      <w:r>
        <w:t>WS/T 363.6</w:t>
      </w:r>
      <w:r>
        <w:rPr>
          <w:rFonts w:hint="eastAsia"/>
        </w:rPr>
        <w:t>和WS/T 363.7的相应要求。</w:t>
      </w:r>
    </w:p>
    <w:p w14:paraId="03503993">
      <w:pPr>
        <w:pStyle w:val="106"/>
        <w:spacing w:before="240" w:after="240"/>
      </w:pPr>
      <w:bookmarkStart w:id="64" w:name="_Toc171299721"/>
      <w:bookmarkStart w:id="65" w:name="_Toc10265"/>
      <w:r>
        <w:rPr>
          <w:rFonts w:hint="eastAsia"/>
        </w:rPr>
        <w:t>4.4 诊断信息</w:t>
      </w:r>
      <w:bookmarkEnd w:id="64"/>
      <w:bookmarkEnd w:id="65"/>
    </w:p>
    <w:p w14:paraId="37BD7E91">
      <w:pPr>
        <w:pStyle w:val="24"/>
        <w:ind w:firstLine="0" w:firstLineChars="0"/>
      </w:pPr>
      <w:r>
        <w:rPr>
          <w:rFonts w:hint="eastAsia"/>
        </w:rPr>
        <w:t>4.4.1 应包括诊断方法、诊断结果。</w:t>
      </w:r>
    </w:p>
    <w:p w14:paraId="7BAD4310">
      <w:pPr>
        <w:pStyle w:val="24"/>
        <w:ind w:firstLine="0" w:firstLineChars="0"/>
      </w:pPr>
      <w:r>
        <w:rPr>
          <w:rFonts w:hint="eastAsia"/>
        </w:rPr>
        <w:t>4.4.2 宜包括亚型诊断。</w:t>
      </w:r>
    </w:p>
    <w:p w14:paraId="40F2AB1B">
      <w:pPr>
        <w:pStyle w:val="24"/>
        <w:ind w:firstLine="0" w:firstLineChars="0"/>
      </w:pPr>
      <w:r>
        <w:rPr>
          <w:rFonts w:hint="eastAsia"/>
        </w:rPr>
        <w:t>4.4.3 应符合中国银屑病诊疗指南（2023版）中对于银屑病诊断的相应要求。</w:t>
      </w:r>
    </w:p>
    <w:p w14:paraId="389B1309">
      <w:pPr>
        <w:pStyle w:val="24"/>
        <w:ind w:firstLine="0" w:firstLineChars="0"/>
      </w:pPr>
      <w:r>
        <w:rPr>
          <w:rFonts w:hint="eastAsia"/>
        </w:rPr>
        <w:t>4.4.4 应符合</w:t>
      </w:r>
      <w:r>
        <w:t xml:space="preserve">WS/T 363.8 </w:t>
      </w:r>
      <w:r>
        <w:rPr>
          <w:rFonts w:hint="eastAsia"/>
        </w:rPr>
        <w:t>、</w:t>
      </w:r>
      <w:r>
        <w:t>WS/T 363.</w:t>
      </w:r>
      <w:r>
        <w:rPr>
          <w:rFonts w:hint="eastAsia"/>
        </w:rPr>
        <w:t>9</w:t>
      </w:r>
      <w:r>
        <w:t xml:space="preserve"> </w:t>
      </w:r>
      <w:r>
        <w:rPr>
          <w:rFonts w:hint="eastAsia"/>
        </w:rPr>
        <w:t>和</w:t>
      </w:r>
      <w:r>
        <w:t>WS/T 363.10</w:t>
      </w:r>
      <w:r>
        <w:rPr>
          <w:rFonts w:hint="eastAsia"/>
        </w:rPr>
        <w:t>的相应要求。</w:t>
      </w:r>
    </w:p>
    <w:p w14:paraId="30360D26">
      <w:pPr>
        <w:pStyle w:val="106"/>
        <w:spacing w:before="240" w:after="240"/>
      </w:pPr>
      <w:bookmarkStart w:id="66" w:name="_Toc4180"/>
      <w:bookmarkStart w:id="67" w:name="_Toc171299722"/>
      <w:r>
        <w:rPr>
          <w:rFonts w:hint="eastAsia"/>
        </w:rPr>
        <w:t>4.5 治疗方案信息</w:t>
      </w:r>
      <w:bookmarkEnd w:id="66"/>
      <w:bookmarkEnd w:id="67"/>
    </w:p>
    <w:p w14:paraId="24A32C38">
      <w:pPr>
        <w:pStyle w:val="24"/>
        <w:ind w:firstLine="0" w:firstLineChars="0"/>
      </w:pPr>
      <w:r>
        <w:rPr>
          <w:rFonts w:hint="eastAsia"/>
        </w:rPr>
        <w:t>4.5.1 应包括治疗药物，如口服传统药物治疗、外用药物治疗、生物制剂治疗和小分子药物治疗等。</w:t>
      </w:r>
    </w:p>
    <w:p w14:paraId="22E429C7">
      <w:pPr>
        <w:pStyle w:val="24"/>
        <w:ind w:firstLine="0" w:firstLineChars="0"/>
      </w:pPr>
      <w:r>
        <w:rPr>
          <w:rFonts w:hint="eastAsia"/>
        </w:rPr>
        <w:t>4.5.2 宜包括治疗具体实施方法、治疗持续时间和治疗效果评价等。</w:t>
      </w:r>
    </w:p>
    <w:p w14:paraId="26236B12">
      <w:pPr>
        <w:pStyle w:val="24"/>
        <w:ind w:firstLine="0" w:firstLineChars="0"/>
      </w:pPr>
      <w:r>
        <w:rPr>
          <w:rFonts w:hint="eastAsia"/>
        </w:rPr>
        <w:t>4.5.3 应遵循</w:t>
      </w:r>
      <w:r>
        <w:t>WS/T 305</w:t>
      </w:r>
      <w:r>
        <w:rPr>
          <w:rFonts w:hint="eastAsia"/>
        </w:rPr>
        <w:t>、</w:t>
      </w:r>
      <w:r>
        <w:t>WS/T 370</w:t>
      </w:r>
      <w:r>
        <w:rPr>
          <w:rFonts w:hint="eastAsia"/>
        </w:rPr>
        <w:t>和</w:t>
      </w:r>
      <w:r>
        <w:t>WS 372</w:t>
      </w:r>
      <w:r>
        <w:rPr>
          <w:rFonts w:hint="eastAsia"/>
        </w:rPr>
        <w:t>的相应要求。</w:t>
      </w:r>
    </w:p>
    <w:p w14:paraId="37CF58B9">
      <w:pPr>
        <w:pStyle w:val="106"/>
        <w:spacing w:before="240" w:after="240"/>
      </w:pPr>
      <w:bookmarkStart w:id="68" w:name="_Toc24769"/>
      <w:bookmarkStart w:id="69" w:name="_Toc171299723"/>
      <w:bookmarkStart w:id="70" w:name="_Hlk169234193"/>
      <w:r>
        <w:rPr>
          <w:rFonts w:hint="eastAsia"/>
        </w:rPr>
        <w:t>4.6 治疗过程信息</w:t>
      </w:r>
      <w:bookmarkEnd w:id="68"/>
      <w:bookmarkEnd w:id="69"/>
    </w:p>
    <w:bookmarkEnd w:id="70"/>
    <w:p w14:paraId="288B7A1D">
      <w:pPr>
        <w:pStyle w:val="24"/>
        <w:ind w:firstLine="0" w:firstLineChars="0"/>
      </w:pPr>
      <w:r>
        <w:rPr>
          <w:rFonts w:hint="eastAsia"/>
        </w:rPr>
        <w:t>4.6.1 应包括整个治疗过程，从初始诊断、治疗方案的制定与实施，到治疗效果的评估与调整。宜包括治疗开始时间、治疗结束时间、不良反应记录等。</w:t>
      </w:r>
    </w:p>
    <w:p w14:paraId="09D87A43">
      <w:pPr>
        <w:pStyle w:val="24"/>
        <w:ind w:firstLine="0" w:firstLineChars="0"/>
      </w:pPr>
      <w:r>
        <w:rPr>
          <w:rFonts w:hint="eastAsia"/>
        </w:rPr>
        <w:t>4.6.2 应遵循WS/T 305、WS/T 370和WS 372的相应要求。</w:t>
      </w:r>
    </w:p>
    <w:p w14:paraId="50D71A01">
      <w:pPr>
        <w:pStyle w:val="106"/>
        <w:spacing w:before="240" w:after="240"/>
      </w:pPr>
      <w:bookmarkStart w:id="71" w:name="_Toc171299724"/>
      <w:bookmarkStart w:id="72" w:name="_Toc19474"/>
      <w:r>
        <w:rPr>
          <w:rFonts w:hint="eastAsia"/>
        </w:rPr>
        <w:t>4.7 治疗结果信息</w:t>
      </w:r>
      <w:bookmarkEnd w:id="71"/>
      <w:bookmarkEnd w:id="72"/>
    </w:p>
    <w:p w14:paraId="670D8502">
      <w:pPr>
        <w:pStyle w:val="24"/>
        <w:ind w:firstLine="0" w:firstLineChars="0"/>
      </w:pPr>
      <w:r>
        <w:rPr>
          <w:rFonts w:hint="eastAsia"/>
        </w:rPr>
        <w:t>4.7.1 可包括治疗效果评价、复发和并发症等。</w:t>
      </w:r>
      <w:bookmarkEnd w:id="58"/>
    </w:p>
    <w:p w14:paraId="0CB4861B">
      <w:pPr>
        <w:pStyle w:val="24"/>
        <w:ind w:firstLine="0" w:firstLineChars="0"/>
      </w:pPr>
      <w:r>
        <w:rPr>
          <w:rFonts w:hint="eastAsia"/>
        </w:rPr>
        <w:t>4.7.2 应遵循WS/T 305、WS/T 370和WS 372的相应要求。</w:t>
      </w:r>
    </w:p>
    <w:p w14:paraId="7895D411">
      <w:pPr>
        <w:pStyle w:val="106"/>
        <w:spacing w:before="240" w:after="240"/>
      </w:pPr>
      <w:bookmarkStart w:id="73" w:name="_Toc19588"/>
      <w:r>
        <w:rPr>
          <w:rFonts w:hint="eastAsia"/>
        </w:rPr>
        <w:t>4.8 出院随访信息</w:t>
      </w:r>
      <w:bookmarkEnd w:id="73"/>
    </w:p>
    <w:p w14:paraId="0EA32DBE">
      <w:pPr>
        <w:pStyle w:val="24"/>
        <w:ind w:firstLine="0" w:firstLineChars="0"/>
      </w:pPr>
      <w:r>
        <w:rPr>
          <w:rFonts w:hint="eastAsia"/>
        </w:rPr>
        <w:t>4.8.1 应包括</w:t>
      </w:r>
      <w:r>
        <w:t>出院后的治疗效果、病情变化和恢复情况</w:t>
      </w:r>
      <w:r>
        <w:rPr>
          <w:rFonts w:hint="eastAsia"/>
        </w:rPr>
        <w:t>等。</w:t>
      </w:r>
    </w:p>
    <w:p w14:paraId="3609684F">
      <w:pPr>
        <w:pStyle w:val="24"/>
        <w:ind w:firstLine="0" w:firstLineChars="0"/>
      </w:pPr>
      <w:r>
        <w:rPr>
          <w:rFonts w:hint="eastAsia"/>
        </w:rPr>
        <w:t>4.8.2 宜包括具体回院随访时间、频次、随访形式等。</w:t>
      </w:r>
    </w:p>
    <w:p w14:paraId="4A0DBD07">
      <w:pPr>
        <w:pStyle w:val="24"/>
        <w:adjustRightInd w:val="0"/>
        <w:snapToGrid w:val="0"/>
        <w:ind w:firstLine="0" w:firstLineChars="0"/>
      </w:pPr>
      <w:r>
        <w:rPr>
          <w:rFonts w:hint="eastAsia"/>
        </w:rPr>
        <w:t>4.8.3 应遵循WS/T 305、WS/T 370和WS 372的相应要求。</w:t>
      </w:r>
    </w:p>
    <w:p w14:paraId="2D19FE7F">
      <w:pPr>
        <w:pStyle w:val="106"/>
        <w:spacing w:before="240" w:after="240"/>
      </w:pPr>
      <w:bookmarkStart w:id="74" w:name="_Toc171299725"/>
      <w:bookmarkStart w:id="75" w:name="_Toc15210"/>
      <w:r>
        <w:rPr>
          <w:rFonts w:hint="eastAsia"/>
        </w:rPr>
        <w:t>5   数据采集</w:t>
      </w:r>
      <w:bookmarkEnd w:id="74"/>
      <w:r>
        <w:rPr>
          <w:rFonts w:hint="eastAsia"/>
        </w:rPr>
        <w:t>前应完成的准备工作</w:t>
      </w:r>
      <w:bookmarkEnd w:id="75"/>
    </w:p>
    <w:p w14:paraId="12553A4A">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数据采集前应完成的准备工作应包括但不限于以下内容：</w:t>
      </w:r>
    </w:p>
    <w:p w14:paraId="6AA9E892">
      <w:pPr>
        <w:widowControl/>
        <w:tabs>
          <w:tab w:val="center" w:pos="4201"/>
          <w:tab w:val="right" w:leader="dot" w:pos="9298"/>
        </w:tabs>
        <w:autoSpaceDE w:val="0"/>
        <w:autoSpaceDN w:val="0"/>
        <w:spacing w:before="240"/>
        <w:ind w:firstLine="420" w:firstLineChars="200"/>
        <w:rPr>
          <w:rFonts w:ascii="宋体"/>
          <w:kern w:val="0"/>
          <w:szCs w:val="20"/>
        </w:rPr>
      </w:pPr>
      <w:r>
        <w:rPr>
          <w:rFonts w:hint="eastAsia" w:ascii="宋体"/>
          <w:kern w:val="0"/>
          <w:szCs w:val="20"/>
        </w:rPr>
        <w:t>a) 签订协议：项目启动前，主导单位应与合作单位签订相关合作协议.</w:t>
      </w:r>
      <w:r>
        <w:rPr>
          <w:rFonts w:ascii="宋体"/>
          <w:kern w:val="0"/>
          <w:szCs w:val="20"/>
        </w:rPr>
        <w:t xml:space="preserve"> </w:t>
      </w:r>
    </w:p>
    <w:p w14:paraId="134C1204">
      <w:pPr>
        <w:widowControl/>
        <w:tabs>
          <w:tab w:val="center" w:pos="4201"/>
          <w:tab w:val="right" w:leader="dot" w:pos="9298"/>
        </w:tabs>
        <w:autoSpaceDE w:val="0"/>
        <w:autoSpaceDN w:val="0"/>
        <w:spacing w:before="240"/>
        <w:ind w:firstLine="420" w:firstLineChars="200"/>
        <w:rPr>
          <w:rFonts w:ascii="宋体"/>
          <w:kern w:val="0"/>
          <w:szCs w:val="20"/>
        </w:rPr>
      </w:pPr>
      <w:r>
        <w:rPr>
          <w:rFonts w:hint="eastAsia" w:ascii="宋体"/>
          <w:kern w:val="0"/>
          <w:szCs w:val="20"/>
        </w:rPr>
        <w:t>b) 伦理批件：所有参与单位均应获得伦理批准。</w:t>
      </w:r>
    </w:p>
    <w:p w14:paraId="685BE949">
      <w:pPr>
        <w:widowControl/>
        <w:tabs>
          <w:tab w:val="center" w:pos="4201"/>
          <w:tab w:val="right" w:leader="dot" w:pos="9298"/>
        </w:tabs>
        <w:autoSpaceDE w:val="0"/>
        <w:autoSpaceDN w:val="0"/>
        <w:spacing w:before="240"/>
        <w:ind w:firstLine="420" w:firstLineChars="200"/>
        <w:rPr>
          <w:rFonts w:ascii="宋体"/>
          <w:kern w:val="0"/>
          <w:szCs w:val="20"/>
        </w:rPr>
      </w:pPr>
      <w:r>
        <w:rPr>
          <w:rFonts w:hint="eastAsia" w:ascii="宋体"/>
          <w:kern w:val="0"/>
          <w:szCs w:val="20"/>
        </w:rPr>
        <w:t>c) 注册备案：所有相应的临床研究均应依规进行临床研究注册及备案。</w:t>
      </w:r>
    </w:p>
    <w:p w14:paraId="204653F1">
      <w:pPr>
        <w:widowControl/>
        <w:tabs>
          <w:tab w:val="center" w:pos="4201"/>
          <w:tab w:val="right" w:leader="dot" w:pos="9298"/>
        </w:tabs>
        <w:autoSpaceDE w:val="0"/>
        <w:autoSpaceDN w:val="0"/>
        <w:spacing w:before="240"/>
        <w:ind w:firstLine="420" w:firstLineChars="200"/>
        <w:rPr>
          <w:rFonts w:ascii="宋体"/>
          <w:kern w:val="0"/>
          <w:szCs w:val="20"/>
        </w:rPr>
      </w:pPr>
      <w:r>
        <w:rPr>
          <w:rFonts w:hint="eastAsia" w:ascii="宋体"/>
          <w:kern w:val="0"/>
          <w:szCs w:val="20"/>
        </w:rPr>
        <w:t>d) 人遗审批：</w:t>
      </w:r>
      <w:r>
        <w:rPr>
          <w:rFonts w:ascii="宋体"/>
          <w:kern w:val="0"/>
          <w:szCs w:val="20"/>
        </w:rPr>
        <w:t xml:space="preserve"> </w:t>
      </w:r>
      <w:r>
        <w:rPr>
          <w:rFonts w:hint="eastAsia" w:ascii="宋体"/>
          <w:kern w:val="0"/>
          <w:szCs w:val="20"/>
        </w:rPr>
        <w:t xml:space="preserve">涉及人类遗传资源的研究，应依法依规进行人类遗传资源审批。 </w:t>
      </w:r>
    </w:p>
    <w:bookmarkEnd w:id="59"/>
    <w:p w14:paraId="04896E43">
      <w:pPr>
        <w:pStyle w:val="106"/>
        <w:spacing w:before="240" w:after="240"/>
      </w:pPr>
      <w:bookmarkStart w:id="76" w:name="_Toc167241462"/>
      <w:bookmarkStart w:id="77" w:name="_Toc14264"/>
      <w:bookmarkStart w:id="78" w:name="_Toc171299726"/>
      <w:bookmarkStart w:id="79" w:name="_Hlk171299002"/>
      <w:r>
        <w:rPr>
          <w:rFonts w:hint="eastAsia"/>
        </w:rPr>
        <w:t>6   数据采集方法</w:t>
      </w:r>
      <w:bookmarkEnd w:id="76"/>
      <w:bookmarkEnd w:id="77"/>
      <w:bookmarkEnd w:id="78"/>
    </w:p>
    <w:bookmarkEnd w:id="79"/>
    <w:p w14:paraId="7AAA0350">
      <w:pPr>
        <w:pStyle w:val="106"/>
        <w:spacing w:before="240" w:after="240"/>
      </w:pPr>
      <w:bookmarkStart w:id="80" w:name="_Toc23229"/>
      <w:bookmarkStart w:id="81" w:name="_Toc171299727"/>
      <w:bookmarkStart w:id="82" w:name="_Hlk169233925"/>
      <w:r>
        <w:rPr>
          <w:rFonts w:hint="eastAsia"/>
        </w:rPr>
        <w:t>6.1 采集工具</w:t>
      </w:r>
      <w:bookmarkEnd w:id="80"/>
      <w:bookmarkEnd w:id="81"/>
    </w:p>
    <w:bookmarkEnd w:id="82"/>
    <w:p w14:paraId="674E1024">
      <w:pPr>
        <w:pStyle w:val="24"/>
        <w:spacing w:before="240"/>
        <w:ind w:firstLine="0" w:firstLineChars="0"/>
      </w:pPr>
      <w:r>
        <w:rPr>
          <w:rFonts w:hint="eastAsia"/>
        </w:rPr>
        <w:t>6.1.1 电子病历系统：应采用经过认证的电子病历系统。</w:t>
      </w:r>
    </w:p>
    <w:p w14:paraId="38CE2D7D">
      <w:pPr>
        <w:pStyle w:val="24"/>
        <w:spacing w:before="240"/>
        <w:ind w:firstLine="0" w:firstLineChars="0"/>
      </w:pPr>
      <w:r>
        <w:rPr>
          <w:rFonts w:hint="eastAsia"/>
        </w:rPr>
        <w:t>6.1.2 数据输入设备：包括计算机、平板电脑、移动设备等。</w:t>
      </w:r>
    </w:p>
    <w:p w14:paraId="58B3EA47">
      <w:pPr>
        <w:pStyle w:val="106"/>
        <w:spacing w:before="240" w:after="240"/>
      </w:pPr>
      <w:bookmarkStart w:id="83" w:name="_Toc171299728"/>
      <w:bookmarkStart w:id="84" w:name="_Toc4366"/>
      <w:r>
        <w:rPr>
          <w:rFonts w:hint="eastAsia"/>
        </w:rPr>
        <w:t>6.2 人员资质</w:t>
      </w:r>
      <w:bookmarkEnd w:id="83"/>
      <w:bookmarkEnd w:id="84"/>
    </w:p>
    <w:p w14:paraId="092F85C8">
      <w:pPr>
        <w:pStyle w:val="24"/>
        <w:spacing w:before="240"/>
        <w:ind w:firstLine="0" w:firstLineChars="0"/>
      </w:pPr>
      <w:r>
        <w:rPr>
          <w:rFonts w:hint="eastAsia"/>
        </w:rPr>
        <w:t>6.2.1 专业培训：应由具备相关资质且获得授权的工作人员进行数据采集操作，确保其熟悉电子病历系统的使用和银屑病的诊疗规范。</w:t>
      </w:r>
    </w:p>
    <w:p w14:paraId="7F2BF0EA">
      <w:pPr>
        <w:pStyle w:val="24"/>
        <w:spacing w:before="240"/>
        <w:ind w:firstLine="0" w:firstLineChars="0"/>
      </w:pPr>
      <w:r>
        <w:rPr>
          <w:rFonts w:hint="eastAsia"/>
        </w:rPr>
        <w:t>6.2.2 持续教育：宜至少每年一次进行专业培训和继续教育，确保工作人员掌握最新的诊疗技术和数据管理规范。</w:t>
      </w:r>
    </w:p>
    <w:p w14:paraId="62AD380A">
      <w:pPr>
        <w:pStyle w:val="106"/>
        <w:spacing w:before="240" w:after="240"/>
      </w:pPr>
      <w:bookmarkStart w:id="85" w:name="_Toc171299729"/>
      <w:bookmarkStart w:id="86" w:name="_Toc6766"/>
      <w:bookmarkStart w:id="87" w:name="_Toc167241463"/>
      <w:r>
        <w:rPr>
          <w:rFonts w:hint="eastAsia"/>
        </w:rPr>
        <w:t>7   数据采集流程</w:t>
      </w:r>
      <w:bookmarkEnd w:id="85"/>
      <w:bookmarkEnd w:id="86"/>
      <w:bookmarkEnd w:id="87"/>
    </w:p>
    <w:p w14:paraId="2A4BD30B">
      <w:pPr>
        <w:pStyle w:val="106"/>
        <w:spacing w:before="240" w:after="240"/>
      </w:pPr>
      <w:bookmarkStart w:id="88" w:name="_Toc171299730"/>
      <w:bookmarkStart w:id="89" w:name="_Toc6668"/>
      <w:bookmarkStart w:id="90" w:name="_Toc167241464"/>
      <w:bookmarkStart w:id="91" w:name="_Hlk167239995"/>
      <w:r>
        <w:rPr>
          <w:rFonts w:hint="eastAsia"/>
        </w:rPr>
        <w:t>7.1 登录电子病历系统</w:t>
      </w:r>
      <w:bookmarkEnd w:id="88"/>
      <w:bookmarkEnd w:id="89"/>
      <w:bookmarkEnd w:id="90"/>
    </w:p>
    <w:bookmarkEnd w:id="91"/>
    <w:p w14:paraId="39EC06B1">
      <w:pPr>
        <w:pStyle w:val="24"/>
        <w:spacing w:before="240" w:after="240"/>
        <w:ind w:firstLine="0" w:firstLineChars="0"/>
      </w:pPr>
      <w:r>
        <w:rPr>
          <w:rFonts w:hint="eastAsia"/>
        </w:rPr>
        <w:t>7.1.1 工作人员应使用指定的电子设备，并安装和配置电子录入系统软件。</w:t>
      </w:r>
    </w:p>
    <w:p w14:paraId="2EC988E5">
      <w:pPr>
        <w:pStyle w:val="24"/>
        <w:spacing w:before="240"/>
        <w:ind w:firstLine="0" w:firstLineChars="0"/>
      </w:pPr>
      <w:r>
        <w:rPr>
          <w:rFonts w:hint="eastAsia"/>
        </w:rPr>
        <w:t>7.1.2 工作人员应通过特定的用户名和密码，在电子设备上访问和操作电子录入系统，以记录、查询、修改和查看患者的病历信息。</w:t>
      </w:r>
    </w:p>
    <w:p w14:paraId="79A0C6CA">
      <w:pPr>
        <w:pStyle w:val="106"/>
        <w:spacing w:before="240" w:after="240"/>
      </w:pPr>
      <w:bookmarkStart w:id="92" w:name="_Toc171299731"/>
      <w:bookmarkStart w:id="93" w:name="_Toc9700"/>
      <w:r>
        <w:rPr>
          <w:rFonts w:hint="eastAsia"/>
        </w:rPr>
        <w:t>7.2 签署知情同意书</w:t>
      </w:r>
      <w:bookmarkEnd w:id="92"/>
      <w:bookmarkEnd w:id="93"/>
    </w:p>
    <w:p w14:paraId="27F7341D">
      <w:pPr>
        <w:pStyle w:val="24"/>
        <w:spacing w:before="240"/>
        <w:ind w:firstLine="0" w:firstLineChars="0"/>
      </w:pPr>
      <w:r>
        <w:rPr>
          <w:rFonts w:hint="eastAsia"/>
        </w:rPr>
        <w:t>7.2.1应在电子病历系统中创建专门的知情同意模块，涵盖病历资料的使用目的、范围、保护措施及患者权利等信息。</w:t>
      </w:r>
    </w:p>
    <w:p w14:paraId="5196F268">
      <w:pPr>
        <w:pStyle w:val="24"/>
        <w:spacing w:before="240"/>
        <w:ind w:firstLine="0" w:firstLineChars="0"/>
      </w:pPr>
      <w:r>
        <w:rPr>
          <w:rFonts w:hint="eastAsia"/>
        </w:rPr>
        <w:t>7.2.2 工作人员应向患者解释病历资料录入电子病历系统的用途、可能的共享范围以及安全保障措施。</w:t>
      </w:r>
    </w:p>
    <w:p w14:paraId="26DE70A0">
      <w:pPr>
        <w:pStyle w:val="24"/>
        <w:spacing w:before="240"/>
        <w:ind w:firstLine="0" w:firstLineChars="0"/>
      </w:pPr>
      <w:r>
        <w:rPr>
          <w:rFonts w:hint="eastAsia"/>
        </w:rPr>
        <w:t>7.2.3 应在患者了解相关内容过后，完成知情同意书的签署。</w:t>
      </w:r>
    </w:p>
    <w:p w14:paraId="3E9372BB">
      <w:pPr>
        <w:pStyle w:val="106"/>
        <w:spacing w:before="240" w:after="240"/>
      </w:pPr>
      <w:bookmarkStart w:id="94" w:name="_Toc171299732"/>
      <w:bookmarkStart w:id="95" w:name="_Toc2161"/>
      <w:r>
        <w:rPr>
          <w:rFonts w:hint="eastAsia"/>
        </w:rPr>
        <w:t>7.3 录入病历资料</w:t>
      </w:r>
      <w:bookmarkEnd w:id="94"/>
      <w:bookmarkEnd w:id="95"/>
    </w:p>
    <w:p w14:paraId="151A61F5">
      <w:pPr>
        <w:pStyle w:val="24"/>
        <w:spacing w:before="240"/>
        <w:ind w:firstLine="0" w:firstLineChars="0"/>
      </w:pPr>
      <w:r>
        <w:rPr>
          <w:rFonts w:hint="eastAsia"/>
        </w:rPr>
        <w:t>7.3.1 在电子病历系统主界面上，工作人员应逐项录入患者的病历资料。</w:t>
      </w:r>
    </w:p>
    <w:p w14:paraId="413A38DD">
      <w:pPr>
        <w:pStyle w:val="24"/>
        <w:spacing w:before="240"/>
        <w:ind w:firstLine="0" w:firstLineChars="0"/>
      </w:pPr>
      <w:r>
        <w:rPr>
          <w:rFonts w:hint="eastAsia"/>
        </w:rPr>
        <w:t>7.3.2 数据采集应在患者就诊24小时内完成信息采集，原则上不可有空项，宜由质检员检验数据的前后逻辑关系及准确性。</w:t>
      </w:r>
    </w:p>
    <w:p w14:paraId="302CB8CA">
      <w:pPr>
        <w:pStyle w:val="106"/>
        <w:spacing w:before="240" w:after="240"/>
      </w:pPr>
      <w:bookmarkStart w:id="96" w:name="_Toc171299733"/>
      <w:bookmarkStart w:id="97" w:name="_Toc7164"/>
      <w:r>
        <w:rPr>
          <w:rFonts w:hint="eastAsia"/>
        </w:rPr>
        <w:t>7.4 数据审核</w:t>
      </w:r>
      <w:bookmarkEnd w:id="96"/>
      <w:bookmarkEnd w:id="97"/>
    </w:p>
    <w:p w14:paraId="3EB9ED7B">
      <w:pPr>
        <w:pStyle w:val="24"/>
        <w:spacing w:before="240"/>
      </w:pPr>
      <w:r>
        <w:rPr>
          <w:rFonts w:hint="eastAsia"/>
        </w:rPr>
        <w:t>应对疾病相关数据进行质量控制和评估，包括但不限于以下内容：</w:t>
      </w:r>
    </w:p>
    <w:p w14:paraId="7221F7D7">
      <w:pPr>
        <w:pStyle w:val="24"/>
        <w:spacing w:before="240"/>
      </w:pPr>
      <w:r>
        <w:rPr>
          <w:rFonts w:hint="eastAsia"/>
        </w:rPr>
        <w:t>a) 数据来源审查：对数据来源进行审查，确保数据来源可靠。数据接收过程应有相应文件记录，以确认数据来源。</w:t>
      </w:r>
    </w:p>
    <w:p w14:paraId="1C2DDD6E">
      <w:pPr>
        <w:pStyle w:val="24"/>
        <w:spacing w:before="240"/>
      </w:pPr>
      <w:r>
        <w:rPr>
          <w:rFonts w:hint="eastAsia"/>
        </w:rPr>
        <w:t>b) 数据完整性审查：检查数据中某个字段信息的记录是否存在缺失的情况，包括所有必要的变量和信息是否都已收集。</w:t>
      </w:r>
    </w:p>
    <w:p w14:paraId="26949536">
      <w:pPr>
        <w:pStyle w:val="24"/>
        <w:spacing w:before="240"/>
      </w:pPr>
      <w:r>
        <w:rPr>
          <w:rFonts w:hint="eastAsia"/>
        </w:rPr>
        <w:t>c) 数据准确性审查：对数据进行核对，确保数据记录的信息不存在错误、虚假或误导性信息，包括存在乱码、与实际情况存在较大差异的异常/极端数据值等。</w:t>
      </w:r>
    </w:p>
    <w:p w14:paraId="2D2D00B3">
      <w:pPr>
        <w:pStyle w:val="24"/>
        <w:spacing w:before="240"/>
      </w:pPr>
      <w:r>
        <w:rPr>
          <w:rFonts w:hint="eastAsia"/>
        </w:rPr>
        <w:t xml:space="preserve">d) 数据可靠性审查：评估数据的可靠性，包括数据的来源、采集方法和分析过程等。提供的数据如检查化验结果应具有专业医疗结构出具的证明文件或报告。 </w:t>
      </w:r>
    </w:p>
    <w:p w14:paraId="2598AC5E">
      <w:pPr>
        <w:pStyle w:val="24"/>
        <w:spacing w:before="240"/>
        <w:ind w:firstLine="0" w:firstLineChars="0"/>
      </w:pPr>
      <w:r>
        <w:rPr>
          <w:rFonts w:hint="eastAsia"/>
        </w:rPr>
        <w:t>7.5 数据修正的管理</w:t>
      </w:r>
    </w:p>
    <w:p w14:paraId="36952A79">
      <w:pPr>
        <w:pStyle w:val="24"/>
        <w:adjustRightInd w:val="0"/>
        <w:snapToGrid w:val="0"/>
        <w:spacing w:before="240"/>
      </w:pPr>
      <w:r>
        <w:rPr>
          <w:rFonts w:hint="eastAsia"/>
        </w:rPr>
        <w:t>应对审核或监测中发现的问题数据进行及时修正，包括但不限于以下内容：</w:t>
      </w:r>
    </w:p>
    <w:p w14:paraId="5073F8C2">
      <w:pPr>
        <w:pStyle w:val="24"/>
        <w:numPr>
          <w:ilvl w:val="1"/>
          <w:numId w:val="19"/>
        </w:numPr>
        <w:adjustRightInd w:val="0"/>
        <w:snapToGrid w:val="0"/>
        <w:spacing w:before="240"/>
        <w:ind w:firstLineChars="0"/>
      </w:pPr>
      <w:r>
        <w:rPr>
          <w:rFonts w:hint="eastAsia"/>
        </w:rPr>
        <w:t>病史信息不能获取：如无法直接从患者处获得信息，应尝试从其他医疗机构获取之前的医疗记录包括治疗记录或者影像学资料等。缺乏正式医疗记录情况下，患者的自我报告可作为病史信息的补充。</w:t>
      </w:r>
    </w:p>
    <w:p w14:paraId="416D47F8">
      <w:pPr>
        <w:pStyle w:val="24"/>
        <w:numPr>
          <w:ilvl w:val="1"/>
          <w:numId w:val="19"/>
        </w:numPr>
        <w:adjustRightInd w:val="0"/>
        <w:snapToGrid w:val="0"/>
        <w:spacing w:before="240" w:line="240" w:lineRule="auto"/>
        <w:ind w:left="840" w:hanging="420" w:firstLineChars="0"/>
      </w:pPr>
      <w:r>
        <w:rPr>
          <w:rFonts w:hint="eastAsia"/>
        </w:rPr>
        <w:t>数据录入缺失或重复：应检查缺失数据并及时补充，查找并删除重复录入的数据。</w:t>
      </w:r>
    </w:p>
    <w:p w14:paraId="0F0CF528">
      <w:pPr>
        <w:pStyle w:val="24"/>
        <w:numPr>
          <w:ilvl w:val="1"/>
          <w:numId w:val="19"/>
        </w:numPr>
        <w:adjustRightInd w:val="0"/>
        <w:snapToGrid w:val="0"/>
        <w:spacing w:before="240"/>
        <w:ind w:firstLineChars="0"/>
      </w:pPr>
      <w:r>
        <w:rPr>
          <w:rFonts w:hint="eastAsia"/>
        </w:rPr>
        <w:t>数据录入不准确：数据审核后问题数据应由质检员形成电子文档并发送给数据录入单位的工作人员。工作人员对问题数据再次核查，如无疑问以文档形式进行答复并记录，如确有疑问应在72h内对数据进行修改并保留完整的修改记录。</w:t>
      </w:r>
    </w:p>
    <w:p w14:paraId="0BF363A7">
      <w:pPr>
        <w:pStyle w:val="106"/>
        <w:spacing w:before="240" w:after="240"/>
      </w:pPr>
      <w:bookmarkStart w:id="98" w:name="_Toc171299734"/>
      <w:bookmarkStart w:id="99" w:name="_Toc1908"/>
      <w:r>
        <w:rPr>
          <w:rFonts w:hint="eastAsia"/>
        </w:rPr>
        <w:t>7.6 数据归档</w:t>
      </w:r>
      <w:bookmarkEnd w:id="98"/>
      <w:bookmarkEnd w:id="99"/>
    </w:p>
    <w:p w14:paraId="1342BFD5">
      <w:pPr>
        <w:pStyle w:val="24"/>
        <w:spacing w:before="240"/>
      </w:pPr>
      <w:r>
        <w:rPr>
          <w:rFonts w:hint="eastAsia"/>
        </w:rPr>
        <w:t>对疾病的相关数据应按照一定的规则和标准进行整理、存储和管理。主要包括以下方面：</w:t>
      </w:r>
    </w:p>
    <w:p w14:paraId="037E0680">
      <w:pPr>
        <w:pStyle w:val="24"/>
        <w:spacing w:before="240"/>
      </w:pPr>
      <w:r>
        <w:rPr>
          <w:rFonts w:hint="eastAsia"/>
        </w:rPr>
        <w:t>a) 数据整理：应对收集到的专病数据进行清洗、转换和整理，使其符合研究目的和分析要求。如，将数据按照统一的格式和标准进行整理，以便于后续的数据分析和可视化。</w:t>
      </w:r>
    </w:p>
    <w:p w14:paraId="14CC0112">
      <w:pPr>
        <w:pStyle w:val="24"/>
        <w:spacing w:before="240"/>
      </w:pPr>
      <w:r>
        <w:rPr>
          <w:rFonts w:hint="eastAsia"/>
        </w:rPr>
        <w:t>b) 数据存储：将整理好的专病数据上传、存储在合适的数据库或存储系统中，如关系型数据库、非关系型数据库、云存储服务等。数据存储应符合网络安全等级保护三级的要求。</w:t>
      </w:r>
    </w:p>
    <w:p w14:paraId="7151CC38">
      <w:pPr>
        <w:pStyle w:val="24"/>
        <w:spacing w:before="240"/>
      </w:pPr>
      <w:r>
        <w:rPr>
          <w:rFonts w:hint="eastAsia"/>
        </w:rPr>
        <w:t>c) 数据管理：对存储在数据库或存储系统中的专病数据进行管理，包括数据的添加、删除、修改、查询等操作。数据管理员应有明确的工作责权范围及分级授权。数据员调阅和下载数据应在系统中有明确历史记录。</w:t>
      </w:r>
    </w:p>
    <w:p w14:paraId="6A14763E">
      <w:pPr>
        <w:pStyle w:val="24"/>
        <w:spacing w:before="240"/>
      </w:pPr>
      <w:r>
        <w:rPr>
          <w:rFonts w:hint="eastAsia"/>
        </w:rPr>
        <w:t xml:space="preserve">d) 数据访问：数据访问人员应有明确的权限范围且不能私自下载外传数据。  </w:t>
      </w:r>
    </w:p>
    <w:p w14:paraId="2E090E5A">
      <w:pPr>
        <w:pStyle w:val="106"/>
        <w:spacing w:before="240" w:after="240"/>
      </w:pPr>
      <w:bookmarkStart w:id="100" w:name="_Toc2993"/>
      <w:bookmarkStart w:id="101" w:name="_Toc171299735"/>
      <w:r>
        <w:rPr>
          <w:rFonts w:hint="eastAsia"/>
        </w:rPr>
        <w:t>8   数据采集质量要求</w:t>
      </w:r>
      <w:bookmarkEnd w:id="100"/>
      <w:bookmarkEnd w:id="101"/>
    </w:p>
    <w:p w14:paraId="2C7866C4">
      <w:pPr>
        <w:pStyle w:val="24"/>
        <w:spacing w:before="240"/>
        <w:ind w:firstLine="0" w:firstLineChars="0"/>
      </w:pPr>
      <w:r>
        <w:rPr>
          <w:rFonts w:hint="eastAsia"/>
        </w:rPr>
        <w:t>8.1 诊疗数据采集应确保数据的完整性、准确性、及时性和保密性。</w:t>
      </w:r>
    </w:p>
    <w:p w14:paraId="220B3F67">
      <w:pPr>
        <w:pStyle w:val="24"/>
        <w:spacing w:before="240"/>
        <w:ind w:firstLine="0" w:firstLineChars="0"/>
      </w:pPr>
      <w:r>
        <w:rPr>
          <w:rFonts w:hint="eastAsia"/>
        </w:rPr>
        <w:t>8.2 应保留操作日志至少三年，以便在需要时能够追溯相应过程。</w:t>
      </w:r>
    </w:p>
    <w:p w14:paraId="248C0FDC">
      <w:pPr>
        <w:pStyle w:val="24"/>
        <w:spacing w:before="240"/>
        <w:ind w:firstLine="0" w:firstLineChars="0"/>
      </w:pPr>
      <w:r>
        <w:rPr>
          <w:rFonts w:hint="eastAsia"/>
        </w:rPr>
        <w:t>8.3 质检员应按照规定的时间间隔定期进行检查，对相关内容进行检验与验收。</w:t>
      </w:r>
    </w:p>
    <w:p w14:paraId="2DB22960">
      <w:pPr>
        <w:pStyle w:val="24"/>
        <w:spacing w:before="240"/>
        <w:ind w:firstLine="0" w:firstLineChars="0"/>
      </w:pPr>
      <w:r>
        <w:rPr>
          <w:rFonts w:hint="eastAsia"/>
        </w:rPr>
        <w:t>8.4 质检员的常规检查，宜为每周一次，综合性大检查宜为每半年一次。</w:t>
      </w:r>
    </w:p>
    <w:p w14:paraId="638A92EB">
      <w:pPr>
        <w:pStyle w:val="24"/>
        <w:spacing w:before="240"/>
        <w:ind w:firstLine="105" w:firstLineChars="50"/>
      </w:pPr>
      <w:r>
        <w:rPr>
          <w:rFonts w:hint="eastAsia"/>
        </w:rPr>
        <w:t>确保数据的完整性、有效性和正确性。数据核查包括但不限于以下内容：</w:t>
      </w:r>
    </w:p>
    <w:p w14:paraId="1EA07956">
      <w:pPr>
        <w:pStyle w:val="24"/>
        <w:numPr>
          <w:ilvl w:val="0"/>
          <w:numId w:val="20"/>
        </w:numPr>
        <w:spacing w:before="240"/>
        <w:ind w:hanging="440" w:firstLineChars="0"/>
      </w:pPr>
      <w:r>
        <w:rPr>
          <w:rFonts w:hint="eastAsia"/>
        </w:rPr>
        <w:t>应确定原始数据被正确、完整地录入到数据库中。</w:t>
      </w:r>
    </w:p>
    <w:p w14:paraId="2C4942AA">
      <w:pPr>
        <w:pStyle w:val="24"/>
        <w:numPr>
          <w:ilvl w:val="0"/>
          <w:numId w:val="20"/>
        </w:numPr>
        <w:spacing w:before="240"/>
        <w:ind w:firstLineChars="0"/>
      </w:pPr>
      <w:r>
        <w:rPr>
          <w:rFonts w:hint="eastAsia"/>
        </w:rPr>
        <w:t>应通过相应事件之间的逻辑关联来核查可能存在的数据错误。</w:t>
      </w:r>
    </w:p>
    <w:p w14:paraId="625EF6C4">
      <w:pPr>
        <w:pStyle w:val="24"/>
        <w:numPr>
          <w:ilvl w:val="0"/>
          <w:numId w:val="20"/>
        </w:numPr>
        <w:spacing w:before="240"/>
        <w:ind w:hanging="440" w:firstLineChars="0"/>
      </w:pPr>
      <w:r>
        <w:rPr>
          <w:rFonts w:hint="eastAsia"/>
        </w:rPr>
        <w:t>应通过识别生理上不可能出现或者在银屑病患病人群的正常变化范围之外的极端数值。</w:t>
      </w:r>
    </w:p>
    <w:p w14:paraId="2E9FA418">
      <w:pPr>
        <w:pStyle w:val="106"/>
        <w:spacing w:before="240" w:after="240"/>
      </w:pPr>
      <w:bookmarkStart w:id="102" w:name="_Toc16446"/>
      <w:r>
        <w:rPr>
          <w:rFonts w:hint="eastAsia"/>
        </w:rPr>
        <w:t>9   敏感数据处理要求</w:t>
      </w:r>
      <w:bookmarkEnd w:id="102"/>
    </w:p>
    <w:p w14:paraId="49CFB27E">
      <w:pPr>
        <w:pStyle w:val="24"/>
        <w:adjustRightInd w:val="0"/>
        <w:snapToGrid w:val="0"/>
        <w:spacing w:line="480" w:lineRule="auto"/>
        <w:ind w:firstLine="0" w:firstLineChars="0"/>
      </w:pPr>
      <w:r>
        <w:rPr>
          <w:rFonts w:hint="eastAsia"/>
        </w:rPr>
        <w:t>9.1 敏感数据识别规则：应对收集的敏感数据如联系方式的特定字段进行识别。</w:t>
      </w:r>
    </w:p>
    <w:p w14:paraId="653BB5C0">
      <w:pPr>
        <w:pStyle w:val="24"/>
        <w:adjustRightInd w:val="0"/>
        <w:snapToGrid w:val="0"/>
        <w:spacing w:line="480" w:lineRule="auto"/>
        <w:ind w:firstLine="0" w:firstLineChars="0"/>
      </w:pPr>
      <w:r>
        <w:rPr>
          <w:rFonts w:hint="eastAsia"/>
        </w:rPr>
        <w:t>9.2 数据脱敏处理：应对敏感数据通过替换、遮蔽或加密敏感数据的方式进行脱敏，防止暴露个人隐私。</w:t>
      </w:r>
    </w:p>
    <w:p w14:paraId="609BA0A7">
      <w:pPr>
        <w:pStyle w:val="24"/>
        <w:adjustRightInd w:val="0"/>
        <w:snapToGrid w:val="0"/>
        <w:spacing w:line="480" w:lineRule="auto"/>
        <w:ind w:firstLine="0" w:firstLineChars="0"/>
      </w:pPr>
      <w:r>
        <w:rPr>
          <w:rFonts w:hint="eastAsia"/>
        </w:rPr>
        <w:t>9.3 数据访问认证和权限控制：应对数据处理或使用者设置分级权限控制、访问认证等，规范数据整理、使用和销毁过程的痕迹管理。</w:t>
      </w:r>
    </w:p>
    <w:p w14:paraId="118F4223">
      <w:pPr>
        <w:pStyle w:val="24"/>
        <w:spacing w:before="240"/>
      </w:pPr>
    </w:p>
    <w:p w14:paraId="0BC7B055">
      <w:pPr>
        <w:pStyle w:val="24"/>
        <w:sectPr>
          <w:pgSz w:w="11906" w:h="16838"/>
          <w:pgMar w:top="567" w:right="1135" w:bottom="1135" w:left="1418" w:header="1418" w:footer="1135" w:gutter="0"/>
          <w:cols w:space="720" w:num="1"/>
          <w:formProt w:val="0"/>
          <w:docGrid w:linePitch="312" w:charSpace="0"/>
        </w:sectPr>
      </w:pPr>
    </w:p>
    <w:p w14:paraId="4B185891">
      <w:pPr>
        <w:pStyle w:val="139"/>
      </w:pPr>
      <w:bookmarkStart w:id="103" w:name="_Toc147640890"/>
      <w:bookmarkStart w:id="104" w:name="_Toc167241478"/>
      <w:bookmarkStart w:id="105" w:name="_Toc171299736"/>
      <w:bookmarkStart w:id="106" w:name="BKCKWX"/>
      <w:bookmarkStart w:id="107" w:name="_Toc24375"/>
      <w:r>
        <w:rPr>
          <w:rFonts w:hint="eastAsia"/>
        </w:rPr>
        <w:t>参</w:t>
      </w:r>
      <w:r>
        <w:rPr>
          <w:rFonts w:hint="eastAsia" w:ascii="MS Mincho" w:hAnsi="MS Mincho" w:eastAsia="MS Mincho" w:cs="MS Mincho"/>
        </w:rPr>
        <w:t> </w:t>
      </w:r>
      <w:r>
        <w:rPr>
          <w:rFonts w:hint="eastAsia"/>
        </w:rPr>
        <w:t>考</w:t>
      </w:r>
      <w:r>
        <w:rPr>
          <w:rFonts w:hint="eastAsia" w:ascii="MS Mincho" w:hAnsi="MS Mincho" w:eastAsia="MS Mincho" w:cs="MS Mincho"/>
        </w:rPr>
        <w:t> </w:t>
      </w:r>
      <w:r>
        <w:rPr>
          <w:rFonts w:hint="eastAsia"/>
        </w:rPr>
        <w:t>文</w:t>
      </w:r>
      <w:r>
        <w:rPr>
          <w:rFonts w:hint="eastAsia" w:ascii="MS Mincho" w:hAnsi="MS Mincho" w:eastAsia="MS Mincho" w:cs="MS Mincho"/>
        </w:rPr>
        <w:t> </w:t>
      </w:r>
      <w:r>
        <w:rPr>
          <w:rFonts w:hint="eastAsia"/>
        </w:rPr>
        <w:t>献</w:t>
      </w:r>
      <w:bookmarkEnd w:id="103"/>
      <w:bookmarkEnd w:id="104"/>
      <w:bookmarkEnd w:id="105"/>
      <w:bookmarkEnd w:id="106"/>
      <w:bookmarkEnd w:id="107"/>
    </w:p>
    <w:p w14:paraId="000A8028">
      <w:pPr>
        <w:tabs>
          <w:tab w:val="left" w:pos="1339"/>
        </w:tabs>
        <w:autoSpaceDE w:val="0"/>
        <w:autoSpaceDN w:val="0"/>
        <w:spacing w:before="43"/>
        <w:ind w:left="15" w:leftChars="0" w:hanging="15" w:hangingChars="8"/>
        <w:rPr>
          <w:rFonts w:hint="eastAsia" w:ascii="宋体" w:hAnsi="宋体" w:cs="宋体"/>
          <w:spacing w:val="-1"/>
          <w:w w:val="95"/>
          <w:kern w:val="0"/>
          <w:szCs w:val="22"/>
          <w:highlight w:val="none"/>
        </w:rPr>
      </w:pPr>
      <w:r>
        <w:rPr>
          <w:rFonts w:hint="eastAsia" w:ascii="宋体" w:hAnsi="宋体" w:cs="宋体"/>
          <w:spacing w:val="-1"/>
          <w:w w:val="95"/>
          <w:kern w:val="0"/>
          <w:szCs w:val="22"/>
        </w:rPr>
        <w:t>[</w:t>
      </w:r>
      <w:r>
        <w:rPr>
          <w:rFonts w:ascii="宋体" w:hAnsi="宋体" w:cs="宋体"/>
          <w:spacing w:val="-1"/>
          <w:w w:val="95"/>
          <w:kern w:val="0"/>
          <w:szCs w:val="22"/>
        </w:rPr>
        <w:t xml:space="preserve">1] </w:t>
      </w:r>
      <w:r>
        <w:rPr>
          <w:rFonts w:hint="eastAsia" w:ascii="宋体" w:hAnsi="宋体" w:cs="宋体"/>
          <w:spacing w:val="-1"/>
          <w:w w:val="95"/>
          <w:kern w:val="0"/>
          <w:szCs w:val="22"/>
          <w:highlight w:val="none"/>
        </w:rPr>
        <w:t>中华医学会皮肤性病学分会银屑病专业委员会</w:t>
      </w:r>
      <w:r>
        <w:rPr>
          <w:rFonts w:ascii="宋体" w:hAnsi="宋体" w:cs="宋体"/>
          <w:spacing w:val="-1"/>
          <w:w w:val="95"/>
          <w:kern w:val="0"/>
          <w:szCs w:val="22"/>
          <w:highlight w:val="none"/>
        </w:rPr>
        <w:t xml:space="preserve">. 中国银屑病诊疗指南（2023版）[J]. 中华皮肤科杂志,2023,56(7):573-625. </w:t>
      </w:r>
    </w:p>
    <w:p w14:paraId="4196F4C9">
      <w:pPr>
        <w:tabs>
          <w:tab w:val="left" w:pos="1339"/>
        </w:tabs>
        <w:autoSpaceDE w:val="0"/>
        <w:autoSpaceDN w:val="0"/>
        <w:spacing w:before="43"/>
        <w:ind w:left="15" w:leftChars="0" w:hanging="15" w:hangingChars="8"/>
        <w:rPr>
          <w:rFonts w:hint="eastAsia" w:ascii="宋体" w:hAnsi="宋体" w:cs="宋体"/>
          <w:spacing w:val="-1"/>
          <w:w w:val="95"/>
          <w:kern w:val="0"/>
          <w:szCs w:val="21"/>
          <w:highlight w:val="none"/>
        </w:rPr>
      </w:pPr>
      <w:r>
        <w:rPr>
          <w:rFonts w:hint="eastAsia" w:ascii="宋体" w:hAnsi="宋体" w:cs="宋体"/>
          <w:spacing w:val="-1"/>
          <w:w w:val="95"/>
          <w:kern w:val="0"/>
          <w:szCs w:val="21"/>
          <w:highlight w:val="none"/>
        </w:rPr>
        <w:t xml:space="preserve">[2] 中华医学会皮肤性病学分会银屑病专业委员会.银屑病生物制剂达标治疗专家共识[J]. 中华皮肤科杂志,2023,56(3):191-203. </w:t>
      </w:r>
    </w:p>
    <w:p w14:paraId="23AB85D5">
      <w:pPr>
        <w:tabs>
          <w:tab w:val="left" w:pos="1339"/>
        </w:tabs>
        <w:autoSpaceDE w:val="0"/>
        <w:autoSpaceDN w:val="0"/>
        <w:spacing w:before="43"/>
        <w:ind w:left="15" w:leftChars="0" w:hanging="15" w:hangingChars="8"/>
        <w:rPr>
          <w:rFonts w:hint="eastAsia" w:ascii="宋体" w:hAnsi="宋体" w:cs="宋体"/>
          <w:spacing w:val="-1"/>
          <w:w w:val="95"/>
          <w:kern w:val="0"/>
          <w:szCs w:val="21"/>
          <w:highlight w:val="none"/>
        </w:rPr>
      </w:pPr>
      <w:r>
        <w:rPr>
          <w:rFonts w:hint="eastAsia" w:ascii="宋体" w:hAnsi="宋体" w:cs="宋体"/>
          <w:spacing w:val="-1"/>
          <w:w w:val="95"/>
          <w:kern w:val="0"/>
          <w:szCs w:val="21"/>
          <w:highlight w:val="none"/>
        </w:rPr>
        <w:t>[3] Gossec L, Kerschbaumer A, Ferreira RJO,et al. EULAR recommendations for the management of psoriatic arthritis with pharmacological therapies: 2023 update. Ann Rheum Dis. 2024,83(6):706-719. </w:t>
      </w:r>
    </w:p>
    <w:p w14:paraId="0AEA17C5">
      <w:pPr>
        <w:tabs>
          <w:tab w:val="left" w:pos="1339"/>
        </w:tabs>
        <w:autoSpaceDE w:val="0"/>
        <w:autoSpaceDN w:val="0"/>
        <w:spacing w:before="43"/>
        <w:ind w:left="15" w:leftChars="0" w:hanging="15" w:hangingChars="8"/>
        <w:rPr>
          <w:rFonts w:hint="eastAsia" w:ascii="宋体" w:hAnsi="宋体" w:cs="宋体"/>
          <w:spacing w:val="-1"/>
          <w:w w:val="95"/>
          <w:kern w:val="0"/>
          <w:szCs w:val="21"/>
          <w:highlight w:val="none"/>
        </w:rPr>
      </w:pPr>
      <w:r>
        <w:rPr>
          <w:rFonts w:hint="eastAsia" w:ascii="宋体" w:hAnsi="宋体" w:cs="宋体"/>
          <w:spacing w:val="-1"/>
          <w:w w:val="95"/>
          <w:kern w:val="0"/>
          <w:szCs w:val="21"/>
          <w:highlight w:val="none"/>
        </w:rPr>
        <w:t>[4]</w:t>
      </w:r>
      <w:r>
        <w:rPr>
          <w:rFonts w:hint="eastAsia" w:ascii="宋体" w:hAnsi="宋体" w:cs="Segoe UI"/>
          <w:color w:val="212121"/>
          <w:szCs w:val="21"/>
          <w:highlight w:val="none"/>
          <w:shd w:val="clear" w:color="auto" w:fill="FFFFFF"/>
        </w:rPr>
        <w:t xml:space="preserve"> </w:t>
      </w:r>
      <w:r>
        <w:rPr>
          <w:rFonts w:hint="eastAsia" w:ascii="宋体" w:hAnsi="宋体" w:cs="宋体"/>
          <w:spacing w:val="-1"/>
          <w:w w:val="95"/>
          <w:kern w:val="0"/>
          <w:szCs w:val="21"/>
          <w:highlight w:val="none"/>
        </w:rPr>
        <w:t>Choon SE, Foley PA, Asawanonda P,et al. Asia-Pacific consensus recommendations on the management of generalized pustular psoriasis. J Dermatol. 2024,10.(Epub ahead of print)</w:t>
      </w:r>
    </w:p>
    <w:p w14:paraId="2891BE15">
      <w:pPr>
        <w:tabs>
          <w:tab w:val="left" w:pos="1339"/>
        </w:tabs>
        <w:autoSpaceDE w:val="0"/>
        <w:autoSpaceDN w:val="0"/>
        <w:spacing w:before="43"/>
        <w:ind w:left="15" w:leftChars="0" w:hanging="15" w:hangingChars="8"/>
        <w:rPr>
          <w:rFonts w:hint="eastAsia" w:ascii="宋体" w:hAnsi="宋体" w:cs="宋体"/>
          <w:spacing w:val="-1"/>
          <w:w w:val="95"/>
          <w:kern w:val="0"/>
          <w:szCs w:val="21"/>
          <w:highlight w:val="none"/>
        </w:rPr>
      </w:pPr>
      <w:r>
        <w:rPr>
          <w:rFonts w:hint="eastAsia" w:ascii="宋体" w:hAnsi="宋体" w:cs="宋体"/>
          <w:spacing w:val="-1"/>
          <w:w w:val="95"/>
          <w:kern w:val="0"/>
          <w:szCs w:val="21"/>
          <w:highlight w:val="none"/>
        </w:rPr>
        <w:t>[5]</w:t>
      </w:r>
      <w:r>
        <w:rPr>
          <w:rFonts w:hint="eastAsia" w:ascii="宋体" w:hAnsi="宋体" w:cs="Segoe UI"/>
          <w:color w:val="212121"/>
          <w:szCs w:val="21"/>
          <w:highlight w:val="none"/>
          <w:shd w:val="clear" w:color="auto" w:fill="FFFFFF"/>
        </w:rPr>
        <w:t xml:space="preserve"> </w:t>
      </w:r>
      <w:r>
        <w:rPr>
          <w:rFonts w:hint="eastAsia" w:ascii="宋体" w:hAnsi="宋体" w:cs="宋体"/>
          <w:spacing w:val="-1"/>
          <w:w w:val="95"/>
          <w:kern w:val="0"/>
          <w:szCs w:val="21"/>
          <w:highlight w:val="none"/>
        </w:rPr>
        <w:t>James WA, Rose</w:t>
      </w:r>
      <w:bookmarkStart w:id="108" w:name="_GoBack"/>
      <w:bookmarkEnd w:id="108"/>
      <w:r>
        <w:rPr>
          <w:rFonts w:hint="eastAsia" w:ascii="宋体" w:hAnsi="宋体" w:cs="宋体"/>
          <w:spacing w:val="-1"/>
          <w:w w:val="95"/>
          <w:kern w:val="0"/>
          <w:szCs w:val="21"/>
          <w:highlight w:val="none"/>
        </w:rPr>
        <w:t>nberg AL, Wu JJ, Hsu S, et al.Full Guidelines-From the Medical Board of the National Psoriasis Foundation: Perioperative management of systemic immunomodulatory agents in patients with psoriasis and psoriatic arthritis. J Am Acad Dermatol. 2024,91(2):251.e1-251.</w:t>
      </w:r>
    </w:p>
    <w:p w14:paraId="4195EC05">
      <w:pPr>
        <w:tabs>
          <w:tab w:val="left" w:pos="1339"/>
        </w:tabs>
        <w:autoSpaceDE w:val="0"/>
        <w:autoSpaceDN w:val="0"/>
        <w:spacing w:before="43"/>
        <w:ind w:left="15" w:leftChars="0" w:hanging="15" w:hangingChars="8"/>
        <w:rPr>
          <w:rFonts w:hint="eastAsia" w:ascii="宋体" w:hAnsi="宋体" w:cs="宋体"/>
          <w:spacing w:val="-1"/>
          <w:w w:val="95"/>
          <w:kern w:val="0"/>
          <w:szCs w:val="21"/>
          <w:highlight w:val="none"/>
        </w:rPr>
      </w:pPr>
      <w:r>
        <w:rPr>
          <w:rFonts w:hint="eastAsia" w:ascii="宋体" w:hAnsi="宋体" w:cs="宋体"/>
          <w:spacing w:val="-1"/>
          <w:w w:val="95"/>
          <w:kern w:val="0"/>
          <w:szCs w:val="21"/>
          <w:highlight w:val="none"/>
        </w:rPr>
        <w:t>[6]</w:t>
      </w:r>
      <w:r>
        <w:rPr>
          <w:rFonts w:hint="eastAsia" w:ascii="宋体" w:hAnsi="宋体" w:cs="Segoe UI"/>
          <w:color w:val="212121"/>
          <w:szCs w:val="21"/>
          <w:highlight w:val="none"/>
          <w:shd w:val="clear" w:color="auto" w:fill="FFFFFF"/>
        </w:rPr>
        <w:t xml:space="preserve"> </w:t>
      </w:r>
      <w:r>
        <w:rPr>
          <w:rFonts w:hint="eastAsia" w:ascii="宋体" w:hAnsi="宋体" w:cs="宋体"/>
          <w:spacing w:val="-1"/>
          <w:w w:val="95"/>
          <w:kern w:val="0"/>
          <w:szCs w:val="21"/>
          <w:highlight w:val="none"/>
        </w:rPr>
        <w:t>Oon HH, Tan C, Aw DCW,et al. 2023 guidelines on the management of psoriasis by the Dermatological Society of Singapore. Ann Acad Med Singap. 2024,53(9):562-577. </w:t>
      </w:r>
    </w:p>
    <w:p w14:paraId="0AE34328">
      <w:pPr>
        <w:tabs>
          <w:tab w:val="left" w:pos="1339"/>
        </w:tabs>
        <w:autoSpaceDE w:val="0"/>
        <w:autoSpaceDN w:val="0"/>
        <w:spacing w:before="43"/>
        <w:ind w:left="15" w:leftChars="0" w:hanging="15" w:hangingChars="8"/>
        <w:rPr>
          <w:rFonts w:hint="eastAsia" w:ascii="宋体" w:hAnsi="宋体" w:cs="宋体"/>
          <w:spacing w:val="-1"/>
          <w:w w:val="95"/>
          <w:kern w:val="0"/>
          <w:szCs w:val="21"/>
          <w:highlight w:val="none"/>
        </w:rPr>
      </w:pPr>
      <w:r>
        <w:rPr>
          <w:rFonts w:hint="eastAsia" w:ascii="宋体" w:hAnsi="宋体" w:cs="宋体"/>
          <w:spacing w:val="-1"/>
          <w:w w:val="95"/>
          <w:kern w:val="0"/>
          <w:szCs w:val="21"/>
          <w:highlight w:val="none"/>
        </w:rPr>
        <w:t>[7]</w:t>
      </w:r>
      <w:r>
        <w:rPr>
          <w:rFonts w:hint="eastAsia" w:ascii="宋体" w:hAnsi="宋体" w:cs="Segoe UI"/>
          <w:color w:val="212121"/>
          <w:szCs w:val="21"/>
          <w:highlight w:val="none"/>
          <w:shd w:val="clear" w:color="auto" w:fill="FFFFFF"/>
        </w:rPr>
        <w:t xml:space="preserve"> </w:t>
      </w:r>
      <w:r>
        <w:rPr>
          <w:rFonts w:hint="eastAsia" w:ascii="宋体" w:hAnsi="宋体" w:cs="宋体"/>
          <w:spacing w:val="-1"/>
          <w:w w:val="95"/>
          <w:kern w:val="0"/>
          <w:szCs w:val="21"/>
          <w:highlight w:val="none"/>
        </w:rPr>
        <w:t>Guenther L, Turchin I, Vender R,et al.</w:t>
      </w:r>
      <w:r>
        <w:rPr>
          <w:rFonts w:hint="eastAsia" w:ascii="宋体" w:hAnsi="宋体" w:cs="Segoe UI"/>
          <w:color w:val="212121"/>
          <w:szCs w:val="21"/>
          <w:highlight w:val="none"/>
          <w:shd w:val="clear" w:color="auto" w:fill="FFFFFF"/>
        </w:rPr>
        <w:t xml:space="preserve"> </w:t>
      </w:r>
      <w:r>
        <w:rPr>
          <w:rFonts w:hint="eastAsia" w:ascii="宋体" w:hAnsi="宋体" w:cs="宋体"/>
          <w:spacing w:val="-1"/>
          <w:w w:val="95"/>
          <w:kern w:val="0"/>
          <w:szCs w:val="21"/>
          <w:highlight w:val="none"/>
        </w:rPr>
        <w:t>Canadian Expert Consensus on the Use of Halobetasol Propionate/Tazarotene Lotion for Plaque Psoriasis. Dermatol Ther (Heidelb).2024,14(7):1917-1928. Epub 2024 Jun 25.</w:t>
      </w:r>
    </w:p>
    <w:p w14:paraId="4BE3983B">
      <w:pPr>
        <w:tabs>
          <w:tab w:val="left" w:pos="1339"/>
        </w:tabs>
        <w:autoSpaceDE w:val="0"/>
        <w:autoSpaceDN w:val="0"/>
        <w:spacing w:before="43"/>
        <w:ind w:left="15" w:leftChars="0" w:hanging="15" w:hangingChars="8"/>
        <w:rPr>
          <w:rFonts w:hint="eastAsia" w:ascii="宋体" w:hAnsi="宋体" w:cs="宋体"/>
          <w:spacing w:val="-1"/>
          <w:w w:val="95"/>
          <w:kern w:val="0"/>
          <w:szCs w:val="21"/>
          <w:highlight w:val="none"/>
        </w:rPr>
      </w:pPr>
      <w:r>
        <w:rPr>
          <w:rFonts w:hint="eastAsia" w:ascii="宋体" w:hAnsi="宋体" w:cs="宋体"/>
          <w:spacing w:val="-1"/>
          <w:w w:val="95"/>
          <w:kern w:val="0"/>
          <w:szCs w:val="21"/>
          <w:highlight w:val="none"/>
        </w:rPr>
        <w:t>[8]</w:t>
      </w:r>
      <w:r>
        <w:rPr>
          <w:rFonts w:hint="eastAsia" w:ascii="宋体" w:hAnsi="宋体" w:cs="Tahoma"/>
          <w:color w:val="000000"/>
          <w:sz w:val="21"/>
          <w:szCs w:val="21"/>
          <w:highlight w:val="none"/>
          <w:shd w:val="clear" w:color="auto" w:fill="FFFFFF"/>
        </w:rPr>
        <w:t xml:space="preserve"> 中国临床试验数据管理学组（CDMC）：临床试验数据管理质量评价指标体系。 药学学报，2015，50（11）： 1374-1379.</w:t>
      </w:r>
    </w:p>
    <w:p w14:paraId="01783417">
      <w:pPr>
        <w:tabs>
          <w:tab w:val="left" w:pos="1339"/>
        </w:tabs>
        <w:autoSpaceDE w:val="0"/>
        <w:autoSpaceDN w:val="0"/>
        <w:spacing w:before="43"/>
        <w:ind w:left="15" w:leftChars="0" w:hanging="15" w:hangingChars="8"/>
        <w:rPr>
          <w:rFonts w:hint="eastAsia" w:ascii="宋体" w:hAnsi="宋体" w:cs="宋体"/>
          <w:spacing w:val="-1"/>
          <w:w w:val="95"/>
          <w:kern w:val="0"/>
          <w:szCs w:val="21"/>
          <w:highlight w:val="none"/>
        </w:rPr>
      </w:pPr>
      <w:r>
        <w:rPr>
          <w:rFonts w:hint="eastAsia" w:ascii="宋体" w:hAnsi="宋体" w:cs="宋体"/>
          <w:spacing w:val="-1"/>
          <w:w w:val="95"/>
          <w:kern w:val="0"/>
          <w:szCs w:val="21"/>
          <w:highlight w:val="none"/>
        </w:rPr>
        <w:t>[9]</w:t>
      </w:r>
      <w:r>
        <w:rPr>
          <w:rFonts w:hint="eastAsia" w:ascii="宋体" w:hAnsi="宋体" w:cs="Tahoma"/>
          <w:color w:val="000000"/>
          <w:sz w:val="21"/>
          <w:szCs w:val="21"/>
          <w:highlight w:val="none"/>
          <w:shd w:val="clear" w:color="auto" w:fill="FFFFFF"/>
        </w:rPr>
        <w:t xml:space="preserve"> 中国临床试验数据管理学组（CDMC）：数据管理计划的结构和内容。药学学报，2015，50（11）： 1388-1392.</w:t>
      </w:r>
    </w:p>
    <w:p w14:paraId="685CD3A2">
      <w:pPr>
        <w:pStyle w:val="24"/>
        <w:rPr>
          <w:rFonts w:hint="eastAsia" w:hAnsi="宋体"/>
          <w:szCs w:val="21"/>
          <w:highlight w:val="none"/>
        </w:rPr>
      </w:pPr>
    </w:p>
    <w:p w14:paraId="4C2FD8C6">
      <w:pPr>
        <w:pStyle w:val="24"/>
        <w:rPr>
          <w:szCs w:val="21"/>
        </w:rPr>
      </w:pPr>
    </w:p>
    <w:p w14:paraId="629C057C">
      <w:pPr>
        <w:pStyle w:val="24"/>
        <w:rPr>
          <w:szCs w:val="21"/>
        </w:rPr>
      </w:pPr>
    </w:p>
    <w:p w14:paraId="168B52EC">
      <w:pPr>
        <w:framePr w:hSpace="181" w:vSpace="181" w:wrap="around" w:vAnchor="text" w:hAnchor="margin" w:xAlign="center" w:y="1"/>
        <w:widowControl/>
        <w:jc w:val="left"/>
        <w:rPr>
          <w:rFonts w:ascii="Calibri" w:hAnsi="Calibri"/>
          <w:kern w:val="0"/>
          <w:sz w:val="24"/>
        </w:rPr>
      </w:pPr>
      <w:r>
        <w:rPr>
          <w:rFonts w:ascii="Calibri" w:hAnsi="Calibri"/>
          <w:kern w:val="0"/>
          <w:sz w:val="24"/>
        </w:rPr>
        <w:t>_________________________________</w:t>
      </w:r>
    </w:p>
    <w:p w14:paraId="79F8D849">
      <w:pPr>
        <w:pStyle w:val="24"/>
        <w:rPr>
          <w:szCs w:val="21"/>
        </w:rPr>
      </w:pPr>
    </w:p>
    <w:sectPr>
      <w:pgSz w:w="11906" w:h="16838"/>
      <w:pgMar w:top="567" w:right="1134" w:bottom="1077" w:left="1418" w:header="1418" w:footer="1134" w:gutter="0"/>
      <w:cols w:space="720" w:num="1"/>
      <w:formProt w:val="0"/>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F259A">
    <w:pPr>
      <w:pStyle w:val="70"/>
    </w:pPr>
    <w:r>
      <w:fldChar w:fldCharType="begin"/>
    </w:r>
    <w:r>
      <w:instrText xml:space="preserve"> PAGE  \* MERGEFORMAT </w:instrText>
    </w:r>
    <w:r>
      <w:fldChar w:fldCharType="separate"/>
    </w:r>
    <w:r>
      <w:t>22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36D4">
    <w:pPr>
      <w:pStyle w:val="73"/>
      <w:wordWrap w:val="0"/>
    </w:pPr>
    <w:r>
      <w:rPr>
        <w:rFonts w:hint="eastAsia"/>
      </w:rPr>
      <w:t>T/BRA-CDCHE XXXX-20XX</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3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5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3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5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7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10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6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126"/>
      <w:suff w:val="nothing"/>
      <w:lvlText w:val="%1.%2.%3.%4.%5　"/>
      <w:lvlJc w:val="left"/>
      <w:pPr>
        <w:ind w:left="0" w:firstLine="0"/>
      </w:pPr>
      <w:rPr>
        <w:rFonts w:hint="eastAsia" w:ascii="黑体" w:hAnsi="Times New Roman" w:eastAsia="黑体"/>
        <w:b w:val="0"/>
        <w:i w:val="0"/>
        <w:sz w:val="21"/>
      </w:rPr>
    </w:lvl>
    <w:lvl w:ilvl="5" w:tentative="0">
      <w:start w:val="1"/>
      <w:numFmt w:val="decimal"/>
      <w:pStyle w:val="12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2827D5B"/>
    <w:multiLevelType w:val="multilevel"/>
    <w:tmpl w:val="22827D5B"/>
    <w:lvl w:ilvl="0" w:tentative="0">
      <w:start w:val="1"/>
      <w:numFmt w:val="none"/>
      <w:pStyle w:val="11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8">
    <w:nsid w:val="2A8F7113"/>
    <w:multiLevelType w:val="multilevel"/>
    <w:tmpl w:val="2A8F7113"/>
    <w:lvl w:ilvl="0" w:tentative="0">
      <w:start w:val="1"/>
      <w:numFmt w:val="upperLetter"/>
      <w:pStyle w:val="82"/>
      <w:suff w:val="space"/>
      <w:lvlText w:val="%1"/>
      <w:lvlJc w:val="left"/>
      <w:pPr>
        <w:ind w:left="623" w:hanging="425"/>
      </w:pPr>
      <w:rPr>
        <w:rFonts w:hint="eastAsia"/>
      </w:rPr>
    </w:lvl>
    <w:lvl w:ilvl="1" w:tentative="0">
      <w:start w:val="1"/>
      <w:numFmt w:val="decimal"/>
      <w:pStyle w:val="5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107"/>
      <w:suff w:val="nothing"/>
      <w:lvlText w:val="%1——"/>
      <w:lvlJc w:val="left"/>
      <w:pPr>
        <w:ind w:left="833" w:hanging="408"/>
      </w:pPr>
      <w:rPr>
        <w:rFonts w:hint="eastAsia"/>
      </w:rPr>
    </w:lvl>
    <w:lvl w:ilvl="1" w:tentative="0">
      <w:start w:val="1"/>
      <w:numFmt w:val="bullet"/>
      <w:pStyle w:val="129"/>
      <w:lvlText w:val=""/>
      <w:lvlJc w:val="left"/>
      <w:pPr>
        <w:tabs>
          <w:tab w:val="left" w:pos="760"/>
        </w:tabs>
        <w:ind w:left="1264" w:hanging="413"/>
      </w:pPr>
      <w:rPr>
        <w:rFonts w:hint="default" w:ascii="Symbol" w:hAnsi="Symbol"/>
        <w:color w:val="auto"/>
      </w:rPr>
    </w:lvl>
    <w:lvl w:ilvl="2" w:tentative="0">
      <w:start w:val="1"/>
      <w:numFmt w:val="bullet"/>
      <w:pStyle w:val="6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8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76"/>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tentative="0">
      <w:start w:val="1"/>
      <w:numFmt w:val="decimal"/>
      <w:pStyle w:val="13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547A0695"/>
    <w:multiLevelType w:val="multilevel"/>
    <w:tmpl w:val="547A069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0B55DC2"/>
    <w:multiLevelType w:val="multilevel"/>
    <w:tmpl w:val="60B55DC2"/>
    <w:lvl w:ilvl="0" w:tentative="0">
      <w:start w:val="1"/>
      <w:numFmt w:val="upperLetter"/>
      <w:pStyle w:val="81"/>
      <w:lvlText w:val="%1"/>
      <w:lvlJc w:val="left"/>
      <w:pPr>
        <w:tabs>
          <w:tab w:val="left" w:pos="0"/>
        </w:tabs>
        <w:ind w:left="0" w:hanging="425"/>
      </w:pPr>
      <w:rPr>
        <w:rFonts w:hint="eastAsia"/>
      </w:rPr>
    </w:lvl>
    <w:lvl w:ilvl="1" w:tentative="0">
      <w:start w:val="1"/>
      <w:numFmt w:val="decimal"/>
      <w:pStyle w:val="10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8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11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118"/>
      <w:lvlText w:val="%1)"/>
      <w:lvlJc w:val="left"/>
      <w:pPr>
        <w:tabs>
          <w:tab w:val="left" w:pos="839"/>
        </w:tabs>
        <w:ind w:left="839" w:hanging="419"/>
      </w:pPr>
      <w:rPr>
        <w:rFonts w:hint="eastAsia" w:ascii="宋体" w:eastAsia="宋体"/>
        <w:b w:val="0"/>
        <w:i w:val="0"/>
        <w:sz w:val="21"/>
      </w:rPr>
    </w:lvl>
    <w:lvl w:ilvl="1" w:tentative="0">
      <w:start w:val="1"/>
      <w:numFmt w:val="decimal"/>
      <w:pStyle w:val="11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11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9">
    <w:nsid w:val="7C8C679D"/>
    <w:multiLevelType w:val="multilevel"/>
    <w:tmpl w:val="7C8C679D"/>
    <w:lvl w:ilvl="0" w:tentative="0">
      <w:start w:val="1"/>
      <w:numFmt w:val="lowerLetter"/>
      <w:lvlText w:val="%1)"/>
      <w:lvlJc w:val="left"/>
      <w:pPr>
        <w:ind w:left="650" w:hanging="440"/>
      </w:p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num w:numId="1">
    <w:abstractNumId w:val="10"/>
  </w:num>
  <w:num w:numId="2">
    <w:abstractNumId w:val="1"/>
  </w:num>
  <w:num w:numId="3">
    <w:abstractNumId w:val="3"/>
  </w:num>
  <w:num w:numId="4">
    <w:abstractNumId w:val="8"/>
  </w:num>
  <w:num w:numId="5">
    <w:abstractNumId w:val="6"/>
  </w:num>
  <w:num w:numId="6">
    <w:abstractNumId w:val="9"/>
  </w:num>
  <w:num w:numId="7">
    <w:abstractNumId w:val="4"/>
  </w:num>
  <w:num w:numId="8">
    <w:abstractNumId w:val="11"/>
  </w:num>
  <w:num w:numId="9">
    <w:abstractNumId w:val="16"/>
  </w:num>
  <w:num w:numId="10">
    <w:abstractNumId w:val="14"/>
  </w:num>
  <w:num w:numId="11">
    <w:abstractNumId w:val="15"/>
  </w:num>
  <w:num w:numId="12">
    <w:abstractNumId w:val="5"/>
  </w:num>
  <w:num w:numId="13">
    <w:abstractNumId w:val="7"/>
  </w:num>
  <w:num w:numId="14">
    <w:abstractNumId w:val="18"/>
  </w:num>
  <w:num w:numId="15">
    <w:abstractNumId w:val="17"/>
  </w:num>
  <w:num w:numId="16">
    <w:abstractNumId w:val="2"/>
  </w:num>
  <w:num w:numId="17">
    <w:abstractNumId w:val="0"/>
  </w:num>
  <w:num w:numId="18">
    <w:abstractNumId w:val="12"/>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IyNTC2MLU0tzQzN7ZQ0lEKTi0uzszPAykwqgUAWjf/CywAAAA="/>
    <w:docVar w:name="commondata" w:val="eyJoZGlkIjoiYTE5ZDQzMmM1NGQ5NTBjMjE5MWVkZjVmNTQ4MWU2MjkifQ=="/>
    <w:docVar w:name="EN.InstantFormat" w:val="&lt;ENInstantFormat&gt;&lt;Enabled&gt;1&lt;/Enabled&gt;&lt;ScanUnformatted&gt;1&lt;/ScanUnformatted&gt;&lt;ScanChanges&gt;1&lt;/ScanChanges&gt;&lt;Suspended&gt;0&lt;/Suspended&gt;&lt;/ENInstantFormat&gt;"/>
    <w:docVar w:name="EN.Layout" w:val="&lt;ENLayout&gt;&lt;Style&gt;Chinese Std GBT7714 (numeric)&lt;/Style&gt;&lt;LeftDelim&gt;{&lt;/LeftDelim&gt;&lt;RightDelim&gt;}&lt;/RightDelim&gt;&lt;FontName&gt;黑体&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axpe05ta2tdf0eddeqpee0dvdzet0rxawzf&quot;&gt;My EndNote Library&lt;record-ids&gt;&lt;item&gt;207&lt;/item&gt;&lt;/record-ids&gt;&lt;/item&gt;&lt;/Libraries&gt;"/>
  </w:docVars>
  <w:rsids>
    <w:rsidRoot w:val="00035925"/>
    <w:rsid w:val="00000244"/>
    <w:rsid w:val="0000185F"/>
    <w:rsid w:val="00002046"/>
    <w:rsid w:val="000031B9"/>
    <w:rsid w:val="00003285"/>
    <w:rsid w:val="0000409A"/>
    <w:rsid w:val="0000586F"/>
    <w:rsid w:val="000100BD"/>
    <w:rsid w:val="000106C9"/>
    <w:rsid w:val="00013D86"/>
    <w:rsid w:val="00013E02"/>
    <w:rsid w:val="00014FC2"/>
    <w:rsid w:val="00021048"/>
    <w:rsid w:val="00021260"/>
    <w:rsid w:val="0002143C"/>
    <w:rsid w:val="00022716"/>
    <w:rsid w:val="00024302"/>
    <w:rsid w:val="00025A65"/>
    <w:rsid w:val="00026C31"/>
    <w:rsid w:val="00027280"/>
    <w:rsid w:val="000313DE"/>
    <w:rsid w:val="00031CC8"/>
    <w:rsid w:val="000320A7"/>
    <w:rsid w:val="00034528"/>
    <w:rsid w:val="00035925"/>
    <w:rsid w:val="00040B0A"/>
    <w:rsid w:val="000410AC"/>
    <w:rsid w:val="000430ED"/>
    <w:rsid w:val="00046011"/>
    <w:rsid w:val="00046D04"/>
    <w:rsid w:val="000474D5"/>
    <w:rsid w:val="00047D4D"/>
    <w:rsid w:val="00052DFE"/>
    <w:rsid w:val="00053FCF"/>
    <w:rsid w:val="000548FF"/>
    <w:rsid w:val="0005553C"/>
    <w:rsid w:val="00055EAC"/>
    <w:rsid w:val="00057ED4"/>
    <w:rsid w:val="00060A9D"/>
    <w:rsid w:val="00061761"/>
    <w:rsid w:val="00065A86"/>
    <w:rsid w:val="000663AC"/>
    <w:rsid w:val="00067CDF"/>
    <w:rsid w:val="00070DD4"/>
    <w:rsid w:val="00071051"/>
    <w:rsid w:val="0007164B"/>
    <w:rsid w:val="00074FBE"/>
    <w:rsid w:val="00077547"/>
    <w:rsid w:val="0007786E"/>
    <w:rsid w:val="00083A09"/>
    <w:rsid w:val="000853B5"/>
    <w:rsid w:val="0008576D"/>
    <w:rsid w:val="0009005E"/>
    <w:rsid w:val="00090A99"/>
    <w:rsid w:val="00092665"/>
    <w:rsid w:val="00092857"/>
    <w:rsid w:val="00093CFC"/>
    <w:rsid w:val="0009608E"/>
    <w:rsid w:val="00097364"/>
    <w:rsid w:val="000A08E4"/>
    <w:rsid w:val="000A13F2"/>
    <w:rsid w:val="000A1755"/>
    <w:rsid w:val="000A20A9"/>
    <w:rsid w:val="000A48B1"/>
    <w:rsid w:val="000A576B"/>
    <w:rsid w:val="000B1C68"/>
    <w:rsid w:val="000B2D38"/>
    <w:rsid w:val="000B3143"/>
    <w:rsid w:val="000B4807"/>
    <w:rsid w:val="000B55EE"/>
    <w:rsid w:val="000B6C88"/>
    <w:rsid w:val="000C0062"/>
    <w:rsid w:val="000C275B"/>
    <w:rsid w:val="000C3462"/>
    <w:rsid w:val="000C3AAB"/>
    <w:rsid w:val="000C5C08"/>
    <w:rsid w:val="000C6B05"/>
    <w:rsid w:val="000C6DD6"/>
    <w:rsid w:val="000C73D4"/>
    <w:rsid w:val="000D0439"/>
    <w:rsid w:val="000D1446"/>
    <w:rsid w:val="000D2846"/>
    <w:rsid w:val="000D2CF3"/>
    <w:rsid w:val="000D3710"/>
    <w:rsid w:val="000D3D4C"/>
    <w:rsid w:val="000D4F51"/>
    <w:rsid w:val="000D6983"/>
    <w:rsid w:val="000D718B"/>
    <w:rsid w:val="000D7AA9"/>
    <w:rsid w:val="000E0180"/>
    <w:rsid w:val="000E0C46"/>
    <w:rsid w:val="000E2014"/>
    <w:rsid w:val="000E2F8F"/>
    <w:rsid w:val="000E5798"/>
    <w:rsid w:val="000F030C"/>
    <w:rsid w:val="000F090F"/>
    <w:rsid w:val="000F129C"/>
    <w:rsid w:val="000F2CDF"/>
    <w:rsid w:val="000F4CFE"/>
    <w:rsid w:val="000F55D9"/>
    <w:rsid w:val="000F5C80"/>
    <w:rsid w:val="000F62CA"/>
    <w:rsid w:val="001008F9"/>
    <w:rsid w:val="00100D5C"/>
    <w:rsid w:val="0010117A"/>
    <w:rsid w:val="001030BD"/>
    <w:rsid w:val="001044B2"/>
    <w:rsid w:val="00104CF1"/>
    <w:rsid w:val="001056DE"/>
    <w:rsid w:val="00107EE6"/>
    <w:rsid w:val="00111272"/>
    <w:rsid w:val="001124C0"/>
    <w:rsid w:val="00113BF8"/>
    <w:rsid w:val="00115495"/>
    <w:rsid w:val="0011691D"/>
    <w:rsid w:val="0012020B"/>
    <w:rsid w:val="001208DA"/>
    <w:rsid w:val="00122676"/>
    <w:rsid w:val="00125E83"/>
    <w:rsid w:val="00127A56"/>
    <w:rsid w:val="0013175F"/>
    <w:rsid w:val="00137A93"/>
    <w:rsid w:val="00142012"/>
    <w:rsid w:val="00146253"/>
    <w:rsid w:val="00147FAF"/>
    <w:rsid w:val="001501C7"/>
    <w:rsid w:val="001512B4"/>
    <w:rsid w:val="00151BF6"/>
    <w:rsid w:val="00151EEF"/>
    <w:rsid w:val="00154592"/>
    <w:rsid w:val="00155A7D"/>
    <w:rsid w:val="001620A5"/>
    <w:rsid w:val="00164E53"/>
    <w:rsid w:val="00166340"/>
    <w:rsid w:val="00166516"/>
    <w:rsid w:val="0016699D"/>
    <w:rsid w:val="001703CE"/>
    <w:rsid w:val="001718B6"/>
    <w:rsid w:val="001721C6"/>
    <w:rsid w:val="0017302B"/>
    <w:rsid w:val="00175159"/>
    <w:rsid w:val="00175F6F"/>
    <w:rsid w:val="00176208"/>
    <w:rsid w:val="0018211B"/>
    <w:rsid w:val="001840D3"/>
    <w:rsid w:val="00186888"/>
    <w:rsid w:val="00186F13"/>
    <w:rsid w:val="001900F8"/>
    <w:rsid w:val="00191258"/>
    <w:rsid w:val="00192680"/>
    <w:rsid w:val="00193037"/>
    <w:rsid w:val="0019310D"/>
    <w:rsid w:val="00193A2C"/>
    <w:rsid w:val="001A0203"/>
    <w:rsid w:val="001A1CD1"/>
    <w:rsid w:val="001A22F2"/>
    <w:rsid w:val="001A288E"/>
    <w:rsid w:val="001A3426"/>
    <w:rsid w:val="001A38B6"/>
    <w:rsid w:val="001A39EC"/>
    <w:rsid w:val="001A5A2F"/>
    <w:rsid w:val="001B33C4"/>
    <w:rsid w:val="001B36D8"/>
    <w:rsid w:val="001B4B13"/>
    <w:rsid w:val="001B5EAE"/>
    <w:rsid w:val="001B6DC2"/>
    <w:rsid w:val="001B7A81"/>
    <w:rsid w:val="001C149C"/>
    <w:rsid w:val="001C1FCC"/>
    <w:rsid w:val="001C21AC"/>
    <w:rsid w:val="001C244B"/>
    <w:rsid w:val="001C47BA"/>
    <w:rsid w:val="001C4929"/>
    <w:rsid w:val="001C59EA"/>
    <w:rsid w:val="001C6821"/>
    <w:rsid w:val="001D1E16"/>
    <w:rsid w:val="001D406C"/>
    <w:rsid w:val="001D41EE"/>
    <w:rsid w:val="001D4EB6"/>
    <w:rsid w:val="001D745F"/>
    <w:rsid w:val="001D7AF3"/>
    <w:rsid w:val="001E0380"/>
    <w:rsid w:val="001E0589"/>
    <w:rsid w:val="001E13B1"/>
    <w:rsid w:val="001E18A5"/>
    <w:rsid w:val="001E1A45"/>
    <w:rsid w:val="001E3AD5"/>
    <w:rsid w:val="001E3D9B"/>
    <w:rsid w:val="001E5137"/>
    <w:rsid w:val="001E5F5A"/>
    <w:rsid w:val="001E6012"/>
    <w:rsid w:val="001E745D"/>
    <w:rsid w:val="001F35AA"/>
    <w:rsid w:val="001F3A19"/>
    <w:rsid w:val="00202E11"/>
    <w:rsid w:val="002048EA"/>
    <w:rsid w:val="0020493B"/>
    <w:rsid w:val="002072AB"/>
    <w:rsid w:val="0021030B"/>
    <w:rsid w:val="00212BBB"/>
    <w:rsid w:val="00213DD0"/>
    <w:rsid w:val="002143A1"/>
    <w:rsid w:val="00217ABA"/>
    <w:rsid w:val="00220F7B"/>
    <w:rsid w:val="0022551B"/>
    <w:rsid w:val="0023164C"/>
    <w:rsid w:val="002319E9"/>
    <w:rsid w:val="00234467"/>
    <w:rsid w:val="00236873"/>
    <w:rsid w:val="00237D8D"/>
    <w:rsid w:val="00241D5A"/>
    <w:rsid w:val="00241DA2"/>
    <w:rsid w:val="00241E48"/>
    <w:rsid w:val="00243769"/>
    <w:rsid w:val="00244B49"/>
    <w:rsid w:val="00245484"/>
    <w:rsid w:val="002458AF"/>
    <w:rsid w:val="00247FEE"/>
    <w:rsid w:val="00250E7D"/>
    <w:rsid w:val="002516D3"/>
    <w:rsid w:val="00253C7F"/>
    <w:rsid w:val="002540D8"/>
    <w:rsid w:val="002565D5"/>
    <w:rsid w:val="00256FD9"/>
    <w:rsid w:val="00261EDE"/>
    <w:rsid w:val="002622C0"/>
    <w:rsid w:val="00263757"/>
    <w:rsid w:val="00264CEE"/>
    <w:rsid w:val="00265607"/>
    <w:rsid w:val="00265AC7"/>
    <w:rsid w:val="00267101"/>
    <w:rsid w:val="00271CDC"/>
    <w:rsid w:val="00272D77"/>
    <w:rsid w:val="002745AC"/>
    <w:rsid w:val="0027677A"/>
    <w:rsid w:val="00277427"/>
    <w:rsid w:val="002778AE"/>
    <w:rsid w:val="002807BB"/>
    <w:rsid w:val="002823BA"/>
    <w:rsid w:val="0028269A"/>
    <w:rsid w:val="00282942"/>
    <w:rsid w:val="00283590"/>
    <w:rsid w:val="00284F52"/>
    <w:rsid w:val="0028506A"/>
    <w:rsid w:val="00286973"/>
    <w:rsid w:val="00287077"/>
    <w:rsid w:val="002876DC"/>
    <w:rsid w:val="00290468"/>
    <w:rsid w:val="00292CFD"/>
    <w:rsid w:val="002932AE"/>
    <w:rsid w:val="002935B7"/>
    <w:rsid w:val="00294E70"/>
    <w:rsid w:val="002A161C"/>
    <w:rsid w:val="002A1924"/>
    <w:rsid w:val="002A5A69"/>
    <w:rsid w:val="002A7420"/>
    <w:rsid w:val="002B04D4"/>
    <w:rsid w:val="002B0579"/>
    <w:rsid w:val="002B0688"/>
    <w:rsid w:val="002B0A25"/>
    <w:rsid w:val="002B0D95"/>
    <w:rsid w:val="002B0F12"/>
    <w:rsid w:val="002B1308"/>
    <w:rsid w:val="002B188A"/>
    <w:rsid w:val="002B4554"/>
    <w:rsid w:val="002B7A6A"/>
    <w:rsid w:val="002C2F95"/>
    <w:rsid w:val="002C3516"/>
    <w:rsid w:val="002C69C6"/>
    <w:rsid w:val="002C72D8"/>
    <w:rsid w:val="002C780F"/>
    <w:rsid w:val="002D0649"/>
    <w:rsid w:val="002D11FA"/>
    <w:rsid w:val="002D3267"/>
    <w:rsid w:val="002D63D2"/>
    <w:rsid w:val="002D646D"/>
    <w:rsid w:val="002D78D8"/>
    <w:rsid w:val="002D7D7C"/>
    <w:rsid w:val="002E0DDF"/>
    <w:rsid w:val="002E2107"/>
    <w:rsid w:val="002E2754"/>
    <w:rsid w:val="002E2906"/>
    <w:rsid w:val="002E363B"/>
    <w:rsid w:val="002E3BB1"/>
    <w:rsid w:val="002E5635"/>
    <w:rsid w:val="002E568F"/>
    <w:rsid w:val="002E57AA"/>
    <w:rsid w:val="002E64C3"/>
    <w:rsid w:val="002E6A2C"/>
    <w:rsid w:val="002F1855"/>
    <w:rsid w:val="002F1D8C"/>
    <w:rsid w:val="002F21DA"/>
    <w:rsid w:val="002F36AE"/>
    <w:rsid w:val="002F3FB6"/>
    <w:rsid w:val="002F6328"/>
    <w:rsid w:val="00301F39"/>
    <w:rsid w:val="003022DE"/>
    <w:rsid w:val="003051C6"/>
    <w:rsid w:val="003065CE"/>
    <w:rsid w:val="003077C8"/>
    <w:rsid w:val="00310D0E"/>
    <w:rsid w:val="0032223F"/>
    <w:rsid w:val="00322D41"/>
    <w:rsid w:val="00325926"/>
    <w:rsid w:val="00326571"/>
    <w:rsid w:val="00327A8A"/>
    <w:rsid w:val="00330DAC"/>
    <w:rsid w:val="00330EEF"/>
    <w:rsid w:val="00331F78"/>
    <w:rsid w:val="0033204F"/>
    <w:rsid w:val="00332479"/>
    <w:rsid w:val="00335BC6"/>
    <w:rsid w:val="00336610"/>
    <w:rsid w:val="00341D63"/>
    <w:rsid w:val="00343F73"/>
    <w:rsid w:val="00345060"/>
    <w:rsid w:val="0035323B"/>
    <w:rsid w:val="00354AD5"/>
    <w:rsid w:val="00354C40"/>
    <w:rsid w:val="003609D2"/>
    <w:rsid w:val="00361E89"/>
    <w:rsid w:val="00361FFB"/>
    <w:rsid w:val="003627E9"/>
    <w:rsid w:val="00363F22"/>
    <w:rsid w:val="0036540B"/>
    <w:rsid w:val="0036694B"/>
    <w:rsid w:val="00367451"/>
    <w:rsid w:val="003724E3"/>
    <w:rsid w:val="00372D05"/>
    <w:rsid w:val="00373B3D"/>
    <w:rsid w:val="00375564"/>
    <w:rsid w:val="00375BBA"/>
    <w:rsid w:val="0037629F"/>
    <w:rsid w:val="00377EDF"/>
    <w:rsid w:val="00383191"/>
    <w:rsid w:val="00386DED"/>
    <w:rsid w:val="003870DD"/>
    <w:rsid w:val="00390F77"/>
    <w:rsid w:val="003912E7"/>
    <w:rsid w:val="0039326A"/>
    <w:rsid w:val="00393947"/>
    <w:rsid w:val="00394785"/>
    <w:rsid w:val="00396E7B"/>
    <w:rsid w:val="0039715B"/>
    <w:rsid w:val="003A2275"/>
    <w:rsid w:val="003A6A4F"/>
    <w:rsid w:val="003A7088"/>
    <w:rsid w:val="003B00DF"/>
    <w:rsid w:val="003B03C0"/>
    <w:rsid w:val="003B1275"/>
    <w:rsid w:val="003B1778"/>
    <w:rsid w:val="003B2F0A"/>
    <w:rsid w:val="003B5F1A"/>
    <w:rsid w:val="003B722C"/>
    <w:rsid w:val="003C014E"/>
    <w:rsid w:val="003C1104"/>
    <w:rsid w:val="003C11CB"/>
    <w:rsid w:val="003C49A4"/>
    <w:rsid w:val="003C4ACB"/>
    <w:rsid w:val="003C51F2"/>
    <w:rsid w:val="003C5E26"/>
    <w:rsid w:val="003C75F3"/>
    <w:rsid w:val="003C78A3"/>
    <w:rsid w:val="003D0341"/>
    <w:rsid w:val="003D2BE4"/>
    <w:rsid w:val="003E1867"/>
    <w:rsid w:val="003E301D"/>
    <w:rsid w:val="003E5729"/>
    <w:rsid w:val="003E61B7"/>
    <w:rsid w:val="003E7459"/>
    <w:rsid w:val="003F4EE0"/>
    <w:rsid w:val="003F55BF"/>
    <w:rsid w:val="003F721A"/>
    <w:rsid w:val="004008C6"/>
    <w:rsid w:val="004012C2"/>
    <w:rsid w:val="004016EA"/>
    <w:rsid w:val="00401B5B"/>
    <w:rsid w:val="00402153"/>
    <w:rsid w:val="00402FC1"/>
    <w:rsid w:val="00404FBC"/>
    <w:rsid w:val="00407298"/>
    <w:rsid w:val="004117A2"/>
    <w:rsid w:val="00412E3D"/>
    <w:rsid w:val="00413300"/>
    <w:rsid w:val="00413B5B"/>
    <w:rsid w:val="00413DD2"/>
    <w:rsid w:val="00413F3F"/>
    <w:rsid w:val="00413FF3"/>
    <w:rsid w:val="00414F68"/>
    <w:rsid w:val="00420A8C"/>
    <w:rsid w:val="00420F20"/>
    <w:rsid w:val="00425082"/>
    <w:rsid w:val="00425815"/>
    <w:rsid w:val="00425A30"/>
    <w:rsid w:val="00430456"/>
    <w:rsid w:val="00431DEB"/>
    <w:rsid w:val="00433C24"/>
    <w:rsid w:val="00433E7E"/>
    <w:rsid w:val="0043577F"/>
    <w:rsid w:val="0043632C"/>
    <w:rsid w:val="0044272E"/>
    <w:rsid w:val="00442BED"/>
    <w:rsid w:val="004454AE"/>
    <w:rsid w:val="00446045"/>
    <w:rsid w:val="00446B29"/>
    <w:rsid w:val="00452B92"/>
    <w:rsid w:val="00453F9A"/>
    <w:rsid w:val="004542E4"/>
    <w:rsid w:val="00462746"/>
    <w:rsid w:val="0046394E"/>
    <w:rsid w:val="00465866"/>
    <w:rsid w:val="00465F93"/>
    <w:rsid w:val="00471E91"/>
    <w:rsid w:val="004721C2"/>
    <w:rsid w:val="004727C9"/>
    <w:rsid w:val="00472C7E"/>
    <w:rsid w:val="00474675"/>
    <w:rsid w:val="0047470C"/>
    <w:rsid w:val="004769E3"/>
    <w:rsid w:val="004836EB"/>
    <w:rsid w:val="004913F8"/>
    <w:rsid w:val="0049169F"/>
    <w:rsid w:val="0049222C"/>
    <w:rsid w:val="00494403"/>
    <w:rsid w:val="00496211"/>
    <w:rsid w:val="004973D7"/>
    <w:rsid w:val="0049798B"/>
    <w:rsid w:val="004A35F9"/>
    <w:rsid w:val="004A427C"/>
    <w:rsid w:val="004A46F2"/>
    <w:rsid w:val="004A55BF"/>
    <w:rsid w:val="004A655E"/>
    <w:rsid w:val="004A65C1"/>
    <w:rsid w:val="004A6DFE"/>
    <w:rsid w:val="004B04D0"/>
    <w:rsid w:val="004B070E"/>
    <w:rsid w:val="004B0CE4"/>
    <w:rsid w:val="004B0F0D"/>
    <w:rsid w:val="004B24C1"/>
    <w:rsid w:val="004B2601"/>
    <w:rsid w:val="004B5480"/>
    <w:rsid w:val="004B5A17"/>
    <w:rsid w:val="004B65D3"/>
    <w:rsid w:val="004B70ED"/>
    <w:rsid w:val="004B7C42"/>
    <w:rsid w:val="004C292F"/>
    <w:rsid w:val="004C61AB"/>
    <w:rsid w:val="004D22B0"/>
    <w:rsid w:val="004D44A2"/>
    <w:rsid w:val="004D621A"/>
    <w:rsid w:val="004D7E7C"/>
    <w:rsid w:val="004D7F26"/>
    <w:rsid w:val="004E25BE"/>
    <w:rsid w:val="004E2828"/>
    <w:rsid w:val="004E2DFE"/>
    <w:rsid w:val="004E3572"/>
    <w:rsid w:val="004E5A52"/>
    <w:rsid w:val="004F0DCE"/>
    <w:rsid w:val="004F1261"/>
    <w:rsid w:val="004F361D"/>
    <w:rsid w:val="004F4AE1"/>
    <w:rsid w:val="004F4EF9"/>
    <w:rsid w:val="004F7EFD"/>
    <w:rsid w:val="005014BA"/>
    <w:rsid w:val="00510280"/>
    <w:rsid w:val="005106CE"/>
    <w:rsid w:val="00511BCB"/>
    <w:rsid w:val="005129EA"/>
    <w:rsid w:val="00513670"/>
    <w:rsid w:val="00513BA0"/>
    <w:rsid w:val="00513D73"/>
    <w:rsid w:val="00514A43"/>
    <w:rsid w:val="005174E5"/>
    <w:rsid w:val="00517EC2"/>
    <w:rsid w:val="00520A4E"/>
    <w:rsid w:val="00521A7E"/>
    <w:rsid w:val="00521BF1"/>
    <w:rsid w:val="00522393"/>
    <w:rsid w:val="00522620"/>
    <w:rsid w:val="00523C63"/>
    <w:rsid w:val="005249AA"/>
    <w:rsid w:val="00525656"/>
    <w:rsid w:val="00526061"/>
    <w:rsid w:val="00531E8B"/>
    <w:rsid w:val="005336E8"/>
    <w:rsid w:val="005337DD"/>
    <w:rsid w:val="00534C02"/>
    <w:rsid w:val="00537B15"/>
    <w:rsid w:val="00540E66"/>
    <w:rsid w:val="00542230"/>
    <w:rsid w:val="005425E0"/>
    <w:rsid w:val="0054264B"/>
    <w:rsid w:val="00543786"/>
    <w:rsid w:val="00544B74"/>
    <w:rsid w:val="00551893"/>
    <w:rsid w:val="0055261B"/>
    <w:rsid w:val="005533D7"/>
    <w:rsid w:val="005557EB"/>
    <w:rsid w:val="00555CC4"/>
    <w:rsid w:val="00555D20"/>
    <w:rsid w:val="00556D24"/>
    <w:rsid w:val="00556F80"/>
    <w:rsid w:val="005570AE"/>
    <w:rsid w:val="00557B99"/>
    <w:rsid w:val="00560A44"/>
    <w:rsid w:val="0056226E"/>
    <w:rsid w:val="00562B24"/>
    <w:rsid w:val="00563346"/>
    <w:rsid w:val="005703DE"/>
    <w:rsid w:val="005730D6"/>
    <w:rsid w:val="005756A8"/>
    <w:rsid w:val="00580AC1"/>
    <w:rsid w:val="005813A7"/>
    <w:rsid w:val="0058250E"/>
    <w:rsid w:val="0058464E"/>
    <w:rsid w:val="00584BDA"/>
    <w:rsid w:val="00585720"/>
    <w:rsid w:val="00593B48"/>
    <w:rsid w:val="005945BB"/>
    <w:rsid w:val="00596450"/>
    <w:rsid w:val="005972B9"/>
    <w:rsid w:val="0059731C"/>
    <w:rsid w:val="005A01CB"/>
    <w:rsid w:val="005A58FF"/>
    <w:rsid w:val="005A5EAF"/>
    <w:rsid w:val="005A64C0"/>
    <w:rsid w:val="005B1505"/>
    <w:rsid w:val="005B2894"/>
    <w:rsid w:val="005B3A32"/>
    <w:rsid w:val="005B3C11"/>
    <w:rsid w:val="005B53C7"/>
    <w:rsid w:val="005B629A"/>
    <w:rsid w:val="005B6DBB"/>
    <w:rsid w:val="005B70C0"/>
    <w:rsid w:val="005C1C28"/>
    <w:rsid w:val="005C6DB5"/>
    <w:rsid w:val="005D199A"/>
    <w:rsid w:val="005D3672"/>
    <w:rsid w:val="005D714B"/>
    <w:rsid w:val="005D7AE5"/>
    <w:rsid w:val="005E159C"/>
    <w:rsid w:val="005E19E7"/>
    <w:rsid w:val="005E4A25"/>
    <w:rsid w:val="005E748D"/>
    <w:rsid w:val="005E7D10"/>
    <w:rsid w:val="005F00EF"/>
    <w:rsid w:val="005F0D35"/>
    <w:rsid w:val="005F4944"/>
    <w:rsid w:val="005F5196"/>
    <w:rsid w:val="005F6D48"/>
    <w:rsid w:val="005F744E"/>
    <w:rsid w:val="00601567"/>
    <w:rsid w:val="0060196D"/>
    <w:rsid w:val="00601E17"/>
    <w:rsid w:val="00616891"/>
    <w:rsid w:val="00616B09"/>
    <w:rsid w:val="0061716C"/>
    <w:rsid w:val="00620F5B"/>
    <w:rsid w:val="006243A1"/>
    <w:rsid w:val="00626692"/>
    <w:rsid w:val="00626F30"/>
    <w:rsid w:val="00630BE3"/>
    <w:rsid w:val="00631858"/>
    <w:rsid w:val="00632E56"/>
    <w:rsid w:val="006334F3"/>
    <w:rsid w:val="00635CBA"/>
    <w:rsid w:val="0064094D"/>
    <w:rsid w:val="00640CD8"/>
    <w:rsid w:val="0064338B"/>
    <w:rsid w:val="00645556"/>
    <w:rsid w:val="0064567D"/>
    <w:rsid w:val="00645A2D"/>
    <w:rsid w:val="00646542"/>
    <w:rsid w:val="006504F4"/>
    <w:rsid w:val="0065134B"/>
    <w:rsid w:val="00652437"/>
    <w:rsid w:val="00654036"/>
    <w:rsid w:val="00654BC9"/>
    <w:rsid w:val="006552FD"/>
    <w:rsid w:val="00657B94"/>
    <w:rsid w:val="006615F6"/>
    <w:rsid w:val="00662310"/>
    <w:rsid w:val="00663AF3"/>
    <w:rsid w:val="00664C17"/>
    <w:rsid w:val="00665EF2"/>
    <w:rsid w:val="00666B6C"/>
    <w:rsid w:val="0066769C"/>
    <w:rsid w:val="006708DF"/>
    <w:rsid w:val="00682682"/>
    <w:rsid w:val="00682702"/>
    <w:rsid w:val="00682CAE"/>
    <w:rsid w:val="00682F9A"/>
    <w:rsid w:val="0068495D"/>
    <w:rsid w:val="00684C39"/>
    <w:rsid w:val="00685780"/>
    <w:rsid w:val="0068586A"/>
    <w:rsid w:val="00690C35"/>
    <w:rsid w:val="00690D4A"/>
    <w:rsid w:val="00692368"/>
    <w:rsid w:val="006938AE"/>
    <w:rsid w:val="00694D67"/>
    <w:rsid w:val="006A2EBC"/>
    <w:rsid w:val="006A48E0"/>
    <w:rsid w:val="006A4D92"/>
    <w:rsid w:val="006A5EA0"/>
    <w:rsid w:val="006A66B9"/>
    <w:rsid w:val="006A6E6A"/>
    <w:rsid w:val="006A74A8"/>
    <w:rsid w:val="006A783B"/>
    <w:rsid w:val="006A7B33"/>
    <w:rsid w:val="006B4361"/>
    <w:rsid w:val="006B45BB"/>
    <w:rsid w:val="006B4E13"/>
    <w:rsid w:val="006B75DD"/>
    <w:rsid w:val="006B7743"/>
    <w:rsid w:val="006B7CE4"/>
    <w:rsid w:val="006C3637"/>
    <w:rsid w:val="006C6369"/>
    <w:rsid w:val="006C67E0"/>
    <w:rsid w:val="006C6F0F"/>
    <w:rsid w:val="006C6FD6"/>
    <w:rsid w:val="006C7ABA"/>
    <w:rsid w:val="006D048B"/>
    <w:rsid w:val="006D0D60"/>
    <w:rsid w:val="006D1122"/>
    <w:rsid w:val="006D2016"/>
    <w:rsid w:val="006D3C00"/>
    <w:rsid w:val="006D56FF"/>
    <w:rsid w:val="006D69B7"/>
    <w:rsid w:val="006D6CF4"/>
    <w:rsid w:val="006D7B13"/>
    <w:rsid w:val="006E0FB5"/>
    <w:rsid w:val="006E18FF"/>
    <w:rsid w:val="006E3675"/>
    <w:rsid w:val="006E401C"/>
    <w:rsid w:val="006E4A7F"/>
    <w:rsid w:val="006E5039"/>
    <w:rsid w:val="006E5C7E"/>
    <w:rsid w:val="006E7665"/>
    <w:rsid w:val="006F03E4"/>
    <w:rsid w:val="006F06AA"/>
    <w:rsid w:val="006F2490"/>
    <w:rsid w:val="006F560C"/>
    <w:rsid w:val="006F6ADC"/>
    <w:rsid w:val="00700D5B"/>
    <w:rsid w:val="00700D62"/>
    <w:rsid w:val="007028A7"/>
    <w:rsid w:val="007035B4"/>
    <w:rsid w:val="00703CDD"/>
    <w:rsid w:val="007041BC"/>
    <w:rsid w:val="00704DF6"/>
    <w:rsid w:val="0070651C"/>
    <w:rsid w:val="0070761A"/>
    <w:rsid w:val="00710908"/>
    <w:rsid w:val="00711DB4"/>
    <w:rsid w:val="007132A3"/>
    <w:rsid w:val="00714DD9"/>
    <w:rsid w:val="00715BCF"/>
    <w:rsid w:val="00715D0B"/>
    <w:rsid w:val="007163EF"/>
    <w:rsid w:val="00716421"/>
    <w:rsid w:val="007169C3"/>
    <w:rsid w:val="007175F6"/>
    <w:rsid w:val="00717668"/>
    <w:rsid w:val="00720433"/>
    <w:rsid w:val="0072261A"/>
    <w:rsid w:val="00722A9C"/>
    <w:rsid w:val="00724EFB"/>
    <w:rsid w:val="00726082"/>
    <w:rsid w:val="00726D85"/>
    <w:rsid w:val="007304AF"/>
    <w:rsid w:val="007369F3"/>
    <w:rsid w:val="00737051"/>
    <w:rsid w:val="007419C3"/>
    <w:rsid w:val="00742E73"/>
    <w:rsid w:val="00744F22"/>
    <w:rsid w:val="007467A7"/>
    <w:rsid w:val="007469DD"/>
    <w:rsid w:val="0074741B"/>
    <w:rsid w:val="0074745C"/>
    <w:rsid w:val="0074759E"/>
    <w:rsid w:val="007478EA"/>
    <w:rsid w:val="00747D32"/>
    <w:rsid w:val="00747F00"/>
    <w:rsid w:val="00752A98"/>
    <w:rsid w:val="00753469"/>
    <w:rsid w:val="0075415C"/>
    <w:rsid w:val="007561EF"/>
    <w:rsid w:val="00757D0F"/>
    <w:rsid w:val="00763055"/>
    <w:rsid w:val="00763502"/>
    <w:rsid w:val="00763661"/>
    <w:rsid w:val="0076403B"/>
    <w:rsid w:val="007649A5"/>
    <w:rsid w:val="00766626"/>
    <w:rsid w:val="00766E15"/>
    <w:rsid w:val="00767F2E"/>
    <w:rsid w:val="00771190"/>
    <w:rsid w:val="00772B10"/>
    <w:rsid w:val="00773672"/>
    <w:rsid w:val="00773F53"/>
    <w:rsid w:val="007816BF"/>
    <w:rsid w:val="00782CB0"/>
    <w:rsid w:val="00782F01"/>
    <w:rsid w:val="007838E3"/>
    <w:rsid w:val="00786692"/>
    <w:rsid w:val="007913AB"/>
    <w:rsid w:val="007914F7"/>
    <w:rsid w:val="0079287B"/>
    <w:rsid w:val="00793515"/>
    <w:rsid w:val="007A0256"/>
    <w:rsid w:val="007A3FF8"/>
    <w:rsid w:val="007B1625"/>
    <w:rsid w:val="007B2913"/>
    <w:rsid w:val="007B706E"/>
    <w:rsid w:val="007B71EB"/>
    <w:rsid w:val="007B7C10"/>
    <w:rsid w:val="007C082F"/>
    <w:rsid w:val="007C4300"/>
    <w:rsid w:val="007C50BB"/>
    <w:rsid w:val="007C5D8C"/>
    <w:rsid w:val="007C6205"/>
    <w:rsid w:val="007C686A"/>
    <w:rsid w:val="007C71E9"/>
    <w:rsid w:val="007C728E"/>
    <w:rsid w:val="007D2C53"/>
    <w:rsid w:val="007D3373"/>
    <w:rsid w:val="007D3B78"/>
    <w:rsid w:val="007D3D60"/>
    <w:rsid w:val="007D5370"/>
    <w:rsid w:val="007D549C"/>
    <w:rsid w:val="007E0B5F"/>
    <w:rsid w:val="007E1980"/>
    <w:rsid w:val="007E1AB7"/>
    <w:rsid w:val="007E3469"/>
    <w:rsid w:val="007E3FC3"/>
    <w:rsid w:val="007E4B76"/>
    <w:rsid w:val="007E5072"/>
    <w:rsid w:val="007E5EA8"/>
    <w:rsid w:val="007F0CF1"/>
    <w:rsid w:val="007F12A5"/>
    <w:rsid w:val="007F4CF1"/>
    <w:rsid w:val="007F57DD"/>
    <w:rsid w:val="007F758D"/>
    <w:rsid w:val="007F75CC"/>
    <w:rsid w:val="007F7D52"/>
    <w:rsid w:val="008040A5"/>
    <w:rsid w:val="0080654C"/>
    <w:rsid w:val="008066C0"/>
    <w:rsid w:val="00806D4A"/>
    <w:rsid w:val="008071C6"/>
    <w:rsid w:val="0080758E"/>
    <w:rsid w:val="0081054A"/>
    <w:rsid w:val="00817557"/>
    <w:rsid w:val="00817A00"/>
    <w:rsid w:val="00820F85"/>
    <w:rsid w:val="00821438"/>
    <w:rsid w:val="00823E9A"/>
    <w:rsid w:val="00826964"/>
    <w:rsid w:val="00833372"/>
    <w:rsid w:val="0083438B"/>
    <w:rsid w:val="00835903"/>
    <w:rsid w:val="00835DB3"/>
    <w:rsid w:val="0083617B"/>
    <w:rsid w:val="008371BD"/>
    <w:rsid w:val="00843892"/>
    <w:rsid w:val="00845455"/>
    <w:rsid w:val="0084551F"/>
    <w:rsid w:val="00847047"/>
    <w:rsid w:val="008504A8"/>
    <w:rsid w:val="00851A7A"/>
    <w:rsid w:val="0085282E"/>
    <w:rsid w:val="00852E97"/>
    <w:rsid w:val="008530E4"/>
    <w:rsid w:val="008534C9"/>
    <w:rsid w:val="008542D6"/>
    <w:rsid w:val="00857DC6"/>
    <w:rsid w:val="00861F21"/>
    <w:rsid w:val="00866406"/>
    <w:rsid w:val="0086640C"/>
    <w:rsid w:val="00867BA1"/>
    <w:rsid w:val="00870F8A"/>
    <w:rsid w:val="0087198C"/>
    <w:rsid w:val="00872692"/>
    <w:rsid w:val="00872C1F"/>
    <w:rsid w:val="00872E5D"/>
    <w:rsid w:val="008731DB"/>
    <w:rsid w:val="0087360E"/>
    <w:rsid w:val="00873B42"/>
    <w:rsid w:val="008759AF"/>
    <w:rsid w:val="00877C49"/>
    <w:rsid w:val="008856D8"/>
    <w:rsid w:val="0088574F"/>
    <w:rsid w:val="00886737"/>
    <w:rsid w:val="00892D23"/>
    <w:rsid w:val="00892E82"/>
    <w:rsid w:val="00894FF6"/>
    <w:rsid w:val="0089571A"/>
    <w:rsid w:val="00897FD0"/>
    <w:rsid w:val="008A1532"/>
    <w:rsid w:val="008A2BD7"/>
    <w:rsid w:val="008A4870"/>
    <w:rsid w:val="008A5C5F"/>
    <w:rsid w:val="008A7585"/>
    <w:rsid w:val="008B0C23"/>
    <w:rsid w:val="008B1F94"/>
    <w:rsid w:val="008B36D1"/>
    <w:rsid w:val="008B4EA8"/>
    <w:rsid w:val="008B544A"/>
    <w:rsid w:val="008C1B58"/>
    <w:rsid w:val="008C20C7"/>
    <w:rsid w:val="008C26E0"/>
    <w:rsid w:val="008C39AE"/>
    <w:rsid w:val="008C4A5B"/>
    <w:rsid w:val="008C4E03"/>
    <w:rsid w:val="008C590D"/>
    <w:rsid w:val="008C5F3A"/>
    <w:rsid w:val="008C766E"/>
    <w:rsid w:val="008D03B6"/>
    <w:rsid w:val="008D229F"/>
    <w:rsid w:val="008D3473"/>
    <w:rsid w:val="008D4161"/>
    <w:rsid w:val="008D767B"/>
    <w:rsid w:val="008E00E9"/>
    <w:rsid w:val="008E031B"/>
    <w:rsid w:val="008E237C"/>
    <w:rsid w:val="008E37FB"/>
    <w:rsid w:val="008E636B"/>
    <w:rsid w:val="008E6CDE"/>
    <w:rsid w:val="008E7029"/>
    <w:rsid w:val="008E7EF6"/>
    <w:rsid w:val="008F1F98"/>
    <w:rsid w:val="008F6758"/>
    <w:rsid w:val="008F6D36"/>
    <w:rsid w:val="008F743C"/>
    <w:rsid w:val="00900900"/>
    <w:rsid w:val="00900F78"/>
    <w:rsid w:val="00901D66"/>
    <w:rsid w:val="00901E84"/>
    <w:rsid w:val="00903193"/>
    <w:rsid w:val="009040DD"/>
    <w:rsid w:val="0090468B"/>
    <w:rsid w:val="00904B21"/>
    <w:rsid w:val="009057AB"/>
    <w:rsid w:val="00905B47"/>
    <w:rsid w:val="00906369"/>
    <w:rsid w:val="0091190B"/>
    <w:rsid w:val="00913306"/>
    <w:rsid w:val="0091331C"/>
    <w:rsid w:val="00915684"/>
    <w:rsid w:val="0091598D"/>
    <w:rsid w:val="00920435"/>
    <w:rsid w:val="00923AE0"/>
    <w:rsid w:val="009245DA"/>
    <w:rsid w:val="00926A14"/>
    <w:rsid w:val="009279DE"/>
    <w:rsid w:val="00930116"/>
    <w:rsid w:val="009325DC"/>
    <w:rsid w:val="00934C43"/>
    <w:rsid w:val="009401FC"/>
    <w:rsid w:val="00941583"/>
    <w:rsid w:val="0094212C"/>
    <w:rsid w:val="009428A0"/>
    <w:rsid w:val="009445F4"/>
    <w:rsid w:val="00945BFB"/>
    <w:rsid w:val="009469EE"/>
    <w:rsid w:val="00947F4C"/>
    <w:rsid w:val="00950233"/>
    <w:rsid w:val="00950362"/>
    <w:rsid w:val="00951744"/>
    <w:rsid w:val="009525FA"/>
    <w:rsid w:val="00954345"/>
    <w:rsid w:val="00954689"/>
    <w:rsid w:val="00954823"/>
    <w:rsid w:val="009617C9"/>
    <w:rsid w:val="00961C93"/>
    <w:rsid w:val="00961DA0"/>
    <w:rsid w:val="00965324"/>
    <w:rsid w:val="00966956"/>
    <w:rsid w:val="009679FE"/>
    <w:rsid w:val="00967AD4"/>
    <w:rsid w:val="0097051B"/>
    <w:rsid w:val="0097051F"/>
    <w:rsid w:val="0097091E"/>
    <w:rsid w:val="00970DBE"/>
    <w:rsid w:val="009760D3"/>
    <w:rsid w:val="00977132"/>
    <w:rsid w:val="0097741E"/>
    <w:rsid w:val="009803E5"/>
    <w:rsid w:val="00981809"/>
    <w:rsid w:val="00981A4B"/>
    <w:rsid w:val="00982501"/>
    <w:rsid w:val="00982924"/>
    <w:rsid w:val="00985A7C"/>
    <w:rsid w:val="009877D3"/>
    <w:rsid w:val="00987E64"/>
    <w:rsid w:val="00990CBB"/>
    <w:rsid w:val="00994E8F"/>
    <w:rsid w:val="009951DC"/>
    <w:rsid w:val="009959BB"/>
    <w:rsid w:val="009970D2"/>
    <w:rsid w:val="00997158"/>
    <w:rsid w:val="00997C32"/>
    <w:rsid w:val="009A1EE2"/>
    <w:rsid w:val="009A1FF6"/>
    <w:rsid w:val="009A2246"/>
    <w:rsid w:val="009A31D5"/>
    <w:rsid w:val="009A3A7C"/>
    <w:rsid w:val="009A5E5D"/>
    <w:rsid w:val="009B0D3D"/>
    <w:rsid w:val="009B2ADB"/>
    <w:rsid w:val="009B42FB"/>
    <w:rsid w:val="009B43CB"/>
    <w:rsid w:val="009B603A"/>
    <w:rsid w:val="009B625A"/>
    <w:rsid w:val="009C05BD"/>
    <w:rsid w:val="009C1C2A"/>
    <w:rsid w:val="009C23FE"/>
    <w:rsid w:val="009C2D0E"/>
    <w:rsid w:val="009C3330"/>
    <w:rsid w:val="009C3DAC"/>
    <w:rsid w:val="009C42E0"/>
    <w:rsid w:val="009C7768"/>
    <w:rsid w:val="009D1D7D"/>
    <w:rsid w:val="009D4058"/>
    <w:rsid w:val="009D5362"/>
    <w:rsid w:val="009E137A"/>
    <w:rsid w:val="009E1415"/>
    <w:rsid w:val="009E2510"/>
    <w:rsid w:val="009E4501"/>
    <w:rsid w:val="009E4549"/>
    <w:rsid w:val="009E5258"/>
    <w:rsid w:val="009E6116"/>
    <w:rsid w:val="009E75FA"/>
    <w:rsid w:val="009F073C"/>
    <w:rsid w:val="009F1227"/>
    <w:rsid w:val="009F126D"/>
    <w:rsid w:val="009F15AE"/>
    <w:rsid w:val="009F30A6"/>
    <w:rsid w:val="009F30AC"/>
    <w:rsid w:val="009F3B99"/>
    <w:rsid w:val="009F6050"/>
    <w:rsid w:val="009F7553"/>
    <w:rsid w:val="009F7698"/>
    <w:rsid w:val="009F7D91"/>
    <w:rsid w:val="00A00500"/>
    <w:rsid w:val="00A00D1A"/>
    <w:rsid w:val="00A01052"/>
    <w:rsid w:val="00A0241F"/>
    <w:rsid w:val="00A02532"/>
    <w:rsid w:val="00A02E43"/>
    <w:rsid w:val="00A03E31"/>
    <w:rsid w:val="00A04054"/>
    <w:rsid w:val="00A04D27"/>
    <w:rsid w:val="00A065F9"/>
    <w:rsid w:val="00A07F34"/>
    <w:rsid w:val="00A16044"/>
    <w:rsid w:val="00A22154"/>
    <w:rsid w:val="00A228BE"/>
    <w:rsid w:val="00A229D0"/>
    <w:rsid w:val="00A2342E"/>
    <w:rsid w:val="00A2480E"/>
    <w:rsid w:val="00A24F5B"/>
    <w:rsid w:val="00A25C38"/>
    <w:rsid w:val="00A2627D"/>
    <w:rsid w:val="00A3149D"/>
    <w:rsid w:val="00A32A3F"/>
    <w:rsid w:val="00A32AB0"/>
    <w:rsid w:val="00A36BBE"/>
    <w:rsid w:val="00A37734"/>
    <w:rsid w:val="00A40C33"/>
    <w:rsid w:val="00A417FC"/>
    <w:rsid w:val="00A4307A"/>
    <w:rsid w:val="00A443AE"/>
    <w:rsid w:val="00A4675F"/>
    <w:rsid w:val="00A472B2"/>
    <w:rsid w:val="00A47EBB"/>
    <w:rsid w:val="00A5152F"/>
    <w:rsid w:val="00A51CDD"/>
    <w:rsid w:val="00A51CE9"/>
    <w:rsid w:val="00A52072"/>
    <w:rsid w:val="00A5643A"/>
    <w:rsid w:val="00A60B55"/>
    <w:rsid w:val="00A62AFD"/>
    <w:rsid w:val="00A666F8"/>
    <w:rsid w:val="00A6672F"/>
    <w:rsid w:val="00A66F14"/>
    <w:rsid w:val="00A6730D"/>
    <w:rsid w:val="00A7073A"/>
    <w:rsid w:val="00A71625"/>
    <w:rsid w:val="00A71B9B"/>
    <w:rsid w:val="00A751C7"/>
    <w:rsid w:val="00A752F9"/>
    <w:rsid w:val="00A82AE7"/>
    <w:rsid w:val="00A82D36"/>
    <w:rsid w:val="00A87844"/>
    <w:rsid w:val="00A9253C"/>
    <w:rsid w:val="00A93C44"/>
    <w:rsid w:val="00A95CAC"/>
    <w:rsid w:val="00A95F3C"/>
    <w:rsid w:val="00A976EB"/>
    <w:rsid w:val="00AA038C"/>
    <w:rsid w:val="00AA1F20"/>
    <w:rsid w:val="00AA38F4"/>
    <w:rsid w:val="00AA7A09"/>
    <w:rsid w:val="00AB000A"/>
    <w:rsid w:val="00AB02D3"/>
    <w:rsid w:val="00AB0DE2"/>
    <w:rsid w:val="00AB0E2A"/>
    <w:rsid w:val="00AB1A08"/>
    <w:rsid w:val="00AB2D14"/>
    <w:rsid w:val="00AB3B50"/>
    <w:rsid w:val="00AB6136"/>
    <w:rsid w:val="00AB6A76"/>
    <w:rsid w:val="00AC05B1"/>
    <w:rsid w:val="00AC339C"/>
    <w:rsid w:val="00AC41BB"/>
    <w:rsid w:val="00AC60BB"/>
    <w:rsid w:val="00AC7BAB"/>
    <w:rsid w:val="00AD03D0"/>
    <w:rsid w:val="00AD1251"/>
    <w:rsid w:val="00AD356C"/>
    <w:rsid w:val="00AD62DA"/>
    <w:rsid w:val="00AD699F"/>
    <w:rsid w:val="00AE0F57"/>
    <w:rsid w:val="00AE2914"/>
    <w:rsid w:val="00AE4AF3"/>
    <w:rsid w:val="00AE6BEF"/>
    <w:rsid w:val="00AE6D15"/>
    <w:rsid w:val="00AE7613"/>
    <w:rsid w:val="00AF2257"/>
    <w:rsid w:val="00AF4BD1"/>
    <w:rsid w:val="00AF5E64"/>
    <w:rsid w:val="00AF69D4"/>
    <w:rsid w:val="00B0133F"/>
    <w:rsid w:val="00B01DEE"/>
    <w:rsid w:val="00B026EF"/>
    <w:rsid w:val="00B04182"/>
    <w:rsid w:val="00B06BD6"/>
    <w:rsid w:val="00B07AE3"/>
    <w:rsid w:val="00B07F26"/>
    <w:rsid w:val="00B102C2"/>
    <w:rsid w:val="00B11430"/>
    <w:rsid w:val="00B14681"/>
    <w:rsid w:val="00B14B1E"/>
    <w:rsid w:val="00B151B2"/>
    <w:rsid w:val="00B15649"/>
    <w:rsid w:val="00B22567"/>
    <w:rsid w:val="00B234DB"/>
    <w:rsid w:val="00B248E2"/>
    <w:rsid w:val="00B305C2"/>
    <w:rsid w:val="00B32B25"/>
    <w:rsid w:val="00B353EB"/>
    <w:rsid w:val="00B366E9"/>
    <w:rsid w:val="00B40129"/>
    <w:rsid w:val="00B439C4"/>
    <w:rsid w:val="00B43BFE"/>
    <w:rsid w:val="00B44D1C"/>
    <w:rsid w:val="00B4535E"/>
    <w:rsid w:val="00B459B9"/>
    <w:rsid w:val="00B51560"/>
    <w:rsid w:val="00B52A8C"/>
    <w:rsid w:val="00B53398"/>
    <w:rsid w:val="00B636A8"/>
    <w:rsid w:val="00B649A7"/>
    <w:rsid w:val="00B64FDB"/>
    <w:rsid w:val="00B665C6"/>
    <w:rsid w:val="00B672C1"/>
    <w:rsid w:val="00B70AE6"/>
    <w:rsid w:val="00B7210D"/>
    <w:rsid w:val="00B726AF"/>
    <w:rsid w:val="00B7307E"/>
    <w:rsid w:val="00B73AD4"/>
    <w:rsid w:val="00B74F1C"/>
    <w:rsid w:val="00B7517D"/>
    <w:rsid w:val="00B805AF"/>
    <w:rsid w:val="00B80C33"/>
    <w:rsid w:val="00B84B37"/>
    <w:rsid w:val="00B850BC"/>
    <w:rsid w:val="00B861C1"/>
    <w:rsid w:val="00B86666"/>
    <w:rsid w:val="00B869EC"/>
    <w:rsid w:val="00B86A90"/>
    <w:rsid w:val="00B86EE2"/>
    <w:rsid w:val="00B8703A"/>
    <w:rsid w:val="00B873D7"/>
    <w:rsid w:val="00B903EF"/>
    <w:rsid w:val="00B9148B"/>
    <w:rsid w:val="00B924FD"/>
    <w:rsid w:val="00B9397A"/>
    <w:rsid w:val="00B94F6E"/>
    <w:rsid w:val="00B95726"/>
    <w:rsid w:val="00B9633D"/>
    <w:rsid w:val="00B9727A"/>
    <w:rsid w:val="00BA068A"/>
    <w:rsid w:val="00BA0B75"/>
    <w:rsid w:val="00BA2C47"/>
    <w:rsid w:val="00BA2EBE"/>
    <w:rsid w:val="00BA61AC"/>
    <w:rsid w:val="00BA6A95"/>
    <w:rsid w:val="00BB0C3B"/>
    <w:rsid w:val="00BB0F28"/>
    <w:rsid w:val="00BB458A"/>
    <w:rsid w:val="00BB77E4"/>
    <w:rsid w:val="00BC3725"/>
    <w:rsid w:val="00BD00D3"/>
    <w:rsid w:val="00BD0BFC"/>
    <w:rsid w:val="00BD1659"/>
    <w:rsid w:val="00BD1C8B"/>
    <w:rsid w:val="00BD2718"/>
    <w:rsid w:val="00BD2994"/>
    <w:rsid w:val="00BD3AA9"/>
    <w:rsid w:val="00BD4A18"/>
    <w:rsid w:val="00BD6063"/>
    <w:rsid w:val="00BD66BC"/>
    <w:rsid w:val="00BD6DB2"/>
    <w:rsid w:val="00BE0064"/>
    <w:rsid w:val="00BE0B06"/>
    <w:rsid w:val="00BE11CF"/>
    <w:rsid w:val="00BE21AB"/>
    <w:rsid w:val="00BE2E9A"/>
    <w:rsid w:val="00BE486E"/>
    <w:rsid w:val="00BE4CDA"/>
    <w:rsid w:val="00BE55CB"/>
    <w:rsid w:val="00BE6985"/>
    <w:rsid w:val="00BF15CF"/>
    <w:rsid w:val="00BF2431"/>
    <w:rsid w:val="00BF2B5A"/>
    <w:rsid w:val="00BF5349"/>
    <w:rsid w:val="00BF617A"/>
    <w:rsid w:val="00BF6FCE"/>
    <w:rsid w:val="00C003B9"/>
    <w:rsid w:val="00C00B9F"/>
    <w:rsid w:val="00C01DC1"/>
    <w:rsid w:val="00C0379D"/>
    <w:rsid w:val="00C03931"/>
    <w:rsid w:val="00C042CB"/>
    <w:rsid w:val="00C057A9"/>
    <w:rsid w:val="00C05FE3"/>
    <w:rsid w:val="00C077D8"/>
    <w:rsid w:val="00C125C1"/>
    <w:rsid w:val="00C136B4"/>
    <w:rsid w:val="00C2136D"/>
    <w:rsid w:val="00C214EE"/>
    <w:rsid w:val="00C22D69"/>
    <w:rsid w:val="00C2314B"/>
    <w:rsid w:val="00C24971"/>
    <w:rsid w:val="00C24D48"/>
    <w:rsid w:val="00C254A4"/>
    <w:rsid w:val="00C25873"/>
    <w:rsid w:val="00C26BE5"/>
    <w:rsid w:val="00C26E4D"/>
    <w:rsid w:val="00C27909"/>
    <w:rsid w:val="00C27B03"/>
    <w:rsid w:val="00C314E1"/>
    <w:rsid w:val="00C31847"/>
    <w:rsid w:val="00C31C2B"/>
    <w:rsid w:val="00C32AE1"/>
    <w:rsid w:val="00C33C63"/>
    <w:rsid w:val="00C34397"/>
    <w:rsid w:val="00C3788B"/>
    <w:rsid w:val="00C37E93"/>
    <w:rsid w:val="00C4087B"/>
    <w:rsid w:val="00C4095D"/>
    <w:rsid w:val="00C40D81"/>
    <w:rsid w:val="00C40F28"/>
    <w:rsid w:val="00C46C93"/>
    <w:rsid w:val="00C5280D"/>
    <w:rsid w:val="00C55F5B"/>
    <w:rsid w:val="00C569C7"/>
    <w:rsid w:val="00C601D2"/>
    <w:rsid w:val="00C616D0"/>
    <w:rsid w:val="00C61E33"/>
    <w:rsid w:val="00C62A3D"/>
    <w:rsid w:val="00C65BCC"/>
    <w:rsid w:val="00C66970"/>
    <w:rsid w:val="00C7117A"/>
    <w:rsid w:val="00C71B81"/>
    <w:rsid w:val="00C76011"/>
    <w:rsid w:val="00C76F9A"/>
    <w:rsid w:val="00C776D0"/>
    <w:rsid w:val="00C77C40"/>
    <w:rsid w:val="00C80D11"/>
    <w:rsid w:val="00C84CF0"/>
    <w:rsid w:val="00C85E2A"/>
    <w:rsid w:val="00C8691C"/>
    <w:rsid w:val="00C9064B"/>
    <w:rsid w:val="00C90793"/>
    <w:rsid w:val="00C92791"/>
    <w:rsid w:val="00C93F1F"/>
    <w:rsid w:val="00C94ABE"/>
    <w:rsid w:val="00C95667"/>
    <w:rsid w:val="00CA0793"/>
    <w:rsid w:val="00CA168A"/>
    <w:rsid w:val="00CA202A"/>
    <w:rsid w:val="00CA2D00"/>
    <w:rsid w:val="00CA357E"/>
    <w:rsid w:val="00CA4200"/>
    <w:rsid w:val="00CA44F9"/>
    <w:rsid w:val="00CA4A69"/>
    <w:rsid w:val="00CA4E1D"/>
    <w:rsid w:val="00CA5725"/>
    <w:rsid w:val="00CA5DE4"/>
    <w:rsid w:val="00CB261C"/>
    <w:rsid w:val="00CB2C99"/>
    <w:rsid w:val="00CB4248"/>
    <w:rsid w:val="00CC0088"/>
    <w:rsid w:val="00CC28C7"/>
    <w:rsid w:val="00CC3E0C"/>
    <w:rsid w:val="00CC58D3"/>
    <w:rsid w:val="00CC71EB"/>
    <w:rsid w:val="00CC784D"/>
    <w:rsid w:val="00CD1734"/>
    <w:rsid w:val="00CD6CA9"/>
    <w:rsid w:val="00CD7E0D"/>
    <w:rsid w:val="00CE2261"/>
    <w:rsid w:val="00CE336A"/>
    <w:rsid w:val="00CF296A"/>
    <w:rsid w:val="00CF4712"/>
    <w:rsid w:val="00CF6A40"/>
    <w:rsid w:val="00CF7D80"/>
    <w:rsid w:val="00D0002D"/>
    <w:rsid w:val="00D010CF"/>
    <w:rsid w:val="00D01991"/>
    <w:rsid w:val="00D0337B"/>
    <w:rsid w:val="00D035AE"/>
    <w:rsid w:val="00D03A85"/>
    <w:rsid w:val="00D05439"/>
    <w:rsid w:val="00D05BAC"/>
    <w:rsid w:val="00D06B1D"/>
    <w:rsid w:val="00D07173"/>
    <w:rsid w:val="00D079B2"/>
    <w:rsid w:val="00D114E9"/>
    <w:rsid w:val="00D12830"/>
    <w:rsid w:val="00D17AC3"/>
    <w:rsid w:val="00D23C25"/>
    <w:rsid w:val="00D240A6"/>
    <w:rsid w:val="00D277E8"/>
    <w:rsid w:val="00D27BDB"/>
    <w:rsid w:val="00D33400"/>
    <w:rsid w:val="00D35804"/>
    <w:rsid w:val="00D429C6"/>
    <w:rsid w:val="00D42A14"/>
    <w:rsid w:val="00D463FC"/>
    <w:rsid w:val="00D46F05"/>
    <w:rsid w:val="00D47748"/>
    <w:rsid w:val="00D52669"/>
    <w:rsid w:val="00D54205"/>
    <w:rsid w:val="00D54CC3"/>
    <w:rsid w:val="00D55453"/>
    <w:rsid w:val="00D6041A"/>
    <w:rsid w:val="00D633EB"/>
    <w:rsid w:val="00D67A27"/>
    <w:rsid w:val="00D820F2"/>
    <w:rsid w:val="00D82FF7"/>
    <w:rsid w:val="00D847FE"/>
    <w:rsid w:val="00D8633E"/>
    <w:rsid w:val="00D876C1"/>
    <w:rsid w:val="00D90443"/>
    <w:rsid w:val="00D91753"/>
    <w:rsid w:val="00D948F3"/>
    <w:rsid w:val="00D957F3"/>
    <w:rsid w:val="00D961A2"/>
    <w:rsid w:val="00D962BE"/>
    <w:rsid w:val="00D964EA"/>
    <w:rsid w:val="00D966D0"/>
    <w:rsid w:val="00D96EAD"/>
    <w:rsid w:val="00D96EEB"/>
    <w:rsid w:val="00DA0C59"/>
    <w:rsid w:val="00DA1E79"/>
    <w:rsid w:val="00DA24E9"/>
    <w:rsid w:val="00DA2796"/>
    <w:rsid w:val="00DA3991"/>
    <w:rsid w:val="00DA6E22"/>
    <w:rsid w:val="00DB0990"/>
    <w:rsid w:val="00DB1E42"/>
    <w:rsid w:val="00DB2431"/>
    <w:rsid w:val="00DB3ACF"/>
    <w:rsid w:val="00DB6BA5"/>
    <w:rsid w:val="00DB7E6C"/>
    <w:rsid w:val="00DC0E17"/>
    <w:rsid w:val="00DC3686"/>
    <w:rsid w:val="00DC4014"/>
    <w:rsid w:val="00DD149C"/>
    <w:rsid w:val="00DD5304"/>
    <w:rsid w:val="00DD5387"/>
    <w:rsid w:val="00DD5A29"/>
    <w:rsid w:val="00DD5D9D"/>
    <w:rsid w:val="00DD69DC"/>
    <w:rsid w:val="00DE15A8"/>
    <w:rsid w:val="00DE1941"/>
    <w:rsid w:val="00DE336B"/>
    <w:rsid w:val="00DE35CB"/>
    <w:rsid w:val="00DE3855"/>
    <w:rsid w:val="00DE650C"/>
    <w:rsid w:val="00DF18ED"/>
    <w:rsid w:val="00DF21E9"/>
    <w:rsid w:val="00DF36AE"/>
    <w:rsid w:val="00DF5985"/>
    <w:rsid w:val="00E00668"/>
    <w:rsid w:val="00E00E8C"/>
    <w:rsid w:val="00E00F14"/>
    <w:rsid w:val="00E01464"/>
    <w:rsid w:val="00E02349"/>
    <w:rsid w:val="00E034CF"/>
    <w:rsid w:val="00E06386"/>
    <w:rsid w:val="00E06E0B"/>
    <w:rsid w:val="00E07237"/>
    <w:rsid w:val="00E079AF"/>
    <w:rsid w:val="00E1209D"/>
    <w:rsid w:val="00E12847"/>
    <w:rsid w:val="00E12AC8"/>
    <w:rsid w:val="00E1306F"/>
    <w:rsid w:val="00E15526"/>
    <w:rsid w:val="00E16C82"/>
    <w:rsid w:val="00E22177"/>
    <w:rsid w:val="00E23D9D"/>
    <w:rsid w:val="00E24C23"/>
    <w:rsid w:val="00E24EB4"/>
    <w:rsid w:val="00E2750D"/>
    <w:rsid w:val="00E27A0D"/>
    <w:rsid w:val="00E30922"/>
    <w:rsid w:val="00E3173D"/>
    <w:rsid w:val="00E31F1E"/>
    <w:rsid w:val="00E320ED"/>
    <w:rsid w:val="00E323D0"/>
    <w:rsid w:val="00E32C8B"/>
    <w:rsid w:val="00E32F2F"/>
    <w:rsid w:val="00E33AFB"/>
    <w:rsid w:val="00E34218"/>
    <w:rsid w:val="00E36FB6"/>
    <w:rsid w:val="00E410C0"/>
    <w:rsid w:val="00E44875"/>
    <w:rsid w:val="00E4509C"/>
    <w:rsid w:val="00E46282"/>
    <w:rsid w:val="00E462BE"/>
    <w:rsid w:val="00E4780D"/>
    <w:rsid w:val="00E51E52"/>
    <w:rsid w:val="00E5216E"/>
    <w:rsid w:val="00E52AE3"/>
    <w:rsid w:val="00E533D3"/>
    <w:rsid w:val="00E546CE"/>
    <w:rsid w:val="00E55705"/>
    <w:rsid w:val="00E5597A"/>
    <w:rsid w:val="00E6021E"/>
    <w:rsid w:val="00E67C9D"/>
    <w:rsid w:val="00E71945"/>
    <w:rsid w:val="00E72427"/>
    <w:rsid w:val="00E72696"/>
    <w:rsid w:val="00E75761"/>
    <w:rsid w:val="00E768A7"/>
    <w:rsid w:val="00E77C35"/>
    <w:rsid w:val="00E8099E"/>
    <w:rsid w:val="00E82344"/>
    <w:rsid w:val="00E84C82"/>
    <w:rsid w:val="00E84D64"/>
    <w:rsid w:val="00E87408"/>
    <w:rsid w:val="00E9042C"/>
    <w:rsid w:val="00E91334"/>
    <w:rsid w:val="00E914C4"/>
    <w:rsid w:val="00E915E4"/>
    <w:rsid w:val="00E92310"/>
    <w:rsid w:val="00E92AE3"/>
    <w:rsid w:val="00E934F5"/>
    <w:rsid w:val="00E9413D"/>
    <w:rsid w:val="00E96961"/>
    <w:rsid w:val="00E96AB2"/>
    <w:rsid w:val="00EA1E36"/>
    <w:rsid w:val="00EA3F0C"/>
    <w:rsid w:val="00EA584C"/>
    <w:rsid w:val="00EA72EC"/>
    <w:rsid w:val="00EA78E9"/>
    <w:rsid w:val="00EB01AF"/>
    <w:rsid w:val="00EB0381"/>
    <w:rsid w:val="00EB11CB"/>
    <w:rsid w:val="00EB275A"/>
    <w:rsid w:val="00EB442F"/>
    <w:rsid w:val="00EB786A"/>
    <w:rsid w:val="00EC1578"/>
    <w:rsid w:val="00EC1C72"/>
    <w:rsid w:val="00EC1D4A"/>
    <w:rsid w:val="00EC3CC9"/>
    <w:rsid w:val="00EC56E7"/>
    <w:rsid w:val="00EC5751"/>
    <w:rsid w:val="00EC680A"/>
    <w:rsid w:val="00ED0EBA"/>
    <w:rsid w:val="00ED1DC3"/>
    <w:rsid w:val="00ED21DE"/>
    <w:rsid w:val="00ED26E8"/>
    <w:rsid w:val="00ED2F50"/>
    <w:rsid w:val="00ED67B6"/>
    <w:rsid w:val="00EE232F"/>
    <w:rsid w:val="00EE2BED"/>
    <w:rsid w:val="00EE2EDC"/>
    <w:rsid w:val="00EE374B"/>
    <w:rsid w:val="00EE3ACF"/>
    <w:rsid w:val="00EF0087"/>
    <w:rsid w:val="00EF107A"/>
    <w:rsid w:val="00EF34CF"/>
    <w:rsid w:val="00EF54D5"/>
    <w:rsid w:val="00EF5EEF"/>
    <w:rsid w:val="00EF6201"/>
    <w:rsid w:val="00F0345B"/>
    <w:rsid w:val="00F03B26"/>
    <w:rsid w:val="00F05CA4"/>
    <w:rsid w:val="00F0636B"/>
    <w:rsid w:val="00F07B2B"/>
    <w:rsid w:val="00F10993"/>
    <w:rsid w:val="00F11BB5"/>
    <w:rsid w:val="00F12059"/>
    <w:rsid w:val="00F13A17"/>
    <w:rsid w:val="00F1417B"/>
    <w:rsid w:val="00F14D6B"/>
    <w:rsid w:val="00F151C6"/>
    <w:rsid w:val="00F16449"/>
    <w:rsid w:val="00F2219F"/>
    <w:rsid w:val="00F22950"/>
    <w:rsid w:val="00F23BE9"/>
    <w:rsid w:val="00F23D97"/>
    <w:rsid w:val="00F24CF2"/>
    <w:rsid w:val="00F26B3E"/>
    <w:rsid w:val="00F277AC"/>
    <w:rsid w:val="00F30E7E"/>
    <w:rsid w:val="00F32215"/>
    <w:rsid w:val="00F332D1"/>
    <w:rsid w:val="00F33FB6"/>
    <w:rsid w:val="00F348CA"/>
    <w:rsid w:val="00F34B99"/>
    <w:rsid w:val="00F353E7"/>
    <w:rsid w:val="00F40183"/>
    <w:rsid w:val="00F4234E"/>
    <w:rsid w:val="00F42A9C"/>
    <w:rsid w:val="00F43F3A"/>
    <w:rsid w:val="00F4573B"/>
    <w:rsid w:val="00F45F70"/>
    <w:rsid w:val="00F503D7"/>
    <w:rsid w:val="00F52DAB"/>
    <w:rsid w:val="00F543F0"/>
    <w:rsid w:val="00F56F83"/>
    <w:rsid w:val="00F615F1"/>
    <w:rsid w:val="00F61605"/>
    <w:rsid w:val="00F63C86"/>
    <w:rsid w:val="00F6548B"/>
    <w:rsid w:val="00F66106"/>
    <w:rsid w:val="00F66EC2"/>
    <w:rsid w:val="00F6731A"/>
    <w:rsid w:val="00F6742F"/>
    <w:rsid w:val="00F72C31"/>
    <w:rsid w:val="00F73386"/>
    <w:rsid w:val="00F733C8"/>
    <w:rsid w:val="00F74E40"/>
    <w:rsid w:val="00F779D6"/>
    <w:rsid w:val="00F81109"/>
    <w:rsid w:val="00F81D29"/>
    <w:rsid w:val="00F8226E"/>
    <w:rsid w:val="00F82C2C"/>
    <w:rsid w:val="00F82CDE"/>
    <w:rsid w:val="00F83C82"/>
    <w:rsid w:val="00F84454"/>
    <w:rsid w:val="00F90F36"/>
    <w:rsid w:val="00F91C4D"/>
    <w:rsid w:val="00F92FD9"/>
    <w:rsid w:val="00F955D7"/>
    <w:rsid w:val="00FA222B"/>
    <w:rsid w:val="00FA6684"/>
    <w:rsid w:val="00FA731E"/>
    <w:rsid w:val="00FA76EC"/>
    <w:rsid w:val="00FB0CE4"/>
    <w:rsid w:val="00FB18F3"/>
    <w:rsid w:val="00FB2B38"/>
    <w:rsid w:val="00FB2B42"/>
    <w:rsid w:val="00FB4CCD"/>
    <w:rsid w:val="00FB7108"/>
    <w:rsid w:val="00FB72B6"/>
    <w:rsid w:val="00FC1904"/>
    <w:rsid w:val="00FC27E0"/>
    <w:rsid w:val="00FC5F92"/>
    <w:rsid w:val="00FC6246"/>
    <w:rsid w:val="00FC6358"/>
    <w:rsid w:val="00FD01CF"/>
    <w:rsid w:val="00FD1EC3"/>
    <w:rsid w:val="00FD1F6E"/>
    <w:rsid w:val="00FD320D"/>
    <w:rsid w:val="00FD47C6"/>
    <w:rsid w:val="00FD500F"/>
    <w:rsid w:val="00FE1CE6"/>
    <w:rsid w:val="00FE23DE"/>
    <w:rsid w:val="00FE444C"/>
    <w:rsid w:val="00FE6B97"/>
    <w:rsid w:val="00FF3978"/>
    <w:rsid w:val="00FF58B0"/>
    <w:rsid w:val="02E01F96"/>
    <w:rsid w:val="078E0239"/>
    <w:rsid w:val="083B2844"/>
    <w:rsid w:val="15EB28B7"/>
    <w:rsid w:val="1C8759B7"/>
    <w:rsid w:val="24313961"/>
    <w:rsid w:val="2565090C"/>
    <w:rsid w:val="25E839E7"/>
    <w:rsid w:val="29604CD7"/>
    <w:rsid w:val="29CB4E54"/>
    <w:rsid w:val="2A734D4A"/>
    <w:rsid w:val="339F477E"/>
    <w:rsid w:val="35A46BB7"/>
    <w:rsid w:val="3C0A1D91"/>
    <w:rsid w:val="452E19D2"/>
    <w:rsid w:val="47BE7A89"/>
    <w:rsid w:val="512D465D"/>
    <w:rsid w:val="53E276BF"/>
    <w:rsid w:val="560A10F9"/>
    <w:rsid w:val="58BD1310"/>
    <w:rsid w:val="5C2C7276"/>
    <w:rsid w:val="625724E9"/>
    <w:rsid w:val="64AA2534"/>
    <w:rsid w:val="693B6F85"/>
    <w:rsid w:val="6DF044A7"/>
    <w:rsid w:val="71EC078C"/>
    <w:rsid w:val="727C11F4"/>
    <w:rsid w:val="79872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4"/>
    <w:qFormat/>
    <w:uiPriority w:val="0"/>
    <w:pPr>
      <w:keepNext/>
      <w:keepLines/>
      <w:spacing w:before="340" w:after="330" w:line="578" w:lineRule="auto"/>
      <w:outlineLvl w:val="0"/>
    </w:pPr>
    <w:rPr>
      <w:b/>
      <w:bCs/>
      <w:kern w:val="44"/>
      <w:sz w:val="44"/>
      <w:szCs w:val="4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2"/>
      </w:tabs>
      <w:ind w:firstLine="1050"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annotation text"/>
    <w:basedOn w:val="1"/>
    <w:link w:val="48"/>
    <w:qFormat/>
    <w:uiPriority w:val="0"/>
    <w:pPr>
      <w:jc w:val="left"/>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2"/>
      </w:tabs>
      <w:ind w:firstLine="630" w:firstLineChars="300"/>
      <w:jc w:val="left"/>
    </w:pPr>
    <w:rPr>
      <w:rFonts w:ascii="宋体"/>
      <w:szCs w:val="21"/>
    </w:rPr>
  </w:style>
  <w:style w:type="paragraph" w:styleId="12">
    <w:name w:val="toc 3"/>
    <w:basedOn w:val="1"/>
    <w:next w:val="1"/>
    <w:qFormat/>
    <w:uiPriority w:val="39"/>
    <w:pPr>
      <w:tabs>
        <w:tab w:val="right" w:leader="dot" w:pos="9242"/>
      </w:tabs>
      <w:ind w:firstLine="210" w:firstLineChars="100"/>
      <w:jc w:val="left"/>
    </w:pPr>
    <w:rPr>
      <w:rFonts w:ascii="宋体"/>
      <w:szCs w:val="21"/>
    </w:rPr>
  </w:style>
  <w:style w:type="paragraph" w:styleId="13">
    <w:name w:val="toc 8"/>
    <w:basedOn w:val="1"/>
    <w:next w:val="1"/>
    <w:semiHidden/>
    <w:qFormat/>
    <w:uiPriority w:val="0"/>
    <w:pPr>
      <w:tabs>
        <w:tab w:val="right" w:leader="dot" w:pos="9242"/>
      </w:tabs>
      <w:ind w:firstLine="1260"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Date"/>
    <w:basedOn w:val="1"/>
    <w:next w:val="1"/>
    <w:link w:val="47"/>
    <w:qFormat/>
    <w:uiPriority w:val="0"/>
    <w:pPr>
      <w:ind w:left="100" w:leftChars="2500"/>
    </w:pPr>
  </w:style>
  <w:style w:type="paragraph" w:styleId="16">
    <w:name w:val="endnote text"/>
    <w:basedOn w:val="1"/>
    <w:semiHidden/>
    <w:qFormat/>
    <w:uiPriority w:val="0"/>
    <w:pPr>
      <w:snapToGrid w:val="0"/>
      <w:jc w:val="left"/>
    </w:pPr>
  </w:style>
  <w:style w:type="paragraph" w:styleId="17">
    <w:name w:val="Balloon Text"/>
    <w:basedOn w:val="1"/>
    <w:link w:val="49"/>
    <w:qFormat/>
    <w:uiPriority w:val="0"/>
    <w:rPr>
      <w:sz w:val="18"/>
      <w:szCs w:val="18"/>
    </w:rPr>
  </w:style>
  <w:style w:type="paragraph" w:styleId="18">
    <w:name w:val="footer"/>
    <w:basedOn w:val="1"/>
    <w:qFormat/>
    <w:uiPriority w:val="0"/>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qFormat/>
    <w:uiPriority w:val="39"/>
    <w:pPr>
      <w:tabs>
        <w:tab w:val="right" w:leader="dot" w:pos="9242"/>
      </w:tabs>
      <w:spacing w:beforeLines="25" w:afterLines="25"/>
      <w:jc w:val="left"/>
    </w:pPr>
    <w:rPr>
      <w:rFonts w:ascii="宋体"/>
      <w:szCs w:val="21"/>
    </w:rPr>
  </w:style>
  <w:style w:type="paragraph" w:styleId="21">
    <w:name w:val="toc 4"/>
    <w:basedOn w:val="1"/>
    <w:next w:val="1"/>
    <w:semiHidden/>
    <w:qFormat/>
    <w:uiPriority w:val="0"/>
    <w:pPr>
      <w:tabs>
        <w:tab w:val="right" w:leader="dot" w:pos="9242"/>
      </w:tabs>
      <w:ind w:firstLine="420"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4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2"/>
      </w:tabs>
      <w:ind w:firstLine="840"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qFormat/>
    <w:uiPriority w:val="39"/>
    <w:pPr>
      <w:tabs>
        <w:tab w:val="right" w:leader="dot" w:pos="9242"/>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Normal (Web)"/>
    <w:basedOn w:val="1"/>
    <w:qFormat/>
    <w:uiPriority w:val="99"/>
    <w:rPr>
      <w:sz w:val="24"/>
    </w:rPr>
  </w:style>
  <w:style w:type="paragraph" w:styleId="32">
    <w:name w:val="index 2"/>
    <w:basedOn w:val="1"/>
    <w:next w:val="1"/>
    <w:qFormat/>
    <w:uiPriority w:val="0"/>
    <w:pPr>
      <w:ind w:left="420" w:hanging="210"/>
      <w:jc w:val="left"/>
    </w:pPr>
    <w:rPr>
      <w:rFonts w:ascii="Calibri" w:hAnsi="Calibri"/>
      <w:sz w:val="20"/>
      <w:szCs w:val="20"/>
    </w:rPr>
  </w:style>
  <w:style w:type="paragraph" w:styleId="33">
    <w:name w:val="annotation subject"/>
    <w:basedOn w:val="8"/>
    <w:next w:val="8"/>
    <w:link w:val="43"/>
    <w:qFormat/>
    <w:uiPriority w:val="0"/>
    <w:rPr>
      <w:b/>
      <w:bCs/>
    </w:rPr>
  </w:style>
  <w:style w:type="table" w:styleId="35">
    <w:name w:val="Table Grid"/>
    <w:basedOn w:val="3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endnote reference"/>
    <w:semiHidden/>
    <w:qFormat/>
    <w:uiPriority w:val="0"/>
    <w:rPr>
      <w:vertAlign w:val="superscript"/>
    </w:rPr>
  </w:style>
  <w:style w:type="character" w:styleId="38">
    <w:name w:val="page number"/>
    <w:qFormat/>
    <w:uiPriority w:val="0"/>
    <w:rPr>
      <w:rFonts w:ascii="Times New Roman" w:hAnsi="Times New Roman" w:eastAsia="宋体"/>
      <w:sz w:val="18"/>
    </w:rPr>
  </w:style>
  <w:style w:type="character" w:styleId="39">
    <w:name w:val="FollowedHyperlink"/>
    <w:qFormat/>
    <w:uiPriority w:val="99"/>
    <w:rPr>
      <w:color w:val="800080"/>
      <w:u w:val="single"/>
    </w:rPr>
  </w:style>
  <w:style w:type="character" w:styleId="40">
    <w:name w:val="Hyperlink"/>
    <w:qFormat/>
    <w:uiPriority w:val="99"/>
    <w:rPr>
      <w:color w:val="0000FF"/>
      <w:spacing w:val="0"/>
      <w:w w:val="100"/>
      <w:szCs w:val="21"/>
      <w:u w:val="single"/>
      <w:lang w:val="en-US" w:eastAsia="zh-CN"/>
    </w:rPr>
  </w:style>
  <w:style w:type="character" w:styleId="41">
    <w:name w:val="annotation reference"/>
    <w:qFormat/>
    <w:uiPriority w:val="0"/>
    <w:rPr>
      <w:sz w:val="21"/>
      <w:szCs w:val="21"/>
    </w:rPr>
  </w:style>
  <w:style w:type="character" w:styleId="42">
    <w:name w:val="footnote reference"/>
    <w:semiHidden/>
    <w:qFormat/>
    <w:uiPriority w:val="0"/>
    <w:rPr>
      <w:vertAlign w:val="superscript"/>
    </w:rPr>
  </w:style>
  <w:style w:type="character" w:customStyle="1" w:styleId="43">
    <w:name w:val="批注主题 字符"/>
    <w:link w:val="33"/>
    <w:qFormat/>
    <w:uiPriority w:val="0"/>
    <w:rPr>
      <w:b/>
      <w:bCs/>
      <w:kern w:val="2"/>
      <w:sz w:val="21"/>
      <w:szCs w:val="24"/>
    </w:rPr>
  </w:style>
  <w:style w:type="character" w:customStyle="1" w:styleId="44">
    <w:name w:val="附录公式 Char"/>
    <w:basedOn w:val="45"/>
    <w:link w:val="46"/>
    <w:qFormat/>
    <w:uiPriority w:val="0"/>
    <w:rPr>
      <w:rFonts w:ascii="宋体"/>
      <w:sz w:val="21"/>
      <w:lang w:val="en-US" w:eastAsia="zh-CN" w:bidi="ar-SA"/>
    </w:rPr>
  </w:style>
  <w:style w:type="character" w:customStyle="1" w:styleId="45">
    <w:name w:val="段 Char"/>
    <w:link w:val="24"/>
    <w:qFormat/>
    <w:uiPriority w:val="0"/>
    <w:rPr>
      <w:rFonts w:ascii="宋体"/>
      <w:sz w:val="21"/>
      <w:lang w:val="en-US" w:eastAsia="zh-CN" w:bidi="ar-SA"/>
    </w:rPr>
  </w:style>
  <w:style w:type="paragraph" w:customStyle="1" w:styleId="46">
    <w:name w:val="附录公式"/>
    <w:basedOn w:val="24"/>
    <w:next w:val="24"/>
    <w:link w:val="44"/>
    <w:qFormat/>
    <w:uiPriority w:val="0"/>
  </w:style>
  <w:style w:type="character" w:customStyle="1" w:styleId="47">
    <w:name w:val="日期 字符"/>
    <w:link w:val="15"/>
    <w:qFormat/>
    <w:uiPriority w:val="0"/>
    <w:rPr>
      <w:kern w:val="2"/>
      <w:sz w:val="21"/>
      <w:szCs w:val="24"/>
    </w:rPr>
  </w:style>
  <w:style w:type="character" w:customStyle="1" w:styleId="48">
    <w:name w:val="批注文字 字符"/>
    <w:link w:val="8"/>
    <w:qFormat/>
    <w:uiPriority w:val="0"/>
    <w:rPr>
      <w:kern w:val="2"/>
      <w:sz w:val="21"/>
      <w:szCs w:val="24"/>
    </w:rPr>
  </w:style>
  <w:style w:type="character" w:customStyle="1" w:styleId="49">
    <w:name w:val="批注框文本 字符"/>
    <w:link w:val="17"/>
    <w:qFormat/>
    <w:uiPriority w:val="0"/>
    <w:rPr>
      <w:kern w:val="2"/>
      <w:sz w:val="18"/>
      <w:szCs w:val="18"/>
    </w:rPr>
  </w:style>
  <w:style w:type="character" w:customStyle="1" w:styleId="50">
    <w:name w:val="首示例 Char"/>
    <w:link w:val="51"/>
    <w:qFormat/>
    <w:uiPriority w:val="0"/>
    <w:rPr>
      <w:rFonts w:ascii="宋体" w:hAnsi="宋体"/>
      <w:kern w:val="2"/>
      <w:sz w:val="18"/>
      <w:szCs w:val="18"/>
      <w:lang w:val="en-US" w:eastAsia="zh-CN" w:bidi="ar-SA"/>
    </w:rPr>
  </w:style>
  <w:style w:type="paragraph" w:customStyle="1" w:styleId="51">
    <w:name w:val="首示例"/>
    <w:next w:val="24"/>
    <w:link w:val="50"/>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52">
    <w:name w:val="发布"/>
    <w:qFormat/>
    <w:uiPriority w:val="0"/>
    <w:rPr>
      <w:rFonts w:ascii="黑体" w:eastAsia="黑体"/>
      <w:spacing w:val="85"/>
      <w:w w:val="100"/>
      <w:position w:val="3"/>
      <w:sz w:val="28"/>
      <w:szCs w:val="28"/>
    </w:rPr>
  </w:style>
  <w:style w:type="paragraph" w:customStyle="1" w:styleId="53">
    <w:name w:val="封面标准英文名称"/>
    <w:basedOn w:val="54"/>
    <w:qFormat/>
    <w:uiPriority w:val="0"/>
    <w:pPr>
      <w:framePr w:wrap="around"/>
      <w:spacing w:before="370" w:line="400" w:lineRule="exact"/>
    </w:pPr>
    <w:rPr>
      <w:rFonts w:ascii="Times New Roman"/>
      <w:sz w:val="28"/>
      <w:szCs w:val="28"/>
    </w:rPr>
  </w:style>
  <w:style w:type="paragraph" w:customStyle="1" w:styleId="5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5">
    <w:name w:val="封面标准文稿类别2"/>
    <w:basedOn w:val="56"/>
    <w:qFormat/>
    <w:uiPriority w:val="0"/>
    <w:pPr>
      <w:framePr w:wrap="around" w:y="4469"/>
    </w:pPr>
  </w:style>
  <w:style w:type="paragraph" w:customStyle="1" w:styleId="56">
    <w:name w:val="封面标准文稿类别"/>
    <w:basedOn w:val="57"/>
    <w:qFormat/>
    <w:uiPriority w:val="0"/>
    <w:pPr>
      <w:framePr w:wrap="around"/>
      <w:spacing w:after="160" w:line="240" w:lineRule="auto"/>
    </w:pPr>
    <w:rPr>
      <w:sz w:val="24"/>
    </w:rPr>
  </w:style>
  <w:style w:type="paragraph" w:customStyle="1" w:styleId="57">
    <w:name w:val="封面一致性程度标识"/>
    <w:basedOn w:val="53"/>
    <w:qFormat/>
    <w:uiPriority w:val="0"/>
    <w:pPr>
      <w:framePr w:wrap="around"/>
      <w:spacing w:before="440"/>
    </w:pPr>
    <w:rPr>
      <w:rFonts w:ascii="宋体" w:eastAsia="宋体"/>
    </w:rPr>
  </w:style>
  <w:style w:type="paragraph" w:customStyle="1" w:styleId="58">
    <w:name w:val="正文图标题"/>
    <w:next w:val="24"/>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paragraph" w:customStyle="1" w:styleId="59">
    <w:name w:val="附录图标题"/>
    <w:basedOn w:val="1"/>
    <w:next w:val="24"/>
    <w:qFormat/>
    <w:uiPriority w:val="0"/>
    <w:pPr>
      <w:numPr>
        <w:ilvl w:val="1"/>
        <w:numId w:val="4"/>
      </w:numPr>
      <w:tabs>
        <w:tab w:val="left" w:pos="363"/>
      </w:tabs>
      <w:spacing w:beforeLines="50" w:afterLines="50"/>
      <w:ind w:left="0" w:firstLine="0"/>
      <w:jc w:val="center"/>
    </w:pPr>
    <w:rPr>
      <w:rFonts w:ascii="黑体" w:eastAsia="黑体"/>
      <w:szCs w:val="21"/>
    </w:rPr>
  </w:style>
  <w:style w:type="paragraph" w:customStyle="1" w:styleId="60">
    <w:name w:val="附录二级无"/>
    <w:basedOn w:val="61"/>
    <w:qFormat/>
    <w:uiPriority w:val="0"/>
    <w:pPr>
      <w:tabs>
        <w:tab w:val="left" w:pos="360"/>
      </w:tabs>
      <w:spacing w:beforeLines="0" w:afterLines="0"/>
    </w:pPr>
    <w:rPr>
      <w:rFonts w:ascii="宋体" w:eastAsia="宋体"/>
      <w:szCs w:val="21"/>
    </w:rPr>
  </w:style>
  <w:style w:type="paragraph" w:customStyle="1" w:styleId="61">
    <w:name w:val="附录二级条标题"/>
    <w:basedOn w:val="1"/>
    <w:next w:val="24"/>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2">
    <w:name w:val="三级无"/>
    <w:basedOn w:val="63"/>
    <w:qFormat/>
    <w:uiPriority w:val="0"/>
    <w:pPr>
      <w:spacing w:beforeLines="0" w:afterLines="0"/>
    </w:pPr>
    <w:rPr>
      <w:rFonts w:ascii="宋体" w:eastAsia="宋体"/>
    </w:rPr>
  </w:style>
  <w:style w:type="paragraph" w:customStyle="1" w:styleId="63">
    <w:name w:val="三级条标题"/>
    <w:basedOn w:val="64"/>
    <w:next w:val="24"/>
    <w:qFormat/>
    <w:uiPriority w:val="0"/>
    <w:pPr>
      <w:numPr>
        <w:ilvl w:val="0"/>
        <w:numId w:val="0"/>
      </w:numPr>
      <w:outlineLvl w:val="4"/>
    </w:pPr>
  </w:style>
  <w:style w:type="paragraph" w:customStyle="1" w:styleId="64">
    <w:name w:val="二级条标题"/>
    <w:basedOn w:val="65"/>
    <w:next w:val="24"/>
    <w:qFormat/>
    <w:uiPriority w:val="0"/>
    <w:pPr>
      <w:numPr>
        <w:ilvl w:val="2"/>
      </w:numPr>
      <w:spacing w:before="50" w:after="50"/>
      <w:outlineLvl w:val="3"/>
    </w:pPr>
  </w:style>
  <w:style w:type="paragraph" w:customStyle="1" w:styleId="65">
    <w:name w:val="一级条标题"/>
    <w:next w:val="24"/>
    <w:qFormat/>
    <w:uiPriority w:val="0"/>
    <w:pPr>
      <w:numPr>
        <w:ilvl w:val="1"/>
        <w:numId w:val="5"/>
      </w:numPr>
      <w:spacing w:beforeLines="50" w:afterLines="50"/>
      <w:outlineLvl w:val="2"/>
    </w:pPr>
    <w:rPr>
      <w:rFonts w:ascii="黑体" w:hAnsi="Times New Roman" w:eastAsia="黑体" w:cs="Times New Roman"/>
      <w:sz w:val="21"/>
      <w:szCs w:val="21"/>
      <w:lang w:val="en-US" w:eastAsia="zh-CN" w:bidi="ar-SA"/>
    </w:rPr>
  </w:style>
  <w:style w:type="paragraph" w:customStyle="1" w:styleId="6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7">
    <w:name w:val="封面标准文稿编辑信息"/>
    <w:basedOn w:val="56"/>
    <w:qFormat/>
    <w:uiPriority w:val="0"/>
    <w:pPr>
      <w:framePr w:wrap="around"/>
      <w:spacing w:before="180" w:line="180" w:lineRule="exact"/>
    </w:pPr>
    <w:rPr>
      <w:sz w:val="21"/>
    </w:rPr>
  </w:style>
  <w:style w:type="paragraph" w:customStyle="1" w:styleId="68">
    <w:name w:val="列项◆（三级）"/>
    <w:basedOn w:val="1"/>
    <w:qFormat/>
    <w:uiPriority w:val="0"/>
    <w:pPr>
      <w:numPr>
        <w:ilvl w:val="2"/>
        <w:numId w:val="6"/>
      </w:numPr>
    </w:pPr>
    <w:rPr>
      <w:rFonts w:ascii="宋体"/>
      <w:szCs w:val="21"/>
    </w:rPr>
  </w:style>
  <w:style w:type="paragraph" w:customStyle="1" w:styleId="69">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1">
    <w:name w:val="实施日期"/>
    <w:basedOn w:val="72"/>
    <w:qFormat/>
    <w:uiPriority w:val="0"/>
    <w:pPr>
      <w:framePr w:wrap="around" w:vAnchor="page" w:hAnchor="text"/>
      <w:jc w:val="right"/>
    </w:pPr>
  </w:style>
  <w:style w:type="paragraph" w:customStyle="1" w:styleId="72">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4">
    <w:name w:val="图表脚注说明"/>
    <w:basedOn w:val="1"/>
    <w:qFormat/>
    <w:uiPriority w:val="0"/>
    <w:pPr>
      <w:numPr>
        <w:ilvl w:val="0"/>
        <w:numId w:val="7"/>
      </w:numPr>
    </w:pPr>
    <w:rPr>
      <w:rFonts w:ascii="宋体"/>
      <w:sz w:val="18"/>
      <w:szCs w:val="18"/>
    </w:rPr>
  </w:style>
  <w:style w:type="paragraph" w:customStyle="1" w:styleId="75">
    <w:name w:val="封面标准英文名称2"/>
    <w:basedOn w:val="53"/>
    <w:qFormat/>
    <w:uiPriority w:val="0"/>
    <w:pPr>
      <w:framePr w:wrap="around" w:y="4469"/>
    </w:pPr>
  </w:style>
  <w:style w:type="paragraph" w:customStyle="1" w:styleId="76">
    <w:name w:val="数字编号列项（二级）"/>
    <w:qFormat/>
    <w:uiPriority w:val="0"/>
    <w:pPr>
      <w:numPr>
        <w:ilvl w:val="1"/>
        <w:numId w:val="8"/>
      </w:numPr>
      <w:jc w:val="both"/>
    </w:pPr>
    <w:rPr>
      <w:rFonts w:ascii="宋体" w:hAnsi="Times New Roman" w:eastAsia="宋体" w:cs="Times New Roman"/>
      <w:sz w:val="21"/>
      <w:lang w:val="en-US" w:eastAsia="zh-CN" w:bidi="ar-SA"/>
    </w:rPr>
  </w:style>
  <w:style w:type="paragraph" w:customStyle="1" w:styleId="77">
    <w:name w:val="示例后文字"/>
    <w:basedOn w:val="24"/>
    <w:next w:val="24"/>
    <w:qFormat/>
    <w:uiPriority w:val="0"/>
    <w:pPr>
      <w:ind w:firstLine="360"/>
    </w:pPr>
    <w:rPr>
      <w:sz w:val="18"/>
    </w:rPr>
  </w:style>
  <w:style w:type="paragraph" w:customStyle="1" w:styleId="78">
    <w:name w:val="附录一级条标题"/>
    <w:basedOn w:val="79"/>
    <w:next w:val="24"/>
    <w:qFormat/>
    <w:uiPriority w:val="0"/>
    <w:pPr>
      <w:numPr>
        <w:ilvl w:val="2"/>
      </w:numPr>
      <w:tabs>
        <w:tab w:val="left" w:pos="360"/>
      </w:tabs>
      <w:autoSpaceDN w:val="0"/>
      <w:spacing w:beforeLines="50" w:afterLines="50"/>
      <w:outlineLvl w:val="2"/>
    </w:pPr>
  </w:style>
  <w:style w:type="paragraph" w:customStyle="1" w:styleId="79">
    <w:name w:val="附录章标题"/>
    <w:next w:val="24"/>
    <w:qFormat/>
    <w:uiPriority w:val="0"/>
    <w:pPr>
      <w:numPr>
        <w:ilvl w:val="1"/>
        <w:numId w:val="9"/>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1">
    <w:name w:val="附录表标号"/>
    <w:basedOn w:val="1"/>
    <w:next w:val="24"/>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82">
    <w:name w:val="附录图标号"/>
    <w:basedOn w:val="1"/>
    <w:qFormat/>
    <w:uiPriority w:val="0"/>
    <w:pPr>
      <w:keepNext/>
      <w:pageBreakBefore/>
      <w:widowControl/>
      <w:numPr>
        <w:ilvl w:val="0"/>
        <w:numId w:val="4"/>
      </w:numPr>
      <w:spacing w:line="14" w:lineRule="exact"/>
      <w:ind w:left="0" w:firstLine="363"/>
      <w:jc w:val="center"/>
      <w:outlineLvl w:val="0"/>
    </w:pPr>
    <w:rPr>
      <w:color w:val="FFFFFF"/>
    </w:rPr>
  </w:style>
  <w:style w:type="paragraph" w:customStyle="1" w:styleId="83">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8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5">
    <w:name w:val="字母编号列项（一级）"/>
    <w:qFormat/>
    <w:uiPriority w:val="0"/>
    <w:pPr>
      <w:numPr>
        <w:ilvl w:val="0"/>
        <w:numId w:val="8"/>
      </w:numPr>
      <w:jc w:val="both"/>
    </w:pPr>
    <w:rPr>
      <w:rFonts w:ascii="宋体" w:hAnsi="Times New Roman" w:eastAsia="宋体" w:cs="Times New Roman"/>
      <w:sz w:val="21"/>
      <w:lang w:val="en-US" w:eastAsia="zh-CN" w:bidi="ar-SA"/>
    </w:rPr>
  </w:style>
  <w:style w:type="paragraph" w:customStyle="1" w:styleId="86">
    <w:name w:val="附录四级条标题"/>
    <w:basedOn w:val="87"/>
    <w:next w:val="24"/>
    <w:qFormat/>
    <w:uiPriority w:val="0"/>
    <w:pPr>
      <w:tabs>
        <w:tab w:val="left" w:pos="360"/>
      </w:tabs>
      <w:outlineLvl w:val="5"/>
    </w:pPr>
  </w:style>
  <w:style w:type="paragraph" w:customStyle="1" w:styleId="87">
    <w:name w:val="附录三级条标题"/>
    <w:basedOn w:val="61"/>
    <w:next w:val="24"/>
    <w:qFormat/>
    <w:uiPriority w:val="0"/>
    <w:pPr>
      <w:outlineLvl w:val="4"/>
    </w:pPr>
  </w:style>
  <w:style w:type="paragraph" w:customStyle="1" w:styleId="88">
    <w:name w:val="正文表标题"/>
    <w:next w:val="24"/>
    <w:qFormat/>
    <w:uiPriority w:val="0"/>
    <w:pPr>
      <w:numPr>
        <w:ilvl w:val="0"/>
        <w:numId w:val="11"/>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89">
    <w:name w:val="终结线"/>
    <w:basedOn w:val="1"/>
    <w:qFormat/>
    <w:uiPriority w:val="0"/>
    <w:pPr>
      <w:framePr w:hSpace="181" w:vSpace="181" w:wrap="around" w:vAnchor="text" w:hAnchor="margin" w:xAlign="center" w:y="285"/>
    </w:pPr>
  </w:style>
  <w:style w:type="paragraph" w:customStyle="1" w:styleId="90">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1">
    <w:name w:val="编号列项（三级）"/>
    <w:qFormat/>
    <w:uiPriority w:val="0"/>
    <w:rPr>
      <w:rFonts w:ascii="宋体" w:hAnsi="Times New Roman" w:eastAsia="宋体" w:cs="Times New Roman"/>
      <w:sz w:val="21"/>
      <w:lang w:val="en-US" w:eastAsia="zh-CN" w:bidi="ar-SA"/>
    </w:rPr>
  </w:style>
  <w:style w:type="paragraph" w:customStyle="1" w:styleId="92">
    <w:name w:val="封面一致性程度标识2"/>
    <w:basedOn w:val="57"/>
    <w:qFormat/>
    <w:uiPriority w:val="0"/>
    <w:pPr>
      <w:framePr w:wrap="around" w:y="4469"/>
    </w:pPr>
  </w:style>
  <w:style w:type="paragraph" w:customStyle="1" w:styleId="93">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4">
    <w:name w:val="附录五级条标题"/>
    <w:basedOn w:val="86"/>
    <w:next w:val="24"/>
    <w:qFormat/>
    <w:uiPriority w:val="0"/>
    <w:pPr>
      <w:outlineLvl w:val="6"/>
    </w:pPr>
  </w:style>
  <w:style w:type="paragraph" w:customStyle="1" w:styleId="95">
    <w:name w:val="附录三级无"/>
    <w:basedOn w:val="87"/>
    <w:qFormat/>
    <w:uiPriority w:val="0"/>
    <w:pPr>
      <w:tabs>
        <w:tab w:val="clear" w:pos="360"/>
      </w:tabs>
      <w:spacing w:beforeLines="0" w:afterLines="0"/>
    </w:pPr>
    <w:rPr>
      <w:rFonts w:ascii="宋体" w:eastAsia="宋体"/>
      <w:szCs w:val="21"/>
    </w:rPr>
  </w:style>
  <w:style w:type="paragraph" w:customStyle="1" w:styleId="9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7">
    <w:name w:val="附录四级无"/>
    <w:basedOn w:val="86"/>
    <w:qFormat/>
    <w:uiPriority w:val="0"/>
    <w:pPr>
      <w:tabs>
        <w:tab w:val="clear" w:pos="360"/>
      </w:tabs>
      <w:spacing w:beforeLines="0" w:afterLines="0"/>
    </w:pPr>
    <w:rPr>
      <w:rFonts w:ascii="宋体" w:eastAsia="宋体"/>
      <w:szCs w:val="21"/>
    </w:rPr>
  </w:style>
  <w:style w:type="paragraph" w:customStyle="1" w:styleId="98">
    <w:name w:val="条文脚注"/>
    <w:basedOn w:val="25"/>
    <w:qFormat/>
    <w:uiPriority w:val="0"/>
    <w:pPr>
      <w:numPr>
        <w:numId w:val="0"/>
      </w:numPr>
      <w:jc w:val="both"/>
    </w:pPr>
  </w:style>
  <w:style w:type="paragraph" w:customStyle="1" w:styleId="9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0">
    <w:name w:val="附录表标题"/>
    <w:basedOn w:val="1"/>
    <w:next w:val="24"/>
    <w:qFormat/>
    <w:uiPriority w:val="0"/>
    <w:pPr>
      <w:numPr>
        <w:ilvl w:val="1"/>
        <w:numId w:val="10"/>
      </w:numPr>
      <w:tabs>
        <w:tab w:val="left" w:pos="180"/>
      </w:tabs>
      <w:spacing w:beforeLines="50" w:afterLines="50"/>
      <w:ind w:left="0" w:firstLine="0"/>
      <w:jc w:val="center"/>
    </w:pPr>
    <w:rPr>
      <w:rFonts w:ascii="黑体" w:eastAsia="黑体"/>
      <w:szCs w:val="21"/>
    </w:rPr>
  </w:style>
  <w:style w:type="paragraph" w:customStyle="1" w:styleId="10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2">
    <w:name w:val="注×：（正文）"/>
    <w:qFormat/>
    <w:uiPriority w:val="0"/>
    <w:pPr>
      <w:numPr>
        <w:ilvl w:val="0"/>
        <w:numId w:val="12"/>
      </w:numPr>
      <w:jc w:val="both"/>
    </w:pPr>
    <w:rPr>
      <w:rFonts w:ascii="宋体" w:hAnsi="Times New Roman" w:eastAsia="宋体" w:cs="Times New Roman"/>
      <w:sz w:val="18"/>
      <w:szCs w:val="18"/>
      <w:lang w:val="en-US" w:eastAsia="zh-CN" w:bidi="ar-SA"/>
    </w:rPr>
  </w:style>
  <w:style w:type="paragraph" w:customStyle="1" w:styleId="103">
    <w:name w:val="一级无"/>
    <w:basedOn w:val="65"/>
    <w:qFormat/>
    <w:uiPriority w:val="0"/>
    <w:pPr>
      <w:spacing w:beforeLines="0" w:afterLines="0"/>
    </w:pPr>
    <w:rPr>
      <w:rFonts w:ascii="宋体" w:eastAsia="宋体"/>
    </w:rPr>
  </w:style>
  <w:style w:type="paragraph" w:customStyle="1" w:styleId="104">
    <w:name w:val="附录五级无"/>
    <w:basedOn w:val="94"/>
    <w:qFormat/>
    <w:uiPriority w:val="0"/>
    <w:pPr>
      <w:tabs>
        <w:tab w:val="clear" w:pos="360"/>
      </w:tabs>
      <w:spacing w:beforeLines="0" w:afterLines="0"/>
    </w:pPr>
    <w:rPr>
      <w:rFonts w:ascii="宋体" w:eastAsia="宋体"/>
      <w:szCs w:val="21"/>
    </w:rPr>
  </w:style>
  <w:style w:type="paragraph" w:customStyle="1" w:styleId="105">
    <w:name w:val="附录标题"/>
    <w:basedOn w:val="24"/>
    <w:next w:val="24"/>
    <w:qFormat/>
    <w:uiPriority w:val="0"/>
    <w:pPr>
      <w:ind w:firstLine="0" w:firstLineChars="0"/>
      <w:jc w:val="center"/>
    </w:pPr>
    <w:rPr>
      <w:rFonts w:ascii="黑体" w:eastAsia="黑体"/>
    </w:rPr>
  </w:style>
  <w:style w:type="paragraph" w:customStyle="1" w:styleId="106">
    <w:name w:val="章标题"/>
    <w:next w:val="24"/>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07">
    <w:name w:val="列项——（一级）"/>
    <w:qFormat/>
    <w:uiPriority w:val="0"/>
    <w:pPr>
      <w:widowControl w:val="0"/>
      <w:numPr>
        <w:ilvl w:val="0"/>
        <w:numId w:val="6"/>
      </w:numPr>
      <w:jc w:val="both"/>
    </w:pPr>
    <w:rPr>
      <w:rFonts w:ascii="宋体" w:hAnsi="Times New Roman" w:eastAsia="宋体" w:cs="Times New Roman"/>
      <w:sz w:val="21"/>
      <w:lang w:val="en-US" w:eastAsia="zh-CN" w:bidi="ar-SA"/>
    </w:rPr>
  </w:style>
  <w:style w:type="paragraph" w:customStyle="1" w:styleId="108">
    <w:name w:val="正文公式编号制表符"/>
    <w:basedOn w:val="24"/>
    <w:next w:val="24"/>
    <w:qFormat/>
    <w:uiPriority w:val="0"/>
    <w:pPr>
      <w:ind w:firstLine="0" w:firstLineChars="0"/>
    </w:pPr>
  </w:style>
  <w:style w:type="paragraph" w:customStyle="1" w:styleId="10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1">
    <w:name w:val="注：（正文）"/>
    <w:basedOn w:val="112"/>
    <w:next w:val="24"/>
    <w:qFormat/>
    <w:uiPriority w:val="0"/>
    <w:pPr>
      <w:numPr>
        <w:ilvl w:val="0"/>
        <w:numId w:val="13"/>
      </w:numPr>
    </w:pPr>
  </w:style>
  <w:style w:type="paragraph" w:customStyle="1" w:styleId="112">
    <w:name w:val="注："/>
    <w:next w:val="24"/>
    <w:qFormat/>
    <w:uiPriority w:val="0"/>
    <w:pPr>
      <w:widowControl w:val="0"/>
      <w:numPr>
        <w:ilvl w:val="0"/>
        <w:numId w:val="14"/>
      </w:numPr>
      <w:autoSpaceDE w:val="0"/>
      <w:autoSpaceDN w:val="0"/>
      <w:jc w:val="both"/>
    </w:pPr>
    <w:rPr>
      <w:rFonts w:ascii="宋体" w:hAnsi="Times New Roman" w:eastAsia="宋体" w:cs="Times New Roman"/>
      <w:sz w:val="18"/>
      <w:szCs w:val="18"/>
      <w:lang w:val="en-US" w:eastAsia="zh-CN" w:bidi="ar-SA"/>
    </w:rPr>
  </w:style>
  <w:style w:type="paragraph" w:customStyle="1" w:styleId="113">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114">
    <w:name w:val="附录数字编号列项（二级）"/>
    <w:qFormat/>
    <w:uiPriority w:val="0"/>
    <w:pPr>
      <w:numPr>
        <w:ilvl w:val="1"/>
        <w:numId w:val="15"/>
      </w:numPr>
    </w:pPr>
    <w:rPr>
      <w:rFonts w:ascii="宋体" w:hAnsi="Times New Roman" w:eastAsia="宋体" w:cs="Times New Roman"/>
      <w:sz w:val="21"/>
      <w:lang w:val="en-US" w:eastAsia="zh-CN" w:bidi="ar-SA"/>
    </w:rPr>
  </w:style>
  <w:style w:type="paragraph" w:customStyle="1" w:styleId="115">
    <w:name w:val="附录标识"/>
    <w:basedOn w:val="1"/>
    <w:next w:val="24"/>
    <w:qFormat/>
    <w:uiPriority w:val="0"/>
    <w:pPr>
      <w:keepNext/>
      <w:widowControl/>
      <w:numPr>
        <w:ilvl w:val="0"/>
        <w:numId w:val="9"/>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6">
    <w:name w:val="封面标准名称2"/>
    <w:basedOn w:val="54"/>
    <w:qFormat/>
    <w:uiPriority w:val="0"/>
    <w:pPr>
      <w:framePr w:wrap="around" w:y="4469"/>
      <w:spacing w:beforeLines="630"/>
    </w:pPr>
  </w:style>
  <w:style w:type="paragraph" w:customStyle="1" w:styleId="117">
    <w:name w:val="封面标准文稿编辑信息2"/>
    <w:basedOn w:val="67"/>
    <w:qFormat/>
    <w:uiPriority w:val="0"/>
    <w:pPr>
      <w:framePr w:wrap="around" w:y="4469"/>
    </w:pPr>
  </w:style>
  <w:style w:type="paragraph" w:customStyle="1" w:styleId="118">
    <w:name w:val="附录字母编号列项（一级）"/>
    <w:qFormat/>
    <w:uiPriority w:val="0"/>
    <w:pPr>
      <w:numPr>
        <w:ilvl w:val="0"/>
        <w:numId w:val="15"/>
      </w:numPr>
    </w:pPr>
    <w:rPr>
      <w:rFonts w:ascii="宋体" w:hAnsi="Times New Roman" w:eastAsia="宋体" w:cs="Times New Roman"/>
      <w:sz w:val="21"/>
      <w:lang w:val="en-US" w:eastAsia="zh-CN" w:bidi="ar-SA"/>
    </w:rPr>
  </w:style>
  <w:style w:type="paragraph" w:customStyle="1" w:styleId="119">
    <w:name w:val="其他实施日期"/>
    <w:basedOn w:val="71"/>
    <w:qFormat/>
    <w:uiPriority w:val="0"/>
    <w:pPr>
      <w:framePr w:wrap="around"/>
    </w:pPr>
  </w:style>
  <w:style w:type="paragraph" w:customStyle="1" w:styleId="120">
    <w:name w:val="标准书眉一"/>
    <w:qFormat/>
    <w:uiPriority w:val="0"/>
    <w:pPr>
      <w:jc w:val="both"/>
    </w:pPr>
    <w:rPr>
      <w:rFonts w:ascii="Times New Roman" w:hAnsi="Times New Roman" w:eastAsia="宋体" w:cs="Times New Roman"/>
      <w:lang w:val="en-US" w:eastAsia="zh-CN" w:bidi="ar-SA"/>
    </w:rPr>
  </w:style>
  <w:style w:type="paragraph" w:customStyle="1" w:styleId="12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2">
    <w:name w:val="标准书眉_偶数页"/>
    <w:basedOn w:val="73"/>
    <w:next w:val="1"/>
    <w:qFormat/>
    <w:uiPriority w:val="0"/>
    <w:pPr>
      <w:jc w:val="left"/>
    </w:pPr>
  </w:style>
  <w:style w:type="paragraph" w:customStyle="1" w:styleId="123">
    <w:name w:val="附录一级无"/>
    <w:basedOn w:val="78"/>
    <w:qFormat/>
    <w:uiPriority w:val="0"/>
    <w:pPr>
      <w:tabs>
        <w:tab w:val="clear" w:pos="360"/>
      </w:tabs>
      <w:spacing w:beforeLines="0" w:afterLines="0"/>
    </w:pPr>
    <w:rPr>
      <w:rFonts w:ascii="宋体" w:eastAsia="宋体"/>
      <w:szCs w:val="21"/>
    </w:rPr>
  </w:style>
  <w:style w:type="paragraph" w:customStyle="1" w:styleId="12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5">
    <w:name w:val="五级条标题"/>
    <w:basedOn w:val="126"/>
    <w:next w:val="24"/>
    <w:qFormat/>
    <w:uiPriority w:val="0"/>
    <w:pPr>
      <w:numPr>
        <w:ilvl w:val="5"/>
      </w:numPr>
      <w:outlineLvl w:val="6"/>
    </w:pPr>
  </w:style>
  <w:style w:type="paragraph" w:customStyle="1" w:styleId="126">
    <w:name w:val="四级条标题"/>
    <w:basedOn w:val="63"/>
    <w:next w:val="24"/>
    <w:qFormat/>
    <w:uiPriority w:val="0"/>
    <w:pPr>
      <w:numPr>
        <w:ilvl w:val="4"/>
        <w:numId w:val="5"/>
      </w:numPr>
      <w:outlineLvl w:val="5"/>
    </w:pPr>
  </w:style>
  <w:style w:type="paragraph" w:customStyle="1" w:styleId="127">
    <w:name w:val="其他发布日期"/>
    <w:basedOn w:val="72"/>
    <w:qFormat/>
    <w:uiPriority w:val="0"/>
    <w:pPr>
      <w:framePr w:wrap="around" w:vAnchor="page" w:hAnchor="text" w:x="1419"/>
    </w:pPr>
  </w:style>
  <w:style w:type="paragraph" w:customStyle="1" w:styleId="128">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9">
    <w:name w:val="列项●（二级）"/>
    <w:qFormat/>
    <w:uiPriority w:val="0"/>
    <w:pPr>
      <w:numPr>
        <w:ilvl w:val="1"/>
        <w:numId w:val="6"/>
      </w:numPr>
      <w:tabs>
        <w:tab w:val="left" w:pos="840"/>
      </w:tabs>
      <w:jc w:val="both"/>
    </w:pPr>
    <w:rPr>
      <w:rFonts w:ascii="宋体" w:hAnsi="Times New Roman" w:eastAsia="宋体" w:cs="Times New Roman"/>
      <w:sz w:val="21"/>
      <w:lang w:val="en-US" w:eastAsia="zh-CN" w:bidi="ar-SA"/>
    </w:rPr>
  </w:style>
  <w:style w:type="paragraph" w:customStyle="1" w:styleId="130">
    <w:name w:val="图标脚注说明"/>
    <w:basedOn w:val="24"/>
    <w:qFormat/>
    <w:uiPriority w:val="0"/>
    <w:pPr>
      <w:ind w:left="840" w:hanging="420" w:firstLineChars="0"/>
    </w:pPr>
    <w:rPr>
      <w:sz w:val="18"/>
      <w:szCs w:val="18"/>
    </w:rPr>
  </w:style>
  <w:style w:type="paragraph" w:customStyle="1" w:styleId="13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3">
    <w:name w:val="示例"/>
    <w:next w:val="84"/>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134">
    <w:name w:val="二级无"/>
    <w:basedOn w:val="64"/>
    <w:qFormat/>
    <w:uiPriority w:val="0"/>
    <w:pPr>
      <w:spacing w:beforeLines="0" w:afterLines="0"/>
    </w:pPr>
    <w:rPr>
      <w:rFonts w:ascii="宋体" w:eastAsia="宋体"/>
    </w:rPr>
  </w:style>
  <w:style w:type="paragraph" w:customStyle="1" w:styleId="135">
    <w:name w:val="封面正文"/>
    <w:qFormat/>
    <w:uiPriority w:val="0"/>
    <w:pPr>
      <w:jc w:val="both"/>
    </w:pPr>
    <w:rPr>
      <w:rFonts w:ascii="Times New Roman" w:hAnsi="Times New Roman" w:eastAsia="宋体" w:cs="Times New Roman"/>
      <w:lang w:val="en-US" w:eastAsia="zh-CN" w:bidi="ar-SA"/>
    </w:rPr>
  </w:style>
  <w:style w:type="paragraph" w:customStyle="1" w:styleId="136">
    <w:name w:val="注×："/>
    <w:qFormat/>
    <w:uiPriority w:val="0"/>
    <w:pPr>
      <w:widowControl w:val="0"/>
      <w:numPr>
        <w:ilvl w:val="0"/>
        <w:numId w:val="17"/>
      </w:numPr>
      <w:autoSpaceDE w:val="0"/>
      <w:autoSpaceDN w:val="0"/>
      <w:jc w:val="both"/>
    </w:pPr>
    <w:rPr>
      <w:rFonts w:ascii="宋体" w:hAnsi="Times New Roman" w:eastAsia="宋体" w:cs="Times New Roman"/>
      <w:sz w:val="18"/>
      <w:szCs w:val="18"/>
      <w:lang w:val="en-US" w:eastAsia="zh-CN" w:bidi="ar-SA"/>
    </w:rPr>
  </w:style>
  <w:style w:type="paragraph" w:customStyle="1" w:styleId="137">
    <w:name w:val="示例×："/>
    <w:basedOn w:val="106"/>
    <w:qFormat/>
    <w:uiPriority w:val="0"/>
    <w:pPr>
      <w:numPr>
        <w:ilvl w:val="0"/>
        <w:numId w:val="18"/>
      </w:numPr>
      <w:spacing w:beforeLines="0" w:afterLines="0"/>
      <w:outlineLvl w:val="9"/>
    </w:pPr>
    <w:rPr>
      <w:rFonts w:ascii="宋体" w:eastAsia="宋体"/>
      <w:sz w:val="18"/>
      <w:szCs w:val="18"/>
    </w:rPr>
  </w:style>
  <w:style w:type="paragraph" w:customStyle="1" w:styleId="138">
    <w:name w:val="五级无"/>
    <w:basedOn w:val="125"/>
    <w:qFormat/>
    <w:uiPriority w:val="0"/>
    <w:pPr>
      <w:spacing w:beforeLines="0" w:afterLines="0"/>
    </w:pPr>
    <w:rPr>
      <w:rFonts w:ascii="宋体" w:eastAsia="宋体"/>
    </w:rPr>
  </w:style>
  <w:style w:type="paragraph" w:customStyle="1" w:styleId="139">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0">
    <w:name w:val="其他发布部门"/>
    <w:basedOn w:val="69"/>
    <w:qFormat/>
    <w:uiPriority w:val="0"/>
    <w:pPr>
      <w:framePr w:wrap="around" w:y="15310"/>
      <w:spacing w:line="0" w:lineRule="atLeast"/>
    </w:pPr>
    <w:rPr>
      <w:rFonts w:ascii="黑体" w:eastAsia="黑体"/>
      <w:b w:val="0"/>
    </w:rPr>
  </w:style>
  <w:style w:type="paragraph" w:customStyle="1" w:styleId="141">
    <w:name w:val="其他标准标志"/>
    <w:basedOn w:val="99"/>
    <w:qFormat/>
    <w:uiPriority w:val="0"/>
    <w:pPr>
      <w:framePr w:w="6101" w:wrap="around" w:vAnchor="page" w:hAnchor="page" w:x="4673" w:y="942"/>
    </w:pPr>
    <w:rPr>
      <w:w w:val="130"/>
    </w:rPr>
  </w:style>
  <w:style w:type="paragraph" w:customStyle="1" w:styleId="142">
    <w:name w:val="四级无"/>
    <w:basedOn w:val="126"/>
    <w:qFormat/>
    <w:uiPriority w:val="0"/>
    <w:pPr>
      <w:spacing w:beforeLines="0" w:afterLines="0"/>
    </w:pPr>
    <w:rPr>
      <w:rFonts w:ascii="宋体" w:eastAsia="宋体"/>
    </w:rPr>
  </w:style>
  <w:style w:type="paragraph" w:styleId="143">
    <w:name w:val="List Paragraph"/>
    <w:basedOn w:val="1"/>
    <w:qFormat/>
    <w:uiPriority w:val="99"/>
    <w:pPr>
      <w:ind w:firstLine="420" w:firstLineChars="200"/>
    </w:pPr>
  </w:style>
  <w:style w:type="character" w:customStyle="1" w:styleId="144">
    <w:name w:val="标题 1 字符"/>
    <w:basedOn w:val="36"/>
    <w:link w:val="2"/>
    <w:qFormat/>
    <w:uiPriority w:val="0"/>
    <w:rPr>
      <w:b/>
      <w:bCs/>
      <w:kern w:val="44"/>
      <w:sz w:val="44"/>
      <w:szCs w:val="44"/>
    </w:rPr>
  </w:style>
  <w:style w:type="paragraph" w:customStyle="1" w:styleId="14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14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1D499-55BD-4190-AFEF-07EB9DCDB7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3874</Words>
  <Characters>5280</Characters>
  <Lines>46</Lines>
  <Paragraphs>13</Paragraphs>
  <TotalTime>5</TotalTime>
  <ScaleCrop>false</ScaleCrop>
  <LinksUpToDate>false</LinksUpToDate>
  <CharactersWithSpaces>5645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2024-08-16T02:47:00Z</dcterms:created>
  <dc:creator>CNIS</dc:creator>
  <cp:lastModifiedBy>W HY</cp:lastModifiedBy>
  <cp:lastPrinted>2024-07-01T22:44:00Z</cp:lastPrinted>
  <dcterms:modified xsi:type="dcterms:W3CDTF">2024-11-22T02:04:29Z</dcterms:modified>
  <dc:title>标准名称</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GrammarlyDocumentId">
    <vt:lpwstr>8fcdcaae5d9b0e5144e963ac144cbd3ba368799651611e3cb8e77bca30924a77</vt:lpwstr>
  </property>
  <property fmtid="{D5CDD505-2E9C-101B-9397-08002B2CF9AE}" pid="4" name="ICV">
    <vt:lpwstr>33387B21288243E6A9A9488768C1BC4C_12</vt:lpwstr>
  </property>
</Properties>
</file>