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rFonts w:hint="eastAsia" w:ascii="黑体" w:hAnsi="黑体" w:eastAsia="黑体"/>
          <w:b/>
          <w:sz w:val="28"/>
          <w:szCs w:val="28"/>
          <w:u w:val="none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广东省毒理学会</w:t>
      </w:r>
      <w:r>
        <w:rPr>
          <w:rFonts w:ascii="黑体" w:hAnsi="黑体" w:eastAsia="黑体"/>
          <w:b/>
          <w:sz w:val="28"/>
          <w:szCs w:val="28"/>
        </w:rPr>
        <w:t>团体标准</w:t>
      </w:r>
      <w:r>
        <w:rPr>
          <w:rFonts w:hint="eastAsia" w:ascii="黑体" w:hAnsi="黑体" w:eastAsia="黑体"/>
          <w:b/>
          <w:sz w:val="28"/>
          <w:szCs w:val="28"/>
          <w:u w:val="none"/>
        </w:rPr>
        <w:t>《</w:t>
      </w:r>
      <w:r>
        <w:rPr>
          <w:rFonts w:hint="eastAsia" w:ascii="黑体" w:hAnsi="黑体" w:eastAsia="黑体"/>
          <w:b/>
          <w:sz w:val="28"/>
          <w:szCs w:val="28"/>
        </w:rPr>
        <w:t>柚花及其干制品农药残留限量</w:t>
      </w:r>
      <w:r>
        <w:rPr>
          <w:rFonts w:hint="eastAsia" w:ascii="黑体" w:hAnsi="黑体" w:eastAsia="黑体"/>
          <w:b/>
          <w:sz w:val="28"/>
          <w:szCs w:val="28"/>
          <w:u w:val="none"/>
        </w:rPr>
        <w:t>》</w:t>
      </w:r>
    </w:p>
    <w:p>
      <w:pPr>
        <w:spacing w:line="360" w:lineRule="auto"/>
        <w:ind w:firstLine="3446" w:firstLineChars="1226"/>
        <w:jc w:val="both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征求意见表</w:t>
      </w:r>
      <w:bookmarkEnd w:id="0"/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3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1276"/>
        <w:gridCol w:w="1559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标准条款号及内容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意见内容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修改理由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提出意见单位或人员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其他情况</w:t>
            </w:r>
            <w:r>
              <w:rPr>
                <w:rFonts w:asciiTheme="minorEastAsia" w:hAnsiTheme="minorEastAsia"/>
                <w:sz w:val="24"/>
                <w:szCs w:val="24"/>
              </w:rPr>
              <w:t>说明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66541"/>
    <w:rsid w:val="78B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2021-03-18T02:20:00Z</dcterms:created>
  <dc:creator>Administrator</dc:creator>
  <cp:lastModifiedBy>李志</cp:lastModifiedBy>
  <dcterms:modified xsi:type="dcterms:W3CDTF">2024-12-02T08:35:19Z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