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916FA9">
      <w:pPr>
        <w:pStyle w:val="97"/>
        <w:framePr w:w="0" w:hRule="auto" w:wrap="around" w:x="1590" w:y="2356"/>
        <w:rPr>
          <w:rFonts w:ascii="Times New Roman"/>
          <w:szCs w:val="48"/>
        </w:rPr>
      </w:pPr>
      <w:r>
        <w:rPr>
          <w:rFonts w:ascii="Times New Roman"/>
        </w:rPr>
        <w:t>团体标准</w:t>
      </w:r>
    </w:p>
    <w:p w14:paraId="4475A9E5">
      <w:pPr>
        <w:pStyle w:val="78"/>
        <w:framePr w:wrap="around"/>
        <w:pBdr>
          <w:bottom w:val="single" w:color="auto" w:sz="4" w:space="1"/>
        </w:pBdr>
        <w:wordWrap w:val="0"/>
        <w:rPr>
          <w:rFonts w:ascii="Times New Roman" w:eastAsia="宋体"/>
        </w:rPr>
      </w:pPr>
      <w:r>
        <w:rPr>
          <w:rFonts w:ascii="Times New Roman" w:eastAsia="宋体"/>
        </w:rPr>
        <w:t>T/SSEA XXXX—XXXX</w:t>
      </w:r>
    </w:p>
    <w:p w14:paraId="710387A3">
      <w:pPr>
        <w:pStyle w:val="78"/>
        <w:framePr w:wrap="around"/>
        <w:pBdr>
          <w:bottom w:val="single" w:color="auto" w:sz="4" w:space="1"/>
        </w:pBdr>
        <w:wordWrap w:val="0"/>
        <w:spacing w:before="120"/>
        <w:rPr>
          <w:rFonts w:ascii="Times New Roman" w:eastAsia="宋体"/>
        </w:rPr>
      </w:pPr>
      <w:r>
        <w:rPr>
          <w:rFonts w:ascii="Times New Roman" w:eastAsia="宋体"/>
        </w:rPr>
        <w:t>T/CSTA XXXX—XXXX</w:t>
      </w:r>
    </w:p>
    <w:p w14:paraId="2F776310">
      <w:pPr>
        <w:pStyle w:val="78"/>
        <w:framePr w:wrap="around"/>
        <w:rPr>
          <w:rFonts w:ascii="Times New Roman" w:eastAsia="宋体"/>
        </w:rPr>
      </w:pPr>
    </w:p>
    <w:p w14:paraId="1220378E">
      <w:pPr>
        <w:pStyle w:val="78"/>
        <w:framePr w:wrap="around"/>
        <w:rPr>
          <w:rFonts w:ascii="Times New Roman" w:eastAsia="宋体"/>
        </w:rPr>
      </w:pPr>
    </w:p>
    <w:p w14:paraId="78FFF4C9">
      <w:pPr>
        <w:pStyle w:val="68"/>
        <w:framePr w:wrap="around" w:x="1366" w:y="6222"/>
        <w:rPr>
          <w:rFonts w:ascii="Times New Roman"/>
        </w:rPr>
      </w:pPr>
      <w:r>
        <w:rPr>
          <w:rFonts w:ascii="Times New Roman"/>
          <w:lang w:bidi="zh-CN"/>
        </w:rPr>
        <w:t>汽车高压共轨银亮</w:t>
      </w:r>
      <w:r>
        <w:rPr>
          <w:rFonts w:hint="eastAsia" w:ascii="Times New Roman"/>
          <w:lang w:bidi="zh-CN"/>
        </w:rPr>
        <w:t>钢</w:t>
      </w:r>
    </w:p>
    <w:p w14:paraId="0E5EB7B0">
      <w:pPr>
        <w:pStyle w:val="66"/>
        <w:framePr w:wrap="around" w:x="1366" w:y="6222"/>
        <w:spacing w:before="156" w:after="156"/>
        <w:rPr>
          <w:rFonts w:ascii="Times New Roman"/>
        </w:rPr>
      </w:pPr>
      <w:r>
        <w:rPr>
          <w:rFonts w:ascii="Times New Roman"/>
        </w:rPr>
        <w:t xml:space="preserve">Automotive </w:t>
      </w:r>
      <w:r>
        <w:rPr>
          <w:rFonts w:hint="eastAsia" w:ascii="Times New Roman"/>
          <w:lang w:val="en-US" w:eastAsia="zh-CN"/>
        </w:rPr>
        <w:t>h</w:t>
      </w:r>
      <w:r>
        <w:rPr>
          <w:rFonts w:ascii="Times New Roman"/>
        </w:rPr>
        <w:t xml:space="preserve">igh </w:t>
      </w:r>
      <w:r>
        <w:rPr>
          <w:rFonts w:hint="eastAsia" w:ascii="Times New Roman"/>
          <w:lang w:val="en-US" w:eastAsia="zh-CN"/>
        </w:rPr>
        <w:t>v</w:t>
      </w:r>
      <w:r>
        <w:rPr>
          <w:rFonts w:ascii="Times New Roman"/>
        </w:rPr>
        <w:t xml:space="preserve">oltage </w:t>
      </w:r>
      <w:r>
        <w:rPr>
          <w:rFonts w:hint="eastAsia" w:ascii="Times New Roman"/>
          <w:lang w:val="en-US" w:eastAsia="zh-CN"/>
        </w:rPr>
        <w:t>c</w:t>
      </w:r>
      <w:r>
        <w:rPr>
          <w:rFonts w:ascii="Times New Roman"/>
        </w:rPr>
        <w:t xml:space="preserve">ommon </w:t>
      </w:r>
      <w:r>
        <w:rPr>
          <w:rFonts w:hint="eastAsia" w:ascii="Times New Roman"/>
          <w:lang w:val="en-US" w:eastAsia="zh-CN"/>
        </w:rPr>
        <w:t>r</w:t>
      </w:r>
      <w:r>
        <w:rPr>
          <w:rFonts w:ascii="Times New Roman"/>
        </w:rPr>
        <w:t xml:space="preserve">ail </w:t>
      </w:r>
      <w:r>
        <w:rPr>
          <w:rFonts w:hint="eastAsia" w:ascii="Times New Roman"/>
          <w:lang w:val="en-US" w:eastAsia="zh-CN"/>
        </w:rPr>
        <w:t>b</w:t>
      </w:r>
      <w:r>
        <w:rPr>
          <w:rFonts w:ascii="Times New Roman"/>
        </w:rPr>
        <w:t xml:space="preserve">right </w:t>
      </w:r>
      <w:r>
        <w:rPr>
          <w:rFonts w:hint="eastAsia" w:ascii="Times New Roman"/>
          <w:lang w:val="en-US" w:eastAsia="zh-CN"/>
        </w:rPr>
        <w:t>steel</w:t>
      </w:r>
    </w:p>
    <w:p w14:paraId="62B9875E">
      <w:pPr>
        <w:pStyle w:val="109"/>
        <w:framePr w:wrap="around" w:hAnchor="page" w:x="1189" w:y="14086"/>
        <w:rPr>
          <w:rFonts w:eastAsia="宋体"/>
        </w:rPr>
      </w:pPr>
      <w:bookmarkStart w:id="0" w:name="FM"/>
      <w:r>
        <mc:AlternateContent>
          <mc:Choice Requires="wps">
            <w:drawing>
              <wp:anchor distT="0" distB="0" distL="114300" distR="114300" simplePos="0" relativeHeight="251660288" behindDoc="1" locked="0" layoutInCell="1" allowOverlap="1">
                <wp:simplePos x="0" y="0"/>
                <wp:positionH relativeFrom="column">
                  <wp:posOffset>4445</wp:posOffset>
                </wp:positionH>
                <wp:positionV relativeFrom="paragraph">
                  <wp:posOffset>365760</wp:posOffset>
                </wp:positionV>
                <wp:extent cx="5948680" cy="0"/>
                <wp:effectExtent l="0" t="0" r="13970" b="0"/>
                <wp:wrapTight wrapText="bothSides">
                  <wp:wrapPolygon>
                    <wp:start x="0" y="-1"/>
                    <wp:lineTo x="0" y="-1"/>
                    <wp:lineTo x="21651" y="-1"/>
                    <wp:lineTo x="21651" y="-1"/>
                    <wp:lineTo x="0" y="-1"/>
                  </wp:wrapPolygon>
                </wp:wrapTight>
                <wp:docPr id="5" name="Line 8"/>
                <wp:cNvGraphicFramePr/>
                <a:graphic xmlns:a="http://schemas.openxmlformats.org/drawingml/2006/main">
                  <a:graphicData uri="http://schemas.microsoft.com/office/word/2010/wordprocessingShape">
                    <wps:wsp>
                      <wps:cNvCnPr>
                        <a:cxnSpLocks noChangeShapeType="1"/>
                      </wps:cNvCnPr>
                      <wps:spPr bwMode="auto">
                        <a:xfrm>
                          <a:off x="0" y="0"/>
                          <a:ext cx="5948680" cy="0"/>
                        </a:xfrm>
                        <a:prstGeom prst="line">
                          <a:avLst/>
                        </a:prstGeom>
                        <a:noFill/>
                        <a:ln w="9525">
                          <a:solidFill>
                            <a:srgbClr val="000000"/>
                          </a:solidFill>
                          <a:round/>
                        </a:ln>
                      </wps:spPr>
                      <wps:bodyPr/>
                    </wps:wsp>
                  </a:graphicData>
                </a:graphic>
              </wp:anchor>
            </w:drawing>
          </mc:Choice>
          <mc:Fallback>
            <w:pict>
              <v:line id="Line 8" o:spid="_x0000_s1026" o:spt="20" style="position:absolute;left:0pt;margin-left:0.35pt;margin-top:28.8pt;height:0pt;width:468.4pt;mso-wrap-distance-left:9pt;mso-wrap-distance-right:9pt;z-index:-251656192;mso-width-relative:page;mso-height-relative:page;" filled="f" stroked="t" coordsize="21600,21600" wrapcoords="0 -1 0 -1 21651 -1 21651 -1 0 -1" o:gfxdata="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iLlCI0wAAAAYBAAAPAAAAAAAAAAEAIAAAACIAAABkcnMvZG93bnJl&#10;di54bWxQSwECFAAUAAAACACHTuJAPAr1JskBAACfAwAADgAAAAAAAAABACAAAAAiAQAAZHJzL2Uy&#10;b0RvYy54bWxQSwUGAAAAAAYABgBZAQAAXQUAAAAA&#10;">
                <v:fill on="f" focussize="0,0"/>
                <v:stroke color="#000000" joinstyle="round"/>
                <v:imagedata o:title=""/>
                <o:lock v:ext="edit" aspectratio="f"/>
                <w10:wrap type="tight"/>
              </v:line>
            </w:pict>
          </mc:Fallback>
        </mc:AlternateContent>
      </w:r>
      <w:bookmarkEnd w:id="0"/>
      <w:r>
        <w:rPr>
          <w:rFonts w:eastAsia="宋体"/>
        </w:rPr>
        <w:t>2024-XX-XX</w:t>
      </w:r>
      <w:r>
        <w:t>发布</w:t>
      </w:r>
    </w:p>
    <w:p w14:paraId="028B1657">
      <w:pPr>
        <w:pStyle w:val="140"/>
        <w:framePr w:wrap="around" w:hAnchor="page" w:x="6661" w:y="14041"/>
      </w:pPr>
      <w:r>
        <w:rPr>
          <w:rFonts w:eastAsia="宋体"/>
        </w:rPr>
        <w:t>2024-XX-XX</w:t>
      </w:r>
      <w:r>
        <w:t>实施</w:t>
      </w:r>
    </w:p>
    <w:p w14:paraId="2CE4BE61">
      <w:pPr>
        <w:pStyle w:val="134"/>
        <w:framePr w:w="10883" w:h="1489" w:hRule="exact" w:wrap="around" w:x="325" w:y="14931"/>
        <w:ind w:left="1480" w:hanging="640"/>
        <w:rPr>
          <w:rFonts w:ascii="Times New Roman" w:eastAsia="宋体"/>
          <w:sz w:val="32"/>
        </w:rPr>
      </w:pPr>
      <w:r>
        <w:rPr>
          <w:rFonts w:ascii="Times New Roman" w:eastAsia="宋体"/>
          <w:sz w:val="32"/>
        </w:rPr>
        <w:t>中国特钢企业协会</w:t>
      </w:r>
    </w:p>
    <w:p w14:paraId="5E68609C">
      <w:pPr>
        <w:pStyle w:val="134"/>
        <w:framePr w:w="10883" w:h="1489" w:hRule="exact" w:wrap="around" w:x="325" w:y="14931"/>
        <w:ind w:left="1480" w:hanging="640"/>
        <w:rPr>
          <w:rFonts w:ascii="Times New Roman" w:eastAsia="宋体"/>
          <w:sz w:val="32"/>
        </w:rPr>
      </w:pPr>
      <w:r>
        <w:rPr>
          <w:rFonts w:ascii="Times New Roman" w:eastAsia="宋体"/>
          <w:sz w:val="32"/>
          <w:szCs w:val="32"/>
        </w:rPr>
        <w:t xml:space="preserve">      中关村不锈及特种合金新材料   </w:t>
      </w:r>
      <w:r>
        <w:rPr>
          <w:rStyle w:val="43"/>
          <w:rFonts w:ascii="Times New Roman" w:eastAsia="宋体"/>
        </w:rPr>
        <w:t>发布</w:t>
      </w:r>
    </w:p>
    <w:p w14:paraId="654F3B8D">
      <w:pPr>
        <w:pStyle w:val="134"/>
        <w:framePr w:w="10883" w:h="1489" w:hRule="exact" w:wrap="around" w:x="325" w:y="14931"/>
        <w:ind w:left="1480" w:hanging="640"/>
        <w:rPr>
          <w:rFonts w:ascii="Times New Roman" w:eastAsia="宋体"/>
        </w:rPr>
      </w:pPr>
      <w:r>
        <w:rPr>
          <w:rFonts w:ascii="Times New Roman" w:eastAsia="宋体"/>
          <w:sz w:val="32"/>
          <w:szCs w:val="32"/>
        </w:rPr>
        <w:t>产业技术创新联盟</w:t>
      </w:r>
    </w:p>
    <w:p w14:paraId="2BAC8C3B">
      <w:pPr>
        <w:pStyle w:val="22"/>
        <w:spacing w:line="340" w:lineRule="exact"/>
        <w:rPr>
          <w:rFonts w:ascii="Times New Roman"/>
          <w:kern w:val="2"/>
          <w:sz w:val="22"/>
          <w:szCs w:val="22"/>
        </w:rPr>
      </w:pPr>
      <w:r>
        <w:rPr>
          <w:rFonts w:ascii="Times New Roman"/>
        </w:rPr>
        <w:t>ICS</w:t>
      </w:r>
      <w:r>
        <w:rPr>
          <w:rFonts w:ascii="Times New Roman"/>
          <w:kern w:val="2"/>
          <w:sz w:val="22"/>
          <w:szCs w:val="22"/>
        </w:rPr>
        <w:t xml:space="preserve"> </w:t>
      </w:r>
      <w:r>
        <w:rPr>
          <w:rFonts w:hint="eastAsia" w:ascii="Times New Roman"/>
          <w:kern w:val="2"/>
          <w:sz w:val="22"/>
          <w:szCs w:val="22"/>
        </w:rPr>
        <w:t>77.140.60</w:t>
      </w:r>
    </w:p>
    <w:p w14:paraId="158C7E84">
      <w:pPr>
        <w:pStyle w:val="22"/>
        <w:spacing w:line="340" w:lineRule="exact"/>
        <w:rPr>
          <w:rFonts w:ascii="Times New Roman"/>
        </w:rPr>
      </w:pPr>
      <w:r>
        <w:rPr>
          <w:rFonts w:ascii="Times New Roman"/>
        </w:rPr>
        <w:t xml:space="preserve">CCS H </w:t>
      </w:r>
      <w:r>
        <w:rPr>
          <w:rFonts w:hint="eastAsia" w:ascii="Times New Roman"/>
        </w:rPr>
        <w:t>44</w:t>
      </w:r>
    </w:p>
    <w:p w14:paraId="49DE4194">
      <w:pPr>
        <w:pStyle w:val="22"/>
        <w:spacing w:line="340" w:lineRule="exact"/>
        <w:rPr>
          <w:rFonts w:ascii="Times New Roman"/>
        </w:rPr>
      </w:pPr>
    </w:p>
    <w:p w14:paraId="6E86AA5F">
      <w:pPr>
        <w:jc w:val="center"/>
        <w:rPr>
          <w:spacing w:val="20"/>
          <w:sz w:val="28"/>
          <w:szCs w:val="28"/>
        </w:rPr>
      </w:pPr>
    </w:p>
    <w:p w14:paraId="3F42F606">
      <w:pPr>
        <w:jc w:val="center"/>
        <w:rPr>
          <w:spacing w:val="20"/>
          <w:sz w:val="28"/>
          <w:szCs w:val="28"/>
        </w:rPr>
      </w:pPr>
    </w:p>
    <w:p w14:paraId="4D56906F">
      <w:pPr>
        <w:jc w:val="center"/>
        <w:rPr>
          <w:b/>
          <w:sz w:val="32"/>
        </w:rPr>
        <w:sectPr>
          <w:headerReference r:id="rId4" w:type="first"/>
          <w:footerReference r:id="rId5" w:type="first"/>
          <w:headerReference r:id="rId3" w:type="default"/>
          <w:pgSz w:w="11906" w:h="16838"/>
          <w:pgMar w:top="1134" w:right="1134" w:bottom="1134" w:left="1418" w:header="851" w:footer="992" w:gutter="0"/>
          <w:pgNumType w:start="0"/>
          <w:cols w:space="720" w:num="1"/>
          <w:docGrid w:type="lines" w:linePitch="312" w:charSpace="0"/>
        </w:sectPr>
      </w:pPr>
    </w:p>
    <w:p w14:paraId="1D1F8A1D">
      <w:pPr>
        <w:keepNext/>
        <w:pageBreakBefore/>
        <w:widowControl/>
        <w:shd w:val="clear" w:color="FFFFFF" w:fill="FFFFFF"/>
        <w:spacing w:before="640" w:after="560"/>
        <w:jc w:val="center"/>
        <w:outlineLvl w:val="0"/>
        <w:rPr>
          <w:rFonts w:eastAsia="黑体"/>
          <w:kern w:val="0"/>
          <w:sz w:val="32"/>
          <w:szCs w:val="20"/>
        </w:rPr>
      </w:pPr>
      <w:bookmarkStart w:id="1" w:name="_Toc520380389"/>
    </w:p>
    <w:p w14:paraId="5E023F8B">
      <w:pPr>
        <w:widowControl/>
        <w:tabs>
          <w:tab w:val="center" w:pos="4201"/>
          <w:tab w:val="right" w:leader="dot" w:pos="9298"/>
        </w:tabs>
        <w:autoSpaceDE w:val="0"/>
        <w:autoSpaceDN w:val="0"/>
        <w:ind w:firstLine="400" w:firstLineChars="200"/>
        <w:rPr>
          <w:kern w:val="0"/>
          <w:sz w:val="20"/>
          <w:szCs w:val="20"/>
        </w:rPr>
      </w:pPr>
    </w:p>
    <w:p w14:paraId="174C9C81">
      <w:pPr>
        <w:widowControl/>
        <w:tabs>
          <w:tab w:val="center" w:pos="4201"/>
          <w:tab w:val="right" w:leader="dot" w:pos="9298"/>
        </w:tabs>
        <w:autoSpaceDE w:val="0"/>
        <w:autoSpaceDN w:val="0"/>
        <w:ind w:firstLine="400" w:firstLineChars="200"/>
        <w:rPr>
          <w:kern w:val="0"/>
          <w:sz w:val="20"/>
          <w:szCs w:val="20"/>
        </w:rPr>
      </w:pPr>
    </w:p>
    <w:p w14:paraId="711CAEA4">
      <w:pPr>
        <w:widowControl/>
        <w:tabs>
          <w:tab w:val="center" w:pos="4201"/>
          <w:tab w:val="right" w:leader="dot" w:pos="9298"/>
        </w:tabs>
        <w:autoSpaceDE w:val="0"/>
        <w:autoSpaceDN w:val="0"/>
        <w:ind w:firstLine="400" w:firstLineChars="200"/>
        <w:rPr>
          <w:kern w:val="0"/>
          <w:sz w:val="20"/>
          <w:szCs w:val="20"/>
        </w:rPr>
      </w:pPr>
    </w:p>
    <w:p w14:paraId="7464C91A">
      <w:pPr>
        <w:widowControl/>
        <w:tabs>
          <w:tab w:val="center" w:pos="4201"/>
          <w:tab w:val="right" w:leader="dot" w:pos="9298"/>
        </w:tabs>
        <w:autoSpaceDE w:val="0"/>
        <w:autoSpaceDN w:val="0"/>
        <w:ind w:firstLine="400" w:firstLineChars="200"/>
        <w:rPr>
          <w:kern w:val="0"/>
          <w:sz w:val="20"/>
          <w:szCs w:val="20"/>
        </w:rPr>
      </w:pPr>
    </w:p>
    <w:p w14:paraId="5983F0A4">
      <w:pPr>
        <w:widowControl/>
        <w:tabs>
          <w:tab w:val="center" w:pos="4201"/>
          <w:tab w:val="right" w:leader="dot" w:pos="9298"/>
        </w:tabs>
        <w:autoSpaceDE w:val="0"/>
        <w:autoSpaceDN w:val="0"/>
        <w:ind w:firstLine="400" w:firstLineChars="200"/>
        <w:rPr>
          <w:kern w:val="0"/>
          <w:sz w:val="20"/>
          <w:szCs w:val="20"/>
        </w:rPr>
      </w:pPr>
    </w:p>
    <w:p w14:paraId="35B3A9B5">
      <w:pPr>
        <w:widowControl/>
        <w:tabs>
          <w:tab w:val="center" w:pos="4201"/>
          <w:tab w:val="right" w:leader="dot" w:pos="9298"/>
        </w:tabs>
        <w:autoSpaceDE w:val="0"/>
        <w:autoSpaceDN w:val="0"/>
        <w:ind w:firstLine="400" w:firstLineChars="200"/>
        <w:rPr>
          <w:kern w:val="0"/>
          <w:sz w:val="20"/>
          <w:szCs w:val="20"/>
        </w:rPr>
      </w:pPr>
    </w:p>
    <w:p w14:paraId="48824E55">
      <w:pPr>
        <w:widowControl/>
        <w:tabs>
          <w:tab w:val="center" w:pos="4201"/>
          <w:tab w:val="right" w:leader="dot" w:pos="9298"/>
        </w:tabs>
        <w:autoSpaceDE w:val="0"/>
        <w:autoSpaceDN w:val="0"/>
        <w:ind w:firstLine="400" w:firstLineChars="200"/>
        <w:rPr>
          <w:kern w:val="0"/>
          <w:sz w:val="20"/>
          <w:szCs w:val="20"/>
        </w:rPr>
      </w:pPr>
    </w:p>
    <w:p w14:paraId="4A03FAF4">
      <w:pPr>
        <w:widowControl/>
        <w:tabs>
          <w:tab w:val="center" w:pos="4201"/>
          <w:tab w:val="right" w:leader="dot" w:pos="9298"/>
        </w:tabs>
        <w:autoSpaceDE w:val="0"/>
        <w:autoSpaceDN w:val="0"/>
        <w:ind w:firstLine="400" w:firstLineChars="200"/>
        <w:rPr>
          <w:kern w:val="0"/>
          <w:sz w:val="20"/>
          <w:szCs w:val="20"/>
        </w:rPr>
      </w:pPr>
    </w:p>
    <w:p w14:paraId="15BF47F2">
      <w:pPr>
        <w:widowControl/>
        <w:tabs>
          <w:tab w:val="center" w:pos="4201"/>
          <w:tab w:val="right" w:leader="dot" w:pos="9298"/>
        </w:tabs>
        <w:autoSpaceDE w:val="0"/>
        <w:autoSpaceDN w:val="0"/>
        <w:ind w:firstLine="400" w:firstLineChars="200"/>
        <w:rPr>
          <w:kern w:val="0"/>
          <w:sz w:val="20"/>
          <w:szCs w:val="20"/>
        </w:rPr>
      </w:pPr>
    </w:p>
    <w:p w14:paraId="6637D891">
      <w:pPr>
        <w:widowControl/>
        <w:tabs>
          <w:tab w:val="center" w:pos="4201"/>
          <w:tab w:val="right" w:leader="dot" w:pos="9298"/>
        </w:tabs>
        <w:autoSpaceDE w:val="0"/>
        <w:autoSpaceDN w:val="0"/>
        <w:ind w:firstLine="400" w:firstLineChars="200"/>
        <w:rPr>
          <w:kern w:val="0"/>
          <w:sz w:val="20"/>
          <w:szCs w:val="20"/>
        </w:rPr>
      </w:pPr>
    </w:p>
    <w:p w14:paraId="077C21B9">
      <w:pPr>
        <w:widowControl/>
        <w:tabs>
          <w:tab w:val="center" w:pos="4201"/>
          <w:tab w:val="right" w:leader="dot" w:pos="9298"/>
        </w:tabs>
        <w:autoSpaceDE w:val="0"/>
        <w:autoSpaceDN w:val="0"/>
        <w:ind w:firstLine="400" w:firstLineChars="200"/>
        <w:rPr>
          <w:kern w:val="0"/>
          <w:sz w:val="20"/>
          <w:szCs w:val="20"/>
        </w:rPr>
      </w:pPr>
    </w:p>
    <w:p w14:paraId="40267107">
      <w:pPr>
        <w:widowControl/>
        <w:tabs>
          <w:tab w:val="center" w:pos="4201"/>
          <w:tab w:val="right" w:leader="dot" w:pos="9298"/>
        </w:tabs>
        <w:autoSpaceDE w:val="0"/>
        <w:autoSpaceDN w:val="0"/>
        <w:ind w:firstLine="400" w:firstLineChars="200"/>
        <w:rPr>
          <w:kern w:val="0"/>
          <w:sz w:val="20"/>
          <w:szCs w:val="20"/>
        </w:rPr>
      </w:pPr>
    </w:p>
    <w:p w14:paraId="1DCAE393">
      <w:pPr>
        <w:widowControl/>
        <w:tabs>
          <w:tab w:val="center" w:pos="4201"/>
          <w:tab w:val="right" w:leader="dot" w:pos="9298"/>
        </w:tabs>
        <w:autoSpaceDE w:val="0"/>
        <w:autoSpaceDN w:val="0"/>
        <w:ind w:firstLine="400" w:firstLineChars="200"/>
        <w:rPr>
          <w:kern w:val="0"/>
          <w:sz w:val="20"/>
          <w:szCs w:val="20"/>
        </w:rPr>
      </w:pPr>
    </w:p>
    <w:p w14:paraId="0B894391">
      <w:pPr>
        <w:widowControl/>
        <w:tabs>
          <w:tab w:val="center" w:pos="4201"/>
          <w:tab w:val="right" w:leader="dot" w:pos="9298"/>
        </w:tabs>
        <w:autoSpaceDE w:val="0"/>
        <w:autoSpaceDN w:val="0"/>
        <w:ind w:firstLine="400" w:firstLineChars="200"/>
        <w:rPr>
          <w:kern w:val="0"/>
          <w:sz w:val="20"/>
          <w:szCs w:val="20"/>
        </w:rPr>
      </w:pPr>
    </w:p>
    <w:p w14:paraId="2BF1B7E4">
      <w:pPr>
        <w:widowControl/>
        <w:tabs>
          <w:tab w:val="center" w:pos="4201"/>
          <w:tab w:val="right" w:leader="dot" w:pos="9298"/>
        </w:tabs>
        <w:autoSpaceDE w:val="0"/>
        <w:autoSpaceDN w:val="0"/>
        <w:ind w:firstLine="400" w:firstLineChars="200"/>
        <w:rPr>
          <w:kern w:val="0"/>
          <w:sz w:val="20"/>
          <w:szCs w:val="20"/>
        </w:rPr>
      </w:pPr>
    </w:p>
    <w:p w14:paraId="732871BA">
      <w:pPr>
        <w:widowControl/>
        <w:tabs>
          <w:tab w:val="center" w:pos="4201"/>
          <w:tab w:val="right" w:leader="dot" w:pos="9298"/>
        </w:tabs>
        <w:autoSpaceDE w:val="0"/>
        <w:autoSpaceDN w:val="0"/>
        <w:ind w:firstLine="400" w:firstLineChars="200"/>
        <w:rPr>
          <w:kern w:val="0"/>
          <w:sz w:val="20"/>
          <w:szCs w:val="20"/>
        </w:rPr>
      </w:pPr>
    </w:p>
    <w:p w14:paraId="719FECD8">
      <w:pPr>
        <w:widowControl/>
        <w:tabs>
          <w:tab w:val="center" w:pos="4201"/>
          <w:tab w:val="right" w:leader="dot" w:pos="9298"/>
        </w:tabs>
        <w:autoSpaceDE w:val="0"/>
        <w:autoSpaceDN w:val="0"/>
        <w:ind w:firstLine="400" w:firstLineChars="200"/>
        <w:rPr>
          <w:kern w:val="0"/>
          <w:sz w:val="20"/>
          <w:szCs w:val="20"/>
        </w:rPr>
      </w:pPr>
    </w:p>
    <w:p w14:paraId="1F4E1979">
      <w:pPr>
        <w:widowControl/>
        <w:tabs>
          <w:tab w:val="center" w:pos="4201"/>
          <w:tab w:val="right" w:leader="dot" w:pos="9298"/>
        </w:tabs>
        <w:autoSpaceDE w:val="0"/>
        <w:autoSpaceDN w:val="0"/>
        <w:ind w:firstLine="400" w:firstLineChars="200"/>
        <w:rPr>
          <w:kern w:val="0"/>
          <w:sz w:val="20"/>
          <w:szCs w:val="20"/>
        </w:rPr>
      </w:pPr>
    </w:p>
    <w:p w14:paraId="12340C4E">
      <w:pPr>
        <w:widowControl/>
        <w:tabs>
          <w:tab w:val="center" w:pos="4201"/>
          <w:tab w:val="right" w:leader="dot" w:pos="9298"/>
        </w:tabs>
        <w:autoSpaceDE w:val="0"/>
        <w:autoSpaceDN w:val="0"/>
        <w:ind w:firstLine="400" w:firstLineChars="200"/>
        <w:rPr>
          <w:kern w:val="0"/>
          <w:sz w:val="20"/>
          <w:szCs w:val="20"/>
        </w:rPr>
      </w:pPr>
    </w:p>
    <w:p w14:paraId="71C8BB8A">
      <w:pPr>
        <w:widowControl/>
        <w:tabs>
          <w:tab w:val="center" w:pos="4201"/>
          <w:tab w:val="right" w:leader="dot" w:pos="9298"/>
        </w:tabs>
        <w:autoSpaceDE w:val="0"/>
        <w:autoSpaceDN w:val="0"/>
        <w:ind w:firstLine="400" w:firstLineChars="200"/>
        <w:rPr>
          <w:kern w:val="0"/>
          <w:sz w:val="20"/>
          <w:szCs w:val="20"/>
        </w:rPr>
      </w:pPr>
    </w:p>
    <w:p w14:paraId="3CCF879B">
      <w:pPr>
        <w:widowControl/>
        <w:tabs>
          <w:tab w:val="center" w:pos="4201"/>
          <w:tab w:val="right" w:leader="dot" w:pos="9298"/>
        </w:tabs>
        <w:autoSpaceDE w:val="0"/>
        <w:autoSpaceDN w:val="0"/>
        <w:ind w:firstLine="400" w:firstLineChars="200"/>
        <w:rPr>
          <w:kern w:val="0"/>
          <w:sz w:val="20"/>
          <w:szCs w:val="20"/>
        </w:rPr>
      </w:pPr>
    </w:p>
    <w:p w14:paraId="0092237F">
      <w:pPr>
        <w:widowControl/>
        <w:tabs>
          <w:tab w:val="center" w:pos="4201"/>
          <w:tab w:val="right" w:leader="dot" w:pos="9298"/>
        </w:tabs>
        <w:autoSpaceDE w:val="0"/>
        <w:autoSpaceDN w:val="0"/>
        <w:ind w:firstLine="400" w:firstLineChars="200"/>
        <w:rPr>
          <w:kern w:val="0"/>
          <w:sz w:val="20"/>
          <w:szCs w:val="20"/>
        </w:rPr>
      </w:pPr>
    </w:p>
    <w:p w14:paraId="01687EFB">
      <w:pPr>
        <w:widowControl/>
        <w:tabs>
          <w:tab w:val="center" w:pos="4201"/>
          <w:tab w:val="right" w:leader="dot" w:pos="9298"/>
        </w:tabs>
        <w:autoSpaceDE w:val="0"/>
        <w:autoSpaceDN w:val="0"/>
        <w:ind w:firstLine="400" w:firstLineChars="200"/>
        <w:rPr>
          <w:kern w:val="0"/>
          <w:sz w:val="20"/>
          <w:szCs w:val="20"/>
        </w:rPr>
      </w:pPr>
    </w:p>
    <w:p w14:paraId="20DC0D5F">
      <w:pPr>
        <w:widowControl/>
        <w:tabs>
          <w:tab w:val="center" w:pos="4201"/>
          <w:tab w:val="right" w:leader="dot" w:pos="9298"/>
        </w:tabs>
        <w:autoSpaceDE w:val="0"/>
        <w:autoSpaceDN w:val="0"/>
        <w:ind w:firstLine="400" w:firstLineChars="200"/>
        <w:rPr>
          <w:kern w:val="0"/>
          <w:sz w:val="20"/>
          <w:szCs w:val="20"/>
        </w:rPr>
      </w:pPr>
    </w:p>
    <w:p w14:paraId="34F9BE9A">
      <w:pPr>
        <w:widowControl/>
        <w:tabs>
          <w:tab w:val="center" w:pos="4201"/>
          <w:tab w:val="right" w:leader="dot" w:pos="9298"/>
        </w:tabs>
        <w:autoSpaceDE w:val="0"/>
        <w:autoSpaceDN w:val="0"/>
        <w:ind w:firstLine="400" w:firstLineChars="200"/>
        <w:rPr>
          <w:kern w:val="0"/>
          <w:sz w:val="20"/>
          <w:szCs w:val="20"/>
        </w:rPr>
      </w:pPr>
    </w:p>
    <w:p w14:paraId="6C11F744">
      <w:pPr>
        <w:widowControl/>
        <w:tabs>
          <w:tab w:val="center" w:pos="4201"/>
          <w:tab w:val="right" w:leader="dot" w:pos="9298"/>
        </w:tabs>
        <w:autoSpaceDE w:val="0"/>
        <w:autoSpaceDN w:val="0"/>
        <w:ind w:firstLine="400" w:firstLineChars="200"/>
        <w:rPr>
          <w:kern w:val="0"/>
          <w:sz w:val="20"/>
          <w:szCs w:val="20"/>
        </w:rPr>
      </w:pPr>
    </w:p>
    <w:p w14:paraId="0847E1AE">
      <w:pPr>
        <w:rPr>
          <w:szCs w:val="21"/>
        </w:rPr>
      </w:pPr>
      <w:r>
        <w:rPr>
          <w:szCs w:val="21"/>
        </w:rPr>
        <w:drawing>
          <wp:inline distT="0" distB="0" distL="0" distR="0">
            <wp:extent cx="809625" cy="7620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809625" cy="762000"/>
                    </a:xfrm>
                    <a:prstGeom prst="rect">
                      <a:avLst/>
                    </a:prstGeom>
                    <a:noFill/>
                    <a:ln>
                      <a:noFill/>
                    </a:ln>
                  </pic:spPr>
                </pic:pic>
              </a:graphicData>
            </a:graphic>
          </wp:inline>
        </w:drawing>
      </w:r>
      <w:r>
        <w:rPr>
          <w:szCs w:val="21"/>
        </w:rPr>
        <w:t xml:space="preserve"> 版权保护文件</w:t>
      </w:r>
    </w:p>
    <w:p w14:paraId="31FF8F59">
      <w:pPr>
        <w:spacing w:before="156" w:beforeLines="50" w:after="156" w:afterLines="50"/>
        <w:rPr>
          <w:szCs w:val="21"/>
        </w:rPr>
        <w:sectPr>
          <w:headerReference r:id="rId6" w:type="default"/>
          <w:footerReference r:id="rId7" w:type="default"/>
          <w:pgSz w:w="11906" w:h="16838"/>
          <w:pgMar w:top="1440" w:right="1466" w:bottom="1440" w:left="1620" w:header="851" w:footer="992" w:gutter="0"/>
          <w:pgNumType w:fmt="upperRoman" w:start="1"/>
          <w:cols w:space="425" w:num="1"/>
          <w:docGrid w:type="lines" w:linePitch="312" w:charSpace="0"/>
        </w:sectPr>
      </w:pPr>
      <w:r>
        <w:rPr>
          <w:szCs w:val="21"/>
        </w:rP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bookmarkEnd w:id="1"/>
    <w:p w14:paraId="2D07E7C3">
      <w:pPr>
        <w:widowControl/>
        <w:tabs>
          <w:tab w:val="center" w:pos="4201"/>
          <w:tab w:val="right" w:leader="dot" w:pos="9298"/>
        </w:tabs>
        <w:autoSpaceDE w:val="0"/>
        <w:autoSpaceDN w:val="0"/>
        <w:rPr>
          <w:kern w:val="0"/>
          <w:szCs w:val="21"/>
        </w:rPr>
      </w:pPr>
    </w:p>
    <w:p w14:paraId="2352F24B">
      <w:pPr>
        <w:keepNext/>
        <w:pageBreakBefore/>
        <w:widowControl/>
        <w:shd w:val="clear" w:color="FFFFFF" w:fill="FFFFFF"/>
        <w:spacing w:before="640" w:after="560"/>
        <w:jc w:val="center"/>
        <w:outlineLvl w:val="0"/>
        <w:rPr>
          <w:rFonts w:eastAsia="黑体"/>
          <w:kern w:val="0"/>
          <w:sz w:val="32"/>
          <w:szCs w:val="32"/>
        </w:rPr>
      </w:pPr>
      <w:bookmarkStart w:id="2" w:name="_Toc512093858"/>
      <w:bookmarkStart w:id="3" w:name="_Toc123746860"/>
      <w:r>
        <w:rPr>
          <w:rFonts w:eastAsia="黑体"/>
          <w:kern w:val="0"/>
          <w:sz w:val="32"/>
          <w:szCs w:val="32"/>
        </w:rPr>
        <w:t>前</w:t>
      </w:r>
      <w:bookmarkStart w:id="4" w:name="BKQY"/>
      <w:r>
        <w:rPr>
          <w:rFonts w:eastAsia="黑体"/>
          <w:kern w:val="0"/>
          <w:sz w:val="32"/>
          <w:szCs w:val="32"/>
        </w:rPr>
        <w:t>  言</w:t>
      </w:r>
      <w:bookmarkEnd w:id="2"/>
      <w:bookmarkEnd w:id="3"/>
      <w:bookmarkEnd w:id="4"/>
    </w:p>
    <w:p w14:paraId="4025E18A">
      <w:pPr>
        <w:ind w:firstLine="420" w:firstLineChars="200"/>
        <w:rPr>
          <w:szCs w:val="21"/>
        </w:rPr>
      </w:pPr>
      <w:r>
        <w:rPr>
          <w:szCs w:val="21"/>
        </w:rPr>
        <w:t>本</w:t>
      </w:r>
      <w:r>
        <w:rPr>
          <w:rFonts w:hint="eastAsia"/>
          <w:szCs w:val="21"/>
        </w:rPr>
        <w:t>文件</w:t>
      </w:r>
      <w:r>
        <w:rPr>
          <w:szCs w:val="21"/>
        </w:rPr>
        <w:t>按照GB/T 1.1-2020《标准化工作导则第1部分：标准化文件的结构和起草规则》的规定起草。</w:t>
      </w:r>
    </w:p>
    <w:p w14:paraId="084A511D">
      <w:pPr>
        <w:ind w:firstLine="420" w:firstLineChars="200"/>
        <w:rPr>
          <w:szCs w:val="21"/>
        </w:rPr>
      </w:pPr>
      <w:r>
        <w:rPr>
          <w:szCs w:val="21"/>
        </w:rPr>
        <w:t>请注意本文件的某些内容可能涉及专利。本文件的发布机构不承担识别专利的责任。</w:t>
      </w:r>
    </w:p>
    <w:p w14:paraId="2616812E">
      <w:pPr>
        <w:ind w:firstLine="420" w:firstLineChars="200"/>
      </w:pPr>
      <w:r>
        <w:t>本标准由中国特钢企业协会团体标准化工作委员会、中关村不锈及特种合金新材料产业技术创新联盟团体标准化工作委员会联合提出并归口。</w:t>
      </w:r>
    </w:p>
    <w:p w14:paraId="48668BAA">
      <w:pPr>
        <w:ind w:firstLine="420" w:firstLineChars="200"/>
        <w:rPr>
          <w:szCs w:val="21"/>
        </w:rPr>
      </w:pPr>
      <w:r>
        <w:rPr>
          <w:szCs w:val="21"/>
        </w:rPr>
        <w:t>本标准起草单位： 。</w:t>
      </w:r>
    </w:p>
    <w:p w14:paraId="2108DD50">
      <w:pPr>
        <w:ind w:firstLine="420" w:firstLineChars="200"/>
        <w:rPr>
          <w:szCs w:val="21"/>
        </w:rPr>
      </w:pPr>
      <w:r>
        <w:rPr>
          <w:szCs w:val="21"/>
        </w:rPr>
        <w:t>本标准主要起草人：。</w:t>
      </w:r>
    </w:p>
    <w:p w14:paraId="6C1F16C2">
      <w:pPr>
        <w:ind w:firstLine="420" w:firstLineChars="200"/>
        <w:rPr>
          <w:szCs w:val="21"/>
        </w:rPr>
      </w:pPr>
    </w:p>
    <w:p w14:paraId="7FB9025D">
      <w:pPr>
        <w:pStyle w:val="22"/>
        <w:rPr>
          <w:rFonts w:ascii="Times New Roman"/>
        </w:rPr>
      </w:pPr>
    </w:p>
    <w:p w14:paraId="1CCBD82F">
      <w:pPr>
        <w:ind w:firstLine="420" w:firstLineChars="200"/>
        <w:sectPr>
          <w:headerReference r:id="rId10" w:type="first"/>
          <w:footerReference r:id="rId13" w:type="first"/>
          <w:headerReference r:id="rId8" w:type="default"/>
          <w:footerReference r:id="rId11" w:type="default"/>
          <w:headerReference r:id="rId9" w:type="even"/>
          <w:footerReference r:id="rId12" w:type="even"/>
          <w:pgSz w:w="11906" w:h="16838"/>
          <w:pgMar w:top="567" w:right="1134" w:bottom="1134" w:left="1418" w:header="1418" w:footer="1134" w:gutter="0"/>
          <w:pgNumType w:fmt="upperRoman" w:start="1"/>
          <w:cols w:space="720" w:num="1"/>
          <w:formProt w:val="0"/>
          <w:docGrid w:type="lines" w:linePitch="312" w:charSpace="0"/>
        </w:sectPr>
      </w:pPr>
    </w:p>
    <w:p w14:paraId="50BC1A73">
      <w:pPr>
        <w:pStyle w:val="58"/>
        <w:spacing w:after="624" w:afterLines="200"/>
        <w:rPr>
          <w:rFonts w:ascii="Times New Roman"/>
        </w:rPr>
      </w:pPr>
      <w:r>
        <w:rPr>
          <w:rFonts w:ascii="Times New Roman"/>
        </w:rPr>
        <w:t>汽车高压共轨银亮</w:t>
      </w:r>
      <w:r>
        <w:rPr>
          <w:rFonts w:hint="eastAsia" w:ascii="Times New Roman"/>
          <w:lang w:val="en-US" w:eastAsia="zh-CN"/>
        </w:rPr>
        <w:t>钢</w:t>
      </w:r>
    </w:p>
    <w:p w14:paraId="5B4F8837">
      <w:pPr>
        <w:pStyle w:val="45"/>
        <w:numPr>
          <w:ilvl w:val="0"/>
          <w:numId w:val="2"/>
        </w:numPr>
        <w:spacing w:before="312" w:after="312"/>
        <w:rPr>
          <w:rFonts w:ascii="Times New Roman"/>
        </w:rPr>
      </w:pPr>
      <w:bookmarkStart w:id="5" w:name="_Toc520380391"/>
      <w:bookmarkStart w:id="6" w:name="_Toc123746862"/>
      <w:r>
        <w:rPr>
          <w:rFonts w:ascii="Times New Roman"/>
        </w:rPr>
        <w:t>范围</w:t>
      </w:r>
      <w:bookmarkEnd w:id="5"/>
      <w:bookmarkEnd w:id="6"/>
    </w:p>
    <w:p w14:paraId="1529890A">
      <w:pPr>
        <w:pStyle w:val="22"/>
        <w:rPr>
          <w:rFonts w:ascii="Times New Roman"/>
        </w:rPr>
      </w:pPr>
      <w:bookmarkStart w:id="7" w:name="_Toc520380392"/>
      <w:r>
        <w:rPr>
          <w:rFonts w:ascii="Times New Roman"/>
        </w:rPr>
        <w:t>本文件规定了汽车高压共轨银亮</w:t>
      </w:r>
      <w:r>
        <w:rPr>
          <w:rFonts w:hint="eastAsia" w:ascii="Times New Roman"/>
          <w:lang w:eastAsia="zh-CN"/>
        </w:rPr>
        <w:t>钢</w:t>
      </w:r>
      <w:r>
        <w:rPr>
          <w:rFonts w:ascii="Times New Roman"/>
        </w:rPr>
        <w:t>产品的术语及定义、分类代号、</w:t>
      </w:r>
      <w:r>
        <w:rPr>
          <w:rFonts w:hint="eastAsia" w:ascii="Times New Roman"/>
          <w:lang w:val="en-US" w:eastAsia="zh-CN"/>
        </w:rPr>
        <w:t>订货内容</w:t>
      </w:r>
      <w:r>
        <w:rPr>
          <w:rFonts w:ascii="Times New Roman"/>
        </w:rPr>
        <w:t>、</w:t>
      </w:r>
      <w:r>
        <w:rPr>
          <w:rFonts w:hint="eastAsia" w:ascii="Times New Roman"/>
          <w:lang w:val="en-US" w:eastAsia="zh-CN"/>
        </w:rPr>
        <w:t>制造工艺、</w:t>
      </w:r>
      <w:r>
        <w:rPr>
          <w:rFonts w:ascii="Times New Roman"/>
        </w:rPr>
        <w:t>技术要求、试验方法、检验规则、包装、标志和质量证明书等要求。</w:t>
      </w:r>
    </w:p>
    <w:p w14:paraId="757AFD0D">
      <w:pPr>
        <w:pStyle w:val="22"/>
        <w:rPr>
          <w:rFonts w:ascii="Times New Roman"/>
        </w:rPr>
      </w:pPr>
      <w:r>
        <w:rPr>
          <w:rFonts w:ascii="Times New Roman"/>
        </w:rPr>
        <w:t>本文件适用于对表面质量有较高要求公称直径</w:t>
      </w:r>
      <w:r>
        <w:rPr>
          <w:rFonts w:hint="eastAsia" w:ascii="Times New Roman"/>
        </w:rPr>
        <w:t>不大于</w:t>
      </w:r>
      <w:r>
        <w:rPr>
          <w:rFonts w:ascii="Times New Roman"/>
        </w:rPr>
        <w:t>180mm</w:t>
      </w:r>
      <w:r>
        <w:rPr>
          <w:rFonts w:hint="eastAsia" w:ascii="Times New Roman"/>
        </w:rPr>
        <w:t>汽车高压共</w:t>
      </w:r>
      <w:r>
        <w:rPr>
          <w:rFonts w:ascii="Times New Roman"/>
        </w:rPr>
        <w:t>轨银亮</w:t>
      </w:r>
      <w:r>
        <w:rPr>
          <w:rFonts w:hint="eastAsia" w:ascii="Times New Roman"/>
          <w:lang w:eastAsia="zh-CN"/>
        </w:rPr>
        <w:t>钢</w:t>
      </w:r>
      <w:r>
        <w:rPr>
          <w:rFonts w:ascii="Times New Roman"/>
        </w:rPr>
        <w:t>（以下简称银亮</w:t>
      </w:r>
      <w:r>
        <w:rPr>
          <w:rFonts w:hint="eastAsia" w:ascii="Times New Roman"/>
          <w:lang w:eastAsia="zh-CN"/>
        </w:rPr>
        <w:t>钢</w:t>
      </w:r>
      <w:r>
        <w:rPr>
          <w:rFonts w:ascii="Times New Roman"/>
        </w:rPr>
        <w:t>）。</w:t>
      </w:r>
      <w:bookmarkEnd w:id="7"/>
    </w:p>
    <w:p w14:paraId="0A4AD350">
      <w:pPr>
        <w:pStyle w:val="45"/>
        <w:numPr>
          <w:ilvl w:val="0"/>
          <w:numId w:val="2"/>
        </w:numPr>
        <w:spacing w:before="312" w:after="312"/>
        <w:rPr>
          <w:rFonts w:ascii="Times New Roman"/>
        </w:rPr>
      </w:pPr>
      <w:bookmarkStart w:id="8" w:name="_Toc123746863"/>
      <w:bookmarkStart w:id="9" w:name="_Toc520380393"/>
      <w:r>
        <w:rPr>
          <w:rFonts w:ascii="Times New Roman"/>
        </w:rPr>
        <w:t>规范性引用文件</w:t>
      </w:r>
      <w:bookmarkEnd w:id="8"/>
    </w:p>
    <w:p w14:paraId="739953A4">
      <w:pPr>
        <w:ind w:firstLine="420" w:firstLineChars="200"/>
      </w:pPr>
      <w:r>
        <w:t>下列文件中的内容通过文中的规范性引用而成为本文件必不可少的条款。其中，注日期的引用文件，仅该日期对应的版本适用于本文件；不注日期的引用文件，其最新版本（包括所有的修改单）适用于本文件。</w:t>
      </w:r>
    </w:p>
    <w:bookmarkEnd w:id="9"/>
    <w:p w14:paraId="5C2AA187">
      <w:pPr>
        <w:ind w:firstLine="420" w:firstLineChars="200"/>
      </w:pPr>
      <w:bookmarkStart w:id="10" w:name="_Toc520380394"/>
      <w:r>
        <w:t>GB/T 222  钢的成品化学成分允许偏差</w:t>
      </w:r>
    </w:p>
    <w:p w14:paraId="6A83A80F">
      <w:pPr>
        <w:ind w:firstLine="420" w:firstLineChars="200"/>
      </w:pPr>
      <w:r>
        <w:t>GB/T 223.11  钢铁及合金  铬含量的测定  可视滴定或电位滴定法</w:t>
      </w:r>
    </w:p>
    <w:p w14:paraId="5CDE60F4">
      <w:pPr>
        <w:ind w:firstLine="420" w:firstLineChars="200"/>
      </w:pPr>
      <w:r>
        <w:t>GB/T 223.25  钢铁及合金化学分析方法  丁二酮肟重量法测定镍量</w:t>
      </w:r>
    </w:p>
    <w:p w14:paraId="0CA95B6F">
      <w:pPr>
        <w:ind w:firstLine="420" w:firstLineChars="200"/>
        <w:rPr>
          <w:color w:val="000000" w:themeColor="text1"/>
          <w14:textFill>
            <w14:solidFill>
              <w14:schemeClr w14:val="tx1"/>
            </w14:solidFill>
          </w14:textFill>
        </w:rPr>
      </w:pPr>
      <w:r>
        <w:t>GB/T 223.59  钢铁及合金  磷含量的测定  铋磷钼蓝分光光度法和锑磷钼蓝分光光度法</w:t>
      </w:r>
    </w:p>
    <w:p w14:paraId="58255789">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 xml:space="preserve">GB/T 223.60  </w:t>
      </w:r>
      <w:r>
        <w:rPr>
          <w:rFonts w:hint="eastAsia"/>
          <w:color w:val="000000" w:themeColor="text1"/>
          <w14:textFill>
            <w14:solidFill>
              <w14:schemeClr w14:val="tx1"/>
            </w14:solidFill>
          </w14:textFill>
        </w:rPr>
        <w:t>钢铁及合金  硅含量的测定 重量法</w:t>
      </w:r>
    </w:p>
    <w:p w14:paraId="2B9C1509">
      <w:pPr>
        <w:ind w:firstLine="420" w:firstLineChars="200"/>
        <w:rPr>
          <w:rFonts w:hint="eastAsia"/>
          <w:color w:val="000000" w:themeColor="text1"/>
          <w14:textFill>
            <w14:solidFill>
              <w14:schemeClr w14:val="tx1"/>
            </w14:solidFill>
          </w14:textFill>
        </w:rPr>
      </w:pPr>
      <w:r>
        <w:rPr>
          <w:color w:val="000000" w:themeColor="text1"/>
          <w14:textFill>
            <w14:solidFill>
              <w14:schemeClr w14:val="tx1"/>
            </w14:solidFill>
          </w14:textFill>
        </w:rPr>
        <w:t xml:space="preserve">GB/T 223.63  </w:t>
      </w:r>
      <w:r>
        <w:rPr>
          <w:rFonts w:hint="eastAsia"/>
          <w:color w:val="000000" w:themeColor="text1"/>
          <w14:textFill>
            <w14:solidFill>
              <w14:schemeClr w14:val="tx1"/>
            </w14:solidFill>
          </w14:textFill>
        </w:rPr>
        <w:t>钢铁及合金  锰含量的测定  高碘酸钠（钾）分光光度法</w:t>
      </w:r>
    </w:p>
    <w:p w14:paraId="50754C4E">
      <w:pPr>
        <w:ind w:firstLine="420" w:firstLineChars="200"/>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GB/T 223.84</w:t>
      </w:r>
      <w:r>
        <w:rPr>
          <w:rFonts w:hint="eastAsia"/>
          <w:color w:val="000000" w:themeColor="text1"/>
          <w:lang w:val="en-US" w:eastAsia="zh-CN"/>
          <w14:textFill>
            <w14:solidFill>
              <w14:schemeClr w14:val="tx1"/>
            </w14:solidFill>
          </w14:textFill>
        </w:rPr>
        <w:t xml:space="preserve">  钢铁及合金 钛含量的测定 二安替比林甲烷分光光度法</w:t>
      </w:r>
    </w:p>
    <w:p w14:paraId="1DDFD430">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GB/T 224  钢的脱碳层深度测定法</w:t>
      </w:r>
    </w:p>
    <w:p w14:paraId="2EDBE7B7">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GB/T 226  钢的低倍组织及缺陷酸蚀检验法</w:t>
      </w:r>
    </w:p>
    <w:p w14:paraId="45552CC0">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GB/T 228.1  金属材料  拉伸试验  第1部分：室温试验方法</w:t>
      </w:r>
    </w:p>
    <w:p w14:paraId="6FA29059">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 xml:space="preserve">GB/T 229  </w:t>
      </w:r>
      <w:r>
        <w:rPr>
          <w:rFonts w:hint="eastAsia"/>
          <w:color w:val="000000" w:themeColor="text1"/>
          <w14:textFill>
            <w14:solidFill>
              <w14:schemeClr w14:val="tx1"/>
            </w14:solidFill>
          </w14:textFill>
        </w:rPr>
        <w:t>金属材料 夏比摆锤冲击试验方法</w:t>
      </w:r>
    </w:p>
    <w:p w14:paraId="4A8894ED">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 xml:space="preserve">GB/T 230.1 </w:t>
      </w:r>
      <w:r>
        <w:rPr>
          <w:rFonts w:hint="eastAsia"/>
          <w:color w:val="000000" w:themeColor="text1"/>
          <w14:textFill>
            <w14:solidFill>
              <w14:schemeClr w14:val="tx1"/>
            </w14:solidFill>
          </w14:textFill>
        </w:rPr>
        <w:t xml:space="preserve"> 金属材料 洛氏硬度试验 第1部分: 试验方法</w:t>
      </w:r>
    </w:p>
    <w:p w14:paraId="74C625D4">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 xml:space="preserve">GB/T 231.1  </w:t>
      </w:r>
      <w:r>
        <w:rPr>
          <w:rFonts w:hint="eastAsia"/>
          <w:color w:val="000000" w:themeColor="text1"/>
          <w14:textFill>
            <w14:solidFill>
              <w14:schemeClr w14:val="tx1"/>
            </w14:solidFill>
          </w14:textFill>
        </w:rPr>
        <w:t>金属材料 布氏硬度试验 第1部分: 试验方法</w:t>
      </w:r>
    </w:p>
    <w:p w14:paraId="70A63F22">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GB/T 1814 钢材断口检验法</w:t>
      </w:r>
    </w:p>
    <w:p w14:paraId="34D0E4C7">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GB/T 1979  结构钢低倍组织缺陷评级图</w:t>
      </w:r>
    </w:p>
    <w:p w14:paraId="4CE56FA6">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GB/T 2101  型钢验收、包装、标志及质量证明书的一般规定</w:t>
      </w:r>
    </w:p>
    <w:p w14:paraId="18F9067A">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GB</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T 2103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钢丝验收、包装、标志及质量证明书的一般规定</w:t>
      </w:r>
    </w:p>
    <w:p w14:paraId="247A41A0">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GB/T 2975  钢及钢产品 力学性能试验取样位置及试样制备</w:t>
      </w:r>
    </w:p>
    <w:p w14:paraId="01345FA9">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GB/T 3207</w:t>
      </w:r>
      <w:r>
        <w:rPr>
          <w:rFonts w:hint="eastAsia"/>
          <w:color w:val="000000" w:themeColor="text1"/>
          <w14:textFill>
            <w14:solidFill>
              <w14:schemeClr w14:val="tx1"/>
            </w14:solidFill>
          </w14:textFill>
        </w:rPr>
        <w:t>-2008</w:t>
      </w:r>
      <w:r>
        <w:rPr>
          <w:color w:val="000000" w:themeColor="text1"/>
          <w14:textFill>
            <w14:solidFill>
              <w14:schemeClr w14:val="tx1"/>
            </w14:solidFill>
          </w14:textFill>
        </w:rPr>
        <w:t xml:space="preserve">  银亮钢</w:t>
      </w:r>
    </w:p>
    <w:p w14:paraId="51468347">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GB/T 4334  金属和合金的腐蚀 奥氏体及铁素体-奥氏体（双相）不锈钢晶间腐蚀试验方法</w:t>
      </w:r>
    </w:p>
    <w:p w14:paraId="19270D11">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 xml:space="preserve">GB/T 4336 </w:t>
      </w:r>
      <w:r>
        <w:rPr>
          <w:rFonts w:hint="eastAsia"/>
          <w:color w:val="000000" w:themeColor="text1"/>
          <w14:textFill>
            <w14:solidFill>
              <w14:schemeClr w14:val="tx1"/>
            </w14:solidFill>
          </w14:textFill>
        </w:rPr>
        <w:t xml:space="preserve"> 碳素钢和中低合金钢 火花源原子发射光谱分析方法（常规法）</w:t>
      </w:r>
    </w:p>
    <w:p w14:paraId="0A2D150E">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GB/T 6394  金属平均晶粒度测定方法</w:t>
      </w:r>
    </w:p>
    <w:p w14:paraId="7E8D5F52">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GB/T 8170  数值修约规则与极限数值的表示和判定</w:t>
      </w:r>
    </w:p>
    <w:p w14:paraId="108ED78F">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 xml:space="preserve">GB/T 8361 </w:t>
      </w:r>
      <w:r>
        <w:rPr>
          <w:rFonts w:hint="eastAsia"/>
          <w:color w:val="000000" w:themeColor="text1"/>
          <w14:textFill>
            <w14:solidFill>
              <w14:schemeClr w14:val="tx1"/>
            </w14:solidFill>
          </w14:textFill>
        </w:rPr>
        <w:t xml:space="preserve"> 冷拉圆钢表面超声检测方法</w:t>
      </w:r>
    </w:p>
    <w:p w14:paraId="52F04BB6">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GB/T 10561  钢中非金属夹杂物含量的测定  标准评级图显微检验法</w:t>
      </w:r>
    </w:p>
    <w:p w14:paraId="679558E3">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GB/T 10610  产品几何技术规范（GPS）  表面结构  轮廓法  评定表面结构的规则和方法</w:t>
      </w:r>
    </w:p>
    <w:p w14:paraId="677FD926">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 xml:space="preserve">GB/T 11260 </w:t>
      </w:r>
      <w:r>
        <w:rPr>
          <w:rFonts w:hint="eastAsia"/>
          <w:color w:val="000000" w:themeColor="text1"/>
          <w14:textFill>
            <w14:solidFill>
              <w14:schemeClr w14:val="tx1"/>
            </w14:solidFill>
          </w14:textFill>
        </w:rPr>
        <w:t xml:space="preserve"> 圆钢涡流检测方法</w:t>
      </w:r>
    </w:p>
    <w:p w14:paraId="2EBA7B18">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GB/T 14999.1</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高温合金试验方法 第1部分:纵向低倍组织及缺陷酸浸检验</w:t>
      </w:r>
    </w:p>
    <w:p w14:paraId="43111DF6">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GB/T 14999.2</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高温合金试验方法 第2部分:横向低倍组织及缺陷酸浸检验</w:t>
      </w:r>
    </w:p>
    <w:p w14:paraId="02B742D5">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GB/T 20066  钢和铁  化学成分测定用试样的取样和制样方法</w:t>
      </w:r>
    </w:p>
    <w:p w14:paraId="4B8B9E66">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GB/T 20123  钢铁  总碳硫含量的测定 高频感应炉燃烧后红外吸收法（常规方法）</w:t>
      </w:r>
    </w:p>
    <w:p w14:paraId="464891AA">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GB/T 20124  钢铁  氮含量的测定 惰性气体熔融热导法（常规方法）</w:t>
      </w:r>
    </w:p>
    <w:p w14:paraId="6908F2BC">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YB/T 5293 金属材料 顶锻试验方法</w:t>
      </w:r>
    </w:p>
    <w:p w14:paraId="1754F72F">
      <w:pPr>
        <w:pStyle w:val="45"/>
        <w:numPr>
          <w:ilvl w:val="0"/>
          <w:numId w:val="2"/>
        </w:numPr>
        <w:spacing w:before="312" w:after="312"/>
        <w:rPr>
          <w:rFonts w:ascii="Times New Roman"/>
        </w:rPr>
      </w:pPr>
      <w:bookmarkStart w:id="11" w:name="_Toc123746864"/>
      <w:r>
        <w:rPr>
          <w:rFonts w:ascii="Times New Roman"/>
        </w:rPr>
        <w:t>术语和定义</w:t>
      </w:r>
      <w:bookmarkEnd w:id="11"/>
    </w:p>
    <w:bookmarkEnd w:id="10"/>
    <w:p w14:paraId="319B743B">
      <w:pPr>
        <w:ind w:firstLine="420" w:firstLineChars="200"/>
      </w:pPr>
      <w:bookmarkStart w:id="12" w:name="_Toc123746865"/>
      <w:r>
        <w:t>GB/T 3207</w:t>
      </w:r>
      <w:r>
        <w:rPr>
          <w:rFonts w:hint="eastAsia"/>
        </w:rPr>
        <w:t>-2008</w:t>
      </w:r>
      <w:r>
        <w:t>界定的术语和定义适用于本文件。</w:t>
      </w:r>
    </w:p>
    <w:p w14:paraId="33C6D114">
      <w:pPr>
        <w:pStyle w:val="45"/>
        <w:numPr>
          <w:ilvl w:val="0"/>
          <w:numId w:val="2"/>
        </w:numPr>
        <w:spacing w:before="312" w:after="312"/>
        <w:rPr>
          <w:rFonts w:ascii="Times New Roman"/>
        </w:rPr>
      </w:pPr>
      <w:r>
        <w:rPr>
          <w:rFonts w:ascii="Times New Roman"/>
        </w:rPr>
        <w:t>分类代号</w:t>
      </w:r>
    </w:p>
    <w:p w14:paraId="6D4FB757">
      <w:pPr>
        <w:pStyle w:val="22"/>
        <w:rPr>
          <w:rFonts w:ascii="Times New Roman"/>
        </w:rPr>
      </w:pPr>
      <w:r>
        <w:rPr>
          <w:rFonts w:ascii="Times New Roman"/>
        </w:rPr>
        <w:t>银亮钢按最终冷加工方法分为三类，其分类代号如表1所示。</w:t>
      </w:r>
    </w:p>
    <w:p w14:paraId="263984F6">
      <w:pPr>
        <w:pStyle w:val="77"/>
        <w:rPr>
          <w:rFonts w:eastAsia="宋体"/>
          <w:sz w:val="18"/>
        </w:rPr>
      </w:pPr>
      <w:r>
        <w:t>银亮钢分类和代号</w:t>
      </w:r>
    </w:p>
    <w:tbl>
      <w:tblPr>
        <w:tblStyle w:val="32"/>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4785"/>
        <w:gridCol w:w="4785"/>
      </w:tblGrid>
      <w:tr w14:paraId="248A95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785" w:type="dxa"/>
            <w:tcBorders>
              <w:left w:val="single" w:color="auto" w:sz="8" w:space="0"/>
              <w:bottom w:val="single" w:color="auto" w:sz="6" w:space="0"/>
              <w:right w:val="single" w:color="auto" w:sz="6" w:space="0"/>
            </w:tcBorders>
            <w:vAlign w:val="center"/>
          </w:tcPr>
          <w:p w14:paraId="07AE8AB1">
            <w:pPr>
              <w:pStyle w:val="22"/>
              <w:numPr>
                <w:ilvl w:val="0"/>
                <w:numId w:val="0"/>
              </w:numPr>
              <w:ind w:left="420" w:leftChars="200"/>
              <w:jc w:val="center"/>
              <w:rPr>
                <w:rFonts w:ascii="Times New Roman"/>
                <w:szCs w:val="18"/>
              </w:rPr>
            </w:pPr>
            <w:r>
              <w:rPr>
                <w:rFonts w:ascii="Times New Roman"/>
                <w:szCs w:val="18"/>
              </w:rPr>
              <w:t>交货状态</w:t>
            </w:r>
          </w:p>
        </w:tc>
        <w:tc>
          <w:tcPr>
            <w:tcW w:w="4785" w:type="dxa"/>
            <w:tcBorders>
              <w:left w:val="single" w:color="auto" w:sz="6" w:space="0"/>
              <w:bottom w:val="single" w:color="auto" w:sz="6" w:space="0"/>
              <w:right w:val="single" w:color="auto" w:sz="8" w:space="0"/>
            </w:tcBorders>
            <w:vAlign w:val="center"/>
          </w:tcPr>
          <w:p w14:paraId="4E0B5A0D">
            <w:pPr>
              <w:pStyle w:val="22"/>
              <w:numPr>
                <w:ilvl w:val="0"/>
                <w:numId w:val="0"/>
              </w:numPr>
              <w:ind w:left="420" w:leftChars="200"/>
              <w:jc w:val="center"/>
              <w:rPr>
                <w:rFonts w:ascii="Times New Roman"/>
                <w:szCs w:val="18"/>
              </w:rPr>
            </w:pPr>
            <w:r>
              <w:rPr>
                <w:rFonts w:ascii="Times New Roman"/>
                <w:szCs w:val="18"/>
              </w:rPr>
              <w:t>代号</w:t>
            </w:r>
          </w:p>
        </w:tc>
      </w:tr>
      <w:tr w14:paraId="5573F3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785" w:type="dxa"/>
            <w:tcBorders>
              <w:top w:val="single" w:color="auto" w:sz="6" w:space="0"/>
              <w:left w:val="single" w:color="auto" w:sz="6" w:space="0"/>
              <w:bottom w:val="single" w:color="auto" w:sz="6" w:space="0"/>
              <w:right w:val="single" w:color="auto" w:sz="6" w:space="0"/>
            </w:tcBorders>
            <w:vAlign w:val="center"/>
          </w:tcPr>
          <w:p w14:paraId="73A703A2">
            <w:pPr>
              <w:pStyle w:val="22"/>
              <w:numPr>
                <w:ilvl w:val="0"/>
                <w:numId w:val="0"/>
              </w:numPr>
              <w:ind w:left="420" w:leftChars="200"/>
              <w:jc w:val="center"/>
              <w:rPr>
                <w:rFonts w:ascii="Times New Roman"/>
                <w:szCs w:val="18"/>
              </w:rPr>
            </w:pPr>
            <w:r>
              <w:rPr>
                <w:rFonts w:ascii="Times New Roman"/>
                <w:szCs w:val="18"/>
              </w:rPr>
              <w:t>剥皮</w:t>
            </w:r>
          </w:p>
        </w:tc>
        <w:tc>
          <w:tcPr>
            <w:tcW w:w="4785" w:type="dxa"/>
            <w:tcBorders>
              <w:top w:val="single" w:color="auto" w:sz="6" w:space="0"/>
              <w:left w:val="single" w:color="auto" w:sz="6" w:space="0"/>
              <w:bottom w:val="single" w:color="auto" w:sz="6" w:space="0"/>
              <w:right w:val="single" w:color="auto" w:sz="6" w:space="0"/>
            </w:tcBorders>
            <w:vAlign w:val="center"/>
          </w:tcPr>
          <w:p w14:paraId="694349D2">
            <w:pPr>
              <w:pStyle w:val="22"/>
              <w:numPr>
                <w:ilvl w:val="0"/>
                <w:numId w:val="0"/>
              </w:numPr>
              <w:ind w:left="420" w:leftChars="200"/>
              <w:jc w:val="center"/>
              <w:rPr>
                <w:rFonts w:ascii="Times New Roman"/>
                <w:szCs w:val="18"/>
              </w:rPr>
            </w:pPr>
            <w:r>
              <w:rPr>
                <w:rFonts w:ascii="Times New Roman"/>
                <w:szCs w:val="18"/>
              </w:rPr>
              <w:t>SF</w:t>
            </w:r>
          </w:p>
        </w:tc>
      </w:tr>
      <w:tr w14:paraId="4994E4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785" w:type="dxa"/>
            <w:tcBorders>
              <w:top w:val="single" w:color="auto" w:sz="6" w:space="0"/>
              <w:left w:val="single" w:color="auto" w:sz="6" w:space="0"/>
              <w:bottom w:val="single" w:color="auto" w:sz="6" w:space="0"/>
              <w:right w:val="single" w:color="auto" w:sz="6" w:space="0"/>
            </w:tcBorders>
            <w:vAlign w:val="center"/>
          </w:tcPr>
          <w:p w14:paraId="5C5AED42">
            <w:pPr>
              <w:pStyle w:val="22"/>
              <w:numPr>
                <w:ilvl w:val="0"/>
                <w:numId w:val="0"/>
              </w:numPr>
              <w:ind w:left="420" w:leftChars="200"/>
              <w:jc w:val="center"/>
              <w:rPr>
                <w:rFonts w:ascii="Times New Roman"/>
                <w:szCs w:val="18"/>
              </w:rPr>
            </w:pPr>
            <w:r>
              <w:rPr>
                <w:rFonts w:ascii="Times New Roman"/>
                <w:szCs w:val="18"/>
              </w:rPr>
              <w:t>磨光</w:t>
            </w:r>
          </w:p>
        </w:tc>
        <w:tc>
          <w:tcPr>
            <w:tcW w:w="4785" w:type="dxa"/>
            <w:tcBorders>
              <w:top w:val="single" w:color="auto" w:sz="6" w:space="0"/>
              <w:left w:val="single" w:color="auto" w:sz="6" w:space="0"/>
              <w:bottom w:val="single" w:color="auto" w:sz="6" w:space="0"/>
              <w:right w:val="single" w:color="auto" w:sz="6" w:space="0"/>
            </w:tcBorders>
            <w:vAlign w:val="center"/>
          </w:tcPr>
          <w:p w14:paraId="274CD505">
            <w:pPr>
              <w:pStyle w:val="22"/>
              <w:numPr>
                <w:ilvl w:val="0"/>
                <w:numId w:val="0"/>
              </w:numPr>
              <w:ind w:left="420" w:leftChars="200"/>
              <w:jc w:val="center"/>
              <w:rPr>
                <w:rFonts w:ascii="Times New Roman"/>
                <w:szCs w:val="18"/>
              </w:rPr>
            </w:pPr>
            <w:r>
              <w:rPr>
                <w:rFonts w:ascii="Times New Roman"/>
                <w:szCs w:val="18"/>
              </w:rPr>
              <w:t>SP</w:t>
            </w:r>
          </w:p>
        </w:tc>
      </w:tr>
      <w:tr w14:paraId="5C0995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785" w:type="dxa"/>
            <w:tcBorders>
              <w:top w:val="single" w:color="auto" w:sz="6" w:space="0"/>
              <w:left w:val="single" w:color="auto" w:sz="6" w:space="0"/>
              <w:bottom w:val="single" w:color="auto" w:sz="6" w:space="0"/>
              <w:right w:val="single" w:color="auto" w:sz="6" w:space="0"/>
            </w:tcBorders>
            <w:vAlign w:val="center"/>
          </w:tcPr>
          <w:p w14:paraId="70169698">
            <w:pPr>
              <w:pStyle w:val="22"/>
              <w:numPr>
                <w:ilvl w:val="0"/>
                <w:numId w:val="0"/>
              </w:numPr>
              <w:ind w:left="420" w:leftChars="200"/>
              <w:jc w:val="center"/>
              <w:rPr>
                <w:rFonts w:ascii="Times New Roman"/>
                <w:szCs w:val="18"/>
              </w:rPr>
            </w:pPr>
            <w:r>
              <w:rPr>
                <w:rFonts w:ascii="Times New Roman"/>
                <w:szCs w:val="18"/>
              </w:rPr>
              <w:t>抛光</w:t>
            </w:r>
          </w:p>
        </w:tc>
        <w:tc>
          <w:tcPr>
            <w:tcW w:w="4785" w:type="dxa"/>
            <w:tcBorders>
              <w:top w:val="single" w:color="auto" w:sz="6" w:space="0"/>
              <w:left w:val="single" w:color="auto" w:sz="6" w:space="0"/>
              <w:bottom w:val="single" w:color="auto" w:sz="6" w:space="0"/>
              <w:right w:val="single" w:color="auto" w:sz="6" w:space="0"/>
            </w:tcBorders>
            <w:vAlign w:val="center"/>
          </w:tcPr>
          <w:p w14:paraId="2D9C30D1">
            <w:pPr>
              <w:pStyle w:val="22"/>
              <w:numPr>
                <w:ilvl w:val="0"/>
                <w:numId w:val="0"/>
              </w:numPr>
              <w:ind w:left="420" w:leftChars="200"/>
              <w:jc w:val="center"/>
              <w:rPr>
                <w:rFonts w:ascii="Times New Roman"/>
                <w:szCs w:val="18"/>
              </w:rPr>
            </w:pPr>
            <w:r>
              <w:rPr>
                <w:rFonts w:ascii="Times New Roman"/>
                <w:szCs w:val="18"/>
              </w:rPr>
              <w:t>SB</w:t>
            </w:r>
          </w:p>
        </w:tc>
      </w:tr>
    </w:tbl>
    <w:p w14:paraId="76B80ABC">
      <w:pPr>
        <w:pStyle w:val="45"/>
        <w:numPr>
          <w:ilvl w:val="0"/>
          <w:numId w:val="2"/>
        </w:numPr>
        <w:spacing w:before="312" w:after="312"/>
        <w:rPr>
          <w:rFonts w:ascii="Times New Roman"/>
        </w:rPr>
      </w:pPr>
      <w:r>
        <w:rPr>
          <w:rFonts w:ascii="Times New Roman"/>
        </w:rPr>
        <w:t>订货内容</w:t>
      </w:r>
      <w:bookmarkEnd w:id="12"/>
    </w:p>
    <w:p w14:paraId="0D80CEF4">
      <w:pPr>
        <w:pStyle w:val="22"/>
        <w:rPr>
          <w:rFonts w:ascii="Times New Roman"/>
        </w:rPr>
      </w:pPr>
      <w:r>
        <w:rPr>
          <w:rFonts w:ascii="Times New Roman"/>
        </w:rPr>
        <w:t>按本标准订货的合同或订单应包括下列内容：</w:t>
      </w:r>
    </w:p>
    <w:p w14:paraId="21901579">
      <w:pPr>
        <w:pStyle w:val="22"/>
        <w:numPr>
          <w:ilvl w:val="0"/>
          <w:numId w:val="4"/>
        </w:numPr>
        <w:rPr>
          <w:rFonts w:ascii="Times New Roman"/>
        </w:rPr>
      </w:pPr>
      <w:r>
        <w:rPr>
          <w:rFonts w:hint="eastAsia" w:ascii="Times New Roman"/>
        </w:rPr>
        <w:t>本文件</w:t>
      </w:r>
      <w:r>
        <w:rPr>
          <w:rFonts w:ascii="Times New Roman"/>
        </w:rPr>
        <w:t>编号；</w:t>
      </w:r>
    </w:p>
    <w:p w14:paraId="2F948A97">
      <w:pPr>
        <w:pStyle w:val="22"/>
        <w:numPr>
          <w:ilvl w:val="0"/>
          <w:numId w:val="4"/>
        </w:numPr>
        <w:rPr>
          <w:rFonts w:ascii="Times New Roman"/>
        </w:rPr>
      </w:pPr>
      <w:r>
        <w:rPr>
          <w:rFonts w:ascii="Times New Roman"/>
        </w:rPr>
        <w:t>产品名称；</w:t>
      </w:r>
    </w:p>
    <w:p w14:paraId="70958F34">
      <w:pPr>
        <w:pStyle w:val="22"/>
        <w:numPr>
          <w:ilvl w:val="0"/>
          <w:numId w:val="4"/>
        </w:numPr>
        <w:rPr>
          <w:rFonts w:ascii="Times New Roman"/>
        </w:rPr>
      </w:pPr>
      <w:r>
        <w:rPr>
          <w:rFonts w:ascii="Times New Roman"/>
        </w:rPr>
        <w:t>牌号；</w:t>
      </w:r>
    </w:p>
    <w:p w14:paraId="34A3C19E">
      <w:pPr>
        <w:pStyle w:val="22"/>
        <w:numPr>
          <w:ilvl w:val="0"/>
          <w:numId w:val="4"/>
        </w:numPr>
        <w:rPr>
          <w:rFonts w:ascii="Times New Roman"/>
        </w:rPr>
      </w:pPr>
      <w:r>
        <w:rPr>
          <w:rFonts w:ascii="Times New Roman"/>
        </w:rPr>
        <w:t>交货状态；</w:t>
      </w:r>
    </w:p>
    <w:p w14:paraId="09478A77">
      <w:pPr>
        <w:pStyle w:val="22"/>
        <w:numPr>
          <w:ilvl w:val="0"/>
          <w:numId w:val="4"/>
        </w:numPr>
        <w:rPr>
          <w:rFonts w:ascii="Times New Roman"/>
        </w:rPr>
      </w:pPr>
      <w:r>
        <w:rPr>
          <w:rFonts w:ascii="Times New Roman"/>
        </w:rPr>
        <w:t>规格及尺寸精度级别</w:t>
      </w:r>
    </w:p>
    <w:p w14:paraId="1897B653">
      <w:pPr>
        <w:pStyle w:val="22"/>
        <w:numPr>
          <w:ilvl w:val="0"/>
          <w:numId w:val="4"/>
        </w:numPr>
        <w:rPr>
          <w:rFonts w:ascii="Times New Roman"/>
        </w:rPr>
      </w:pPr>
      <w:r>
        <w:rPr>
          <w:rFonts w:ascii="Times New Roman"/>
        </w:rPr>
        <w:t>订货数量（重量或支数）</w:t>
      </w:r>
    </w:p>
    <w:p w14:paraId="0F3A3F62">
      <w:pPr>
        <w:pStyle w:val="22"/>
        <w:numPr>
          <w:ilvl w:val="0"/>
          <w:numId w:val="4"/>
        </w:numPr>
        <w:rPr>
          <w:rFonts w:ascii="Times New Roman"/>
        </w:rPr>
      </w:pPr>
      <w:r>
        <w:rPr>
          <w:rFonts w:ascii="Times New Roman"/>
        </w:rPr>
        <w:t>包装方式；</w:t>
      </w:r>
    </w:p>
    <w:p w14:paraId="489E530A">
      <w:pPr>
        <w:pStyle w:val="22"/>
        <w:numPr>
          <w:ilvl w:val="0"/>
          <w:numId w:val="4"/>
        </w:numPr>
        <w:rPr>
          <w:rFonts w:ascii="Times New Roman"/>
        </w:rPr>
      </w:pPr>
      <w:r>
        <w:rPr>
          <w:rFonts w:ascii="Times New Roman"/>
        </w:rPr>
        <w:t>其他需求。</w:t>
      </w:r>
    </w:p>
    <w:p w14:paraId="7CE48890">
      <w:pPr>
        <w:pStyle w:val="45"/>
        <w:numPr>
          <w:ilvl w:val="0"/>
          <w:numId w:val="2"/>
        </w:numPr>
        <w:spacing w:before="312" w:after="312"/>
        <w:rPr>
          <w:rFonts w:ascii="Times New Roman"/>
        </w:rPr>
      </w:pPr>
      <w:r>
        <w:rPr>
          <w:rFonts w:hint="eastAsia" w:ascii="Times New Roman"/>
        </w:rPr>
        <w:t>制造工艺</w:t>
      </w:r>
    </w:p>
    <w:p w14:paraId="6657E5A9">
      <w:pPr>
        <w:pStyle w:val="47"/>
        <w:spacing w:before="156" w:after="156"/>
        <w:ind w:left="0"/>
        <w:rPr>
          <w:rFonts w:ascii="Times New Roman" w:eastAsia="宋体"/>
        </w:rPr>
      </w:pPr>
      <w:bookmarkStart w:id="13" w:name="_Hlk167051119"/>
      <w:r>
        <w:rPr>
          <w:rFonts w:ascii="Times New Roman"/>
        </w:rPr>
        <w:t>冶炼方法</w:t>
      </w:r>
    </w:p>
    <w:p w14:paraId="55126D38">
      <w:pPr>
        <w:ind w:firstLine="420" w:firstLineChars="200"/>
        <w:rPr>
          <w:szCs w:val="20"/>
          <w:highlight w:val="yellow"/>
        </w:rPr>
      </w:pPr>
      <w:r>
        <w:rPr>
          <w:rFonts w:hint="eastAsia"/>
          <w:szCs w:val="20"/>
          <w:lang w:eastAsia="zh-CN"/>
        </w:rPr>
        <w:t>银亮钢</w:t>
      </w:r>
      <w:r>
        <w:rPr>
          <w:szCs w:val="20"/>
        </w:rPr>
        <w:t>应采用</w:t>
      </w:r>
      <w:r>
        <w:rPr>
          <w:rFonts w:hint="eastAsia"/>
          <w:szCs w:val="20"/>
        </w:rPr>
        <w:t>电炉加炉外精炼冶炼方法</w:t>
      </w:r>
      <w:r>
        <w:rPr>
          <w:szCs w:val="20"/>
        </w:rPr>
        <w:t>。经供需双方协商，并在合同注明，也可采用能满足本标准要求的其他冶炼方法。</w:t>
      </w:r>
    </w:p>
    <w:bookmarkEnd w:id="13"/>
    <w:p w14:paraId="3EF4DB9B">
      <w:pPr>
        <w:pStyle w:val="47"/>
        <w:spacing w:before="156" w:after="156"/>
        <w:ind w:left="0"/>
        <w:rPr>
          <w:rFonts w:ascii="Times New Roman"/>
        </w:rPr>
      </w:pPr>
      <w:bookmarkStart w:id="14" w:name="_Hlk167051138"/>
      <w:r>
        <w:rPr>
          <w:rFonts w:ascii="Times New Roman"/>
        </w:rPr>
        <w:t>交货状态</w:t>
      </w:r>
    </w:p>
    <w:bookmarkEnd w:id="14"/>
    <w:p w14:paraId="5299901D">
      <w:pPr>
        <w:pStyle w:val="50"/>
        <w:spacing w:before="156" w:after="156"/>
        <w:jc w:val="both"/>
        <w:rPr>
          <w:rFonts w:ascii="Times New Roman" w:eastAsia="宋体"/>
        </w:rPr>
      </w:pPr>
      <w:bookmarkStart w:id="15" w:name="_Hlk167051127"/>
      <w:r>
        <w:rPr>
          <w:rFonts w:hint="eastAsia" w:ascii="Times New Roman" w:eastAsia="宋体"/>
          <w:lang w:eastAsia="zh-CN"/>
        </w:rPr>
        <w:t>银亮钢</w:t>
      </w:r>
      <w:r>
        <w:rPr>
          <w:rFonts w:ascii="Times New Roman" w:eastAsia="宋体"/>
        </w:rPr>
        <w:t>的交货状态按冷加工方法不同分为剥皮、磨光和抛光三类。</w:t>
      </w:r>
    </w:p>
    <w:p w14:paraId="683A9B53">
      <w:pPr>
        <w:pStyle w:val="50"/>
        <w:spacing w:before="156" w:after="156"/>
        <w:jc w:val="both"/>
        <w:rPr>
          <w:rFonts w:ascii="Times New Roman" w:eastAsia="宋体"/>
        </w:rPr>
      </w:pPr>
      <w:r>
        <w:rPr>
          <w:rFonts w:hint="eastAsia" w:ascii="Times New Roman" w:eastAsia="宋体"/>
          <w:lang w:eastAsia="zh-CN"/>
        </w:rPr>
        <w:t>银亮钢</w:t>
      </w:r>
      <w:r>
        <w:rPr>
          <w:rFonts w:ascii="Times New Roman" w:eastAsia="宋体"/>
        </w:rPr>
        <w:t>生产前，根据零加工设备能力或根据需方要求可进行热处理。</w:t>
      </w:r>
    </w:p>
    <w:p w14:paraId="2B65A37C">
      <w:pPr>
        <w:pStyle w:val="50"/>
        <w:spacing w:before="156" w:after="156"/>
        <w:rPr>
          <w:rFonts w:ascii="Times New Roman" w:eastAsia="宋体"/>
        </w:rPr>
      </w:pPr>
      <w:r>
        <w:rPr>
          <w:rFonts w:ascii="Times New Roman" w:eastAsia="宋体"/>
        </w:rPr>
        <w:t>根据需方要求并在合同注明，</w:t>
      </w:r>
      <w:r>
        <w:rPr>
          <w:rFonts w:hint="eastAsia" w:ascii="Times New Roman" w:eastAsia="宋体"/>
          <w:lang w:eastAsia="zh-CN"/>
        </w:rPr>
        <w:t>银亮钢</w:t>
      </w:r>
      <w:r>
        <w:rPr>
          <w:rFonts w:ascii="Times New Roman" w:eastAsia="宋体"/>
        </w:rPr>
        <w:t>可以热处理状态供货。</w:t>
      </w:r>
    </w:p>
    <w:bookmarkEnd w:id="15"/>
    <w:p w14:paraId="54911AFF">
      <w:pPr>
        <w:pStyle w:val="45"/>
        <w:numPr>
          <w:ilvl w:val="0"/>
          <w:numId w:val="2"/>
        </w:numPr>
        <w:spacing w:before="312" w:after="312"/>
        <w:rPr>
          <w:rFonts w:ascii="Times New Roman"/>
        </w:rPr>
      </w:pPr>
      <w:r>
        <w:rPr>
          <w:rFonts w:ascii="Times New Roman"/>
        </w:rPr>
        <w:t>技术要求</w:t>
      </w:r>
    </w:p>
    <w:p w14:paraId="5DC58506">
      <w:pPr>
        <w:pStyle w:val="47"/>
        <w:spacing w:before="156" w:after="156"/>
        <w:ind w:left="0"/>
        <w:rPr>
          <w:rFonts w:ascii="Times New Roman" w:eastAsia="宋体"/>
        </w:rPr>
      </w:pPr>
      <w:r>
        <w:rPr>
          <w:rFonts w:ascii="Times New Roman"/>
        </w:rPr>
        <w:t>牌号和化学成分</w:t>
      </w:r>
    </w:p>
    <w:p w14:paraId="7D8D0F97">
      <w:pPr>
        <w:pStyle w:val="50"/>
        <w:spacing w:before="156" w:after="156"/>
        <w:jc w:val="both"/>
        <w:rPr>
          <w:rFonts w:ascii="Times New Roman" w:eastAsia="宋体"/>
        </w:rPr>
      </w:pPr>
      <w:r>
        <w:rPr>
          <w:rFonts w:hint="eastAsia" w:ascii="Times New Roman" w:eastAsia="宋体"/>
          <w:lang w:eastAsia="zh-CN"/>
        </w:rPr>
        <w:t>银亮钢</w:t>
      </w:r>
      <w:r>
        <w:rPr>
          <w:rFonts w:ascii="Times New Roman" w:eastAsia="宋体"/>
        </w:rPr>
        <w:t>的牌号和化学成分（熔炼分析）应符合表2的规定。化学成分允许偏差应符合GB/T 222的规定。需方有特殊要求时，经供需双方协商并在合同注明，可按具体要求执行。</w:t>
      </w:r>
    </w:p>
    <w:p w14:paraId="279C20F2">
      <w:pPr>
        <w:pStyle w:val="77"/>
        <w:rPr>
          <w:rFonts w:eastAsia="宋体"/>
          <w:sz w:val="18"/>
        </w:rPr>
      </w:pPr>
      <w:r>
        <w:t>牌号和化学成分（熔炼分析）</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2"/>
        <w:gridCol w:w="1206"/>
        <w:gridCol w:w="954"/>
        <w:gridCol w:w="954"/>
        <w:gridCol w:w="954"/>
        <w:gridCol w:w="954"/>
        <w:gridCol w:w="1116"/>
        <w:gridCol w:w="1206"/>
        <w:gridCol w:w="964"/>
      </w:tblGrid>
      <w:tr w14:paraId="6DCEA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98" w:type="pct"/>
            <w:vMerge w:val="restart"/>
            <w:vAlign w:val="center"/>
          </w:tcPr>
          <w:p w14:paraId="2BA8BEF4">
            <w:pPr>
              <w:numPr>
                <w:ilvl w:val="0"/>
                <w:numId w:val="0"/>
              </w:numPr>
              <w:ind w:left="0" w:firstLine="0"/>
              <w:jc w:val="center"/>
              <w:rPr>
                <w:rFonts w:ascii="宋体" w:eastAsiaTheme="minorEastAsia"/>
                <w:sz w:val="18"/>
                <w:szCs w:val="18"/>
              </w:rPr>
            </w:pPr>
            <w:r>
              <w:rPr>
                <w:rFonts w:ascii="宋体" w:eastAsiaTheme="minorEastAsia"/>
                <w:sz w:val="18"/>
                <w:szCs w:val="18"/>
              </w:rPr>
              <w:t>牌号</w:t>
            </w:r>
          </w:p>
        </w:tc>
        <w:tc>
          <w:tcPr>
            <w:tcW w:w="4301" w:type="pct"/>
            <w:gridSpan w:val="8"/>
            <w:vAlign w:val="center"/>
          </w:tcPr>
          <w:p w14:paraId="03B264B8">
            <w:pPr>
              <w:numPr>
                <w:ilvl w:val="0"/>
                <w:numId w:val="0"/>
              </w:numPr>
              <w:ind w:left="0" w:firstLine="0"/>
              <w:jc w:val="center"/>
              <w:rPr>
                <w:rFonts w:ascii="宋体" w:eastAsiaTheme="minorEastAsia"/>
                <w:sz w:val="18"/>
                <w:szCs w:val="18"/>
              </w:rPr>
            </w:pPr>
            <w:r>
              <w:rPr>
                <w:rFonts w:ascii="宋体" w:eastAsiaTheme="minorEastAsia"/>
                <w:sz w:val="18"/>
                <w:szCs w:val="18"/>
              </w:rPr>
              <w:t>化学成分（质量分数）/%</w:t>
            </w:r>
          </w:p>
        </w:tc>
      </w:tr>
      <w:tr w14:paraId="51BA2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98" w:type="pct"/>
            <w:vMerge w:val="continue"/>
            <w:vAlign w:val="center"/>
          </w:tcPr>
          <w:p w14:paraId="2B8FBB9E">
            <w:pPr>
              <w:numPr>
                <w:ilvl w:val="0"/>
                <w:numId w:val="0"/>
              </w:numPr>
              <w:ind w:left="0" w:firstLine="0"/>
              <w:jc w:val="center"/>
              <w:rPr>
                <w:rFonts w:ascii="宋体" w:eastAsiaTheme="minorEastAsia"/>
                <w:sz w:val="18"/>
                <w:szCs w:val="18"/>
              </w:rPr>
            </w:pPr>
          </w:p>
        </w:tc>
        <w:tc>
          <w:tcPr>
            <w:tcW w:w="537" w:type="pct"/>
            <w:vAlign w:val="center"/>
          </w:tcPr>
          <w:p w14:paraId="441D562B">
            <w:pPr>
              <w:numPr>
                <w:ilvl w:val="0"/>
                <w:numId w:val="0"/>
              </w:numPr>
              <w:ind w:left="0" w:firstLine="0"/>
              <w:jc w:val="center"/>
              <w:rPr>
                <w:rFonts w:ascii="宋体" w:eastAsiaTheme="minorEastAsia"/>
                <w:sz w:val="18"/>
                <w:szCs w:val="18"/>
              </w:rPr>
            </w:pPr>
            <w:r>
              <w:rPr>
                <w:rFonts w:ascii="宋体" w:eastAsiaTheme="minorEastAsia"/>
                <w:sz w:val="18"/>
                <w:szCs w:val="18"/>
              </w:rPr>
              <w:t>C</w:t>
            </w:r>
          </w:p>
        </w:tc>
        <w:tc>
          <w:tcPr>
            <w:tcW w:w="537" w:type="pct"/>
            <w:vAlign w:val="center"/>
          </w:tcPr>
          <w:p w14:paraId="347F8B2F">
            <w:pPr>
              <w:numPr>
                <w:ilvl w:val="0"/>
                <w:numId w:val="0"/>
              </w:numPr>
              <w:ind w:left="0" w:firstLine="0"/>
              <w:jc w:val="center"/>
              <w:rPr>
                <w:rFonts w:ascii="宋体" w:eastAsiaTheme="minorEastAsia"/>
                <w:sz w:val="18"/>
                <w:szCs w:val="18"/>
              </w:rPr>
            </w:pPr>
            <w:r>
              <w:rPr>
                <w:rFonts w:ascii="宋体" w:eastAsiaTheme="minorEastAsia"/>
                <w:sz w:val="18"/>
                <w:szCs w:val="18"/>
              </w:rPr>
              <w:t>Si</w:t>
            </w:r>
          </w:p>
        </w:tc>
        <w:tc>
          <w:tcPr>
            <w:tcW w:w="537" w:type="pct"/>
            <w:vAlign w:val="center"/>
          </w:tcPr>
          <w:p w14:paraId="1C0B6291">
            <w:pPr>
              <w:numPr>
                <w:ilvl w:val="0"/>
                <w:numId w:val="0"/>
              </w:numPr>
              <w:ind w:left="0" w:firstLine="0"/>
              <w:jc w:val="center"/>
              <w:rPr>
                <w:rFonts w:ascii="宋体" w:eastAsiaTheme="minorEastAsia"/>
                <w:sz w:val="18"/>
                <w:szCs w:val="18"/>
              </w:rPr>
            </w:pPr>
            <w:r>
              <w:rPr>
                <w:rFonts w:ascii="宋体" w:eastAsiaTheme="minorEastAsia"/>
                <w:sz w:val="18"/>
                <w:szCs w:val="18"/>
              </w:rPr>
              <w:t>Mn</w:t>
            </w:r>
          </w:p>
        </w:tc>
        <w:tc>
          <w:tcPr>
            <w:tcW w:w="537" w:type="pct"/>
            <w:vAlign w:val="center"/>
          </w:tcPr>
          <w:p w14:paraId="7BD11C01">
            <w:pPr>
              <w:numPr>
                <w:ilvl w:val="0"/>
                <w:numId w:val="0"/>
              </w:numPr>
              <w:ind w:left="0" w:firstLine="0"/>
              <w:jc w:val="center"/>
              <w:rPr>
                <w:rFonts w:ascii="宋体" w:eastAsiaTheme="minorEastAsia"/>
                <w:sz w:val="18"/>
                <w:szCs w:val="18"/>
              </w:rPr>
            </w:pPr>
            <w:r>
              <w:rPr>
                <w:rFonts w:ascii="宋体" w:eastAsiaTheme="minorEastAsia"/>
                <w:sz w:val="18"/>
                <w:szCs w:val="18"/>
              </w:rPr>
              <w:t>P</w:t>
            </w:r>
          </w:p>
        </w:tc>
        <w:tc>
          <w:tcPr>
            <w:tcW w:w="537" w:type="pct"/>
            <w:vAlign w:val="center"/>
          </w:tcPr>
          <w:p w14:paraId="202C4F92">
            <w:pPr>
              <w:numPr>
                <w:ilvl w:val="0"/>
                <w:numId w:val="0"/>
              </w:numPr>
              <w:ind w:left="0" w:firstLine="0"/>
              <w:jc w:val="center"/>
              <w:rPr>
                <w:rFonts w:ascii="宋体" w:eastAsiaTheme="minorEastAsia"/>
                <w:sz w:val="18"/>
                <w:szCs w:val="18"/>
              </w:rPr>
            </w:pPr>
            <w:r>
              <w:rPr>
                <w:rFonts w:ascii="宋体" w:eastAsiaTheme="minorEastAsia"/>
                <w:sz w:val="18"/>
                <w:szCs w:val="18"/>
              </w:rPr>
              <w:t>S</w:t>
            </w:r>
          </w:p>
        </w:tc>
        <w:tc>
          <w:tcPr>
            <w:tcW w:w="537" w:type="pct"/>
            <w:vAlign w:val="center"/>
          </w:tcPr>
          <w:p w14:paraId="5EF55B98">
            <w:pPr>
              <w:numPr>
                <w:ilvl w:val="0"/>
                <w:numId w:val="0"/>
              </w:numPr>
              <w:ind w:left="0" w:firstLine="0"/>
              <w:jc w:val="center"/>
              <w:rPr>
                <w:rFonts w:ascii="宋体" w:eastAsiaTheme="minorEastAsia"/>
                <w:sz w:val="18"/>
                <w:szCs w:val="18"/>
              </w:rPr>
            </w:pPr>
            <w:r>
              <w:rPr>
                <w:rFonts w:ascii="宋体" w:eastAsiaTheme="minorEastAsia"/>
                <w:sz w:val="18"/>
                <w:szCs w:val="18"/>
              </w:rPr>
              <w:t>Ni</w:t>
            </w:r>
          </w:p>
        </w:tc>
        <w:tc>
          <w:tcPr>
            <w:tcW w:w="537" w:type="pct"/>
            <w:vAlign w:val="center"/>
          </w:tcPr>
          <w:p w14:paraId="05C7C1F8">
            <w:pPr>
              <w:numPr>
                <w:ilvl w:val="0"/>
                <w:numId w:val="0"/>
              </w:numPr>
              <w:ind w:left="0" w:firstLine="0"/>
              <w:jc w:val="center"/>
              <w:rPr>
                <w:rFonts w:ascii="宋体" w:eastAsiaTheme="minorEastAsia"/>
                <w:sz w:val="18"/>
                <w:szCs w:val="18"/>
              </w:rPr>
            </w:pPr>
            <w:r>
              <w:rPr>
                <w:rFonts w:ascii="宋体" w:eastAsiaTheme="minorEastAsia"/>
                <w:sz w:val="18"/>
                <w:szCs w:val="18"/>
              </w:rPr>
              <w:t>Cr</w:t>
            </w:r>
          </w:p>
        </w:tc>
        <w:tc>
          <w:tcPr>
            <w:tcW w:w="542" w:type="pct"/>
            <w:shd w:val="clear" w:color="auto" w:fill="auto"/>
            <w:vAlign w:val="center"/>
          </w:tcPr>
          <w:p w14:paraId="593B445A">
            <w:pPr>
              <w:numPr>
                <w:ilvl w:val="0"/>
                <w:numId w:val="0"/>
              </w:numPr>
              <w:ind w:left="0" w:firstLine="0"/>
              <w:jc w:val="center"/>
              <w:rPr>
                <w:rFonts w:ascii="宋体" w:eastAsiaTheme="minorEastAsia"/>
                <w:sz w:val="18"/>
                <w:szCs w:val="18"/>
              </w:rPr>
            </w:pPr>
            <w:r>
              <w:rPr>
                <w:rFonts w:ascii="宋体" w:eastAsiaTheme="minorEastAsia"/>
                <w:sz w:val="18"/>
                <w:szCs w:val="18"/>
              </w:rPr>
              <w:t>N</w:t>
            </w:r>
          </w:p>
        </w:tc>
      </w:tr>
      <w:tr w14:paraId="09EBF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98" w:type="pct"/>
            <w:shd w:val="clear" w:color="auto" w:fill="auto"/>
            <w:vAlign w:val="center"/>
          </w:tcPr>
          <w:p w14:paraId="6D2F6D87">
            <w:pPr>
              <w:numPr>
                <w:ilvl w:val="0"/>
                <w:numId w:val="0"/>
              </w:numPr>
              <w:ind w:left="0" w:firstLine="0"/>
              <w:jc w:val="center"/>
              <w:rPr>
                <w:rFonts w:ascii="宋体" w:eastAsiaTheme="minorEastAsia"/>
                <w:sz w:val="18"/>
                <w:szCs w:val="18"/>
              </w:rPr>
            </w:pPr>
            <w:r>
              <w:rPr>
                <w:rFonts w:ascii="宋体" w:eastAsiaTheme="minorEastAsia"/>
                <w:sz w:val="18"/>
                <w:szCs w:val="18"/>
              </w:rPr>
              <w:t>06Cr19Ni10</w:t>
            </w:r>
          </w:p>
        </w:tc>
        <w:tc>
          <w:tcPr>
            <w:tcW w:w="537" w:type="pct"/>
            <w:shd w:val="clear" w:color="auto" w:fill="auto"/>
            <w:vAlign w:val="center"/>
          </w:tcPr>
          <w:p w14:paraId="4F89CEA0">
            <w:pPr>
              <w:numPr>
                <w:ilvl w:val="0"/>
                <w:numId w:val="0"/>
              </w:numPr>
              <w:ind w:left="0" w:firstLine="0"/>
              <w:jc w:val="center"/>
              <w:rPr>
                <w:rFonts w:ascii="宋体" w:eastAsiaTheme="minorEastAsia"/>
                <w:sz w:val="18"/>
                <w:szCs w:val="18"/>
              </w:rPr>
            </w:pPr>
            <w:r>
              <w:rPr>
                <w:rFonts w:hint="eastAsia" w:ascii="宋体" w:eastAsiaTheme="minorEastAsia"/>
                <w:sz w:val="18"/>
                <w:szCs w:val="18"/>
              </w:rPr>
              <w:t>≤</w:t>
            </w:r>
            <w:r>
              <w:rPr>
                <w:rFonts w:ascii="宋体" w:eastAsiaTheme="minorEastAsia"/>
                <w:sz w:val="18"/>
                <w:szCs w:val="18"/>
              </w:rPr>
              <w:t>0.07</w:t>
            </w:r>
          </w:p>
        </w:tc>
        <w:tc>
          <w:tcPr>
            <w:tcW w:w="537" w:type="pct"/>
            <w:shd w:val="clear" w:color="auto" w:fill="auto"/>
            <w:vAlign w:val="center"/>
          </w:tcPr>
          <w:p w14:paraId="74C8B041">
            <w:pPr>
              <w:numPr>
                <w:ilvl w:val="0"/>
                <w:numId w:val="0"/>
              </w:numPr>
              <w:ind w:left="0" w:firstLine="0"/>
              <w:jc w:val="center"/>
              <w:rPr>
                <w:rFonts w:ascii="宋体" w:eastAsiaTheme="minorEastAsia"/>
                <w:sz w:val="18"/>
                <w:szCs w:val="18"/>
              </w:rPr>
            </w:pPr>
            <w:r>
              <w:rPr>
                <w:rFonts w:ascii="宋体" w:eastAsiaTheme="minorEastAsia"/>
                <w:sz w:val="18"/>
                <w:szCs w:val="18"/>
              </w:rPr>
              <w:t>≤1.00</w:t>
            </w:r>
          </w:p>
        </w:tc>
        <w:tc>
          <w:tcPr>
            <w:tcW w:w="537" w:type="pct"/>
            <w:shd w:val="clear" w:color="auto" w:fill="auto"/>
            <w:vAlign w:val="center"/>
          </w:tcPr>
          <w:p w14:paraId="521EAF8A">
            <w:pPr>
              <w:numPr>
                <w:ilvl w:val="0"/>
                <w:numId w:val="0"/>
              </w:numPr>
              <w:ind w:left="0" w:firstLine="0"/>
              <w:jc w:val="center"/>
              <w:rPr>
                <w:rFonts w:ascii="宋体" w:eastAsiaTheme="minorEastAsia"/>
                <w:sz w:val="18"/>
                <w:szCs w:val="18"/>
              </w:rPr>
            </w:pPr>
            <w:r>
              <w:rPr>
                <w:rFonts w:ascii="宋体" w:eastAsiaTheme="minorEastAsia"/>
                <w:sz w:val="18"/>
                <w:szCs w:val="18"/>
              </w:rPr>
              <w:t>≤2.00</w:t>
            </w:r>
          </w:p>
        </w:tc>
        <w:tc>
          <w:tcPr>
            <w:tcW w:w="537" w:type="pct"/>
            <w:shd w:val="clear" w:color="auto" w:fill="auto"/>
            <w:vAlign w:val="center"/>
          </w:tcPr>
          <w:p w14:paraId="7E4119C5">
            <w:pPr>
              <w:numPr>
                <w:ilvl w:val="0"/>
                <w:numId w:val="0"/>
              </w:numPr>
              <w:ind w:left="0" w:firstLine="0"/>
              <w:jc w:val="center"/>
              <w:rPr>
                <w:rFonts w:ascii="宋体" w:eastAsiaTheme="minorEastAsia"/>
                <w:sz w:val="18"/>
                <w:szCs w:val="18"/>
              </w:rPr>
            </w:pPr>
            <w:r>
              <w:rPr>
                <w:rFonts w:ascii="宋体" w:eastAsiaTheme="minorEastAsia"/>
                <w:sz w:val="18"/>
                <w:szCs w:val="18"/>
              </w:rPr>
              <w:t>≤0.045</w:t>
            </w:r>
          </w:p>
        </w:tc>
        <w:tc>
          <w:tcPr>
            <w:tcW w:w="537" w:type="pct"/>
            <w:shd w:val="clear" w:color="auto" w:fill="auto"/>
            <w:vAlign w:val="center"/>
          </w:tcPr>
          <w:p w14:paraId="22869633">
            <w:pPr>
              <w:numPr>
                <w:ilvl w:val="0"/>
                <w:numId w:val="0"/>
              </w:numPr>
              <w:ind w:left="0" w:firstLine="0"/>
              <w:jc w:val="center"/>
              <w:rPr>
                <w:rFonts w:ascii="宋体" w:eastAsiaTheme="minorEastAsia"/>
                <w:sz w:val="18"/>
                <w:szCs w:val="18"/>
              </w:rPr>
            </w:pPr>
            <w:r>
              <w:rPr>
                <w:rFonts w:ascii="宋体" w:eastAsiaTheme="minorEastAsia"/>
                <w:sz w:val="18"/>
                <w:szCs w:val="18"/>
              </w:rPr>
              <w:t>≤0.030</w:t>
            </w:r>
          </w:p>
        </w:tc>
        <w:tc>
          <w:tcPr>
            <w:tcW w:w="537" w:type="pct"/>
            <w:shd w:val="clear" w:color="auto" w:fill="auto"/>
            <w:vAlign w:val="center"/>
          </w:tcPr>
          <w:p w14:paraId="203CF147">
            <w:pPr>
              <w:numPr>
                <w:ilvl w:val="0"/>
                <w:numId w:val="0"/>
              </w:numPr>
              <w:ind w:left="0" w:firstLine="0"/>
              <w:jc w:val="center"/>
              <w:rPr>
                <w:rFonts w:ascii="宋体" w:eastAsiaTheme="minorEastAsia"/>
                <w:sz w:val="18"/>
                <w:szCs w:val="18"/>
              </w:rPr>
            </w:pPr>
            <w:r>
              <w:rPr>
                <w:rFonts w:ascii="宋体" w:eastAsiaTheme="minorEastAsia"/>
                <w:sz w:val="18"/>
                <w:szCs w:val="18"/>
              </w:rPr>
              <w:t>8.00-10.50</w:t>
            </w:r>
          </w:p>
        </w:tc>
        <w:tc>
          <w:tcPr>
            <w:tcW w:w="537" w:type="pct"/>
            <w:shd w:val="clear" w:color="auto" w:fill="auto"/>
            <w:vAlign w:val="center"/>
          </w:tcPr>
          <w:p w14:paraId="5D0106F6">
            <w:pPr>
              <w:numPr>
                <w:ilvl w:val="0"/>
                <w:numId w:val="0"/>
              </w:numPr>
              <w:ind w:left="0" w:firstLine="0"/>
              <w:jc w:val="center"/>
              <w:rPr>
                <w:rFonts w:ascii="宋体" w:eastAsiaTheme="minorEastAsia"/>
                <w:sz w:val="18"/>
                <w:szCs w:val="18"/>
              </w:rPr>
            </w:pPr>
            <w:r>
              <w:rPr>
                <w:rFonts w:ascii="宋体" w:eastAsiaTheme="minorEastAsia"/>
                <w:sz w:val="18"/>
                <w:szCs w:val="18"/>
              </w:rPr>
              <w:t>18.00-19.50</w:t>
            </w:r>
          </w:p>
        </w:tc>
        <w:tc>
          <w:tcPr>
            <w:tcW w:w="542" w:type="pct"/>
            <w:shd w:val="clear" w:color="auto" w:fill="auto"/>
            <w:vAlign w:val="center"/>
          </w:tcPr>
          <w:p w14:paraId="316BA6D4">
            <w:pPr>
              <w:numPr>
                <w:ilvl w:val="0"/>
                <w:numId w:val="0"/>
              </w:numPr>
              <w:ind w:left="0" w:firstLine="0"/>
              <w:jc w:val="center"/>
              <w:rPr>
                <w:rFonts w:ascii="宋体" w:eastAsiaTheme="minorEastAsia"/>
                <w:sz w:val="18"/>
                <w:szCs w:val="18"/>
              </w:rPr>
            </w:pPr>
            <w:r>
              <w:rPr>
                <w:rFonts w:ascii="宋体" w:eastAsiaTheme="minorEastAsia"/>
                <w:sz w:val="18"/>
                <w:szCs w:val="18"/>
              </w:rPr>
              <w:t>≤0.10</w:t>
            </w:r>
          </w:p>
        </w:tc>
      </w:tr>
      <w:tr w14:paraId="20619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98" w:type="pct"/>
            <w:shd w:val="clear" w:color="auto" w:fill="auto"/>
            <w:vAlign w:val="center"/>
          </w:tcPr>
          <w:p w14:paraId="3BAAF691">
            <w:pPr>
              <w:numPr>
                <w:ilvl w:val="0"/>
                <w:numId w:val="0"/>
              </w:numPr>
              <w:ind w:left="0" w:firstLine="0"/>
              <w:jc w:val="center"/>
              <w:rPr>
                <w:rFonts w:ascii="宋体" w:eastAsiaTheme="minorEastAsia"/>
                <w:sz w:val="18"/>
                <w:szCs w:val="18"/>
              </w:rPr>
            </w:pPr>
            <w:r>
              <w:rPr>
                <w:rFonts w:ascii="宋体" w:eastAsiaTheme="minorEastAsia"/>
                <w:sz w:val="18"/>
                <w:szCs w:val="18"/>
              </w:rPr>
              <w:t>022Cr19Ni10</w:t>
            </w:r>
          </w:p>
        </w:tc>
        <w:tc>
          <w:tcPr>
            <w:tcW w:w="537" w:type="pct"/>
            <w:shd w:val="clear" w:color="auto" w:fill="auto"/>
            <w:vAlign w:val="center"/>
          </w:tcPr>
          <w:p w14:paraId="28C1EA80">
            <w:pPr>
              <w:numPr>
                <w:ilvl w:val="0"/>
                <w:numId w:val="0"/>
              </w:numPr>
              <w:ind w:left="0" w:firstLine="0"/>
              <w:jc w:val="center"/>
              <w:rPr>
                <w:rFonts w:ascii="宋体" w:eastAsiaTheme="minorEastAsia"/>
                <w:sz w:val="18"/>
                <w:szCs w:val="18"/>
              </w:rPr>
            </w:pPr>
            <w:r>
              <w:rPr>
                <w:rFonts w:ascii="宋体" w:eastAsiaTheme="minorEastAsia"/>
                <w:sz w:val="18"/>
                <w:szCs w:val="18"/>
              </w:rPr>
              <w:t>0.015-0.030</w:t>
            </w:r>
          </w:p>
        </w:tc>
        <w:tc>
          <w:tcPr>
            <w:tcW w:w="537" w:type="pct"/>
            <w:shd w:val="clear" w:color="auto" w:fill="auto"/>
            <w:vAlign w:val="center"/>
          </w:tcPr>
          <w:p w14:paraId="324DF177">
            <w:pPr>
              <w:numPr>
                <w:ilvl w:val="0"/>
                <w:numId w:val="0"/>
              </w:numPr>
              <w:ind w:left="0" w:firstLine="0"/>
              <w:jc w:val="center"/>
              <w:rPr>
                <w:rFonts w:ascii="宋体" w:eastAsiaTheme="minorEastAsia"/>
                <w:sz w:val="18"/>
                <w:szCs w:val="18"/>
              </w:rPr>
            </w:pPr>
            <w:r>
              <w:rPr>
                <w:rFonts w:ascii="宋体" w:eastAsiaTheme="minorEastAsia"/>
                <w:sz w:val="18"/>
                <w:szCs w:val="18"/>
              </w:rPr>
              <w:t>≤1.00</w:t>
            </w:r>
          </w:p>
        </w:tc>
        <w:tc>
          <w:tcPr>
            <w:tcW w:w="537" w:type="pct"/>
            <w:shd w:val="clear" w:color="auto" w:fill="auto"/>
            <w:vAlign w:val="center"/>
          </w:tcPr>
          <w:p w14:paraId="73352836">
            <w:pPr>
              <w:numPr>
                <w:ilvl w:val="0"/>
                <w:numId w:val="0"/>
              </w:numPr>
              <w:ind w:left="0" w:firstLine="0"/>
              <w:jc w:val="center"/>
              <w:rPr>
                <w:rFonts w:ascii="宋体" w:eastAsiaTheme="minorEastAsia"/>
                <w:sz w:val="18"/>
                <w:szCs w:val="18"/>
              </w:rPr>
            </w:pPr>
            <w:r>
              <w:rPr>
                <w:rFonts w:ascii="宋体" w:eastAsiaTheme="minorEastAsia"/>
                <w:sz w:val="18"/>
                <w:szCs w:val="18"/>
              </w:rPr>
              <w:t>≤2.00</w:t>
            </w:r>
          </w:p>
        </w:tc>
        <w:tc>
          <w:tcPr>
            <w:tcW w:w="537" w:type="pct"/>
            <w:shd w:val="clear" w:color="auto" w:fill="auto"/>
            <w:vAlign w:val="center"/>
          </w:tcPr>
          <w:p w14:paraId="5954927B">
            <w:pPr>
              <w:numPr>
                <w:ilvl w:val="0"/>
                <w:numId w:val="0"/>
              </w:numPr>
              <w:ind w:left="0" w:firstLine="0"/>
              <w:jc w:val="center"/>
              <w:rPr>
                <w:rFonts w:ascii="宋体" w:eastAsiaTheme="minorEastAsia"/>
                <w:sz w:val="18"/>
                <w:szCs w:val="18"/>
              </w:rPr>
            </w:pPr>
            <w:r>
              <w:rPr>
                <w:rFonts w:ascii="宋体" w:eastAsiaTheme="minorEastAsia"/>
                <w:sz w:val="18"/>
                <w:szCs w:val="18"/>
              </w:rPr>
              <w:t>≤0.045</w:t>
            </w:r>
          </w:p>
        </w:tc>
        <w:tc>
          <w:tcPr>
            <w:tcW w:w="537" w:type="pct"/>
            <w:shd w:val="clear" w:color="auto" w:fill="auto"/>
            <w:vAlign w:val="center"/>
          </w:tcPr>
          <w:p w14:paraId="1C84640F">
            <w:pPr>
              <w:numPr>
                <w:ilvl w:val="0"/>
                <w:numId w:val="0"/>
              </w:numPr>
              <w:ind w:left="0" w:firstLine="0"/>
              <w:jc w:val="center"/>
              <w:rPr>
                <w:rFonts w:ascii="宋体" w:eastAsiaTheme="minorEastAsia"/>
                <w:sz w:val="18"/>
                <w:szCs w:val="18"/>
              </w:rPr>
            </w:pPr>
            <w:r>
              <w:rPr>
                <w:rFonts w:ascii="宋体" w:eastAsiaTheme="minorEastAsia"/>
                <w:sz w:val="18"/>
                <w:szCs w:val="18"/>
              </w:rPr>
              <w:t>≤0.030</w:t>
            </w:r>
          </w:p>
        </w:tc>
        <w:tc>
          <w:tcPr>
            <w:tcW w:w="537" w:type="pct"/>
            <w:shd w:val="clear" w:color="auto" w:fill="auto"/>
            <w:vAlign w:val="center"/>
          </w:tcPr>
          <w:p w14:paraId="1DFF5217">
            <w:pPr>
              <w:numPr>
                <w:ilvl w:val="0"/>
                <w:numId w:val="0"/>
              </w:numPr>
              <w:ind w:left="0" w:firstLine="0"/>
              <w:jc w:val="center"/>
              <w:rPr>
                <w:rFonts w:ascii="宋体" w:eastAsiaTheme="minorEastAsia"/>
                <w:sz w:val="18"/>
                <w:szCs w:val="18"/>
              </w:rPr>
            </w:pPr>
            <w:r>
              <w:rPr>
                <w:rFonts w:ascii="宋体" w:eastAsiaTheme="minorEastAsia"/>
                <w:sz w:val="18"/>
                <w:szCs w:val="18"/>
              </w:rPr>
              <w:t>8.00-10.50</w:t>
            </w:r>
          </w:p>
        </w:tc>
        <w:tc>
          <w:tcPr>
            <w:tcW w:w="537" w:type="pct"/>
            <w:shd w:val="clear" w:color="auto" w:fill="auto"/>
            <w:vAlign w:val="center"/>
          </w:tcPr>
          <w:p w14:paraId="66FD107F">
            <w:pPr>
              <w:numPr>
                <w:ilvl w:val="0"/>
                <w:numId w:val="0"/>
              </w:numPr>
              <w:ind w:left="0" w:firstLine="0"/>
              <w:jc w:val="center"/>
              <w:rPr>
                <w:rFonts w:ascii="宋体" w:eastAsiaTheme="minorEastAsia"/>
                <w:sz w:val="18"/>
                <w:szCs w:val="18"/>
              </w:rPr>
            </w:pPr>
            <w:r>
              <w:rPr>
                <w:rFonts w:ascii="宋体" w:eastAsiaTheme="minorEastAsia"/>
                <w:sz w:val="18"/>
                <w:szCs w:val="18"/>
              </w:rPr>
              <w:t>18.00-19.50</w:t>
            </w:r>
          </w:p>
        </w:tc>
        <w:tc>
          <w:tcPr>
            <w:tcW w:w="542" w:type="pct"/>
            <w:shd w:val="clear" w:color="auto" w:fill="auto"/>
            <w:vAlign w:val="center"/>
          </w:tcPr>
          <w:p w14:paraId="3B03EB2B">
            <w:pPr>
              <w:numPr>
                <w:ilvl w:val="0"/>
                <w:numId w:val="0"/>
              </w:numPr>
              <w:ind w:left="0" w:firstLine="0"/>
              <w:jc w:val="center"/>
              <w:rPr>
                <w:rFonts w:ascii="宋体" w:eastAsiaTheme="minorEastAsia"/>
                <w:sz w:val="18"/>
                <w:szCs w:val="18"/>
              </w:rPr>
            </w:pPr>
            <w:r>
              <w:rPr>
                <w:rFonts w:ascii="宋体" w:eastAsiaTheme="minorEastAsia"/>
                <w:sz w:val="18"/>
                <w:szCs w:val="18"/>
              </w:rPr>
              <w:t>≤0.10</w:t>
            </w:r>
          </w:p>
        </w:tc>
      </w:tr>
    </w:tbl>
    <w:p w14:paraId="5B965C67">
      <w:pPr>
        <w:pStyle w:val="47"/>
        <w:spacing w:before="156" w:after="156"/>
        <w:ind w:left="0"/>
        <w:rPr>
          <w:rFonts w:ascii="Times New Roman"/>
        </w:rPr>
      </w:pPr>
      <w:bookmarkStart w:id="16" w:name="_Hlk167051154"/>
      <w:r>
        <w:rPr>
          <w:rFonts w:ascii="Times New Roman"/>
        </w:rPr>
        <w:t>力学性能和工艺性能</w:t>
      </w:r>
    </w:p>
    <w:p w14:paraId="3263C764">
      <w:pPr>
        <w:pStyle w:val="50"/>
        <w:spacing w:before="156" w:after="156"/>
      </w:pPr>
      <w:r>
        <w:rPr>
          <w:rFonts w:hint="eastAsia" w:ascii="Times New Roman" w:eastAsia="宋体"/>
        </w:rPr>
        <w:t>用热处理试样</w:t>
      </w:r>
      <w:r>
        <w:t>，</w:t>
      </w:r>
      <w:r>
        <w:rPr>
          <w:rFonts w:hint="eastAsia" w:ascii="Times New Roman" w:eastAsia="宋体"/>
        </w:rPr>
        <w:t>按照GB/T 228.1测定钢材的纵向力学性能，其室温纵向力学性能和硬度应符合表3的规定。需方有特殊要求时，经供需双方协商并在合同注明，可按具体要求执行。</w:t>
      </w:r>
      <w:r>
        <w:rPr>
          <w:rFonts w:hint="eastAsia" w:ascii="Times New Roman" w:eastAsia="宋体"/>
          <w:lang w:val="en-US" w:eastAsia="zh-CN"/>
        </w:rPr>
        <w:t>3</w:t>
      </w:r>
    </w:p>
    <w:p w14:paraId="7B056EEB">
      <w:pPr>
        <w:pStyle w:val="77"/>
      </w:pPr>
      <w:bookmarkStart w:id="17" w:name="_Hlk167051162"/>
      <w:r>
        <w:t>力学性能</w:t>
      </w:r>
    </w:p>
    <w:bookmarkEnd w:id="17"/>
    <w:tbl>
      <w:tblPr>
        <w:tblStyle w:val="3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1"/>
        <w:gridCol w:w="2519"/>
        <w:gridCol w:w="1939"/>
        <w:gridCol w:w="1187"/>
        <w:gridCol w:w="1145"/>
        <w:gridCol w:w="1137"/>
      </w:tblGrid>
      <w:tr w14:paraId="0651F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7" w:type="pct"/>
            <w:vMerge w:val="restart"/>
            <w:vAlign w:val="center"/>
          </w:tcPr>
          <w:p w14:paraId="06E7E936">
            <w:pPr>
              <w:numPr>
                <w:ilvl w:val="0"/>
                <w:numId w:val="0"/>
              </w:numPr>
              <w:ind w:left="0" w:firstLine="0"/>
              <w:jc w:val="center"/>
              <w:rPr>
                <w:rFonts w:ascii="宋体" w:eastAsiaTheme="minorEastAsia"/>
                <w:sz w:val="18"/>
                <w:szCs w:val="18"/>
              </w:rPr>
            </w:pPr>
            <w:bookmarkStart w:id="18" w:name="_Hlk167051175"/>
            <w:r>
              <w:rPr>
                <w:rFonts w:ascii="宋体" w:eastAsiaTheme="minorEastAsia"/>
                <w:sz w:val="18"/>
                <w:szCs w:val="18"/>
              </w:rPr>
              <w:t>牌号</w:t>
            </w:r>
          </w:p>
        </w:tc>
        <w:tc>
          <w:tcPr>
            <w:tcW w:w="1316" w:type="pct"/>
            <w:vMerge w:val="restart"/>
            <w:vAlign w:val="center"/>
          </w:tcPr>
          <w:p w14:paraId="1ED45F94">
            <w:pPr>
              <w:numPr>
                <w:ilvl w:val="0"/>
                <w:numId w:val="0"/>
              </w:numPr>
              <w:ind w:left="0" w:firstLine="0"/>
              <w:jc w:val="center"/>
              <w:rPr>
                <w:rFonts w:ascii="宋体" w:eastAsiaTheme="minorEastAsia"/>
                <w:sz w:val="18"/>
                <w:szCs w:val="18"/>
              </w:rPr>
            </w:pPr>
            <w:r>
              <w:rPr>
                <w:rFonts w:ascii="宋体" w:eastAsiaTheme="minorEastAsia"/>
                <w:sz w:val="18"/>
                <w:szCs w:val="18"/>
              </w:rPr>
              <w:t>热处理制度</w:t>
            </w:r>
          </w:p>
        </w:tc>
        <w:tc>
          <w:tcPr>
            <w:tcW w:w="2825" w:type="pct"/>
            <w:gridSpan w:val="4"/>
            <w:vAlign w:val="center"/>
          </w:tcPr>
          <w:p w14:paraId="4D174530">
            <w:pPr>
              <w:numPr>
                <w:ilvl w:val="0"/>
                <w:numId w:val="0"/>
              </w:numPr>
              <w:ind w:left="0" w:firstLine="0"/>
              <w:jc w:val="center"/>
              <w:rPr>
                <w:rFonts w:ascii="宋体" w:eastAsiaTheme="minorEastAsia"/>
                <w:sz w:val="18"/>
                <w:szCs w:val="18"/>
              </w:rPr>
            </w:pPr>
            <w:r>
              <w:rPr>
                <w:rFonts w:ascii="宋体" w:eastAsiaTheme="minorEastAsia"/>
                <w:sz w:val="18"/>
                <w:szCs w:val="18"/>
              </w:rPr>
              <w:t>温室力学性能，不小于</w:t>
            </w:r>
          </w:p>
        </w:tc>
      </w:tr>
      <w:tr w14:paraId="0B960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7" w:type="pct"/>
            <w:vMerge w:val="continue"/>
            <w:vAlign w:val="center"/>
          </w:tcPr>
          <w:p w14:paraId="4DBCAA51">
            <w:pPr>
              <w:numPr>
                <w:ilvl w:val="0"/>
                <w:numId w:val="0"/>
              </w:numPr>
              <w:ind w:left="0" w:firstLine="0"/>
              <w:jc w:val="center"/>
              <w:rPr>
                <w:rFonts w:ascii="宋体" w:eastAsiaTheme="minorEastAsia"/>
                <w:sz w:val="18"/>
                <w:szCs w:val="18"/>
              </w:rPr>
            </w:pPr>
          </w:p>
        </w:tc>
        <w:tc>
          <w:tcPr>
            <w:tcW w:w="1316" w:type="pct"/>
            <w:vMerge w:val="continue"/>
            <w:vAlign w:val="center"/>
          </w:tcPr>
          <w:p w14:paraId="4A75CF39">
            <w:pPr>
              <w:numPr>
                <w:ilvl w:val="0"/>
                <w:numId w:val="0"/>
              </w:numPr>
              <w:ind w:left="0" w:firstLine="0"/>
              <w:jc w:val="center"/>
              <w:rPr>
                <w:rFonts w:ascii="宋体" w:eastAsiaTheme="minorEastAsia"/>
                <w:sz w:val="18"/>
                <w:szCs w:val="18"/>
              </w:rPr>
            </w:pPr>
          </w:p>
        </w:tc>
        <w:tc>
          <w:tcPr>
            <w:tcW w:w="1013" w:type="pct"/>
            <w:vAlign w:val="center"/>
          </w:tcPr>
          <w:p w14:paraId="35A13AC9">
            <w:pPr>
              <w:numPr>
                <w:ilvl w:val="0"/>
                <w:numId w:val="0"/>
              </w:numPr>
              <w:ind w:left="0" w:firstLine="0"/>
              <w:jc w:val="center"/>
              <w:rPr>
                <w:rFonts w:ascii="宋体" w:eastAsiaTheme="minorEastAsia"/>
                <w:sz w:val="18"/>
                <w:szCs w:val="18"/>
              </w:rPr>
            </w:pPr>
            <w:r>
              <w:rPr>
                <w:rFonts w:ascii="宋体" w:eastAsiaTheme="minorEastAsia"/>
                <w:sz w:val="18"/>
                <w:szCs w:val="18"/>
              </w:rPr>
              <w:t>规定</w:t>
            </w:r>
            <w:r>
              <w:rPr>
                <w:rFonts w:hint="eastAsia" w:ascii="宋体" w:eastAsiaTheme="minorEastAsia"/>
                <w:sz w:val="18"/>
                <w:szCs w:val="18"/>
              </w:rPr>
              <w:t>塑性</w:t>
            </w:r>
            <w:r>
              <w:rPr>
                <w:rFonts w:ascii="宋体" w:eastAsiaTheme="minorEastAsia"/>
                <w:sz w:val="18"/>
                <w:szCs w:val="18"/>
              </w:rPr>
              <w:t>延伸强度</w:t>
            </w:r>
          </w:p>
          <w:p w14:paraId="08B69D59">
            <w:pPr>
              <w:numPr>
                <w:ilvl w:val="0"/>
                <w:numId w:val="0"/>
              </w:numPr>
              <w:ind w:left="0" w:firstLine="0"/>
              <w:jc w:val="center"/>
              <w:rPr>
                <w:rFonts w:ascii="宋体" w:eastAsiaTheme="minorEastAsia"/>
                <w:sz w:val="18"/>
                <w:szCs w:val="18"/>
              </w:rPr>
            </w:pPr>
            <w:r>
              <w:rPr>
                <w:rFonts w:ascii="宋体" w:eastAsiaTheme="minorEastAsia"/>
                <w:sz w:val="18"/>
                <w:szCs w:val="18"/>
              </w:rPr>
              <w:t>Rp0.2/MPa</w:t>
            </w:r>
          </w:p>
        </w:tc>
        <w:tc>
          <w:tcPr>
            <w:tcW w:w="620" w:type="pct"/>
            <w:vAlign w:val="center"/>
          </w:tcPr>
          <w:p w14:paraId="4655602C">
            <w:pPr>
              <w:numPr>
                <w:ilvl w:val="0"/>
                <w:numId w:val="0"/>
              </w:numPr>
              <w:ind w:left="0" w:firstLine="0"/>
              <w:jc w:val="center"/>
              <w:rPr>
                <w:rFonts w:ascii="宋体" w:eastAsiaTheme="minorEastAsia"/>
                <w:sz w:val="18"/>
                <w:szCs w:val="18"/>
              </w:rPr>
            </w:pPr>
            <w:r>
              <w:rPr>
                <w:rFonts w:ascii="宋体" w:eastAsiaTheme="minorEastAsia"/>
                <w:sz w:val="18"/>
                <w:szCs w:val="18"/>
              </w:rPr>
              <w:t>抗拉强度</w:t>
            </w:r>
          </w:p>
          <w:p w14:paraId="1ABB7DCA">
            <w:pPr>
              <w:numPr>
                <w:ilvl w:val="0"/>
                <w:numId w:val="0"/>
              </w:numPr>
              <w:ind w:left="0" w:firstLine="0"/>
              <w:jc w:val="center"/>
              <w:rPr>
                <w:rFonts w:ascii="宋体" w:eastAsiaTheme="minorEastAsia"/>
                <w:sz w:val="18"/>
                <w:szCs w:val="18"/>
              </w:rPr>
            </w:pPr>
            <w:r>
              <w:rPr>
                <w:rFonts w:ascii="宋体" w:eastAsiaTheme="minorEastAsia"/>
                <w:sz w:val="18"/>
                <w:szCs w:val="18"/>
              </w:rPr>
              <w:t>Rm/MPa</w:t>
            </w:r>
          </w:p>
        </w:tc>
        <w:tc>
          <w:tcPr>
            <w:tcW w:w="598" w:type="pct"/>
            <w:vAlign w:val="center"/>
          </w:tcPr>
          <w:p w14:paraId="734EC011">
            <w:pPr>
              <w:numPr>
                <w:ilvl w:val="0"/>
                <w:numId w:val="0"/>
              </w:numPr>
              <w:ind w:left="0" w:firstLine="0"/>
              <w:jc w:val="center"/>
              <w:rPr>
                <w:rFonts w:ascii="宋体" w:eastAsiaTheme="minorEastAsia"/>
                <w:sz w:val="18"/>
                <w:szCs w:val="18"/>
              </w:rPr>
            </w:pPr>
            <w:r>
              <w:rPr>
                <w:rFonts w:ascii="宋体" w:eastAsiaTheme="minorEastAsia"/>
                <w:sz w:val="18"/>
                <w:szCs w:val="18"/>
              </w:rPr>
              <w:t>断后伸长率</w:t>
            </w:r>
          </w:p>
          <w:p w14:paraId="6DEB8333">
            <w:pPr>
              <w:numPr>
                <w:ilvl w:val="0"/>
                <w:numId w:val="0"/>
              </w:numPr>
              <w:ind w:left="0" w:firstLine="0"/>
              <w:jc w:val="center"/>
              <w:rPr>
                <w:rFonts w:ascii="宋体" w:eastAsiaTheme="minorEastAsia"/>
                <w:sz w:val="18"/>
                <w:szCs w:val="18"/>
              </w:rPr>
            </w:pPr>
            <w:r>
              <w:rPr>
                <w:rFonts w:ascii="宋体" w:eastAsiaTheme="minorEastAsia"/>
                <w:sz w:val="18"/>
                <w:szCs w:val="18"/>
              </w:rPr>
              <w:t>A/%</w:t>
            </w:r>
          </w:p>
        </w:tc>
        <w:tc>
          <w:tcPr>
            <w:tcW w:w="594" w:type="pct"/>
            <w:vAlign w:val="center"/>
          </w:tcPr>
          <w:p w14:paraId="1C1B5F27">
            <w:pPr>
              <w:numPr>
                <w:ilvl w:val="0"/>
                <w:numId w:val="0"/>
              </w:numPr>
              <w:ind w:left="0" w:firstLine="0"/>
              <w:jc w:val="center"/>
              <w:rPr>
                <w:rFonts w:ascii="宋体" w:eastAsiaTheme="minorEastAsia"/>
                <w:sz w:val="18"/>
                <w:szCs w:val="18"/>
              </w:rPr>
            </w:pPr>
            <w:r>
              <w:rPr>
                <w:rFonts w:ascii="宋体" w:eastAsiaTheme="minorEastAsia"/>
                <w:sz w:val="18"/>
                <w:szCs w:val="18"/>
              </w:rPr>
              <w:t>断面收缩率</w:t>
            </w:r>
          </w:p>
          <w:p w14:paraId="6D2E6E04">
            <w:pPr>
              <w:numPr>
                <w:ilvl w:val="0"/>
                <w:numId w:val="0"/>
              </w:numPr>
              <w:ind w:left="0" w:firstLine="0"/>
              <w:jc w:val="center"/>
              <w:rPr>
                <w:rFonts w:ascii="宋体" w:eastAsiaTheme="minorEastAsia"/>
                <w:sz w:val="18"/>
                <w:szCs w:val="18"/>
              </w:rPr>
            </w:pPr>
            <w:r>
              <w:rPr>
                <w:rFonts w:ascii="宋体" w:eastAsiaTheme="minorEastAsia"/>
                <w:sz w:val="18"/>
                <w:szCs w:val="18"/>
              </w:rPr>
              <w:t>Z/%</w:t>
            </w:r>
          </w:p>
        </w:tc>
      </w:tr>
      <w:tr w14:paraId="4D896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7" w:type="pct"/>
            <w:vAlign w:val="center"/>
          </w:tcPr>
          <w:p w14:paraId="1F245945">
            <w:pPr>
              <w:numPr>
                <w:ilvl w:val="0"/>
                <w:numId w:val="0"/>
              </w:numPr>
              <w:ind w:left="0" w:firstLine="0"/>
              <w:jc w:val="center"/>
              <w:rPr>
                <w:rFonts w:ascii="宋体" w:eastAsiaTheme="minorEastAsia"/>
                <w:sz w:val="18"/>
                <w:szCs w:val="18"/>
              </w:rPr>
            </w:pPr>
            <w:r>
              <w:rPr>
                <w:rFonts w:ascii="宋体" w:eastAsiaTheme="minorEastAsia"/>
                <w:sz w:val="18"/>
                <w:szCs w:val="18"/>
              </w:rPr>
              <w:t>06C</w:t>
            </w:r>
            <w:r>
              <w:rPr>
                <w:rFonts w:hint="eastAsia" w:ascii="宋体" w:eastAsiaTheme="minorEastAsia"/>
                <w:sz w:val="18"/>
                <w:szCs w:val="18"/>
              </w:rPr>
              <w:t>r</w:t>
            </w:r>
            <w:r>
              <w:rPr>
                <w:rFonts w:ascii="宋体" w:eastAsiaTheme="minorEastAsia"/>
                <w:sz w:val="18"/>
                <w:szCs w:val="18"/>
              </w:rPr>
              <w:t>19Ni10</w:t>
            </w:r>
          </w:p>
        </w:tc>
        <w:tc>
          <w:tcPr>
            <w:tcW w:w="1316" w:type="pct"/>
            <w:vAlign w:val="center"/>
          </w:tcPr>
          <w:p w14:paraId="6F8D37A1">
            <w:pPr>
              <w:numPr>
                <w:ilvl w:val="0"/>
                <w:numId w:val="0"/>
              </w:numPr>
              <w:ind w:left="0" w:firstLine="0"/>
              <w:jc w:val="center"/>
              <w:rPr>
                <w:rFonts w:ascii="宋体" w:eastAsiaTheme="minorEastAsia"/>
                <w:sz w:val="18"/>
                <w:szCs w:val="18"/>
              </w:rPr>
            </w:pPr>
            <w:r>
              <w:rPr>
                <w:rFonts w:hint="eastAsia" w:ascii="宋体" w:eastAsiaTheme="minorEastAsia"/>
                <w:sz w:val="18"/>
                <w:szCs w:val="18"/>
              </w:rPr>
              <w:t>固溶1</w:t>
            </w:r>
            <w:r>
              <w:rPr>
                <w:rFonts w:ascii="宋体" w:eastAsiaTheme="minorEastAsia"/>
                <w:sz w:val="18"/>
                <w:szCs w:val="18"/>
              </w:rPr>
              <w:t>010-1150</w:t>
            </w:r>
            <w:r>
              <w:rPr>
                <w:rFonts w:hint="eastAsia" w:ascii="宋体" w:eastAsiaTheme="minorEastAsia"/>
                <w:sz w:val="18"/>
                <w:szCs w:val="18"/>
              </w:rPr>
              <w:t>℃，水冷或空冷</w:t>
            </w:r>
          </w:p>
        </w:tc>
        <w:tc>
          <w:tcPr>
            <w:tcW w:w="1013" w:type="pct"/>
            <w:vAlign w:val="center"/>
          </w:tcPr>
          <w:p w14:paraId="0F5CFEA4">
            <w:pPr>
              <w:numPr>
                <w:ilvl w:val="0"/>
                <w:numId w:val="0"/>
              </w:numPr>
              <w:ind w:left="0" w:firstLine="0"/>
              <w:jc w:val="center"/>
              <w:rPr>
                <w:rFonts w:ascii="宋体" w:eastAsiaTheme="minorEastAsia"/>
                <w:sz w:val="18"/>
                <w:szCs w:val="18"/>
              </w:rPr>
            </w:pPr>
            <w:r>
              <w:rPr>
                <w:rFonts w:hint="eastAsia" w:ascii="宋体" w:eastAsiaTheme="minorEastAsia"/>
                <w:sz w:val="18"/>
                <w:szCs w:val="18"/>
              </w:rPr>
              <w:t>2</w:t>
            </w:r>
            <w:r>
              <w:rPr>
                <w:rFonts w:ascii="宋体" w:eastAsiaTheme="minorEastAsia"/>
                <w:sz w:val="18"/>
                <w:szCs w:val="18"/>
              </w:rPr>
              <w:t>05</w:t>
            </w:r>
          </w:p>
        </w:tc>
        <w:tc>
          <w:tcPr>
            <w:tcW w:w="620" w:type="pct"/>
            <w:vAlign w:val="center"/>
          </w:tcPr>
          <w:p w14:paraId="19566541">
            <w:pPr>
              <w:numPr>
                <w:ilvl w:val="0"/>
                <w:numId w:val="0"/>
              </w:numPr>
              <w:ind w:left="0" w:firstLine="0"/>
              <w:jc w:val="center"/>
              <w:rPr>
                <w:rFonts w:ascii="宋体" w:eastAsiaTheme="minorEastAsia"/>
                <w:sz w:val="18"/>
                <w:szCs w:val="18"/>
              </w:rPr>
            </w:pPr>
            <w:r>
              <w:rPr>
                <w:rFonts w:hint="eastAsia" w:ascii="宋体" w:eastAsiaTheme="minorEastAsia"/>
                <w:sz w:val="18"/>
                <w:szCs w:val="18"/>
              </w:rPr>
              <w:t>5</w:t>
            </w:r>
            <w:r>
              <w:rPr>
                <w:rFonts w:ascii="宋体" w:eastAsiaTheme="minorEastAsia"/>
                <w:sz w:val="18"/>
                <w:szCs w:val="18"/>
              </w:rPr>
              <w:t>00-700</w:t>
            </w:r>
          </w:p>
        </w:tc>
        <w:tc>
          <w:tcPr>
            <w:tcW w:w="598" w:type="pct"/>
            <w:vAlign w:val="center"/>
          </w:tcPr>
          <w:p w14:paraId="2372DF7E">
            <w:pPr>
              <w:numPr>
                <w:ilvl w:val="0"/>
                <w:numId w:val="0"/>
              </w:numPr>
              <w:ind w:left="0" w:firstLine="0"/>
              <w:jc w:val="center"/>
              <w:rPr>
                <w:rFonts w:ascii="宋体" w:eastAsiaTheme="minorEastAsia"/>
                <w:sz w:val="18"/>
                <w:szCs w:val="18"/>
              </w:rPr>
            </w:pPr>
            <w:r>
              <w:rPr>
                <w:rFonts w:hint="eastAsia" w:ascii="宋体" w:eastAsiaTheme="minorEastAsia"/>
                <w:sz w:val="18"/>
                <w:szCs w:val="18"/>
              </w:rPr>
              <w:t>4</w:t>
            </w:r>
            <w:r>
              <w:rPr>
                <w:rFonts w:ascii="宋体" w:eastAsiaTheme="minorEastAsia"/>
                <w:sz w:val="18"/>
                <w:szCs w:val="18"/>
              </w:rPr>
              <w:t>5</w:t>
            </w:r>
          </w:p>
        </w:tc>
        <w:tc>
          <w:tcPr>
            <w:tcW w:w="594" w:type="pct"/>
            <w:vAlign w:val="center"/>
          </w:tcPr>
          <w:p w14:paraId="6D963434">
            <w:pPr>
              <w:numPr>
                <w:ilvl w:val="0"/>
                <w:numId w:val="0"/>
              </w:numPr>
              <w:ind w:left="0" w:firstLine="0"/>
              <w:jc w:val="center"/>
              <w:rPr>
                <w:rFonts w:ascii="宋体" w:eastAsiaTheme="minorEastAsia"/>
                <w:sz w:val="18"/>
                <w:szCs w:val="18"/>
              </w:rPr>
            </w:pPr>
            <w:r>
              <w:rPr>
                <w:rFonts w:hint="eastAsia" w:ascii="宋体" w:eastAsiaTheme="minorEastAsia"/>
                <w:sz w:val="18"/>
                <w:szCs w:val="18"/>
              </w:rPr>
              <w:t>6</w:t>
            </w:r>
            <w:r>
              <w:rPr>
                <w:rFonts w:ascii="宋体" w:eastAsiaTheme="minorEastAsia"/>
                <w:sz w:val="18"/>
                <w:szCs w:val="18"/>
              </w:rPr>
              <w:t>0</w:t>
            </w:r>
          </w:p>
        </w:tc>
      </w:tr>
      <w:tr w14:paraId="5A778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7" w:type="pct"/>
            <w:vAlign w:val="center"/>
          </w:tcPr>
          <w:p w14:paraId="7D363442">
            <w:pPr>
              <w:numPr>
                <w:ilvl w:val="0"/>
                <w:numId w:val="0"/>
              </w:numPr>
              <w:ind w:left="0" w:firstLine="0"/>
              <w:jc w:val="center"/>
              <w:rPr>
                <w:rFonts w:ascii="宋体" w:eastAsiaTheme="minorEastAsia"/>
                <w:sz w:val="18"/>
                <w:szCs w:val="18"/>
              </w:rPr>
            </w:pPr>
            <w:r>
              <w:rPr>
                <w:rFonts w:ascii="宋体" w:eastAsiaTheme="minorEastAsia"/>
                <w:sz w:val="18"/>
                <w:szCs w:val="18"/>
              </w:rPr>
              <w:t>022Cr19Ni10</w:t>
            </w:r>
          </w:p>
        </w:tc>
        <w:tc>
          <w:tcPr>
            <w:tcW w:w="1316" w:type="pct"/>
            <w:vAlign w:val="center"/>
          </w:tcPr>
          <w:p w14:paraId="640D894C">
            <w:pPr>
              <w:numPr>
                <w:ilvl w:val="0"/>
                <w:numId w:val="0"/>
              </w:numPr>
              <w:ind w:left="0" w:firstLine="0"/>
              <w:jc w:val="center"/>
              <w:rPr>
                <w:rFonts w:ascii="宋体" w:eastAsiaTheme="minorEastAsia"/>
                <w:sz w:val="18"/>
                <w:szCs w:val="18"/>
              </w:rPr>
            </w:pPr>
            <w:r>
              <w:rPr>
                <w:rFonts w:hint="eastAsia" w:ascii="宋体" w:eastAsiaTheme="minorEastAsia"/>
                <w:sz w:val="18"/>
                <w:szCs w:val="18"/>
              </w:rPr>
              <w:t>固溶1</w:t>
            </w:r>
            <w:r>
              <w:rPr>
                <w:rFonts w:ascii="宋体" w:eastAsiaTheme="minorEastAsia"/>
                <w:sz w:val="18"/>
                <w:szCs w:val="18"/>
              </w:rPr>
              <w:t>010-1150</w:t>
            </w:r>
            <w:r>
              <w:rPr>
                <w:rFonts w:hint="eastAsia" w:ascii="宋体" w:eastAsiaTheme="minorEastAsia"/>
                <w:sz w:val="18"/>
                <w:szCs w:val="18"/>
              </w:rPr>
              <w:t>℃，水冷或空冷</w:t>
            </w:r>
          </w:p>
        </w:tc>
        <w:tc>
          <w:tcPr>
            <w:tcW w:w="1013" w:type="pct"/>
            <w:vAlign w:val="center"/>
          </w:tcPr>
          <w:p w14:paraId="49BBAFE0">
            <w:pPr>
              <w:numPr>
                <w:ilvl w:val="0"/>
                <w:numId w:val="0"/>
              </w:numPr>
              <w:ind w:left="0" w:firstLine="0"/>
              <w:jc w:val="center"/>
              <w:rPr>
                <w:rFonts w:ascii="宋体" w:eastAsiaTheme="minorEastAsia"/>
                <w:sz w:val="18"/>
                <w:szCs w:val="18"/>
              </w:rPr>
            </w:pPr>
            <w:r>
              <w:rPr>
                <w:rFonts w:hint="eastAsia" w:ascii="宋体" w:eastAsiaTheme="minorEastAsia"/>
                <w:sz w:val="18"/>
                <w:szCs w:val="18"/>
              </w:rPr>
              <w:t>1</w:t>
            </w:r>
            <w:r>
              <w:rPr>
                <w:rFonts w:ascii="宋体" w:eastAsiaTheme="minorEastAsia"/>
                <w:sz w:val="18"/>
                <w:szCs w:val="18"/>
              </w:rPr>
              <w:t>75</w:t>
            </w:r>
          </w:p>
        </w:tc>
        <w:tc>
          <w:tcPr>
            <w:tcW w:w="620" w:type="pct"/>
            <w:vAlign w:val="center"/>
          </w:tcPr>
          <w:p w14:paraId="7D90ACD3">
            <w:pPr>
              <w:numPr>
                <w:ilvl w:val="0"/>
                <w:numId w:val="0"/>
              </w:numPr>
              <w:ind w:left="0" w:firstLine="0"/>
              <w:jc w:val="center"/>
              <w:rPr>
                <w:rFonts w:ascii="宋体" w:eastAsiaTheme="minorEastAsia"/>
                <w:sz w:val="18"/>
                <w:szCs w:val="18"/>
              </w:rPr>
            </w:pPr>
            <w:r>
              <w:rPr>
                <w:rFonts w:hint="eastAsia" w:ascii="宋体" w:eastAsiaTheme="minorEastAsia"/>
                <w:sz w:val="18"/>
                <w:szCs w:val="18"/>
              </w:rPr>
              <w:t>5</w:t>
            </w:r>
            <w:r>
              <w:rPr>
                <w:rFonts w:ascii="宋体" w:eastAsiaTheme="minorEastAsia"/>
                <w:sz w:val="18"/>
                <w:szCs w:val="18"/>
              </w:rPr>
              <w:t>00-700</w:t>
            </w:r>
          </w:p>
        </w:tc>
        <w:tc>
          <w:tcPr>
            <w:tcW w:w="598" w:type="pct"/>
            <w:vAlign w:val="center"/>
          </w:tcPr>
          <w:p w14:paraId="41FFA04E">
            <w:pPr>
              <w:numPr>
                <w:ilvl w:val="0"/>
                <w:numId w:val="0"/>
              </w:numPr>
              <w:ind w:left="0" w:firstLine="0"/>
              <w:jc w:val="center"/>
              <w:rPr>
                <w:rFonts w:ascii="宋体" w:eastAsiaTheme="minorEastAsia"/>
                <w:sz w:val="18"/>
                <w:szCs w:val="18"/>
              </w:rPr>
            </w:pPr>
            <w:r>
              <w:rPr>
                <w:rFonts w:hint="eastAsia" w:ascii="宋体" w:eastAsiaTheme="minorEastAsia"/>
                <w:sz w:val="18"/>
                <w:szCs w:val="18"/>
              </w:rPr>
              <w:t>4</w:t>
            </w:r>
            <w:r>
              <w:rPr>
                <w:rFonts w:ascii="宋体" w:eastAsiaTheme="minorEastAsia"/>
                <w:sz w:val="18"/>
                <w:szCs w:val="18"/>
              </w:rPr>
              <w:t>5</w:t>
            </w:r>
          </w:p>
        </w:tc>
        <w:tc>
          <w:tcPr>
            <w:tcW w:w="594" w:type="pct"/>
            <w:vAlign w:val="center"/>
          </w:tcPr>
          <w:p w14:paraId="32ADDE4F">
            <w:pPr>
              <w:numPr>
                <w:ilvl w:val="0"/>
                <w:numId w:val="0"/>
              </w:numPr>
              <w:ind w:left="0" w:firstLine="0"/>
              <w:jc w:val="center"/>
              <w:rPr>
                <w:rFonts w:ascii="宋体" w:eastAsiaTheme="minorEastAsia"/>
                <w:sz w:val="18"/>
                <w:szCs w:val="18"/>
              </w:rPr>
            </w:pPr>
            <w:r>
              <w:rPr>
                <w:rFonts w:hint="eastAsia" w:ascii="宋体" w:eastAsiaTheme="minorEastAsia"/>
                <w:sz w:val="18"/>
                <w:szCs w:val="18"/>
              </w:rPr>
              <w:t>6</w:t>
            </w:r>
            <w:r>
              <w:rPr>
                <w:rFonts w:ascii="宋体" w:eastAsiaTheme="minorEastAsia"/>
                <w:sz w:val="18"/>
                <w:szCs w:val="18"/>
              </w:rPr>
              <w:t>0</w:t>
            </w:r>
          </w:p>
        </w:tc>
      </w:tr>
      <w:bookmarkEnd w:id="18"/>
    </w:tbl>
    <w:p w14:paraId="0EEA9E8D">
      <w:pPr>
        <w:pStyle w:val="50"/>
        <w:spacing w:before="156" w:after="156"/>
        <w:rPr>
          <w:rFonts w:ascii="Times New Roman" w:eastAsia="宋体"/>
        </w:rPr>
      </w:pPr>
      <w:r>
        <w:rPr>
          <w:rFonts w:hint="eastAsia" w:ascii="Times New Roman" w:eastAsia="宋体"/>
        </w:rPr>
        <w:t>交货状态为非固溶态时，交货硬度≤235HB（检测芯部中心区域硬度）。交货硬度的判定以平均值为准。</w:t>
      </w:r>
    </w:p>
    <w:bookmarkEnd w:id="16"/>
    <w:p w14:paraId="1D402EE2">
      <w:pPr>
        <w:pStyle w:val="47"/>
        <w:spacing w:before="156" w:after="156"/>
        <w:ind w:left="0"/>
        <w:rPr>
          <w:rFonts w:ascii="Times New Roman"/>
        </w:rPr>
      </w:pPr>
      <w:bookmarkStart w:id="19" w:name="_Hlk167051195"/>
      <w:r>
        <w:rPr>
          <w:rFonts w:ascii="Times New Roman"/>
        </w:rPr>
        <w:t>低倍组织</w:t>
      </w:r>
    </w:p>
    <w:p w14:paraId="42535211">
      <w:pPr>
        <w:pStyle w:val="50"/>
        <w:numPr>
          <w:ilvl w:val="0"/>
          <w:numId w:val="0"/>
        </w:numPr>
        <w:spacing w:before="156" w:after="156"/>
        <w:jc w:val="both"/>
        <w:rPr>
          <w:rFonts w:ascii="Times New Roman" w:eastAsia="宋体"/>
        </w:rPr>
      </w:pPr>
      <w:r>
        <w:rPr>
          <w:rFonts w:hint="eastAsia" w:ascii="Times New Roman" w:eastAsia="宋体"/>
          <w:lang w:eastAsia="zh-CN"/>
        </w:rPr>
        <w:t>银亮钢</w:t>
      </w:r>
      <w:r>
        <w:rPr>
          <w:rFonts w:ascii="Times New Roman" w:eastAsia="宋体"/>
        </w:rPr>
        <w:t>的低倍组织按照GB/T 226的规定的方法进行检验，所制样品的横截面酸侵低倍试片上，不得有肉眼可见的缩孔残余、气泡、翻皮、夹杂</w:t>
      </w:r>
      <w:r>
        <w:rPr>
          <w:rFonts w:hint="eastAsia" w:ascii="Times New Roman" w:eastAsia="宋体"/>
        </w:rPr>
        <w:t>、</w:t>
      </w:r>
      <w:r>
        <w:rPr>
          <w:rFonts w:ascii="Times New Roman" w:eastAsia="宋体"/>
        </w:rPr>
        <w:t>裂纹</w:t>
      </w:r>
      <w:r>
        <w:rPr>
          <w:rFonts w:hint="eastAsia" w:ascii="Times New Roman" w:eastAsia="宋体"/>
        </w:rPr>
        <w:t>及白点</w:t>
      </w:r>
      <w:r>
        <w:rPr>
          <w:rFonts w:ascii="Times New Roman" w:eastAsia="宋体"/>
        </w:rPr>
        <w:t>。酸浸低倍组织合格级别应符合表4的规定</w:t>
      </w:r>
    </w:p>
    <w:bookmarkEnd w:id="19"/>
    <w:p w14:paraId="11803856">
      <w:pPr>
        <w:pStyle w:val="77"/>
      </w:pPr>
      <w:bookmarkStart w:id="20" w:name="_Hlk167051208"/>
      <w:r>
        <w:t>低倍组织合格级别</w:t>
      </w:r>
    </w:p>
    <w:bookmarkEnd w:id="20"/>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0"/>
        <w:gridCol w:w="2384"/>
        <w:gridCol w:w="2385"/>
        <w:gridCol w:w="2385"/>
      </w:tblGrid>
      <w:tr w14:paraId="3F5D3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0" w:type="dxa"/>
            <w:vAlign w:val="center"/>
          </w:tcPr>
          <w:p w14:paraId="7EFDECC4">
            <w:pPr>
              <w:numPr>
                <w:ilvl w:val="0"/>
                <w:numId w:val="0"/>
              </w:numPr>
              <w:ind w:left="0" w:firstLine="0"/>
              <w:jc w:val="center"/>
              <w:rPr>
                <w:rFonts w:ascii="宋体" w:eastAsiaTheme="minorEastAsia"/>
                <w:sz w:val="18"/>
                <w:szCs w:val="18"/>
              </w:rPr>
            </w:pPr>
            <w:bookmarkStart w:id="21" w:name="_Hlk167051219"/>
            <w:r>
              <w:rPr>
                <w:rFonts w:hint="eastAsia" w:ascii="宋体" w:eastAsiaTheme="minorEastAsia"/>
                <w:sz w:val="18"/>
                <w:szCs w:val="18"/>
              </w:rPr>
              <w:t>牌号</w:t>
            </w:r>
          </w:p>
        </w:tc>
        <w:tc>
          <w:tcPr>
            <w:tcW w:w="2384" w:type="dxa"/>
            <w:vAlign w:val="center"/>
          </w:tcPr>
          <w:p w14:paraId="6E711DE0">
            <w:pPr>
              <w:numPr>
                <w:ilvl w:val="0"/>
                <w:numId w:val="0"/>
              </w:numPr>
              <w:ind w:left="0" w:firstLine="0"/>
              <w:jc w:val="center"/>
              <w:rPr>
                <w:rFonts w:ascii="宋体" w:eastAsiaTheme="minorEastAsia"/>
                <w:sz w:val="18"/>
                <w:szCs w:val="18"/>
              </w:rPr>
            </w:pPr>
            <w:r>
              <w:rPr>
                <w:rFonts w:ascii="宋体" w:eastAsiaTheme="minorEastAsia"/>
                <w:sz w:val="18"/>
                <w:szCs w:val="18"/>
              </w:rPr>
              <w:t>一般疏松</w:t>
            </w:r>
          </w:p>
        </w:tc>
        <w:tc>
          <w:tcPr>
            <w:tcW w:w="2385" w:type="dxa"/>
            <w:vAlign w:val="center"/>
          </w:tcPr>
          <w:p w14:paraId="04941230">
            <w:pPr>
              <w:numPr>
                <w:ilvl w:val="0"/>
                <w:numId w:val="0"/>
              </w:numPr>
              <w:ind w:left="0" w:firstLine="0"/>
              <w:jc w:val="center"/>
              <w:rPr>
                <w:rFonts w:ascii="宋体" w:eastAsiaTheme="minorEastAsia"/>
                <w:sz w:val="18"/>
                <w:szCs w:val="18"/>
              </w:rPr>
            </w:pPr>
            <w:r>
              <w:rPr>
                <w:rFonts w:ascii="宋体" w:eastAsiaTheme="minorEastAsia"/>
                <w:sz w:val="18"/>
                <w:szCs w:val="18"/>
              </w:rPr>
              <w:t>中心疏松</w:t>
            </w:r>
          </w:p>
        </w:tc>
        <w:tc>
          <w:tcPr>
            <w:tcW w:w="2385" w:type="dxa"/>
            <w:vAlign w:val="center"/>
          </w:tcPr>
          <w:p w14:paraId="3F8A7FFF">
            <w:pPr>
              <w:numPr>
                <w:ilvl w:val="0"/>
                <w:numId w:val="0"/>
              </w:numPr>
              <w:ind w:left="0" w:firstLine="0"/>
              <w:jc w:val="center"/>
              <w:rPr>
                <w:rFonts w:ascii="宋体" w:eastAsiaTheme="minorEastAsia"/>
                <w:sz w:val="18"/>
                <w:szCs w:val="18"/>
              </w:rPr>
            </w:pPr>
            <w:r>
              <w:rPr>
                <w:rFonts w:ascii="宋体" w:eastAsiaTheme="minorEastAsia"/>
                <w:sz w:val="18"/>
                <w:szCs w:val="18"/>
              </w:rPr>
              <w:t>锭型偏析</w:t>
            </w:r>
          </w:p>
        </w:tc>
      </w:tr>
      <w:tr w14:paraId="10832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0" w:type="dxa"/>
            <w:vAlign w:val="center"/>
          </w:tcPr>
          <w:p w14:paraId="76B4B3AB">
            <w:pPr>
              <w:numPr>
                <w:ilvl w:val="0"/>
                <w:numId w:val="0"/>
              </w:numPr>
              <w:ind w:left="0" w:firstLine="0"/>
              <w:jc w:val="center"/>
              <w:rPr>
                <w:rFonts w:ascii="宋体" w:eastAsiaTheme="minorEastAsia"/>
                <w:sz w:val="18"/>
                <w:szCs w:val="18"/>
              </w:rPr>
            </w:pPr>
            <w:r>
              <w:rPr>
                <w:rFonts w:ascii="宋体" w:eastAsiaTheme="minorEastAsia"/>
                <w:sz w:val="18"/>
                <w:szCs w:val="18"/>
              </w:rPr>
              <w:t>06Cr19Ni10</w:t>
            </w:r>
          </w:p>
        </w:tc>
        <w:tc>
          <w:tcPr>
            <w:tcW w:w="2384" w:type="dxa"/>
            <w:vAlign w:val="center"/>
          </w:tcPr>
          <w:p w14:paraId="0D5DA468">
            <w:pPr>
              <w:numPr>
                <w:ilvl w:val="0"/>
                <w:numId w:val="0"/>
              </w:numPr>
              <w:ind w:left="0" w:firstLine="0"/>
              <w:jc w:val="center"/>
              <w:rPr>
                <w:rFonts w:ascii="宋体" w:eastAsiaTheme="minorEastAsia"/>
                <w:sz w:val="18"/>
                <w:szCs w:val="18"/>
              </w:rPr>
            </w:pPr>
            <w:r>
              <w:rPr>
                <w:rFonts w:ascii="宋体" w:eastAsiaTheme="minorEastAsia"/>
                <w:sz w:val="18"/>
                <w:szCs w:val="18"/>
              </w:rPr>
              <w:t>≤2.0级</w:t>
            </w:r>
          </w:p>
        </w:tc>
        <w:tc>
          <w:tcPr>
            <w:tcW w:w="2385" w:type="dxa"/>
            <w:vAlign w:val="center"/>
          </w:tcPr>
          <w:p w14:paraId="5C78D1DE">
            <w:pPr>
              <w:numPr>
                <w:ilvl w:val="0"/>
                <w:numId w:val="0"/>
              </w:numPr>
              <w:ind w:left="0" w:firstLine="0"/>
              <w:jc w:val="center"/>
              <w:rPr>
                <w:rFonts w:ascii="宋体" w:eastAsiaTheme="minorEastAsia"/>
                <w:sz w:val="18"/>
                <w:szCs w:val="18"/>
              </w:rPr>
            </w:pPr>
            <w:r>
              <w:rPr>
                <w:rFonts w:ascii="宋体" w:eastAsiaTheme="minorEastAsia"/>
                <w:sz w:val="18"/>
                <w:szCs w:val="18"/>
              </w:rPr>
              <w:t>≤2.0级</w:t>
            </w:r>
          </w:p>
        </w:tc>
        <w:tc>
          <w:tcPr>
            <w:tcW w:w="2385" w:type="dxa"/>
            <w:vAlign w:val="center"/>
          </w:tcPr>
          <w:p w14:paraId="2218124F">
            <w:pPr>
              <w:numPr>
                <w:ilvl w:val="0"/>
                <w:numId w:val="0"/>
              </w:numPr>
              <w:ind w:left="0" w:firstLine="0"/>
              <w:jc w:val="center"/>
              <w:rPr>
                <w:rFonts w:ascii="宋体" w:eastAsiaTheme="minorEastAsia"/>
                <w:sz w:val="18"/>
                <w:szCs w:val="18"/>
              </w:rPr>
            </w:pPr>
            <w:r>
              <w:rPr>
                <w:rFonts w:ascii="宋体" w:eastAsiaTheme="minorEastAsia"/>
                <w:sz w:val="18"/>
                <w:szCs w:val="18"/>
              </w:rPr>
              <w:t>≤2.0级</w:t>
            </w:r>
          </w:p>
        </w:tc>
      </w:tr>
      <w:tr w14:paraId="5DD30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0" w:type="dxa"/>
            <w:vAlign w:val="center"/>
          </w:tcPr>
          <w:p w14:paraId="117B7F12">
            <w:pPr>
              <w:numPr>
                <w:ilvl w:val="0"/>
                <w:numId w:val="0"/>
              </w:numPr>
              <w:ind w:left="0" w:firstLine="0"/>
              <w:jc w:val="center"/>
              <w:rPr>
                <w:rFonts w:ascii="宋体" w:eastAsiaTheme="minorEastAsia"/>
                <w:sz w:val="18"/>
                <w:szCs w:val="18"/>
              </w:rPr>
            </w:pPr>
            <w:r>
              <w:rPr>
                <w:rFonts w:ascii="宋体" w:eastAsiaTheme="minorEastAsia"/>
                <w:sz w:val="18"/>
                <w:szCs w:val="18"/>
              </w:rPr>
              <w:t>022Cr19Ni10</w:t>
            </w:r>
          </w:p>
        </w:tc>
        <w:tc>
          <w:tcPr>
            <w:tcW w:w="2384" w:type="dxa"/>
            <w:vAlign w:val="center"/>
          </w:tcPr>
          <w:p w14:paraId="49C69F7E">
            <w:pPr>
              <w:numPr>
                <w:ilvl w:val="0"/>
                <w:numId w:val="0"/>
              </w:numPr>
              <w:ind w:left="0" w:firstLine="0"/>
              <w:jc w:val="center"/>
              <w:rPr>
                <w:rFonts w:ascii="宋体" w:eastAsiaTheme="minorEastAsia"/>
                <w:sz w:val="18"/>
                <w:szCs w:val="18"/>
              </w:rPr>
            </w:pPr>
            <w:r>
              <w:rPr>
                <w:rFonts w:ascii="宋体" w:eastAsiaTheme="minorEastAsia"/>
                <w:sz w:val="18"/>
                <w:szCs w:val="18"/>
              </w:rPr>
              <w:t>≤2.0级</w:t>
            </w:r>
          </w:p>
        </w:tc>
        <w:tc>
          <w:tcPr>
            <w:tcW w:w="2385" w:type="dxa"/>
            <w:vAlign w:val="center"/>
          </w:tcPr>
          <w:p w14:paraId="63E18953">
            <w:pPr>
              <w:numPr>
                <w:ilvl w:val="0"/>
                <w:numId w:val="0"/>
              </w:numPr>
              <w:ind w:left="0" w:firstLine="0"/>
              <w:jc w:val="center"/>
              <w:rPr>
                <w:rFonts w:ascii="宋体" w:eastAsiaTheme="minorEastAsia"/>
                <w:sz w:val="18"/>
                <w:szCs w:val="18"/>
              </w:rPr>
            </w:pPr>
            <w:r>
              <w:rPr>
                <w:rFonts w:ascii="宋体" w:eastAsiaTheme="minorEastAsia"/>
                <w:sz w:val="18"/>
                <w:szCs w:val="18"/>
              </w:rPr>
              <w:t>≤2.0级</w:t>
            </w:r>
          </w:p>
        </w:tc>
        <w:tc>
          <w:tcPr>
            <w:tcW w:w="2385" w:type="dxa"/>
            <w:vAlign w:val="center"/>
          </w:tcPr>
          <w:p w14:paraId="5E5E2C36">
            <w:pPr>
              <w:numPr>
                <w:ilvl w:val="0"/>
                <w:numId w:val="0"/>
              </w:numPr>
              <w:ind w:left="0" w:firstLine="0"/>
              <w:jc w:val="center"/>
              <w:rPr>
                <w:rFonts w:ascii="宋体" w:eastAsiaTheme="minorEastAsia"/>
                <w:sz w:val="18"/>
                <w:szCs w:val="18"/>
              </w:rPr>
            </w:pPr>
            <w:r>
              <w:rPr>
                <w:rFonts w:ascii="宋体" w:eastAsiaTheme="minorEastAsia"/>
                <w:sz w:val="18"/>
                <w:szCs w:val="18"/>
              </w:rPr>
              <w:t>≤2.0级</w:t>
            </w:r>
          </w:p>
        </w:tc>
      </w:tr>
      <w:bookmarkEnd w:id="21"/>
    </w:tbl>
    <w:p w14:paraId="038729AB">
      <w:pPr>
        <w:pStyle w:val="47"/>
        <w:spacing w:before="156" w:after="156"/>
        <w:ind w:left="0"/>
        <w:rPr>
          <w:rFonts w:ascii="Times New Roman"/>
        </w:rPr>
      </w:pPr>
      <w:bookmarkStart w:id="22" w:name="_Hlk167051286"/>
      <w:r>
        <w:rPr>
          <w:rFonts w:ascii="Times New Roman"/>
        </w:rPr>
        <w:t>顶锻</w:t>
      </w:r>
    </w:p>
    <w:p w14:paraId="735625A3">
      <w:pPr>
        <w:ind w:firstLine="420" w:firstLineChars="200"/>
        <w:rPr>
          <w:szCs w:val="20"/>
        </w:rPr>
      </w:pPr>
      <w:r>
        <w:rPr>
          <w:rFonts w:hint="eastAsia"/>
          <w:szCs w:val="20"/>
          <w:lang w:eastAsia="zh-CN"/>
        </w:rPr>
        <w:t>银亮钢</w:t>
      </w:r>
      <w:r>
        <w:rPr>
          <w:szCs w:val="20"/>
        </w:rPr>
        <w:t>应进行热顶锻</w:t>
      </w:r>
      <w:r>
        <w:rPr>
          <w:rFonts w:hint="eastAsia"/>
          <w:szCs w:val="20"/>
        </w:rPr>
        <w:t>试验</w:t>
      </w:r>
      <w:r>
        <w:rPr>
          <w:szCs w:val="20"/>
        </w:rPr>
        <w:t>。热顶锻试验按</w:t>
      </w:r>
      <w:r>
        <w:rPr>
          <w:rFonts w:hint="eastAsia"/>
          <w:szCs w:val="20"/>
        </w:rPr>
        <w:t>YB/T 5293</w:t>
      </w:r>
      <w:r>
        <w:rPr>
          <w:szCs w:val="20"/>
        </w:rPr>
        <w:t>进行。取长度150mm棒材进行热顶锻试验，试样锻至原高度的三分之一，顶锻后的试样上不得有裂口、裂纹和折叠。若供方能保证热顶锻要求，可以不作热顶锻检验</w:t>
      </w:r>
      <w:r>
        <w:rPr>
          <w:rFonts w:hint="eastAsia"/>
          <w:szCs w:val="20"/>
        </w:rPr>
        <w:t>，质量保证书中填写热顶锻“合格”。</w:t>
      </w:r>
      <w:r>
        <w:rPr>
          <w:rFonts w:hint="eastAsia" w:ascii="宋体" w:hAnsi="宋体"/>
          <w:szCs w:val="21"/>
        </w:rPr>
        <w:t>热顶</w:t>
      </w:r>
      <w:r>
        <w:rPr>
          <w:rFonts w:ascii="宋体" w:hAnsi="宋体"/>
          <w:szCs w:val="21"/>
        </w:rPr>
        <w:t>锻</w:t>
      </w:r>
      <w:r>
        <w:rPr>
          <w:rFonts w:hint="eastAsia" w:ascii="宋体" w:hAnsi="宋体"/>
          <w:szCs w:val="21"/>
        </w:rPr>
        <w:t>加热</w:t>
      </w:r>
      <w:r>
        <w:rPr>
          <w:rFonts w:ascii="宋体" w:hAnsi="宋体"/>
          <w:szCs w:val="21"/>
        </w:rPr>
        <w:t>温度</w:t>
      </w:r>
      <w:r>
        <w:rPr>
          <w:szCs w:val="21"/>
        </w:rPr>
        <w:t>为1050-1250℃。</w:t>
      </w:r>
    </w:p>
    <w:bookmarkEnd w:id="22"/>
    <w:p w14:paraId="4AEED7F9">
      <w:pPr>
        <w:pStyle w:val="47"/>
        <w:spacing w:before="156" w:after="156"/>
        <w:ind w:left="0"/>
        <w:rPr>
          <w:rFonts w:ascii="Times New Roman"/>
        </w:rPr>
      </w:pPr>
      <w:bookmarkStart w:id="23" w:name="_Hlk167051293"/>
      <w:r>
        <w:rPr>
          <w:rFonts w:ascii="Times New Roman"/>
        </w:rPr>
        <w:t>非金属夹杂物</w:t>
      </w:r>
    </w:p>
    <w:p w14:paraId="47E04BBD">
      <w:pPr>
        <w:ind w:firstLine="420" w:firstLineChars="200"/>
        <w:rPr>
          <w:szCs w:val="20"/>
        </w:rPr>
      </w:pPr>
      <w:r>
        <w:rPr>
          <w:rFonts w:hint="eastAsia"/>
          <w:szCs w:val="20"/>
          <w:lang w:eastAsia="zh-CN"/>
        </w:rPr>
        <w:t>银亮钢</w:t>
      </w:r>
      <w:r>
        <w:rPr>
          <w:szCs w:val="20"/>
        </w:rPr>
        <w:t>的非金属夹杂物按GB/T 10561 中</w:t>
      </w:r>
      <w:r>
        <w:rPr>
          <w:rFonts w:hint="eastAsia"/>
          <w:szCs w:val="20"/>
        </w:rPr>
        <w:t>A法</w:t>
      </w:r>
      <w:r>
        <w:rPr>
          <w:szCs w:val="20"/>
        </w:rPr>
        <w:t>评定，级别应符合表</w:t>
      </w:r>
      <w:r>
        <w:rPr>
          <w:rFonts w:hint="eastAsia"/>
          <w:szCs w:val="20"/>
        </w:rPr>
        <w:t>5</w:t>
      </w:r>
      <w:r>
        <w:rPr>
          <w:szCs w:val="20"/>
        </w:rPr>
        <w:t>的规定。同一视场不得有两种夹杂达到最大级别。</w:t>
      </w:r>
    </w:p>
    <w:bookmarkEnd w:id="23"/>
    <w:p w14:paraId="02C67B2A">
      <w:pPr>
        <w:pStyle w:val="77"/>
      </w:pPr>
      <w:bookmarkStart w:id="24" w:name="_Hlk167051300"/>
      <w:r>
        <w:t>非金属夹杂物合格级别</w:t>
      </w:r>
    </w:p>
    <w:bookmarkEnd w:id="24"/>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1"/>
        <w:gridCol w:w="941"/>
        <w:gridCol w:w="943"/>
        <w:gridCol w:w="942"/>
        <w:gridCol w:w="942"/>
        <w:gridCol w:w="942"/>
        <w:gridCol w:w="942"/>
        <w:gridCol w:w="942"/>
        <w:gridCol w:w="942"/>
        <w:gridCol w:w="783"/>
      </w:tblGrid>
      <w:tr w14:paraId="4A11F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4" w:type="pct"/>
            <w:vMerge w:val="restart"/>
            <w:vAlign w:val="center"/>
          </w:tcPr>
          <w:p w14:paraId="136FA425">
            <w:pPr>
              <w:numPr>
                <w:ilvl w:val="0"/>
                <w:numId w:val="0"/>
              </w:numPr>
              <w:ind w:left="0" w:firstLine="0"/>
              <w:jc w:val="center"/>
              <w:rPr>
                <w:rFonts w:ascii="宋体" w:eastAsiaTheme="minorEastAsia"/>
                <w:sz w:val="18"/>
                <w:szCs w:val="18"/>
              </w:rPr>
            </w:pPr>
            <w:bookmarkStart w:id="25" w:name="_Hlk167051312"/>
            <w:r>
              <w:rPr>
                <w:rFonts w:ascii="宋体" w:eastAsiaTheme="minorEastAsia"/>
                <w:sz w:val="18"/>
                <w:szCs w:val="18"/>
              </w:rPr>
              <w:t>牌号</w:t>
            </w:r>
          </w:p>
        </w:tc>
        <w:tc>
          <w:tcPr>
            <w:tcW w:w="985" w:type="pct"/>
            <w:gridSpan w:val="2"/>
            <w:vAlign w:val="center"/>
          </w:tcPr>
          <w:p w14:paraId="3CF8E786">
            <w:pPr>
              <w:numPr>
                <w:ilvl w:val="0"/>
                <w:numId w:val="0"/>
              </w:numPr>
              <w:ind w:left="0" w:firstLine="0"/>
              <w:jc w:val="center"/>
              <w:rPr>
                <w:rFonts w:ascii="宋体" w:eastAsiaTheme="minorEastAsia"/>
                <w:sz w:val="18"/>
                <w:szCs w:val="18"/>
              </w:rPr>
            </w:pPr>
            <w:r>
              <w:rPr>
                <w:rFonts w:ascii="宋体" w:eastAsiaTheme="minorEastAsia"/>
                <w:sz w:val="18"/>
                <w:szCs w:val="18"/>
              </w:rPr>
              <w:t>A</w:t>
            </w:r>
          </w:p>
        </w:tc>
        <w:tc>
          <w:tcPr>
            <w:tcW w:w="984" w:type="pct"/>
            <w:gridSpan w:val="2"/>
            <w:vAlign w:val="center"/>
          </w:tcPr>
          <w:p w14:paraId="33D6E67B">
            <w:pPr>
              <w:numPr>
                <w:ilvl w:val="0"/>
                <w:numId w:val="0"/>
              </w:numPr>
              <w:ind w:left="0" w:firstLine="0"/>
              <w:jc w:val="center"/>
              <w:rPr>
                <w:rFonts w:ascii="宋体" w:eastAsiaTheme="minorEastAsia"/>
                <w:sz w:val="18"/>
                <w:szCs w:val="18"/>
              </w:rPr>
            </w:pPr>
            <w:r>
              <w:rPr>
                <w:rFonts w:ascii="宋体" w:eastAsiaTheme="minorEastAsia"/>
                <w:sz w:val="18"/>
                <w:szCs w:val="18"/>
              </w:rPr>
              <w:t>B</w:t>
            </w:r>
          </w:p>
        </w:tc>
        <w:tc>
          <w:tcPr>
            <w:tcW w:w="984" w:type="pct"/>
            <w:gridSpan w:val="2"/>
            <w:vAlign w:val="center"/>
          </w:tcPr>
          <w:p w14:paraId="5654DE9D">
            <w:pPr>
              <w:numPr>
                <w:ilvl w:val="0"/>
                <w:numId w:val="0"/>
              </w:numPr>
              <w:ind w:left="0" w:firstLine="0"/>
              <w:jc w:val="center"/>
              <w:rPr>
                <w:rFonts w:ascii="宋体" w:eastAsiaTheme="minorEastAsia"/>
                <w:sz w:val="18"/>
                <w:szCs w:val="18"/>
              </w:rPr>
            </w:pPr>
            <w:r>
              <w:rPr>
                <w:rFonts w:ascii="宋体" w:eastAsiaTheme="minorEastAsia"/>
                <w:sz w:val="18"/>
                <w:szCs w:val="18"/>
              </w:rPr>
              <w:t>C</w:t>
            </w:r>
          </w:p>
        </w:tc>
        <w:tc>
          <w:tcPr>
            <w:tcW w:w="984" w:type="pct"/>
            <w:gridSpan w:val="2"/>
            <w:vAlign w:val="center"/>
          </w:tcPr>
          <w:p w14:paraId="10ED1663">
            <w:pPr>
              <w:numPr>
                <w:ilvl w:val="0"/>
                <w:numId w:val="0"/>
              </w:numPr>
              <w:ind w:left="0" w:firstLine="0"/>
              <w:jc w:val="center"/>
              <w:rPr>
                <w:rFonts w:ascii="宋体" w:eastAsiaTheme="minorEastAsia"/>
                <w:sz w:val="18"/>
                <w:szCs w:val="18"/>
              </w:rPr>
            </w:pPr>
            <w:r>
              <w:rPr>
                <w:rFonts w:ascii="宋体" w:eastAsiaTheme="minorEastAsia"/>
                <w:sz w:val="18"/>
                <w:szCs w:val="18"/>
              </w:rPr>
              <w:t>D</w:t>
            </w:r>
          </w:p>
        </w:tc>
        <w:tc>
          <w:tcPr>
            <w:tcW w:w="410" w:type="pct"/>
            <w:vMerge w:val="restart"/>
            <w:vAlign w:val="center"/>
          </w:tcPr>
          <w:p w14:paraId="72809646">
            <w:pPr>
              <w:numPr>
                <w:ilvl w:val="0"/>
                <w:numId w:val="0"/>
              </w:numPr>
              <w:ind w:left="0" w:firstLine="0"/>
              <w:jc w:val="center"/>
              <w:rPr>
                <w:rFonts w:ascii="宋体" w:eastAsiaTheme="minorEastAsia"/>
                <w:sz w:val="18"/>
                <w:szCs w:val="18"/>
              </w:rPr>
            </w:pPr>
            <w:r>
              <w:rPr>
                <w:rFonts w:ascii="宋体" w:eastAsiaTheme="minorEastAsia"/>
                <w:sz w:val="18"/>
                <w:szCs w:val="18"/>
              </w:rPr>
              <w:t>DS</w:t>
            </w:r>
          </w:p>
        </w:tc>
      </w:tr>
      <w:tr w14:paraId="1BF06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4" w:type="pct"/>
            <w:vMerge w:val="continue"/>
            <w:vAlign w:val="center"/>
          </w:tcPr>
          <w:p w14:paraId="2D8237F3">
            <w:pPr>
              <w:numPr>
                <w:ilvl w:val="0"/>
                <w:numId w:val="0"/>
              </w:numPr>
              <w:ind w:left="0" w:firstLine="0"/>
              <w:jc w:val="center"/>
              <w:rPr>
                <w:rFonts w:ascii="宋体" w:eastAsiaTheme="minorEastAsia"/>
                <w:sz w:val="18"/>
                <w:szCs w:val="18"/>
              </w:rPr>
            </w:pPr>
          </w:p>
        </w:tc>
        <w:tc>
          <w:tcPr>
            <w:tcW w:w="492" w:type="pct"/>
            <w:vAlign w:val="center"/>
          </w:tcPr>
          <w:p w14:paraId="77A930F4">
            <w:pPr>
              <w:numPr>
                <w:ilvl w:val="0"/>
                <w:numId w:val="0"/>
              </w:numPr>
              <w:ind w:left="0" w:firstLine="0"/>
              <w:jc w:val="center"/>
              <w:rPr>
                <w:rFonts w:ascii="宋体" w:eastAsiaTheme="minorEastAsia"/>
                <w:sz w:val="18"/>
                <w:szCs w:val="18"/>
              </w:rPr>
            </w:pPr>
            <w:r>
              <w:rPr>
                <w:rFonts w:ascii="宋体" w:eastAsiaTheme="minorEastAsia"/>
                <w:sz w:val="18"/>
                <w:szCs w:val="18"/>
              </w:rPr>
              <w:t>细系</w:t>
            </w:r>
          </w:p>
        </w:tc>
        <w:tc>
          <w:tcPr>
            <w:tcW w:w="492" w:type="pct"/>
            <w:vAlign w:val="center"/>
          </w:tcPr>
          <w:p w14:paraId="30C7EC04">
            <w:pPr>
              <w:numPr>
                <w:ilvl w:val="0"/>
                <w:numId w:val="0"/>
              </w:numPr>
              <w:ind w:left="0" w:firstLine="0"/>
              <w:jc w:val="center"/>
              <w:rPr>
                <w:rFonts w:ascii="宋体" w:eastAsiaTheme="minorEastAsia"/>
                <w:sz w:val="18"/>
                <w:szCs w:val="18"/>
              </w:rPr>
            </w:pPr>
            <w:r>
              <w:rPr>
                <w:rFonts w:ascii="宋体" w:eastAsiaTheme="minorEastAsia"/>
                <w:sz w:val="18"/>
                <w:szCs w:val="18"/>
              </w:rPr>
              <w:t>粗系</w:t>
            </w:r>
          </w:p>
        </w:tc>
        <w:tc>
          <w:tcPr>
            <w:tcW w:w="492" w:type="pct"/>
            <w:vAlign w:val="center"/>
          </w:tcPr>
          <w:p w14:paraId="00B6142C">
            <w:pPr>
              <w:numPr>
                <w:ilvl w:val="0"/>
                <w:numId w:val="0"/>
              </w:numPr>
              <w:ind w:left="0" w:firstLine="0"/>
              <w:jc w:val="center"/>
              <w:rPr>
                <w:rFonts w:ascii="宋体" w:eastAsiaTheme="minorEastAsia"/>
                <w:sz w:val="18"/>
                <w:szCs w:val="18"/>
              </w:rPr>
            </w:pPr>
            <w:r>
              <w:rPr>
                <w:rFonts w:ascii="宋体" w:eastAsiaTheme="minorEastAsia"/>
                <w:sz w:val="18"/>
                <w:szCs w:val="18"/>
              </w:rPr>
              <w:t>细系</w:t>
            </w:r>
          </w:p>
        </w:tc>
        <w:tc>
          <w:tcPr>
            <w:tcW w:w="492" w:type="pct"/>
            <w:vAlign w:val="center"/>
          </w:tcPr>
          <w:p w14:paraId="643090BB">
            <w:pPr>
              <w:numPr>
                <w:ilvl w:val="0"/>
                <w:numId w:val="0"/>
              </w:numPr>
              <w:ind w:left="0" w:firstLine="0"/>
              <w:jc w:val="center"/>
              <w:rPr>
                <w:rFonts w:ascii="宋体" w:eastAsiaTheme="minorEastAsia"/>
                <w:sz w:val="18"/>
                <w:szCs w:val="18"/>
              </w:rPr>
            </w:pPr>
            <w:r>
              <w:rPr>
                <w:rFonts w:ascii="宋体" w:eastAsiaTheme="minorEastAsia"/>
                <w:sz w:val="18"/>
                <w:szCs w:val="18"/>
              </w:rPr>
              <w:t>粗系</w:t>
            </w:r>
          </w:p>
        </w:tc>
        <w:tc>
          <w:tcPr>
            <w:tcW w:w="492" w:type="pct"/>
            <w:vAlign w:val="center"/>
          </w:tcPr>
          <w:p w14:paraId="362D5158">
            <w:pPr>
              <w:numPr>
                <w:ilvl w:val="0"/>
                <w:numId w:val="0"/>
              </w:numPr>
              <w:ind w:left="0" w:firstLine="0"/>
              <w:jc w:val="center"/>
              <w:rPr>
                <w:rFonts w:ascii="宋体" w:eastAsiaTheme="minorEastAsia"/>
                <w:sz w:val="18"/>
                <w:szCs w:val="18"/>
              </w:rPr>
            </w:pPr>
            <w:r>
              <w:rPr>
                <w:rFonts w:ascii="宋体" w:eastAsiaTheme="minorEastAsia"/>
                <w:sz w:val="18"/>
                <w:szCs w:val="18"/>
              </w:rPr>
              <w:t>细系</w:t>
            </w:r>
          </w:p>
        </w:tc>
        <w:tc>
          <w:tcPr>
            <w:tcW w:w="492" w:type="pct"/>
            <w:vAlign w:val="center"/>
          </w:tcPr>
          <w:p w14:paraId="03966222">
            <w:pPr>
              <w:numPr>
                <w:ilvl w:val="0"/>
                <w:numId w:val="0"/>
              </w:numPr>
              <w:ind w:left="0" w:firstLine="0"/>
              <w:jc w:val="center"/>
              <w:rPr>
                <w:rFonts w:ascii="宋体" w:eastAsiaTheme="minorEastAsia"/>
                <w:sz w:val="18"/>
                <w:szCs w:val="18"/>
              </w:rPr>
            </w:pPr>
            <w:r>
              <w:rPr>
                <w:rFonts w:ascii="宋体" w:eastAsiaTheme="minorEastAsia"/>
                <w:sz w:val="18"/>
                <w:szCs w:val="18"/>
              </w:rPr>
              <w:t>粗系</w:t>
            </w:r>
          </w:p>
        </w:tc>
        <w:tc>
          <w:tcPr>
            <w:tcW w:w="492" w:type="pct"/>
            <w:vAlign w:val="center"/>
          </w:tcPr>
          <w:p w14:paraId="3B3F5891">
            <w:pPr>
              <w:numPr>
                <w:ilvl w:val="0"/>
                <w:numId w:val="0"/>
              </w:numPr>
              <w:ind w:left="0" w:firstLine="0"/>
              <w:jc w:val="center"/>
              <w:rPr>
                <w:rFonts w:ascii="宋体" w:eastAsiaTheme="minorEastAsia"/>
                <w:sz w:val="18"/>
                <w:szCs w:val="18"/>
              </w:rPr>
            </w:pPr>
            <w:r>
              <w:rPr>
                <w:rFonts w:ascii="宋体" w:eastAsiaTheme="minorEastAsia"/>
                <w:sz w:val="18"/>
                <w:szCs w:val="18"/>
              </w:rPr>
              <w:t>细系</w:t>
            </w:r>
          </w:p>
        </w:tc>
        <w:tc>
          <w:tcPr>
            <w:tcW w:w="492" w:type="pct"/>
            <w:vAlign w:val="center"/>
          </w:tcPr>
          <w:p w14:paraId="08357E95">
            <w:pPr>
              <w:numPr>
                <w:ilvl w:val="0"/>
                <w:numId w:val="0"/>
              </w:numPr>
              <w:ind w:left="0" w:firstLine="0"/>
              <w:jc w:val="center"/>
              <w:rPr>
                <w:rFonts w:ascii="宋体" w:eastAsiaTheme="minorEastAsia"/>
                <w:sz w:val="18"/>
                <w:szCs w:val="18"/>
              </w:rPr>
            </w:pPr>
            <w:r>
              <w:rPr>
                <w:rFonts w:ascii="宋体" w:eastAsiaTheme="minorEastAsia"/>
                <w:sz w:val="18"/>
                <w:szCs w:val="18"/>
              </w:rPr>
              <w:t>粗系</w:t>
            </w:r>
          </w:p>
        </w:tc>
        <w:tc>
          <w:tcPr>
            <w:tcW w:w="410" w:type="pct"/>
            <w:vMerge w:val="continue"/>
            <w:vAlign w:val="center"/>
          </w:tcPr>
          <w:p w14:paraId="0745CDAF">
            <w:pPr>
              <w:numPr>
                <w:ilvl w:val="0"/>
                <w:numId w:val="0"/>
              </w:numPr>
              <w:ind w:left="0" w:firstLine="0"/>
              <w:jc w:val="center"/>
              <w:rPr>
                <w:rFonts w:ascii="宋体" w:eastAsiaTheme="minorEastAsia"/>
                <w:sz w:val="18"/>
                <w:szCs w:val="18"/>
              </w:rPr>
            </w:pPr>
          </w:p>
        </w:tc>
      </w:tr>
      <w:tr w14:paraId="4B45D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4" w:type="pct"/>
            <w:vAlign w:val="center"/>
          </w:tcPr>
          <w:p w14:paraId="7059D476">
            <w:pPr>
              <w:numPr>
                <w:ilvl w:val="0"/>
                <w:numId w:val="0"/>
              </w:numPr>
              <w:ind w:left="0" w:firstLine="0"/>
              <w:jc w:val="center"/>
              <w:rPr>
                <w:rFonts w:ascii="宋体" w:eastAsiaTheme="minorEastAsia"/>
                <w:sz w:val="18"/>
                <w:szCs w:val="18"/>
              </w:rPr>
            </w:pPr>
            <w:r>
              <w:rPr>
                <w:rFonts w:ascii="宋体" w:eastAsiaTheme="minorEastAsia"/>
                <w:sz w:val="18"/>
                <w:szCs w:val="18"/>
              </w:rPr>
              <w:t>06Cr19Ni10</w:t>
            </w:r>
          </w:p>
        </w:tc>
        <w:tc>
          <w:tcPr>
            <w:tcW w:w="492" w:type="pct"/>
            <w:vAlign w:val="center"/>
          </w:tcPr>
          <w:p w14:paraId="4138A7D5">
            <w:pPr>
              <w:numPr>
                <w:ilvl w:val="0"/>
                <w:numId w:val="0"/>
              </w:numPr>
              <w:ind w:left="0" w:firstLine="0"/>
              <w:jc w:val="center"/>
              <w:rPr>
                <w:rFonts w:ascii="宋体" w:eastAsiaTheme="minorEastAsia"/>
                <w:sz w:val="18"/>
                <w:szCs w:val="18"/>
              </w:rPr>
            </w:pPr>
            <w:r>
              <w:rPr>
                <w:rFonts w:hint="eastAsia" w:ascii="宋体" w:eastAsiaTheme="minorEastAsia"/>
                <w:sz w:val="18"/>
                <w:szCs w:val="18"/>
              </w:rPr>
              <w:t>1</w:t>
            </w:r>
            <w:r>
              <w:rPr>
                <w:rFonts w:ascii="宋体" w:eastAsiaTheme="minorEastAsia"/>
                <w:sz w:val="18"/>
                <w:szCs w:val="18"/>
              </w:rPr>
              <w:t>.5</w:t>
            </w:r>
          </w:p>
        </w:tc>
        <w:tc>
          <w:tcPr>
            <w:tcW w:w="492" w:type="pct"/>
            <w:vAlign w:val="center"/>
          </w:tcPr>
          <w:p w14:paraId="358B5EB0">
            <w:pPr>
              <w:numPr>
                <w:ilvl w:val="0"/>
                <w:numId w:val="0"/>
              </w:numPr>
              <w:ind w:left="0" w:firstLine="0"/>
              <w:jc w:val="center"/>
              <w:rPr>
                <w:rFonts w:ascii="宋体" w:eastAsiaTheme="minorEastAsia"/>
                <w:sz w:val="18"/>
                <w:szCs w:val="18"/>
              </w:rPr>
            </w:pPr>
            <w:r>
              <w:rPr>
                <w:rFonts w:hint="eastAsia" w:ascii="宋体" w:eastAsiaTheme="minorEastAsia"/>
                <w:sz w:val="18"/>
                <w:szCs w:val="18"/>
              </w:rPr>
              <w:t>1</w:t>
            </w:r>
            <w:r>
              <w:rPr>
                <w:rFonts w:ascii="宋体" w:eastAsiaTheme="minorEastAsia"/>
                <w:sz w:val="18"/>
                <w:szCs w:val="18"/>
              </w:rPr>
              <w:t>.5</w:t>
            </w:r>
          </w:p>
        </w:tc>
        <w:tc>
          <w:tcPr>
            <w:tcW w:w="492" w:type="pct"/>
            <w:vAlign w:val="center"/>
          </w:tcPr>
          <w:p w14:paraId="3EBC4447">
            <w:pPr>
              <w:numPr>
                <w:ilvl w:val="0"/>
                <w:numId w:val="0"/>
              </w:numPr>
              <w:ind w:left="0" w:firstLine="0"/>
              <w:jc w:val="center"/>
              <w:rPr>
                <w:rFonts w:ascii="宋体" w:eastAsiaTheme="minorEastAsia"/>
                <w:sz w:val="18"/>
                <w:szCs w:val="18"/>
              </w:rPr>
            </w:pPr>
            <w:r>
              <w:rPr>
                <w:rFonts w:hint="eastAsia" w:ascii="宋体" w:eastAsiaTheme="minorEastAsia"/>
                <w:sz w:val="18"/>
                <w:szCs w:val="18"/>
              </w:rPr>
              <w:t>1</w:t>
            </w:r>
            <w:r>
              <w:rPr>
                <w:rFonts w:ascii="宋体" w:eastAsiaTheme="minorEastAsia"/>
                <w:sz w:val="18"/>
                <w:szCs w:val="18"/>
              </w:rPr>
              <w:t>.5</w:t>
            </w:r>
          </w:p>
        </w:tc>
        <w:tc>
          <w:tcPr>
            <w:tcW w:w="492" w:type="pct"/>
            <w:vAlign w:val="center"/>
          </w:tcPr>
          <w:p w14:paraId="5794366D">
            <w:pPr>
              <w:numPr>
                <w:ilvl w:val="0"/>
                <w:numId w:val="0"/>
              </w:numPr>
              <w:ind w:left="0" w:firstLine="0"/>
              <w:jc w:val="center"/>
              <w:rPr>
                <w:rFonts w:ascii="宋体" w:eastAsiaTheme="minorEastAsia"/>
                <w:sz w:val="18"/>
                <w:szCs w:val="18"/>
              </w:rPr>
            </w:pPr>
            <w:r>
              <w:rPr>
                <w:rFonts w:hint="eastAsia" w:ascii="宋体" w:eastAsiaTheme="minorEastAsia"/>
                <w:sz w:val="18"/>
                <w:szCs w:val="18"/>
              </w:rPr>
              <w:t>1</w:t>
            </w:r>
            <w:r>
              <w:rPr>
                <w:rFonts w:ascii="宋体" w:eastAsiaTheme="minorEastAsia"/>
                <w:sz w:val="18"/>
                <w:szCs w:val="18"/>
              </w:rPr>
              <w:t>.5</w:t>
            </w:r>
          </w:p>
        </w:tc>
        <w:tc>
          <w:tcPr>
            <w:tcW w:w="492" w:type="pct"/>
            <w:vAlign w:val="center"/>
          </w:tcPr>
          <w:p w14:paraId="6BF8DD3F">
            <w:pPr>
              <w:numPr>
                <w:ilvl w:val="0"/>
                <w:numId w:val="0"/>
              </w:numPr>
              <w:ind w:left="0" w:firstLine="0"/>
              <w:jc w:val="center"/>
              <w:rPr>
                <w:rFonts w:ascii="宋体" w:eastAsiaTheme="minorEastAsia"/>
                <w:sz w:val="18"/>
                <w:szCs w:val="18"/>
              </w:rPr>
            </w:pPr>
            <w:r>
              <w:rPr>
                <w:rFonts w:hint="eastAsia" w:ascii="宋体" w:eastAsiaTheme="minorEastAsia"/>
                <w:sz w:val="18"/>
                <w:szCs w:val="18"/>
              </w:rPr>
              <w:t>1</w:t>
            </w:r>
            <w:r>
              <w:rPr>
                <w:rFonts w:ascii="宋体" w:eastAsiaTheme="minorEastAsia"/>
                <w:sz w:val="18"/>
                <w:szCs w:val="18"/>
              </w:rPr>
              <w:t>.5</w:t>
            </w:r>
          </w:p>
        </w:tc>
        <w:tc>
          <w:tcPr>
            <w:tcW w:w="492" w:type="pct"/>
            <w:vAlign w:val="center"/>
          </w:tcPr>
          <w:p w14:paraId="454C9812">
            <w:pPr>
              <w:numPr>
                <w:ilvl w:val="0"/>
                <w:numId w:val="0"/>
              </w:numPr>
              <w:ind w:left="0" w:firstLine="0"/>
              <w:jc w:val="center"/>
              <w:rPr>
                <w:rFonts w:ascii="宋体" w:eastAsiaTheme="minorEastAsia"/>
                <w:sz w:val="18"/>
                <w:szCs w:val="18"/>
              </w:rPr>
            </w:pPr>
            <w:r>
              <w:rPr>
                <w:rFonts w:hint="eastAsia" w:ascii="宋体" w:eastAsiaTheme="minorEastAsia"/>
                <w:sz w:val="18"/>
                <w:szCs w:val="18"/>
              </w:rPr>
              <w:t>1</w:t>
            </w:r>
            <w:r>
              <w:rPr>
                <w:rFonts w:ascii="宋体" w:eastAsiaTheme="minorEastAsia"/>
                <w:sz w:val="18"/>
                <w:szCs w:val="18"/>
              </w:rPr>
              <w:t>.5</w:t>
            </w:r>
          </w:p>
        </w:tc>
        <w:tc>
          <w:tcPr>
            <w:tcW w:w="492" w:type="pct"/>
            <w:vAlign w:val="center"/>
          </w:tcPr>
          <w:p w14:paraId="2672D0D1">
            <w:pPr>
              <w:numPr>
                <w:ilvl w:val="0"/>
                <w:numId w:val="0"/>
              </w:numPr>
              <w:ind w:left="0" w:firstLine="0"/>
              <w:jc w:val="center"/>
              <w:rPr>
                <w:rFonts w:ascii="宋体" w:eastAsiaTheme="minorEastAsia"/>
                <w:sz w:val="18"/>
                <w:szCs w:val="18"/>
              </w:rPr>
            </w:pPr>
            <w:r>
              <w:rPr>
                <w:rFonts w:hint="eastAsia" w:ascii="宋体" w:eastAsiaTheme="minorEastAsia"/>
                <w:sz w:val="18"/>
                <w:szCs w:val="18"/>
              </w:rPr>
              <w:t>1</w:t>
            </w:r>
            <w:r>
              <w:rPr>
                <w:rFonts w:ascii="宋体" w:eastAsiaTheme="minorEastAsia"/>
                <w:sz w:val="18"/>
                <w:szCs w:val="18"/>
              </w:rPr>
              <w:t>.5</w:t>
            </w:r>
          </w:p>
        </w:tc>
        <w:tc>
          <w:tcPr>
            <w:tcW w:w="492" w:type="pct"/>
            <w:vAlign w:val="center"/>
          </w:tcPr>
          <w:p w14:paraId="1DC1B972">
            <w:pPr>
              <w:numPr>
                <w:ilvl w:val="0"/>
                <w:numId w:val="0"/>
              </w:numPr>
              <w:ind w:left="0" w:firstLine="0"/>
              <w:jc w:val="center"/>
              <w:rPr>
                <w:rFonts w:ascii="宋体" w:eastAsiaTheme="minorEastAsia"/>
                <w:sz w:val="18"/>
                <w:szCs w:val="18"/>
              </w:rPr>
            </w:pPr>
            <w:r>
              <w:rPr>
                <w:rFonts w:hint="eastAsia" w:ascii="宋体" w:eastAsiaTheme="minorEastAsia"/>
                <w:sz w:val="18"/>
                <w:szCs w:val="18"/>
              </w:rPr>
              <w:t>1</w:t>
            </w:r>
            <w:r>
              <w:rPr>
                <w:rFonts w:ascii="宋体" w:eastAsiaTheme="minorEastAsia"/>
                <w:sz w:val="18"/>
                <w:szCs w:val="18"/>
              </w:rPr>
              <w:t>.5</w:t>
            </w:r>
          </w:p>
        </w:tc>
        <w:tc>
          <w:tcPr>
            <w:tcW w:w="410" w:type="pct"/>
            <w:vAlign w:val="center"/>
          </w:tcPr>
          <w:p w14:paraId="2BF403E3">
            <w:pPr>
              <w:numPr>
                <w:ilvl w:val="0"/>
                <w:numId w:val="0"/>
              </w:numPr>
              <w:ind w:left="0" w:firstLine="0"/>
              <w:jc w:val="center"/>
              <w:rPr>
                <w:rFonts w:ascii="宋体" w:eastAsiaTheme="minorEastAsia"/>
                <w:sz w:val="18"/>
                <w:szCs w:val="18"/>
              </w:rPr>
            </w:pPr>
            <w:r>
              <w:rPr>
                <w:rFonts w:hint="eastAsia" w:ascii="宋体" w:eastAsiaTheme="minorEastAsia"/>
                <w:sz w:val="18"/>
                <w:szCs w:val="18"/>
              </w:rPr>
              <w:t>1</w:t>
            </w:r>
            <w:r>
              <w:rPr>
                <w:rFonts w:ascii="宋体" w:eastAsiaTheme="minorEastAsia"/>
                <w:sz w:val="18"/>
                <w:szCs w:val="18"/>
              </w:rPr>
              <w:t>.5</w:t>
            </w:r>
          </w:p>
        </w:tc>
      </w:tr>
      <w:tr w14:paraId="1930E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4" w:type="pct"/>
            <w:vAlign w:val="center"/>
          </w:tcPr>
          <w:p w14:paraId="51F55024">
            <w:pPr>
              <w:numPr>
                <w:ilvl w:val="0"/>
                <w:numId w:val="0"/>
              </w:numPr>
              <w:ind w:left="0" w:firstLine="0"/>
              <w:jc w:val="center"/>
              <w:rPr>
                <w:rFonts w:ascii="宋体" w:eastAsiaTheme="minorEastAsia"/>
                <w:sz w:val="18"/>
                <w:szCs w:val="18"/>
              </w:rPr>
            </w:pPr>
            <w:r>
              <w:rPr>
                <w:rFonts w:ascii="宋体" w:eastAsiaTheme="minorEastAsia"/>
                <w:sz w:val="18"/>
                <w:szCs w:val="18"/>
              </w:rPr>
              <w:t>022Cr19Ni10</w:t>
            </w:r>
          </w:p>
        </w:tc>
        <w:tc>
          <w:tcPr>
            <w:tcW w:w="492" w:type="pct"/>
            <w:vAlign w:val="center"/>
          </w:tcPr>
          <w:p w14:paraId="4B106146">
            <w:pPr>
              <w:numPr>
                <w:ilvl w:val="0"/>
                <w:numId w:val="0"/>
              </w:numPr>
              <w:ind w:left="0" w:firstLine="0"/>
              <w:jc w:val="center"/>
              <w:rPr>
                <w:rFonts w:ascii="宋体" w:eastAsiaTheme="minorEastAsia"/>
                <w:sz w:val="18"/>
                <w:szCs w:val="18"/>
              </w:rPr>
            </w:pPr>
            <w:r>
              <w:rPr>
                <w:rFonts w:hint="eastAsia" w:ascii="宋体" w:eastAsiaTheme="minorEastAsia"/>
                <w:sz w:val="18"/>
                <w:szCs w:val="18"/>
              </w:rPr>
              <w:t>1</w:t>
            </w:r>
            <w:r>
              <w:rPr>
                <w:rFonts w:ascii="宋体" w:eastAsiaTheme="minorEastAsia"/>
                <w:sz w:val="18"/>
                <w:szCs w:val="18"/>
              </w:rPr>
              <w:t>.5</w:t>
            </w:r>
          </w:p>
        </w:tc>
        <w:tc>
          <w:tcPr>
            <w:tcW w:w="492" w:type="pct"/>
            <w:vAlign w:val="center"/>
          </w:tcPr>
          <w:p w14:paraId="4E709F5C">
            <w:pPr>
              <w:numPr>
                <w:ilvl w:val="0"/>
                <w:numId w:val="0"/>
              </w:numPr>
              <w:ind w:left="0" w:firstLine="0"/>
              <w:jc w:val="center"/>
              <w:rPr>
                <w:rFonts w:ascii="宋体" w:eastAsiaTheme="minorEastAsia"/>
                <w:sz w:val="18"/>
                <w:szCs w:val="18"/>
              </w:rPr>
            </w:pPr>
            <w:r>
              <w:rPr>
                <w:rFonts w:hint="eastAsia" w:ascii="宋体" w:eastAsiaTheme="minorEastAsia"/>
                <w:sz w:val="18"/>
                <w:szCs w:val="18"/>
              </w:rPr>
              <w:t>1</w:t>
            </w:r>
            <w:r>
              <w:rPr>
                <w:rFonts w:ascii="宋体" w:eastAsiaTheme="minorEastAsia"/>
                <w:sz w:val="18"/>
                <w:szCs w:val="18"/>
              </w:rPr>
              <w:t>.5</w:t>
            </w:r>
          </w:p>
        </w:tc>
        <w:tc>
          <w:tcPr>
            <w:tcW w:w="492" w:type="pct"/>
            <w:vAlign w:val="center"/>
          </w:tcPr>
          <w:p w14:paraId="519E5999">
            <w:pPr>
              <w:numPr>
                <w:ilvl w:val="0"/>
                <w:numId w:val="0"/>
              </w:numPr>
              <w:ind w:left="0" w:firstLine="0"/>
              <w:jc w:val="center"/>
              <w:rPr>
                <w:rFonts w:ascii="宋体" w:eastAsiaTheme="minorEastAsia"/>
                <w:sz w:val="18"/>
                <w:szCs w:val="18"/>
              </w:rPr>
            </w:pPr>
            <w:r>
              <w:rPr>
                <w:rFonts w:hint="eastAsia" w:ascii="宋体" w:eastAsiaTheme="minorEastAsia"/>
                <w:sz w:val="18"/>
                <w:szCs w:val="18"/>
              </w:rPr>
              <w:t>1</w:t>
            </w:r>
            <w:r>
              <w:rPr>
                <w:rFonts w:ascii="宋体" w:eastAsiaTheme="minorEastAsia"/>
                <w:sz w:val="18"/>
                <w:szCs w:val="18"/>
              </w:rPr>
              <w:t>.5</w:t>
            </w:r>
          </w:p>
        </w:tc>
        <w:tc>
          <w:tcPr>
            <w:tcW w:w="492" w:type="pct"/>
            <w:vAlign w:val="center"/>
          </w:tcPr>
          <w:p w14:paraId="42E01FDE">
            <w:pPr>
              <w:numPr>
                <w:ilvl w:val="0"/>
                <w:numId w:val="0"/>
              </w:numPr>
              <w:ind w:left="0" w:firstLine="0"/>
              <w:jc w:val="center"/>
              <w:rPr>
                <w:rFonts w:ascii="宋体" w:eastAsiaTheme="minorEastAsia"/>
                <w:sz w:val="18"/>
                <w:szCs w:val="18"/>
              </w:rPr>
            </w:pPr>
            <w:r>
              <w:rPr>
                <w:rFonts w:hint="eastAsia" w:ascii="宋体" w:eastAsiaTheme="minorEastAsia"/>
                <w:sz w:val="18"/>
                <w:szCs w:val="18"/>
              </w:rPr>
              <w:t>1</w:t>
            </w:r>
            <w:r>
              <w:rPr>
                <w:rFonts w:ascii="宋体" w:eastAsiaTheme="minorEastAsia"/>
                <w:sz w:val="18"/>
                <w:szCs w:val="18"/>
              </w:rPr>
              <w:t>.5</w:t>
            </w:r>
          </w:p>
        </w:tc>
        <w:tc>
          <w:tcPr>
            <w:tcW w:w="492" w:type="pct"/>
            <w:vAlign w:val="center"/>
          </w:tcPr>
          <w:p w14:paraId="2B3366F5">
            <w:pPr>
              <w:numPr>
                <w:ilvl w:val="0"/>
                <w:numId w:val="0"/>
              </w:numPr>
              <w:ind w:left="0" w:firstLine="0"/>
              <w:jc w:val="center"/>
              <w:rPr>
                <w:rFonts w:ascii="宋体" w:eastAsiaTheme="minorEastAsia"/>
                <w:sz w:val="18"/>
                <w:szCs w:val="18"/>
              </w:rPr>
            </w:pPr>
            <w:r>
              <w:rPr>
                <w:rFonts w:hint="eastAsia" w:ascii="宋体" w:eastAsiaTheme="minorEastAsia"/>
                <w:sz w:val="18"/>
                <w:szCs w:val="18"/>
              </w:rPr>
              <w:t>1</w:t>
            </w:r>
            <w:r>
              <w:rPr>
                <w:rFonts w:ascii="宋体" w:eastAsiaTheme="minorEastAsia"/>
                <w:sz w:val="18"/>
                <w:szCs w:val="18"/>
              </w:rPr>
              <w:t>.5</w:t>
            </w:r>
          </w:p>
        </w:tc>
        <w:tc>
          <w:tcPr>
            <w:tcW w:w="492" w:type="pct"/>
            <w:vAlign w:val="center"/>
          </w:tcPr>
          <w:p w14:paraId="6E01A0A4">
            <w:pPr>
              <w:numPr>
                <w:ilvl w:val="0"/>
                <w:numId w:val="0"/>
              </w:numPr>
              <w:ind w:left="0" w:firstLine="0"/>
              <w:jc w:val="center"/>
              <w:rPr>
                <w:rFonts w:ascii="宋体" w:eastAsiaTheme="minorEastAsia"/>
                <w:sz w:val="18"/>
                <w:szCs w:val="18"/>
              </w:rPr>
            </w:pPr>
            <w:r>
              <w:rPr>
                <w:rFonts w:hint="eastAsia" w:ascii="宋体" w:eastAsiaTheme="minorEastAsia"/>
                <w:sz w:val="18"/>
                <w:szCs w:val="18"/>
              </w:rPr>
              <w:t>1</w:t>
            </w:r>
            <w:r>
              <w:rPr>
                <w:rFonts w:ascii="宋体" w:eastAsiaTheme="minorEastAsia"/>
                <w:sz w:val="18"/>
                <w:szCs w:val="18"/>
              </w:rPr>
              <w:t>.5</w:t>
            </w:r>
          </w:p>
        </w:tc>
        <w:tc>
          <w:tcPr>
            <w:tcW w:w="492" w:type="pct"/>
            <w:vAlign w:val="center"/>
          </w:tcPr>
          <w:p w14:paraId="4F7C9309">
            <w:pPr>
              <w:numPr>
                <w:ilvl w:val="0"/>
                <w:numId w:val="0"/>
              </w:numPr>
              <w:ind w:left="0" w:firstLine="0"/>
              <w:jc w:val="center"/>
              <w:rPr>
                <w:rFonts w:ascii="宋体" w:eastAsiaTheme="minorEastAsia"/>
                <w:sz w:val="18"/>
                <w:szCs w:val="18"/>
              </w:rPr>
            </w:pPr>
            <w:r>
              <w:rPr>
                <w:rFonts w:hint="eastAsia" w:ascii="宋体" w:eastAsiaTheme="minorEastAsia"/>
                <w:sz w:val="18"/>
                <w:szCs w:val="18"/>
              </w:rPr>
              <w:t>1</w:t>
            </w:r>
            <w:r>
              <w:rPr>
                <w:rFonts w:ascii="宋体" w:eastAsiaTheme="minorEastAsia"/>
                <w:sz w:val="18"/>
                <w:szCs w:val="18"/>
              </w:rPr>
              <w:t>.5</w:t>
            </w:r>
          </w:p>
        </w:tc>
        <w:tc>
          <w:tcPr>
            <w:tcW w:w="492" w:type="pct"/>
            <w:vAlign w:val="center"/>
          </w:tcPr>
          <w:p w14:paraId="7921A9FD">
            <w:pPr>
              <w:numPr>
                <w:ilvl w:val="0"/>
                <w:numId w:val="0"/>
              </w:numPr>
              <w:ind w:left="0" w:firstLine="0"/>
              <w:jc w:val="center"/>
              <w:rPr>
                <w:rFonts w:ascii="宋体" w:eastAsiaTheme="minorEastAsia"/>
                <w:sz w:val="18"/>
                <w:szCs w:val="18"/>
              </w:rPr>
            </w:pPr>
            <w:r>
              <w:rPr>
                <w:rFonts w:hint="eastAsia" w:ascii="宋体" w:eastAsiaTheme="minorEastAsia"/>
                <w:sz w:val="18"/>
                <w:szCs w:val="18"/>
              </w:rPr>
              <w:t>1</w:t>
            </w:r>
            <w:r>
              <w:rPr>
                <w:rFonts w:ascii="宋体" w:eastAsiaTheme="minorEastAsia"/>
                <w:sz w:val="18"/>
                <w:szCs w:val="18"/>
              </w:rPr>
              <w:t>.5</w:t>
            </w:r>
          </w:p>
        </w:tc>
        <w:tc>
          <w:tcPr>
            <w:tcW w:w="410" w:type="pct"/>
            <w:vAlign w:val="center"/>
          </w:tcPr>
          <w:p w14:paraId="1B835A6E">
            <w:pPr>
              <w:numPr>
                <w:ilvl w:val="0"/>
                <w:numId w:val="0"/>
              </w:numPr>
              <w:ind w:left="0" w:firstLine="0"/>
              <w:jc w:val="center"/>
              <w:rPr>
                <w:rFonts w:ascii="宋体" w:eastAsiaTheme="minorEastAsia"/>
                <w:sz w:val="18"/>
                <w:szCs w:val="18"/>
              </w:rPr>
            </w:pPr>
            <w:r>
              <w:rPr>
                <w:rFonts w:hint="eastAsia" w:ascii="宋体" w:eastAsiaTheme="minorEastAsia"/>
                <w:sz w:val="18"/>
                <w:szCs w:val="18"/>
              </w:rPr>
              <w:t>1</w:t>
            </w:r>
            <w:r>
              <w:rPr>
                <w:rFonts w:ascii="宋体" w:eastAsiaTheme="minorEastAsia"/>
                <w:sz w:val="18"/>
                <w:szCs w:val="18"/>
              </w:rPr>
              <w:t>.5</w:t>
            </w:r>
          </w:p>
        </w:tc>
      </w:tr>
      <w:bookmarkEnd w:id="25"/>
    </w:tbl>
    <w:p w14:paraId="048748E1">
      <w:pPr>
        <w:pStyle w:val="47"/>
        <w:spacing w:before="156" w:after="156"/>
        <w:ind w:left="0"/>
        <w:rPr>
          <w:rFonts w:ascii="Times New Roman"/>
        </w:rPr>
      </w:pPr>
      <w:bookmarkStart w:id="26" w:name="_Hlk167051389"/>
      <w:r>
        <w:rPr>
          <w:rFonts w:ascii="Times New Roman"/>
        </w:rPr>
        <w:t>晶粒度</w:t>
      </w:r>
      <w:r>
        <w:rPr>
          <w:rFonts w:hint="eastAsia" w:ascii="Times New Roman"/>
        </w:rPr>
        <w:t>.</w:t>
      </w:r>
    </w:p>
    <w:p w14:paraId="04F43980">
      <w:pPr>
        <w:pStyle w:val="50"/>
        <w:numPr>
          <w:ilvl w:val="0"/>
          <w:numId w:val="0"/>
        </w:numPr>
        <w:spacing w:before="156" w:after="156"/>
        <w:ind w:firstLine="420" w:firstLineChars="200"/>
        <w:jc w:val="both"/>
        <w:rPr>
          <w:rFonts w:ascii="Times New Roman" w:eastAsia="宋体"/>
        </w:rPr>
      </w:pPr>
      <w:r>
        <w:rPr>
          <w:rFonts w:hint="eastAsia" w:ascii="Times New Roman" w:eastAsia="宋体"/>
          <w:lang w:eastAsia="zh-CN"/>
        </w:rPr>
        <w:t>银亮钢</w:t>
      </w:r>
      <w:r>
        <w:rPr>
          <w:rFonts w:ascii="Times New Roman" w:eastAsia="宋体"/>
        </w:rPr>
        <w:t>交货状态的实际晶粒度</w:t>
      </w:r>
      <w:r>
        <w:rPr>
          <w:rFonts w:hint="eastAsia" w:ascii="Times New Roman" w:eastAsia="宋体"/>
        </w:rPr>
        <w:t>级别应为</w:t>
      </w:r>
      <w:r>
        <w:rPr>
          <w:rFonts w:ascii="Times New Roman" w:eastAsia="宋体"/>
        </w:rPr>
        <w:t>7</w:t>
      </w:r>
      <w:r>
        <w:rPr>
          <w:rFonts w:hint="eastAsia" w:ascii="Times New Roman" w:eastAsia="宋体"/>
        </w:rPr>
        <w:t>级或更细，晶粒不均匀极差小于或等于3级。</w:t>
      </w:r>
    </w:p>
    <w:bookmarkEnd w:id="26"/>
    <w:p w14:paraId="11081D7C">
      <w:pPr>
        <w:pStyle w:val="47"/>
        <w:spacing w:before="156" w:after="156"/>
        <w:ind w:left="0"/>
        <w:rPr>
          <w:rFonts w:ascii="Times New Roman"/>
        </w:rPr>
      </w:pPr>
      <w:r>
        <w:rPr>
          <w:rFonts w:ascii="Times New Roman"/>
        </w:rPr>
        <w:t>显微组织</w:t>
      </w:r>
    </w:p>
    <w:p w14:paraId="7F5FE30D">
      <w:pPr>
        <w:pStyle w:val="22"/>
        <w:rPr>
          <w:rFonts w:ascii="Times New Roman"/>
        </w:rPr>
      </w:pPr>
      <w:r>
        <w:rPr>
          <w:rFonts w:ascii="Times New Roman"/>
        </w:rPr>
        <w:t>固溶空冷不允许出现1000倍下可见的Cr23C6，不允许有马氏体，σ相析出，TiC的最大单晶＜10um，铁素体含量≤1%（固溶后）。在使用非含氮气氛固溶时，不得有氮化物析出。</w:t>
      </w:r>
    </w:p>
    <w:p w14:paraId="1C967517">
      <w:pPr>
        <w:pStyle w:val="47"/>
        <w:spacing w:before="156" w:after="156"/>
        <w:ind w:left="0"/>
        <w:rPr>
          <w:rFonts w:ascii="Times New Roman"/>
        </w:rPr>
      </w:pPr>
      <w:r>
        <w:rPr>
          <w:rFonts w:ascii="Times New Roman"/>
        </w:rPr>
        <w:t>无损探伤</w:t>
      </w:r>
    </w:p>
    <w:p w14:paraId="5316C780">
      <w:pPr>
        <w:pStyle w:val="50"/>
        <w:spacing w:before="156" w:after="156"/>
        <w:jc w:val="both"/>
        <w:rPr>
          <w:rFonts w:ascii="Times New Roman" w:eastAsia="宋体"/>
        </w:rPr>
      </w:pPr>
      <w:r>
        <w:rPr>
          <w:rFonts w:hint="eastAsia" w:ascii="Times New Roman" w:eastAsia="宋体"/>
          <w:lang w:eastAsia="zh-CN"/>
        </w:rPr>
        <w:t>银亮钢</w:t>
      </w:r>
      <w:r>
        <w:rPr>
          <w:rFonts w:ascii="Times New Roman" w:eastAsia="宋体"/>
        </w:rPr>
        <w:t>应按GB/T 11260规定的方法进行涡流探伤。人工缺陷按照槽尺寸质量等级3级（槽深为0.10mm）或由供需双方在合同中约定。</w:t>
      </w:r>
    </w:p>
    <w:p w14:paraId="2BF052AB">
      <w:pPr>
        <w:pStyle w:val="50"/>
        <w:spacing w:before="156" w:after="156"/>
        <w:jc w:val="both"/>
        <w:rPr>
          <w:rFonts w:ascii="Times New Roman" w:eastAsia="宋体"/>
        </w:rPr>
      </w:pPr>
      <w:r>
        <w:rPr>
          <w:rFonts w:hint="eastAsia" w:ascii="Times New Roman" w:eastAsia="宋体"/>
          <w:lang w:eastAsia="zh-CN"/>
        </w:rPr>
        <w:t>银亮钢</w:t>
      </w:r>
      <w:r>
        <w:rPr>
          <w:rFonts w:ascii="Times New Roman" w:eastAsia="宋体"/>
        </w:rPr>
        <w:t>应按GB/T 8361规定的方法进行超声波探伤。对比试样的人工缺陷尺寸为A级或由供需双方在合同中约定。</w:t>
      </w:r>
    </w:p>
    <w:p w14:paraId="3DA02371">
      <w:pPr>
        <w:pStyle w:val="47"/>
        <w:spacing w:before="156" w:after="156"/>
        <w:ind w:left="0"/>
        <w:rPr>
          <w:rFonts w:ascii="Times New Roman"/>
        </w:rPr>
      </w:pPr>
      <w:r>
        <w:rPr>
          <w:rFonts w:ascii="Times New Roman"/>
        </w:rPr>
        <w:t>耐腐蚀性能</w:t>
      </w:r>
    </w:p>
    <w:p w14:paraId="437C7E2B">
      <w:pPr>
        <w:pStyle w:val="22"/>
        <w:rPr>
          <w:rFonts w:ascii="Times New Roman"/>
        </w:rPr>
      </w:pPr>
      <w:r>
        <w:rPr>
          <w:rFonts w:ascii="Times New Roman"/>
        </w:rPr>
        <w:t>原材料取20-25mm厚度样品固溶空冷后进行晶间腐蚀测试，采用GB/T 4334</w:t>
      </w:r>
      <w:r>
        <w:rPr>
          <w:rFonts w:hint="eastAsia" w:ascii="Times New Roman"/>
          <w:lang w:val="en-US" w:eastAsia="zh-CN"/>
        </w:rPr>
        <w:t>中</w:t>
      </w:r>
      <w:r>
        <w:rPr>
          <w:rFonts w:ascii="Times New Roman"/>
        </w:rPr>
        <w:t>A法，10%草酸浸蚀试验进行筛选，一类组织合格。</w:t>
      </w:r>
    </w:p>
    <w:p w14:paraId="1A01027A">
      <w:pPr>
        <w:pStyle w:val="47"/>
        <w:spacing w:before="156" w:after="156"/>
        <w:ind w:left="0"/>
        <w:rPr>
          <w:rFonts w:ascii="Times New Roman"/>
        </w:rPr>
      </w:pPr>
      <w:r>
        <w:rPr>
          <w:rFonts w:ascii="Times New Roman"/>
        </w:rPr>
        <w:t>断口检验</w:t>
      </w:r>
    </w:p>
    <w:p w14:paraId="33C8C768">
      <w:pPr>
        <w:pStyle w:val="22"/>
        <w:rPr>
          <w:rFonts w:ascii="Times New Roman"/>
        </w:rPr>
      </w:pPr>
      <w:r>
        <w:rPr>
          <w:rFonts w:ascii="Times New Roman"/>
        </w:rPr>
        <w:t>按GB/T 1814进行断口试验。不允许断口截面有白点、层状断裂、内裂、过热和过烧。供方能保证钢材断口试验合格，可不进行试验，质量保证书中填写断口试验“合格”。</w:t>
      </w:r>
    </w:p>
    <w:p w14:paraId="3896A664">
      <w:pPr>
        <w:pStyle w:val="47"/>
        <w:spacing w:before="156" w:after="156"/>
        <w:ind w:left="0"/>
        <w:rPr>
          <w:rFonts w:ascii="Times New Roman"/>
        </w:rPr>
      </w:pPr>
      <w:bookmarkStart w:id="27" w:name="_Hlk167051397"/>
      <w:r>
        <w:rPr>
          <w:rFonts w:ascii="Times New Roman"/>
        </w:rPr>
        <w:t>表面质量</w:t>
      </w:r>
    </w:p>
    <w:p w14:paraId="067A1A5B">
      <w:pPr>
        <w:pStyle w:val="50"/>
        <w:spacing w:before="156" w:after="156"/>
      </w:pPr>
      <w:r>
        <w:rPr>
          <w:rFonts w:hint="eastAsia" w:ascii="Times New Roman" w:eastAsia="宋体"/>
          <w:lang w:eastAsia="zh-CN"/>
        </w:rPr>
        <w:t>银亮钢</w:t>
      </w:r>
      <w:r>
        <w:rPr>
          <w:rFonts w:hint="eastAsia" w:ascii="Times New Roman" w:eastAsia="宋体"/>
        </w:rPr>
        <w:t>的表面应洁净、光滑，不得有裂纹、发纹、折迭、刮痕、凹面、结疤、锈蚀和氧化皮等外部缺陷存在。清除深度从钢材实际尺寸算起应符合表6规定，清除宽度大于或等于清除深度的5倍，同一截面达到最大清除深度不得多于1处。允许有深度不超过公差之半的个别轻微划痕、矫直和剥皮的螺旋纹存在，经热处理后的银亮钢允许有氧化色存在</w:t>
      </w:r>
      <w:r>
        <w:t>。</w:t>
      </w:r>
    </w:p>
    <w:bookmarkEnd w:id="27"/>
    <w:p w14:paraId="1551C83D">
      <w:pPr>
        <w:pStyle w:val="77"/>
      </w:pPr>
      <w:r>
        <w:rPr>
          <w:rFonts w:hint="eastAsia"/>
        </w:rPr>
        <w:t>表面允许清除深度</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5"/>
      </w:tblGrid>
      <w:tr w14:paraId="4D2AE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00" w:type="pct"/>
          </w:tcPr>
          <w:p w14:paraId="7D7B81F5">
            <w:pPr>
              <w:jc w:val="center"/>
              <w:rPr>
                <w:rFonts w:eastAsiaTheme="minorEastAsia"/>
                <w:sz w:val="18"/>
                <w:szCs w:val="18"/>
              </w:rPr>
            </w:pPr>
            <w:r>
              <w:rPr>
                <w:rFonts w:hint="eastAsia" w:eastAsiaTheme="minorEastAsia"/>
                <w:sz w:val="18"/>
                <w:szCs w:val="18"/>
              </w:rPr>
              <w:t>钢材尺寸，mm</w:t>
            </w:r>
          </w:p>
        </w:tc>
        <w:tc>
          <w:tcPr>
            <w:tcW w:w="2500" w:type="pct"/>
          </w:tcPr>
          <w:p w14:paraId="06357DE2">
            <w:pPr>
              <w:jc w:val="center"/>
              <w:rPr>
                <w:rFonts w:eastAsiaTheme="minorEastAsia"/>
                <w:sz w:val="18"/>
                <w:szCs w:val="18"/>
              </w:rPr>
            </w:pPr>
            <w:r>
              <w:rPr>
                <w:rFonts w:hint="eastAsia" w:eastAsiaTheme="minorEastAsia"/>
                <w:sz w:val="18"/>
                <w:szCs w:val="18"/>
              </w:rPr>
              <w:t>同一截面允许清除深度</w:t>
            </w:r>
          </w:p>
        </w:tc>
      </w:tr>
      <w:tr w14:paraId="25E53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00" w:type="pct"/>
          </w:tcPr>
          <w:p w14:paraId="02E7A7F2">
            <w:pPr>
              <w:jc w:val="center"/>
              <w:rPr>
                <w:rFonts w:eastAsiaTheme="minorEastAsia"/>
                <w:sz w:val="18"/>
                <w:szCs w:val="18"/>
              </w:rPr>
            </w:pPr>
            <w:r>
              <w:rPr>
                <w:rFonts w:hint="eastAsia" w:eastAsiaTheme="minorEastAsia"/>
                <w:sz w:val="18"/>
                <w:szCs w:val="18"/>
              </w:rPr>
              <w:t>141~180</w:t>
            </w:r>
          </w:p>
        </w:tc>
        <w:tc>
          <w:tcPr>
            <w:tcW w:w="2500" w:type="pct"/>
          </w:tcPr>
          <w:p w14:paraId="0C22961B">
            <w:pPr>
              <w:jc w:val="center"/>
              <w:rPr>
                <w:rFonts w:eastAsiaTheme="minorEastAsia"/>
                <w:sz w:val="18"/>
                <w:szCs w:val="18"/>
              </w:rPr>
            </w:pPr>
            <w:r>
              <w:rPr>
                <w:rFonts w:hint="eastAsia" w:eastAsiaTheme="minorEastAsia"/>
                <w:sz w:val="18"/>
                <w:szCs w:val="18"/>
              </w:rPr>
              <w:t>钢材尺寸的5%</w:t>
            </w:r>
          </w:p>
        </w:tc>
      </w:tr>
      <w:tr w14:paraId="480FB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00" w:type="pct"/>
          </w:tcPr>
          <w:p w14:paraId="666A2250">
            <w:pPr>
              <w:jc w:val="center"/>
              <w:rPr>
                <w:rFonts w:eastAsiaTheme="minorEastAsia"/>
                <w:sz w:val="18"/>
                <w:szCs w:val="18"/>
              </w:rPr>
            </w:pPr>
            <w:r>
              <w:rPr>
                <w:rFonts w:hint="eastAsia" w:eastAsiaTheme="minorEastAsia"/>
                <w:sz w:val="18"/>
                <w:szCs w:val="18"/>
              </w:rPr>
              <w:t>80~140</w:t>
            </w:r>
          </w:p>
        </w:tc>
        <w:tc>
          <w:tcPr>
            <w:tcW w:w="2500" w:type="pct"/>
          </w:tcPr>
          <w:p w14:paraId="10B342A0">
            <w:pPr>
              <w:jc w:val="center"/>
              <w:rPr>
                <w:rFonts w:eastAsiaTheme="minorEastAsia"/>
                <w:sz w:val="18"/>
                <w:szCs w:val="18"/>
              </w:rPr>
            </w:pPr>
            <w:r>
              <w:rPr>
                <w:rFonts w:hint="eastAsia" w:eastAsiaTheme="minorEastAsia"/>
                <w:sz w:val="18"/>
                <w:szCs w:val="18"/>
              </w:rPr>
              <w:t>钢材尺寸公差</w:t>
            </w:r>
          </w:p>
        </w:tc>
      </w:tr>
      <w:tr w14:paraId="719CF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00" w:type="pct"/>
          </w:tcPr>
          <w:p w14:paraId="1D04E074">
            <w:pPr>
              <w:jc w:val="center"/>
              <w:rPr>
                <w:rFonts w:eastAsiaTheme="minorEastAsia"/>
                <w:sz w:val="18"/>
                <w:szCs w:val="18"/>
              </w:rPr>
            </w:pPr>
            <w:r>
              <w:rPr>
                <w:rFonts w:hint="eastAsia" w:eastAsiaTheme="minorEastAsia"/>
                <w:sz w:val="18"/>
                <w:szCs w:val="18"/>
              </w:rPr>
              <w:t>＜80</w:t>
            </w:r>
          </w:p>
        </w:tc>
        <w:tc>
          <w:tcPr>
            <w:tcW w:w="2500" w:type="pct"/>
          </w:tcPr>
          <w:p w14:paraId="5F238B1F">
            <w:pPr>
              <w:jc w:val="center"/>
              <w:rPr>
                <w:rFonts w:eastAsiaTheme="minorEastAsia"/>
                <w:sz w:val="18"/>
                <w:szCs w:val="18"/>
              </w:rPr>
            </w:pPr>
            <w:r>
              <w:rPr>
                <w:rFonts w:hint="eastAsia" w:eastAsiaTheme="minorEastAsia"/>
                <w:sz w:val="18"/>
                <w:szCs w:val="18"/>
              </w:rPr>
              <w:t>钢材尺寸公差的1/2</w:t>
            </w:r>
          </w:p>
        </w:tc>
      </w:tr>
    </w:tbl>
    <w:p w14:paraId="2E54428D">
      <w:pPr>
        <w:pStyle w:val="50"/>
        <w:spacing w:before="156" w:after="156"/>
        <w:jc w:val="both"/>
        <w:rPr>
          <w:rFonts w:ascii="Times New Roman" w:eastAsia="宋体"/>
        </w:rPr>
      </w:pPr>
      <w:r>
        <w:rPr>
          <w:rFonts w:hint="eastAsia" w:ascii="Times New Roman" w:eastAsia="宋体"/>
        </w:rPr>
        <w:t>银亮钢的表面粗糙度应符合表</w:t>
      </w:r>
      <w:r>
        <w:rPr>
          <w:rFonts w:ascii="Times New Roman" w:eastAsia="宋体"/>
        </w:rPr>
        <w:t>7</w:t>
      </w:r>
      <w:r>
        <w:rPr>
          <w:rFonts w:hint="eastAsia" w:ascii="Times New Roman" w:eastAsia="宋体"/>
        </w:rPr>
        <w:t>规定</w:t>
      </w:r>
      <w:r>
        <w:rPr>
          <w:rFonts w:ascii="Times New Roman" w:eastAsia="宋体"/>
        </w:rPr>
        <w:t>。</w:t>
      </w:r>
      <w:r>
        <w:rPr>
          <w:rFonts w:hint="eastAsia" w:ascii="Times New Roman" w:eastAsia="宋体"/>
        </w:rPr>
        <w:t>供方若能保证粗糙度合格，可不进行检验。</w:t>
      </w:r>
    </w:p>
    <w:p w14:paraId="7189E1E1">
      <w:pPr>
        <w:pStyle w:val="50"/>
        <w:spacing w:before="156" w:after="156"/>
        <w:jc w:val="both"/>
        <w:rPr>
          <w:rFonts w:ascii="Times New Roman" w:eastAsia="宋体"/>
        </w:rPr>
      </w:pPr>
      <w:r>
        <w:rPr>
          <w:rFonts w:ascii="Times New Roman" w:eastAsia="宋体"/>
        </w:rPr>
        <w:t>需方有特殊要求时，经供需双方协商并在合同注明，可按具体要求执行。</w:t>
      </w:r>
    </w:p>
    <w:p w14:paraId="51AB5997">
      <w:pPr>
        <w:pStyle w:val="77"/>
      </w:pPr>
      <w:r>
        <w:rPr>
          <w:rFonts w:hint="eastAsia"/>
        </w:rPr>
        <w:t>表面粗糙度</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0"/>
        <w:gridCol w:w="5120"/>
      </w:tblGrid>
      <w:tr w14:paraId="39444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25" w:type="pct"/>
          </w:tcPr>
          <w:p w14:paraId="3598E294">
            <w:pPr>
              <w:numPr>
                <w:ilvl w:val="0"/>
                <w:numId w:val="0"/>
              </w:numPr>
              <w:ind w:left="544" w:hanging="181"/>
              <w:jc w:val="center"/>
              <w:rPr>
                <w:rFonts w:ascii="宋体" w:eastAsiaTheme="minorEastAsia"/>
                <w:sz w:val="18"/>
                <w:szCs w:val="18"/>
              </w:rPr>
            </w:pPr>
            <w:r>
              <w:rPr>
                <w:rFonts w:hint="eastAsia" w:ascii="宋体" w:eastAsiaTheme="minorEastAsia"/>
                <w:sz w:val="18"/>
                <w:szCs w:val="18"/>
              </w:rPr>
              <w:t>类别</w:t>
            </w:r>
          </w:p>
        </w:tc>
        <w:tc>
          <w:tcPr>
            <w:tcW w:w="2675" w:type="pct"/>
          </w:tcPr>
          <w:p w14:paraId="453910BF">
            <w:pPr>
              <w:numPr>
                <w:ilvl w:val="0"/>
                <w:numId w:val="0"/>
              </w:numPr>
              <w:ind w:left="544" w:hanging="181"/>
              <w:jc w:val="center"/>
              <w:rPr>
                <w:rFonts w:ascii="宋体" w:eastAsiaTheme="minorEastAsia"/>
                <w:sz w:val="18"/>
                <w:szCs w:val="18"/>
              </w:rPr>
            </w:pPr>
            <w:r>
              <w:rPr>
                <w:rFonts w:hint="eastAsia" w:ascii="宋体" w:eastAsiaTheme="minorEastAsia"/>
                <w:sz w:val="18"/>
                <w:szCs w:val="18"/>
              </w:rPr>
              <w:t>粗糙度 Ra/μm</w:t>
            </w:r>
          </w:p>
        </w:tc>
      </w:tr>
      <w:tr w14:paraId="5600D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25" w:type="pct"/>
            <w:shd w:val="clear" w:color="auto" w:fill="auto"/>
          </w:tcPr>
          <w:p w14:paraId="0B414D2D">
            <w:pPr>
              <w:numPr>
                <w:ilvl w:val="0"/>
                <w:numId w:val="0"/>
              </w:numPr>
              <w:ind w:left="544" w:hanging="181"/>
              <w:jc w:val="center"/>
              <w:rPr>
                <w:rFonts w:ascii="宋体" w:eastAsiaTheme="minorEastAsia"/>
                <w:sz w:val="18"/>
                <w:szCs w:val="18"/>
              </w:rPr>
            </w:pPr>
            <w:r>
              <w:rPr>
                <w:rFonts w:hint="eastAsia" w:ascii="宋体" w:eastAsiaTheme="minorEastAsia"/>
                <w:sz w:val="18"/>
                <w:szCs w:val="18"/>
              </w:rPr>
              <w:t>剥皮材，SF</w:t>
            </w:r>
          </w:p>
        </w:tc>
        <w:tc>
          <w:tcPr>
            <w:tcW w:w="2675" w:type="pct"/>
            <w:shd w:val="clear" w:color="auto" w:fill="auto"/>
          </w:tcPr>
          <w:p w14:paraId="633A7E01">
            <w:pPr>
              <w:numPr>
                <w:ilvl w:val="0"/>
                <w:numId w:val="0"/>
              </w:numPr>
              <w:ind w:left="544" w:hanging="181"/>
              <w:jc w:val="center"/>
              <w:rPr>
                <w:rFonts w:ascii="宋体" w:eastAsiaTheme="minorEastAsia"/>
                <w:sz w:val="18"/>
                <w:szCs w:val="18"/>
              </w:rPr>
            </w:pPr>
            <w:r>
              <w:rPr>
                <w:rFonts w:hint="eastAsia" w:ascii="宋体" w:eastAsiaTheme="minorEastAsia"/>
                <w:sz w:val="18"/>
                <w:szCs w:val="18"/>
              </w:rPr>
              <w:t>≤3.0</w:t>
            </w:r>
          </w:p>
        </w:tc>
      </w:tr>
      <w:tr w14:paraId="50B7C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25" w:type="pct"/>
            <w:shd w:val="clear" w:color="auto" w:fill="auto"/>
          </w:tcPr>
          <w:p w14:paraId="7867178C">
            <w:pPr>
              <w:numPr>
                <w:ilvl w:val="0"/>
                <w:numId w:val="0"/>
              </w:numPr>
              <w:ind w:left="544" w:hanging="181"/>
              <w:jc w:val="center"/>
              <w:rPr>
                <w:rFonts w:ascii="宋体" w:eastAsiaTheme="minorEastAsia"/>
                <w:sz w:val="18"/>
                <w:szCs w:val="18"/>
              </w:rPr>
            </w:pPr>
            <w:r>
              <w:rPr>
                <w:rFonts w:hint="eastAsia" w:ascii="宋体" w:eastAsiaTheme="minorEastAsia"/>
                <w:sz w:val="18"/>
                <w:szCs w:val="18"/>
              </w:rPr>
              <w:t>磨光材，SP</w:t>
            </w:r>
          </w:p>
        </w:tc>
        <w:tc>
          <w:tcPr>
            <w:tcW w:w="2675" w:type="pct"/>
            <w:shd w:val="clear" w:color="auto" w:fill="auto"/>
          </w:tcPr>
          <w:p w14:paraId="25FF5DA2">
            <w:pPr>
              <w:numPr>
                <w:ilvl w:val="0"/>
                <w:numId w:val="0"/>
              </w:numPr>
              <w:ind w:left="544" w:hanging="181"/>
              <w:jc w:val="center"/>
              <w:rPr>
                <w:rFonts w:ascii="宋体" w:eastAsiaTheme="minorEastAsia"/>
                <w:sz w:val="18"/>
                <w:szCs w:val="18"/>
              </w:rPr>
            </w:pPr>
            <w:r>
              <w:rPr>
                <w:rFonts w:hint="eastAsia" w:ascii="宋体" w:eastAsiaTheme="minorEastAsia"/>
                <w:sz w:val="18"/>
                <w:szCs w:val="18"/>
              </w:rPr>
              <w:t>≤5.0</w:t>
            </w:r>
          </w:p>
        </w:tc>
      </w:tr>
      <w:tr w14:paraId="48DEF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25" w:type="pct"/>
            <w:shd w:val="clear" w:color="auto" w:fill="auto"/>
          </w:tcPr>
          <w:p w14:paraId="3590B665">
            <w:pPr>
              <w:numPr>
                <w:ilvl w:val="0"/>
                <w:numId w:val="0"/>
              </w:numPr>
              <w:ind w:left="544" w:hanging="181"/>
              <w:jc w:val="center"/>
              <w:rPr>
                <w:rFonts w:ascii="宋体" w:eastAsiaTheme="minorEastAsia"/>
                <w:sz w:val="18"/>
                <w:szCs w:val="18"/>
              </w:rPr>
            </w:pPr>
            <w:r>
              <w:rPr>
                <w:rFonts w:hint="eastAsia" w:ascii="宋体" w:eastAsiaTheme="minorEastAsia"/>
                <w:sz w:val="18"/>
                <w:szCs w:val="18"/>
              </w:rPr>
              <w:t>抛光材，SB</w:t>
            </w:r>
          </w:p>
        </w:tc>
        <w:tc>
          <w:tcPr>
            <w:tcW w:w="2675" w:type="pct"/>
            <w:shd w:val="clear" w:color="auto" w:fill="auto"/>
          </w:tcPr>
          <w:p w14:paraId="0BB20E65">
            <w:pPr>
              <w:numPr>
                <w:ilvl w:val="0"/>
                <w:numId w:val="0"/>
              </w:numPr>
              <w:ind w:left="544" w:hanging="181"/>
              <w:jc w:val="center"/>
              <w:rPr>
                <w:rFonts w:ascii="宋体" w:eastAsiaTheme="minorEastAsia"/>
                <w:sz w:val="18"/>
                <w:szCs w:val="18"/>
              </w:rPr>
            </w:pPr>
            <w:r>
              <w:rPr>
                <w:rFonts w:hint="eastAsia" w:ascii="宋体" w:eastAsiaTheme="minorEastAsia"/>
                <w:sz w:val="18"/>
                <w:szCs w:val="18"/>
              </w:rPr>
              <w:t>≤0.6</w:t>
            </w:r>
          </w:p>
        </w:tc>
      </w:tr>
    </w:tbl>
    <w:p w14:paraId="2D2AC75E">
      <w:pPr>
        <w:pStyle w:val="47"/>
        <w:spacing w:before="156" w:after="156"/>
        <w:ind w:left="0"/>
        <w:rPr>
          <w:rFonts w:ascii="Times New Roman"/>
        </w:rPr>
      </w:pPr>
      <w:r>
        <w:rPr>
          <w:rFonts w:ascii="Times New Roman"/>
        </w:rPr>
        <w:t>尺寸、外形、重量及允许偏差</w:t>
      </w:r>
    </w:p>
    <w:p w14:paraId="5D2F3F68">
      <w:pPr>
        <w:pStyle w:val="50"/>
        <w:spacing w:before="156" w:after="156"/>
      </w:pPr>
      <w:r>
        <w:t>尺寸及允许偏差</w:t>
      </w:r>
    </w:p>
    <w:p w14:paraId="78A065F3">
      <w:pPr>
        <w:pStyle w:val="22"/>
        <w:rPr>
          <w:rFonts w:ascii="Times New Roman"/>
        </w:rPr>
      </w:pPr>
      <w:r>
        <w:rPr>
          <w:rFonts w:hint="eastAsia" w:ascii="Times New Roman"/>
        </w:rPr>
        <w:t>直径不大于8</w:t>
      </w:r>
      <w:r>
        <w:rPr>
          <w:rFonts w:ascii="Times New Roman"/>
        </w:rPr>
        <w:t>0mm</w:t>
      </w:r>
      <w:r>
        <w:rPr>
          <w:rFonts w:hint="eastAsia" w:ascii="Times New Roman"/>
        </w:rPr>
        <w:t>的</w:t>
      </w:r>
      <w:r>
        <w:rPr>
          <w:rFonts w:ascii="Times New Roman"/>
        </w:rPr>
        <w:t>银亮钢棒的直径及允许偏差应符合GB/T 3207-2008中第11级的规定。</w:t>
      </w:r>
      <w:r>
        <w:rPr>
          <w:rFonts w:hint="eastAsia" w:ascii="Times New Roman"/>
        </w:rPr>
        <w:t>直径大于8</w:t>
      </w:r>
      <w:r>
        <w:rPr>
          <w:rFonts w:ascii="Times New Roman"/>
        </w:rPr>
        <w:t>0mm</w:t>
      </w:r>
      <w:r>
        <w:rPr>
          <w:rFonts w:hint="eastAsia" w:ascii="Times New Roman"/>
        </w:rPr>
        <w:t>的</w:t>
      </w:r>
      <w:r>
        <w:rPr>
          <w:rFonts w:ascii="Times New Roman"/>
        </w:rPr>
        <w:t>银亮钢棒的直径及允许偏差应符合GB/T 3207-2008中第12级的规定。经供需双方协商，并在合同中注明，钢材的直径及允许偏差也可以按其他技术要求交货。</w:t>
      </w:r>
    </w:p>
    <w:p w14:paraId="3C740E11">
      <w:pPr>
        <w:pStyle w:val="50"/>
        <w:spacing w:before="156" w:after="156"/>
      </w:pPr>
      <w:r>
        <w:t>长度及允许偏差</w:t>
      </w:r>
    </w:p>
    <w:p w14:paraId="4B4C8681">
      <w:pPr>
        <w:pStyle w:val="50"/>
        <w:numPr>
          <w:ilvl w:val="3"/>
          <w:numId w:val="2"/>
        </w:numPr>
        <w:spacing w:before="156" w:after="156"/>
      </w:pPr>
      <w:r>
        <w:rPr>
          <w:rFonts w:hint="eastAsia" w:ascii="Times New Roman" w:eastAsia="宋体"/>
        </w:rPr>
        <w:t>圆钢长度一般应为8m，允许有短尺但不小于4m。短尺交货量不得超过该批总重量的10%。</w:t>
      </w:r>
      <w:r>
        <w:rPr>
          <w:rFonts w:ascii="Times New Roman" w:eastAsia="宋体"/>
        </w:rPr>
        <w:t>根据双方协商并在合同注明，可供应长度有特殊要求的</w:t>
      </w:r>
      <w:r>
        <w:rPr>
          <w:rFonts w:hint="eastAsia" w:ascii="Times New Roman" w:eastAsia="宋体"/>
          <w:lang w:eastAsia="zh-CN"/>
        </w:rPr>
        <w:t>银亮钢</w:t>
      </w:r>
      <w:r>
        <w:rPr>
          <w:rFonts w:ascii="Times New Roman" w:eastAsia="宋体"/>
        </w:rPr>
        <w:t>。</w:t>
      </w:r>
    </w:p>
    <w:p w14:paraId="51D0E505">
      <w:pPr>
        <w:pStyle w:val="50"/>
        <w:numPr>
          <w:ilvl w:val="3"/>
          <w:numId w:val="2"/>
        </w:numPr>
        <w:spacing w:before="156" w:after="156"/>
        <w:jc w:val="both"/>
        <w:rPr>
          <w:rFonts w:ascii="Times New Roman" w:eastAsia="宋体"/>
        </w:rPr>
      </w:pPr>
      <w:r>
        <w:rPr>
          <w:rFonts w:hint="eastAsia" w:ascii="Times New Roman" w:eastAsia="宋体"/>
          <w:lang w:eastAsia="zh-CN"/>
        </w:rPr>
        <w:t>银亮钢</w:t>
      </w:r>
      <w:r>
        <w:rPr>
          <w:rFonts w:ascii="Times New Roman" w:eastAsia="宋体"/>
        </w:rPr>
        <w:t>应按定尺或倍尺交货，其长度允许偏差为</w:t>
      </w:r>
      <m:oMath>
        <m:sPre>
          <m:sPrePr>
            <m:ctrlPr>
              <w:rPr>
                <w:rFonts w:ascii="Cambria Math" w:hAnsi="Cambria Math"/>
                <w:i/>
              </w:rPr>
            </m:ctrlPr>
          </m:sPrePr>
          <m:sub>
            <m:r>
              <m:rPr/>
              <w:rPr>
                <w:rFonts w:ascii="Cambria Math" w:hAnsi="Cambria Math"/>
              </w:rPr>
              <m:t>0</m:t>
            </m:r>
            <m:ctrlPr>
              <w:rPr>
                <w:rFonts w:ascii="Cambria Math" w:hAnsi="Cambria Math"/>
                <w:i/>
              </w:rPr>
            </m:ctrlPr>
          </m:sub>
          <m:sup>
            <m:r>
              <m:rPr/>
              <w:rPr>
                <w:rFonts w:ascii="Cambria Math" w:hAnsi="Cambria Math"/>
              </w:rPr>
              <m:t>+50</m:t>
            </m:r>
            <m:ctrlPr>
              <w:rPr>
                <w:rFonts w:ascii="Cambria Math" w:hAnsi="Cambria Math"/>
                <w:i/>
              </w:rPr>
            </m:ctrlPr>
          </m:sup>
          <m:e>
            <m:r>
              <m:rPr/>
              <w:rPr>
                <w:rFonts w:ascii="Cambria Math" w:hAnsi="Cambria Math"/>
              </w:rPr>
              <m:t>mm</m:t>
            </m:r>
            <m:ctrlPr>
              <w:rPr>
                <w:rFonts w:ascii="Cambria Math" w:hAnsi="Cambria Math"/>
                <w:i/>
              </w:rPr>
            </m:ctrlPr>
          </m:e>
        </m:sPre>
      </m:oMath>
      <w:r>
        <w:rPr>
          <w:rFonts w:ascii="Times New Roman" w:eastAsia="宋体"/>
        </w:rPr>
        <w:t>。根据需方要求，经供需双方协商并在合同注明，可供应特殊长度允许偏差的</w:t>
      </w:r>
      <w:r>
        <w:rPr>
          <w:rFonts w:hint="eastAsia" w:ascii="Times New Roman" w:eastAsia="宋体"/>
          <w:lang w:eastAsia="zh-CN"/>
        </w:rPr>
        <w:t>银亮钢</w:t>
      </w:r>
      <w:r>
        <w:rPr>
          <w:rFonts w:hint="eastAsia" w:ascii="Times New Roman" w:eastAsia="宋体"/>
        </w:rPr>
        <w:t>。</w:t>
      </w:r>
    </w:p>
    <w:p w14:paraId="55EEC8B5">
      <w:pPr>
        <w:pStyle w:val="50"/>
        <w:spacing w:before="156" w:after="156"/>
      </w:pPr>
      <w:r>
        <w:t>外形</w:t>
      </w:r>
    </w:p>
    <w:p w14:paraId="4496A411">
      <w:pPr>
        <w:pStyle w:val="50"/>
        <w:numPr>
          <w:ilvl w:val="3"/>
          <w:numId w:val="2"/>
        </w:numPr>
        <w:spacing w:before="156" w:after="156"/>
        <w:rPr>
          <w:rFonts w:ascii="Times New Roman" w:eastAsia="宋体"/>
        </w:rPr>
      </w:pPr>
      <w:r>
        <w:rPr>
          <w:rFonts w:hint="eastAsia" w:ascii="Times New Roman" w:eastAsia="宋体"/>
        </w:rPr>
        <w:t>不圆度应小于或等于公称直径公差的70%</w:t>
      </w:r>
      <w:r>
        <w:rPr>
          <w:rFonts w:ascii="Times New Roman" w:eastAsia="宋体"/>
        </w:rPr>
        <w:t>。</w:t>
      </w:r>
    </w:p>
    <w:p w14:paraId="6220F19F">
      <w:pPr>
        <w:pStyle w:val="50"/>
        <w:numPr>
          <w:ilvl w:val="3"/>
          <w:numId w:val="2"/>
        </w:numPr>
        <w:spacing w:before="156" w:after="156"/>
        <w:rPr>
          <w:rFonts w:ascii="Times New Roman" w:eastAsia="宋体"/>
        </w:rPr>
      </w:pPr>
      <w:r>
        <w:rPr>
          <w:rFonts w:hint="eastAsia" w:ascii="Times New Roman" w:eastAsia="宋体"/>
          <w:lang w:eastAsia="zh-CN"/>
        </w:rPr>
        <w:t>银亮钢</w:t>
      </w:r>
      <w:r>
        <w:rPr>
          <w:rFonts w:ascii="Times New Roman" w:eastAsia="宋体"/>
        </w:rPr>
        <w:t>的</w:t>
      </w:r>
      <w:r>
        <w:rPr>
          <w:rFonts w:hint="eastAsia" w:ascii="Times New Roman" w:eastAsia="宋体"/>
        </w:rPr>
        <w:t>弯曲度应小于或等于4mm/m</w:t>
      </w:r>
      <w:bookmarkStart w:id="30" w:name="_GoBack"/>
      <w:bookmarkEnd w:id="30"/>
      <w:r>
        <w:rPr>
          <w:rFonts w:hint="eastAsia" w:ascii="Times New Roman" w:eastAsia="宋体"/>
        </w:rPr>
        <w:t>，总弯曲度应小于或等于总长度的0.4%</w:t>
      </w:r>
      <w:r>
        <w:rPr>
          <w:rFonts w:ascii="Times New Roman" w:eastAsia="宋体"/>
        </w:rPr>
        <w:t>。</w:t>
      </w:r>
    </w:p>
    <w:p w14:paraId="24E24B9D">
      <w:pPr>
        <w:pStyle w:val="50"/>
        <w:numPr>
          <w:ilvl w:val="3"/>
          <w:numId w:val="2"/>
        </w:numPr>
        <w:spacing w:before="156" w:after="156"/>
        <w:jc w:val="both"/>
        <w:rPr>
          <w:rFonts w:ascii="Times New Roman" w:eastAsia="宋体"/>
        </w:rPr>
      </w:pPr>
      <w:r>
        <w:rPr>
          <w:rFonts w:hint="eastAsia" w:ascii="Times New Roman" w:eastAsia="宋体"/>
          <w:lang w:eastAsia="zh-CN"/>
        </w:rPr>
        <w:t>银亮钢</w:t>
      </w:r>
      <w:r>
        <w:rPr>
          <w:rFonts w:ascii="Times New Roman" w:eastAsia="宋体"/>
        </w:rPr>
        <w:t>的端部应剪切平整，不得有影响使用的毛刺。根据用户要求，并在合同中注明，钢材的端部可倒棱交货。</w:t>
      </w:r>
    </w:p>
    <w:p w14:paraId="187B7A43">
      <w:pPr>
        <w:pStyle w:val="50"/>
        <w:spacing w:before="156" w:after="156"/>
      </w:pPr>
      <w:r>
        <w:rPr>
          <w:rFonts w:hint="eastAsia"/>
        </w:rPr>
        <w:t>重量</w:t>
      </w:r>
    </w:p>
    <w:p w14:paraId="540E26F8">
      <w:pPr>
        <w:pStyle w:val="22"/>
        <w:spacing w:before="156" w:after="156"/>
        <w:jc w:val="both"/>
        <w:rPr>
          <w:rFonts w:hint="default" w:ascii="Times New Roman" w:eastAsia="宋体"/>
          <w:lang w:val="en-US" w:eastAsia="zh-CN"/>
        </w:rPr>
      </w:pPr>
      <w:r>
        <w:rPr>
          <w:rFonts w:hint="eastAsia" w:ascii="Times New Roman"/>
          <w:lang w:val="en-US" w:eastAsia="zh-CN"/>
        </w:rPr>
        <w:t>钢材以实际重量交货。</w:t>
      </w:r>
    </w:p>
    <w:p w14:paraId="3DF9CEA3">
      <w:pPr>
        <w:pStyle w:val="47"/>
        <w:spacing w:before="156" w:after="156"/>
        <w:ind w:left="0"/>
        <w:rPr>
          <w:rFonts w:ascii="Times New Roman"/>
        </w:rPr>
      </w:pPr>
      <w:r>
        <w:rPr>
          <w:rFonts w:ascii="Times New Roman"/>
        </w:rPr>
        <w:t>其他特殊需求</w:t>
      </w:r>
    </w:p>
    <w:p w14:paraId="33791530">
      <w:pPr>
        <w:pStyle w:val="22"/>
        <w:rPr>
          <w:rFonts w:ascii="Times New Roman"/>
          <w:szCs w:val="21"/>
        </w:rPr>
      </w:pPr>
      <w:r>
        <w:rPr>
          <w:rFonts w:ascii="Times New Roman"/>
          <w:szCs w:val="21"/>
        </w:rPr>
        <w:t>有特殊要求时，经供需双方协商同意，并在合同中注明。</w:t>
      </w:r>
    </w:p>
    <w:p w14:paraId="472EA156">
      <w:pPr>
        <w:pStyle w:val="45"/>
        <w:numPr>
          <w:ilvl w:val="0"/>
          <w:numId w:val="2"/>
        </w:numPr>
        <w:spacing w:before="312" w:after="312"/>
        <w:rPr>
          <w:rFonts w:ascii="Times New Roman"/>
        </w:rPr>
      </w:pPr>
      <w:r>
        <w:rPr>
          <w:rFonts w:ascii="Times New Roman"/>
        </w:rPr>
        <w:t>试验方法</w:t>
      </w:r>
    </w:p>
    <w:p w14:paraId="62F04458">
      <w:pPr>
        <w:pStyle w:val="47"/>
        <w:spacing w:before="156" w:after="156"/>
        <w:ind w:left="0"/>
        <w:rPr>
          <w:rFonts w:ascii="Times New Roman"/>
        </w:rPr>
      </w:pPr>
      <w:r>
        <w:rPr>
          <w:rFonts w:ascii="Times New Roman"/>
        </w:rPr>
        <w:t>检验项目及方法</w:t>
      </w:r>
    </w:p>
    <w:p w14:paraId="367AD796">
      <w:pPr>
        <w:pStyle w:val="22"/>
      </w:pPr>
      <w:r>
        <w:rPr>
          <w:rFonts w:hint="eastAsia" w:ascii="Times New Roman"/>
          <w:szCs w:val="21"/>
          <w:lang w:eastAsia="zh-CN"/>
        </w:rPr>
        <w:t>银亮钢</w:t>
      </w:r>
      <w:r>
        <w:rPr>
          <w:rFonts w:hint="eastAsia" w:ascii="Times New Roman"/>
          <w:szCs w:val="21"/>
        </w:rPr>
        <w:t>的检验项目和检验方法应符合表8的规定。</w:t>
      </w:r>
    </w:p>
    <w:p w14:paraId="21AD5363">
      <w:pPr>
        <w:pStyle w:val="77"/>
      </w:pPr>
      <w:r>
        <w:rPr>
          <w:rFonts w:hint="eastAsia"/>
        </w:rPr>
        <w:t>检验项目及方法</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1719"/>
        <w:gridCol w:w="1658"/>
        <w:gridCol w:w="2177"/>
        <w:gridCol w:w="3076"/>
      </w:tblGrid>
      <w:tr w14:paraId="1E2AB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91" w:type="pct"/>
            <w:vAlign w:val="center"/>
          </w:tcPr>
          <w:p w14:paraId="1164B1C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Theme="minorHAnsi" w:eastAsiaTheme="minorEastAsia" w:cstheme="minorBidi"/>
                <w:sz w:val="18"/>
                <w:szCs w:val="18"/>
              </w:rPr>
            </w:pPr>
            <w:r>
              <w:rPr>
                <w:rFonts w:hint="eastAsia" w:ascii="宋体" w:hAnsiTheme="minorHAnsi" w:eastAsiaTheme="minorEastAsia" w:cstheme="minorBidi"/>
                <w:sz w:val="18"/>
                <w:szCs w:val="18"/>
              </w:rPr>
              <w:t>序号</w:t>
            </w:r>
          </w:p>
        </w:tc>
        <w:tc>
          <w:tcPr>
            <w:tcW w:w="898" w:type="pct"/>
            <w:vAlign w:val="center"/>
          </w:tcPr>
          <w:p w14:paraId="5F056E6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Theme="minorHAnsi" w:eastAsiaTheme="minorEastAsia" w:cstheme="minorBidi"/>
                <w:sz w:val="18"/>
                <w:szCs w:val="18"/>
              </w:rPr>
            </w:pPr>
            <w:r>
              <w:rPr>
                <w:rFonts w:hint="eastAsia" w:ascii="宋体" w:hAnsiTheme="minorHAnsi" w:eastAsiaTheme="minorEastAsia" w:cstheme="minorBidi"/>
                <w:sz w:val="18"/>
                <w:szCs w:val="18"/>
              </w:rPr>
              <w:t>检验项目</w:t>
            </w:r>
          </w:p>
        </w:tc>
        <w:tc>
          <w:tcPr>
            <w:tcW w:w="866" w:type="pct"/>
            <w:vAlign w:val="center"/>
          </w:tcPr>
          <w:p w14:paraId="6E68F4A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Theme="minorHAnsi" w:eastAsiaTheme="minorEastAsia" w:cstheme="minorBidi"/>
                <w:sz w:val="18"/>
                <w:szCs w:val="18"/>
              </w:rPr>
            </w:pPr>
            <w:r>
              <w:rPr>
                <w:rFonts w:hint="eastAsia" w:ascii="宋体" w:hAnsiTheme="minorHAnsi" w:eastAsiaTheme="minorEastAsia" w:cstheme="minorBidi"/>
                <w:sz w:val="18"/>
                <w:szCs w:val="18"/>
              </w:rPr>
              <w:t>取样数量/个</w:t>
            </w:r>
          </w:p>
        </w:tc>
        <w:tc>
          <w:tcPr>
            <w:tcW w:w="1137" w:type="pct"/>
            <w:vAlign w:val="center"/>
          </w:tcPr>
          <w:p w14:paraId="4B7D997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Theme="minorHAnsi" w:eastAsiaTheme="minorEastAsia" w:cstheme="minorBidi"/>
                <w:sz w:val="18"/>
                <w:szCs w:val="18"/>
              </w:rPr>
            </w:pPr>
            <w:r>
              <w:rPr>
                <w:rFonts w:hint="eastAsia" w:ascii="宋体" w:hAnsiTheme="minorHAnsi" w:eastAsiaTheme="minorEastAsia" w:cstheme="minorBidi"/>
                <w:sz w:val="18"/>
                <w:szCs w:val="18"/>
              </w:rPr>
              <w:t>取样部位</w:t>
            </w:r>
          </w:p>
        </w:tc>
        <w:tc>
          <w:tcPr>
            <w:tcW w:w="1606" w:type="pct"/>
            <w:vAlign w:val="center"/>
          </w:tcPr>
          <w:p w14:paraId="2C74F6B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Theme="minorHAnsi" w:eastAsiaTheme="minorEastAsia" w:cstheme="minorBidi"/>
                <w:sz w:val="18"/>
                <w:szCs w:val="18"/>
              </w:rPr>
            </w:pPr>
            <w:r>
              <w:rPr>
                <w:rFonts w:hint="eastAsia" w:ascii="宋体" w:hAnsiTheme="minorHAnsi" w:eastAsiaTheme="minorEastAsia" w:cstheme="minorBidi"/>
                <w:sz w:val="18"/>
                <w:szCs w:val="18"/>
              </w:rPr>
              <w:t>检验方法</w:t>
            </w:r>
          </w:p>
        </w:tc>
      </w:tr>
      <w:tr w14:paraId="71A5A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91" w:type="pct"/>
            <w:shd w:val="clear" w:color="auto" w:fill="auto"/>
            <w:vAlign w:val="center"/>
          </w:tcPr>
          <w:p w14:paraId="68BB69D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Theme="minorHAnsi" w:eastAsiaTheme="minorEastAsia" w:cstheme="minorBidi"/>
                <w:sz w:val="18"/>
                <w:szCs w:val="18"/>
              </w:rPr>
            </w:pPr>
            <w:r>
              <w:rPr>
                <w:rFonts w:hint="eastAsia" w:ascii="宋体" w:hAnsiTheme="minorHAnsi" w:eastAsiaTheme="minorEastAsia" w:cstheme="minorBidi"/>
                <w:sz w:val="18"/>
                <w:szCs w:val="18"/>
              </w:rPr>
              <w:t>1</w:t>
            </w:r>
          </w:p>
        </w:tc>
        <w:tc>
          <w:tcPr>
            <w:tcW w:w="898" w:type="pct"/>
            <w:shd w:val="clear" w:color="auto" w:fill="auto"/>
            <w:vAlign w:val="center"/>
          </w:tcPr>
          <w:p w14:paraId="78D84EB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Theme="minorHAnsi" w:eastAsiaTheme="minorEastAsia" w:cstheme="minorBidi"/>
                <w:sz w:val="18"/>
                <w:szCs w:val="18"/>
              </w:rPr>
            </w:pPr>
            <w:r>
              <w:rPr>
                <w:rFonts w:hint="eastAsia" w:ascii="宋体" w:hAnsiTheme="minorHAnsi" w:eastAsiaTheme="minorEastAsia" w:cstheme="minorBidi"/>
                <w:sz w:val="18"/>
                <w:szCs w:val="18"/>
              </w:rPr>
              <w:t>化学成分</w:t>
            </w:r>
          </w:p>
        </w:tc>
        <w:tc>
          <w:tcPr>
            <w:tcW w:w="866" w:type="pct"/>
            <w:shd w:val="clear" w:color="auto" w:fill="auto"/>
            <w:vAlign w:val="center"/>
          </w:tcPr>
          <w:p w14:paraId="1D4FEA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Theme="minorHAnsi" w:eastAsiaTheme="minorEastAsia" w:cstheme="minorBidi"/>
                <w:sz w:val="18"/>
                <w:szCs w:val="18"/>
              </w:rPr>
            </w:pPr>
            <w:r>
              <w:rPr>
                <w:rFonts w:hint="eastAsia" w:ascii="宋体" w:hAnsiTheme="minorHAnsi" w:eastAsiaTheme="minorEastAsia" w:cstheme="minorBidi"/>
                <w:sz w:val="18"/>
                <w:szCs w:val="18"/>
              </w:rPr>
              <w:t>1</w:t>
            </w:r>
          </w:p>
        </w:tc>
        <w:tc>
          <w:tcPr>
            <w:tcW w:w="1137" w:type="pct"/>
            <w:shd w:val="clear" w:color="auto" w:fill="auto"/>
            <w:vAlign w:val="center"/>
          </w:tcPr>
          <w:p w14:paraId="1DE77A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Theme="minorHAnsi" w:eastAsiaTheme="minorEastAsia" w:cstheme="minorBidi"/>
                <w:sz w:val="18"/>
                <w:szCs w:val="18"/>
              </w:rPr>
            </w:pPr>
            <w:r>
              <w:rPr>
                <w:rFonts w:hint="eastAsia" w:ascii="宋体" w:hAnsiTheme="minorHAnsi" w:eastAsiaTheme="minorEastAsia" w:cstheme="minorBidi"/>
                <w:sz w:val="18"/>
                <w:szCs w:val="18"/>
              </w:rPr>
              <w:t>GB/T 20066</w:t>
            </w:r>
          </w:p>
        </w:tc>
        <w:tc>
          <w:tcPr>
            <w:tcW w:w="1606" w:type="pct"/>
            <w:shd w:val="clear" w:color="auto" w:fill="auto"/>
            <w:vAlign w:val="center"/>
          </w:tcPr>
          <w:p w14:paraId="544B8E7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Theme="minorHAnsi" w:eastAsiaTheme="minorEastAsia" w:cstheme="minorBidi"/>
                <w:sz w:val="18"/>
                <w:szCs w:val="18"/>
              </w:rPr>
            </w:pPr>
            <w:r>
              <w:rPr>
                <w:rFonts w:hint="eastAsia" w:ascii="宋体" w:hAnsiTheme="minorHAnsi" w:eastAsiaTheme="minorEastAsia" w:cstheme="minorBidi"/>
                <w:sz w:val="18"/>
                <w:szCs w:val="18"/>
              </w:rPr>
              <w:t>见8.2</w:t>
            </w:r>
          </w:p>
        </w:tc>
      </w:tr>
      <w:tr w14:paraId="5BB14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491" w:type="pct"/>
            <w:shd w:val="clear" w:color="auto" w:fill="auto"/>
            <w:vAlign w:val="center"/>
          </w:tcPr>
          <w:p w14:paraId="7A49B49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Theme="minorHAnsi" w:eastAsiaTheme="minorEastAsia" w:cstheme="minorBidi"/>
                <w:sz w:val="18"/>
                <w:szCs w:val="18"/>
              </w:rPr>
            </w:pPr>
            <w:r>
              <w:rPr>
                <w:rFonts w:hint="eastAsia" w:ascii="宋体" w:hAnsiTheme="minorHAnsi" w:eastAsiaTheme="minorEastAsia" w:cstheme="minorBidi"/>
                <w:sz w:val="18"/>
                <w:szCs w:val="18"/>
              </w:rPr>
              <w:t>2</w:t>
            </w:r>
          </w:p>
        </w:tc>
        <w:tc>
          <w:tcPr>
            <w:tcW w:w="898" w:type="pct"/>
            <w:shd w:val="clear" w:color="auto" w:fill="auto"/>
            <w:vAlign w:val="center"/>
          </w:tcPr>
          <w:p w14:paraId="78A1CE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Theme="minorHAnsi" w:eastAsiaTheme="minorEastAsia" w:cstheme="minorBidi"/>
                <w:sz w:val="18"/>
                <w:szCs w:val="18"/>
              </w:rPr>
            </w:pPr>
            <w:r>
              <w:rPr>
                <w:rFonts w:hint="eastAsia" w:ascii="宋体" w:hAnsiTheme="minorHAnsi" w:eastAsiaTheme="minorEastAsia" w:cstheme="minorBidi"/>
                <w:sz w:val="18"/>
                <w:szCs w:val="18"/>
              </w:rPr>
              <w:t>硬度</w:t>
            </w:r>
          </w:p>
        </w:tc>
        <w:tc>
          <w:tcPr>
            <w:tcW w:w="866" w:type="pct"/>
            <w:shd w:val="clear" w:color="auto" w:fill="auto"/>
            <w:vAlign w:val="center"/>
          </w:tcPr>
          <w:p w14:paraId="7270C0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Theme="minorHAnsi" w:eastAsiaTheme="minorEastAsia" w:cstheme="minorBidi"/>
                <w:sz w:val="18"/>
                <w:szCs w:val="18"/>
              </w:rPr>
            </w:pPr>
            <w:r>
              <w:rPr>
                <w:rFonts w:hint="eastAsia" w:ascii="宋体" w:hAnsiTheme="minorHAnsi" w:eastAsiaTheme="minorEastAsia" w:cstheme="minorBidi"/>
                <w:sz w:val="18"/>
                <w:szCs w:val="18"/>
              </w:rPr>
              <w:t>2</w:t>
            </w:r>
          </w:p>
        </w:tc>
        <w:tc>
          <w:tcPr>
            <w:tcW w:w="1137" w:type="pct"/>
            <w:shd w:val="clear" w:color="auto" w:fill="auto"/>
            <w:vAlign w:val="center"/>
          </w:tcPr>
          <w:p w14:paraId="6AA3B0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Theme="minorHAnsi" w:eastAsiaTheme="minorEastAsia" w:cstheme="minorBidi"/>
                <w:sz w:val="18"/>
                <w:szCs w:val="18"/>
              </w:rPr>
            </w:pPr>
            <w:r>
              <w:rPr>
                <w:rFonts w:hint="eastAsia" w:ascii="宋体" w:hAnsiTheme="minorHAnsi" w:eastAsiaTheme="minorEastAsia" w:cstheme="minorBidi"/>
                <w:sz w:val="18"/>
                <w:szCs w:val="18"/>
              </w:rPr>
              <w:t>不同支棒材GB/T 2975</w:t>
            </w:r>
          </w:p>
        </w:tc>
        <w:tc>
          <w:tcPr>
            <w:tcW w:w="1606" w:type="pct"/>
            <w:shd w:val="clear" w:color="auto" w:fill="auto"/>
            <w:vAlign w:val="center"/>
          </w:tcPr>
          <w:p w14:paraId="24BC024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Theme="minorHAnsi" w:eastAsiaTheme="minorEastAsia" w:cstheme="minorBidi"/>
                <w:sz w:val="18"/>
                <w:szCs w:val="18"/>
              </w:rPr>
            </w:pPr>
            <w:r>
              <w:rPr>
                <w:rFonts w:hint="eastAsia" w:ascii="宋体" w:hAnsiTheme="minorHAnsi" w:eastAsiaTheme="minorEastAsia" w:cstheme="minorBidi"/>
                <w:sz w:val="18"/>
                <w:szCs w:val="18"/>
              </w:rPr>
              <w:t>GB/T 231.1、 GB/T 230.1</w:t>
            </w:r>
          </w:p>
        </w:tc>
      </w:tr>
      <w:tr w14:paraId="4C427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491" w:type="pct"/>
            <w:shd w:val="clear" w:color="auto" w:fill="auto"/>
            <w:vAlign w:val="center"/>
          </w:tcPr>
          <w:p w14:paraId="3A0FE9D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Theme="minorHAnsi" w:eastAsiaTheme="minorEastAsia" w:cstheme="minorBidi"/>
                <w:sz w:val="18"/>
                <w:szCs w:val="18"/>
              </w:rPr>
            </w:pPr>
            <w:r>
              <w:rPr>
                <w:rFonts w:hint="eastAsia" w:ascii="宋体" w:hAnsiTheme="minorHAnsi" w:eastAsiaTheme="minorEastAsia" w:cstheme="minorBidi"/>
                <w:sz w:val="18"/>
                <w:szCs w:val="18"/>
              </w:rPr>
              <w:t>3</w:t>
            </w:r>
          </w:p>
        </w:tc>
        <w:tc>
          <w:tcPr>
            <w:tcW w:w="898" w:type="pct"/>
            <w:shd w:val="clear" w:color="auto" w:fill="auto"/>
            <w:vAlign w:val="center"/>
          </w:tcPr>
          <w:p w14:paraId="0F8AB0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Theme="minorHAnsi" w:eastAsiaTheme="minorEastAsia" w:cstheme="minorBidi"/>
                <w:sz w:val="18"/>
                <w:szCs w:val="18"/>
              </w:rPr>
            </w:pPr>
            <w:r>
              <w:rPr>
                <w:rFonts w:hint="eastAsia" w:ascii="宋体" w:hAnsiTheme="minorHAnsi" w:eastAsiaTheme="minorEastAsia" w:cstheme="minorBidi"/>
                <w:sz w:val="18"/>
                <w:szCs w:val="18"/>
              </w:rPr>
              <w:t>室温拉伸</w:t>
            </w:r>
          </w:p>
        </w:tc>
        <w:tc>
          <w:tcPr>
            <w:tcW w:w="866" w:type="pct"/>
            <w:shd w:val="clear" w:color="auto" w:fill="auto"/>
            <w:vAlign w:val="center"/>
          </w:tcPr>
          <w:p w14:paraId="56939F5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Theme="minorHAnsi" w:eastAsiaTheme="minorEastAsia" w:cstheme="minorBidi"/>
                <w:sz w:val="18"/>
                <w:szCs w:val="18"/>
              </w:rPr>
            </w:pPr>
            <w:r>
              <w:rPr>
                <w:rFonts w:hint="eastAsia" w:ascii="宋体" w:hAnsiTheme="minorHAnsi" w:eastAsiaTheme="minorEastAsia" w:cstheme="minorBidi"/>
                <w:sz w:val="18"/>
                <w:szCs w:val="18"/>
              </w:rPr>
              <w:t>2</w:t>
            </w:r>
          </w:p>
        </w:tc>
        <w:tc>
          <w:tcPr>
            <w:tcW w:w="1137" w:type="pct"/>
            <w:shd w:val="clear" w:color="auto" w:fill="auto"/>
            <w:vAlign w:val="center"/>
          </w:tcPr>
          <w:p w14:paraId="785536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Theme="minorHAnsi" w:eastAsiaTheme="minorEastAsia" w:cstheme="minorBidi"/>
                <w:sz w:val="18"/>
                <w:szCs w:val="18"/>
              </w:rPr>
            </w:pPr>
            <w:r>
              <w:rPr>
                <w:rFonts w:hint="eastAsia" w:ascii="宋体" w:hAnsiTheme="minorHAnsi" w:eastAsiaTheme="minorEastAsia" w:cstheme="minorBidi"/>
                <w:sz w:val="18"/>
                <w:szCs w:val="18"/>
              </w:rPr>
              <w:t>不同支棒材GB/T 2975</w:t>
            </w:r>
          </w:p>
        </w:tc>
        <w:tc>
          <w:tcPr>
            <w:tcW w:w="1606" w:type="pct"/>
            <w:shd w:val="clear" w:color="auto" w:fill="auto"/>
            <w:vAlign w:val="center"/>
          </w:tcPr>
          <w:p w14:paraId="78255B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Theme="minorHAnsi" w:eastAsiaTheme="minorEastAsia" w:cstheme="minorBidi"/>
                <w:sz w:val="18"/>
                <w:szCs w:val="18"/>
              </w:rPr>
            </w:pPr>
            <w:r>
              <w:rPr>
                <w:rFonts w:hint="eastAsia" w:ascii="宋体" w:hAnsiTheme="minorHAnsi" w:eastAsiaTheme="minorEastAsia" w:cstheme="minorBidi"/>
                <w:sz w:val="18"/>
                <w:szCs w:val="18"/>
              </w:rPr>
              <w:t>GB/T 228.1</w:t>
            </w:r>
          </w:p>
        </w:tc>
      </w:tr>
      <w:tr w14:paraId="4863B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491" w:type="pct"/>
            <w:shd w:val="clear" w:color="auto" w:fill="auto"/>
            <w:vAlign w:val="center"/>
          </w:tcPr>
          <w:p w14:paraId="2D4622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Theme="minorHAnsi" w:eastAsiaTheme="minorEastAsia" w:cstheme="minorBidi"/>
                <w:sz w:val="18"/>
                <w:szCs w:val="18"/>
              </w:rPr>
            </w:pPr>
            <w:r>
              <w:rPr>
                <w:rFonts w:hint="eastAsia" w:ascii="宋体" w:hAnsiTheme="minorHAnsi" w:eastAsiaTheme="minorEastAsia" w:cstheme="minorBidi"/>
                <w:sz w:val="18"/>
                <w:szCs w:val="18"/>
              </w:rPr>
              <w:t>4</w:t>
            </w:r>
          </w:p>
        </w:tc>
        <w:tc>
          <w:tcPr>
            <w:tcW w:w="898" w:type="pct"/>
            <w:shd w:val="clear" w:color="auto" w:fill="auto"/>
            <w:vAlign w:val="center"/>
          </w:tcPr>
          <w:p w14:paraId="76A681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Theme="minorHAnsi" w:eastAsiaTheme="minorEastAsia" w:cstheme="minorBidi"/>
                <w:sz w:val="18"/>
                <w:szCs w:val="18"/>
              </w:rPr>
            </w:pPr>
            <w:r>
              <w:rPr>
                <w:rFonts w:hint="eastAsia" w:ascii="宋体" w:hAnsiTheme="minorHAnsi" w:eastAsiaTheme="minorEastAsia" w:cstheme="minorBidi"/>
                <w:sz w:val="18"/>
                <w:szCs w:val="18"/>
              </w:rPr>
              <w:t>低倍组织</w:t>
            </w:r>
          </w:p>
        </w:tc>
        <w:tc>
          <w:tcPr>
            <w:tcW w:w="866" w:type="pct"/>
            <w:shd w:val="clear" w:color="auto" w:fill="auto"/>
            <w:vAlign w:val="center"/>
          </w:tcPr>
          <w:p w14:paraId="6CC61F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Theme="minorHAnsi" w:eastAsiaTheme="minorEastAsia" w:cstheme="minorBidi"/>
                <w:sz w:val="18"/>
                <w:szCs w:val="18"/>
              </w:rPr>
            </w:pPr>
            <w:r>
              <w:rPr>
                <w:rFonts w:hint="eastAsia" w:ascii="宋体" w:hAnsiTheme="minorHAnsi" w:eastAsiaTheme="minorEastAsia" w:cstheme="minorBidi"/>
                <w:sz w:val="18"/>
                <w:szCs w:val="18"/>
              </w:rPr>
              <w:t>2</w:t>
            </w:r>
          </w:p>
        </w:tc>
        <w:tc>
          <w:tcPr>
            <w:tcW w:w="1137" w:type="pct"/>
            <w:shd w:val="clear" w:color="auto" w:fill="auto"/>
            <w:vAlign w:val="center"/>
          </w:tcPr>
          <w:p w14:paraId="07AD7AA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Theme="minorHAnsi" w:eastAsiaTheme="minorEastAsia" w:cstheme="minorBidi"/>
                <w:sz w:val="18"/>
                <w:szCs w:val="18"/>
              </w:rPr>
            </w:pPr>
            <w:r>
              <w:rPr>
                <w:rFonts w:hint="eastAsia" w:ascii="宋体" w:hAnsiTheme="minorHAnsi" w:eastAsiaTheme="minorEastAsia" w:cstheme="minorBidi"/>
                <w:sz w:val="18"/>
                <w:szCs w:val="18"/>
              </w:rPr>
              <w:t>不同支棒材</w:t>
            </w:r>
          </w:p>
        </w:tc>
        <w:tc>
          <w:tcPr>
            <w:tcW w:w="1606" w:type="pct"/>
            <w:shd w:val="clear" w:color="auto" w:fill="auto"/>
            <w:vAlign w:val="center"/>
          </w:tcPr>
          <w:p w14:paraId="2547A3C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Theme="minorHAnsi" w:eastAsiaTheme="minorEastAsia" w:cstheme="minorBidi"/>
                <w:sz w:val="18"/>
                <w:szCs w:val="18"/>
              </w:rPr>
            </w:pPr>
            <w:r>
              <w:rPr>
                <w:rFonts w:hint="eastAsia" w:ascii="宋体" w:hAnsiTheme="minorHAnsi" w:eastAsiaTheme="minorEastAsia" w:cstheme="minorBidi"/>
                <w:sz w:val="18"/>
                <w:szCs w:val="18"/>
              </w:rPr>
              <w:t>GB/T 226、GB/T 1979</w:t>
            </w:r>
          </w:p>
        </w:tc>
      </w:tr>
      <w:tr w14:paraId="48F2C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91" w:type="pct"/>
            <w:shd w:val="clear" w:color="auto" w:fill="auto"/>
            <w:vAlign w:val="center"/>
          </w:tcPr>
          <w:p w14:paraId="33E499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Theme="minorHAnsi" w:eastAsiaTheme="minorEastAsia" w:cstheme="minorBidi"/>
                <w:sz w:val="18"/>
                <w:szCs w:val="18"/>
              </w:rPr>
            </w:pPr>
            <w:r>
              <w:rPr>
                <w:rFonts w:hint="eastAsia" w:ascii="宋体" w:hAnsiTheme="minorHAnsi" w:eastAsiaTheme="minorEastAsia" w:cstheme="minorBidi"/>
                <w:sz w:val="18"/>
                <w:szCs w:val="18"/>
              </w:rPr>
              <w:t>5</w:t>
            </w:r>
          </w:p>
        </w:tc>
        <w:tc>
          <w:tcPr>
            <w:tcW w:w="898" w:type="pct"/>
            <w:shd w:val="clear" w:color="auto" w:fill="auto"/>
            <w:vAlign w:val="center"/>
          </w:tcPr>
          <w:p w14:paraId="63E67A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Theme="minorHAnsi" w:eastAsiaTheme="minorEastAsia" w:cstheme="minorBidi"/>
                <w:sz w:val="18"/>
                <w:szCs w:val="18"/>
              </w:rPr>
            </w:pPr>
            <w:r>
              <w:rPr>
                <w:rFonts w:hint="eastAsia" w:ascii="宋体" w:hAnsiTheme="minorHAnsi" w:eastAsiaTheme="minorEastAsia" w:cstheme="minorBidi"/>
                <w:sz w:val="18"/>
                <w:szCs w:val="18"/>
              </w:rPr>
              <w:t>顶锻</w:t>
            </w:r>
          </w:p>
        </w:tc>
        <w:tc>
          <w:tcPr>
            <w:tcW w:w="866" w:type="pct"/>
            <w:shd w:val="clear" w:color="auto" w:fill="auto"/>
            <w:vAlign w:val="center"/>
          </w:tcPr>
          <w:p w14:paraId="1BFEDE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Theme="minorHAnsi" w:eastAsiaTheme="minorEastAsia" w:cstheme="minorBidi"/>
                <w:sz w:val="18"/>
                <w:szCs w:val="18"/>
              </w:rPr>
            </w:pPr>
            <w:r>
              <w:rPr>
                <w:rFonts w:hint="eastAsia" w:ascii="宋体" w:hAnsiTheme="minorHAnsi" w:eastAsiaTheme="minorEastAsia" w:cstheme="minorBidi"/>
                <w:sz w:val="18"/>
                <w:szCs w:val="18"/>
              </w:rPr>
              <w:t>2</w:t>
            </w:r>
          </w:p>
        </w:tc>
        <w:tc>
          <w:tcPr>
            <w:tcW w:w="1137" w:type="pct"/>
            <w:shd w:val="clear" w:color="auto" w:fill="auto"/>
            <w:vAlign w:val="center"/>
          </w:tcPr>
          <w:p w14:paraId="1BB459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Theme="minorHAnsi" w:eastAsiaTheme="minorEastAsia" w:cstheme="minorBidi"/>
                <w:sz w:val="18"/>
                <w:szCs w:val="18"/>
              </w:rPr>
            </w:pPr>
            <w:r>
              <w:rPr>
                <w:rFonts w:hint="eastAsia" w:ascii="宋体" w:hAnsiTheme="minorHAnsi" w:eastAsiaTheme="minorEastAsia" w:cstheme="minorBidi"/>
                <w:sz w:val="18"/>
                <w:szCs w:val="18"/>
              </w:rPr>
              <w:t>不同支棒材</w:t>
            </w:r>
          </w:p>
        </w:tc>
        <w:tc>
          <w:tcPr>
            <w:tcW w:w="1606" w:type="pct"/>
            <w:shd w:val="clear" w:color="auto" w:fill="auto"/>
            <w:vAlign w:val="center"/>
          </w:tcPr>
          <w:p w14:paraId="70E9807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Theme="minorHAnsi" w:eastAsiaTheme="minorEastAsia" w:cstheme="minorBidi"/>
                <w:sz w:val="18"/>
                <w:szCs w:val="18"/>
              </w:rPr>
            </w:pPr>
            <w:r>
              <w:rPr>
                <w:rFonts w:hint="eastAsia" w:ascii="宋体" w:hAnsiTheme="minorHAnsi" w:eastAsiaTheme="minorEastAsia" w:cstheme="minorBidi"/>
                <w:sz w:val="18"/>
                <w:szCs w:val="18"/>
              </w:rPr>
              <w:t>YB/T 5293</w:t>
            </w:r>
          </w:p>
        </w:tc>
      </w:tr>
      <w:tr w14:paraId="283E9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91" w:type="pct"/>
            <w:shd w:val="clear" w:color="auto" w:fill="auto"/>
            <w:vAlign w:val="center"/>
          </w:tcPr>
          <w:p w14:paraId="244E768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Theme="minorHAnsi" w:eastAsiaTheme="minorEastAsia" w:cstheme="minorBidi"/>
                <w:sz w:val="18"/>
                <w:szCs w:val="18"/>
              </w:rPr>
            </w:pPr>
            <w:r>
              <w:rPr>
                <w:rFonts w:hint="eastAsia" w:ascii="宋体" w:hAnsiTheme="minorHAnsi" w:eastAsiaTheme="minorEastAsia" w:cstheme="minorBidi"/>
                <w:sz w:val="18"/>
                <w:szCs w:val="18"/>
              </w:rPr>
              <w:t>6</w:t>
            </w:r>
          </w:p>
        </w:tc>
        <w:tc>
          <w:tcPr>
            <w:tcW w:w="898" w:type="pct"/>
            <w:shd w:val="clear" w:color="auto" w:fill="auto"/>
            <w:vAlign w:val="center"/>
          </w:tcPr>
          <w:p w14:paraId="7124DC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Theme="minorHAnsi" w:eastAsiaTheme="minorEastAsia" w:cstheme="minorBidi"/>
                <w:sz w:val="18"/>
                <w:szCs w:val="18"/>
              </w:rPr>
            </w:pPr>
            <w:r>
              <w:rPr>
                <w:rFonts w:hint="eastAsia" w:ascii="宋体" w:hAnsiTheme="minorHAnsi" w:eastAsiaTheme="minorEastAsia" w:cstheme="minorBidi"/>
                <w:sz w:val="18"/>
                <w:szCs w:val="18"/>
              </w:rPr>
              <w:t>非金属夹杂物</w:t>
            </w:r>
          </w:p>
        </w:tc>
        <w:tc>
          <w:tcPr>
            <w:tcW w:w="866" w:type="pct"/>
            <w:shd w:val="clear" w:color="auto" w:fill="auto"/>
            <w:vAlign w:val="center"/>
          </w:tcPr>
          <w:p w14:paraId="2E3E19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Theme="minorHAnsi" w:eastAsiaTheme="minorEastAsia" w:cstheme="minorBidi"/>
                <w:sz w:val="18"/>
                <w:szCs w:val="18"/>
              </w:rPr>
            </w:pPr>
            <w:r>
              <w:rPr>
                <w:rFonts w:hint="eastAsia" w:ascii="宋体" w:hAnsiTheme="minorHAnsi" w:eastAsiaTheme="minorEastAsia" w:cstheme="minorBidi"/>
                <w:sz w:val="18"/>
                <w:szCs w:val="18"/>
              </w:rPr>
              <w:t>2</w:t>
            </w:r>
          </w:p>
        </w:tc>
        <w:tc>
          <w:tcPr>
            <w:tcW w:w="1137" w:type="pct"/>
            <w:shd w:val="clear" w:color="auto" w:fill="auto"/>
            <w:vAlign w:val="center"/>
          </w:tcPr>
          <w:p w14:paraId="1F62EDE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Theme="minorHAnsi" w:eastAsiaTheme="minorEastAsia" w:cstheme="minorBidi"/>
                <w:sz w:val="18"/>
                <w:szCs w:val="18"/>
              </w:rPr>
            </w:pPr>
            <w:r>
              <w:rPr>
                <w:rFonts w:hint="eastAsia" w:ascii="宋体" w:hAnsiTheme="minorHAnsi" w:eastAsiaTheme="minorEastAsia" w:cstheme="minorBidi"/>
                <w:sz w:val="18"/>
                <w:szCs w:val="18"/>
              </w:rPr>
              <w:t>不同支棒材</w:t>
            </w:r>
          </w:p>
        </w:tc>
        <w:tc>
          <w:tcPr>
            <w:tcW w:w="1606" w:type="pct"/>
            <w:shd w:val="clear" w:color="auto" w:fill="auto"/>
            <w:vAlign w:val="center"/>
          </w:tcPr>
          <w:p w14:paraId="314E69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Theme="minorHAnsi" w:eastAsiaTheme="minorEastAsia" w:cstheme="minorBidi"/>
                <w:sz w:val="18"/>
                <w:szCs w:val="18"/>
              </w:rPr>
            </w:pPr>
            <w:r>
              <w:rPr>
                <w:rFonts w:hint="eastAsia" w:ascii="宋体" w:hAnsiTheme="minorHAnsi" w:eastAsiaTheme="minorEastAsia" w:cstheme="minorBidi"/>
                <w:sz w:val="18"/>
                <w:szCs w:val="18"/>
              </w:rPr>
              <w:t>GB/T 10561</w:t>
            </w:r>
          </w:p>
        </w:tc>
      </w:tr>
      <w:tr w14:paraId="345CC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91" w:type="pct"/>
            <w:shd w:val="clear" w:color="auto" w:fill="auto"/>
            <w:vAlign w:val="center"/>
          </w:tcPr>
          <w:p w14:paraId="052CBC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Theme="minorHAnsi" w:eastAsiaTheme="minorEastAsia" w:cstheme="minorBidi"/>
                <w:sz w:val="18"/>
                <w:szCs w:val="18"/>
              </w:rPr>
            </w:pPr>
            <w:r>
              <w:rPr>
                <w:rFonts w:hint="eastAsia" w:ascii="宋体" w:hAnsiTheme="minorHAnsi" w:eastAsiaTheme="minorEastAsia" w:cstheme="minorBidi"/>
                <w:sz w:val="18"/>
                <w:szCs w:val="18"/>
              </w:rPr>
              <w:t>7</w:t>
            </w:r>
          </w:p>
        </w:tc>
        <w:tc>
          <w:tcPr>
            <w:tcW w:w="898" w:type="pct"/>
            <w:shd w:val="clear" w:color="auto" w:fill="auto"/>
            <w:vAlign w:val="center"/>
          </w:tcPr>
          <w:p w14:paraId="20463A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Theme="minorHAnsi" w:eastAsiaTheme="minorEastAsia" w:cstheme="minorBidi"/>
                <w:sz w:val="18"/>
                <w:szCs w:val="18"/>
              </w:rPr>
            </w:pPr>
            <w:r>
              <w:rPr>
                <w:rFonts w:hint="eastAsia" w:ascii="宋体" w:hAnsiTheme="minorHAnsi" w:eastAsiaTheme="minorEastAsia" w:cstheme="minorBidi"/>
                <w:sz w:val="18"/>
                <w:szCs w:val="18"/>
              </w:rPr>
              <w:t>晶粒度</w:t>
            </w:r>
          </w:p>
        </w:tc>
        <w:tc>
          <w:tcPr>
            <w:tcW w:w="866" w:type="pct"/>
            <w:shd w:val="clear" w:color="auto" w:fill="auto"/>
            <w:vAlign w:val="center"/>
          </w:tcPr>
          <w:p w14:paraId="414ABF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Theme="minorHAnsi" w:eastAsiaTheme="minorEastAsia" w:cstheme="minorBidi"/>
                <w:sz w:val="18"/>
                <w:szCs w:val="18"/>
              </w:rPr>
            </w:pPr>
            <w:r>
              <w:rPr>
                <w:rFonts w:hint="eastAsia" w:ascii="宋体" w:hAnsiTheme="minorHAnsi" w:eastAsiaTheme="minorEastAsia" w:cstheme="minorBidi"/>
                <w:sz w:val="18"/>
                <w:szCs w:val="18"/>
              </w:rPr>
              <w:t>2</w:t>
            </w:r>
          </w:p>
        </w:tc>
        <w:tc>
          <w:tcPr>
            <w:tcW w:w="1137" w:type="pct"/>
            <w:shd w:val="clear" w:color="auto" w:fill="auto"/>
            <w:vAlign w:val="center"/>
          </w:tcPr>
          <w:p w14:paraId="6B90949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Theme="minorHAnsi" w:eastAsiaTheme="minorEastAsia" w:cstheme="minorBidi"/>
                <w:sz w:val="18"/>
                <w:szCs w:val="18"/>
              </w:rPr>
            </w:pPr>
            <w:r>
              <w:rPr>
                <w:rFonts w:hint="eastAsia" w:ascii="宋体" w:hAnsiTheme="minorHAnsi" w:eastAsiaTheme="minorEastAsia" w:cstheme="minorBidi"/>
                <w:sz w:val="18"/>
                <w:szCs w:val="18"/>
              </w:rPr>
              <w:t>不同支棒材</w:t>
            </w:r>
          </w:p>
        </w:tc>
        <w:tc>
          <w:tcPr>
            <w:tcW w:w="1606" w:type="pct"/>
            <w:shd w:val="clear" w:color="auto" w:fill="auto"/>
            <w:vAlign w:val="center"/>
          </w:tcPr>
          <w:p w14:paraId="24A04A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Theme="minorHAnsi" w:eastAsiaTheme="minorEastAsia" w:cstheme="minorBidi"/>
                <w:sz w:val="18"/>
                <w:szCs w:val="18"/>
              </w:rPr>
            </w:pPr>
            <w:r>
              <w:rPr>
                <w:rFonts w:hint="eastAsia" w:ascii="宋体" w:hAnsiTheme="minorHAnsi" w:eastAsiaTheme="minorEastAsia" w:cstheme="minorBidi"/>
                <w:sz w:val="18"/>
                <w:szCs w:val="18"/>
              </w:rPr>
              <w:t>GB/T 6394</w:t>
            </w:r>
          </w:p>
        </w:tc>
      </w:tr>
      <w:tr w14:paraId="1E009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91" w:type="pct"/>
            <w:shd w:val="clear" w:color="auto" w:fill="auto"/>
            <w:vAlign w:val="center"/>
          </w:tcPr>
          <w:p w14:paraId="6CBC62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Theme="minorHAnsi" w:eastAsiaTheme="minorEastAsia" w:cstheme="minorBidi"/>
                <w:sz w:val="18"/>
                <w:szCs w:val="18"/>
                <w:lang w:eastAsia="zh-CN"/>
              </w:rPr>
            </w:pPr>
            <w:r>
              <w:rPr>
                <w:rFonts w:hint="eastAsia" w:ascii="宋体" w:hAnsiTheme="minorHAnsi" w:eastAsiaTheme="minorEastAsia" w:cstheme="minorBidi"/>
                <w:sz w:val="18"/>
                <w:szCs w:val="18"/>
                <w:lang w:val="en-US" w:eastAsia="zh-CN"/>
              </w:rPr>
              <w:t>8</w:t>
            </w:r>
          </w:p>
        </w:tc>
        <w:tc>
          <w:tcPr>
            <w:tcW w:w="898" w:type="pct"/>
            <w:shd w:val="clear" w:color="auto" w:fill="auto"/>
            <w:vAlign w:val="center"/>
          </w:tcPr>
          <w:p w14:paraId="1219AF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Theme="minorHAnsi" w:eastAsiaTheme="minorEastAsia" w:cstheme="minorBidi"/>
                <w:sz w:val="18"/>
                <w:szCs w:val="18"/>
              </w:rPr>
            </w:pPr>
            <w:r>
              <w:rPr>
                <w:rFonts w:hint="eastAsia" w:ascii="宋体" w:hAnsiTheme="minorHAnsi" w:eastAsiaTheme="minorEastAsia" w:cstheme="minorBidi"/>
                <w:sz w:val="18"/>
                <w:szCs w:val="18"/>
              </w:rPr>
              <w:t>显微组织</w:t>
            </w:r>
          </w:p>
        </w:tc>
        <w:tc>
          <w:tcPr>
            <w:tcW w:w="866" w:type="pct"/>
            <w:shd w:val="clear" w:color="auto" w:fill="auto"/>
            <w:vAlign w:val="center"/>
          </w:tcPr>
          <w:p w14:paraId="7E5C13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Theme="minorHAnsi" w:eastAsiaTheme="minorEastAsia" w:cstheme="minorBidi"/>
                <w:sz w:val="18"/>
                <w:szCs w:val="18"/>
              </w:rPr>
            </w:pPr>
            <w:r>
              <w:rPr>
                <w:rFonts w:hint="eastAsia" w:ascii="宋体" w:hAnsiTheme="minorHAnsi" w:eastAsiaTheme="minorEastAsia" w:cstheme="minorBidi"/>
                <w:sz w:val="18"/>
                <w:szCs w:val="18"/>
              </w:rPr>
              <w:t>2</w:t>
            </w:r>
          </w:p>
        </w:tc>
        <w:tc>
          <w:tcPr>
            <w:tcW w:w="1137" w:type="pct"/>
            <w:shd w:val="clear" w:color="auto" w:fill="auto"/>
            <w:vAlign w:val="center"/>
          </w:tcPr>
          <w:p w14:paraId="2D58A6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Theme="minorHAnsi" w:eastAsiaTheme="minorEastAsia" w:cstheme="minorBidi"/>
                <w:sz w:val="18"/>
                <w:szCs w:val="18"/>
              </w:rPr>
            </w:pPr>
            <w:r>
              <w:rPr>
                <w:rFonts w:hint="eastAsia" w:ascii="宋体" w:hAnsiTheme="minorHAnsi" w:eastAsiaTheme="minorEastAsia" w:cstheme="minorBidi"/>
                <w:sz w:val="18"/>
                <w:szCs w:val="18"/>
              </w:rPr>
              <w:t>不同支棒材</w:t>
            </w:r>
          </w:p>
        </w:tc>
        <w:tc>
          <w:tcPr>
            <w:tcW w:w="1606" w:type="pct"/>
            <w:shd w:val="clear" w:color="auto" w:fill="auto"/>
            <w:vAlign w:val="center"/>
          </w:tcPr>
          <w:p w14:paraId="3CFF02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Theme="minorHAnsi" w:eastAsiaTheme="minorEastAsia" w:cstheme="minorBidi"/>
                <w:sz w:val="18"/>
                <w:szCs w:val="18"/>
              </w:rPr>
            </w:pPr>
            <w:r>
              <w:rPr>
                <w:rFonts w:hint="eastAsia" w:ascii="宋体" w:hAnsiTheme="minorHAnsi" w:eastAsiaTheme="minorEastAsia" w:cstheme="minorBidi"/>
                <w:sz w:val="18"/>
                <w:szCs w:val="18"/>
              </w:rPr>
              <w:t>见7.11</w:t>
            </w:r>
          </w:p>
        </w:tc>
      </w:tr>
      <w:tr w14:paraId="630FA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91" w:type="pct"/>
            <w:shd w:val="clear" w:color="auto" w:fill="auto"/>
            <w:vAlign w:val="center"/>
          </w:tcPr>
          <w:p w14:paraId="177B26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Theme="minorHAnsi" w:eastAsiaTheme="minorEastAsia" w:cstheme="minorBidi"/>
                <w:sz w:val="18"/>
                <w:szCs w:val="18"/>
                <w:lang w:val="en-US" w:eastAsia="zh-CN"/>
              </w:rPr>
            </w:pPr>
            <w:r>
              <w:rPr>
                <w:rFonts w:hint="eastAsia" w:ascii="宋体" w:hAnsiTheme="minorHAnsi" w:eastAsiaTheme="minorEastAsia" w:cstheme="minorBidi"/>
                <w:sz w:val="18"/>
                <w:szCs w:val="18"/>
                <w:lang w:val="en-US" w:eastAsia="zh-CN"/>
              </w:rPr>
              <w:t>9</w:t>
            </w:r>
          </w:p>
        </w:tc>
        <w:tc>
          <w:tcPr>
            <w:tcW w:w="898" w:type="pct"/>
            <w:shd w:val="clear" w:color="auto" w:fill="auto"/>
            <w:vAlign w:val="center"/>
          </w:tcPr>
          <w:p w14:paraId="6A7470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Theme="minorHAnsi" w:eastAsiaTheme="minorEastAsia" w:cstheme="minorBidi"/>
                <w:sz w:val="18"/>
                <w:szCs w:val="18"/>
              </w:rPr>
            </w:pPr>
            <w:r>
              <w:rPr>
                <w:rFonts w:hint="eastAsia" w:ascii="宋体" w:hAnsiTheme="minorHAnsi" w:eastAsiaTheme="minorEastAsia" w:cstheme="minorBidi"/>
                <w:sz w:val="18"/>
                <w:szCs w:val="18"/>
              </w:rPr>
              <w:t>涡流探伤</w:t>
            </w:r>
          </w:p>
        </w:tc>
        <w:tc>
          <w:tcPr>
            <w:tcW w:w="866" w:type="pct"/>
            <w:shd w:val="clear" w:color="auto" w:fill="auto"/>
            <w:vAlign w:val="center"/>
          </w:tcPr>
          <w:p w14:paraId="10165E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Theme="minorHAnsi" w:eastAsiaTheme="minorEastAsia" w:cstheme="minorBidi"/>
                <w:sz w:val="18"/>
                <w:szCs w:val="18"/>
              </w:rPr>
            </w:pPr>
            <w:r>
              <w:rPr>
                <w:rFonts w:hint="eastAsia" w:ascii="宋体" w:hAnsiTheme="minorHAnsi" w:eastAsiaTheme="minorEastAsia" w:cstheme="minorBidi"/>
                <w:sz w:val="18"/>
                <w:szCs w:val="18"/>
              </w:rPr>
              <w:t>逐支</w:t>
            </w:r>
          </w:p>
        </w:tc>
        <w:tc>
          <w:tcPr>
            <w:tcW w:w="1137" w:type="pct"/>
            <w:shd w:val="clear" w:color="auto" w:fill="auto"/>
            <w:vAlign w:val="center"/>
          </w:tcPr>
          <w:p w14:paraId="45428B2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Theme="minorHAnsi" w:eastAsiaTheme="minorEastAsia" w:cstheme="minorBidi"/>
                <w:sz w:val="18"/>
                <w:szCs w:val="18"/>
              </w:rPr>
            </w:pPr>
            <w:r>
              <w:rPr>
                <w:rFonts w:hint="eastAsia" w:ascii="宋体" w:hAnsiTheme="minorHAnsi" w:eastAsiaTheme="minorEastAsia" w:cstheme="minorBidi"/>
                <w:sz w:val="18"/>
                <w:szCs w:val="18"/>
              </w:rPr>
              <w:t>整支棒材</w:t>
            </w:r>
          </w:p>
        </w:tc>
        <w:tc>
          <w:tcPr>
            <w:tcW w:w="1606" w:type="pct"/>
            <w:shd w:val="clear" w:color="auto" w:fill="auto"/>
            <w:vAlign w:val="center"/>
          </w:tcPr>
          <w:p w14:paraId="24E0E7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Theme="minorHAnsi" w:eastAsiaTheme="minorEastAsia" w:cstheme="minorBidi"/>
                <w:sz w:val="18"/>
                <w:szCs w:val="18"/>
              </w:rPr>
            </w:pPr>
            <w:r>
              <w:rPr>
                <w:rFonts w:hint="eastAsia" w:ascii="宋体" w:hAnsiTheme="minorHAnsi" w:eastAsiaTheme="minorEastAsia" w:cstheme="minorBidi"/>
                <w:sz w:val="18"/>
                <w:szCs w:val="18"/>
              </w:rPr>
              <w:t>GB/T 11260</w:t>
            </w:r>
          </w:p>
        </w:tc>
      </w:tr>
      <w:tr w14:paraId="1DC16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91" w:type="pct"/>
            <w:shd w:val="clear" w:color="auto" w:fill="auto"/>
            <w:vAlign w:val="center"/>
          </w:tcPr>
          <w:p w14:paraId="6B1CA93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Theme="minorHAnsi" w:eastAsiaTheme="minorEastAsia" w:cstheme="minorBidi"/>
                <w:sz w:val="18"/>
                <w:szCs w:val="18"/>
              </w:rPr>
            </w:pPr>
            <w:r>
              <w:rPr>
                <w:rFonts w:hint="eastAsia" w:ascii="宋体" w:hAnsiTheme="minorHAnsi" w:eastAsiaTheme="minorEastAsia" w:cstheme="minorBidi"/>
                <w:sz w:val="18"/>
                <w:szCs w:val="18"/>
              </w:rPr>
              <w:t>10</w:t>
            </w:r>
          </w:p>
        </w:tc>
        <w:tc>
          <w:tcPr>
            <w:tcW w:w="898" w:type="pct"/>
            <w:shd w:val="clear" w:color="auto" w:fill="auto"/>
            <w:vAlign w:val="center"/>
          </w:tcPr>
          <w:p w14:paraId="4595D8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Theme="minorHAnsi" w:eastAsiaTheme="minorEastAsia" w:cstheme="minorBidi"/>
                <w:sz w:val="18"/>
                <w:szCs w:val="18"/>
              </w:rPr>
            </w:pPr>
            <w:r>
              <w:rPr>
                <w:rFonts w:hint="eastAsia" w:ascii="宋体" w:hAnsiTheme="minorHAnsi" w:eastAsiaTheme="minorEastAsia" w:cstheme="minorBidi"/>
                <w:sz w:val="18"/>
                <w:szCs w:val="18"/>
              </w:rPr>
              <w:t>超声波探伤</w:t>
            </w:r>
          </w:p>
        </w:tc>
        <w:tc>
          <w:tcPr>
            <w:tcW w:w="866" w:type="pct"/>
            <w:shd w:val="clear" w:color="auto" w:fill="auto"/>
            <w:vAlign w:val="center"/>
          </w:tcPr>
          <w:p w14:paraId="20A79DA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Theme="minorHAnsi" w:eastAsiaTheme="minorEastAsia" w:cstheme="minorBidi"/>
                <w:sz w:val="18"/>
                <w:szCs w:val="18"/>
              </w:rPr>
            </w:pPr>
            <w:r>
              <w:rPr>
                <w:rFonts w:hint="eastAsia" w:ascii="宋体" w:hAnsiTheme="minorHAnsi" w:eastAsiaTheme="minorEastAsia" w:cstheme="minorBidi"/>
                <w:sz w:val="18"/>
                <w:szCs w:val="18"/>
              </w:rPr>
              <w:t>逐支</w:t>
            </w:r>
          </w:p>
        </w:tc>
        <w:tc>
          <w:tcPr>
            <w:tcW w:w="1137" w:type="pct"/>
            <w:shd w:val="clear" w:color="auto" w:fill="auto"/>
            <w:vAlign w:val="center"/>
          </w:tcPr>
          <w:p w14:paraId="5957D9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Theme="minorHAnsi" w:eastAsiaTheme="minorEastAsia" w:cstheme="minorBidi"/>
                <w:sz w:val="18"/>
                <w:szCs w:val="18"/>
              </w:rPr>
            </w:pPr>
            <w:r>
              <w:rPr>
                <w:rFonts w:hint="eastAsia" w:ascii="宋体" w:hAnsiTheme="minorHAnsi" w:eastAsiaTheme="minorEastAsia" w:cstheme="minorBidi"/>
                <w:sz w:val="18"/>
                <w:szCs w:val="18"/>
              </w:rPr>
              <w:t>整支棒材</w:t>
            </w:r>
          </w:p>
        </w:tc>
        <w:tc>
          <w:tcPr>
            <w:tcW w:w="1606" w:type="pct"/>
            <w:shd w:val="clear" w:color="auto" w:fill="auto"/>
            <w:vAlign w:val="center"/>
          </w:tcPr>
          <w:p w14:paraId="1A4D2CE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Theme="minorHAnsi" w:eastAsiaTheme="minorEastAsia" w:cstheme="minorBidi"/>
                <w:sz w:val="18"/>
                <w:szCs w:val="18"/>
              </w:rPr>
            </w:pPr>
            <w:r>
              <w:rPr>
                <w:rFonts w:hint="eastAsia" w:ascii="宋体" w:hAnsiTheme="minorHAnsi" w:eastAsiaTheme="minorEastAsia" w:cstheme="minorBidi"/>
                <w:sz w:val="18"/>
                <w:szCs w:val="18"/>
              </w:rPr>
              <w:t>GB/T 8361</w:t>
            </w:r>
          </w:p>
        </w:tc>
      </w:tr>
      <w:tr w14:paraId="53B4B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91" w:type="pct"/>
            <w:shd w:val="clear" w:color="auto" w:fill="auto"/>
            <w:vAlign w:val="center"/>
          </w:tcPr>
          <w:p w14:paraId="202AE0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Theme="minorHAnsi" w:eastAsiaTheme="minorEastAsia" w:cstheme="minorBidi"/>
                <w:sz w:val="18"/>
                <w:szCs w:val="18"/>
              </w:rPr>
            </w:pPr>
            <w:r>
              <w:rPr>
                <w:rFonts w:hint="eastAsia" w:ascii="宋体" w:hAnsiTheme="minorHAnsi" w:eastAsiaTheme="minorEastAsia" w:cstheme="minorBidi"/>
                <w:sz w:val="18"/>
                <w:szCs w:val="18"/>
              </w:rPr>
              <w:t>11</w:t>
            </w:r>
          </w:p>
        </w:tc>
        <w:tc>
          <w:tcPr>
            <w:tcW w:w="898" w:type="pct"/>
            <w:shd w:val="clear" w:color="auto" w:fill="auto"/>
            <w:vAlign w:val="center"/>
          </w:tcPr>
          <w:p w14:paraId="27FD6B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Theme="minorHAnsi" w:eastAsiaTheme="minorEastAsia" w:cstheme="minorBidi"/>
                <w:sz w:val="18"/>
                <w:szCs w:val="18"/>
              </w:rPr>
            </w:pPr>
            <w:r>
              <w:rPr>
                <w:rFonts w:hint="eastAsia" w:ascii="宋体" w:hAnsiTheme="minorHAnsi" w:eastAsiaTheme="minorEastAsia" w:cstheme="minorBidi"/>
                <w:sz w:val="18"/>
                <w:szCs w:val="18"/>
              </w:rPr>
              <w:t>耐腐蚀性能</w:t>
            </w:r>
          </w:p>
        </w:tc>
        <w:tc>
          <w:tcPr>
            <w:tcW w:w="866" w:type="pct"/>
            <w:shd w:val="clear" w:color="auto" w:fill="auto"/>
            <w:vAlign w:val="center"/>
          </w:tcPr>
          <w:p w14:paraId="4019FA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Theme="minorHAnsi" w:eastAsiaTheme="minorEastAsia" w:cstheme="minorBidi"/>
                <w:sz w:val="18"/>
                <w:szCs w:val="18"/>
              </w:rPr>
            </w:pPr>
            <w:r>
              <w:rPr>
                <w:rFonts w:hint="eastAsia" w:ascii="宋体" w:hAnsiTheme="minorHAnsi" w:eastAsiaTheme="minorEastAsia" w:cstheme="minorBidi"/>
                <w:sz w:val="18"/>
                <w:szCs w:val="18"/>
              </w:rPr>
              <w:t>2</w:t>
            </w:r>
          </w:p>
        </w:tc>
        <w:tc>
          <w:tcPr>
            <w:tcW w:w="1137" w:type="pct"/>
            <w:shd w:val="clear" w:color="auto" w:fill="auto"/>
            <w:vAlign w:val="center"/>
          </w:tcPr>
          <w:p w14:paraId="3FBB95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Theme="minorHAnsi" w:eastAsiaTheme="minorEastAsia" w:cstheme="minorBidi"/>
                <w:sz w:val="18"/>
                <w:szCs w:val="18"/>
              </w:rPr>
            </w:pPr>
            <w:r>
              <w:rPr>
                <w:rFonts w:hint="eastAsia" w:ascii="宋体" w:hAnsiTheme="minorHAnsi" w:eastAsiaTheme="minorEastAsia" w:cstheme="minorBidi"/>
                <w:sz w:val="18"/>
                <w:szCs w:val="18"/>
              </w:rPr>
              <w:t>不同支棒材</w:t>
            </w:r>
          </w:p>
        </w:tc>
        <w:tc>
          <w:tcPr>
            <w:tcW w:w="1606" w:type="pct"/>
            <w:shd w:val="clear" w:color="auto" w:fill="auto"/>
            <w:vAlign w:val="center"/>
          </w:tcPr>
          <w:p w14:paraId="1A69462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Theme="minorHAnsi" w:eastAsiaTheme="minorEastAsia" w:cstheme="minorBidi"/>
                <w:sz w:val="18"/>
                <w:szCs w:val="18"/>
              </w:rPr>
            </w:pPr>
            <w:r>
              <w:rPr>
                <w:rFonts w:hint="eastAsia" w:ascii="宋体" w:hAnsiTheme="minorHAnsi" w:eastAsiaTheme="minorEastAsia" w:cstheme="minorBidi"/>
                <w:sz w:val="18"/>
                <w:szCs w:val="18"/>
              </w:rPr>
              <w:t>GB/T 4334</w:t>
            </w:r>
          </w:p>
        </w:tc>
      </w:tr>
      <w:tr w14:paraId="131B2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91" w:type="pct"/>
            <w:shd w:val="clear" w:color="auto" w:fill="auto"/>
            <w:vAlign w:val="center"/>
          </w:tcPr>
          <w:p w14:paraId="565499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Theme="minorHAnsi" w:eastAsiaTheme="minorEastAsia" w:cstheme="minorBidi"/>
                <w:sz w:val="18"/>
                <w:szCs w:val="18"/>
              </w:rPr>
            </w:pPr>
            <w:r>
              <w:rPr>
                <w:rFonts w:hint="eastAsia" w:ascii="宋体" w:hAnsiTheme="minorHAnsi" w:eastAsiaTheme="minorEastAsia" w:cstheme="minorBidi"/>
                <w:sz w:val="18"/>
                <w:szCs w:val="18"/>
              </w:rPr>
              <w:t>12</w:t>
            </w:r>
          </w:p>
        </w:tc>
        <w:tc>
          <w:tcPr>
            <w:tcW w:w="898" w:type="pct"/>
            <w:shd w:val="clear" w:color="auto" w:fill="auto"/>
            <w:vAlign w:val="center"/>
          </w:tcPr>
          <w:p w14:paraId="069CCC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Theme="minorHAnsi" w:eastAsiaTheme="minorEastAsia" w:cstheme="minorBidi"/>
                <w:sz w:val="18"/>
                <w:szCs w:val="18"/>
              </w:rPr>
            </w:pPr>
            <w:r>
              <w:rPr>
                <w:rFonts w:hint="eastAsia" w:ascii="宋体" w:hAnsiTheme="minorHAnsi" w:eastAsiaTheme="minorEastAsia" w:cstheme="minorBidi"/>
                <w:sz w:val="18"/>
                <w:szCs w:val="18"/>
              </w:rPr>
              <w:t>断口检验</w:t>
            </w:r>
          </w:p>
        </w:tc>
        <w:tc>
          <w:tcPr>
            <w:tcW w:w="866" w:type="pct"/>
            <w:shd w:val="clear" w:color="auto" w:fill="auto"/>
            <w:vAlign w:val="center"/>
          </w:tcPr>
          <w:p w14:paraId="486C75D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Theme="minorHAnsi" w:eastAsiaTheme="minorEastAsia" w:cstheme="minorBidi"/>
                <w:sz w:val="18"/>
                <w:szCs w:val="18"/>
              </w:rPr>
            </w:pPr>
            <w:r>
              <w:rPr>
                <w:rFonts w:hint="eastAsia" w:ascii="宋体" w:hAnsiTheme="minorHAnsi" w:eastAsiaTheme="minorEastAsia" w:cstheme="minorBidi"/>
                <w:sz w:val="18"/>
                <w:szCs w:val="18"/>
              </w:rPr>
              <w:t>2</w:t>
            </w:r>
          </w:p>
        </w:tc>
        <w:tc>
          <w:tcPr>
            <w:tcW w:w="1137" w:type="pct"/>
            <w:shd w:val="clear" w:color="auto" w:fill="auto"/>
            <w:vAlign w:val="center"/>
          </w:tcPr>
          <w:p w14:paraId="03F138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Theme="minorHAnsi" w:eastAsiaTheme="minorEastAsia" w:cstheme="minorBidi"/>
                <w:sz w:val="18"/>
                <w:szCs w:val="18"/>
              </w:rPr>
            </w:pPr>
            <w:r>
              <w:rPr>
                <w:rFonts w:hint="eastAsia" w:ascii="宋体" w:hAnsiTheme="minorHAnsi" w:eastAsiaTheme="minorEastAsia" w:cstheme="minorBidi"/>
                <w:sz w:val="18"/>
                <w:szCs w:val="18"/>
              </w:rPr>
              <w:t>不同支棒材</w:t>
            </w:r>
          </w:p>
        </w:tc>
        <w:tc>
          <w:tcPr>
            <w:tcW w:w="1606" w:type="pct"/>
            <w:shd w:val="clear" w:color="auto" w:fill="auto"/>
            <w:vAlign w:val="center"/>
          </w:tcPr>
          <w:p w14:paraId="58175B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Theme="minorHAnsi" w:eastAsiaTheme="minorEastAsia" w:cstheme="minorBidi"/>
                <w:sz w:val="18"/>
                <w:szCs w:val="18"/>
              </w:rPr>
            </w:pPr>
            <w:r>
              <w:rPr>
                <w:rFonts w:hint="eastAsia" w:ascii="宋体" w:hAnsiTheme="minorHAnsi" w:eastAsiaTheme="minorEastAsia" w:cstheme="minorBidi"/>
                <w:sz w:val="18"/>
                <w:szCs w:val="18"/>
              </w:rPr>
              <w:t>GB/T 1814</w:t>
            </w:r>
          </w:p>
        </w:tc>
      </w:tr>
      <w:tr w14:paraId="73D0B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91" w:type="pct"/>
            <w:shd w:val="clear" w:color="auto" w:fill="auto"/>
            <w:vAlign w:val="center"/>
          </w:tcPr>
          <w:p w14:paraId="13F2A5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Theme="minorHAnsi" w:eastAsiaTheme="minorEastAsia" w:cstheme="minorBidi"/>
                <w:sz w:val="18"/>
                <w:szCs w:val="18"/>
              </w:rPr>
            </w:pPr>
            <w:r>
              <w:rPr>
                <w:rFonts w:hint="eastAsia" w:ascii="宋体" w:hAnsiTheme="minorHAnsi" w:eastAsiaTheme="minorEastAsia" w:cstheme="minorBidi"/>
                <w:sz w:val="18"/>
                <w:szCs w:val="18"/>
              </w:rPr>
              <w:t>13</w:t>
            </w:r>
          </w:p>
        </w:tc>
        <w:tc>
          <w:tcPr>
            <w:tcW w:w="898" w:type="pct"/>
            <w:shd w:val="clear" w:color="auto" w:fill="auto"/>
            <w:vAlign w:val="center"/>
          </w:tcPr>
          <w:p w14:paraId="5ED6E4A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Theme="minorHAnsi" w:eastAsiaTheme="minorEastAsia" w:cstheme="minorBidi"/>
                <w:sz w:val="18"/>
                <w:szCs w:val="18"/>
              </w:rPr>
            </w:pPr>
            <w:r>
              <w:rPr>
                <w:rFonts w:hint="eastAsia" w:ascii="宋体" w:hAnsiTheme="minorHAnsi" w:eastAsiaTheme="minorEastAsia" w:cstheme="minorBidi"/>
                <w:sz w:val="18"/>
                <w:szCs w:val="18"/>
              </w:rPr>
              <w:t>尺寸</w:t>
            </w:r>
          </w:p>
        </w:tc>
        <w:tc>
          <w:tcPr>
            <w:tcW w:w="866" w:type="pct"/>
            <w:shd w:val="clear" w:color="auto" w:fill="auto"/>
            <w:vAlign w:val="center"/>
          </w:tcPr>
          <w:p w14:paraId="750DC8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Theme="minorHAnsi" w:eastAsiaTheme="minorEastAsia" w:cstheme="minorBidi"/>
                <w:sz w:val="18"/>
                <w:szCs w:val="18"/>
              </w:rPr>
            </w:pPr>
            <w:r>
              <w:rPr>
                <w:rFonts w:hint="eastAsia" w:ascii="宋体" w:hAnsiTheme="minorHAnsi" w:eastAsiaTheme="minorEastAsia" w:cstheme="minorBidi"/>
                <w:sz w:val="18"/>
                <w:szCs w:val="18"/>
              </w:rPr>
              <w:t>逐支</w:t>
            </w:r>
          </w:p>
        </w:tc>
        <w:tc>
          <w:tcPr>
            <w:tcW w:w="1137" w:type="pct"/>
            <w:shd w:val="clear" w:color="auto" w:fill="auto"/>
            <w:vAlign w:val="center"/>
          </w:tcPr>
          <w:p w14:paraId="2CDC87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Theme="minorHAnsi" w:eastAsiaTheme="minorEastAsia" w:cstheme="minorBidi"/>
                <w:sz w:val="18"/>
                <w:szCs w:val="18"/>
              </w:rPr>
            </w:pPr>
            <w:r>
              <w:rPr>
                <w:rFonts w:hint="eastAsia" w:ascii="宋体" w:hAnsiTheme="minorHAnsi" w:eastAsiaTheme="minorEastAsia" w:cstheme="minorBidi"/>
                <w:sz w:val="18"/>
                <w:szCs w:val="18"/>
              </w:rPr>
              <w:t>整支棒材</w:t>
            </w:r>
          </w:p>
        </w:tc>
        <w:tc>
          <w:tcPr>
            <w:tcW w:w="1606" w:type="pct"/>
            <w:shd w:val="clear" w:color="auto" w:fill="auto"/>
            <w:vAlign w:val="center"/>
          </w:tcPr>
          <w:p w14:paraId="2350F4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Theme="minorHAnsi" w:eastAsiaTheme="minorEastAsia" w:cstheme="minorBidi"/>
                <w:sz w:val="18"/>
                <w:szCs w:val="18"/>
              </w:rPr>
            </w:pPr>
            <w:r>
              <w:rPr>
                <w:rFonts w:hint="eastAsia" w:ascii="宋体" w:hAnsiTheme="minorHAnsi" w:eastAsiaTheme="minorEastAsia" w:cstheme="minorBidi"/>
                <w:sz w:val="18"/>
                <w:szCs w:val="18"/>
              </w:rPr>
              <w:t>千分尺、游标卡尺</w:t>
            </w:r>
          </w:p>
        </w:tc>
      </w:tr>
      <w:tr w14:paraId="05842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91" w:type="pct"/>
            <w:shd w:val="clear" w:color="auto" w:fill="auto"/>
            <w:vAlign w:val="center"/>
          </w:tcPr>
          <w:p w14:paraId="289F4B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Theme="minorHAnsi" w:eastAsiaTheme="minorEastAsia" w:cstheme="minorBidi"/>
                <w:sz w:val="18"/>
                <w:szCs w:val="18"/>
              </w:rPr>
            </w:pPr>
            <w:r>
              <w:rPr>
                <w:rFonts w:hint="eastAsia" w:ascii="宋体" w:hAnsiTheme="minorHAnsi" w:eastAsiaTheme="minorEastAsia" w:cstheme="minorBidi"/>
                <w:sz w:val="18"/>
                <w:szCs w:val="18"/>
              </w:rPr>
              <w:t>14</w:t>
            </w:r>
          </w:p>
        </w:tc>
        <w:tc>
          <w:tcPr>
            <w:tcW w:w="898" w:type="pct"/>
            <w:shd w:val="clear" w:color="auto" w:fill="auto"/>
            <w:vAlign w:val="center"/>
          </w:tcPr>
          <w:p w14:paraId="023251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Theme="minorHAnsi" w:eastAsiaTheme="minorEastAsia" w:cstheme="minorBidi"/>
                <w:sz w:val="18"/>
                <w:szCs w:val="18"/>
              </w:rPr>
            </w:pPr>
            <w:r>
              <w:rPr>
                <w:rFonts w:hint="eastAsia" w:ascii="宋体" w:hAnsiTheme="minorHAnsi" w:eastAsiaTheme="minorEastAsia" w:cstheme="minorBidi"/>
                <w:sz w:val="18"/>
                <w:szCs w:val="18"/>
              </w:rPr>
              <w:t>表面</w:t>
            </w:r>
          </w:p>
        </w:tc>
        <w:tc>
          <w:tcPr>
            <w:tcW w:w="866" w:type="pct"/>
            <w:shd w:val="clear" w:color="auto" w:fill="auto"/>
            <w:vAlign w:val="center"/>
          </w:tcPr>
          <w:p w14:paraId="5F77C2E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Theme="minorHAnsi" w:eastAsiaTheme="minorEastAsia" w:cstheme="minorBidi"/>
                <w:sz w:val="18"/>
                <w:szCs w:val="18"/>
              </w:rPr>
            </w:pPr>
            <w:r>
              <w:rPr>
                <w:rFonts w:hint="eastAsia" w:ascii="宋体" w:hAnsiTheme="minorHAnsi" w:eastAsiaTheme="minorEastAsia" w:cstheme="minorBidi"/>
                <w:sz w:val="18"/>
                <w:szCs w:val="18"/>
              </w:rPr>
              <w:t>逐支</w:t>
            </w:r>
          </w:p>
        </w:tc>
        <w:tc>
          <w:tcPr>
            <w:tcW w:w="1137" w:type="pct"/>
            <w:shd w:val="clear" w:color="auto" w:fill="auto"/>
            <w:vAlign w:val="center"/>
          </w:tcPr>
          <w:p w14:paraId="107C73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Theme="minorHAnsi" w:eastAsiaTheme="minorEastAsia" w:cstheme="minorBidi"/>
                <w:sz w:val="18"/>
                <w:szCs w:val="18"/>
              </w:rPr>
            </w:pPr>
            <w:r>
              <w:rPr>
                <w:rFonts w:hint="eastAsia" w:ascii="宋体" w:hAnsiTheme="minorHAnsi" w:eastAsiaTheme="minorEastAsia" w:cstheme="minorBidi"/>
                <w:sz w:val="18"/>
                <w:szCs w:val="18"/>
              </w:rPr>
              <w:t>整支棒材</w:t>
            </w:r>
          </w:p>
        </w:tc>
        <w:tc>
          <w:tcPr>
            <w:tcW w:w="1606" w:type="pct"/>
            <w:shd w:val="clear" w:color="auto" w:fill="auto"/>
            <w:vAlign w:val="center"/>
          </w:tcPr>
          <w:p w14:paraId="117661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Theme="minorHAnsi" w:eastAsiaTheme="minorEastAsia" w:cstheme="minorBidi"/>
                <w:sz w:val="18"/>
                <w:szCs w:val="18"/>
              </w:rPr>
            </w:pPr>
            <w:r>
              <w:rPr>
                <w:rFonts w:hint="eastAsia" w:ascii="宋体" w:hAnsiTheme="minorHAnsi" w:eastAsiaTheme="minorEastAsia" w:cstheme="minorBidi"/>
                <w:sz w:val="18"/>
                <w:szCs w:val="18"/>
              </w:rPr>
              <w:t>GB/T 10610、目视</w:t>
            </w:r>
          </w:p>
        </w:tc>
      </w:tr>
    </w:tbl>
    <w:p w14:paraId="3A062C2D">
      <w:pPr>
        <w:pStyle w:val="47"/>
        <w:spacing w:before="156" w:after="156"/>
        <w:ind w:left="0"/>
        <w:rPr>
          <w:rFonts w:ascii="Times New Roman"/>
        </w:rPr>
      </w:pPr>
      <w:r>
        <w:rPr>
          <w:rFonts w:hint="eastAsia" w:ascii="Times New Roman"/>
        </w:rPr>
        <w:t>化学成分检测方法</w:t>
      </w:r>
    </w:p>
    <w:p w14:paraId="19D98E6B">
      <w:pPr>
        <w:ind w:firstLine="420" w:firstLineChars="200"/>
        <w:rPr>
          <w:rFonts w:hint="default"/>
          <w:lang w:val="en-US"/>
        </w:rPr>
      </w:pPr>
      <w:r>
        <w:rPr>
          <w:rFonts w:hint="eastAsia"/>
          <w:szCs w:val="21"/>
          <w:lang w:eastAsia="zh-CN"/>
        </w:rPr>
        <w:t>银亮钢</w:t>
      </w:r>
      <w:r>
        <w:rPr>
          <w:rFonts w:hint="eastAsia"/>
          <w:szCs w:val="21"/>
        </w:rPr>
        <w:t>的化学成分（氧含量除外）按</w:t>
      </w:r>
      <w:r>
        <w:rPr>
          <w:color w:val="000000" w:themeColor="text1"/>
          <w14:textFill>
            <w14:solidFill>
              <w14:schemeClr w14:val="tx1"/>
            </w14:solidFill>
          </w14:textFill>
        </w:rPr>
        <w:t>GB/T 4336</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GB/T</w:t>
      </w:r>
      <w:r>
        <w:rPr>
          <w:rFonts w:hint="eastAsia"/>
          <w:color w:val="000000" w:themeColor="text1"/>
          <w:lang w:val="en-US" w:eastAsia="zh-CN"/>
          <w14:textFill>
            <w14:solidFill>
              <w14:schemeClr w14:val="tx1"/>
            </w14:solidFill>
          </w14:textFill>
        </w:rPr>
        <w:t>20066，</w:t>
      </w:r>
      <w:r>
        <w:rPr>
          <w:color w:val="000000" w:themeColor="text1"/>
          <w14:textFill>
            <w14:solidFill>
              <w14:schemeClr w14:val="tx1"/>
            </w14:solidFill>
          </w14:textFill>
        </w:rPr>
        <w:t xml:space="preserve">GB/T </w:t>
      </w:r>
      <w:r>
        <w:rPr>
          <w:rFonts w:hint="eastAsia"/>
          <w:color w:val="000000" w:themeColor="text1"/>
          <w14:textFill>
            <w14:solidFill>
              <w14:schemeClr w14:val="tx1"/>
            </w14:solidFill>
          </w14:textFill>
        </w:rPr>
        <w:t>20123，</w:t>
      </w:r>
      <w:r>
        <w:rPr>
          <w:color w:val="000000" w:themeColor="text1"/>
          <w14:textFill>
            <w14:solidFill>
              <w14:schemeClr w14:val="tx1"/>
            </w14:solidFill>
          </w14:textFill>
        </w:rPr>
        <w:t xml:space="preserve">GB/T </w:t>
      </w:r>
      <w:r>
        <w:rPr>
          <w:rFonts w:hint="eastAsia"/>
          <w:color w:val="000000" w:themeColor="text1"/>
          <w14:textFill>
            <w14:solidFill>
              <w14:schemeClr w14:val="tx1"/>
            </w14:solidFill>
          </w14:textFill>
        </w:rPr>
        <w:t>20124或通用的实验方法进行分析。</w:t>
      </w:r>
      <w:r>
        <w:rPr>
          <w:rFonts w:hint="eastAsia"/>
          <w:color w:val="000000" w:themeColor="text1"/>
          <w:lang w:val="en-US" w:eastAsia="zh-CN"/>
          <w14:textFill>
            <w14:solidFill>
              <w14:schemeClr w14:val="tx1"/>
            </w14:solidFill>
          </w14:textFill>
        </w:rPr>
        <w:t>仲裁时按</w:t>
      </w:r>
      <w:r>
        <w:t>GB/T 223.11</w:t>
      </w:r>
      <w:r>
        <w:rPr>
          <w:rFonts w:hint="eastAsia"/>
        </w:rPr>
        <w:t>、</w:t>
      </w:r>
      <w:r>
        <w:t>GB/T 223.25</w:t>
      </w:r>
      <w:r>
        <w:rPr>
          <w:rFonts w:hint="eastAsia"/>
        </w:rPr>
        <w:t>、</w:t>
      </w:r>
      <w:r>
        <w:t>GB/T 223.59</w:t>
      </w:r>
      <w:r>
        <w:rPr>
          <w:rFonts w:hint="eastAsia"/>
        </w:rPr>
        <w:t>、</w:t>
      </w:r>
      <w:r>
        <w:rPr>
          <w:color w:val="000000" w:themeColor="text1"/>
          <w14:textFill>
            <w14:solidFill>
              <w14:schemeClr w14:val="tx1"/>
            </w14:solidFill>
          </w14:textFill>
        </w:rPr>
        <w:t>GB/T 223.60</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GB/T 223.63</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GB/T 223.</w:t>
      </w:r>
      <w:r>
        <w:rPr>
          <w:rFonts w:hint="eastAsia"/>
          <w:color w:val="000000" w:themeColor="text1"/>
          <w:lang w:val="en-US" w:eastAsia="zh-CN"/>
          <w14:textFill>
            <w14:solidFill>
              <w14:schemeClr w14:val="tx1"/>
            </w14:solidFill>
          </w14:textFill>
        </w:rPr>
        <w:t>84的要求进行。</w:t>
      </w:r>
    </w:p>
    <w:p w14:paraId="4A397111">
      <w:pPr>
        <w:pStyle w:val="45"/>
        <w:numPr>
          <w:ilvl w:val="0"/>
          <w:numId w:val="2"/>
        </w:numPr>
        <w:spacing w:before="312" w:after="312"/>
        <w:rPr>
          <w:rFonts w:ascii="Times New Roman"/>
        </w:rPr>
      </w:pPr>
      <w:r>
        <w:rPr>
          <w:rFonts w:hint="eastAsia" w:ascii="Times New Roman"/>
        </w:rPr>
        <w:t>检验规则</w:t>
      </w:r>
    </w:p>
    <w:p w14:paraId="18B37CFC">
      <w:pPr>
        <w:pStyle w:val="47"/>
        <w:spacing w:before="156" w:after="156"/>
        <w:ind w:left="0"/>
        <w:rPr>
          <w:rFonts w:ascii="Times New Roman"/>
        </w:rPr>
      </w:pPr>
      <w:r>
        <w:rPr>
          <w:rFonts w:hint="eastAsia" w:ascii="Times New Roman"/>
        </w:rPr>
        <w:t>检查和验收</w:t>
      </w:r>
    </w:p>
    <w:p w14:paraId="38CE80ED">
      <w:pPr>
        <w:pStyle w:val="22"/>
        <w:rPr>
          <w:rFonts w:hint="default" w:eastAsia="宋体"/>
          <w:lang w:val="en-US" w:eastAsia="zh-CN"/>
        </w:rPr>
      </w:pPr>
      <w:r>
        <w:rPr>
          <w:rFonts w:hint="eastAsia"/>
          <w:lang w:eastAsia="zh-CN"/>
        </w:rPr>
        <w:t>银亮钢</w:t>
      </w:r>
      <w:r>
        <w:t>的检查和验收由供方质量部门进行。</w:t>
      </w:r>
      <w:r>
        <w:rPr>
          <w:rFonts w:hint="eastAsia"/>
          <w:lang w:val="en-US" w:eastAsia="zh-CN"/>
        </w:rPr>
        <w:t>需方有权在钢材上按本文件进行验收。</w:t>
      </w:r>
    </w:p>
    <w:p w14:paraId="6534D279">
      <w:pPr>
        <w:pStyle w:val="47"/>
        <w:spacing w:before="156" w:after="156"/>
        <w:ind w:left="0"/>
        <w:rPr>
          <w:rFonts w:ascii="Times New Roman"/>
        </w:rPr>
      </w:pPr>
      <w:r>
        <w:rPr>
          <w:rFonts w:hint="eastAsia" w:ascii="Times New Roman"/>
        </w:rPr>
        <w:t>组批规则</w:t>
      </w:r>
    </w:p>
    <w:p w14:paraId="367B45A6">
      <w:pPr>
        <w:pStyle w:val="22"/>
        <w:rPr>
          <w:rFonts w:ascii="Times New Roman"/>
        </w:rPr>
      </w:pPr>
      <w:r>
        <w:rPr>
          <w:rFonts w:hint="eastAsia" w:ascii="Times New Roman"/>
          <w:lang w:eastAsia="zh-CN"/>
        </w:rPr>
        <w:t>银亮钢</w:t>
      </w:r>
      <w:r>
        <w:rPr>
          <w:rFonts w:ascii="Times New Roman"/>
        </w:rPr>
        <w:t>应按批检查和验收，每批应由同一牌号、同一炉号、同一加工方法、同一规格和同一热处理炉次（用连续炉热处理时为同一热处理制度）的</w:t>
      </w:r>
      <w:r>
        <w:rPr>
          <w:rFonts w:hint="eastAsia" w:ascii="Times New Roman"/>
          <w:lang w:eastAsia="zh-CN"/>
        </w:rPr>
        <w:t>银亮钢</w:t>
      </w:r>
      <w:r>
        <w:rPr>
          <w:rFonts w:ascii="Times New Roman"/>
        </w:rPr>
        <w:t>组成。</w:t>
      </w:r>
    </w:p>
    <w:p w14:paraId="00E4AEE1">
      <w:pPr>
        <w:pStyle w:val="47"/>
        <w:spacing w:before="156" w:after="156"/>
        <w:ind w:left="0"/>
        <w:rPr>
          <w:rFonts w:ascii="Times New Roman"/>
        </w:rPr>
      </w:pPr>
      <w:r>
        <w:rPr>
          <w:rFonts w:hint="eastAsia" w:ascii="Times New Roman"/>
          <w:lang w:val="en-US" w:eastAsia="zh-CN"/>
        </w:rPr>
        <w:t>取样数量和取样部位</w:t>
      </w:r>
    </w:p>
    <w:p w14:paraId="1FADEABF">
      <w:pPr>
        <w:pStyle w:val="22"/>
        <w:rPr>
          <w:rFonts w:hint="default"/>
          <w:lang w:val="en-US"/>
        </w:rPr>
      </w:pPr>
      <w:r>
        <w:rPr>
          <w:rFonts w:hint="eastAsia" w:ascii="Times New Roman"/>
          <w:lang w:val="en-US" w:eastAsia="zh-CN"/>
        </w:rPr>
        <w:t>每批钢材的取样数量和取样部位应符合表8的规定。</w:t>
      </w:r>
    </w:p>
    <w:p w14:paraId="322BB50B">
      <w:pPr>
        <w:pStyle w:val="47"/>
        <w:spacing w:before="156" w:after="156"/>
        <w:ind w:left="0"/>
        <w:rPr>
          <w:rFonts w:ascii="Times New Roman"/>
        </w:rPr>
      </w:pPr>
      <w:r>
        <w:rPr>
          <w:rFonts w:ascii="Times New Roman"/>
        </w:rPr>
        <w:t>复验和判定规则</w:t>
      </w:r>
    </w:p>
    <w:p w14:paraId="1042C4B6">
      <w:pPr>
        <w:pStyle w:val="50"/>
        <w:spacing w:before="156" w:after="156"/>
      </w:pPr>
      <w:r>
        <w:rPr>
          <w:rFonts w:hint="eastAsia" w:ascii="Times New Roman" w:hAnsi="Times New Roman" w:eastAsia="宋体" w:cs="Times New Roman"/>
          <w:sz w:val="21"/>
          <w:lang w:val="en-US" w:eastAsia="zh-CN" w:bidi="ar-SA"/>
        </w:rPr>
        <w:t>钢材的复验和判定应符合GB/T</w:t>
      </w:r>
      <w:r>
        <w:rPr>
          <w:rFonts w:hint="eastAsia" w:ascii="Times New Roman" w:eastAsia="宋体" w:cs="Times New Roman"/>
          <w:sz w:val="21"/>
          <w:lang w:val="en-US" w:eastAsia="zh-CN" w:bidi="ar-SA"/>
        </w:rPr>
        <w:t xml:space="preserve"> </w:t>
      </w:r>
      <w:r>
        <w:rPr>
          <w:rFonts w:hint="eastAsia" w:ascii="Times New Roman" w:hAnsi="Times New Roman" w:eastAsia="宋体" w:cs="Times New Roman"/>
          <w:sz w:val="21"/>
          <w:lang w:val="en-US" w:eastAsia="zh-CN" w:bidi="ar-SA"/>
        </w:rPr>
        <w:t>2101的规定</w:t>
      </w:r>
      <w:r>
        <w:rPr>
          <w:rFonts w:hint="eastAsia" w:ascii="Times New Roman" w:eastAsia="宋体" w:cs="Times New Roman"/>
          <w:sz w:val="21"/>
          <w:lang w:val="en-US" w:eastAsia="zh-CN" w:bidi="ar-SA"/>
        </w:rPr>
        <w:t>。</w:t>
      </w:r>
    </w:p>
    <w:p w14:paraId="51CD2243">
      <w:pPr>
        <w:pStyle w:val="50"/>
        <w:spacing w:before="156" w:after="156"/>
        <w:rPr>
          <w:rFonts w:ascii="Times New Roman"/>
        </w:rPr>
      </w:pPr>
      <w:r>
        <w:rPr>
          <w:rFonts w:hint="eastAsia" w:ascii="Times New Roman" w:hAnsi="Times New Roman" w:eastAsia="宋体" w:cs="Times New Roman"/>
          <w:sz w:val="21"/>
          <w:lang w:val="en-US" w:eastAsia="zh-CN" w:bidi="ar-SA"/>
        </w:rPr>
        <w:t>供方若能保证银亮钢合格，对同一炉号的银亮钢或坯的力学性能、低倍组织、非金属夹杂物的检验结果，允许以坯代材、以大代小。</w:t>
      </w:r>
    </w:p>
    <w:p w14:paraId="45A8582E">
      <w:pPr>
        <w:pStyle w:val="47"/>
        <w:spacing w:before="156" w:after="156"/>
        <w:ind w:left="0"/>
        <w:rPr>
          <w:rFonts w:ascii="Times New Roman"/>
        </w:rPr>
      </w:pPr>
      <w:r>
        <w:rPr>
          <w:rFonts w:ascii="Times New Roman"/>
        </w:rPr>
        <w:t>数值修约</w:t>
      </w:r>
    </w:p>
    <w:p w14:paraId="664BAF81">
      <w:pPr>
        <w:pStyle w:val="22"/>
        <w:rPr>
          <w:rFonts w:ascii="Times New Roman"/>
          <w:szCs w:val="21"/>
        </w:rPr>
      </w:pPr>
      <w:r>
        <w:rPr>
          <w:rFonts w:ascii="Times New Roman"/>
          <w:szCs w:val="21"/>
        </w:rPr>
        <w:t>试验和检验结果应采用修约值比较法修约到与规定值本位数字所表示的数位相一致，其修约规则应符合GB/T 8170的规定。</w:t>
      </w:r>
    </w:p>
    <w:p w14:paraId="0098DD0E">
      <w:pPr>
        <w:pStyle w:val="45"/>
        <w:numPr>
          <w:ilvl w:val="0"/>
          <w:numId w:val="2"/>
        </w:numPr>
        <w:spacing w:before="312" w:after="312"/>
        <w:rPr>
          <w:rFonts w:ascii="Times New Roman"/>
        </w:rPr>
      </w:pPr>
      <w:r>
        <w:rPr>
          <w:rFonts w:ascii="Times New Roman"/>
        </w:rPr>
        <w:t>包装、标志和质量证明书</w:t>
      </w:r>
    </w:p>
    <w:p w14:paraId="036518DD">
      <w:pPr>
        <w:pStyle w:val="22"/>
      </w:pPr>
      <w:r>
        <w:rPr>
          <w:rFonts w:ascii="Times New Roman"/>
        </w:rPr>
        <w:t>包装标志和质量证明书应符合</w:t>
      </w:r>
      <w:r>
        <w:rPr>
          <w:rFonts w:ascii="Times New Roman"/>
          <w:szCs w:val="21"/>
        </w:rPr>
        <w:t>GB/T 2101和GB/T 2103的规定</w:t>
      </w:r>
      <w:r>
        <w:rPr>
          <w:rFonts w:hint="eastAsia" w:ascii="Times New Roman"/>
          <w:szCs w:val="21"/>
        </w:rPr>
        <w:t>。</w:t>
      </w:r>
    </w:p>
    <w:p w14:paraId="5877814B">
      <w:pPr>
        <w:rPr>
          <w:szCs w:val="20"/>
        </w:rPr>
      </w:pPr>
    </w:p>
    <w:p w14:paraId="7BA8099E">
      <w:pPr>
        <w:rPr>
          <w:szCs w:val="20"/>
        </w:rPr>
      </w:pPr>
    </w:p>
    <w:p w14:paraId="7885FE83">
      <w:pPr>
        <w:rPr>
          <w:szCs w:val="20"/>
        </w:rPr>
      </w:pPr>
    </w:p>
    <w:p w14:paraId="4781DB34">
      <w:pPr>
        <w:rPr>
          <w:szCs w:val="20"/>
        </w:rPr>
      </w:pPr>
    </w:p>
    <w:p w14:paraId="5BC33E38">
      <w:pPr>
        <w:rPr>
          <w:szCs w:val="20"/>
        </w:rPr>
      </w:pPr>
    </w:p>
    <w:p w14:paraId="6C36CC7F">
      <w:pPr>
        <w:rPr>
          <w:szCs w:val="20"/>
        </w:rPr>
      </w:pPr>
    </w:p>
    <w:p w14:paraId="2D41C43C">
      <w:pPr>
        <w:rPr>
          <w:szCs w:val="20"/>
        </w:rPr>
        <w:sectPr>
          <w:headerReference r:id="rId14" w:type="default"/>
          <w:footerReference r:id="rId15" w:type="default"/>
          <w:pgSz w:w="11906" w:h="16838"/>
          <w:pgMar w:top="567" w:right="1134" w:bottom="1134" w:left="1418" w:header="1418" w:footer="1134" w:gutter="0"/>
          <w:cols w:space="720" w:num="1"/>
          <w:formProt w:val="0"/>
          <w:docGrid w:type="lines" w:linePitch="312" w:charSpace="0"/>
        </w:sectPr>
      </w:pPr>
    </w:p>
    <w:p w14:paraId="564432B7">
      <w:pPr>
        <w:keepNext/>
        <w:widowControl/>
        <w:shd w:val="clear" w:color="FFFFFF" w:fill="auto"/>
        <w:tabs>
          <w:tab w:val="left" w:pos="360"/>
          <w:tab w:val="left" w:pos="6405"/>
        </w:tabs>
        <w:spacing w:before="640" w:after="280"/>
        <w:jc w:val="center"/>
        <w:outlineLvl w:val="0"/>
        <w:rPr>
          <w:rFonts w:eastAsia="黑体"/>
          <w:kern w:val="0"/>
          <w:szCs w:val="21"/>
        </w:rPr>
      </w:pPr>
      <w:bookmarkStart w:id="28" w:name="_Toc123746868"/>
      <w:r>
        <w:rPr>
          <w:rFonts w:eastAsia="黑体"/>
          <w:kern w:val="0"/>
          <w:szCs w:val="21"/>
        </w:rPr>
        <w:t>附　录　A</w:t>
      </w:r>
      <w:bookmarkStart w:id="29" w:name="_Toc5802968"/>
    </w:p>
    <w:p w14:paraId="115A6EE6">
      <w:pPr>
        <w:keepNext/>
        <w:widowControl/>
        <w:shd w:val="clear" w:color="FFFFFF" w:fill="auto"/>
        <w:tabs>
          <w:tab w:val="left" w:pos="360"/>
          <w:tab w:val="left" w:pos="6405"/>
        </w:tabs>
        <w:spacing w:before="640" w:after="280"/>
        <w:jc w:val="center"/>
        <w:outlineLvl w:val="0"/>
        <w:rPr>
          <w:rFonts w:eastAsia="黑体"/>
          <w:kern w:val="0"/>
          <w:szCs w:val="21"/>
        </w:rPr>
      </w:pPr>
      <w:r>
        <w:rPr>
          <w:rFonts w:eastAsia="黑体"/>
          <w:kern w:val="0"/>
          <w:szCs w:val="21"/>
        </w:rPr>
        <w:t>（</w:t>
      </w:r>
      <w:r>
        <w:rPr>
          <w:rFonts w:hint="eastAsia" w:eastAsia="黑体"/>
          <w:kern w:val="0"/>
          <w:szCs w:val="21"/>
        </w:rPr>
        <w:t>资料性</w:t>
      </w:r>
      <w:r>
        <w:rPr>
          <w:rFonts w:eastAsia="黑体"/>
          <w:kern w:val="0"/>
          <w:szCs w:val="21"/>
        </w:rPr>
        <w:t>）</w:t>
      </w:r>
      <w:bookmarkEnd w:id="28"/>
      <w:bookmarkEnd w:id="29"/>
    </w:p>
    <w:p w14:paraId="555D2DEB">
      <w: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ragraph">
                  <wp:posOffset>171450</wp:posOffset>
                </wp:positionV>
                <wp:extent cx="1925955" cy="0"/>
                <wp:effectExtent l="0" t="0" r="17145" b="0"/>
                <wp:wrapNone/>
                <wp:docPr id="1" name="AutoShape 3"/>
                <wp:cNvGraphicFramePr/>
                <a:graphic xmlns:a="http://schemas.openxmlformats.org/drawingml/2006/main">
                  <a:graphicData uri="http://schemas.microsoft.com/office/word/2010/wordprocessingShape">
                    <wps:wsp>
                      <wps:cNvCnPr>
                        <a:cxnSpLocks noChangeShapeType="1"/>
                      </wps:cNvCnPr>
                      <wps:spPr bwMode="auto">
                        <a:xfrm>
                          <a:off x="0" y="0"/>
                          <a:ext cx="1925955" cy="0"/>
                        </a:xfrm>
                        <a:prstGeom prst="straightConnector1">
                          <a:avLst/>
                        </a:prstGeom>
                        <a:noFill/>
                        <a:ln w="9525">
                          <a:solidFill>
                            <a:srgbClr val="000000"/>
                          </a:solidFill>
                          <a:round/>
                        </a:ln>
                      </wps:spPr>
                      <wps:bodyPr/>
                    </wps:wsp>
                  </a:graphicData>
                </a:graphic>
              </wp:anchor>
            </w:drawing>
          </mc:Choice>
          <mc:Fallback>
            <w:pict>
              <v:shape id="AutoShape 3" o:spid="_x0000_s1026" o:spt="32" type="#_x0000_t32" style="position:absolute;left:0pt;margin-top:13.5pt;height:0pt;width:151.65pt;mso-position-horizontal:center;mso-position-horizontal-relative:page;z-index:251659264;mso-width-relative:page;mso-height-relative:page;" filled="f" stroked="t" coordsize="21600,21600" o:gfxdata="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fEZypNUAAAAGAQAADwAAAAAAAAABACAAAAAi&#10;AAAAZHJzL2Rvd25yZXYueG1sUEsBAhQAFAAAAAgAh07iQIz9qefUAQAAsgMAAA4AAAAAAAAAAQAg&#10;AAAAJAEAAGRycy9lMm9Eb2MueG1sUEsFBgAAAAAGAAYAWQEAAGoFAAAAAA==&#10;">
                <v:fill on="f" focussize="0,0"/>
                <v:stroke color="#000000" joinstyle="round"/>
                <v:imagedata o:title=""/>
                <o:lock v:ext="edit" aspectratio="f"/>
              </v:shape>
            </w:pict>
          </mc:Fallback>
        </mc:AlternateContent>
      </w:r>
    </w:p>
    <w:sectPr>
      <w:pgSz w:w="16838" w:h="11906" w:orient="landscape"/>
      <w:pgMar w:top="1418" w:right="567" w:bottom="1134" w:left="1134" w:header="1418" w:footer="1134" w:gutter="0"/>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26844">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019A8">
    <w:pPr>
      <w:pStyle w:val="1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3C838">
    <w:pPr>
      <w:pStyle w:val="92"/>
    </w:pPr>
    <w:r>
      <w:fldChar w:fldCharType="begin"/>
    </w:r>
    <w:r>
      <w:instrText xml:space="preserve"> PAGE  \* MERGEFORMAT </w:instrText>
    </w:r>
    <w:r>
      <w:fldChar w:fldCharType="separate"/>
    </w:r>
    <w: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1861434"/>
    </w:sdtPr>
    <w:sdtContent>
      <w:p w14:paraId="0A204A7A">
        <w:pPr>
          <w:pStyle w:val="16"/>
          <w:jc w:val="left"/>
        </w:pPr>
        <w:r>
          <w:fldChar w:fldCharType="begin"/>
        </w:r>
        <w:r>
          <w:instrText xml:space="preserve">PAGE   \* MERGEFORMAT</w:instrText>
        </w:r>
        <w:r>
          <w:fldChar w:fldCharType="separate"/>
        </w:r>
        <w:r>
          <w:rPr>
            <w:lang w:val="zh-CN"/>
          </w:rPr>
          <w:t>8</w:t>
        </w:r>
        <w:r>
          <w:rPr>
            <w:lang w:val="zh-CN"/>
          </w:rPr>
          <w:fldChar w:fldCharType="end"/>
        </w:r>
      </w:p>
    </w:sdtContent>
  </w:sdt>
  <w:p w14:paraId="13D5E06C">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DB692">
    <w:pPr>
      <w:pStyle w:val="1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F7CC3">
    <w:pPr>
      <w:pStyle w:val="92"/>
    </w:pPr>
    <w:r>
      <w:fldChar w:fldCharType="begin"/>
    </w:r>
    <w:r>
      <w:instrText xml:space="preserve"> PAGE  \* MERGEFORMAT </w:instrText>
    </w:r>
    <w:r>
      <w:fldChar w:fldCharType="separate"/>
    </w:r>
    <w:r>
      <w:t>7</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8209A">
    <w:pPr>
      <w:pStyle w:val="17"/>
      <w:wordWrap w:val="0"/>
      <w:jc w:val="right"/>
      <w:rPr>
        <w:rFonts w:ascii="黑体" w:eastAsia="黑体"/>
        <w:b/>
        <w:sz w:val="21"/>
        <w:szCs w:val="21"/>
      </w:rPr>
    </w:pPr>
    <w:r>
      <w:rPr>
        <w:rFonts w:ascii="黑体" w:eastAsia="黑体"/>
        <w:i/>
        <w:sz w:val="21"/>
        <w:szCs w:val="21"/>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69CC2">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F4000">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2A711">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39EFF">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8E82A">
    <w:pPr>
      <w:pStyle w:val="1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ECCB7">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7"/>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50"/>
      <w:suff w:val="nothing"/>
      <w:lvlText w:val="%1.%2.%3　"/>
      <w:lvlJc w:val="left"/>
      <w:pPr>
        <w:ind w:left="567"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46260FA"/>
    <w:multiLevelType w:val="multilevel"/>
    <w:tmpl w:val="646260FA"/>
    <w:lvl w:ilvl="0" w:tentative="0">
      <w:start w:val="1"/>
      <w:numFmt w:val="decimal"/>
      <w:pStyle w:val="77"/>
      <w:suff w:val="nothing"/>
      <w:lvlText w:val="表%1　"/>
      <w:lvlJc w:val="left"/>
      <w:pPr>
        <w:ind w:left="4111"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66F21F56"/>
    <w:multiLevelType w:val="multilevel"/>
    <w:tmpl w:val="66F21F56"/>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3">
    <w:nsid w:val="6999B302"/>
    <w:multiLevelType w:val="singleLevel"/>
    <w:tmpl w:val="6999B302"/>
    <w:lvl w:ilvl="0" w:tentative="0">
      <w:start w:val="1"/>
      <w:numFmt w:val="lowerLetter"/>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removePersonalInformation/>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xY2M1MTFiNDYxNDNkNzhiMDQzYzE3Mzc3ODRlN2YifQ=="/>
  </w:docVars>
  <w:rsids>
    <w:rsidRoot w:val="00035925"/>
    <w:rsid w:val="00000097"/>
    <w:rsid w:val="00000244"/>
    <w:rsid w:val="0000185F"/>
    <w:rsid w:val="0000586F"/>
    <w:rsid w:val="00005D79"/>
    <w:rsid w:val="00007340"/>
    <w:rsid w:val="00012931"/>
    <w:rsid w:val="00012FD9"/>
    <w:rsid w:val="00013D86"/>
    <w:rsid w:val="00013E02"/>
    <w:rsid w:val="00017E7B"/>
    <w:rsid w:val="00020414"/>
    <w:rsid w:val="0002143C"/>
    <w:rsid w:val="00022016"/>
    <w:rsid w:val="000238EC"/>
    <w:rsid w:val="00025A65"/>
    <w:rsid w:val="000267B2"/>
    <w:rsid w:val="00026C31"/>
    <w:rsid w:val="00027280"/>
    <w:rsid w:val="000306E3"/>
    <w:rsid w:val="000320A7"/>
    <w:rsid w:val="00035925"/>
    <w:rsid w:val="000366F4"/>
    <w:rsid w:val="00037DAC"/>
    <w:rsid w:val="00041127"/>
    <w:rsid w:val="00043CBA"/>
    <w:rsid w:val="00044151"/>
    <w:rsid w:val="000452EA"/>
    <w:rsid w:val="00045C9B"/>
    <w:rsid w:val="000466F7"/>
    <w:rsid w:val="000500D7"/>
    <w:rsid w:val="000519F6"/>
    <w:rsid w:val="000560BE"/>
    <w:rsid w:val="000639E9"/>
    <w:rsid w:val="00063E76"/>
    <w:rsid w:val="0006621E"/>
    <w:rsid w:val="00067195"/>
    <w:rsid w:val="00067CDF"/>
    <w:rsid w:val="00074FBE"/>
    <w:rsid w:val="000772BB"/>
    <w:rsid w:val="00077E45"/>
    <w:rsid w:val="000818DD"/>
    <w:rsid w:val="00083A09"/>
    <w:rsid w:val="00084182"/>
    <w:rsid w:val="0009005E"/>
    <w:rsid w:val="00090E08"/>
    <w:rsid w:val="00092857"/>
    <w:rsid w:val="00094BD2"/>
    <w:rsid w:val="00097C30"/>
    <w:rsid w:val="000A0ECA"/>
    <w:rsid w:val="000A20A9"/>
    <w:rsid w:val="000A3AE3"/>
    <w:rsid w:val="000A48B1"/>
    <w:rsid w:val="000A5495"/>
    <w:rsid w:val="000B3143"/>
    <w:rsid w:val="000B426E"/>
    <w:rsid w:val="000B4717"/>
    <w:rsid w:val="000B55CC"/>
    <w:rsid w:val="000B5635"/>
    <w:rsid w:val="000C30C7"/>
    <w:rsid w:val="000C4525"/>
    <w:rsid w:val="000C65B7"/>
    <w:rsid w:val="000C6B05"/>
    <w:rsid w:val="000C6DD6"/>
    <w:rsid w:val="000C73D4"/>
    <w:rsid w:val="000C7A31"/>
    <w:rsid w:val="000D03F1"/>
    <w:rsid w:val="000D114F"/>
    <w:rsid w:val="000D3D4C"/>
    <w:rsid w:val="000D4406"/>
    <w:rsid w:val="000D4505"/>
    <w:rsid w:val="000D4F51"/>
    <w:rsid w:val="000D718B"/>
    <w:rsid w:val="000E09DB"/>
    <w:rsid w:val="000E0C46"/>
    <w:rsid w:val="000E3EC7"/>
    <w:rsid w:val="000F030C"/>
    <w:rsid w:val="000F04B4"/>
    <w:rsid w:val="000F129C"/>
    <w:rsid w:val="000F1783"/>
    <w:rsid w:val="000F22C0"/>
    <w:rsid w:val="00101058"/>
    <w:rsid w:val="00101FFA"/>
    <w:rsid w:val="001022F6"/>
    <w:rsid w:val="001056DE"/>
    <w:rsid w:val="00106FB9"/>
    <w:rsid w:val="00111863"/>
    <w:rsid w:val="001124C0"/>
    <w:rsid w:val="001145B3"/>
    <w:rsid w:val="00114E18"/>
    <w:rsid w:val="001150BD"/>
    <w:rsid w:val="001170C7"/>
    <w:rsid w:val="00117801"/>
    <w:rsid w:val="00120262"/>
    <w:rsid w:val="001229FD"/>
    <w:rsid w:val="00125108"/>
    <w:rsid w:val="001278EF"/>
    <w:rsid w:val="0013175F"/>
    <w:rsid w:val="001326B8"/>
    <w:rsid w:val="00134999"/>
    <w:rsid w:val="00142F55"/>
    <w:rsid w:val="00143F81"/>
    <w:rsid w:val="00145F37"/>
    <w:rsid w:val="001512B4"/>
    <w:rsid w:val="00152179"/>
    <w:rsid w:val="0015231A"/>
    <w:rsid w:val="00154746"/>
    <w:rsid w:val="00154A8E"/>
    <w:rsid w:val="00156D41"/>
    <w:rsid w:val="0016016B"/>
    <w:rsid w:val="00160652"/>
    <w:rsid w:val="001620A5"/>
    <w:rsid w:val="001630F7"/>
    <w:rsid w:val="00164E53"/>
    <w:rsid w:val="0016699D"/>
    <w:rsid w:val="00166C6F"/>
    <w:rsid w:val="001701E9"/>
    <w:rsid w:val="0017259F"/>
    <w:rsid w:val="00175159"/>
    <w:rsid w:val="00176208"/>
    <w:rsid w:val="0017711B"/>
    <w:rsid w:val="0018211B"/>
    <w:rsid w:val="001840D3"/>
    <w:rsid w:val="00187A9A"/>
    <w:rsid w:val="001900F8"/>
    <w:rsid w:val="0019112B"/>
    <w:rsid w:val="00191258"/>
    <w:rsid w:val="00192400"/>
    <w:rsid w:val="00192680"/>
    <w:rsid w:val="00193037"/>
    <w:rsid w:val="00193A2C"/>
    <w:rsid w:val="00193F6A"/>
    <w:rsid w:val="0019427A"/>
    <w:rsid w:val="00194297"/>
    <w:rsid w:val="0019784E"/>
    <w:rsid w:val="00197D88"/>
    <w:rsid w:val="001A01D4"/>
    <w:rsid w:val="001A117F"/>
    <w:rsid w:val="001A1EA6"/>
    <w:rsid w:val="001A288E"/>
    <w:rsid w:val="001A32EE"/>
    <w:rsid w:val="001B5E5F"/>
    <w:rsid w:val="001B6DC2"/>
    <w:rsid w:val="001C149C"/>
    <w:rsid w:val="001C21AC"/>
    <w:rsid w:val="001C47BA"/>
    <w:rsid w:val="001C59EA"/>
    <w:rsid w:val="001C5AE5"/>
    <w:rsid w:val="001C78AC"/>
    <w:rsid w:val="001D0E8C"/>
    <w:rsid w:val="001D406C"/>
    <w:rsid w:val="001D41EE"/>
    <w:rsid w:val="001D44F5"/>
    <w:rsid w:val="001D4EC2"/>
    <w:rsid w:val="001E0380"/>
    <w:rsid w:val="001E13B1"/>
    <w:rsid w:val="001E55B7"/>
    <w:rsid w:val="001E69DB"/>
    <w:rsid w:val="001F0250"/>
    <w:rsid w:val="001F3A19"/>
    <w:rsid w:val="002002E4"/>
    <w:rsid w:val="002135CA"/>
    <w:rsid w:val="002143CD"/>
    <w:rsid w:val="0022046A"/>
    <w:rsid w:val="00222881"/>
    <w:rsid w:val="002242CD"/>
    <w:rsid w:val="002244DC"/>
    <w:rsid w:val="00225028"/>
    <w:rsid w:val="00231142"/>
    <w:rsid w:val="00231970"/>
    <w:rsid w:val="0023238A"/>
    <w:rsid w:val="00234467"/>
    <w:rsid w:val="00237D8D"/>
    <w:rsid w:val="00240622"/>
    <w:rsid w:val="00240FE6"/>
    <w:rsid w:val="00241DA2"/>
    <w:rsid w:val="00245B88"/>
    <w:rsid w:val="00245B95"/>
    <w:rsid w:val="00247FEE"/>
    <w:rsid w:val="00250E7D"/>
    <w:rsid w:val="002549B0"/>
    <w:rsid w:val="002565D5"/>
    <w:rsid w:val="00256A91"/>
    <w:rsid w:val="00257415"/>
    <w:rsid w:val="002578E6"/>
    <w:rsid w:val="00257C39"/>
    <w:rsid w:val="00260E8B"/>
    <w:rsid w:val="002622C0"/>
    <w:rsid w:val="00262D2E"/>
    <w:rsid w:val="0026464B"/>
    <w:rsid w:val="00264F9B"/>
    <w:rsid w:val="00265CA8"/>
    <w:rsid w:val="002679A5"/>
    <w:rsid w:val="002759BB"/>
    <w:rsid w:val="00276B08"/>
    <w:rsid w:val="002778AE"/>
    <w:rsid w:val="0028022A"/>
    <w:rsid w:val="00281919"/>
    <w:rsid w:val="002824CB"/>
    <w:rsid w:val="0028269A"/>
    <w:rsid w:val="00283590"/>
    <w:rsid w:val="00284399"/>
    <w:rsid w:val="00286973"/>
    <w:rsid w:val="00286A95"/>
    <w:rsid w:val="002904AF"/>
    <w:rsid w:val="00292EDE"/>
    <w:rsid w:val="00294E70"/>
    <w:rsid w:val="0029503D"/>
    <w:rsid w:val="002952CE"/>
    <w:rsid w:val="00295FEA"/>
    <w:rsid w:val="00296B09"/>
    <w:rsid w:val="00296FB8"/>
    <w:rsid w:val="002A06B3"/>
    <w:rsid w:val="002A1924"/>
    <w:rsid w:val="002A697E"/>
    <w:rsid w:val="002A7420"/>
    <w:rsid w:val="002B0F12"/>
    <w:rsid w:val="002B1308"/>
    <w:rsid w:val="002B4449"/>
    <w:rsid w:val="002B4554"/>
    <w:rsid w:val="002B4FE3"/>
    <w:rsid w:val="002C2696"/>
    <w:rsid w:val="002C72D8"/>
    <w:rsid w:val="002D11FA"/>
    <w:rsid w:val="002D545A"/>
    <w:rsid w:val="002E0DDF"/>
    <w:rsid w:val="002E1E47"/>
    <w:rsid w:val="002E2906"/>
    <w:rsid w:val="002E2CB0"/>
    <w:rsid w:val="002E5635"/>
    <w:rsid w:val="002E64C3"/>
    <w:rsid w:val="002E6A2C"/>
    <w:rsid w:val="002E7AD1"/>
    <w:rsid w:val="002F1D8C"/>
    <w:rsid w:val="002F21DA"/>
    <w:rsid w:val="002F31F1"/>
    <w:rsid w:val="002F3F0D"/>
    <w:rsid w:val="002F42E2"/>
    <w:rsid w:val="002F4512"/>
    <w:rsid w:val="002F57F3"/>
    <w:rsid w:val="002F5DDB"/>
    <w:rsid w:val="00300E77"/>
    <w:rsid w:val="00301F39"/>
    <w:rsid w:val="003047BC"/>
    <w:rsid w:val="00304BC3"/>
    <w:rsid w:val="00305812"/>
    <w:rsid w:val="003073E0"/>
    <w:rsid w:val="00310478"/>
    <w:rsid w:val="00312EAE"/>
    <w:rsid w:val="00317A37"/>
    <w:rsid w:val="0032071A"/>
    <w:rsid w:val="00325224"/>
    <w:rsid w:val="00325926"/>
    <w:rsid w:val="00327A8A"/>
    <w:rsid w:val="003302AF"/>
    <w:rsid w:val="00331D28"/>
    <w:rsid w:val="00336610"/>
    <w:rsid w:val="00340296"/>
    <w:rsid w:val="00342A60"/>
    <w:rsid w:val="00343B82"/>
    <w:rsid w:val="00343F73"/>
    <w:rsid w:val="00345060"/>
    <w:rsid w:val="003466F8"/>
    <w:rsid w:val="00346E35"/>
    <w:rsid w:val="00350BC9"/>
    <w:rsid w:val="0035323B"/>
    <w:rsid w:val="00356876"/>
    <w:rsid w:val="003609D2"/>
    <w:rsid w:val="00362F58"/>
    <w:rsid w:val="00363F22"/>
    <w:rsid w:val="003650D5"/>
    <w:rsid w:val="00365604"/>
    <w:rsid w:val="003659A4"/>
    <w:rsid w:val="003676D0"/>
    <w:rsid w:val="003732A9"/>
    <w:rsid w:val="0037473D"/>
    <w:rsid w:val="00375564"/>
    <w:rsid w:val="0037662F"/>
    <w:rsid w:val="003768C0"/>
    <w:rsid w:val="00376C1C"/>
    <w:rsid w:val="00383191"/>
    <w:rsid w:val="003831D9"/>
    <w:rsid w:val="003839CA"/>
    <w:rsid w:val="003852DB"/>
    <w:rsid w:val="00386D52"/>
    <w:rsid w:val="00386DED"/>
    <w:rsid w:val="003912E7"/>
    <w:rsid w:val="0039140F"/>
    <w:rsid w:val="00393947"/>
    <w:rsid w:val="003A0C10"/>
    <w:rsid w:val="003A1F65"/>
    <w:rsid w:val="003A2275"/>
    <w:rsid w:val="003A3F2D"/>
    <w:rsid w:val="003A4229"/>
    <w:rsid w:val="003A48CA"/>
    <w:rsid w:val="003A5141"/>
    <w:rsid w:val="003A6A4F"/>
    <w:rsid w:val="003A7088"/>
    <w:rsid w:val="003B00DF"/>
    <w:rsid w:val="003B04AC"/>
    <w:rsid w:val="003B1275"/>
    <w:rsid w:val="003B1778"/>
    <w:rsid w:val="003B217D"/>
    <w:rsid w:val="003B6B7B"/>
    <w:rsid w:val="003B7A13"/>
    <w:rsid w:val="003B7AC1"/>
    <w:rsid w:val="003C11CB"/>
    <w:rsid w:val="003C5654"/>
    <w:rsid w:val="003C75F3"/>
    <w:rsid w:val="003C78A3"/>
    <w:rsid w:val="003C7EF1"/>
    <w:rsid w:val="003D0240"/>
    <w:rsid w:val="003D02B4"/>
    <w:rsid w:val="003D5666"/>
    <w:rsid w:val="003D721E"/>
    <w:rsid w:val="003E0318"/>
    <w:rsid w:val="003E0D6C"/>
    <w:rsid w:val="003E1867"/>
    <w:rsid w:val="003E3C7D"/>
    <w:rsid w:val="003E452D"/>
    <w:rsid w:val="003E5000"/>
    <w:rsid w:val="003E5729"/>
    <w:rsid w:val="003E5A57"/>
    <w:rsid w:val="003E7C3F"/>
    <w:rsid w:val="003F31F5"/>
    <w:rsid w:val="003F47CF"/>
    <w:rsid w:val="003F4EE0"/>
    <w:rsid w:val="003F6454"/>
    <w:rsid w:val="003F7BBD"/>
    <w:rsid w:val="00400C28"/>
    <w:rsid w:val="00402153"/>
    <w:rsid w:val="004026BE"/>
    <w:rsid w:val="00402FC1"/>
    <w:rsid w:val="004059BE"/>
    <w:rsid w:val="004075C1"/>
    <w:rsid w:val="004106C3"/>
    <w:rsid w:val="00412E5D"/>
    <w:rsid w:val="004134DD"/>
    <w:rsid w:val="004145B9"/>
    <w:rsid w:val="004166CD"/>
    <w:rsid w:val="0041793A"/>
    <w:rsid w:val="00423779"/>
    <w:rsid w:val="00423DBC"/>
    <w:rsid w:val="00425082"/>
    <w:rsid w:val="00426506"/>
    <w:rsid w:val="004274F1"/>
    <w:rsid w:val="00431DEB"/>
    <w:rsid w:val="00433284"/>
    <w:rsid w:val="00434E7A"/>
    <w:rsid w:val="00435BF8"/>
    <w:rsid w:val="00437775"/>
    <w:rsid w:val="004430E6"/>
    <w:rsid w:val="0044463F"/>
    <w:rsid w:val="00446B29"/>
    <w:rsid w:val="004509E6"/>
    <w:rsid w:val="00453F9A"/>
    <w:rsid w:val="00454B9A"/>
    <w:rsid w:val="0045659F"/>
    <w:rsid w:val="00460156"/>
    <w:rsid w:val="00471E91"/>
    <w:rsid w:val="004729E5"/>
    <w:rsid w:val="00472AF6"/>
    <w:rsid w:val="00472BB7"/>
    <w:rsid w:val="00472C6E"/>
    <w:rsid w:val="00474675"/>
    <w:rsid w:val="0047470C"/>
    <w:rsid w:val="0047745F"/>
    <w:rsid w:val="00485828"/>
    <w:rsid w:val="00490762"/>
    <w:rsid w:val="00490E6B"/>
    <w:rsid w:val="00494B16"/>
    <w:rsid w:val="004A029F"/>
    <w:rsid w:val="004A0900"/>
    <w:rsid w:val="004A1186"/>
    <w:rsid w:val="004A2D80"/>
    <w:rsid w:val="004A2EB0"/>
    <w:rsid w:val="004A35F9"/>
    <w:rsid w:val="004A4A72"/>
    <w:rsid w:val="004A6875"/>
    <w:rsid w:val="004B1107"/>
    <w:rsid w:val="004B1EA1"/>
    <w:rsid w:val="004B24C1"/>
    <w:rsid w:val="004B3527"/>
    <w:rsid w:val="004B3CFD"/>
    <w:rsid w:val="004B4141"/>
    <w:rsid w:val="004B41BD"/>
    <w:rsid w:val="004B7A61"/>
    <w:rsid w:val="004C0DE4"/>
    <w:rsid w:val="004C15CE"/>
    <w:rsid w:val="004C292F"/>
    <w:rsid w:val="004C52B4"/>
    <w:rsid w:val="004C6D21"/>
    <w:rsid w:val="004D197C"/>
    <w:rsid w:val="004E4034"/>
    <w:rsid w:val="004E504F"/>
    <w:rsid w:val="004E7695"/>
    <w:rsid w:val="004F10FB"/>
    <w:rsid w:val="004F11CA"/>
    <w:rsid w:val="004F44E5"/>
    <w:rsid w:val="005008AD"/>
    <w:rsid w:val="00500A34"/>
    <w:rsid w:val="00510280"/>
    <w:rsid w:val="005107C9"/>
    <w:rsid w:val="005126D2"/>
    <w:rsid w:val="00513480"/>
    <w:rsid w:val="00513D73"/>
    <w:rsid w:val="00514A43"/>
    <w:rsid w:val="005174E5"/>
    <w:rsid w:val="00522393"/>
    <w:rsid w:val="00522620"/>
    <w:rsid w:val="00522F9A"/>
    <w:rsid w:val="00525656"/>
    <w:rsid w:val="00527BAA"/>
    <w:rsid w:val="00534C02"/>
    <w:rsid w:val="00534D29"/>
    <w:rsid w:val="00534EC9"/>
    <w:rsid w:val="005374CA"/>
    <w:rsid w:val="0054264B"/>
    <w:rsid w:val="0054356E"/>
    <w:rsid w:val="00543786"/>
    <w:rsid w:val="0054458C"/>
    <w:rsid w:val="00550AC2"/>
    <w:rsid w:val="005533D7"/>
    <w:rsid w:val="00555CF5"/>
    <w:rsid w:val="00560E0C"/>
    <w:rsid w:val="00563C3C"/>
    <w:rsid w:val="005703DE"/>
    <w:rsid w:val="00575169"/>
    <w:rsid w:val="00580B6B"/>
    <w:rsid w:val="005828EB"/>
    <w:rsid w:val="00582AD4"/>
    <w:rsid w:val="0058464E"/>
    <w:rsid w:val="00587FD0"/>
    <w:rsid w:val="00592C13"/>
    <w:rsid w:val="005A01CB"/>
    <w:rsid w:val="005A58FF"/>
    <w:rsid w:val="005A5BD3"/>
    <w:rsid w:val="005A5EAF"/>
    <w:rsid w:val="005A64C0"/>
    <w:rsid w:val="005B1AD6"/>
    <w:rsid w:val="005B3747"/>
    <w:rsid w:val="005B3C11"/>
    <w:rsid w:val="005B3CB5"/>
    <w:rsid w:val="005B6D63"/>
    <w:rsid w:val="005B73B1"/>
    <w:rsid w:val="005C0A60"/>
    <w:rsid w:val="005C1190"/>
    <w:rsid w:val="005C1C28"/>
    <w:rsid w:val="005C3767"/>
    <w:rsid w:val="005C3D1E"/>
    <w:rsid w:val="005C40BF"/>
    <w:rsid w:val="005C6DB5"/>
    <w:rsid w:val="005C793D"/>
    <w:rsid w:val="005C7E1D"/>
    <w:rsid w:val="005D347A"/>
    <w:rsid w:val="005D4E43"/>
    <w:rsid w:val="005E0135"/>
    <w:rsid w:val="005E19E7"/>
    <w:rsid w:val="005E6290"/>
    <w:rsid w:val="005E6661"/>
    <w:rsid w:val="005E71F4"/>
    <w:rsid w:val="005E7A66"/>
    <w:rsid w:val="005F1913"/>
    <w:rsid w:val="005F2504"/>
    <w:rsid w:val="005F7EFC"/>
    <w:rsid w:val="0060027E"/>
    <w:rsid w:val="006028A0"/>
    <w:rsid w:val="00603CAD"/>
    <w:rsid w:val="00611C34"/>
    <w:rsid w:val="006123BE"/>
    <w:rsid w:val="006155E7"/>
    <w:rsid w:val="0061716C"/>
    <w:rsid w:val="0061718E"/>
    <w:rsid w:val="0062170B"/>
    <w:rsid w:val="00621A16"/>
    <w:rsid w:val="006243A1"/>
    <w:rsid w:val="0062654B"/>
    <w:rsid w:val="006268F1"/>
    <w:rsid w:val="006274A6"/>
    <w:rsid w:val="00627580"/>
    <w:rsid w:val="00630C7D"/>
    <w:rsid w:val="0063111E"/>
    <w:rsid w:val="00632E56"/>
    <w:rsid w:val="0063511D"/>
    <w:rsid w:val="00635CBA"/>
    <w:rsid w:val="00640D79"/>
    <w:rsid w:val="00641C62"/>
    <w:rsid w:val="006423A6"/>
    <w:rsid w:val="0064338B"/>
    <w:rsid w:val="00643E9A"/>
    <w:rsid w:val="0064527A"/>
    <w:rsid w:val="00646542"/>
    <w:rsid w:val="00646A44"/>
    <w:rsid w:val="00646A5E"/>
    <w:rsid w:val="00646EA0"/>
    <w:rsid w:val="006504F4"/>
    <w:rsid w:val="00651D37"/>
    <w:rsid w:val="00652A8E"/>
    <w:rsid w:val="00653CBB"/>
    <w:rsid w:val="00654BC9"/>
    <w:rsid w:val="006552FD"/>
    <w:rsid w:val="006554A5"/>
    <w:rsid w:val="00657528"/>
    <w:rsid w:val="00662954"/>
    <w:rsid w:val="00663AF3"/>
    <w:rsid w:val="00666B6C"/>
    <w:rsid w:val="006708CE"/>
    <w:rsid w:val="00676D9C"/>
    <w:rsid w:val="00677A1E"/>
    <w:rsid w:val="00682682"/>
    <w:rsid w:val="00682702"/>
    <w:rsid w:val="006862EB"/>
    <w:rsid w:val="00687C7D"/>
    <w:rsid w:val="006915B7"/>
    <w:rsid w:val="006916B9"/>
    <w:rsid w:val="00692368"/>
    <w:rsid w:val="00692C2E"/>
    <w:rsid w:val="00692DB1"/>
    <w:rsid w:val="00692EAF"/>
    <w:rsid w:val="00693E8F"/>
    <w:rsid w:val="0069516E"/>
    <w:rsid w:val="006A2EBC"/>
    <w:rsid w:val="006A48E2"/>
    <w:rsid w:val="006A5EA0"/>
    <w:rsid w:val="006A61D0"/>
    <w:rsid w:val="006A783B"/>
    <w:rsid w:val="006A7AEB"/>
    <w:rsid w:val="006A7B33"/>
    <w:rsid w:val="006B0009"/>
    <w:rsid w:val="006B323B"/>
    <w:rsid w:val="006B3B7D"/>
    <w:rsid w:val="006B47BB"/>
    <w:rsid w:val="006B4972"/>
    <w:rsid w:val="006B4E13"/>
    <w:rsid w:val="006B61D2"/>
    <w:rsid w:val="006B75DD"/>
    <w:rsid w:val="006B7BDD"/>
    <w:rsid w:val="006C1B8C"/>
    <w:rsid w:val="006C3EC4"/>
    <w:rsid w:val="006C5EC8"/>
    <w:rsid w:val="006C67E0"/>
    <w:rsid w:val="006C7ABA"/>
    <w:rsid w:val="006D0D60"/>
    <w:rsid w:val="006D1122"/>
    <w:rsid w:val="006D33E8"/>
    <w:rsid w:val="006D3C00"/>
    <w:rsid w:val="006D4E10"/>
    <w:rsid w:val="006E24AC"/>
    <w:rsid w:val="006E2897"/>
    <w:rsid w:val="006E3675"/>
    <w:rsid w:val="006E4A7F"/>
    <w:rsid w:val="006E5E69"/>
    <w:rsid w:val="006F26A7"/>
    <w:rsid w:val="006F2AB3"/>
    <w:rsid w:val="006F526C"/>
    <w:rsid w:val="00702335"/>
    <w:rsid w:val="00704336"/>
    <w:rsid w:val="00704DF6"/>
    <w:rsid w:val="0070651C"/>
    <w:rsid w:val="00707897"/>
    <w:rsid w:val="00707D93"/>
    <w:rsid w:val="00710179"/>
    <w:rsid w:val="007109FA"/>
    <w:rsid w:val="0071145F"/>
    <w:rsid w:val="00711B5A"/>
    <w:rsid w:val="007132A3"/>
    <w:rsid w:val="00716421"/>
    <w:rsid w:val="00717651"/>
    <w:rsid w:val="00722D17"/>
    <w:rsid w:val="00724EFB"/>
    <w:rsid w:val="00726406"/>
    <w:rsid w:val="00732949"/>
    <w:rsid w:val="00733E7A"/>
    <w:rsid w:val="00734D03"/>
    <w:rsid w:val="007419C3"/>
    <w:rsid w:val="00741FEE"/>
    <w:rsid w:val="00743B4A"/>
    <w:rsid w:val="00744823"/>
    <w:rsid w:val="007449EE"/>
    <w:rsid w:val="007467A7"/>
    <w:rsid w:val="007469DD"/>
    <w:rsid w:val="00747275"/>
    <w:rsid w:val="0074741B"/>
    <w:rsid w:val="0074759E"/>
    <w:rsid w:val="007478EA"/>
    <w:rsid w:val="00753E0E"/>
    <w:rsid w:val="0075415C"/>
    <w:rsid w:val="00755CC0"/>
    <w:rsid w:val="00763424"/>
    <w:rsid w:val="00763502"/>
    <w:rsid w:val="00765463"/>
    <w:rsid w:val="00765465"/>
    <w:rsid w:val="00767D83"/>
    <w:rsid w:val="00770CC9"/>
    <w:rsid w:val="00771B48"/>
    <w:rsid w:val="00774E9B"/>
    <w:rsid w:val="007760D4"/>
    <w:rsid w:val="00782CE2"/>
    <w:rsid w:val="007848C5"/>
    <w:rsid w:val="00784DB9"/>
    <w:rsid w:val="00785CA5"/>
    <w:rsid w:val="0078602C"/>
    <w:rsid w:val="00790EBF"/>
    <w:rsid w:val="007913AB"/>
    <w:rsid w:val="007914F7"/>
    <w:rsid w:val="00792E61"/>
    <w:rsid w:val="00797015"/>
    <w:rsid w:val="007A06BA"/>
    <w:rsid w:val="007A12B7"/>
    <w:rsid w:val="007A1DD9"/>
    <w:rsid w:val="007A701D"/>
    <w:rsid w:val="007B0C68"/>
    <w:rsid w:val="007B1096"/>
    <w:rsid w:val="007B1625"/>
    <w:rsid w:val="007B2AA6"/>
    <w:rsid w:val="007B45E4"/>
    <w:rsid w:val="007B706E"/>
    <w:rsid w:val="007B71EB"/>
    <w:rsid w:val="007B7F4D"/>
    <w:rsid w:val="007C0A15"/>
    <w:rsid w:val="007C15A0"/>
    <w:rsid w:val="007C2D77"/>
    <w:rsid w:val="007C31CC"/>
    <w:rsid w:val="007C44C3"/>
    <w:rsid w:val="007C487E"/>
    <w:rsid w:val="007C6205"/>
    <w:rsid w:val="007C686A"/>
    <w:rsid w:val="007C728E"/>
    <w:rsid w:val="007D0FEB"/>
    <w:rsid w:val="007D12D6"/>
    <w:rsid w:val="007D21E6"/>
    <w:rsid w:val="007D2C53"/>
    <w:rsid w:val="007D3D60"/>
    <w:rsid w:val="007D58A1"/>
    <w:rsid w:val="007D64FC"/>
    <w:rsid w:val="007E1980"/>
    <w:rsid w:val="007E4B76"/>
    <w:rsid w:val="007E4C8A"/>
    <w:rsid w:val="007E5EA8"/>
    <w:rsid w:val="007E689C"/>
    <w:rsid w:val="007F0949"/>
    <w:rsid w:val="007F0CF1"/>
    <w:rsid w:val="007F12A5"/>
    <w:rsid w:val="007F2D6D"/>
    <w:rsid w:val="007F3B0B"/>
    <w:rsid w:val="007F4CF1"/>
    <w:rsid w:val="007F758D"/>
    <w:rsid w:val="007F7D52"/>
    <w:rsid w:val="00800EAF"/>
    <w:rsid w:val="0080133B"/>
    <w:rsid w:val="00802398"/>
    <w:rsid w:val="0080654C"/>
    <w:rsid w:val="008071C6"/>
    <w:rsid w:val="008109D6"/>
    <w:rsid w:val="00811750"/>
    <w:rsid w:val="00811C08"/>
    <w:rsid w:val="00815237"/>
    <w:rsid w:val="00817A00"/>
    <w:rsid w:val="00820795"/>
    <w:rsid w:val="00821768"/>
    <w:rsid w:val="00821C5F"/>
    <w:rsid w:val="00827EF4"/>
    <w:rsid w:val="0083084A"/>
    <w:rsid w:val="00832776"/>
    <w:rsid w:val="00833336"/>
    <w:rsid w:val="00834B6C"/>
    <w:rsid w:val="00835263"/>
    <w:rsid w:val="00835DB3"/>
    <w:rsid w:val="0083617B"/>
    <w:rsid w:val="008371BD"/>
    <w:rsid w:val="008504A8"/>
    <w:rsid w:val="0085282E"/>
    <w:rsid w:val="008533B6"/>
    <w:rsid w:val="00857A3C"/>
    <w:rsid w:val="00862151"/>
    <w:rsid w:val="00864FB4"/>
    <w:rsid w:val="008654F9"/>
    <w:rsid w:val="008711A2"/>
    <w:rsid w:val="0087198C"/>
    <w:rsid w:val="00872896"/>
    <w:rsid w:val="008728AB"/>
    <w:rsid w:val="00872C1F"/>
    <w:rsid w:val="00873B42"/>
    <w:rsid w:val="008743BC"/>
    <w:rsid w:val="00874A40"/>
    <w:rsid w:val="0087620B"/>
    <w:rsid w:val="008770F5"/>
    <w:rsid w:val="00877177"/>
    <w:rsid w:val="0087773E"/>
    <w:rsid w:val="00880922"/>
    <w:rsid w:val="00880B73"/>
    <w:rsid w:val="0088194D"/>
    <w:rsid w:val="008829D5"/>
    <w:rsid w:val="00882D2B"/>
    <w:rsid w:val="00885289"/>
    <w:rsid w:val="008856D8"/>
    <w:rsid w:val="00892E82"/>
    <w:rsid w:val="00894FC6"/>
    <w:rsid w:val="008A10C6"/>
    <w:rsid w:val="008B1A8D"/>
    <w:rsid w:val="008B5756"/>
    <w:rsid w:val="008C0D91"/>
    <w:rsid w:val="008C1619"/>
    <w:rsid w:val="008C1B58"/>
    <w:rsid w:val="008C38FE"/>
    <w:rsid w:val="008C39AE"/>
    <w:rsid w:val="008C590D"/>
    <w:rsid w:val="008C7540"/>
    <w:rsid w:val="008C786F"/>
    <w:rsid w:val="008D009D"/>
    <w:rsid w:val="008D1778"/>
    <w:rsid w:val="008D250B"/>
    <w:rsid w:val="008D4EA9"/>
    <w:rsid w:val="008E031B"/>
    <w:rsid w:val="008E2388"/>
    <w:rsid w:val="008E23E7"/>
    <w:rsid w:val="008E2C22"/>
    <w:rsid w:val="008E4014"/>
    <w:rsid w:val="008E60E2"/>
    <w:rsid w:val="008E610C"/>
    <w:rsid w:val="008E7029"/>
    <w:rsid w:val="008E7EF6"/>
    <w:rsid w:val="008F1F98"/>
    <w:rsid w:val="008F5765"/>
    <w:rsid w:val="008F6758"/>
    <w:rsid w:val="00900900"/>
    <w:rsid w:val="00902A08"/>
    <w:rsid w:val="0090326F"/>
    <w:rsid w:val="009040DD"/>
    <w:rsid w:val="00905B47"/>
    <w:rsid w:val="00906F0A"/>
    <w:rsid w:val="0090711E"/>
    <w:rsid w:val="0091331C"/>
    <w:rsid w:val="0091457E"/>
    <w:rsid w:val="00914CB2"/>
    <w:rsid w:val="00916945"/>
    <w:rsid w:val="00917969"/>
    <w:rsid w:val="00920471"/>
    <w:rsid w:val="009236CF"/>
    <w:rsid w:val="009240E8"/>
    <w:rsid w:val="00924BA0"/>
    <w:rsid w:val="009279DE"/>
    <w:rsid w:val="00930116"/>
    <w:rsid w:val="009314AE"/>
    <w:rsid w:val="0093346D"/>
    <w:rsid w:val="00933DC7"/>
    <w:rsid w:val="00935676"/>
    <w:rsid w:val="009363F2"/>
    <w:rsid w:val="0093742D"/>
    <w:rsid w:val="009375C7"/>
    <w:rsid w:val="00940320"/>
    <w:rsid w:val="00940FAC"/>
    <w:rsid w:val="00941421"/>
    <w:rsid w:val="0094212C"/>
    <w:rsid w:val="009421BE"/>
    <w:rsid w:val="00944733"/>
    <w:rsid w:val="00945455"/>
    <w:rsid w:val="00946042"/>
    <w:rsid w:val="009504BC"/>
    <w:rsid w:val="009507F6"/>
    <w:rsid w:val="00951D89"/>
    <w:rsid w:val="009520CA"/>
    <w:rsid w:val="00953278"/>
    <w:rsid w:val="00954689"/>
    <w:rsid w:val="009562D4"/>
    <w:rsid w:val="009602EB"/>
    <w:rsid w:val="009617C9"/>
    <w:rsid w:val="00961C93"/>
    <w:rsid w:val="0096236F"/>
    <w:rsid w:val="00963087"/>
    <w:rsid w:val="00965324"/>
    <w:rsid w:val="0096764A"/>
    <w:rsid w:val="0097091E"/>
    <w:rsid w:val="0097312C"/>
    <w:rsid w:val="009760D3"/>
    <w:rsid w:val="00977132"/>
    <w:rsid w:val="00980089"/>
    <w:rsid w:val="0098128D"/>
    <w:rsid w:val="00981A4B"/>
    <w:rsid w:val="0098238C"/>
    <w:rsid w:val="00982501"/>
    <w:rsid w:val="0098485C"/>
    <w:rsid w:val="00985D50"/>
    <w:rsid w:val="00987386"/>
    <w:rsid w:val="009877D3"/>
    <w:rsid w:val="00994294"/>
    <w:rsid w:val="00994AD9"/>
    <w:rsid w:val="00994E8F"/>
    <w:rsid w:val="009951DC"/>
    <w:rsid w:val="009959BB"/>
    <w:rsid w:val="00996669"/>
    <w:rsid w:val="00997158"/>
    <w:rsid w:val="009A01D6"/>
    <w:rsid w:val="009A3753"/>
    <w:rsid w:val="009A3842"/>
    <w:rsid w:val="009A3A7C"/>
    <w:rsid w:val="009B2ADB"/>
    <w:rsid w:val="009B603A"/>
    <w:rsid w:val="009B6E06"/>
    <w:rsid w:val="009C0AAF"/>
    <w:rsid w:val="009C0F68"/>
    <w:rsid w:val="009C1557"/>
    <w:rsid w:val="009C2D0E"/>
    <w:rsid w:val="009C3DAC"/>
    <w:rsid w:val="009C42E0"/>
    <w:rsid w:val="009C4EEC"/>
    <w:rsid w:val="009C53A2"/>
    <w:rsid w:val="009C7DCB"/>
    <w:rsid w:val="009C7F65"/>
    <w:rsid w:val="009D28B6"/>
    <w:rsid w:val="009D2B49"/>
    <w:rsid w:val="009D5362"/>
    <w:rsid w:val="009E09B4"/>
    <w:rsid w:val="009E1415"/>
    <w:rsid w:val="009E2EF9"/>
    <w:rsid w:val="009E4174"/>
    <w:rsid w:val="009E4BFF"/>
    <w:rsid w:val="009E4E89"/>
    <w:rsid w:val="009E5238"/>
    <w:rsid w:val="009E5754"/>
    <w:rsid w:val="009E6116"/>
    <w:rsid w:val="009E6A1B"/>
    <w:rsid w:val="009F11B8"/>
    <w:rsid w:val="009F1B15"/>
    <w:rsid w:val="009F2170"/>
    <w:rsid w:val="009F2910"/>
    <w:rsid w:val="009F378E"/>
    <w:rsid w:val="009F4C79"/>
    <w:rsid w:val="009F4F6D"/>
    <w:rsid w:val="009F51BD"/>
    <w:rsid w:val="009F66E1"/>
    <w:rsid w:val="009F6E97"/>
    <w:rsid w:val="009F73D8"/>
    <w:rsid w:val="00A00B9D"/>
    <w:rsid w:val="00A0112A"/>
    <w:rsid w:val="00A02E43"/>
    <w:rsid w:val="00A044A9"/>
    <w:rsid w:val="00A065F9"/>
    <w:rsid w:val="00A07F34"/>
    <w:rsid w:val="00A10E72"/>
    <w:rsid w:val="00A13548"/>
    <w:rsid w:val="00A136AF"/>
    <w:rsid w:val="00A14400"/>
    <w:rsid w:val="00A15157"/>
    <w:rsid w:val="00A16FD3"/>
    <w:rsid w:val="00A22154"/>
    <w:rsid w:val="00A24393"/>
    <w:rsid w:val="00A25C38"/>
    <w:rsid w:val="00A26308"/>
    <w:rsid w:val="00A26A96"/>
    <w:rsid w:val="00A27B20"/>
    <w:rsid w:val="00A27F2D"/>
    <w:rsid w:val="00A30ED4"/>
    <w:rsid w:val="00A313B9"/>
    <w:rsid w:val="00A33B6F"/>
    <w:rsid w:val="00A34775"/>
    <w:rsid w:val="00A34D69"/>
    <w:rsid w:val="00A368A7"/>
    <w:rsid w:val="00A36BBE"/>
    <w:rsid w:val="00A40589"/>
    <w:rsid w:val="00A41191"/>
    <w:rsid w:val="00A414DE"/>
    <w:rsid w:val="00A4307A"/>
    <w:rsid w:val="00A43097"/>
    <w:rsid w:val="00A43373"/>
    <w:rsid w:val="00A456EE"/>
    <w:rsid w:val="00A47EBB"/>
    <w:rsid w:val="00A50675"/>
    <w:rsid w:val="00A50874"/>
    <w:rsid w:val="00A50EEF"/>
    <w:rsid w:val="00A51CDD"/>
    <w:rsid w:val="00A53B69"/>
    <w:rsid w:val="00A577E8"/>
    <w:rsid w:val="00A57CC7"/>
    <w:rsid w:val="00A60EEE"/>
    <w:rsid w:val="00A6107E"/>
    <w:rsid w:val="00A62EBA"/>
    <w:rsid w:val="00A63744"/>
    <w:rsid w:val="00A6394B"/>
    <w:rsid w:val="00A64C6A"/>
    <w:rsid w:val="00A64DAC"/>
    <w:rsid w:val="00A6602F"/>
    <w:rsid w:val="00A6730D"/>
    <w:rsid w:val="00A6746D"/>
    <w:rsid w:val="00A711A2"/>
    <w:rsid w:val="00A71625"/>
    <w:rsid w:val="00A71B9B"/>
    <w:rsid w:val="00A751C7"/>
    <w:rsid w:val="00A76281"/>
    <w:rsid w:val="00A828DE"/>
    <w:rsid w:val="00A828EA"/>
    <w:rsid w:val="00A87844"/>
    <w:rsid w:val="00A9106C"/>
    <w:rsid w:val="00A92ADF"/>
    <w:rsid w:val="00A947A4"/>
    <w:rsid w:val="00A94C41"/>
    <w:rsid w:val="00A97ABF"/>
    <w:rsid w:val="00A97D1F"/>
    <w:rsid w:val="00AA038C"/>
    <w:rsid w:val="00AA1737"/>
    <w:rsid w:val="00AA1741"/>
    <w:rsid w:val="00AA7A09"/>
    <w:rsid w:val="00AA7AD2"/>
    <w:rsid w:val="00AB2D90"/>
    <w:rsid w:val="00AB3B50"/>
    <w:rsid w:val="00AB3C6A"/>
    <w:rsid w:val="00AC05B1"/>
    <w:rsid w:val="00AC6F5A"/>
    <w:rsid w:val="00AD2DFC"/>
    <w:rsid w:val="00AD356C"/>
    <w:rsid w:val="00AD5F93"/>
    <w:rsid w:val="00AD64C5"/>
    <w:rsid w:val="00AD7A55"/>
    <w:rsid w:val="00AE06DC"/>
    <w:rsid w:val="00AE1613"/>
    <w:rsid w:val="00AE1DAA"/>
    <w:rsid w:val="00AE2914"/>
    <w:rsid w:val="00AE42A9"/>
    <w:rsid w:val="00AE6D15"/>
    <w:rsid w:val="00AE7A3C"/>
    <w:rsid w:val="00AE7BBA"/>
    <w:rsid w:val="00AF40A2"/>
    <w:rsid w:val="00AF4D12"/>
    <w:rsid w:val="00B012B1"/>
    <w:rsid w:val="00B01D5B"/>
    <w:rsid w:val="00B01FF6"/>
    <w:rsid w:val="00B04182"/>
    <w:rsid w:val="00B066E3"/>
    <w:rsid w:val="00B0685E"/>
    <w:rsid w:val="00B075BE"/>
    <w:rsid w:val="00B07AE3"/>
    <w:rsid w:val="00B1080E"/>
    <w:rsid w:val="00B10F4F"/>
    <w:rsid w:val="00B11430"/>
    <w:rsid w:val="00B12D55"/>
    <w:rsid w:val="00B174A5"/>
    <w:rsid w:val="00B24141"/>
    <w:rsid w:val="00B25987"/>
    <w:rsid w:val="00B3292C"/>
    <w:rsid w:val="00B3352A"/>
    <w:rsid w:val="00B34238"/>
    <w:rsid w:val="00B34A96"/>
    <w:rsid w:val="00B353EB"/>
    <w:rsid w:val="00B36E9A"/>
    <w:rsid w:val="00B36F17"/>
    <w:rsid w:val="00B432A1"/>
    <w:rsid w:val="00B439C4"/>
    <w:rsid w:val="00B4535E"/>
    <w:rsid w:val="00B50D6E"/>
    <w:rsid w:val="00B52A8C"/>
    <w:rsid w:val="00B53C7E"/>
    <w:rsid w:val="00B53F58"/>
    <w:rsid w:val="00B60A4D"/>
    <w:rsid w:val="00B61939"/>
    <w:rsid w:val="00B6239F"/>
    <w:rsid w:val="00B636A8"/>
    <w:rsid w:val="00B65085"/>
    <w:rsid w:val="00B651BB"/>
    <w:rsid w:val="00B665C6"/>
    <w:rsid w:val="00B66FA5"/>
    <w:rsid w:val="00B676B7"/>
    <w:rsid w:val="00B679EE"/>
    <w:rsid w:val="00B74243"/>
    <w:rsid w:val="00B74AFC"/>
    <w:rsid w:val="00B74DBE"/>
    <w:rsid w:val="00B74EB5"/>
    <w:rsid w:val="00B76917"/>
    <w:rsid w:val="00B805AF"/>
    <w:rsid w:val="00B819C5"/>
    <w:rsid w:val="00B8619C"/>
    <w:rsid w:val="00B869EC"/>
    <w:rsid w:val="00B86D7D"/>
    <w:rsid w:val="00B9076F"/>
    <w:rsid w:val="00B9397A"/>
    <w:rsid w:val="00B955BB"/>
    <w:rsid w:val="00B958FA"/>
    <w:rsid w:val="00B95E90"/>
    <w:rsid w:val="00B95F35"/>
    <w:rsid w:val="00B9633D"/>
    <w:rsid w:val="00BA094E"/>
    <w:rsid w:val="00BA2EBE"/>
    <w:rsid w:val="00BA3929"/>
    <w:rsid w:val="00BA3CBE"/>
    <w:rsid w:val="00BA5F3B"/>
    <w:rsid w:val="00BA6E1A"/>
    <w:rsid w:val="00BA78BF"/>
    <w:rsid w:val="00BB0F28"/>
    <w:rsid w:val="00BB0F47"/>
    <w:rsid w:val="00BB41EA"/>
    <w:rsid w:val="00BB458A"/>
    <w:rsid w:val="00BB4CBA"/>
    <w:rsid w:val="00BB52C5"/>
    <w:rsid w:val="00BC18E2"/>
    <w:rsid w:val="00BC36BB"/>
    <w:rsid w:val="00BC382A"/>
    <w:rsid w:val="00BC3D78"/>
    <w:rsid w:val="00BD00D3"/>
    <w:rsid w:val="00BD1659"/>
    <w:rsid w:val="00BD3AA9"/>
    <w:rsid w:val="00BD4A18"/>
    <w:rsid w:val="00BD6DB2"/>
    <w:rsid w:val="00BD6F3F"/>
    <w:rsid w:val="00BE042B"/>
    <w:rsid w:val="00BE08E0"/>
    <w:rsid w:val="00BE0C14"/>
    <w:rsid w:val="00BE11CF"/>
    <w:rsid w:val="00BE21AB"/>
    <w:rsid w:val="00BE2E40"/>
    <w:rsid w:val="00BE4E0E"/>
    <w:rsid w:val="00BE55CB"/>
    <w:rsid w:val="00BF356A"/>
    <w:rsid w:val="00BF617A"/>
    <w:rsid w:val="00BF70B2"/>
    <w:rsid w:val="00C00613"/>
    <w:rsid w:val="00C0216D"/>
    <w:rsid w:val="00C0379D"/>
    <w:rsid w:val="00C03931"/>
    <w:rsid w:val="00C05FE3"/>
    <w:rsid w:val="00C13D45"/>
    <w:rsid w:val="00C14A56"/>
    <w:rsid w:val="00C174F4"/>
    <w:rsid w:val="00C2136D"/>
    <w:rsid w:val="00C21422"/>
    <w:rsid w:val="00C214EE"/>
    <w:rsid w:val="00C22A06"/>
    <w:rsid w:val="00C2314B"/>
    <w:rsid w:val="00C233BE"/>
    <w:rsid w:val="00C23EAB"/>
    <w:rsid w:val="00C24971"/>
    <w:rsid w:val="00C26BE5"/>
    <w:rsid w:val="00C26E4D"/>
    <w:rsid w:val="00C27909"/>
    <w:rsid w:val="00C27B03"/>
    <w:rsid w:val="00C3025F"/>
    <w:rsid w:val="00C314E1"/>
    <w:rsid w:val="00C31A79"/>
    <w:rsid w:val="00C32DD9"/>
    <w:rsid w:val="00C33EB7"/>
    <w:rsid w:val="00C34397"/>
    <w:rsid w:val="00C35DA4"/>
    <w:rsid w:val="00C4095D"/>
    <w:rsid w:val="00C42061"/>
    <w:rsid w:val="00C458E9"/>
    <w:rsid w:val="00C501A8"/>
    <w:rsid w:val="00C50DE3"/>
    <w:rsid w:val="00C51C15"/>
    <w:rsid w:val="00C543C0"/>
    <w:rsid w:val="00C54EA9"/>
    <w:rsid w:val="00C55F2B"/>
    <w:rsid w:val="00C5655B"/>
    <w:rsid w:val="00C56DF0"/>
    <w:rsid w:val="00C601D2"/>
    <w:rsid w:val="00C60D4C"/>
    <w:rsid w:val="00C613DE"/>
    <w:rsid w:val="00C61CA0"/>
    <w:rsid w:val="00C61E58"/>
    <w:rsid w:val="00C636F9"/>
    <w:rsid w:val="00C63F6A"/>
    <w:rsid w:val="00C64E94"/>
    <w:rsid w:val="00C657AB"/>
    <w:rsid w:val="00C65BCC"/>
    <w:rsid w:val="00C66970"/>
    <w:rsid w:val="00C66DAB"/>
    <w:rsid w:val="00C66E49"/>
    <w:rsid w:val="00C7173E"/>
    <w:rsid w:val="00C71AF4"/>
    <w:rsid w:val="00C72490"/>
    <w:rsid w:val="00C73B0C"/>
    <w:rsid w:val="00C73BC7"/>
    <w:rsid w:val="00C74BF3"/>
    <w:rsid w:val="00C778A9"/>
    <w:rsid w:val="00C77B57"/>
    <w:rsid w:val="00C819C3"/>
    <w:rsid w:val="00C8585D"/>
    <w:rsid w:val="00C8691C"/>
    <w:rsid w:val="00C86A9E"/>
    <w:rsid w:val="00C90606"/>
    <w:rsid w:val="00C95B40"/>
    <w:rsid w:val="00C966B8"/>
    <w:rsid w:val="00C9791B"/>
    <w:rsid w:val="00CA0E56"/>
    <w:rsid w:val="00CA168A"/>
    <w:rsid w:val="00CA3251"/>
    <w:rsid w:val="00CA357E"/>
    <w:rsid w:val="00CA42E7"/>
    <w:rsid w:val="00CA44F9"/>
    <w:rsid w:val="00CA49D1"/>
    <w:rsid w:val="00CA4A69"/>
    <w:rsid w:val="00CB07EF"/>
    <w:rsid w:val="00CB2D67"/>
    <w:rsid w:val="00CB40FD"/>
    <w:rsid w:val="00CC3E0C"/>
    <w:rsid w:val="00CC58D3"/>
    <w:rsid w:val="00CC71A6"/>
    <w:rsid w:val="00CC7250"/>
    <w:rsid w:val="00CC784D"/>
    <w:rsid w:val="00CD2F47"/>
    <w:rsid w:val="00CD37F1"/>
    <w:rsid w:val="00CD3B5B"/>
    <w:rsid w:val="00CE2006"/>
    <w:rsid w:val="00CE51F7"/>
    <w:rsid w:val="00CF15CF"/>
    <w:rsid w:val="00CF4A85"/>
    <w:rsid w:val="00D012D4"/>
    <w:rsid w:val="00D0337B"/>
    <w:rsid w:val="00D04F64"/>
    <w:rsid w:val="00D05B87"/>
    <w:rsid w:val="00D0616D"/>
    <w:rsid w:val="00D079B2"/>
    <w:rsid w:val="00D101D2"/>
    <w:rsid w:val="00D114E9"/>
    <w:rsid w:val="00D11A67"/>
    <w:rsid w:val="00D11FDA"/>
    <w:rsid w:val="00D12894"/>
    <w:rsid w:val="00D221F1"/>
    <w:rsid w:val="00D22635"/>
    <w:rsid w:val="00D2393C"/>
    <w:rsid w:val="00D242F8"/>
    <w:rsid w:val="00D24C62"/>
    <w:rsid w:val="00D33FAF"/>
    <w:rsid w:val="00D34E6B"/>
    <w:rsid w:val="00D37A4C"/>
    <w:rsid w:val="00D414A3"/>
    <w:rsid w:val="00D41BB5"/>
    <w:rsid w:val="00D429C6"/>
    <w:rsid w:val="00D47748"/>
    <w:rsid w:val="00D52361"/>
    <w:rsid w:val="00D54CC3"/>
    <w:rsid w:val="00D567B0"/>
    <w:rsid w:val="00D6041A"/>
    <w:rsid w:val="00D60DB9"/>
    <w:rsid w:val="00D633EB"/>
    <w:rsid w:val="00D648BF"/>
    <w:rsid w:val="00D71C2B"/>
    <w:rsid w:val="00D72991"/>
    <w:rsid w:val="00D72B18"/>
    <w:rsid w:val="00D76DDA"/>
    <w:rsid w:val="00D77237"/>
    <w:rsid w:val="00D7760C"/>
    <w:rsid w:val="00D80F86"/>
    <w:rsid w:val="00D82FF7"/>
    <w:rsid w:val="00D831F4"/>
    <w:rsid w:val="00D83842"/>
    <w:rsid w:val="00D842DC"/>
    <w:rsid w:val="00D847FE"/>
    <w:rsid w:val="00D84987"/>
    <w:rsid w:val="00D85F8E"/>
    <w:rsid w:val="00D86356"/>
    <w:rsid w:val="00D86EC2"/>
    <w:rsid w:val="00D9561C"/>
    <w:rsid w:val="00D964EA"/>
    <w:rsid w:val="00D966D0"/>
    <w:rsid w:val="00D97DB6"/>
    <w:rsid w:val="00DA0C59"/>
    <w:rsid w:val="00DA24CB"/>
    <w:rsid w:val="00DA33E5"/>
    <w:rsid w:val="00DA3991"/>
    <w:rsid w:val="00DA43C3"/>
    <w:rsid w:val="00DA5BE9"/>
    <w:rsid w:val="00DA6159"/>
    <w:rsid w:val="00DA7593"/>
    <w:rsid w:val="00DB12DE"/>
    <w:rsid w:val="00DB5F1D"/>
    <w:rsid w:val="00DB7566"/>
    <w:rsid w:val="00DB7E6C"/>
    <w:rsid w:val="00DC1267"/>
    <w:rsid w:val="00DC3B61"/>
    <w:rsid w:val="00DC462C"/>
    <w:rsid w:val="00DC6D7E"/>
    <w:rsid w:val="00DC7DCA"/>
    <w:rsid w:val="00DD09D2"/>
    <w:rsid w:val="00DD15A0"/>
    <w:rsid w:val="00DD3E8E"/>
    <w:rsid w:val="00DD5A29"/>
    <w:rsid w:val="00DD5D9D"/>
    <w:rsid w:val="00DE1E8C"/>
    <w:rsid w:val="00DE35CB"/>
    <w:rsid w:val="00DE54C0"/>
    <w:rsid w:val="00DF21E9"/>
    <w:rsid w:val="00DF3746"/>
    <w:rsid w:val="00DF3835"/>
    <w:rsid w:val="00DF45C6"/>
    <w:rsid w:val="00DF4689"/>
    <w:rsid w:val="00DF5466"/>
    <w:rsid w:val="00DF5C6A"/>
    <w:rsid w:val="00E00D19"/>
    <w:rsid w:val="00E00F14"/>
    <w:rsid w:val="00E014DB"/>
    <w:rsid w:val="00E01E2C"/>
    <w:rsid w:val="00E042A0"/>
    <w:rsid w:val="00E06386"/>
    <w:rsid w:val="00E06724"/>
    <w:rsid w:val="00E06A22"/>
    <w:rsid w:val="00E07923"/>
    <w:rsid w:val="00E1006D"/>
    <w:rsid w:val="00E24EB4"/>
    <w:rsid w:val="00E27388"/>
    <w:rsid w:val="00E313F1"/>
    <w:rsid w:val="00E31815"/>
    <w:rsid w:val="00E320ED"/>
    <w:rsid w:val="00E32DF6"/>
    <w:rsid w:val="00E33AFB"/>
    <w:rsid w:val="00E34218"/>
    <w:rsid w:val="00E36B6A"/>
    <w:rsid w:val="00E375DD"/>
    <w:rsid w:val="00E40D1B"/>
    <w:rsid w:val="00E427A5"/>
    <w:rsid w:val="00E42989"/>
    <w:rsid w:val="00E46282"/>
    <w:rsid w:val="00E47E10"/>
    <w:rsid w:val="00E51468"/>
    <w:rsid w:val="00E5216E"/>
    <w:rsid w:val="00E52BFE"/>
    <w:rsid w:val="00E5521D"/>
    <w:rsid w:val="00E55461"/>
    <w:rsid w:val="00E57BBB"/>
    <w:rsid w:val="00E608D9"/>
    <w:rsid w:val="00E60B84"/>
    <w:rsid w:val="00E62077"/>
    <w:rsid w:val="00E62D2F"/>
    <w:rsid w:val="00E65081"/>
    <w:rsid w:val="00E66C5E"/>
    <w:rsid w:val="00E70278"/>
    <w:rsid w:val="00E70631"/>
    <w:rsid w:val="00E72A9E"/>
    <w:rsid w:val="00E74BE1"/>
    <w:rsid w:val="00E74D73"/>
    <w:rsid w:val="00E76C52"/>
    <w:rsid w:val="00E82344"/>
    <w:rsid w:val="00E832D8"/>
    <w:rsid w:val="00E84C82"/>
    <w:rsid w:val="00E84D64"/>
    <w:rsid w:val="00E86AF7"/>
    <w:rsid w:val="00E87408"/>
    <w:rsid w:val="00E914C4"/>
    <w:rsid w:val="00E917C2"/>
    <w:rsid w:val="00E934F5"/>
    <w:rsid w:val="00E93C3E"/>
    <w:rsid w:val="00E96961"/>
    <w:rsid w:val="00EA332A"/>
    <w:rsid w:val="00EA373E"/>
    <w:rsid w:val="00EA72EC"/>
    <w:rsid w:val="00EB04E1"/>
    <w:rsid w:val="00EB11CB"/>
    <w:rsid w:val="00EB275A"/>
    <w:rsid w:val="00EB3E99"/>
    <w:rsid w:val="00EB40B0"/>
    <w:rsid w:val="00EB4744"/>
    <w:rsid w:val="00EB786A"/>
    <w:rsid w:val="00EC1578"/>
    <w:rsid w:val="00EC1C72"/>
    <w:rsid w:val="00EC2945"/>
    <w:rsid w:val="00EC3CC9"/>
    <w:rsid w:val="00EC680A"/>
    <w:rsid w:val="00ED0130"/>
    <w:rsid w:val="00ED1196"/>
    <w:rsid w:val="00ED1562"/>
    <w:rsid w:val="00ED49EF"/>
    <w:rsid w:val="00ED7AEE"/>
    <w:rsid w:val="00EE1BF1"/>
    <w:rsid w:val="00EE205B"/>
    <w:rsid w:val="00EE2BED"/>
    <w:rsid w:val="00EE3414"/>
    <w:rsid w:val="00EE374B"/>
    <w:rsid w:val="00EE4805"/>
    <w:rsid w:val="00EE55BC"/>
    <w:rsid w:val="00EE59FB"/>
    <w:rsid w:val="00EF10F8"/>
    <w:rsid w:val="00EF58BA"/>
    <w:rsid w:val="00EF7629"/>
    <w:rsid w:val="00F003E9"/>
    <w:rsid w:val="00F01332"/>
    <w:rsid w:val="00F07951"/>
    <w:rsid w:val="00F11BB5"/>
    <w:rsid w:val="00F12F5E"/>
    <w:rsid w:val="00F1417B"/>
    <w:rsid w:val="00F143B2"/>
    <w:rsid w:val="00F1787C"/>
    <w:rsid w:val="00F258DD"/>
    <w:rsid w:val="00F3390A"/>
    <w:rsid w:val="00F34B99"/>
    <w:rsid w:val="00F37A7F"/>
    <w:rsid w:val="00F420F2"/>
    <w:rsid w:val="00F44F85"/>
    <w:rsid w:val="00F45E78"/>
    <w:rsid w:val="00F4638D"/>
    <w:rsid w:val="00F510E6"/>
    <w:rsid w:val="00F514FD"/>
    <w:rsid w:val="00F51A43"/>
    <w:rsid w:val="00F52DAB"/>
    <w:rsid w:val="00F53443"/>
    <w:rsid w:val="00F540DC"/>
    <w:rsid w:val="00F54196"/>
    <w:rsid w:val="00F543F0"/>
    <w:rsid w:val="00F55827"/>
    <w:rsid w:val="00F56612"/>
    <w:rsid w:val="00F575F3"/>
    <w:rsid w:val="00F6373D"/>
    <w:rsid w:val="00F7074B"/>
    <w:rsid w:val="00F72314"/>
    <w:rsid w:val="00F72920"/>
    <w:rsid w:val="00F737AD"/>
    <w:rsid w:val="00F75807"/>
    <w:rsid w:val="00F81158"/>
    <w:rsid w:val="00F81D29"/>
    <w:rsid w:val="00F81D61"/>
    <w:rsid w:val="00F81DC8"/>
    <w:rsid w:val="00F82340"/>
    <w:rsid w:val="00F90061"/>
    <w:rsid w:val="00F91A8D"/>
    <w:rsid w:val="00F91C4D"/>
    <w:rsid w:val="00F92FD9"/>
    <w:rsid w:val="00F96BC5"/>
    <w:rsid w:val="00F976AD"/>
    <w:rsid w:val="00FA1947"/>
    <w:rsid w:val="00FA2541"/>
    <w:rsid w:val="00FA42EF"/>
    <w:rsid w:val="00FA43AC"/>
    <w:rsid w:val="00FA6470"/>
    <w:rsid w:val="00FA6684"/>
    <w:rsid w:val="00FA705E"/>
    <w:rsid w:val="00FA731E"/>
    <w:rsid w:val="00FB0B66"/>
    <w:rsid w:val="00FB1366"/>
    <w:rsid w:val="00FB1520"/>
    <w:rsid w:val="00FB2B38"/>
    <w:rsid w:val="00FB3791"/>
    <w:rsid w:val="00FB653E"/>
    <w:rsid w:val="00FC6358"/>
    <w:rsid w:val="00FC6C90"/>
    <w:rsid w:val="00FD04BB"/>
    <w:rsid w:val="00FD066A"/>
    <w:rsid w:val="00FD320D"/>
    <w:rsid w:val="00FD45CD"/>
    <w:rsid w:val="00FD570D"/>
    <w:rsid w:val="00FD6257"/>
    <w:rsid w:val="00FE05C6"/>
    <w:rsid w:val="00FE1498"/>
    <w:rsid w:val="00FE1842"/>
    <w:rsid w:val="00FE188F"/>
    <w:rsid w:val="00FE23DE"/>
    <w:rsid w:val="00FE3369"/>
    <w:rsid w:val="00FE35E0"/>
    <w:rsid w:val="00FF5452"/>
    <w:rsid w:val="00FF54BA"/>
    <w:rsid w:val="02175907"/>
    <w:rsid w:val="026303E3"/>
    <w:rsid w:val="062E0F1B"/>
    <w:rsid w:val="07B956D5"/>
    <w:rsid w:val="0A522CFE"/>
    <w:rsid w:val="0A842761"/>
    <w:rsid w:val="0C622C16"/>
    <w:rsid w:val="0C68411F"/>
    <w:rsid w:val="0DA61122"/>
    <w:rsid w:val="0DD7773F"/>
    <w:rsid w:val="0DFB2A63"/>
    <w:rsid w:val="0E6A2AFA"/>
    <w:rsid w:val="0E8D76BF"/>
    <w:rsid w:val="0F184516"/>
    <w:rsid w:val="10C07719"/>
    <w:rsid w:val="128A1009"/>
    <w:rsid w:val="12B67961"/>
    <w:rsid w:val="13086650"/>
    <w:rsid w:val="138A15FB"/>
    <w:rsid w:val="16CA09D1"/>
    <w:rsid w:val="18B11D21"/>
    <w:rsid w:val="19A277FE"/>
    <w:rsid w:val="1B56010D"/>
    <w:rsid w:val="1C574FD5"/>
    <w:rsid w:val="1F3E57F5"/>
    <w:rsid w:val="215C14F1"/>
    <w:rsid w:val="24642242"/>
    <w:rsid w:val="25EC37DF"/>
    <w:rsid w:val="29BB2216"/>
    <w:rsid w:val="2B532635"/>
    <w:rsid w:val="2CC81BB3"/>
    <w:rsid w:val="2E1C1A4E"/>
    <w:rsid w:val="2ED578D6"/>
    <w:rsid w:val="32877ED6"/>
    <w:rsid w:val="3344649B"/>
    <w:rsid w:val="347B2CCE"/>
    <w:rsid w:val="37606DA8"/>
    <w:rsid w:val="3EB837DF"/>
    <w:rsid w:val="3FBC0C62"/>
    <w:rsid w:val="3FEB25E0"/>
    <w:rsid w:val="40EE3E7E"/>
    <w:rsid w:val="412D2FF7"/>
    <w:rsid w:val="44CD6F79"/>
    <w:rsid w:val="46476EB4"/>
    <w:rsid w:val="47820657"/>
    <w:rsid w:val="47E57C6F"/>
    <w:rsid w:val="4A416358"/>
    <w:rsid w:val="4BA2541F"/>
    <w:rsid w:val="4DC024C2"/>
    <w:rsid w:val="4EDA3E32"/>
    <w:rsid w:val="4F195FD5"/>
    <w:rsid w:val="50406E4E"/>
    <w:rsid w:val="51C508AC"/>
    <w:rsid w:val="51CD2DC1"/>
    <w:rsid w:val="53570DD0"/>
    <w:rsid w:val="53FC18B5"/>
    <w:rsid w:val="573B211D"/>
    <w:rsid w:val="5AE12A2F"/>
    <w:rsid w:val="5E455D41"/>
    <w:rsid w:val="5F7B5377"/>
    <w:rsid w:val="613320B7"/>
    <w:rsid w:val="62C92CD3"/>
    <w:rsid w:val="64361511"/>
    <w:rsid w:val="6568477B"/>
    <w:rsid w:val="65B70105"/>
    <w:rsid w:val="65CD2B56"/>
    <w:rsid w:val="674B0307"/>
    <w:rsid w:val="68D52A0C"/>
    <w:rsid w:val="6BE00667"/>
    <w:rsid w:val="6C8F6334"/>
    <w:rsid w:val="6D0A1748"/>
    <w:rsid w:val="6E3E05AC"/>
    <w:rsid w:val="6E906FA7"/>
    <w:rsid w:val="6F8E3D0F"/>
    <w:rsid w:val="718A31A2"/>
    <w:rsid w:val="721D0945"/>
    <w:rsid w:val="728E48C2"/>
    <w:rsid w:val="74DD616A"/>
    <w:rsid w:val="78245288"/>
    <w:rsid w:val="799C7E72"/>
    <w:rsid w:val="7A545290"/>
    <w:rsid w:val="7A736BB1"/>
    <w:rsid w:val="7BC02341"/>
    <w:rsid w:val="7C94044F"/>
    <w:rsid w:val="7D163400"/>
    <w:rsid w:val="7D2C4132"/>
    <w:rsid w:val="7DBB7464"/>
    <w:rsid w:val="7EA5437B"/>
    <w:rsid w:val="7F122F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iPriority="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nhideWhenUsed="0" w:uiPriority="0" w:semiHidden="0" w:name="toa heading"/>
    <w:lsdException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autoRedefine/>
    <w:semiHidden/>
    <w:qFormat/>
    <w:uiPriority w:val="0"/>
    <w:pPr>
      <w:tabs>
        <w:tab w:val="right" w:leader="dot" w:pos="9241"/>
      </w:tabs>
      <w:ind w:firstLine="500" w:firstLineChars="500"/>
      <w:jc w:val="left"/>
    </w:pPr>
    <w:rPr>
      <w:rFonts w:ascii="宋体"/>
      <w:szCs w:val="21"/>
    </w:rPr>
  </w:style>
  <w:style w:type="paragraph" w:styleId="3">
    <w:name w:val="index 8"/>
    <w:basedOn w:val="1"/>
    <w:next w:val="1"/>
    <w:autoRedefine/>
    <w:qFormat/>
    <w:uiPriority w:val="0"/>
    <w:pPr>
      <w:ind w:left="1680" w:hanging="210"/>
      <w:jc w:val="left"/>
    </w:pPr>
    <w:rPr>
      <w:rFonts w:ascii="Calibri" w:hAnsi="Calibri"/>
      <w:sz w:val="20"/>
      <w:szCs w:val="20"/>
    </w:rPr>
  </w:style>
  <w:style w:type="paragraph" w:styleId="4">
    <w:name w:val="caption"/>
    <w:basedOn w:val="1"/>
    <w:next w:val="1"/>
    <w:autoRedefine/>
    <w:qFormat/>
    <w:uiPriority w:val="0"/>
    <w:pPr>
      <w:spacing w:before="152" w:after="160"/>
    </w:pPr>
    <w:rPr>
      <w:rFonts w:ascii="Arial" w:hAnsi="Arial" w:eastAsia="黑体" w:cs="Arial"/>
      <w:sz w:val="20"/>
      <w:szCs w:val="20"/>
    </w:rPr>
  </w:style>
  <w:style w:type="paragraph" w:styleId="5">
    <w:name w:val="index 5"/>
    <w:basedOn w:val="1"/>
    <w:next w:val="1"/>
    <w:autoRedefine/>
    <w:qFormat/>
    <w:uiPriority w:val="0"/>
    <w:pPr>
      <w:ind w:left="1050" w:hanging="210"/>
      <w:jc w:val="left"/>
    </w:pPr>
    <w:rPr>
      <w:rFonts w:ascii="Calibri" w:hAnsi="Calibri"/>
      <w:sz w:val="20"/>
      <w:szCs w:val="20"/>
    </w:rPr>
  </w:style>
  <w:style w:type="paragraph" w:styleId="6">
    <w:name w:val="Document Map"/>
    <w:basedOn w:val="1"/>
    <w:autoRedefine/>
    <w:semiHidden/>
    <w:qFormat/>
    <w:uiPriority w:val="0"/>
    <w:pPr>
      <w:shd w:val="clear" w:color="auto" w:fill="000080"/>
    </w:pPr>
  </w:style>
  <w:style w:type="paragraph" w:styleId="7">
    <w:name w:val="annotation text"/>
    <w:basedOn w:val="1"/>
    <w:link w:val="146"/>
    <w:autoRedefine/>
    <w:semiHidden/>
    <w:unhideWhenUsed/>
    <w:qFormat/>
    <w:uiPriority w:val="0"/>
    <w:pPr>
      <w:jc w:val="left"/>
    </w:pPr>
  </w:style>
  <w:style w:type="paragraph" w:styleId="8">
    <w:name w:val="index 6"/>
    <w:basedOn w:val="1"/>
    <w:next w:val="1"/>
    <w:autoRedefine/>
    <w:qFormat/>
    <w:uiPriority w:val="0"/>
    <w:pPr>
      <w:ind w:left="1260" w:hanging="210"/>
      <w:jc w:val="left"/>
    </w:pPr>
    <w:rPr>
      <w:rFonts w:ascii="Calibri" w:hAnsi="Calibri"/>
      <w:sz w:val="20"/>
      <w:szCs w:val="20"/>
    </w:rPr>
  </w:style>
  <w:style w:type="paragraph" w:styleId="9">
    <w:name w:val="index 4"/>
    <w:basedOn w:val="1"/>
    <w:next w:val="1"/>
    <w:autoRedefine/>
    <w:qFormat/>
    <w:uiPriority w:val="0"/>
    <w:pPr>
      <w:ind w:left="840" w:hanging="210"/>
      <w:jc w:val="left"/>
    </w:pPr>
    <w:rPr>
      <w:rFonts w:ascii="Calibri" w:hAnsi="Calibri"/>
      <w:sz w:val="20"/>
      <w:szCs w:val="20"/>
    </w:rPr>
  </w:style>
  <w:style w:type="paragraph" w:styleId="10">
    <w:name w:val="toc 5"/>
    <w:basedOn w:val="1"/>
    <w:next w:val="1"/>
    <w:autoRedefine/>
    <w:semiHidden/>
    <w:qFormat/>
    <w:uiPriority w:val="0"/>
    <w:pPr>
      <w:tabs>
        <w:tab w:val="right" w:leader="dot" w:pos="9241"/>
      </w:tabs>
      <w:ind w:firstLine="300" w:firstLineChars="300"/>
      <w:jc w:val="left"/>
    </w:pPr>
    <w:rPr>
      <w:rFonts w:ascii="宋体"/>
      <w:szCs w:val="21"/>
    </w:rPr>
  </w:style>
  <w:style w:type="paragraph" w:styleId="11">
    <w:name w:val="toc 3"/>
    <w:basedOn w:val="1"/>
    <w:next w:val="1"/>
    <w:autoRedefine/>
    <w:semiHidden/>
    <w:qFormat/>
    <w:uiPriority w:val="0"/>
    <w:pPr>
      <w:tabs>
        <w:tab w:val="right" w:leader="dot" w:pos="9241"/>
      </w:tabs>
      <w:ind w:firstLine="100" w:firstLineChars="100"/>
      <w:jc w:val="left"/>
    </w:pPr>
    <w:rPr>
      <w:rFonts w:ascii="宋体"/>
      <w:szCs w:val="21"/>
    </w:rPr>
  </w:style>
  <w:style w:type="paragraph" w:styleId="12">
    <w:name w:val="toc 8"/>
    <w:basedOn w:val="1"/>
    <w:next w:val="1"/>
    <w:autoRedefine/>
    <w:semiHidden/>
    <w:qFormat/>
    <w:uiPriority w:val="0"/>
    <w:pPr>
      <w:tabs>
        <w:tab w:val="right" w:leader="dot" w:pos="9241"/>
      </w:tabs>
      <w:ind w:firstLine="607" w:firstLineChars="600"/>
      <w:jc w:val="left"/>
    </w:pPr>
    <w:rPr>
      <w:rFonts w:ascii="宋体"/>
      <w:szCs w:val="21"/>
    </w:rPr>
  </w:style>
  <w:style w:type="paragraph" w:styleId="13">
    <w:name w:val="index 3"/>
    <w:basedOn w:val="1"/>
    <w:next w:val="1"/>
    <w:autoRedefine/>
    <w:qFormat/>
    <w:uiPriority w:val="0"/>
    <w:pPr>
      <w:ind w:left="630" w:hanging="210"/>
      <w:jc w:val="left"/>
    </w:pPr>
    <w:rPr>
      <w:rFonts w:ascii="Calibri" w:hAnsi="Calibri"/>
      <w:sz w:val="20"/>
      <w:szCs w:val="20"/>
    </w:rPr>
  </w:style>
  <w:style w:type="paragraph" w:styleId="14">
    <w:name w:val="endnote text"/>
    <w:basedOn w:val="1"/>
    <w:autoRedefine/>
    <w:semiHidden/>
    <w:qFormat/>
    <w:uiPriority w:val="0"/>
    <w:pPr>
      <w:snapToGrid w:val="0"/>
      <w:jc w:val="left"/>
    </w:pPr>
  </w:style>
  <w:style w:type="paragraph" w:styleId="15">
    <w:name w:val="Balloon Text"/>
    <w:basedOn w:val="1"/>
    <w:link w:val="42"/>
    <w:autoRedefine/>
    <w:qFormat/>
    <w:uiPriority w:val="0"/>
    <w:rPr>
      <w:sz w:val="18"/>
      <w:szCs w:val="18"/>
    </w:rPr>
  </w:style>
  <w:style w:type="paragraph" w:styleId="16">
    <w:name w:val="footer"/>
    <w:basedOn w:val="1"/>
    <w:link w:val="53"/>
    <w:autoRedefine/>
    <w:qFormat/>
    <w:uiPriority w:val="99"/>
    <w:pPr>
      <w:snapToGrid w:val="0"/>
      <w:ind w:right="210" w:rightChars="100"/>
      <w:jc w:val="right"/>
    </w:pPr>
    <w:rPr>
      <w:sz w:val="18"/>
      <w:szCs w:val="18"/>
    </w:rPr>
  </w:style>
  <w:style w:type="paragraph" w:styleId="17">
    <w:name w:val="header"/>
    <w:basedOn w:val="1"/>
    <w:link w:val="41"/>
    <w:autoRedefine/>
    <w:qFormat/>
    <w:uiPriority w:val="99"/>
    <w:pPr>
      <w:snapToGrid w:val="0"/>
      <w:jc w:val="left"/>
    </w:pPr>
    <w:rPr>
      <w:sz w:val="18"/>
      <w:szCs w:val="18"/>
    </w:rPr>
  </w:style>
  <w:style w:type="paragraph" w:styleId="18">
    <w:name w:val="toc 1"/>
    <w:basedOn w:val="1"/>
    <w:next w:val="1"/>
    <w:autoRedefine/>
    <w:qFormat/>
    <w:uiPriority w:val="39"/>
    <w:pPr>
      <w:tabs>
        <w:tab w:val="right" w:leader="dot" w:pos="9242"/>
      </w:tabs>
      <w:spacing w:beforeLines="25" w:afterLines="25"/>
      <w:jc w:val="left"/>
    </w:pPr>
    <w:rPr>
      <w:rFonts w:ascii="宋体"/>
      <w:szCs w:val="21"/>
    </w:rPr>
  </w:style>
  <w:style w:type="paragraph" w:styleId="19">
    <w:name w:val="toc 4"/>
    <w:basedOn w:val="1"/>
    <w:next w:val="1"/>
    <w:autoRedefine/>
    <w:semiHidden/>
    <w:qFormat/>
    <w:uiPriority w:val="0"/>
    <w:pPr>
      <w:tabs>
        <w:tab w:val="right" w:leader="dot" w:pos="9241"/>
      </w:tabs>
      <w:ind w:firstLine="200" w:firstLineChars="200"/>
      <w:jc w:val="left"/>
    </w:pPr>
    <w:rPr>
      <w:rFonts w:ascii="宋体"/>
      <w:szCs w:val="21"/>
    </w:rPr>
  </w:style>
  <w:style w:type="paragraph" w:styleId="20">
    <w:name w:val="index heading"/>
    <w:basedOn w:val="1"/>
    <w:next w:val="21"/>
    <w:autoRedefine/>
    <w:qFormat/>
    <w:uiPriority w:val="0"/>
    <w:pPr>
      <w:spacing w:before="120" w:after="120"/>
      <w:jc w:val="center"/>
    </w:pPr>
    <w:rPr>
      <w:rFonts w:ascii="Calibri" w:hAnsi="Calibri"/>
      <w:b/>
      <w:bCs/>
      <w:iCs/>
      <w:szCs w:val="20"/>
    </w:rPr>
  </w:style>
  <w:style w:type="paragraph" w:styleId="21">
    <w:name w:val="index 1"/>
    <w:basedOn w:val="1"/>
    <w:next w:val="22"/>
    <w:autoRedefine/>
    <w:qFormat/>
    <w:uiPriority w:val="0"/>
    <w:pPr>
      <w:tabs>
        <w:tab w:val="right" w:leader="dot" w:pos="9299"/>
      </w:tabs>
      <w:jc w:val="left"/>
    </w:pPr>
    <w:rPr>
      <w:rFonts w:ascii="宋体"/>
      <w:szCs w:val="21"/>
    </w:rPr>
  </w:style>
  <w:style w:type="paragraph" w:customStyle="1" w:styleId="22">
    <w:name w:val="段"/>
    <w:link w:val="39"/>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autoRedefine/>
    <w:qFormat/>
    <w:uiPriority w:val="0"/>
    <w:pPr>
      <w:tabs>
        <w:tab w:val="left" w:pos="0"/>
      </w:tabs>
      <w:snapToGrid w:val="0"/>
      <w:ind w:left="720" w:hanging="357"/>
      <w:jc w:val="left"/>
    </w:pPr>
    <w:rPr>
      <w:rFonts w:ascii="宋体"/>
      <w:sz w:val="18"/>
      <w:szCs w:val="18"/>
    </w:rPr>
  </w:style>
  <w:style w:type="paragraph" w:styleId="24">
    <w:name w:val="toc 6"/>
    <w:basedOn w:val="1"/>
    <w:next w:val="1"/>
    <w:autoRedefine/>
    <w:semiHidden/>
    <w:qFormat/>
    <w:uiPriority w:val="0"/>
    <w:pPr>
      <w:tabs>
        <w:tab w:val="right" w:leader="dot" w:pos="9241"/>
      </w:tabs>
      <w:ind w:firstLine="400" w:firstLineChars="400"/>
      <w:jc w:val="left"/>
    </w:pPr>
    <w:rPr>
      <w:rFonts w:ascii="宋体"/>
      <w:szCs w:val="21"/>
    </w:rPr>
  </w:style>
  <w:style w:type="paragraph" w:styleId="25">
    <w:name w:val="index 7"/>
    <w:basedOn w:val="1"/>
    <w:next w:val="1"/>
    <w:autoRedefine/>
    <w:qFormat/>
    <w:uiPriority w:val="0"/>
    <w:pPr>
      <w:ind w:left="1470" w:hanging="210"/>
      <w:jc w:val="left"/>
    </w:pPr>
    <w:rPr>
      <w:rFonts w:ascii="Calibri" w:hAnsi="Calibri"/>
      <w:sz w:val="20"/>
      <w:szCs w:val="20"/>
    </w:rPr>
  </w:style>
  <w:style w:type="paragraph" w:styleId="26">
    <w:name w:val="index 9"/>
    <w:basedOn w:val="1"/>
    <w:next w:val="1"/>
    <w:autoRedefine/>
    <w:qFormat/>
    <w:uiPriority w:val="0"/>
    <w:pPr>
      <w:ind w:left="1890" w:hanging="210"/>
      <w:jc w:val="left"/>
    </w:pPr>
    <w:rPr>
      <w:rFonts w:ascii="Calibri" w:hAnsi="Calibri"/>
      <w:sz w:val="20"/>
      <w:szCs w:val="20"/>
    </w:rPr>
  </w:style>
  <w:style w:type="paragraph" w:styleId="27">
    <w:name w:val="toc 2"/>
    <w:basedOn w:val="1"/>
    <w:next w:val="1"/>
    <w:autoRedefine/>
    <w:qFormat/>
    <w:uiPriority w:val="39"/>
    <w:pPr>
      <w:tabs>
        <w:tab w:val="right" w:leader="dot" w:pos="9242"/>
      </w:tabs>
    </w:pPr>
    <w:rPr>
      <w:rFonts w:ascii="宋体"/>
      <w:szCs w:val="21"/>
    </w:rPr>
  </w:style>
  <w:style w:type="paragraph" w:styleId="28">
    <w:name w:val="toc 9"/>
    <w:basedOn w:val="1"/>
    <w:next w:val="1"/>
    <w:autoRedefine/>
    <w:semiHidden/>
    <w:qFormat/>
    <w:uiPriority w:val="0"/>
    <w:pPr>
      <w:ind w:left="1470"/>
      <w:jc w:val="left"/>
    </w:pPr>
    <w:rPr>
      <w:sz w:val="20"/>
      <w:szCs w:val="20"/>
    </w:rPr>
  </w:style>
  <w:style w:type="paragraph" w:styleId="29">
    <w:name w:val="index 2"/>
    <w:basedOn w:val="1"/>
    <w:next w:val="1"/>
    <w:autoRedefine/>
    <w:qFormat/>
    <w:uiPriority w:val="0"/>
    <w:pPr>
      <w:ind w:left="420" w:hanging="210"/>
      <w:jc w:val="left"/>
    </w:pPr>
    <w:rPr>
      <w:rFonts w:ascii="Calibri" w:hAnsi="Calibri"/>
      <w:sz w:val="20"/>
      <w:szCs w:val="20"/>
    </w:rPr>
  </w:style>
  <w:style w:type="paragraph" w:styleId="30">
    <w:name w:val="annotation subject"/>
    <w:basedOn w:val="7"/>
    <w:next w:val="7"/>
    <w:link w:val="147"/>
    <w:autoRedefine/>
    <w:semiHidden/>
    <w:unhideWhenUsed/>
    <w:qFormat/>
    <w:uiPriority w:val="0"/>
    <w:rPr>
      <w:b/>
      <w:bCs/>
    </w:rPr>
  </w:style>
  <w:style w:type="table" w:styleId="32">
    <w:name w:val="Table Grid"/>
    <w:basedOn w:val="31"/>
    <w:autoRedefine/>
    <w:qFormat/>
    <w:uiPriority w:val="59"/>
    <w:pPr>
      <w:numPr>
        <w:numId w:val="1"/>
      </w:numPr>
      <w:ind w:left="544" w:hanging="181"/>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autoRedefine/>
    <w:semiHidden/>
    <w:qFormat/>
    <w:uiPriority w:val="0"/>
    <w:rPr>
      <w:vertAlign w:val="superscript"/>
    </w:rPr>
  </w:style>
  <w:style w:type="character" w:styleId="35">
    <w:name w:val="page number"/>
    <w:autoRedefine/>
    <w:qFormat/>
    <w:uiPriority w:val="0"/>
    <w:rPr>
      <w:rFonts w:ascii="Times New Roman" w:hAnsi="Times New Roman" w:eastAsia="宋体"/>
      <w:sz w:val="18"/>
    </w:rPr>
  </w:style>
  <w:style w:type="character" w:styleId="36">
    <w:name w:val="Hyperlink"/>
    <w:autoRedefine/>
    <w:qFormat/>
    <w:uiPriority w:val="99"/>
    <w:rPr>
      <w:color w:val="0000FF"/>
      <w:spacing w:val="0"/>
      <w:w w:val="100"/>
      <w:szCs w:val="21"/>
      <w:u w:val="single"/>
      <w:lang w:val="en-US" w:eastAsia="zh-CN"/>
    </w:rPr>
  </w:style>
  <w:style w:type="character" w:styleId="37">
    <w:name w:val="annotation reference"/>
    <w:basedOn w:val="33"/>
    <w:autoRedefine/>
    <w:semiHidden/>
    <w:unhideWhenUsed/>
    <w:qFormat/>
    <w:uiPriority w:val="0"/>
    <w:rPr>
      <w:sz w:val="21"/>
      <w:szCs w:val="21"/>
    </w:rPr>
  </w:style>
  <w:style w:type="character" w:styleId="38">
    <w:name w:val="footnote reference"/>
    <w:autoRedefine/>
    <w:semiHidden/>
    <w:qFormat/>
    <w:uiPriority w:val="0"/>
    <w:rPr>
      <w:vertAlign w:val="superscript"/>
    </w:rPr>
  </w:style>
  <w:style w:type="character" w:customStyle="1" w:styleId="39">
    <w:name w:val="段 Char"/>
    <w:link w:val="22"/>
    <w:autoRedefine/>
    <w:qFormat/>
    <w:uiPriority w:val="0"/>
    <w:rPr>
      <w:rFonts w:ascii="宋体"/>
      <w:sz w:val="21"/>
      <w:lang w:val="en-US" w:eastAsia="zh-CN" w:bidi="ar-SA"/>
    </w:rPr>
  </w:style>
  <w:style w:type="character" w:customStyle="1" w:styleId="40">
    <w:name w:val="访问过的超链接1"/>
    <w:autoRedefine/>
    <w:qFormat/>
    <w:uiPriority w:val="0"/>
    <w:rPr>
      <w:color w:val="800080"/>
      <w:u w:val="single"/>
    </w:rPr>
  </w:style>
  <w:style w:type="character" w:customStyle="1" w:styleId="41">
    <w:name w:val="页眉 字符"/>
    <w:link w:val="17"/>
    <w:autoRedefine/>
    <w:qFormat/>
    <w:locked/>
    <w:uiPriority w:val="99"/>
    <w:rPr>
      <w:kern w:val="2"/>
      <w:sz w:val="18"/>
      <w:szCs w:val="18"/>
    </w:rPr>
  </w:style>
  <w:style w:type="character" w:customStyle="1" w:styleId="42">
    <w:name w:val="批注框文本 字符"/>
    <w:link w:val="15"/>
    <w:autoRedefine/>
    <w:qFormat/>
    <w:uiPriority w:val="0"/>
    <w:rPr>
      <w:kern w:val="2"/>
      <w:sz w:val="18"/>
      <w:szCs w:val="18"/>
    </w:rPr>
  </w:style>
  <w:style w:type="character" w:customStyle="1" w:styleId="43">
    <w:name w:val="发布"/>
    <w:autoRedefine/>
    <w:qFormat/>
    <w:uiPriority w:val="0"/>
    <w:rPr>
      <w:rFonts w:ascii="黑体" w:eastAsia="黑体"/>
      <w:spacing w:val="85"/>
      <w:w w:val="100"/>
      <w:position w:val="3"/>
      <w:sz w:val="28"/>
      <w:szCs w:val="28"/>
    </w:rPr>
  </w:style>
  <w:style w:type="character" w:customStyle="1" w:styleId="44">
    <w:name w:val="章标题 Char"/>
    <w:link w:val="45"/>
    <w:autoRedefine/>
    <w:qFormat/>
    <w:locked/>
    <w:uiPriority w:val="0"/>
    <w:rPr>
      <w:rFonts w:ascii="黑体" w:eastAsia="黑体"/>
      <w:sz w:val="21"/>
    </w:rPr>
  </w:style>
  <w:style w:type="paragraph" w:customStyle="1" w:styleId="45">
    <w:name w:val="章标题"/>
    <w:next w:val="22"/>
    <w:link w:val="44"/>
    <w:autoRedefine/>
    <w:qFormat/>
    <w:uiPriority w:val="0"/>
    <w:pPr>
      <w:spacing w:beforeLines="100" w:afterLines="100"/>
      <w:jc w:val="both"/>
      <w:outlineLvl w:val="1"/>
    </w:pPr>
    <w:rPr>
      <w:rFonts w:ascii="黑体" w:hAnsi="Times New Roman" w:eastAsia="黑体" w:cs="Times New Roman"/>
      <w:sz w:val="21"/>
      <w:lang w:val="en-US" w:eastAsia="zh-CN" w:bidi="ar-SA"/>
    </w:rPr>
  </w:style>
  <w:style w:type="character" w:customStyle="1" w:styleId="46">
    <w:name w:val="一级条标题 Char"/>
    <w:link w:val="47"/>
    <w:autoRedefine/>
    <w:qFormat/>
    <w:locked/>
    <w:uiPriority w:val="0"/>
    <w:rPr>
      <w:rFonts w:ascii="黑体" w:eastAsia="黑体"/>
      <w:sz w:val="21"/>
      <w:szCs w:val="21"/>
    </w:rPr>
  </w:style>
  <w:style w:type="paragraph" w:customStyle="1" w:styleId="47">
    <w:name w:val="一级条标题"/>
    <w:next w:val="22"/>
    <w:link w:val="46"/>
    <w:autoRedefine/>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character" w:customStyle="1" w:styleId="48">
    <w:name w:val="二级无 Char"/>
    <w:link w:val="49"/>
    <w:autoRedefine/>
    <w:qFormat/>
    <w:locked/>
    <w:uiPriority w:val="0"/>
    <w:rPr>
      <w:rFonts w:ascii="宋体"/>
      <w:sz w:val="21"/>
      <w:szCs w:val="21"/>
    </w:rPr>
  </w:style>
  <w:style w:type="paragraph" w:customStyle="1" w:styleId="49">
    <w:name w:val="二级无"/>
    <w:basedOn w:val="50"/>
    <w:link w:val="48"/>
    <w:autoRedefine/>
    <w:qFormat/>
    <w:uiPriority w:val="0"/>
    <w:pPr>
      <w:spacing w:beforeLines="0" w:afterLines="0"/>
    </w:pPr>
    <w:rPr>
      <w:rFonts w:ascii="宋体" w:eastAsia="宋体"/>
    </w:rPr>
  </w:style>
  <w:style w:type="paragraph" w:customStyle="1" w:styleId="50">
    <w:name w:val="二级条标题"/>
    <w:basedOn w:val="47"/>
    <w:next w:val="22"/>
    <w:link w:val="145"/>
    <w:autoRedefine/>
    <w:qFormat/>
    <w:uiPriority w:val="0"/>
    <w:pPr>
      <w:numPr>
        <w:ilvl w:val="2"/>
      </w:numPr>
      <w:spacing w:before="50" w:after="50"/>
      <w:ind w:left="0"/>
      <w:outlineLvl w:val="3"/>
    </w:pPr>
  </w:style>
  <w:style w:type="character" w:customStyle="1" w:styleId="51">
    <w:name w:val="附录公式 Char"/>
    <w:basedOn w:val="39"/>
    <w:link w:val="52"/>
    <w:autoRedefine/>
    <w:qFormat/>
    <w:uiPriority w:val="0"/>
    <w:rPr>
      <w:rFonts w:ascii="宋体"/>
      <w:sz w:val="21"/>
      <w:lang w:val="en-US" w:eastAsia="zh-CN" w:bidi="ar-SA"/>
    </w:rPr>
  </w:style>
  <w:style w:type="paragraph" w:customStyle="1" w:styleId="52">
    <w:name w:val="附录公式"/>
    <w:basedOn w:val="22"/>
    <w:next w:val="22"/>
    <w:link w:val="51"/>
    <w:autoRedefine/>
    <w:qFormat/>
    <w:uiPriority w:val="0"/>
  </w:style>
  <w:style w:type="character" w:customStyle="1" w:styleId="53">
    <w:name w:val="页脚 字符"/>
    <w:link w:val="16"/>
    <w:autoRedefine/>
    <w:qFormat/>
    <w:locked/>
    <w:uiPriority w:val="99"/>
    <w:rPr>
      <w:kern w:val="2"/>
      <w:sz w:val="18"/>
      <w:szCs w:val="18"/>
    </w:rPr>
  </w:style>
  <w:style w:type="character" w:customStyle="1" w:styleId="54">
    <w:name w:val="首示例 Char"/>
    <w:link w:val="55"/>
    <w:autoRedefine/>
    <w:qFormat/>
    <w:uiPriority w:val="0"/>
    <w:rPr>
      <w:rFonts w:ascii="宋体" w:hAnsi="宋体"/>
      <w:kern w:val="2"/>
      <w:sz w:val="18"/>
      <w:szCs w:val="18"/>
    </w:rPr>
  </w:style>
  <w:style w:type="paragraph" w:customStyle="1" w:styleId="55">
    <w:name w:val="首示例"/>
    <w:next w:val="22"/>
    <w:link w:val="54"/>
    <w:autoRedefine/>
    <w:qFormat/>
    <w:uiPriority w:val="0"/>
    <w:pPr>
      <w:tabs>
        <w:tab w:val="left" w:pos="360"/>
      </w:tabs>
    </w:pPr>
    <w:rPr>
      <w:rFonts w:ascii="宋体" w:hAnsi="宋体" w:eastAsia="宋体" w:cs="Times New Roman"/>
      <w:kern w:val="2"/>
      <w:sz w:val="18"/>
      <w:szCs w:val="18"/>
      <w:lang w:val="en-US" w:eastAsia="zh-CN" w:bidi="ar-SA"/>
    </w:rPr>
  </w:style>
  <w:style w:type="paragraph" w:customStyle="1" w:styleId="56">
    <w:name w:val="标准文件_附录一级条标题"/>
    <w:basedOn w:val="1"/>
    <w:next w:val="1"/>
    <w:autoRedefine/>
    <w:qFormat/>
    <w:uiPriority w:val="0"/>
    <w:pPr>
      <w:widowControl/>
      <w:wordWrap w:val="0"/>
      <w:overflowPunct w:val="0"/>
      <w:autoSpaceDE w:val="0"/>
      <w:autoSpaceDN w:val="0"/>
      <w:ind w:left="-50" w:leftChars="-50" w:right="-50" w:rightChars="-50"/>
      <w:textAlignment w:val="baseline"/>
      <w:outlineLvl w:val="2"/>
    </w:pPr>
    <w:rPr>
      <w:rFonts w:ascii="黑体" w:eastAsia="黑体"/>
      <w:spacing w:val="2"/>
      <w:kern w:val="21"/>
      <w:szCs w:val="20"/>
    </w:rPr>
  </w:style>
  <w:style w:type="paragraph" w:customStyle="1" w:styleId="57">
    <w:name w:val="发布日期"/>
    <w:autoRedefine/>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58">
    <w:name w:val="目次、标准名称标题"/>
    <w:basedOn w:val="1"/>
    <w:next w:val="22"/>
    <w:autoRedefine/>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9">
    <w:name w:val="正文图标题"/>
    <w:next w:val="22"/>
    <w:autoRedefine/>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60">
    <w:name w:val="参考文献"/>
    <w:basedOn w:val="1"/>
    <w:next w:val="22"/>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1">
    <w:name w:val="示例后文字"/>
    <w:basedOn w:val="22"/>
    <w:next w:val="22"/>
    <w:autoRedefine/>
    <w:qFormat/>
    <w:uiPriority w:val="0"/>
    <w:pPr>
      <w:ind w:firstLine="360"/>
    </w:pPr>
    <w:rPr>
      <w:sz w:val="18"/>
    </w:rPr>
  </w:style>
  <w:style w:type="paragraph" w:customStyle="1" w:styleId="62">
    <w:name w:val="文献分类号"/>
    <w:autoRedefine/>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63">
    <w:name w:val="标准书眉一"/>
    <w:autoRedefine/>
    <w:qFormat/>
    <w:uiPriority w:val="0"/>
    <w:pPr>
      <w:jc w:val="both"/>
    </w:pPr>
    <w:rPr>
      <w:rFonts w:ascii="Times New Roman" w:hAnsi="Times New Roman" w:eastAsia="宋体" w:cs="Times New Roman"/>
      <w:lang w:val="en-US" w:eastAsia="zh-CN" w:bidi="ar-SA"/>
    </w:rPr>
  </w:style>
  <w:style w:type="paragraph" w:customStyle="1" w:styleId="64">
    <w:name w:val="附录表标号"/>
    <w:basedOn w:val="1"/>
    <w:next w:val="22"/>
    <w:autoRedefine/>
    <w:qFormat/>
    <w:uiPriority w:val="0"/>
    <w:pPr>
      <w:spacing w:line="14" w:lineRule="exact"/>
      <w:ind w:left="811" w:hanging="448"/>
      <w:jc w:val="center"/>
      <w:outlineLvl w:val="0"/>
    </w:pPr>
    <w:rPr>
      <w:color w:val="FFFFFF"/>
    </w:rPr>
  </w:style>
  <w:style w:type="paragraph" w:customStyle="1" w:styleId="65">
    <w:name w:val="附录二级条标题"/>
    <w:basedOn w:val="1"/>
    <w:next w:val="22"/>
    <w:autoRedefine/>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66">
    <w:name w:val="封面一致性程度标识"/>
    <w:basedOn w:val="67"/>
    <w:autoRedefine/>
    <w:qFormat/>
    <w:uiPriority w:val="99"/>
    <w:pPr>
      <w:framePr w:wrap="around"/>
      <w:spacing w:before="440"/>
    </w:pPr>
    <w:rPr>
      <w:rFonts w:ascii="宋体" w:eastAsia="宋体"/>
    </w:rPr>
  </w:style>
  <w:style w:type="paragraph" w:customStyle="1" w:styleId="67">
    <w:name w:val="封面标准英文名称"/>
    <w:basedOn w:val="68"/>
    <w:autoRedefine/>
    <w:qFormat/>
    <w:uiPriority w:val="0"/>
    <w:pPr>
      <w:framePr w:wrap="around"/>
      <w:spacing w:before="370" w:line="400" w:lineRule="exact"/>
    </w:pPr>
    <w:rPr>
      <w:rFonts w:ascii="Times New Roman"/>
      <w:sz w:val="28"/>
      <w:szCs w:val="28"/>
    </w:rPr>
  </w:style>
  <w:style w:type="paragraph" w:customStyle="1" w:styleId="68">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9">
    <w:name w:val="附录二级无"/>
    <w:basedOn w:val="65"/>
    <w:autoRedefine/>
    <w:qFormat/>
    <w:uiPriority w:val="0"/>
    <w:pPr>
      <w:tabs>
        <w:tab w:val="clear" w:pos="360"/>
      </w:tabs>
      <w:spacing w:beforeLines="0" w:afterLines="0"/>
    </w:pPr>
    <w:rPr>
      <w:rFonts w:ascii="宋体" w:eastAsia="宋体"/>
      <w:szCs w:val="21"/>
    </w:rPr>
  </w:style>
  <w:style w:type="paragraph" w:customStyle="1" w:styleId="70">
    <w:name w:val="一级无"/>
    <w:basedOn w:val="47"/>
    <w:autoRedefine/>
    <w:qFormat/>
    <w:uiPriority w:val="0"/>
    <w:pPr>
      <w:spacing w:beforeLines="0" w:afterLines="0"/>
    </w:pPr>
    <w:rPr>
      <w:rFonts w:ascii="宋体" w:eastAsia="宋体"/>
    </w:rPr>
  </w:style>
  <w:style w:type="paragraph" w:customStyle="1" w:styleId="71">
    <w:name w:val="实施日期"/>
    <w:basedOn w:val="57"/>
    <w:autoRedefine/>
    <w:qFormat/>
    <w:uiPriority w:val="0"/>
    <w:pPr>
      <w:framePr w:wrap="around" w:vAnchor="page" w:hAnchor="text"/>
      <w:jc w:val="right"/>
    </w:pPr>
  </w:style>
  <w:style w:type="paragraph" w:customStyle="1" w:styleId="72">
    <w:name w:val="四级无"/>
    <w:basedOn w:val="73"/>
    <w:autoRedefine/>
    <w:qFormat/>
    <w:uiPriority w:val="0"/>
    <w:pPr>
      <w:spacing w:beforeLines="0" w:afterLines="0"/>
    </w:pPr>
    <w:rPr>
      <w:rFonts w:ascii="宋体" w:eastAsia="宋体"/>
    </w:rPr>
  </w:style>
  <w:style w:type="paragraph" w:customStyle="1" w:styleId="73">
    <w:name w:val="四级条标题"/>
    <w:basedOn w:val="74"/>
    <w:next w:val="22"/>
    <w:autoRedefine/>
    <w:qFormat/>
    <w:uiPriority w:val="0"/>
    <w:pPr>
      <w:outlineLvl w:val="5"/>
    </w:pPr>
  </w:style>
  <w:style w:type="paragraph" w:customStyle="1" w:styleId="74">
    <w:name w:val="三级条标题"/>
    <w:basedOn w:val="50"/>
    <w:next w:val="22"/>
    <w:autoRedefine/>
    <w:qFormat/>
    <w:uiPriority w:val="99"/>
    <w:pPr>
      <w:numPr>
        <w:ilvl w:val="0"/>
        <w:numId w:val="0"/>
      </w:numPr>
      <w:outlineLvl w:val="4"/>
    </w:pPr>
  </w:style>
  <w:style w:type="paragraph" w:customStyle="1" w:styleId="75">
    <w:name w:val="注×：（正文）"/>
    <w:autoRedefine/>
    <w:qFormat/>
    <w:uiPriority w:val="0"/>
    <w:pPr>
      <w:ind w:left="811" w:hanging="448"/>
      <w:jc w:val="both"/>
    </w:pPr>
    <w:rPr>
      <w:rFonts w:ascii="宋体" w:hAnsi="Times New Roman" w:eastAsia="宋体" w:cs="Times New Roman"/>
      <w:sz w:val="18"/>
      <w:szCs w:val="18"/>
      <w:lang w:val="en-US" w:eastAsia="zh-CN" w:bidi="ar-SA"/>
    </w:rPr>
  </w:style>
  <w:style w:type="paragraph" w:customStyle="1" w:styleId="76">
    <w:name w:val="列项——（一级）"/>
    <w:autoRedefine/>
    <w:qFormat/>
    <w:uiPriority w:val="0"/>
    <w:pPr>
      <w:widowControl w:val="0"/>
      <w:ind w:left="833" w:hanging="408"/>
      <w:jc w:val="both"/>
    </w:pPr>
    <w:rPr>
      <w:rFonts w:ascii="宋体" w:hAnsi="Times New Roman" w:eastAsia="宋体" w:cs="Times New Roman"/>
      <w:sz w:val="21"/>
      <w:lang w:val="en-US" w:eastAsia="zh-CN" w:bidi="ar-SA"/>
    </w:rPr>
  </w:style>
  <w:style w:type="paragraph" w:customStyle="1" w:styleId="77">
    <w:name w:val="正文表标题"/>
    <w:next w:val="22"/>
    <w:autoRedefine/>
    <w:qFormat/>
    <w:uiPriority w:val="0"/>
    <w:pPr>
      <w:numPr>
        <w:ilvl w:val="0"/>
        <w:numId w:val="3"/>
      </w:numPr>
      <w:tabs>
        <w:tab w:val="left" w:pos="360"/>
      </w:tabs>
      <w:spacing w:before="156" w:beforeLines="50" w:after="156" w:afterLines="50"/>
      <w:ind w:left="0"/>
      <w:jc w:val="center"/>
    </w:pPr>
    <w:rPr>
      <w:rFonts w:ascii="黑体" w:hAnsi="Times New Roman" w:eastAsia="黑体" w:cs="Times New Roman"/>
      <w:sz w:val="21"/>
      <w:lang w:val="en-US" w:eastAsia="zh-CN" w:bidi="ar-SA"/>
    </w:rPr>
  </w:style>
  <w:style w:type="paragraph" w:customStyle="1" w:styleId="78">
    <w:name w:val="封面标准号2"/>
    <w:autoRedefine/>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79">
    <w:name w:val="图标脚注说明"/>
    <w:basedOn w:val="22"/>
    <w:autoRedefine/>
    <w:qFormat/>
    <w:uiPriority w:val="0"/>
    <w:pPr>
      <w:ind w:left="840" w:hanging="420" w:firstLineChars="0"/>
    </w:pPr>
    <w:rPr>
      <w:sz w:val="18"/>
      <w:szCs w:val="18"/>
    </w:rPr>
  </w:style>
  <w:style w:type="paragraph" w:customStyle="1" w:styleId="80">
    <w:name w:val="列项◆（三级）"/>
    <w:basedOn w:val="1"/>
    <w:autoRedefine/>
    <w:qFormat/>
    <w:uiPriority w:val="0"/>
    <w:pPr>
      <w:tabs>
        <w:tab w:val="left" w:pos="1678"/>
      </w:tabs>
      <w:ind w:left="1678" w:hanging="414"/>
    </w:pPr>
    <w:rPr>
      <w:rFonts w:ascii="宋体"/>
      <w:szCs w:val="21"/>
    </w:rPr>
  </w:style>
  <w:style w:type="paragraph" w:customStyle="1" w:styleId="81">
    <w:name w:val="前言、引言标题"/>
    <w:next w:val="22"/>
    <w:autoRedefine/>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2">
    <w:name w:val="附录三级条标题"/>
    <w:basedOn w:val="65"/>
    <w:next w:val="22"/>
    <w:autoRedefine/>
    <w:qFormat/>
    <w:uiPriority w:val="0"/>
    <w:pPr>
      <w:outlineLvl w:val="4"/>
    </w:pPr>
  </w:style>
  <w:style w:type="paragraph" w:customStyle="1" w:styleId="83">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84">
    <w:name w:val="附录五级无"/>
    <w:basedOn w:val="85"/>
    <w:autoRedefine/>
    <w:qFormat/>
    <w:uiPriority w:val="0"/>
    <w:pPr>
      <w:tabs>
        <w:tab w:val="left" w:pos="360"/>
      </w:tabs>
      <w:spacing w:beforeLines="0" w:afterLines="0"/>
    </w:pPr>
    <w:rPr>
      <w:rFonts w:ascii="宋体" w:eastAsia="宋体"/>
      <w:szCs w:val="21"/>
    </w:rPr>
  </w:style>
  <w:style w:type="paragraph" w:customStyle="1" w:styleId="85">
    <w:name w:val="附录五级条标题"/>
    <w:basedOn w:val="86"/>
    <w:next w:val="22"/>
    <w:autoRedefine/>
    <w:qFormat/>
    <w:uiPriority w:val="0"/>
    <w:pPr>
      <w:tabs>
        <w:tab w:val="left" w:pos="360"/>
      </w:tabs>
      <w:outlineLvl w:val="6"/>
    </w:pPr>
  </w:style>
  <w:style w:type="paragraph" w:customStyle="1" w:styleId="86">
    <w:name w:val="附录四级条标题"/>
    <w:basedOn w:val="82"/>
    <w:next w:val="22"/>
    <w:autoRedefine/>
    <w:qFormat/>
    <w:uiPriority w:val="0"/>
    <w:pPr>
      <w:outlineLvl w:val="5"/>
    </w:pPr>
  </w:style>
  <w:style w:type="paragraph" w:customStyle="1" w:styleId="87">
    <w:name w:val="标准书脚_偶数页"/>
    <w:autoRedefine/>
    <w:qFormat/>
    <w:uiPriority w:val="0"/>
    <w:pPr>
      <w:spacing w:before="120"/>
      <w:ind w:left="221"/>
    </w:pPr>
    <w:rPr>
      <w:rFonts w:ascii="宋体" w:hAnsi="Times New Roman" w:eastAsia="宋体" w:cs="Times New Roman"/>
      <w:sz w:val="18"/>
      <w:szCs w:val="18"/>
      <w:lang w:val="en-US" w:eastAsia="zh-CN" w:bidi="ar-SA"/>
    </w:rPr>
  </w:style>
  <w:style w:type="paragraph" w:customStyle="1" w:styleId="88">
    <w:name w:val="附录一级无"/>
    <w:basedOn w:val="89"/>
    <w:autoRedefine/>
    <w:qFormat/>
    <w:uiPriority w:val="0"/>
    <w:pPr>
      <w:tabs>
        <w:tab w:val="left" w:pos="360"/>
      </w:tabs>
      <w:spacing w:beforeLines="0" w:afterLines="0"/>
    </w:pPr>
    <w:rPr>
      <w:rFonts w:ascii="宋体" w:eastAsia="宋体"/>
      <w:szCs w:val="21"/>
    </w:rPr>
  </w:style>
  <w:style w:type="paragraph" w:customStyle="1" w:styleId="89">
    <w:name w:val="附录一级条标题"/>
    <w:basedOn w:val="90"/>
    <w:next w:val="22"/>
    <w:autoRedefine/>
    <w:qFormat/>
    <w:uiPriority w:val="0"/>
    <w:pPr>
      <w:tabs>
        <w:tab w:val="left" w:pos="360"/>
      </w:tabs>
      <w:autoSpaceDN w:val="0"/>
      <w:spacing w:beforeLines="50" w:afterLines="50"/>
      <w:outlineLvl w:val="2"/>
    </w:pPr>
  </w:style>
  <w:style w:type="paragraph" w:customStyle="1" w:styleId="90">
    <w:name w:val="附录章标题"/>
    <w:next w:val="22"/>
    <w:autoRedefine/>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92">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93">
    <w:name w:val="附录公式编号制表符"/>
    <w:basedOn w:val="1"/>
    <w:next w:val="22"/>
    <w:autoRedefine/>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图标题"/>
    <w:basedOn w:val="1"/>
    <w:next w:val="22"/>
    <w:autoRedefine/>
    <w:qFormat/>
    <w:uiPriority w:val="0"/>
    <w:pPr>
      <w:tabs>
        <w:tab w:val="left" w:pos="363"/>
      </w:tabs>
      <w:spacing w:beforeLines="50" w:afterLines="50"/>
      <w:jc w:val="center"/>
    </w:pPr>
    <w:rPr>
      <w:rFonts w:ascii="黑体" w:eastAsia="黑体"/>
      <w:szCs w:val="21"/>
    </w:rPr>
  </w:style>
  <w:style w:type="paragraph" w:customStyle="1" w:styleId="95">
    <w:name w:val="注×："/>
    <w:autoRedefine/>
    <w:qFormat/>
    <w:uiPriority w:val="99"/>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96">
    <w:name w:val="参考文献、索引标题"/>
    <w:basedOn w:val="1"/>
    <w:next w:val="22"/>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97">
    <w:name w:val="标准称谓"/>
    <w:next w:val="1"/>
    <w:autoRedefine/>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98">
    <w:name w:val="图的脚注"/>
    <w:next w:val="22"/>
    <w:autoRedefine/>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99">
    <w:name w:val="数字编号列项（二级）"/>
    <w:autoRedefine/>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100">
    <w:name w:val="条文脚注"/>
    <w:basedOn w:val="23"/>
    <w:autoRedefine/>
    <w:qFormat/>
    <w:uiPriority w:val="0"/>
    <w:pPr>
      <w:ind w:left="0" w:firstLine="0"/>
      <w:jc w:val="both"/>
    </w:pPr>
  </w:style>
  <w:style w:type="paragraph" w:customStyle="1" w:styleId="101">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02">
    <w:name w:val="字母编号列项（一级）"/>
    <w:autoRedefine/>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103">
    <w:name w:val="示例"/>
    <w:next w:val="104"/>
    <w:autoRedefine/>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104">
    <w:name w:val="示例内容"/>
    <w:autoRedefine/>
    <w:qFormat/>
    <w:uiPriority w:val="0"/>
    <w:pPr>
      <w:ind w:firstLine="200" w:firstLineChars="200"/>
    </w:pPr>
    <w:rPr>
      <w:rFonts w:ascii="宋体" w:hAnsi="Times New Roman" w:eastAsia="宋体" w:cs="Times New Roman"/>
      <w:sz w:val="18"/>
      <w:szCs w:val="18"/>
      <w:lang w:val="en-US" w:eastAsia="zh-CN" w:bidi="ar-SA"/>
    </w:rPr>
  </w:style>
  <w:style w:type="paragraph" w:customStyle="1" w:styleId="105">
    <w:name w:val="附录图标号"/>
    <w:basedOn w:val="1"/>
    <w:autoRedefine/>
    <w:qFormat/>
    <w:uiPriority w:val="0"/>
    <w:pPr>
      <w:keepNext/>
      <w:pageBreakBefore/>
      <w:widowControl/>
      <w:spacing w:line="14" w:lineRule="exact"/>
      <w:ind w:firstLine="363"/>
      <w:jc w:val="center"/>
      <w:outlineLvl w:val="0"/>
    </w:pPr>
    <w:rPr>
      <w:color w:val="FFFFFF"/>
    </w:rPr>
  </w:style>
  <w:style w:type="paragraph" w:customStyle="1" w:styleId="106">
    <w:name w:val="封面一致性程度标识2"/>
    <w:basedOn w:val="66"/>
    <w:autoRedefine/>
    <w:qFormat/>
    <w:uiPriority w:val="0"/>
    <w:pPr>
      <w:framePr w:wrap="around" w:y="4469"/>
    </w:pPr>
  </w:style>
  <w:style w:type="paragraph" w:customStyle="1" w:styleId="107">
    <w:name w:val="附录字母编号列项（一级）"/>
    <w:autoRedefine/>
    <w:qFormat/>
    <w:uiPriority w:val="0"/>
    <w:pPr>
      <w:tabs>
        <w:tab w:val="left" w:pos="839"/>
      </w:tabs>
      <w:ind w:left="839" w:hanging="419"/>
    </w:pPr>
    <w:rPr>
      <w:rFonts w:ascii="宋体" w:hAnsi="Times New Roman" w:eastAsia="宋体" w:cs="Times New Roman"/>
      <w:sz w:val="21"/>
      <w:lang w:val="en-US" w:eastAsia="zh-CN" w:bidi="ar-SA"/>
    </w:rPr>
  </w:style>
  <w:style w:type="paragraph" w:customStyle="1" w:styleId="108">
    <w:name w:val="附录三级无"/>
    <w:basedOn w:val="82"/>
    <w:autoRedefine/>
    <w:qFormat/>
    <w:uiPriority w:val="0"/>
    <w:pPr>
      <w:tabs>
        <w:tab w:val="clear" w:pos="360"/>
      </w:tabs>
      <w:spacing w:beforeLines="0" w:afterLines="0"/>
    </w:pPr>
    <w:rPr>
      <w:rFonts w:ascii="宋体" w:eastAsia="宋体"/>
      <w:szCs w:val="21"/>
    </w:rPr>
  </w:style>
  <w:style w:type="paragraph" w:customStyle="1" w:styleId="109">
    <w:name w:val="其他发布日期"/>
    <w:basedOn w:val="57"/>
    <w:autoRedefine/>
    <w:qFormat/>
    <w:uiPriority w:val="99"/>
    <w:pPr>
      <w:framePr w:wrap="around" w:vAnchor="page" w:hAnchor="text" w:x="1419"/>
    </w:pPr>
  </w:style>
  <w:style w:type="paragraph" w:customStyle="1" w:styleId="110">
    <w:name w:val="附录数字编号列项（二级）"/>
    <w:autoRedefine/>
    <w:qFormat/>
    <w:uiPriority w:val="0"/>
    <w:pPr>
      <w:tabs>
        <w:tab w:val="left" w:pos="840"/>
      </w:tabs>
      <w:ind w:left="839" w:hanging="419"/>
    </w:pPr>
    <w:rPr>
      <w:rFonts w:ascii="宋体" w:hAnsi="Times New Roman" w:eastAsia="宋体" w:cs="Times New Roman"/>
      <w:sz w:val="21"/>
      <w:lang w:val="en-US" w:eastAsia="zh-CN" w:bidi="ar-SA"/>
    </w:rPr>
  </w:style>
  <w:style w:type="paragraph" w:customStyle="1" w:styleId="111">
    <w:name w:val="其他标准标志"/>
    <w:basedOn w:val="101"/>
    <w:autoRedefine/>
    <w:qFormat/>
    <w:uiPriority w:val="0"/>
    <w:pPr>
      <w:framePr w:w="6101" w:wrap="around" w:vAnchor="page" w:hAnchor="page" w:x="4673" w:y="942"/>
    </w:pPr>
    <w:rPr>
      <w:w w:val="130"/>
    </w:rPr>
  </w:style>
  <w:style w:type="paragraph" w:customStyle="1" w:styleId="112">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3">
    <w:name w:val="图表脚注说明"/>
    <w:basedOn w:val="1"/>
    <w:autoRedefine/>
    <w:qFormat/>
    <w:uiPriority w:val="0"/>
    <w:pPr>
      <w:ind w:left="544" w:hanging="181"/>
    </w:pPr>
    <w:rPr>
      <w:rFonts w:ascii="宋体"/>
      <w:sz w:val="18"/>
      <w:szCs w:val="18"/>
    </w:rPr>
  </w:style>
  <w:style w:type="paragraph" w:customStyle="1" w:styleId="114">
    <w:name w:val="五级条标题"/>
    <w:basedOn w:val="73"/>
    <w:next w:val="22"/>
    <w:autoRedefine/>
    <w:qFormat/>
    <w:uiPriority w:val="0"/>
    <w:pPr>
      <w:numPr>
        <w:ilvl w:val="5"/>
      </w:numPr>
      <w:outlineLvl w:val="6"/>
    </w:pPr>
  </w:style>
  <w:style w:type="paragraph" w:customStyle="1" w:styleId="115">
    <w:name w:val="封面标准文稿类别"/>
    <w:basedOn w:val="66"/>
    <w:autoRedefine/>
    <w:qFormat/>
    <w:uiPriority w:val="0"/>
    <w:pPr>
      <w:framePr w:wrap="around"/>
      <w:spacing w:after="160" w:line="240" w:lineRule="auto"/>
    </w:pPr>
    <w:rPr>
      <w:sz w:val="24"/>
    </w:rPr>
  </w:style>
  <w:style w:type="paragraph" w:customStyle="1" w:styleId="116">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17">
    <w:name w:val="示例×："/>
    <w:basedOn w:val="45"/>
    <w:autoRedefine/>
    <w:qFormat/>
    <w:uiPriority w:val="0"/>
    <w:pPr>
      <w:spacing w:beforeLines="0" w:afterLines="0"/>
      <w:ind w:firstLine="363"/>
      <w:outlineLvl w:val="9"/>
    </w:pPr>
    <w:rPr>
      <w:rFonts w:ascii="宋体" w:eastAsia="宋体"/>
      <w:sz w:val="18"/>
      <w:szCs w:val="18"/>
    </w:rPr>
  </w:style>
  <w:style w:type="paragraph" w:customStyle="1" w:styleId="118">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19">
    <w:name w:val="列项●（二级）"/>
    <w:autoRedefine/>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120">
    <w:name w:val="附录标识"/>
    <w:basedOn w:val="1"/>
    <w:next w:val="22"/>
    <w:autoRedefine/>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21">
    <w:name w:val="标准书眉_偶数页"/>
    <w:basedOn w:val="83"/>
    <w:next w:val="1"/>
    <w:autoRedefine/>
    <w:qFormat/>
    <w:uiPriority w:val="0"/>
    <w:pPr>
      <w:jc w:val="left"/>
    </w:pPr>
  </w:style>
  <w:style w:type="paragraph" w:customStyle="1" w:styleId="122">
    <w:name w:val="封面标准文稿编辑信息"/>
    <w:basedOn w:val="115"/>
    <w:autoRedefine/>
    <w:qFormat/>
    <w:uiPriority w:val="0"/>
    <w:pPr>
      <w:framePr w:wrap="around"/>
      <w:spacing w:before="180" w:line="180" w:lineRule="exact"/>
    </w:pPr>
    <w:rPr>
      <w:sz w:val="21"/>
    </w:rPr>
  </w:style>
  <w:style w:type="paragraph" w:customStyle="1" w:styleId="123">
    <w:name w:val="附录表标题"/>
    <w:basedOn w:val="1"/>
    <w:next w:val="22"/>
    <w:autoRedefine/>
    <w:qFormat/>
    <w:uiPriority w:val="0"/>
    <w:pPr>
      <w:tabs>
        <w:tab w:val="left" w:pos="180"/>
      </w:tabs>
      <w:spacing w:beforeLines="50" w:afterLines="50"/>
      <w:jc w:val="center"/>
    </w:pPr>
    <w:rPr>
      <w:rFonts w:ascii="黑体" w:eastAsia="黑体"/>
      <w:szCs w:val="21"/>
    </w:rPr>
  </w:style>
  <w:style w:type="paragraph" w:customStyle="1" w:styleId="124">
    <w:name w:val="注："/>
    <w:next w:val="22"/>
    <w:autoRedefine/>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125">
    <w:name w:val="注：（正文）"/>
    <w:basedOn w:val="124"/>
    <w:next w:val="22"/>
    <w:autoRedefine/>
    <w:qFormat/>
    <w:uiPriority w:val="0"/>
  </w:style>
  <w:style w:type="paragraph" w:customStyle="1" w:styleId="126">
    <w:name w:val="封面正文"/>
    <w:autoRedefine/>
    <w:qFormat/>
    <w:uiPriority w:val="0"/>
    <w:pPr>
      <w:jc w:val="both"/>
    </w:pPr>
    <w:rPr>
      <w:rFonts w:ascii="Times New Roman" w:hAnsi="Times New Roman" w:eastAsia="宋体" w:cs="Times New Roman"/>
      <w:lang w:val="en-US" w:eastAsia="zh-CN" w:bidi="ar-SA"/>
    </w:rPr>
  </w:style>
  <w:style w:type="paragraph" w:customStyle="1" w:styleId="127">
    <w:name w:val="编号列项（三级）"/>
    <w:autoRedefine/>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128">
    <w:name w:val="列项说明数字编号"/>
    <w:autoRedefine/>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29">
    <w:name w:val="附录标题"/>
    <w:basedOn w:val="22"/>
    <w:next w:val="22"/>
    <w:autoRedefine/>
    <w:qFormat/>
    <w:uiPriority w:val="0"/>
    <w:pPr>
      <w:ind w:firstLine="0" w:firstLineChars="0"/>
      <w:jc w:val="center"/>
    </w:pPr>
    <w:rPr>
      <w:rFonts w:ascii="黑体" w:eastAsia="黑体"/>
    </w:rPr>
  </w:style>
  <w:style w:type="paragraph" w:customStyle="1" w:styleId="130">
    <w:name w:val="列项说明"/>
    <w:basedOn w:val="1"/>
    <w:autoRedefine/>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31">
    <w:name w:val="封面标准名称2"/>
    <w:basedOn w:val="68"/>
    <w:autoRedefine/>
    <w:qFormat/>
    <w:uiPriority w:val="0"/>
    <w:pPr>
      <w:framePr w:wrap="around" w:y="4469"/>
      <w:spacing w:beforeLines="630"/>
    </w:pPr>
  </w:style>
  <w:style w:type="paragraph" w:customStyle="1" w:styleId="132">
    <w:name w:val="发布部门"/>
    <w:next w:val="22"/>
    <w:autoRedefine/>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33">
    <w:name w:val="封面标准文稿编辑信息2"/>
    <w:basedOn w:val="122"/>
    <w:autoRedefine/>
    <w:qFormat/>
    <w:uiPriority w:val="0"/>
    <w:pPr>
      <w:framePr w:wrap="around" w:y="4469"/>
    </w:pPr>
  </w:style>
  <w:style w:type="paragraph" w:customStyle="1" w:styleId="134">
    <w:name w:val="其他发布部门"/>
    <w:basedOn w:val="132"/>
    <w:autoRedefine/>
    <w:qFormat/>
    <w:uiPriority w:val="0"/>
    <w:pPr>
      <w:framePr w:wrap="around" w:y="15310"/>
      <w:spacing w:line="0" w:lineRule="atLeast"/>
    </w:pPr>
    <w:rPr>
      <w:rFonts w:ascii="黑体" w:eastAsia="黑体"/>
      <w:b w:val="0"/>
    </w:rPr>
  </w:style>
  <w:style w:type="paragraph" w:customStyle="1" w:styleId="135">
    <w:name w:val="附录四级无"/>
    <w:basedOn w:val="86"/>
    <w:autoRedefine/>
    <w:qFormat/>
    <w:uiPriority w:val="0"/>
    <w:pPr>
      <w:tabs>
        <w:tab w:val="clear" w:pos="360"/>
      </w:tabs>
      <w:spacing w:beforeLines="0" w:afterLines="0"/>
    </w:pPr>
    <w:rPr>
      <w:rFonts w:ascii="宋体" w:eastAsia="宋体"/>
      <w:szCs w:val="21"/>
    </w:rPr>
  </w:style>
  <w:style w:type="paragraph" w:customStyle="1" w:styleId="136">
    <w:name w:val="三级无"/>
    <w:basedOn w:val="74"/>
    <w:autoRedefine/>
    <w:qFormat/>
    <w:uiPriority w:val="0"/>
    <w:pPr>
      <w:spacing w:beforeLines="0" w:afterLines="0"/>
    </w:pPr>
    <w:rPr>
      <w:rFonts w:ascii="宋体" w:eastAsia="宋体"/>
    </w:rPr>
  </w:style>
  <w:style w:type="paragraph" w:customStyle="1" w:styleId="137">
    <w:name w:val="五级无"/>
    <w:basedOn w:val="114"/>
    <w:autoRedefine/>
    <w:qFormat/>
    <w:uiPriority w:val="0"/>
    <w:pPr>
      <w:spacing w:beforeLines="0" w:afterLines="0"/>
    </w:pPr>
    <w:rPr>
      <w:rFonts w:ascii="宋体" w:eastAsia="宋体"/>
    </w:rPr>
  </w:style>
  <w:style w:type="paragraph" w:customStyle="1" w:styleId="138">
    <w:name w:val="正文公式编号制表符"/>
    <w:basedOn w:val="22"/>
    <w:next w:val="22"/>
    <w:autoRedefine/>
    <w:qFormat/>
    <w:uiPriority w:val="0"/>
    <w:pPr>
      <w:ind w:firstLine="0" w:firstLineChars="0"/>
    </w:pPr>
  </w:style>
  <w:style w:type="paragraph" w:customStyle="1" w:styleId="139">
    <w:name w:val="终结线"/>
    <w:basedOn w:val="1"/>
    <w:autoRedefine/>
    <w:qFormat/>
    <w:uiPriority w:val="0"/>
    <w:pPr>
      <w:framePr w:hSpace="181" w:vSpace="181" w:wrap="around" w:vAnchor="text" w:hAnchor="margin" w:xAlign="center" w:y="285"/>
    </w:pPr>
  </w:style>
  <w:style w:type="paragraph" w:customStyle="1" w:styleId="140">
    <w:name w:val="其他实施日期"/>
    <w:basedOn w:val="71"/>
    <w:autoRedefine/>
    <w:qFormat/>
    <w:uiPriority w:val="99"/>
    <w:pPr>
      <w:framePr w:wrap="around"/>
    </w:pPr>
  </w:style>
  <w:style w:type="paragraph" w:customStyle="1" w:styleId="141">
    <w:name w:val="封面标准英文名称2"/>
    <w:basedOn w:val="67"/>
    <w:autoRedefine/>
    <w:qFormat/>
    <w:uiPriority w:val="0"/>
    <w:pPr>
      <w:framePr w:wrap="around" w:y="4469"/>
    </w:pPr>
  </w:style>
  <w:style w:type="paragraph" w:customStyle="1" w:styleId="142">
    <w:name w:val="封面标准文稿类别2"/>
    <w:basedOn w:val="115"/>
    <w:autoRedefine/>
    <w:qFormat/>
    <w:uiPriority w:val="0"/>
    <w:pPr>
      <w:framePr w:wrap="around" w:y="4469"/>
    </w:pPr>
  </w:style>
  <w:style w:type="paragraph" w:styleId="143">
    <w:name w:val="List Paragraph"/>
    <w:basedOn w:val="1"/>
    <w:autoRedefine/>
    <w:qFormat/>
    <w:uiPriority w:val="34"/>
    <w:pPr>
      <w:ind w:firstLine="420" w:firstLineChars="200"/>
    </w:pPr>
    <w:rPr>
      <w:rFonts w:ascii="Calibri" w:hAnsi="Calibri"/>
      <w:szCs w:val="22"/>
    </w:rPr>
  </w:style>
  <w:style w:type="paragraph" w:customStyle="1" w:styleId="144">
    <w:name w:val="Char Char Char Char"/>
    <w:basedOn w:val="1"/>
    <w:autoRedefine/>
    <w:qFormat/>
    <w:uiPriority w:val="0"/>
    <w:pPr>
      <w:adjustRightInd w:val="0"/>
      <w:spacing w:line="360" w:lineRule="auto"/>
    </w:pPr>
    <w:rPr>
      <w:kern w:val="0"/>
      <w:sz w:val="24"/>
      <w:szCs w:val="20"/>
    </w:rPr>
  </w:style>
  <w:style w:type="character" w:customStyle="1" w:styleId="145">
    <w:name w:val="二级条标题 Char"/>
    <w:link w:val="50"/>
    <w:autoRedefine/>
    <w:qFormat/>
    <w:locked/>
    <w:uiPriority w:val="0"/>
    <w:rPr>
      <w:rFonts w:ascii="黑体" w:eastAsia="黑体"/>
      <w:sz w:val="21"/>
      <w:szCs w:val="21"/>
    </w:rPr>
  </w:style>
  <w:style w:type="character" w:customStyle="1" w:styleId="146">
    <w:name w:val="批注文字 字符"/>
    <w:basedOn w:val="33"/>
    <w:link w:val="7"/>
    <w:autoRedefine/>
    <w:semiHidden/>
    <w:qFormat/>
    <w:uiPriority w:val="0"/>
    <w:rPr>
      <w:kern w:val="2"/>
      <w:sz w:val="21"/>
      <w:szCs w:val="24"/>
    </w:rPr>
  </w:style>
  <w:style w:type="character" w:customStyle="1" w:styleId="147">
    <w:name w:val="批注主题 字符"/>
    <w:basedOn w:val="146"/>
    <w:link w:val="30"/>
    <w:autoRedefine/>
    <w:semiHidden/>
    <w:qFormat/>
    <w:uiPriority w:val="0"/>
    <w:rPr>
      <w:b/>
      <w:bCs/>
      <w:kern w:val="2"/>
      <w:sz w:val="21"/>
      <w:szCs w:val="24"/>
    </w:rPr>
  </w:style>
  <w:style w:type="table" w:customStyle="1" w:styleId="148">
    <w:name w:val="网格型1"/>
    <w:basedOn w:val="3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9">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50">
    <w:name w:val="Table Paragraph"/>
    <w:basedOn w:val="1"/>
    <w:autoRedefine/>
    <w:qFormat/>
    <w:uiPriority w:val="1"/>
    <w:pPr>
      <w:spacing w:line="300" w:lineRule="auto"/>
      <w:jc w:val="left"/>
    </w:pPr>
    <w:rPr>
      <w:rFonts w:ascii="Calibri" w:hAnsi="Calibri" w:cs="宋体"/>
      <w:kern w:val="0"/>
      <w:sz w:val="22"/>
      <w:szCs w:val="22"/>
      <w:lang w:eastAsia="en-US"/>
    </w:rPr>
  </w:style>
  <w:style w:type="paragraph" w:customStyle="1" w:styleId="151">
    <w:name w:val="Table Text"/>
    <w:basedOn w:val="1"/>
    <w:autoRedefine/>
    <w:semiHidden/>
    <w:qFormat/>
    <w:uiPriority w:val="0"/>
    <w:rPr>
      <w:rFonts w:ascii="仿宋" w:hAnsi="仿宋" w:eastAsia="仿宋" w:cs="仿宋"/>
      <w:szCs w:val="21"/>
      <w:lang w:eastAsia="en-US"/>
    </w:rPr>
  </w:style>
  <w:style w:type="table" w:customStyle="1" w:styleId="152">
    <w:name w:val="Table Normal"/>
    <w:autoRedefine/>
    <w:semiHidden/>
    <w:unhideWhenUsed/>
    <w:qFormat/>
    <w:uiPriority w:val="0"/>
    <w:tblPr>
      <w:tblCellMar>
        <w:top w:w="0" w:type="dxa"/>
        <w:left w:w="0" w:type="dxa"/>
        <w:bottom w:w="0" w:type="dxa"/>
        <w:right w:w="0" w:type="dxa"/>
      </w:tblCellMar>
    </w:tbl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microsoft.com/office/2006/relationships/keyMapCustomizations" Target="customizations.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3154</Words>
  <Characters>3953</Characters>
  <Lines>42</Lines>
  <Paragraphs>11</Paragraphs>
  <TotalTime>1</TotalTime>
  <ScaleCrop>false</ScaleCrop>
  <LinksUpToDate>false</LinksUpToDate>
  <CharactersWithSpaces>4139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2023-01-04T06:38:00Z</dcterms:created>
  <dcterms:modified xsi:type="dcterms:W3CDTF">2024-12-02T02:10:15Z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02E9BE8401A846B1970AA17CB9CC1CF9</vt:lpwstr>
  </property>
</Properties>
</file>