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C25AC">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eastAsia="zh-CN"/>
        </w:rPr>
        <w:t>汽车高压共轨银亮钢</w:t>
      </w:r>
      <w:r>
        <w:rPr>
          <w:rFonts w:ascii="Times New Roman" w:hAnsi="Times New Roman" w:eastAsia="黑体" w:cs="Times New Roman"/>
          <w:b/>
          <w:kern w:val="0"/>
          <w:sz w:val="36"/>
          <w:szCs w:val="36"/>
        </w:rPr>
        <w:t>》</w:t>
      </w:r>
    </w:p>
    <w:p w14:paraId="35DDFC1F">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14:paraId="201DF36D">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14:paraId="38105EFC">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本标准由中国特钢企业协会团体标准化工作委员会、中关村不锈及特种合金新材料产业技术创新联盟团体标准化工作委员会联合提出并归口</w:t>
      </w:r>
      <w:r>
        <w:rPr>
          <w:rFonts w:ascii="Times New Roman" w:hAnsi="Times New Roman" w:eastAsia="仿宋_GB2312" w:cs="Times New Roman"/>
          <w:sz w:val="28"/>
          <w:szCs w:val="28"/>
        </w:rPr>
        <w:t>。根据中国特钢企业协会团体标准化工作委员会团体标准制修订计划，由</w:t>
      </w:r>
      <w:r>
        <w:rPr>
          <w:rFonts w:hint="eastAsia" w:ascii="Times New Roman" w:hAnsi="Times New Roman" w:eastAsia="仿宋_GB2312" w:cs="Times New Roman"/>
          <w:sz w:val="28"/>
          <w:szCs w:val="28"/>
        </w:rPr>
        <w:t>永兴特种材料科技股份有限公司、冶金工业规划研究院</w:t>
      </w:r>
      <w:r>
        <w:rPr>
          <w:rFonts w:ascii="Times New Roman" w:hAnsi="Times New Roman" w:eastAsia="仿宋_GB2312" w:cs="Times New Roman"/>
          <w:sz w:val="28"/>
          <w:szCs w:val="28"/>
        </w:rPr>
        <w:t>等单位共同参与起草，计划于2024年</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季度前完成《</w:t>
      </w:r>
      <w:r>
        <w:rPr>
          <w:rFonts w:hint="eastAsia" w:ascii="Times New Roman" w:hAnsi="Times New Roman" w:eastAsia="仿宋_GB2312" w:cs="Times New Roman"/>
          <w:sz w:val="28"/>
          <w:szCs w:val="28"/>
          <w:lang w:eastAsia="zh-CN"/>
        </w:rPr>
        <w:t>汽车高压共轨银亮钢</w:t>
      </w:r>
      <w:r>
        <w:rPr>
          <w:rFonts w:ascii="Times New Roman" w:hAnsi="Times New Roman" w:eastAsia="仿宋_GB2312" w:cs="Times New Roman"/>
          <w:sz w:val="28"/>
          <w:szCs w:val="28"/>
        </w:rPr>
        <w:t>》标准的制定工作。</w:t>
      </w:r>
    </w:p>
    <w:p w14:paraId="6718C0D6">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二、制定</w:t>
      </w:r>
      <w:r>
        <w:rPr>
          <w:rFonts w:hint="eastAsia" w:ascii="Times New Roman" w:hAnsi="Times New Roman" w:eastAsia="黑体" w:cs="Times New Roman"/>
          <w:bCs/>
        </w:rPr>
        <w:t>本文件</w:t>
      </w:r>
      <w:r>
        <w:rPr>
          <w:rFonts w:ascii="Times New Roman" w:hAnsi="Times New Roman" w:eastAsia="黑体" w:cs="Times New Roman"/>
          <w:bCs/>
        </w:rPr>
        <w:t>的目的和意义</w:t>
      </w:r>
    </w:p>
    <w:p w14:paraId="1D043607">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汽车高压共轨技术是指发动机内高压油泵、压力传感器和ECU组成的闭环系统中，将喷射压力的产生和喷射过程彼此完全分开的一种供油方式。与传统的汽车喷射系统相比，高压共轨系统中的喷油压力柔性可调，对不同工况可确定所需的最佳喷射压力，从而优化发动机综合性能；同时，由于可独立地柔性控制喷油，配合高的喷射压力（120MPa～200MPa），也可达到控制NO</w:t>
      </w:r>
      <w:r>
        <w:rPr>
          <w:rFonts w:hint="eastAsia" w:ascii="Times New Roman" w:hAnsi="Times New Roman" w:eastAsia="仿宋_GB2312" w:cs="Times New Roman"/>
          <w:sz w:val="28"/>
          <w:szCs w:val="28"/>
          <w:vertAlign w:val="subscript"/>
        </w:rPr>
        <w:t>x</w:t>
      </w:r>
      <w:r>
        <w:rPr>
          <w:rFonts w:hint="eastAsia" w:ascii="Times New Roman" w:hAnsi="Times New Roman" w:eastAsia="仿宋_GB2312" w:cs="Times New Roman"/>
          <w:sz w:val="28"/>
          <w:szCs w:val="28"/>
        </w:rPr>
        <w:t>和微粒（PM）在较小的数值内，以满足排放要求。因此，汽车高压共轨技术的发展空间巨大，而材料是发展该技术的限制因素之一。</w:t>
      </w:r>
    </w:p>
    <w:p w14:paraId="2108FC53">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目前，在相关标准化领域，GB/T 3207《银亮钢》属终端产品标准，且技术指标较通用。为了提高技术指标，规范管坯原材料产品生产，填补细分领域标准空白，有必要研究制定《</w:t>
      </w:r>
      <w:r>
        <w:rPr>
          <w:rFonts w:hint="eastAsia" w:ascii="Times New Roman" w:hAnsi="Times New Roman" w:eastAsia="仿宋_GB2312" w:cs="Times New Roman"/>
          <w:sz w:val="28"/>
          <w:szCs w:val="28"/>
          <w:lang w:eastAsia="zh-CN"/>
        </w:rPr>
        <w:t>汽车高压共轨银亮钢</w:t>
      </w:r>
      <w:r>
        <w:rPr>
          <w:rFonts w:hint="eastAsia" w:ascii="Times New Roman" w:hAnsi="Times New Roman" w:eastAsia="仿宋_GB2312" w:cs="Times New Roman"/>
          <w:sz w:val="28"/>
          <w:szCs w:val="28"/>
        </w:rPr>
        <w:t>》标准文件。</w:t>
      </w:r>
    </w:p>
    <w:p w14:paraId="70C4BDA3">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14:paraId="46AC0CFA">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 xml:space="preserve">2 </w:t>
      </w:r>
      <w:r>
        <w:rPr>
          <w:rFonts w:hint="eastAsia" w:ascii="Times New Roman" w:hAnsi="Times New Roman" w:eastAsia="仿宋_GB2312" w:cs="Times New Roman"/>
          <w:sz w:val="28"/>
          <w:szCs w:val="28"/>
        </w:rPr>
        <w:t>月，中国特钢企业协会团体标准化工作委员会（以下简称团标委）秘书处给各位委员发出团体标准立项函审单。到立项函审截止日期，没有委员提出不同意见。</w:t>
      </w:r>
    </w:p>
    <w:p w14:paraId="517AA8EA">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bookmarkStart w:id="0" w:name="OLE_LINK1"/>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 xml:space="preserve"> </w:t>
      </w:r>
      <w:bookmarkEnd w:id="0"/>
      <w:r>
        <w:rPr>
          <w:rFonts w:hint="eastAsia" w:ascii="Times New Roman" w:hAnsi="Times New Roman" w:eastAsia="仿宋_GB2312" w:cs="Times New Roman"/>
          <w:sz w:val="28"/>
          <w:szCs w:val="28"/>
        </w:rPr>
        <w:t>月，团标委正式下达《</w:t>
      </w:r>
      <w:r>
        <w:rPr>
          <w:rFonts w:hint="eastAsia" w:ascii="Times New Roman" w:hAnsi="Times New Roman" w:eastAsia="仿宋_GB2312" w:cs="Times New Roman"/>
          <w:sz w:val="28"/>
          <w:szCs w:val="28"/>
          <w:lang w:eastAsia="zh-CN"/>
        </w:rPr>
        <w:t>汽车高压共轨银亮钢</w:t>
      </w:r>
      <w:r>
        <w:rPr>
          <w:rFonts w:hint="eastAsia" w:ascii="Times New Roman" w:hAnsi="Times New Roman" w:eastAsia="仿宋_GB2312" w:cs="Times New Roman"/>
          <w:sz w:val="28"/>
          <w:szCs w:val="28"/>
        </w:rPr>
        <w:t>》团体标准立项计划。团体标准立项后，永兴特种不锈钢股份有限公司、冶金工业规划研究院相关人员组成了标准起草组，提出了标准编制计划和任务分工，并开始标准编制工作。</w:t>
      </w:r>
    </w:p>
    <w:p w14:paraId="69AEE788">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2024年</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月：进行了起草标准的调研、问题分析和相关资料收集等准备工作，完成了标准制定提纲、标准草案。</w:t>
      </w:r>
    </w:p>
    <w:p w14:paraId="75F53407">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2024年</w:t>
      </w:r>
      <w:r>
        <w:rPr>
          <w:rFonts w:hint="eastAsia" w:ascii="Times New Roman" w:hAnsi="Times New Roman" w:eastAsia="仿宋_GB2312" w:cs="Times New Roman"/>
          <w:sz w:val="28"/>
          <w:szCs w:val="28"/>
          <w:lang w:val="en-US" w:eastAsia="zh-CN"/>
        </w:rPr>
        <w:t xml:space="preserve"> 10</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月：召开标准启动会，围绕标准草案进行了讨论，并按照与会意见和建议进行了修改</w:t>
      </w:r>
      <w:r>
        <w:rPr>
          <w:rFonts w:hint="eastAsia" w:ascii="Times New Roman" w:hAnsi="Times New Roman" w:eastAsia="仿宋_GB2312" w:cs="Times New Roman"/>
          <w:sz w:val="28"/>
          <w:szCs w:val="28"/>
        </w:rPr>
        <w:t>。</w:t>
      </w:r>
    </w:p>
    <w:p w14:paraId="5AD9F8C3">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2024</w:t>
      </w:r>
      <w:r>
        <w:rPr>
          <w:rFonts w:hint="eastAsia"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rPr>
        <w:t xml:space="preserve"> 月</w:t>
      </w:r>
      <w:r>
        <w:rPr>
          <w:rFonts w:ascii="Times New Roman" w:hAnsi="Times New Roman" w:eastAsia="仿宋_GB2312" w:cs="Times New Roman"/>
          <w:sz w:val="28"/>
          <w:szCs w:val="28"/>
        </w:rPr>
        <w:t>：形成征求意见稿并发出征求意见。</w:t>
      </w:r>
    </w:p>
    <w:p w14:paraId="7729335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2024年</w:t>
      </w:r>
      <w:r>
        <w:rPr>
          <w:rFonts w:hint="eastAsia" w:ascii="Times New Roman" w:hAnsi="Times New Roman" w:eastAsia="仿宋_GB2312" w:cs="Times New Roman"/>
          <w:sz w:val="28"/>
          <w:szCs w:val="28"/>
        </w:rPr>
        <w:t xml:space="preserve"> ~ </w:t>
      </w:r>
      <w:r>
        <w:rPr>
          <w:rFonts w:ascii="Times New Roman" w:hAnsi="Times New Roman" w:eastAsia="仿宋_GB2312" w:cs="Times New Roman"/>
          <w:sz w:val="28"/>
          <w:szCs w:val="28"/>
        </w:rPr>
        <w:t>月：完成征求意见处理、形成标准送审稿</w:t>
      </w:r>
      <w:r>
        <w:rPr>
          <w:rFonts w:hint="eastAsia" w:ascii="Times New Roman" w:hAnsi="Times New Roman" w:eastAsia="仿宋_GB2312" w:cs="Times New Roman"/>
          <w:sz w:val="28"/>
          <w:szCs w:val="28"/>
        </w:rPr>
        <w:t>。</w:t>
      </w:r>
    </w:p>
    <w:p w14:paraId="02A497E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2024年</w:t>
      </w:r>
      <w:r>
        <w:rPr>
          <w:rFonts w:hint="eastAsia" w:ascii="Times New Roman" w:hAnsi="Times New Roman" w:eastAsia="仿宋_GB2312" w:cs="Times New Roman"/>
          <w:sz w:val="28"/>
          <w:szCs w:val="28"/>
        </w:rPr>
        <w:t xml:space="preserve"> ~ </w:t>
      </w:r>
      <w:r>
        <w:rPr>
          <w:rFonts w:ascii="Times New Roman" w:hAnsi="Times New Roman" w:eastAsia="仿宋_GB2312" w:cs="Times New Roman"/>
          <w:sz w:val="28"/>
          <w:szCs w:val="28"/>
        </w:rPr>
        <w:t>月：完成该标准审定会和标准报批稿，上报</w:t>
      </w:r>
      <w:r>
        <w:rPr>
          <w:rFonts w:hint="eastAsia" w:ascii="Times New Roman" w:hAnsi="Times New Roman" w:eastAsia="仿宋_GB2312" w:cs="Times New Roman"/>
          <w:sz w:val="28"/>
          <w:szCs w:val="28"/>
        </w:rPr>
        <w:t>中国特钢企业协会</w:t>
      </w:r>
      <w:r>
        <w:rPr>
          <w:rFonts w:ascii="Times New Roman" w:hAnsi="Times New Roman" w:eastAsia="仿宋_GB2312" w:cs="Times New Roman"/>
          <w:sz w:val="28"/>
          <w:szCs w:val="28"/>
        </w:rPr>
        <w:t>审批</w:t>
      </w:r>
      <w:r>
        <w:rPr>
          <w:rFonts w:hint="eastAsia" w:ascii="Times New Roman" w:hAnsi="Times New Roman" w:eastAsia="仿宋_GB2312" w:cs="Times New Roman"/>
          <w:sz w:val="28"/>
          <w:szCs w:val="28"/>
        </w:rPr>
        <w:t>。</w:t>
      </w:r>
    </w:p>
    <w:p w14:paraId="7F6380F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月：完成该标准发布、实施。</w:t>
      </w:r>
    </w:p>
    <w:p w14:paraId="27571844">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14:paraId="534AAA6A">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充分考虑</w:t>
      </w:r>
      <w:r>
        <w:rPr>
          <w:rFonts w:hint="eastAsia" w:ascii="Times New Roman" w:hAnsi="Times New Roman" w:eastAsia="仿宋_GB2312" w:cs="Times New Roman"/>
          <w:sz w:val="28"/>
          <w:szCs w:val="28"/>
        </w:rPr>
        <w:t>其策划高压共轨系统领域对银亮钢</w:t>
      </w:r>
      <w:r>
        <w:rPr>
          <w:rFonts w:ascii="Times New Roman" w:hAnsi="Times New Roman" w:eastAsia="仿宋_GB2312" w:cs="Times New Roman"/>
          <w:sz w:val="28"/>
          <w:szCs w:val="28"/>
        </w:rPr>
        <w:t>的高质量需求，联合</w:t>
      </w:r>
      <w:r>
        <w:rPr>
          <w:rFonts w:hint="eastAsia" w:ascii="Times New Roman" w:hAnsi="Times New Roman" w:eastAsia="仿宋_GB2312" w:cs="Times New Roman"/>
          <w:sz w:val="28"/>
          <w:szCs w:val="28"/>
        </w:rPr>
        <w:t>下游</w:t>
      </w:r>
      <w:r>
        <w:rPr>
          <w:rFonts w:ascii="Times New Roman" w:hAnsi="Times New Roman" w:eastAsia="仿宋_GB2312" w:cs="Times New Roman"/>
          <w:sz w:val="28"/>
          <w:szCs w:val="28"/>
        </w:rPr>
        <w:t>企业协同攻关，采用标准化手段助力</w:t>
      </w:r>
      <w:r>
        <w:rPr>
          <w:rFonts w:hint="eastAsia" w:ascii="Times New Roman" w:hAnsi="Times New Roman" w:eastAsia="仿宋_GB2312" w:cs="Times New Roman"/>
          <w:sz w:val="28"/>
          <w:szCs w:val="28"/>
          <w:lang w:eastAsia="zh-CN"/>
        </w:rPr>
        <w:t>汽车高压共轨银亮钢</w:t>
      </w:r>
      <w:r>
        <w:rPr>
          <w:rFonts w:hint="eastAsia" w:ascii="Times New Roman" w:hAnsi="Times New Roman" w:eastAsia="仿宋_GB2312" w:cs="Times New Roman"/>
          <w:sz w:val="28"/>
          <w:szCs w:val="28"/>
        </w:rPr>
        <w:t>材料</w:t>
      </w:r>
      <w:r>
        <w:rPr>
          <w:rFonts w:ascii="Times New Roman" w:hAnsi="Times New Roman" w:eastAsia="仿宋_GB2312" w:cs="Times New Roman"/>
          <w:sz w:val="28"/>
          <w:szCs w:val="28"/>
        </w:rPr>
        <w:t>高质量发展，展现</w:t>
      </w:r>
      <w:r>
        <w:rPr>
          <w:rFonts w:hint="eastAsia" w:ascii="Times New Roman" w:hAnsi="Times New Roman" w:eastAsia="仿宋_GB2312" w:cs="Times New Roman"/>
          <w:sz w:val="28"/>
          <w:szCs w:val="28"/>
        </w:rPr>
        <w:t>先进钢铁材料</w:t>
      </w:r>
      <w:r>
        <w:rPr>
          <w:rFonts w:ascii="Times New Roman" w:hAnsi="Times New Roman" w:eastAsia="仿宋_GB2312" w:cs="Times New Roman"/>
          <w:sz w:val="28"/>
          <w:szCs w:val="28"/>
        </w:rPr>
        <w:t>发展水平。</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以满足</w:t>
      </w:r>
      <w:r>
        <w:rPr>
          <w:rFonts w:hint="eastAsia" w:ascii="Times New Roman" w:hAnsi="Times New Roman" w:eastAsia="仿宋_GB2312" w:cs="Times New Roman"/>
          <w:sz w:val="28"/>
          <w:szCs w:val="28"/>
        </w:rPr>
        <w:t>下游行业对</w:t>
      </w:r>
      <w:r>
        <w:rPr>
          <w:rFonts w:hint="eastAsia" w:ascii="Times New Roman" w:hAnsi="Times New Roman" w:eastAsia="仿宋_GB2312" w:cs="Times New Roman"/>
          <w:sz w:val="28"/>
          <w:szCs w:val="28"/>
          <w:lang w:eastAsia="zh-CN"/>
        </w:rPr>
        <w:t>汽车高压共轨银亮钢</w:t>
      </w:r>
      <w:r>
        <w:rPr>
          <w:rFonts w:ascii="Times New Roman" w:hAnsi="Times New Roman" w:eastAsia="仿宋_GB2312" w:cs="Times New Roman"/>
          <w:sz w:val="28"/>
          <w:szCs w:val="28"/>
        </w:rPr>
        <w:t>需要和发展为前提，充分提高标准的市场适应能力，填补标准领域空白；通过对下游用钢行业的研究，了解</w:t>
      </w:r>
      <w:r>
        <w:rPr>
          <w:rFonts w:hint="eastAsia" w:ascii="Times New Roman" w:hAnsi="Times New Roman" w:eastAsia="仿宋_GB2312" w:cs="Times New Roman"/>
          <w:sz w:val="28"/>
          <w:szCs w:val="28"/>
          <w:lang w:eastAsia="zh-CN"/>
        </w:rPr>
        <w:t>汽车高压共轨银亮钢</w:t>
      </w:r>
      <w:r>
        <w:rPr>
          <w:rFonts w:ascii="Times New Roman" w:hAnsi="Times New Roman" w:eastAsia="仿宋_GB2312" w:cs="Times New Roman"/>
          <w:sz w:val="28"/>
          <w:szCs w:val="28"/>
        </w:rPr>
        <w:t>实际需求，确定</w:t>
      </w:r>
      <w:r>
        <w:rPr>
          <w:rFonts w:hint="eastAsia" w:ascii="Times New Roman" w:hAnsi="Times New Roman" w:eastAsia="仿宋_GB2312" w:cs="Times New Roman"/>
          <w:sz w:val="28"/>
          <w:szCs w:val="28"/>
          <w:lang w:eastAsia="zh-CN"/>
        </w:rPr>
        <w:t>汽车高压共轨银亮钢</w:t>
      </w:r>
      <w:r>
        <w:rPr>
          <w:rFonts w:ascii="Times New Roman" w:hAnsi="Times New Roman" w:eastAsia="仿宋_GB2312" w:cs="Times New Roman"/>
          <w:sz w:val="28"/>
          <w:szCs w:val="28"/>
        </w:rPr>
        <w:t>的各项技术指标，满足下游行业需求，建立彼此之间的联系，扩大影响力。</w:t>
      </w:r>
    </w:p>
    <w:p w14:paraId="727889CF">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14:paraId="154BBA3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14:paraId="1533BF1A">
      <w:pPr>
        <w:spacing w:line="560" w:lineRule="exact"/>
        <w:ind w:firstLine="560"/>
        <w:contextualSpacing/>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汽车高压共轨银亮钢</w:t>
      </w:r>
      <w:r>
        <w:rPr>
          <w:rFonts w:ascii="Times New Roman" w:hAnsi="Times New Roman" w:eastAsia="仿宋_GB2312" w:cs="Times New Roman"/>
          <w:sz w:val="28"/>
          <w:szCs w:val="28"/>
        </w:rPr>
        <w:t>》标准的设计与编制主要以问题与需求为导向，切实从</w:t>
      </w:r>
      <w:r>
        <w:rPr>
          <w:rFonts w:hint="eastAsia" w:ascii="Times New Roman" w:hAnsi="Times New Roman" w:eastAsia="仿宋_GB2312" w:cs="Times New Roman"/>
          <w:sz w:val="28"/>
          <w:szCs w:val="28"/>
          <w:lang w:eastAsia="zh-CN"/>
        </w:rPr>
        <w:t>汽车高压共轨银亮钢</w:t>
      </w:r>
      <w:r>
        <w:rPr>
          <w:rFonts w:hint="eastAsia" w:ascii="Times New Roman" w:hAnsi="Times New Roman" w:eastAsia="仿宋_GB2312" w:cs="Times New Roman"/>
          <w:sz w:val="28"/>
          <w:szCs w:val="28"/>
        </w:rPr>
        <w:t>生产</w:t>
      </w:r>
      <w:r>
        <w:rPr>
          <w:rFonts w:ascii="Times New Roman" w:hAnsi="Times New Roman" w:eastAsia="仿宋_GB2312" w:cs="Times New Roman"/>
          <w:sz w:val="28"/>
          <w:szCs w:val="28"/>
        </w:rPr>
        <w:t>需要出发，进一步确定产品牌号、</w:t>
      </w:r>
      <w:r>
        <w:rPr>
          <w:rFonts w:hint="eastAsia" w:ascii="Times New Roman" w:hAnsi="Times New Roman" w:eastAsia="仿宋_GB2312" w:cs="Times New Roman"/>
          <w:sz w:val="28"/>
          <w:szCs w:val="28"/>
        </w:rPr>
        <w:t>化学成分、洁净度、力学性能、表面质量等技术指标</w:t>
      </w:r>
      <w:r>
        <w:rPr>
          <w:rFonts w:ascii="Times New Roman" w:hAnsi="Times New Roman" w:eastAsia="仿宋_GB2312" w:cs="Times New Roman"/>
          <w:sz w:val="28"/>
          <w:szCs w:val="28"/>
        </w:rPr>
        <w:t>要求，强化细分领域标准的指导意义。通过制定满足市场创新需要，并具有科学、合理、全面、可操作性的标准，助力提升</w:t>
      </w:r>
      <w:r>
        <w:rPr>
          <w:rFonts w:hint="eastAsia" w:ascii="Times New Roman" w:hAnsi="Times New Roman" w:eastAsia="仿宋_GB2312" w:cs="Times New Roman"/>
          <w:sz w:val="28"/>
          <w:szCs w:val="28"/>
        </w:rPr>
        <w:t>铁镍基和镍基合金无缝管圆管坯的</w:t>
      </w:r>
      <w:r>
        <w:rPr>
          <w:rFonts w:ascii="Times New Roman" w:hAnsi="Times New Roman" w:eastAsia="仿宋_GB2312" w:cs="Times New Roman"/>
          <w:sz w:val="28"/>
          <w:szCs w:val="28"/>
        </w:rPr>
        <w:t>高质量供给水平，提升作业安全性、可靠性。</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在参考</w:t>
      </w:r>
      <w:r>
        <w:rPr>
          <w:rFonts w:hint="eastAsia" w:ascii="Times New Roman" w:hAnsi="Times New Roman" w:eastAsia="仿宋_GB2312" w:cs="Times New Roman"/>
          <w:sz w:val="28"/>
          <w:szCs w:val="28"/>
        </w:rPr>
        <w:t>GB/T 3207《银亮钢》</w:t>
      </w:r>
      <w:r>
        <w:rPr>
          <w:rFonts w:ascii="Times New Roman" w:hAnsi="Times New Roman" w:eastAsia="仿宋_GB2312" w:cs="Times New Roman"/>
          <w:sz w:val="28"/>
          <w:szCs w:val="28"/>
        </w:rPr>
        <w:t>的基础上，结合实际生产的特殊需要，对技术指标、试验方法进行了加严和扩展，增强了原料生产制造商与下游行业的联系，使标准更具有针对性和实用性。</w:t>
      </w:r>
    </w:p>
    <w:p w14:paraId="7D370A3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14:paraId="439065B5">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包含以下部分</w:t>
      </w:r>
    </w:p>
    <w:p w14:paraId="159A965D">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前  言</w:t>
      </w:r>
    </w:p>
    <w:p w14:paraId="66873DCE">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　范围</w:t>
      </w:r>
    </w:p>
    <w:p w14:paraId="6D5B07BC">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　规范性引用文件</w:t>
      </w:r>
    </w:p>
    <w:p w14:paraId="5844B9D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　术语和定义</w:t>
      </w:r>
      <w:r>
        <w:rPr>
          <w:rFonts w:hint="eastAsia" w:ascii="Times New Roman" w:hAnsi="Times New Roman" w:eastAsia="仿宋_GB2312" w:cs="Times New Roman"/>
          <w:sz w:val="28"/>
          <w:szCs w:val="28"/>
        </w:rPr>
        <w:tab/>
      </w:r>
    </w:p>
    <w:p w14:paraId="5F999750">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　分类代号</w:t>
      </w:r>
      <w:bookmarkStart w:id="1" w:name="_GoBack"/>
      <w:bookmarkEnd w:id="1"/>
    </w:p>
    <w:p w14:paraId="224EB2BA">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　订货内容</w:t>
      </w:r>
    </w:p>
    <w:p w14:paraId="402B5B2B">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6　</w:t>
      </w:r>
      <w:r>
        <w:rPr>
          <w:rFonts w:hint="eastAsia" w:ascii="Times New Roman" w:hAnsi="Times New Roman" w:eastAsia="仿宋_GB2312" w:cs="Times New Roman"/>
          <w:sz w:val="28"/>
          <w:szCs w:val="28"/>
          <w:lang w:val="en-US" w:eastAsia="zh-CN"/>
        </w:rPr>
        <w:t>制造工艺</w:t>
      </w:r>
    </w:p>
    <w:p w14:paraId="5A55530A">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　技术要求</w:t>
      </w:r>
    </w:p>
    <w:p w14:paraId="165F9F58">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　试验方法</w:t>
      </w:r>
    </w:p>
    <w:p w14:paraId="01D2CCEA">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　检验规则</w:t>
      </w:r>
    </w:p>
    <w:p w14:paraId="6D70BE5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　包装、标志和质量证明书</w:t>
      </w:r>
    </w:p>
    <w:p w14:paraId="40F55994">
      <w:pPr>
        <w:spacing w:line="560" w:lineRule="exact"/>
        <w:ind w:firstLine="560"/>
        <w:contextualSpacing/>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（三）标准技术内容</w:t>
      </w:r>
    </w:p>
    <w:p w14:paraId="1F7A5C62">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14:paraId="3F3FE450">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本文件规定了汽车高压共轨银亮钢产品的术语及定义、分类代号、订货内容、制造工艺、技术要求、试验方法、检验规则、包装、标志和质量证明书等要求。</w:t>
      </w:r>
    </w:p>
    <w:p w14:paraId="0711030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本文件适用于对表面质量有较高要求公称直径不大于180mm汽车高压共轨银亮钢（以下简称银亮钢）。</w:t>
      </w:r>
    </w:p>
    <w:p w14:paraId="371773E7">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按照讨论会建议，参考最新钢铁产品标准结构修改了标准章节结构，明确产品名称为</w:t>
      </w:r>
      <w:r>
        <w:rPr>
          <w:rFonts w:hint="eastAsia" w:ascii="Times New Roman" w:hAnsi="Times New Roman" w:eastAsia="仿宋_GB2312" w:cs="Times New Roman"/>
          <w:sz w:val="28"/>
          <w:szCs w:val="28"/>
        </w:rPr>
        <w:t>汽车高压共轨银亮钢</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直径不大于180mm。</w:t>
      </w:r>
    </w:p>
    <w:p w14:paraId="19C63206">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规范性引用标准</w:t>
      </w:r>
    </w:p>
    <w:p w14:paraId="6379C02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按GB/T 1.1-2020《标准化工作导则 第1部分：标准化文件的结构和起草规则》的有关规定。</w:t>
      </w:r>
    </w:p>
    <w:p w14:paraId="50CCBBC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3. </w:t>
      </w:r>
      <w:r>
        <w:rPr>
          <w:rFonts w:hint="eastAsia" w:ascii="Times New Roman" w:hAnsi="Times New Roman" w:eastAsia="仿宋_GB2312" w:cs="Times New Roman"/>
          <w:sz w:val="28"/>
          <w:szCs w:val="28"/>
        </w:rPr>
        <w:t>术语和定义</w:t>
      </w:r>
    </w:p>
    <w:p w14:paraId="25EE1883">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GB/T 3207-2008界定的术语和定义适用于本文件。</w:t>
      </w:r>
    </w:p>
    <w:p w14:paraId="3A2F2EEF">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hint="eastAsia" w:ascii="Times New Roman" w:hAnsi="Times New Roman" w:eastAsia="仿宋_GB2312" w:cs="Times New Roman"/>
          <w:sz w:val="28"/>
          <w:szCs w:val="28"/>
        </w:rPr>
        <w:t>分类代号</w:t>
      </w:r>
    </w:p>
    <w:p w14:paraId="7C69D4E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银亮钢按最终冷加工方法分为三类，其分类代号如表1所示。</w:t>
      </w:r>
    </w:p>
    <w:p w14:paraId="6EC4C2F9">
      <w:pPr>
        <w:spacing w:line="560" w:lineRule="exact"/>
        <w:ind w:firstLine="560"/>
        <w:contextualSpacing/>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表1</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银亮钢分类和代号</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61"/>
        <w:gridCol w:w="4261"/>
      </w:tblGrid>
      <w:tr w14:paraId="30521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2500" w:type="pct"/>
            <w:tcBorders>
              <w:left w:val="single" w:color="auto" w:sz="8" w:space="0"/>
              <w:bottom w:val="single" w:color="auto" w:sz="6" w:space="0"/>
              <w:right w:val="single" w:color="auto" w:sz="6" w:space="0"/>
            </w:tcBorders>
            <w:vAlign w:val="center"/>
          </w:tcPr>
          <w:p w14:paraId="1C41E8C5">
            <w:pPr>
              <w:pStyle w:val="22"/>
              <w:ind w:left="640" w:leftChars="200" w:firstLine="0" w:firstLineChars="0"/>
              <w:jc w:val="center"/>
              <w:rPr>
                <w:rFonts w:ascii="Times New Roman"/>
              </w:rPr>
            </w:pPr>
            <w:r>
              <w:rPr>
                <w:rFonts w:ascii="Times New Roman"/>
              </w:rPr>
              <w:t>交货状态</w:t>
            </w:r>
          </w:p>
        </w:tc>
        <w:tc>
          <w:tcPr>
            <w:tcW w:w="2500" w:type="pct"/>
            <w:tcBorders>
              <w:left w:val="single" w:color="auto" w:sz="6" w:space="0"/>
              <w:bottom w:val="single" w:color="auto" w:sz="6" w:space="0"/>
              <w:right w:val="single" w:color="auto" w:sz="8" w:space="0"/>
            </w:tcBorders>
            <w:vAlign w:val="center"/>
          </w:tcPr>
          <w:p w14:paraId="278B914E">
            <w:pPr>
              <w:pStyle w:val="22"/>
              <w:ind w:left="640" w:leftChars="200" w:firstLine="0" w:firstLineChars="0"/>
              <w:jc w:val="center"/>
              <w:rPr>
                <w:rFonts w:ascii="Times New Roman"/>
              </w:rPr>
            </w:pPr>
            <w:r>
              <w:rPr>
                <w:rFonts w:ascii="Times New Roman"/>
              </w:rPr>
              <w:t>代号</w:t>
            </w:r>
          </w:p>
        </w:tc>
      </w:tr>
      <w:tr w14:paraId="575AA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2500" w:type="pct"/>
            <w:tcBorders>
              <w:top w:val="single" w:color="auto" w:sz="6" w:space="0"/>
              <w:left w:val="single" w:color="auto" w:sz="6" w:space="0"/>
              <w:bottom w:val="single" w:color="auto" w:sz="6" w:space="0"/>
              <w:right w:val="single" w:color="auto" w:sz="6" w:space="0"/>
            </w:tcBorders>
            <w:vAlign w:val="center"/>
          </w:tcPr>
          <w:p w14:paraId="5886BFC9">
            <w:pPr>
              <w:pStyle w:val="22"/>
              <w:ind w:left="640" w:leftChars="200" w:firstLine="0" w:firstLineChars="0"/>
              <w:jc w:val="center"/>
              <w:rPr>
                <w:rFonts w:ascii="Times New Roman"/>
              </w:rPr>
            </w:pPr>
            <w:r>
              <w:rPr>
                <w:rFonts w:ascii="Times New Roman"/>
              </w:rPr>
              <w:t>剥皮</w:t>
            </w:r>
          </w:p>
        </w:tc>
        <w:tc>
          <w:tcPr>
            <w:tcW w:w="2500" w:type="pct"/>
            <w:tcBorders>
              <w:top w:val="single" w:color="auto" w:sz="6" w:space="0"/>
              <w:left w:val="single" w:color="auto" w:sz="6" w:space="0"/>
              <w:bottom w:val="single" w:color="auto" w:sz="6" w:space="0"/>
              <w:right w:val="single" w:color="auto" w:sz="6" w:space="0"/>
            </w:tcBorders>
            <w:vAlign w:val="center"/>
          </w:tcPr>
          <w:p w14:paraId="447854D1">
            <w:pPr>
              <w:pStyle w:val="22"/>
              <w:ind w:left="640" w:leftChars="200" w:firstLine="0" w:firstLineChars="0"/>
              <w:jc w:val="center"/>
              <w:rPr>
                <w:rFonts w:ascii="Times New Roman"/>
              </w:rPr>
            </w:pPr>
            <w:r>
              <w:rPr>
                <w:rFonts w:ascii="Times New Roman"/>
              </w:rPr>
              <w:t>SF</w:t>
            </w:r>
          </w:p>
        </w:tc>
      </w:tr>
      <w:tr w14:paraId="0DFDBC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2500" w:type="pct"/>
            <w:tcBorders>
              <w:top w:val="single" w:color="auto" w:sz="6" w:space="0"/>
              <w:left w:val="single" w:color="auto" w:sz="6" w:space="0"/>
              <w:bottom w:val="single" w:color="auto" w:sz="6" w:space="0"/>
              <w:right w:val="single" w:color="auto" w:sz="6" w:space="0"/>
            </w:tcBorders>
            <w:vAlign w:val="center"/>
          </w:tcPr>
          <w:p w14:paraId="4B6F36E3">
            <w:pPr>
              <w:pStyle w:val="22"/>
              <w:ind w:left="640" w:leftChars="200" w:firstLine="0" w:firstLineChars="0"/>
              <w:jc w:val="center"/>
              <w:rPr>
                <w:rFonts w:ascii="Times New Roman"/>
              </w:rPr>
            </w:pPr>
            <w:r>
              <w:rPr>
                <w:rFonts w:ascii="Times New Roman"/>
              </w:rPr>
              <w:t>磨光</w:t>
            </w:r>
          </w:p>
        </w:tc>
        <w:tc>
          <w:tcPr>
            <w:tcW w:w="2500" w:type="pct"/>
            <w:tcBorders>
              <w:top w:val="single" w:color="auto" w:sz="6" w:space="0"/>
              <w:left w:val="single" w:color="auto" w:sz="6" w:space="0"/>
              <w:bottom w:val="single" w:color="auto" w:sz="6" w:space="0"/>
              <w:right w:val="single" w:color="auto" w:sz="6" w:space="0"/>
            </w:tcBorders>
            <w:vAlign w:val="center"/>
          </w:tcPr>
          <w:p w14:paraId="049973D7">
            <w:pPr>
              <w:pStyle w:val="22"/>
              <w:ind w:left="640" w:leftChars="200" w:firstLine="0" w:firstLineChars="0"/>
              <w:jc w:val="center"/>
              <w:rPr>
                <w:rFonts w:ascii="Times New Roman"/>
              </w:rPr>
            </w:pPr>
            <w:r>
              <w:rPr>
                <w:rFonts w:ascii="Times New Roman"/>
              </w:rPr>
              <w:t>SP</w:t>
            </w:r>
          </w:p>
        </w:tc>
      </w:tr>
      <w:tr w14:paraId="36671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2500" w:type="pct"/>
            <w:tcBorders>
              <w:top w:val="single" w:color="auto" w:sz="6" w:space="0"/>
              <w:left w:val="single" w:color="auto" w:sz="6" w:space="0"/>
              <w:bottom w:val="single" w:color="auto" w:sz="6" w:space="0"/>
              <w:right w:val="single" w:color="auto" w:sz="6" w:space="0"/>
            </w:tcBorders>
            <w:vAlign w:val="center"/>
          </w:tcPr>
          <w:p w14:paraId="5A39FE78">
            <w:pPr>
              <w:pStyle w:val="22"/>
              <w:ind w:left="640" w:leftChars="200" w:firstLine="0" w:firstLineChars="0"/>
              <w:jc w:val="center"/>
              <w:rPr>
                <w:rFonts w:ascii="Times New Roman"/>
              </w:rPr>
            </w:pPr>
            <w:r>
              <w:rPr>
                <w:rFonts w:ascii="Times New Roman"/>
              </w:rPr>
              <w:t>抛光</w:t>
            </w:r>
          </w:p>
        </w:tc>
        <w:tc>
          <w:tcPr>
            <w:tcW w:w="2500" w:type="pct"/>
            <w:tcBorders>
              <w:top w:val="single" w:color="auto" w:sz="6" w:space="0"/>
              <w:left w:val="single" w:color="auto" w:sz="6" w:space="0"/>
              <w:bottom w:val="single" w:color="auto" w:sz="6" w:space="0"/>
              <w:right w:val="single" w:color="auto" w:sz="6" w:space="0"/>
            </w:tcBorders>
            <w:vAlign w:val="center"/>
          </w:tcPr>
          <w:p w14:paraId="7DE43235">
            <w:pPr>
              <w:pStyle w:val="22"/>
              <w:ind w:left="640" w:leftChars="200" w:firstLine="0" w:firstLineChars="0"/>
              <w:jc w:val="center"/>
              <w:rPr>
                <w:rFonts w:ascii="Times New Roman"/>
              </w:rPr>
            </w:pPr>
            <w:r>
              <w:rPr>
                <w:rFonts w:ascii="Times New Roman"/>
              </w:rPr>
              <w:t>SB</w:t>
            </w:r>
          </w:p>
        </w:tc>
      </w:tr>
    </w:tbl>
    <w:p w14:paraId="031AD076">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5. </w:t>
      </w:r>
      <w:r>
        <w:rPr>
          <w:rFonts w:hint="eastAsia" w:ascii="Times New Roman" w:hAnsi="Times New Roman" w:eastAsia="仿宋_GB2312" w:cs="Times New Roman"/>
          <w:sz w:val="28"/>
          <w:szCs w:val="28"/>
        </w:rPr>
        <w:t>订货内容</w:t>
      </w:r>
    </w:p>
    <w:p w14:paraId="32AB3347">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按本标准订货的合同或订单应包括下列内容：</w:t>
      </w:r>
    </w:p>
    <w:p w14:paraId="54DC2468">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a）本文件编号；</w:t>
      </w:r>
    </w:p>
    <w:p w14:paraId="1610997E">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b）产品名称；</w:t>
      </w:r>
    </w:p>
    <w:p w14:paraId="0DEDA3B0">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c）牌号；</w:t>
      </w:r>
    </w:p>
    <w:p w14:paraId="2E7DB40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d）交货状态；</w:t>
      </w:r>
    </w:p>
    <w:p w14:paraId="3229F428">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e）规格及尺寸精度级别</w:t>
      </w:r>
    </w:p>
    <w:p w14:paraId="327611F3">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f）订货数量（重量或支数）</w:t>
      </w:r>
    </w:p>
    <w:p w14:paraId="60B28C48">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g）包装方式；</w:t>
      </w:r>
    </w:p>
    <w:p w14:paraId="64BEF350">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h）</w:t>
      </w:r>
      <w:r>
        <w:rPr>
          <w:rFonts w:hint="eastAsia" w:ascii="Times New Roman" w:hAnsi="Times New Roman" w:eastAsia="仿宋_GB2312" w:cs="Times New Roman"/>
          <w:sz w:val="28"/>
          <w:szCs w:val="28"/>
        </w:rPr>
        <w:t>其他需求。</w:t>
      </w:r>
    </w:p>
    <w:p w14:paraId="7E2A1510">
      <w:pPr>
        <w:spacing w:line="560" w:lineRule="exact"/>
        <w:ind w:firstLine="560"/>
        <w:contextualSpacing/>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lang w:val="en-US" w:eastAsia="zh-CN"/>
        </w:rPr>
        <w:t>制造工艺</w:t>
      </w:r>
    </w:p>
    <w:p w14:paraId="1A55F657">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lang w:val="en-US" w:eastAsia="zh-CN"/>
        </w:rPr>
        <w:t>冶炼方法</w:t>
      </w:r>
    </w:p>
    <w:p w14:paraId="6ED815A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银亮钢应采用电炉加炉外精炼冶炼方法。经供需双方协商，并在合同注明，也可采用能满足本标准要求的其他冶炼方法。</w:t>
      </w:r>
    </w:p>
    <w:p w14:paraId="72C4CF9C">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lang w:val="en-US" w:eastAsia="zh-CN"/>
        </w:rPr>
        <w:t>交货状态</w:t>
      </w:r>
    </w:p>
    <w:p w14:paraId="035D8963">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.2.1</w:t>
      </w:r>
      <w:r>
        <w:rPr>
          <w:rFonts w:hint="eastAsia" w:ascii="Times New Roman" w:hAnsi="Times New Roman" w:eastAsia="仿宋_GB2312" w:cs="Times New Roman"/>
          <w:sz w:val="28"/>
          <w:szCs w:val="28"/>
        </w:rPr>
        <w:t>银亮钢的交货状态按冷加工方法不同分为剥皮、磨光和抛光三类。</w:t>
      </w:r>
    </w:p>
    <w:p w14:paraId="366C5C3A">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 xml:space="preserve">.2.2 </w:t>
      </w:r>
      <w:r>
        <w:rPr>
          <w:rFonts w:hint="eastAsia" w:ascii="Times New Roman" w:hAnsi="Times New Roman" w:eastAsia="仿宋_GB2312" w:cs="Times New Roman"/>
          <w:sz w:val="28"/>
          <w:szCs w:val="28"/>
        </w:rPr>
        <w:t>银亮钢生产前，根据零加工设备能力或根据需方要求可进行热处理</w:t>
      </w:r>
      <w:r>
        <w:rPr>
          <w:rFonts w:hint="eastAsia" w:ascii="Times New Roman" w:hAnsi="Times New Roman" w:eastAsia="仿宋_GB2312" w:cs="Times New Roman"/>
          <w:sz w:val="28"/>
          <w:szCs w:val="28"/>
          <w:lang w:eastAsia="zh-CN"/>
        </w:rPr>
        <w:t>。</w:t>
      </w:r>
    </w:p>
    <w:p w14:paraId="6BB88D8D">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6.2.3根据需方要求并在合同注明，银亮钢可以热处理状态供货。</w:t>
      </w:r>
    </w:p>
    <w:p w14:paraId="761AFEEC">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 xml:space="preserve">.3 </w:t>
      </w:r>
      <w:r>
        <w:rPr>
          <w:rFonts w:hint="eastAsia" w:ascii="Times New Roman" w:hAnsi="Times New Roman" w:eastAsia="仿宋_GB2312" w:cs="Times New Roman"/>
          <w:sz w:val="28"/>
          <w:szCs w:val="28"/>
        </w:rPr>
        <w:t>外形及允许偏差</w:t>
      </w:r>
    </w:p>
    <w:p w14:paraId="04B2AC7C">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.3.1</w:t>
      </w:r>
      <w:r>
        <w:rPr>
          <w:rFonts w:hint="eastAsia" w:ascii="Times New Roman" w:hAnsi="Times New Roman" w:eastAsia="仿宋_GB2312" w:cs="Times New Roman"/>
          <w:sz w:val="28"/>
          <w:szCs w:val="28"/>
        </w:rPr>
        <w:t>不圆度应小于或等于公称直径公差的70%，两端的切斜度应小于或等于公称直径的30%。</w:t>
      </w:r>
    </w:p>
    <w:p w14:paraId="558FB131">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6.3.2</w:t>
      </w:r>
      <w:r>
        <w:rPr>
          <w:rFonts w:hint="eastAsia" w:ascii="Times New Roman" w:hAnsi="Times New Roman" w:eastAsia="仿宋_GB2312" w:cs="Times New Roman"/>
          <w:sz w:val="28"/>
          <w:szCs w:val="28"/>
          <w:lang w:eastAsia="zh-CN"/>
        </w:rPr>
        <w:t>银亮钢</w:t>
      </w:r>
      <w:r>
        <w:rPr>
          <w:rFonts w:hint="eastAsia" w:ascii="Times New Roman" w:hAnsi="Times New Roman" w:eastAsia="仿宋_GB2312" w:cs="Times New Roman"/>
          <w:sz w:val="28"/>
          <w:szCs w:val="28"/>
        </w:rPr>
        <w:t>的弯曲度应小于或等于4mm/m，总弯曲度应小于或等于总长度的0.4%。</w:t>
      </w:r>
    </w:p>
    <w:p w14:paraId="2F2F764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6.3.3 </w:t>
      </w:r>
      <w:r>
        <w:rPr>
          <w:rFonts w:hint="eastAsia" w:ascii="Times New Roman" w:hAnsi="Times New Roman" w:eastAsia="仿宋_GB2312" w:cs="Times New Roman"/>
          <w:sz w:val="28"/>
          <w:szCs w:val="28"/>
          <w:lang w:eastAsia="zh-CN"/>
        </w:rPr>
        <w:t>银亮钢</w:t>
      </w:r>
      <w:r>
        <w:rPr>
          <w:rFonts w:hint="eastAsia" w:ascii="Times New Roman" w:hAnsi="Times New Roman" w:eastAsia="仿宋_GB2312" w:cs="Times New Roman"/>
          <w:sz w:val="28"/>
          <w:szCs w:val="28"/>
        </w:rPr>
        <w:t>的端部应剪切平整，不得有影响使用的毛刺。根据用户要求，并在合同中注明，钢材的端部可倒棱交货。</w:t>
      </w:r>
    </w:p>
    <w:p w14:paraId="22D64A1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技术要求</w:t>
      </w:r>
    </w:p>
    <w:p w14:paraId="793E49CE">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7.1　牌号和化学成分</w:t>
      </w:r>
    </w:p>
    <w:p w14:paraId="48E0F0E6">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7.1.1　银亮钢的牌号和化学成分（熔炼分析）应符合表2的规定。化学成分允许偏差应符合GB/T 222的规定。需方有特殊要求时，经供需双方协商并在合同注明，可按具体要求执行。</w:t>
      </w:r>
    </w:p>
    <w:p w14:paraId="5DDC31CE">
      <w:pPr>
        <w:spacing w:line="560" w:lineRule="exact"/>
        <w:ind w:firstLine="0" w:firstLineChars="0"/>
        <w:contextualSpacing/>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表2　牌号和化学成分（熔炼分析）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248"/>
        <w:gridCol w:w="685"/>
        <w:gridCol w:w="685"/>
        <w:gridCol w:w="779"/>
        <w:gridCol w:w="779"/>
        <w:gridCol w:w="1156"/>
        <w:gridCol w:w="1250"/>
        <w:gridCol w:w="692"/>
      </w:tblGrid>
      <w:tr w14:paraId="6DCE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2" w:type="pct"/>
            <w:vMerge w:val="restart"/>
            <w:vAlign w:val="center"/>
          </w:tcPr>
          <w:p w14:paraId="2BA8BEF4">
            <w:pPr>
              <w:numPr>
                <w:ilvl w:val="0"/>
                <w:numId w:val="0"/>
              </w:numPr>
              <w:ind w:left="0" w:firstLine="0"/>
              <w:jc w:val="center"/>
              <w:rPr>
                <w:rFonts w:ascii="宋体" w:eastAsiaTheme="minorEastAsia"/>
                <w:sz w:val="18"/>
                <w:szCs w:val="18"/>
              </w:rPr>
            </w:pPr>
            <w:r>
              <w:rPr>
                <w:rFonts w:ascii="宋体" w:eastAsiaTheme="minorEastAsia"/>
                <w:sz w:val="18"/>
                <w:szCs w:val="18"/>
              </w:rPr>
              <w:t>牌号</w:t>
            </w:r>
          </w:p>
        </w:tc>
        <w:tc>
          <w:tcPr>
            <w:tcW w:w="4267" w:type="pct"/>
            <w:gridSpan w:val="8"/>
            <w:vAlign w:val="center"/>
          </w:tcPr>
          <w:p w14:paraId="03B264B8">
            <w:pPr>
              <w:numPr>
                <w:ilvl w:val="0"/>
                <w:numId w:val="0"/>
              </w:numPr>
              <w:ind w:left="0" w:firstLine="0"/>
              <w:jc w:val="center"/>
              <w:rPr>
                <w:rFonts w:ascii="宋体" w:eastAsiaTheme="minorEastAsia"/>
                <w:sz w:val="18"/>
                <w:szCs w:val="18"/>
              </w:rPr>
            </w:pPr>
            <w:r>
              <w:rPr>
                <w:rFonts w:ascii="宋体" w:eastAsiaTheme="minorEastAsia"/>
                <w:sz w:val="18"/>
                <w:szCs w:val="18"/>
              </w:rPr>
              <w:t>化学成分（质量分数）/%</w:t>
            </w:r>
          </w:p>
        </w:tc>
      </w:tr>
      <w:tr w14:paraId="51BA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2" w:type="pct"/>
            <w:vMerge w:val="continue"/>
            <w:vAlign w:val="center"/>
          </w:tcPr>
          <w:p w14:paraId="2B8FBB9E">
            <w:pPr>
              <w:numPr>
                <w:ilvl w:val="0"/>
                <w:numId w:val="0"/>
              </w:numPr>
              <w:ind w:left="0" w:firstLine="0"/>
              <w:jc w:val="center"/>
              <w:rPr>
                <w:rFonts w:ascii="宋体" w:eastAsiaTheme="minorEastAsia"/>
                <w:sz w:val="18"/>
                <w:szCs w:val="18"/>
              </w:rPr>
            </w:pPr>
          </w:p>
        </w:tc>
        <w:tc>
          <w:tcPr>
            <w:tcW w:w="732" w:type="pct"/>
            <w:vAlign w:val="center"/>
          </w:tcPr>
          <w:p w14:paraId="441D562B">
            <w:pPr>
              <w:numPr>
                <w:ilvl w:val="0"/>
                <w:numId w:val="0"/>
              </w:numPr>
              <w:ind w:left="0" w:firstLine="0"/>
              <w:jc w:val="center"/>
              <w:rPr>
                <w:rFonts w:ascii="宋体" w:eastAsiaTheme="minorEastAsia"/>
                <w:sz w:val="18"/>
                <w:szCs w:val="18"/>
              </w:rPr>
            </w:pPr>
            <w:r>
              <w:rPr>
                <w:rFonts w:ascii="宋体" w:eastAsiaTheme="minorEastAsia"/>
                <w:sz w:val="18"/>
                <w:szCs w:val="18"/>
              </w:rPr>
              <w:t>C</w:t>
            </w:r>
          </w:p>
        </w:tc>
        <w:tc>
          <w:tcPr>
            <w:tcW w:w="402" w:type="pct"/>
            <w:vAlign w:val="center"/>
          </w:tcPr>
          <w:p w14:paraId="347F8B2F">
            <w:pPr>
              <w:numPr>
                <w:ilvl w:val="0"/>
                <w:numId w:val="0"/>
              </w:numPr>
              <w:ind w:left="0" w:firstLine="0"/>
              <w:jc w:val="center"/>
              <w:rPr>
                <w:rFonts w:ascii="宋体" w:eastAsiaTheme="minorEastAsia"/>
                <w:sz w:val="18"/>
                <w:szCs w:val="18"/>
              </w:rPr>
            </w:pPr>
            <w:r>
              <w:rPr>
                <w:rFonts w:ascii="宋体" w:eastAsiaTheme="minorEastAsia"/>
                <w:sz w:val="18"/>
                <w:szCs w:val="18"/>
              </w:rPr>
              <w:t>Si</w:t>
            </w:r>
          </w:p>
        </w:tc>
        <w:tc>
          <w:tcPr>
            <w:tcW w:w="402" w:type="pct"/>
            <w:vAlign w:val="center"/>
          </w:tcPr>
          <w:p w14:paraId="1C0B6291">
            <w:pPr>
              <w:numPr>
                <w:ilvl w:val="0"/>
                <w:numId w:val="0"/>
              </w:numPr>
              <w:ind w:left="0" w:firstLine="0"/>
              <w:jc w:val="center"/>
              <w:rPr>
                <w:rFonts w:ascii="宋体" w:eastAsiaTheme="minorEastAsia"/>
                <w:sz w:val="18"/>
                <w:szCs w:val="18"/>
              </w:rPr>
            </w:pPr>
            <w:r>
              <w:rPr>
                <w:rFonts w:ascii="宋体" w:eastAsiaTheme="minorEastAsia"/>
                <w:sz w:val="18"/>
                <w:szCs w:val="18"/>
              </w:rPr>
              <w:t>Mn</w:t>
            </w:r>
          </w:p>
        </w:tc>
        <w:tc>
          <w:tcPr>
            <w:tcW w:w="457" w:type="pct"/>
            <w:vAlign w:val="center"/>
          </w:tcPr>
          <w:p w14:paraId="7BD11C01">
            <w:pPr>
              <w:numPr>
                <w:ilvl w:val="0"/>
                <w:numId w:val="0"/>
              </w:numPr>
              <w:ind w:left="0" w:firstLine="0"/>
              <w:jc w:val="center"/>
              <w:rPr>
                <w:rFonts w:ascii="宋体" w:eastAsiaTheme="minorEastAsia"/>
                <w:sz w:val="18"/>
                <w:szCs w:val="18"/>
              </w:rPr>
            </w:pPr>
            <w:r>
              <w:rPr>
                <w:rFonts w:ascii="宋体" w:eastAsiaTheme="minorEastAsia"/>
                <w:sz w:val="18"/>
                <w:szCs w:val="18"/>
              </w:rPr>
              <w:t>P</w:t>
            </w:r>
          </w:p>
        </w:tc>
        <w:tc>
          <w:tcPr>
            <w:tcW w:w="457" w:type="pct"/>
            <w:vAlign w:val="center"/>
          </w:tcPr>
          <w:p w14:paraId="202C4F92">
            <w:pPr>
              <w:numPr>
                <w:ilvl w:val="0"/>
                <w:numId w:val="0"/>
              </w:numPr>
              <w:ind w:left="0" w:firstLine="0"/>
              <w:jc w:val="center"/>
              <w:rPr>
                <w:rFonts w:ascii="宋体" w:eastAsiaTheme="minorEastAsia"/>
                <w:sz w:val="18"/>
                <w:szCs w:val="18"/>
              </w:rPr>
            </w:pPr>
            <w:r>
              <w:rPr>
                <w:rFonts w:ascii="宋体" w:eastAsiaTheme="minorEastAsia"/>
                <w:sz w:val="18"/>
                <w:szCs w:val="18"/>
              </w:rPr>
              <w:t>S</w:t>
            </w:r>
          </w:p>
        </w:tc>
        <w:tc>
          <w:tcPr>
            <w:tcW w:w="678" w:type="pct"/>
            <w:vAlign w:val="center"/>
          </w:tcPr>
          <w:p w14:paraId="5EF55B98">
            <w:pPr>
              <w:numPr>
                <w:ilvl w:val="0"/>
                <w:numId w:val="0"/>
              </w:numPr>
              <w:ind w:left="0" w:firstLine="0"/>
              <w:jc w:val="center"/>
              <w:rPr>
                <w:rFonts w:ascii="宋体" w:eastAsiaTheme="minorEastAsia"/>
                <w:sz w:val="18"/>
                <w:szCs w:val="18"/>
              </w:rPr>
            </w:pPr>
            <w:r>
              <w:rPr>
                <w:rFonts w:ascii="宋体" w:eastAsiaTheme="minorEastAsia"/>
                <w:sz w:val="18"/>
                <w:szCs w:val="18"/>
              </w:rPr>
              <w:t>Ni</w:t>
            </w:r>
          </w:p>
        </w:tc>
        <w:tc>
          <w:tcPr>
            <w:tcW w:w="733" w:type="pct"/>
            <w:vAlign w:val="center"/>
          </w:tcPr>
          <w:p w14:paraId="05C7C1F8">
            <w:pPr>
              <w:numPr>
                <w:ilvl w:val="0"/>
                <w:numId w:val="0"/>
              </w:numPr>
              <w:ind w:left="0" w:firstLine="0"/>
              <w:jc w:val="center"/>
              <w:rPr>
                <w:rFonts w:ascii="宋体" w:eastAsiaTheme="minorEastAsia"/>
                <w:sz w:val="18"/>
                <w:szCs w:val="18"/>
              </w:rPr>
            </w:pPr>
            <w:r>
              <w:rPr>
                <w:rFonts w:ascii="宋体" w:eastAsiaTheme="minorEastAsia"/>
                <w:sz w:val="18"/>
                <w:szCs w:val="18"/>
              </w:rPr>
              <w:t>Cr</w:t>
            </w:r>
          </w:p>
        </w:tc>
        <w:tc>
          <w:tcPr>
            <w:tcW w:w="402" w:type="pct"/>
            <w:shd w:val="clear" w:color="auto" w:fill="auto"/>
            <w:vAlign w:val="center"/>
          </w:tcPr>
          <w:p w14:paraId="593B445A">
            <w:pPr>
              <w:numPr>
                <w:ilvl w:val="0"/>
                <w:numId w:val="0"/>
              </w:numPr>
              <w:ind w:left="0" w:firstLine="0"/>
              <w:jc w:val="center"/>
              <w:rPr>
                <w:rFonts w:ascii="宋体" w:eastAsiaTheme="minorEastAsia"/>
                <w:sz w:val="18"/>
                <w:szCs w:val="18"/>
              </w:rPr>
            </w:pPr>
            <w:r>
              <w:rPr>
                <w:rFonts w:ascii="宋体" w:eastAsiaTheme="minorEastAsia"/>
                <w:sz w:val="18"/>
                <w:szCs w:val="18"/>
              </w:rPr>
              <w:t>N</w:t>
            </w:r>
          </w:p>
        </w:tc>
      </w:tr>
      <w:tr w14:paraId="09EB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2" w:type="pct"/>
            <w:shd w:val="clear" w:color="auto" w:fill="auto"/>
            <w:vAlign w:val="center"/>
          </w:tcPr>
          <w:p w14:paraId="6D2F6D87">
            <w:pPr>
              <w:numPr>
                <w:ilvl w:val="0"/>
                <w:numId w:val="0"/>
              </w:numPr>
              <w:ind w:left="0" w:firstLine="0"/>
              <w:jc w:val="center"/>
              <w:rPr>
                <w:rFonts w:ascii="宋体" w:eastAsiaTheme="minorEastAsia"/>
                <w:sz w:val="18"/>
                <w:szCs w:val="18"/>
              </w:rPr>
            </w:pPr>
            <w:r>
              <w:rPr>
                <w:rFonts w:ascii="宋体" w:eastAsiaTheme="minorEastAsia"/>
                <w:sz w:val="18"/>
                <w:szCs w:val="18"/>
              </w:rPr>
              <w:t>06Cr19Ni10</w:t>
            </w:r>
          </w:p>
        </w:tc>
        <w:tc>
          <w:tcPr>
            <w:tcW w:w="732" w:type="pct"/>
            <w:shd w:val="clear" w:color="auto" w:fill="auto"/>
            <w:vAlign w:val="center"/>
          </w:tcPr>
          <w:p w14:paraId="4F89CEA0">
            <w:pPr>
              <w:numPr>
                <w:ilvl w:val="0"/>
                <w:numId w:val="0"/>
              </w:numPr>
              <w:ind w:left="0" w:firstLine="0"/>
              <w:jc w:val="center"/>
              <w:rPr>
                <w:rFonts w:ascii="宋体" w:eastAsiaTheme="minorEastAsia"/>
                <w:sz w:val="18"/>
                <w:szCs w:val="18"/>
              </w:rPr>
            </w:pPr>
            <w:r>
              <w:rPr>
                <w:rFonts w:hint="eastAsia" w:ascii="宋体" w:eastAsiaTheme="minorEastAsia"/>
                <w:sz w:val="18"/>
                <w:szCs w:val="18"/>
              </w:rPr>
              <w:t>≤</w:t>
            </w:r>
            <w:r>
              <w:rPr>
                <w:rFonts w:ascii="宋体" w:eastAsiaTheme="minorEastAsia"/>
                <w:sz w:val="18"/>
                <w:szCs w:val="18"/>
              </w:rPr>
              <w:t>0.07</w:t>
            </w:r>
          </w:p>
        </w:tc>
        <w:tc>
          <w:tcPr>
            <w:tcW w:w="402" w:type="pct"/>
            <w:shd w:val="clear" w:color="auto" w:fill="auto"/>
            <w:vAlign w:val="center"/>
          </w:tcPr>
          <w:p w14:paraId="74C8B041">
            <w:pPr>
              <w:numPr>
                <w:ilvl w:val="0"/>
                <w:numId w:val="0"/>
              </w:numPr>
              <w:ind w:left="0" w:firstLine="0"/>
              <w:jc w:val="center"/>
              <w:rPr>
                <w:rFonts w:ascii="宋体" w:eastAsiaTheme="minorEastAsia"/>
                <w:sz w:val="18"/>
                <w:szCs w:val="18"/>
              </w:rPr>
            </w:pPr>
            <w:r>
              <w:rPr>
                <w:rFonts w:ascii="宋体" w:eastAsiaTheme="minorEastAsia"/>
                <w:sz w:val="18"/>
                <w:szCs w:val="18"/>
              </w:rPr>
              <w:t>≤1.00</w:t>
            </w:r>
          </w:p>
        </w:tc>
        <w:tc>
          <w:tcPr>
            <w:tcW w:w="402" w:type="pct"/>
            <w:shd w:val="clear" w:color="auto" w:fill="auto"/>
            <w:vAlign w:val="center"/>
          </w:tcPr>
          <w:p w14:paraId="521EAF8A">
            <w:pPr>
              <w:numPr>
                <w:ilvl w:val="0"/>
                <w:numId w:val="0"/>
              </w:numPr>
              <w:ind w:left="0" w:firstLine="0"/>
              <w:jc w:val="center"/>
              <w:rPr>
                <w:rFonts w:ascii="宋体" w:eastAsiaTheme="minorEastAsia"/>
                <w:sz w:val="18"/>
                <w:szCs w:val="18"/>
              </w:rPr>
            </w:pPr>
            <w:r>
              <w:rPr>
                <w:rFonts w:ascii="宋体" w:eastAsiaTheme="minorEastAsia"/>
                <w:sz w:val="18"/>
                <w:szCs w:val="18"/>
              </w:rPr>
              <w:t>≤2.00</w:t>
            </w:r>
          </w:p>
        </w:tc>
        <w:tc>
          <w:tcPr>
            <w:tcW w:w="457" w:type="pct"/>
            <w:shd w:val="clear" w:color="auto" w:fill="auto"/>
            <w:vAlign w:val="center"/>
          </w:tcPr>
          <w:p w14:paraId="7E4119C5">
            <w:pPr>
              <w:numPr>
                <w:ilvl w:val="0"/>
                <w:numId w:val="0"/>
              </w:numPr>
              <w:ind w:left="0" w:firstLine="0"/>
              <w:jc w:val="center"/>
              <w:rPr>
                <w:rFonts w:ascii="宋体" w:eastAsiaTheme="minorEastAsia"/>
                <w:sz w:val="18"/>
                <w:szCs w:val="18"/>
              </w:rPr>
            </w:pPr>
            <w:r>
              <w:rPr>
                <w:rFonts w:ascii="宋体" w:eastAsiaTheme="minorEastAsia"/>
                <w:sz w:val="18"/>
                <w:szCs w:val="18"/>
              </w:rPr>
              <w:t>≤0.045</w:t>
            </w:r>
          </w:p>
        </w:tc>
        <w:tc>
          <w:tcPr>
            <w:tcW w:w="457" w:type="pct"/>
            <w:shd w:val="clear" w:color="auto" w:fill="auto"/>
            <w:vAlign w:val="center"/>
          </w:tcPr>
          <w:p w14:paraId="22869633">
            <w:pPr>
              <w:numPr>
                <w:ilvl w:val="0"/>
                <w:numId w:val="0"/>
              </w:numPr>
              <w:ind w:left="0" w:firstLine="0"/>
              <w:jc w:val="center"/>
              <w:rPr>
                <w:rFonts w:ascii="宋体" w:eastAsiaTheme="minorEastAsia"/>
                <w:sz w:val="18"/>
                <w:szCs w:val="18"/>
              </w:rPr>
            </w:pPr>
            <w:r>
              <w:rPr>
                <w:rFonts w:ascii="宋体" w:eastAsiaTheme="minorEastAsia"/>
                <w:sz w:val="18"/>
                <w:szCs w:val="18"/>
              </w:rPr>
              <w:t>≤0.030</w:t>
            </w:r>
          </w:p>
        </w:tc>
        <w:tc>
          <w:tcPr>
            <w:tcW w:w="678" w:type="pct"/>
            <w:shd w:val="clear" w:color="auto" w:fill="auto"/>
            <w:vAlign w:val="center"/>
          </w:tcPr>
          <w:p w14:paraId="203CF147">
            <w:pPr>
              <w:numPr>
                <w:ilvl w:val="0"/>
                <w:numId w:val="0"/>
              </w:numPr>
              <w:ind w:left="0" w:firstLine="0"/>
              <w:jc w:val="center"/>
              <w:rPr>
                <w:rFonts w:ascii="宋体" w:eastAsiaTheme="minorEastAsia"/>
                <w:sz w:val="18"/>
                <w:szCs w:val="18"/>
              </w:rPr>
            </w:pPr>
            <w:r>
              <w:rPr>
                <w:rFonts w:ascii="宋体" w:eastAsiaTheme="minorEastAsia"/>
                <w:sz w:val="18"/>
                <w:szCs w:val="18"/>
              </w:rPr>
              <w:t>8.00-10.50</w:t>
            </w:r>
          </w:p>
        </w:tc>
        <w:tc>
          <w:tcPr>
            <w:tcW w:w="733" w:type="pct"/>
            <w:shd w:val="clear" w:color="auto" w:fill="auto"/>
            <w:vAlign w:val="center"/>
          </w:tcPr>
          <w:p w14:paraId="5D0106F6">
            <w:pPr>
              <w:numPr>
                <w:ilvl w:val="0"/>
                <w:numId w:val="0"/>
              </w:numPr>
              <w:ind w:left="0" w:firstLine="0"/>
              <w:jc w:val="center"/>
              <w:rPr>
                <w:rFonts w:ascii="宋体" w:eastAsiaTheme="minorEastAsia"/>
                <w:sz w:val="18"/>
                <w:szCs w:val="18"/>
              </w:rPr>
            </w:pPr>
            <w:r>
              <w:rPr>
                <w:rFonts w:ascii="宋体" w:eastAsiaTheme="minorEastAsia"/>
                <w:sz w:val="18"/>
                <w:szCs w:val="18"/>
              </w:rPr>
              <w:t>18.00-19.50</w:t>
            </w:r>
          </w:p>
        </w:tc>
        <w:tc>
          <w:tcPr>
            <w:tcW w:w="402" w:type="pct"/>
            <w:shd w:val="clear" w:color="auto" w:fill="auto"/>
            <w:vAlign w:val="center"/>
          </w:tcPr>
          <w:p w14:paraId="316BA6D4">
            <w:pPr>
              <w:numPr>
                <w:ilvl w:val="0"/>
                <w:numId w:val="0"/>
              </w:numPr>
              <w:ind w:left="0" w:firstLine="0"/>
              <w:jc w:val="center"/>
              <w:rPr>
                <w:rFonts w:ascii="宋体" w:eastAsiaTheme="minorEastAsia"/>
                <w:sz w:val="18"/>
                <w:szCs w:val="18"/>
              </w:rPr>
            </w:pPr>
            <w:r>
              <w:rPr>
                <w:rFonts w:ascii="宋体" w:eastAsiaTheme="minorEastAsia"/>
                <w:sz w:val="18"/>
                <w:szCs w:val="18"/>
              </w:rPr>
              <w:t>≤0.10</w:t>
            </w:r>
          </w:p>
        </w:tc>
      </w:tr>
      <w:tr w14:paraId="2061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2" w:type="pct"/>
            <w:shd w:val="clear" w:color="auto" w:fill="auto"/>
            <w:vAlign w:val="center"/>
          </w:tcPr>
          <w:p w14:paraId="3BAAF691">
            <w:pPr>
              <w:numPr>
                <w:ilvl w:val="0"/>
                <w:numId w:val="0"/>
              </w:numPr>
              <w:ind w:left="0" w:firstLine="0"/>
              <w:jc w:val="center"/>
              <w:rPr>
                <w:rFonts w:ascii="宋体" w:eastAsiaTheme="minorEastAsia"/>
                <w:sz w:val="18"/>
                <w:szCs w:val="18"/>
              </w:rPr>
            </w:pPr>
            <w:r>
              <w:rPr>
                <w:rFonts w:ascii="宋体" w:eastAsiaTheme="minorEastAsia"/>
                <w:sz w:val="18"/>
                <w:szCs w:val="18"/>
              </w:rPr>
              <w:t>022Cr19Ni10</w:t>
            </w:r>
          </w:p>
        </w:tc>
        <w:tc>
          <w:tcPr>
            <w:tcW w:w="732" w:type="pct"/>
            <w:shd w:val="clear" w:color="auto" w:fill="auto"/>
            <w:vAlign w:val="center"/>
          </w:tcPr>
          <w:p w14:paraId="28C1EA80">
            <w:pPr>
              <w:numPr>
                <w:ilvl w:val="0"/>
                <w:numId w:val="0"/>
              </w:numPr>
              <w:ind w:left="0" w:firstLine="0"/>
              <w:jc w:val="center"/>
              <w:rPr>
                <w:rFonts w:ascii="宋体" w:eastAsiaTheme="minorEastAsia"/>
                <w:sz w:val="18"/>
                <w:szCs w:val="18"/>
              </w:rPr>
            </w:pPr>
            <w:r>
              <w:rPr>
                <w:rFonts w:ascii="宋体" w:eastAsiaTheme="minorEastAsia"/>
                <w:sz w:val="18"/>
                <w:szCs w:val="18"/>
              </w:rPr>
              <w:t>0.015-0.030</w:t>
            </w:r>
          </w:p>
        </w:tc>
        <w:tc>
          <w:tcPr>
            <w:tcW w:w="402" w:type="pct"/>
            <w:shd w:val="clear" w:color="auto" w:fill="auto"/>
            <w:vAlign w:val="center"/>
          </w:tcPr>
          <w:p w14:paraId="324DF177">
            <w:pPr>
              <w:numPr>
                <w:ilvl w:val="0"/>
                <w:numId w:val="0"/>
              </w:numPr>
              <w:ind w:left="0" w:firstLine="0"/>
              <w:jc w:val="center"/>
              <w:rPr>
                <w:rFonts w:ascii="宋体" w:eastAsiaTheme="minorEastAsia"/>
                <w:sz w:val="18"/>
                <w:szCs w:val="18"/>
              </w:rPr>
            </w:pPr>
            <w:r>
              <w:rPr>
                <w:rFonts w:ascii="宋体" w:eastAsiaTheme="minorEastAsia"/>
                <w:sz w:val="18"/>
                <w:szCs w:val="18"/>
              </w:rPr>
              <w:t>≤1.00</w:t>
            </w:r>
          </w:p>
        </w:tc>
        <w:tc>
          <w:tcPr>
            <w:tcW w:w="402" w:type="pct"/>
            <w:shd w:val="clear" w:color="auto" w:fill="auto"/>
            <w:vAlign w:val="center"/>
          </w:tcPr>
          <w:p w14:paraId="73352836">
            <w:pPr>
              <w:numPr>
                <w:ilvl w:val="0"/>
                <w:numId w:val="0"/>
              </w:numPr>
              <w:ind w:left="0" w:firstLine="0"/>
              <w:jc w:val="center"/>
              <w:rPr>
                <w:rFonts w:ascii="宋体" w:eastAsiaTheme="minorEastAsia"/>
                <w:sz w:val="18"/>
                <w:szCs w:val="18"/>
              </w:rPr>
            </w:pPr>
            <w:r>
              <w:rPr>
                <w:rFonts w:ascii="宋体" w:eastAsiaTheme="minorEastAsia"/>
                <w:sz w:val="18"/>
                <w:szCs w:val="18"/>
              </w:rPr>
              <w:t>≤2.00</w:t>
            </w:r>
          </w:p>
        </w:tc>
        <w:tc>
          <w:tcPr>
            <w:tcW w:w="457" w:type="pct"/>
            <w:shd w:val="clear" w:color="auto" w:fill="auto"/>
            <w:vAlign w:val="center"/>
          </w:tcPr>
          <w:p w14:paraId="5954927B">
            <w:pPr>
              <w:numPr>
                <w:ilvl w:val="0"/>
                <w:numId w:val="0"/>
              </w:numPr>
              <w:ind w:left="0" w:firstLine="0"/>
              <w:jc w:val="center"/>
              <w:rPr>
                <w:rFonts w:ascii="宋体" w:eastAsiaTheme="minorEastAsia"/>
                <w:sz w:val="18"/>
                <w:szCs w:val="18"/>
              </w:rPr>
            </w:pPr>
            <w:r>
              <w:rPr>
                <w:rFonts w:ascii="宋体" w:eastAsiaTheme="minorEastAsia"/>
                <w:sz w:val="18"/>
                <w:szCs w:val="18"/>
              </w:rPr>
              <w:t>≤0.045</w:t>
            </w:r>
          </w:p>
        </w:tc>
        <w:tc>
          <w:tcPr>
            <w:tcW w:w="457" w:type="pct"/>
            <w:shd w:val="clear" w:color="auto" w:fill="auto"/>
            <w:vAlign w:val="center"/>
          </w:tcPr>
          <w:p w14:paraId="1C84640F">
            <w:pPr>
              <w:numPr>
                <w:ilvl w:val="0"/>
                <w:numId w:val="0"/>
              </w:numPr>
              <w:ind w:left="0" w:firstLine="0"/>
              <w:jc w:val="center"/>
              <w:rPr>
                <w:rFonts w:ascii="宋体" w:eastAsiaTheme="minorEastAsia"/>
                <w:sz w:val="18"/>
                <w:szCs w:val="18"/>
              </w:rPr>
            </w:pPr>
            <w:r>
              <w:rPr>
                <w:rFonts w:ascii="宋体" w:eastAsiaTheme="minorEastAsia"/>
                <w:sz w:val="18"/>
                <w:szCs w:val="18"/>
              </w:rPr>
              <w:t>≤0.030</w:t>
            </w:r>
          </w:p>
        </w:tc>
        <w:tc>
          <w:tcPr>
            <w:tcW w:w="678" w:type="pct"/>
            <w:shd w:val="clear" w:color="auto" w:fill="auto"/>
            <w:vAlign w:val="center"/>
          </w:tcPr>
          <w:p w14:paraId="1DFF5217">
            <w:pPr>
              <w:numPr>
                <w:ilvl w:val="0"/>
                <w:numId w:val="0"/>
              </w:numPr>
              <w:ind w:left="0" w:firstLine="0"/>
              <w:jc w:val="center"/>
              <w:rPr>
                <w:rFonts w:ascii="宋体" w:eastAsiaTheme="minorEastAsia"/>
                <w:sz w:val="18"/>
                <w:szCs w:val="18"/>
              </w:rPr>
            </w:pPr>
            <w:r>
              <w:rPr>
                <w:rFonts w:ascii="宋体" w:eastAsiaTheme="minorEastAsia"/>
                <w:sz w:val="18"/>
                <w:szCs w:val="18"/>
              </w:rPr>
              <w:t>8.00-10.50</w:t>
            </w:r>
          </w:p>
        </w:tc>
        <w:tc>
          <w:tcPr>
            <w:tcW w:w="733" w:type="pct"/>
            <w:shd w:val="clear" w:color="auto" w:fill="auto"/>
            <w:vAlign w:val="center"/>
          </w:tcPr>
          <w:p w14:paraId="66FD107F">
            <w:pPr>
              <w:numPr>
                <w:ilvl w:val="0"/>
                <w:numId w:val="0"/>
              </w:numPr>
              <w:ind w:left="0" w:firstLine="0"/>
              <w:jc w:val="center"/>
              <w:rPr>
                <w:rFonts w:ascii="宋体" w:eastAsiaTheme="minorEastAsia"/>
                <w:sz w:val="18"/>
                <w:szCs w:val="18"/>
              </w:rPr>
            </w:pPr>
            <w:r>
              <w:rPr>
                <w:rFonts w:ascii="宋体" w:eastAsiaTheme="minorEastAsia"/>
                <w:sz w:val="18"/>
                <w:szCs w:val="18"/>
              </w:rPr>
              <w:t>18.00-19.50</w:t>
            </w:r>
          </w:p>
        </w:tc>
        <w:tc>
          <w:tcPr>
            <w:tcW w:w="402" w:type="pct"/>
            <w:shd w:val="clear" w:color="auto" w:fill="auto"/>
            <w:vAlign w:val="center"/>
          </w:tcPr>
          <w:p w14:paraId="3B03EB2B">
            <w:pPr>
              <w:numPr>
                <w:ilvl w:val="0"/>
                <w:numId w:val="0"/>
              </w:numPr>
              <w:ind w:left="0" w:firstLine="0"/>
              <w:jc w:val="center"/>
              <w:rPr>
                <w:rFonts w:ascii="宋体" w:eastAsiaTheme="minorEastAsia"/>
                <w:sz w:val="18"/>
                <w:szCs w:val="18"/>
              </w:rPr>
            </w:pPr>
            <w:r>
              <w:rPr>
                <w:rFonts w:ascii="宋体" w:eastAsiaTheme="minorEastAsia"/>
                <w:sz w:val="18"/>
                <w:szCs w:val="18"/>
              </w:rPr>
              <w:t>≤0.10</w:t>
            </w:r>
          </w:p>
        </w:tc>
      </w:tr>
    </w:tbl>
    <w:p w14:paraId="47C1C670">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　力学性能和工艺性能</w:t>
      </w:r>
    </w:p>
    <w:p w14:paraId="3A244CBE">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.1　用热处理试样，按照GB/T 228.1和GB/T 229测定钢材的纵向力学性能，其室温纵向力学性能和硬度应符合表3的规定。需方有特殊要求时，经供需双方协商并在合同注明，可按具体要求执行。</w:t>
      </w:r>
    </w:p>
    <w:p w14:paraId="4054B8D7">
      <w:pPr>
        <w:spacing w:line="560" w:lineRule="exact"/>
        <w:ind w:firstLine="0" w:firstLineChars="0"/>
        <w:contextualSpacing/>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表3　力学性能</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311"/>
        <w:gridCol w:w="1594"/>
        <w:gridCol w:w="1139"/>
        <w:gridCol w:w="931"/>
        <w:gridCol w:w="915"/>
      </w:tblGrid>
      <w:tr w14:paraId="56AE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6" w:type="pct"/>
            <w:vMerge w:val="restart"/>
            <w:vAlign w:val="center"/>
          </w:tcPr>
          <w:p w14:paraId="36B03961">
            <w:pPr>
              <w:pStyle w:val="22"/>
              <w:ind w:firstLine="0" w:firstLineChars="0"/>
              <w:jc w:val="center"/>
              <w:rPr>
                <w:rFonts w:ascii="Times New Roman"/>
                <w:szCs w:val="21"/>
              </w:rPr>
            </w:pPr>
            <w:r>
              <w:rPr>
                <w:rFonts w:ascii="Times New Roman"/>
                <w:szCs w:val="21"/>
              </w:rPr>
              <w:t>牌号</w:t>
            </w:r>
          </w:p>
        </w:tc>
        <w:tc>
          <w:tcPr>
            <w:tcW w:w="1356" w:type="pct"/>
            <w:vMerge w:val="restart"/>
            <w:vAlign w:val="center"/>
          </w:tcPr>
          <w:p w14:paraId="2196111C">
            <w:pPr>
              <w:pStyle w:val="22"/>
              <w:ind w:firstLine="0" w:firstLineChars="0"/>
              <w:jc w:val="center"/>
              <w:rPr>
                <w:rFonts w:ascii="Times New Roman"/>
                <w:szCs w:val="21"/>
              </w:rPr>
            </w:pPr>
            <w:r>
              <w:rPr>
                <w:rFonts w:ascii="Times New Roman"/>
                <w:szCs w:val="21"/>
              </w:rPr>
              <w:t>热处理制度</w:t>
            </w:r>
          </w:p>
        </w:tc>
        <w:tc>
          <w:tcPr>
            <w:tcW w:w="2686" w:type="pct"/>
            <w:gridSpan w:val="4"/>
            <w:vAlign w:val="center"/>
          </w:tcPr>
          <w:p w14:paraId="151B34F8">
            <w:pPr>
              <w:pStyle w:val="22"/>
              <w:ind w:firstLine="0" w:firstLineChars="0"/>
              <w:jc w:val="center"/>
              <w:rPr>
                <w:rFonts w:ascii="Times New Roman"/>
                <w:szCs w:val="21"/>
              </w:rPr>
            </w:pPr>
            <w:r>
              <w:rPr>
                <w:rFonts w:ascii="Times New Roman"/>
                <w:szCs w:val="21"/>
              </w:rPr>
              <w:t>温室力学性能，不小于</w:t>
            </w:r>
          </w:p>
        </w:tc>
      </w:tr>
      <w:tr w14:paraId="02A6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6" w:type="pct"/>
            <w:vMerge w:val="continue"/>
            <w:vAlign w:val="center"/>
          </w:tcPr>
          <w:p w14:paraId="739FC5B5">
            <w:pPr>
              <w:pStyle w:val="22"/>
              <w:ind w:firstLine="0" w:firstLineChars="0"/>
              <w:jc w:val="center"/>
              <w:rPr>
                <w:rFonts w:ascii="Times New Roman"/>
                <w:szCs w:val="21"/>
              </w:rPr>
            </w:pPr>
          </w:p>
        </w:tc>
        <w:tc>
          <w:tcPr>
            <w:tcW w:w="1356" w:type="pct"/>
            <w:vMerge w:val="continue"/>
            <w:vAlign w:val="center"/>
          </w:tcPr>
          <w:p w14:paraId="5370A138">
            <w:pPr>
              <w:pStyle w:val="22"/>
              <w:ind w:firstLine="0" w:firstLineChars="0"/>
              <w:jc w:val="center"/>
              <w:rPr>
                <w:rFonts w:ascii="Times New Roman"/>
                <w:szCs w:val="21"/>
              </w:rPr>
            </w:pPr>
          </w:p>
        </w:tc>
        <w:tc>
          <w:tcPr>
            <w:tcW w:w="935" w:type="pct"/>
            <w:vAlign w:val="center"/>
          </w:tcPr>
          <w:p w14:paraId="22E5D3E9">
            <w:pPr>
              <w:pStyle w:val="22"/>
              <w:ind w:firstLine="0" w:firstLineChars="0"/>
              <w:jc w:val="center"/>
              <w:rPr>
                <w:rFonts w:ascii="Times New Roman"/>
                <w:szCs w:val="21"/>
              </w:rPr>
            </w:pPr>
            <w:r>
              <w:rPr>
                <w:rFonts w:ascii="Times New Roman"/>
                <w:szCs w:val="21"/>
              </w:rPr>
              <w:t>规定非比例延伸强度</w:t>
            </w:r>
          </w:p>
          <w:p w14:paraId="65FF6111">
            <w:pPr>
              <w:pStyle w:val="22"/>
              <w:ind w:firstLine="0" w:firstLineChars="0"/>
              <w:jc w:val="center"/>
              <w:rPr>
                <w:rFonts w:ascii="Times New Roman"/>
                <w:szCs w:val="21"/>
              </w:rPr>
            </w:pPr>
            <w:r>
              <w:rPr>
                <w:rFonts w:ascii="Times New Roman"/>
                <w:szCs w:val="21"/>
              </w:rPr>
              <w:t>R</w:t>
            </w:r>
            <w:r>
              <w:rPr>
                <w:rFonts w:ascii="Times New Roman"/>
                <w:szCs w:val="21"/>
                <w:vertAlign w:val="subscript"/>
              </w:rPr>
              <w:t>p0.2</w:t>
            </w:r>
            <w:r>
              <w:rPr>
                <w:rFonts w:ascii="Times New Roman"/>
                <w:szCs w:val="21"/>
              </w:rPr>
              <w:t>/MPa</w:t>
            </w:r>
          </w:p>
        </w:tc>
        <w:tc>
          <w:tcPr>
            <w:tcW w:w="668" w:type="pct"/>
            <w:vAlign w:val="center"/>
          </w:tcPr>
          <w:p w14:paraId="113BB7B3">
            <w:pPr>
              <w:pStyle w:val="22"/>
              <w:ind w:firstLine="0" w:firstLineChars="0"/>
              <w:jc w:val="center"/>
              <w:rPr>
                <w:rFonts w:ascii="Times New Roman"/>
                <w:szCs w:val="21"/>
              </w:rPr>
            </w:pPr>
            <w:r>
              <w:rPr>
                <w:rFonts w:ascii="Times New Roman"/>
                <w:szCs w:val="21"/>
              </w:rPr>
              <w:t>抗拉强度</w:t>
            </w:r>
          </w:p>
          <w:p w14:paraId="3B02FE6F">
            <w:pPr>
              <w:pStyle w:val="22"/>
              <w:ind w:firstLine="0" w:firstLineChars="0"/>
              <w:jc w:val="center"/>
              <w:rPr>
                <w:rFonts w:ascii="Times New Roman"/>
                <w:szCs w:val="21"/>
              </w:rPr>
            </w:pPr>
            <w:r>
              <w:rPr>
                <w:rFonts w:ascii="Times New Roman"/>
                <w:szCs w:val="21"/>
              </w:rPr>
              <w:t>R</w:t>
            </w:r>
            <w:r>
              <w:rPr>
                <w:rFonts w:ascii="Times New Roman"/>
                <w:szCs w:val="21"/>
                <w:vertAlign w:val="subscript"/>
              </w:rPr>
              <w:t>m</w:t>
            </w:r>
            <w:r>
              <w:rPr>
                <w:rFonts w:ascii="Times New Roman"/>
                <w:szCs w:val="21"/>
              </w:rPr>
              <w:t>/MPa</w:t>
            </w:r>
          </w:p>
        </w:tc>
        <w:tc>
          <w:tcPr>
            <w:tcW w:w="546" w:type="pct"/>
            <w:vAlign w:val="center"/>
          </w:tcPr>
          <w:p w14:paraId="7CE7A8D6">
            <w:pPr>
              <w:pStyle w:val="22"/>
              <w:ind w:firstLine="0" w:firstLineChars="0"/>
              <w:jc w:val="center"/>
              <w:rPr>
                <w:rFonts w:ascii="Times New Roman"/>
                <w:szCs w:val="21"/>
              </w:rPr>
            </w:pPr>
            <w:r>
              <w:rPr>
                <w:rFonts w:ascii="Times New Roman"/>
                <w:szCs w:val="21"/>
              </w:rPr>
              <w:t>断后伸长率</w:t>
            </w:r>
          </w:p>
          <w:p w14:paraId="5E4502A4">
            <w:pPr>
              <w:pStyle w:val="22"/>
              <w:ind w:firstLine="0" w:firstLineChars="0"/>
              <w:jc w:val="center"/>
              <w:rPr>
                <w:rFonts w:ascii="Times New Roman"/>
                <w:szCs w:val="21"/>
              </w:rPr>
            </w:pPr>
            <w:r>
              <w:rPr>
                <w:rFonts w:ascii="Times New Roman"/>
                <w:szCs w:val="21"/>
              </w:rPr>
              <w:t>A/%</w:t>
            </w:r>
          </w:p>
        </w:tc>
        <w:tc>
          <w:tcPr>
            <w:tcW w:w="536" w:type="pct"/>
            <w:vAlign w:val="center"/>
          </w:tcPr>
          <w:p w14:paraId="188332CF">
            <w:pPr>
              <w:pStyle w:val="22"/>
              <w:ind w:firstLine="0" w:firstLineChars="0"/>
              <w:jc w:val="center"/>
              <w:rPr>
                <w:rFonts w:ascii="Times New Roman"/>
                <w:szCs w:val="21"/>
              </w:rPr>
            </w:pPr>
            <w:r>
              <w:rPr>
                <w:rFonts w:ascii="Times New Roman"/>
                <w:szCs w:val="21"/>
              </w:rPr>
              <w:t>断面收缩率</w:t>
            </w:r>
          </w:p>
          <w:p w14:paraId="7C40F1E2">
            <w:pPr>
              <w:pStyle w:val="22"/>
              <w:ind w:firstLine="0" w:firstLineChars="0"/>
              <w:jc w:val="center"/>
              <w:rPr>
                <w:rFonts w:ascii="Times New Roman"/>
                <w:szCs w:val="21"/>
              </w:rPr>
            </w:pPr>
            <w:r>
              <w:rPr>
                <w:rFonts w:ascii="Times New Roman"/>
                <w:szCs w:val="21"/>
              </w:rPr>
              <w:t>Z/%</w:t>
            </w:r>
          </w:p>
        </w:tc>
      </w:tr>
      <w:tr w14:paraId="3C59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6" w:type="pct"/>
            <w:vAlign w:val="center"/>
          </w:tcPr>
          <w:p w14:paraId="40722ABC">
            <w:pPr>
              <w:pStyle w:val="22"/>
              <w:ind w:firstLine="0" w:firstLineChars="0"/>
              <w:jc w:val="center"/>
              <w:rPr>
                <w:rFonts w:ascii="Times New Roman"/>
                <w:szCs w:val="21"/>
              </w:rPr>
            </w:pPr>
            <w:r>
              <w:rPr>
                <w:rFonts w:ascii="Times New Roman"/>
                <w:szCs w:val="21"/>
              </w:rPr>
              <w:t>06C</w:t>
            </w:r>
            <w:r>
              <w:rPr>
                <w:rFonts w:hint="eastAsia" w:ascii="Times New Roman"/>
                <w:szCs w:val="21"/>
              </w:rPr>
              <w:t>r</w:t>
            </w:r>
            <w:r>
              <w:rPr>
                <w:rFonts w:ascii="Times New Roman"/>
                <w:szCs w:val="21"/>
              </w:rPr>
              <w:t>19Ni10</w:t>
            </w:r>
          </w:p>
        </w:tc>
        <w:tc>
          <w:tcPr>
            <w:tcW w:w="1356" w:type="pct"/>
            <w:vAlign w:val="center"/>
          </w:tcPr>
          <w:p w14:paraId="76DE3960">
            <w:pPr>
              <w:pStyle w:val="22"/>
              <w:ind w:firstLine="0" w:firstLineChars="0"/>
              <w:jc w:val="center"/>
              <w:rPr>
                <w:rFonts w:ascii="Times New Roman"/>
                <w:szCs w:val="21"/>
              </w:rPr>
            </w:pPr>
            <w:r>
              <w:rPr>
                <w:rFonts w:hint="eastAsia" w:ascii="Times New Roman"/>
                <w:szCs w:val="21"/>
              </w:rPr>
              <w:t>固溶1</w:t>
            </w:r>
            <w:r>
              <w:rPr>
                <w:rFonts w:ascii="Times New Roman"/>
                <w:szCs w:val="21"/>
              </w:rPr>
              <w:t>010-1150</w:t>
            </w:r>
            <w:r>
              <w:rPr>
                <w:rFonts w:hint="eastAsia" w:ascii="Times New Roman"/>
                <w:szCs w:val="21"/>
              </w:rPr>
              <w:t>℃，水冷或空冷</w:t>
            </w:r>
          </w:p>
        </w:tc>
        <w:tc>
          <w:tcPr>
            <w:tcW w:w="935" w:type="pct"/>
            <w:vAlign w:val="center"/>
          </w:tcPr>
          <w:p w14:paraId="464C08DE">
            <w:pPr>
              <w:pStyle w:val="22"/>
              <w:ind w:firstLine="0" w:firstLineChars="0"/>
              <w:jc w:val="center"/>
              <w:rPr>
                <w:rFonts w:ascii="Times New Roman"/>
                <w:szCs w:val="21"/>
              </w:rPr>
            </w:pPr>
            <w:r>
              <w:rPr>
                <w:rFonts w:hint="eastAsia" w:ascii="Times New Roman"/>
                <w:szCs w:val="21"/>
              </w:rPr>
              <w:t>2</w:t>
            </w:r>
            <w:r>
              <w:rPr>
                <w:rFonts w:ascii="Times New Roman"/>
                <w:szCs w:val="21"/>
              </w:rPr>
              <w:t>05</w:t>
            </w:r>
          </w:p>
        </w:tc>
        <w:tc>
          <w:tcPr>
            <w:tcW w:w="668" w:type="pct"/>
            <w:vAlign w:val="center"/>
          </w:tcPr>
          <w:p w14:paraId="6DFD0330">
            <w:pPr>
              <w:pStyle w:val="22"/>
              <w:ind w:firstLine="0" w:firstLineChars="0"/>
              <w:jc w:val="center"/>
              <w:rPr>
                <w:rFonts w:ascii="Times New Roman"/>
                <w:szCs w:val="21"/>
              </w:rPr>
            </w:pPr>
            <w:r>
              <w:rPr>
                <w:rFonts w:hint="eastAsia" w:ascii="Times New Roman"/>
                <w:szCs w:val="21"/>
              </w:rPr>
              <w:t>5</w:t>
            </w:r>
            <w:r>
              <w:rPr>
                <w:rFonts w:ascii="Times New Roman"/>
                <w:szCs w:val="21"/>
              </w:rPr>
              <w:t>00-700</w:t>
            </w:r>
          </w:p>
        </w:tc>
        <w:tc>
          <w:tcPr>
            <w:tcW w:w="546" w:type="pct"/>
            <w:vAlign w:val="center"/>
          </w:tcPr>
          <w:p w14:paraId="1E7040C6">
            <w:pPr>
              <w:pStyle w:val="22"/>
              <w:ind w:firstLine="0" w:firstLineChars="0"/>
              <w:jc w:val="center"/>
              <w:rPr>
                <w:rFonts w:ascii="Times New Roman"/>
                <w:szCs w:val="21"/>
              </w:rPr>
            </w:pPr>
            <w:r>
              <w:rPr>
                <w:rFonts w:hint="eastAsia" w:ascii="Times New Roman"/>
                <w:szCs w:val="21"/>
              </w:rPr>
              <w:t>4</w:t>
            </w:r>
            <w:r>
              <w:rPr>
                <w:rFonts w:ascii="Times New Roman"/>
                <w:szCs w:val="21"/>
              </w:rPr>
              <w:t>5</w:t>
            </w:r>
          </w:p>
        </w:tc>
        <w:tc>
          <w:tcPr>
            <w:tcW w:w="536" w:type="pct"/>
            <w:vAlign w:val="center"/>
          </w:tcPr>
          <w:p w14:paraId="5371BAFA">
            <w:pPr>
              <w:pStyle w:val="22"/>
              <w:ind w:firstLine="0" w:firstLineChars="0"/>
              <w:jc w:val="center"/>
              <w:rPr>
                <w:rFonts w:ascii="Times New Roman"/>
                <w:szCs w:val="21"/>
              </w:rPr>
            </w:pPr>
            <w:r>
              <w:rPr>
                <w:rFonts w:hint="eastAsia" w:ascii="Times New Roman"/>
                <w:szCs w:val="21"/>
              </w:rPr>
              <w:t>6</w:t>
            </w:r>
            <w:r>
              <w:rPr>
                <w:rFonts w:ascii="Times New Roman"/>
                <w:szCs w:val="21"/>
              </w:rPr>
              <w:t>0</w:t>
            </w:r>
          </w:p>
        </w:tc>
      </w:tr>
      <w:tr w14:paraId="1CAC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6" w:type="pct"/>
            <w:vAlign w:val="center"/>
          </w:tcPr>
          <w:p w14:paraId="5F6FE265">
            <w:pPr>
              <w:pStyle w:val="22"/>
              <w:ind w:firstLine="0" w:firstLineChars="0"/>
              <w:jc w:val="center"/>
              <w:rPr>
                <w:rFonts w:ascii="Times New Roman"/>
                <w:szCs w:val="21"/>
              </w:rPr>
            </w:pPr>
            <w:r>
              <w:rPr>
                <w:rFonts w:ascii="Times New Roman"/>
                <w:szCs w:val="21"/>
              </w:rPr>
              <w:t>022Cr19Ni10</w:t>
            </w:r>
          </w:p>
        </w:tc>
        <w:tc>
          <w:tcPr>
            <w:tcW w:w="1356" w:type="pct"/>
            <w:vAlign w:val="center"/>
          </w:tcPr>
          <w:p w14:paraId="624D15DB">
            <w:pPr>
              <w:pStyle w:val="22"/>
              <w:ind w:firstLine="0" w:firstLineChars="0"/>
              <w:jc w:val="center"/>
              <w:rPr>
                <w:rFonts w:ascii="Times New Roman"/>
                <w:szCs w:val="21"/>
              </w:rPr>
            </w:pPr>
            <w:r>
              <w:rPr>
                <w:rFonts w:hint="eastAsia" w:ascii="Times New Roman"/>
                <w:szCs w:val="21"/>
              </w:rPr>
              <w:t>固溶1</w:t>
            </w:r>
            <w:r>
              <w:rPr>
                <w:rFonts w:ascii="Times New Roman"/>
                <w:szCs w:val="21"/>
              </w:rPr>
              <w:t>010-1150</w:t>
            </w:r>
            <w:r>
              <w:rPr>
                <w:rFonts w:hint="eastAsia" w:ascii="Times New Roman"/>
                <w:szCs w:val="21"/>
              </w:rPr>
              <w:t>℃，水冷或空冷</w:t>
            </w:r>
          </w:p>
        </w:tc>
        <w:tc>
          <w:tcPr>
            <w:tcW w:w="935" w:type="pct"/>
            <w:vAlign w:val="center"/>
          </w:tcPr>
          <w:p w14:paraId="424C523E">
            <w:pPr>
              <w:pStyle w:val="22"/>
              <w:ind w:firstLine="0" w:firstLineChars="0"/>
              <w:jc w:val="center"/>
              <w:rPr>
                <w:rFonts w:ascii="Times New Roman"/>
                <w:szCs w:val="21"/>
              </w:rPr>
            </w:pPr>
            <w:r>
              <w:rPr>
                <w:rFonts w:hint="eastAsia" w:ascii="Times New Roman"/>
                <w:szCs w:val="21"/>
              </w:rPr>
              <w:t>1</w:t>
            </w:r>
            <w:r>
              <w:rPr>
                <w:rFonts w:ascii="Times New Roman"/>
                <w:szCs w:val="21"/>
              </w:rPr>
              <w:t>75</w:t>
            </w:r>
          </w:p>
        </w:tc>
        <w:tc>
          <w:tcPr>
            <w:tcW w:w="668" w:type="pct"/>
            <w:vAlign w:val="center"/>
          </w:tcPr>
          <w:p w14:paraId="04FBECA5">
            <w:pPr>
              <w:pStyle w:val="22"/>
              <w:ind w:firstLine="0" w:firstLineChars="0"/>
              <w:jc w:val="center"/>
              <w:rPr>
                <w:rFonts w:ascii="Times New Roman"/>
                <w:szCs w:val="21"/>
              </w:rPr>
            </w:pPr>
            <w:r>
              <w:rPr>
                <w:rFonts w:hint="eastAsia" w:ascii="Times New Roman"/>
                <w:szCs w:val="21"/>
              </w:rPr>
              <w:t>5</w:t>
            </w:r>
            <w:r>
              <w:rPr>
                <w:rFonts w:ascii="Times New Roman"/>
                <w:szCs w:val="21"/>
              </w:rPr>
              <w:t>00-700</w:t>
            </w:r>
          </w:p>
        </w:tc>
        <w:tc>
          <w:tcPr>
            <w:tcW w:w="546" w:type="pct"/>
            <w:vAlign w:val="center"/>
          </w:tcPr>
          <w:p w14:paraId="4FB21A6E">
            <w:pPr>
              <w:pStyle w:val="22"/>
              <w:ind w:firstLine="0" w:firstLineChars="0"/>
              <w:jc w:val="center"/>
              <w:rPr>
                <w:rFonts w:ascii="Times New Roman"/>
                <w:szCs w:val="21"/>
              </w:rPr>
            </w:pPr>
            <w:r>
              <w:rPr>
                <w:rFonts w:hint="eastAsia" w:ascii="Times New Roman"/>
                <w:szCs w:val="21"/>
              </w:rPr>
              <w:t>4</w:t>
            </w:r>
            <w:r>
              <w:rPr>
                <w:rFonts w:ascii="Times New Roman"/>
                <w:szCs w:val="21"/>
              </w:rPr>
              <w:t>5</w:t>
            </w:r>
          </w:p>
        </w:tc>
        <w:tc>
          <w:tcPr>
            <w:tcW w:w="536" w:type="pct"/>
            <w:vAlign w:val="center"/>
          </w:tcPr>
          <w:p w14:paraId="7EACD968">
            <w:pPr>
              <w:pStyle w:val="22"/>
              <w:ind w:firstLine="0" w:firstLineChars="0"/>
              <w:jc w:val="center"/>
              <w:rPr>
                <w:rFonts w:ascii="Times New Roman"/>
                <w:szCs w:val="21"/>
              </w:rPr>
            </w:pPr>
            <w:r>
              <w:rPr>
                <w:rFonts w:hint="eastAsia" w:ascii="Times New Roman"/>
                <w:szCs w:val="21"/>
              </w:rPr>
              <w:t>6</w:t>
            </w:r>
            <w:r>
              <w:rPr>
                <w:rFonts w:ascii="Times New Roman"/>
                <w:szCs w:val="21"/>
              </w:rPr>
              <w:t>0</w:t>
            </w:r>
          </w:p>
        </w:tc>
      </w:tr>
    </w:tbl>
    <w:p w14:paraId="1193B40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　交货状态为非固溶态时，交货硬度≤235HB（检测芯部中心区域硬度）。交货硬度的判定以平均值为准。</w:t>
      </w:r>
    </w:p>
    <w:p w14:paraId="22877F1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　低倍组织</w:t>
      </w:r>
    </w:p>
    <w:p w14:paraId="7F8FD04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银亮钢</w:t>
      </w:r>
      <w:r>
        <w:rPr>
          <w:rFonts w:hint="eastAsia" w:ascii="Times New Roman" w:hAnsi="Times New Roman" w:eastAsia="仿宋_GB2312" w:cs="Times New Roman"/>
          <w:sz w:val="28"/>
          <w:szCs w:val="28"/>
        </w:rPr>
        <w:t>的低倍组织按照GB/T 226的规定的方法进行检验，所制样品的横截面酸侵低倍试片上，不得有肉眼可见的缩孔残余、气泡、翻皮、夹杂、裂纹及白点。酸浸低倍组织合格级别应符合表4的规定</w:t>
      </w:r>
    </w:p>
    <w:p w14:paraId="27A73B57">
      <w:pPr>
        <w:spacing w:line="560" w:lineRule="exact"/>
        <w:ind w:firstLine="0" w:firstLineChars="0"/>
        <w:contextualSpacing/>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表4　低倍组织合格级别</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2167"/>
        <w:gridCol w:w="2168"/>
        <w:gridCol w:w="2168"/>
      </w:tblGrid>
      <w:tr w14:paraId="7F73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Align w:val="center"/>
          </w:tcPr>
          <w:p w14:paraId="4A667ABD">
            <w:pPr>
              <w:spacing w:line="240" w:lineRule="auto"/>
              <w:ind w:firstLine="0" w:firstLineChars="0"/>
              <w:jc w:val="center"/>
              <w:rPr>
                <w:sz w:val="21"/>
                <w:szCs w:val="21"/>
              </w:rPr>
            </w:pPr>
            <w:r>
              <w:rPr>
                <w:rFonts w:hint="eastAsia"/>
                <w:sz w:val="21"/>
                <w:szCs w:val="21"/>
              </w:rPr>
              <w:t>牌号</w:t>
            </w:r>
          </w:p>
        </w:tc>
        <w:tc>
          <w:tcPr>
            <w:tcW w:w="2167" w:type="dxa"/>
            <w:vAlign w:val="center"/>
          </w:tcPr>
          <w:p w14:paraId="587F73C9">
            <w:pPr>
              <w:spacing w:line="240" w:lineRule="auto"/>
              <w:ind w:left="363" w:hanging="181" w:firstLineChars="0"/>
              <w:jc w:val="center"/>
              <w:rPr>
                <w:sz w:val="21"/>
                <w:szCs w:val="21"/>
              </w:rPr>
            </w:pPr>
            <w:r>
              <w:rPr>
                <w:sz w:val="21"/>
                <w:szCs w:val="21"/>
              </w:rPr>
              <w:t>一般疏松</w:t>
            </w:r>
          </w:p>
        </w:tc>
        <w:tc>
          <w:tcPr>
            <w:tcW w:w="2168" w:type="dxa"/>
            <w:vAlign w:val="center"/>
          </w:tcPr>
          <w:p w14:paraId="2C89C422">
            <w:pPr>
              <w:spacing w:line="240" w:lineRule="auto"/>
              <w:ind w:left="363" w:hanging="181" w:firstLineChars="0"/>
              <w:jc w:val="center"/>
              <w:rPr>
                <w:sz w:val="21"/>
                <w:szCs w:val="21"/>
              </w:rPr>
            </w:pPr>
            <w:r>
              <w:rPr>
                <w:sz w:val="21"/>
                <w:szCs w:val="21"/>
              </w:rPr>
              <w:t>中心疏松</w:t>
            </w:r>
          </w:p>
        </w:tc>
        <w:tc>
          <w:tcPr>
            <w:tcW w:w="2168" w:type="dxa"/>
            <w:vAlign w:val="center"/>
          </w:tcPr>
          <w:p w14:paraId="3C360539">
            <w:pPr>
              <w:spacing w:line="240" w:lineRule="auto"/>
              <w:ind w:left="363" w:hanging="181" w:firstLineChars="0"/>
              <w:jc w:val="center"/>
              <w:rPr>
                <w:sz w:val="21"/>
                <w:szCs w:val="21"/>
              </w:rPr>
            </w:pPr>
            <w:r>
              <w:rPr>
                <w:sz w:val="21"/>
                <w:szCs w:val="21"/>
              </w:rPr>
              <w:t>锭型偏析</w:t>
            </w:r>
          </w:p>
        </w:tc>
      </w:tr>
      <w:tr w14:paraId="68F6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0113B675">
            <w:pPr>
              <w:spacing w:line="240" w:lineRule="auto"/>
              <w:ind w:firstLine="0" w:firstLineChars="0"/>
              <w:jc w:val="center"/>
              <w:rPr>
                <w:sz w:val="21"/>
                <w:szCs w:val="21"/>
              </w:rPr>
            </w:pPr>
            <w:r>
              <w:rPr>
                <w:sz w:val="21"/>
                <w:szCs w:val="21"/>
              </w:rPr>
              <w:t>06Cr19Ni10</w:t>
            </w:r>
          </w:p>
        </w:tc>
        <w:tc>
          <w:tcPr>
            <w:tcW w:w="2167" w:type="dxa"/>
            <w:vAlign w:val="center"/>
          </w:tcPr>
          <w:p w14:paraId="6C4B696A">
            <w:pPr>
              <w:spacing w:line="240" w:lineRule="auto"/>
              <w:ind w:firstLine="0" w:firstLineChars="0"/>
              <w:jc w:val="center"/>
              <w:rPr>
                <w:sz w:val="21"/>
                <w:szCs w:val="21"/>
              </w:rPr>
            </w:pPr>
            <w:r>
              <w:rPr>
                <w:sz w:val="21"/>
                <w:szCs w:val="21"/>
              </w:rPr>
              <w:t>≤2.0级</w:t>
            </w:r>
          </w:p>
        </w:tc>
        <w:tc>
          <w:tcPr>
            <w:tcW w:w="2168" w:type="dxa"/>
            <w:vAlign w:val="center"/>
          </w:tcPr>
          <w:p w14:paraId="2417E938">
            <w:pPr>
              <w:spacing w:line="240" w:lineRule="auto"/>
              <w:ind w:firstLine="0" w:firstLineChars="0"/>
              <w:jc w:val="center"/>
              <w:rPr>
                <w:sz w:val="21"/>
                <w:szCs w:val="21"/>
              </w:rPr>
            </w:pPr>
            <w:r>
              <w:rPr>
                <w:sz w:val="21"/>
                <w:szCs w:val="21"/>
              </w:rPr>
              <w:t>≤2.0级</w:t>
            </w:r>
          </w:p>
        </w:tc>
        <w:tc>
          <w:tcPr>
            <w:tcW w:w="2168" w:type="dxa"/>
            <w:vAlign w:val="center"/>
          </w:tcPr>
          <w:p w14:paraId="445AC2F7">
            <w:pPr>
              <w:spacing w:line="240" w:lineRule="auto"/>
              <w:ind w:firstLine="0" w:firstLineChars="0"/>
              <w:jc w:val="center"/>
              <w:rPr>
                <w:sz w:val="21"/>
                <w:szCs w:val="21"/>
              </w:rPr>
            </w:pPr>
            <w:r>
              <w:rPr>
                <w:sz w:val="21"/>
                <w:szCs w:val="21"/>
              </w:rPr>
              <w:t>≤2.0级</w:t>
            </w:r>
          </w:p>
        </w:tc>
      </w:tr>
      <w:tr w14:paraId="6FD9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4BB5C2CA">
            <w:pPr>
              <w:spacing w:line="240" w:lineRule="auto"/>
              <w:ind w:firstLine="0" w:firstLineChars="0"/>
              <w:jc w:val="center"/>
              <w:rPr>
                <w:sz w:val="21"/>
                <w:szCs w:val="21"/>
              </w:rPr>
            </w:pPr>
            <w:r>
              <w:rPr>
                <w:sz w:val="21"/>
                <w:szCs w:val="21"/>
              </w:rPr>
              <w:t>022Cr19Ni10</w:t>
            </w:r>
          </w:p>
        </w:tc>
        <w:tc>
          <w:tcPr>
            <w:tcW w:w="2167" w:type="dxa"/>
            <w:vAlign w:val="center"/>
          </w:tcPr>
          <w:p w14:paraId="16FEAC55">
            <w:pPr>
              <w:spacing w:line="240" w:lineRule="auto"/>
              <w:ind w:firstLine="0" w:firstLineChars="0"/>
              <w:jc w:val="center"/>
              <w:rPr>
                <w:sz w:val="21"/>
                <w:szCs w:val="21"/>
              </w:rPr>
            </w:pPr>
            <w:r>
              <w:rPr>
                <w:sz w:val="21"/>
                <w:szCs w:val="21"/>
              </w:rPr>
              <w:t>≤2.0级</w:t>
            </w:r>
          </w:p>
        </w:tc>
        <w:tc>
          <w:tcPr>
            <w:tcW w:w="2168" w:type="dxa"/>
            <w:vAlign w:val="center"/>
          </w:tcPr>
          <w:p w14:paraId="4325F067">
            <w:pPr>
              <w:spacing w:line="240" w:lineRule="auto"/>
              <w:ind w:firstLine="0" w:firstLineChars="0"/>
              <w:jc w:val="center"/>
              <w:rPr>
                <w:sz w:val="21"/>
                <w:szCs w:val="21"/>
              </w:rPr>
            </w:pPr>
            <w:r>
              <w:rPr>
                <w:sz w:val="21"/>
                <w:szCs w:val="21"/>
              </w:rPr>
              <w:t>≤2.0级</w:t>
            </w:r>
          </w:p>
        </w:tc>
        <w:tc>
          <w:tcPr>
            <w:tcW w:w="2168" w:type="dxa"/>
            <w:vAlign w:val="center"/>
          </w:tcPr>
          <w:p w14:paraId="218469C0">
            <w:pPr>
              <w:spacing w:line="240" w:lineRule="auto"/>
              <w:ind w:firstLine="0" w:firstLineChars="0"/>
              <w:jc w:val="center"/>
              <w:rPr>
                <w:sz w:val="21"/>
                <w:szCs w:val="21"/>
              </w:rPr>
            </w:pPr>
            <w:r>
              <w:rPr>
                <w:sz w:val="21"/>
                <w:szCs w:val="21"/>
              </w:rPr>
              <w:t>≤2.0级</w:t>
            </w:r>
          </w:p>
        </w:tc>
      </w:tr>
    </w:tbl>
    <w:p w14:paraId="66EFCB7A">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　顶锻</w:t>
      </w:r>
    </w:p>
    <w:p w14:paraId="64AFC3A7">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银亮钢</w:t>
      </w:r>
      <w:r>
        <w:rPr>
          <w:rFonts w:hint="eastAsia" w:ascii="Times New Roman" w:hAnsi="Times New Roman" w:eastAsia="仿宋_GB2312" w:cs="Times New Roman"/>
          <w:sz w:val="28"/>
          <w:szCs w:val="28"/>
        </w:rPr>
        <w:t>应进行热顶锻试验。热顶锻试验按GB/T 233进行。取长度150mm棒材进行热顶锻试验，试样锻至原高度的三分之一，顶锻后的试样上不得有裂口、裂纹和折叠。若供方能保证热顶锻要求，可以不作热顶锻检验，质量保证书中填写热顶锻“合格”。热顶锻加热温度为1050-1250℃。</w:t>
      </w:r>
    </w:p>
    <w:p w14:paraId="36885460">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　非金属夹杂物</w:t>
      </w:r>
    </w:p>
    <w:p w14:paraId="52EBD020">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银亮钢的非金属夹杂物按GB/T 10561中A法评定，级别应符合表5的规定。同一视场不得有两种夹杂达到最大级别。</w:t>
      </w:r>
    </w:p>
    <w:p w14:paraId="734318D3">
      <w:pPr>
        <w:spacing w:line="560" w:lineRule="exact"/>
        <w:ind w:firstLine="0" w:firstLineChars="0"/>
        <w:contextualSpacing/>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表5　非金属夹杂物合格级别</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814"/>
        <w:gridCol w:w="815"/>
        <w:gridCol w:w="815"/>
        <w:gridCol w:w="816"/>
        <w:gridCol w:w="815"/>
        <w:gridCol w:w="816"/>
        <w:gridCol w:w="815"/>
        <w:gridCol w:w="816"/>
        <w:gridCol w:w="670"/>
      </w:tblGrid>
      <w:tr w14:paraId="03C6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Merge w:val="restart"/>
            <w:vAlign w:val="center"/>
          </w:tcPr>
          <w:p w14:paraId="1199BBD4">
            <w:pPr>
              <w:spacing w:line="240" w:lineRule="auto"/>
              <w:ind w:firstLine="0" w:firstLineChars="0"/>
              <w:jc w:val="center"/>
              <w:rPr>
                <w:sz w:val="21"/>
                <w:szCs w:val="21"/>
              </w:rPr>
            </w:pPr>
            <w:r>
              <w:rPr>
                <w:sz w:val="21"/>
                <w:szCs w:val="21"/>
              </w:rPr>
              <w:t>牌号</w:t>
            </w:r>
          </w:p>
        </w:tc>
        <w:tc>
          <w:tcPr>
            <w:tcW w:w="984" w:type="pct"/>
            <w:gridSpan w:val="2"/>
            <w:vAlign w:val="center"/>
          </w:tcPr>
          <w:p w14:paraId="51C780BE">
            <w:pPr>
              <w:spacing w:line="240" w:lineRule="auto"/>
              <w:ind w:firstLine="0" w:firstLineChars="0"/>
              <w:jc w:val="center"/>
              <w:rPr>
                <w:sz w:val="21"/>
                <w:szCs w:val="21"/>
              </w:rPr>
            </w:pPr>
            <w:r>
              <w:rPr>
                <w:sz w:val="21"/>
                <w:szCs w:val="21"/>
              </w:rPr>
              <w:t>A</w:t>
            </w:r>
          </w:p>
        </w:tc>
        <w:tc>
          <w:tcPr>
            <w:tcW w:w="985" w:type="pct"/>
            <w:gridSpan w:val="2"/>
            <w:vAlign w:val="center"/>
          </w:tcPr>
          <w:p w14:paraId="6DA2D2DC">
            <w:pPr>
              <w:spacing w:line="240" w:lineRule="auto"/>
              <w:ind w:firstLine="0" w:firstLineChars="0"/>
              <w:jc w:val="center"/>
              <w:rPr>
                <w:sz w:val="21"/>
                <w:szCs w:val="21"/>
              </w:rPr>
            </w:pPr>
            <w:r>
              <w:rPr>
                <w:sz w:val="21"/>
                <w:szCs w:val="21"/>
              </w:rPr>
              <w:t>B</w:t>
            </w:r>
          </w:p>
        </w:tc>
        <w:tc>
          <w:tcPr>
            <w:tcW w:w="985" w:type="pct"/>
            <w:gridSpan w:val="2"/>
            <w:vAlign w:val="center"/>
          </w:tcPr>
          <w:p w14:paraId="1A8039F6">
            <w:pPr>
              <w:spacing w:line="240" w:lineRule="auto"/>
              <w:ind w:firstLine="0" w:firstLineChars="0"/>
              <w:jc w:val="center"/>
              <w:rPr>
                <w:sz w:val="21"/>
                <w:szCs w:val="21"/>
              </w:rPr>
            </w:pPr>
            <w:r>
              <w:rPr>
                <w:sz w:val="21"/>
                <w:szCs w:val="21"/>
              </w:rPr>
              <w:t>C</w:t>
            </w:r>
          </w:p>
        </w:tc>
        <w:tc>
          <w:tcPr>
            <w:tcW w:w="985" w:type="pct"/>
            <w:gridSpan w:val="2"/>
            <w:vAlign w:val="center"/>
          </w:tcPr>
          <w:p w14:paraId="443C458B">
            <w:pPr>
              <w:spacing w:line="240" w:lineRule="auto"/>
              <w:ind w:firstLine="0" w:firstLineChars="0"/>
              <w:jc w:val="center"/>
              <w:rPr>
                <w:sz w:val="21"/>
                <w:szCs w:val="21"/>
              </w:rPr>
            </w:pPr>
            <w:r>
              <w:rPr>
                <w:sz w:val="21"/>
                <w:szCs w:val="21"/>
              </w:rPr>
              <w:t>D</w:t>
            </w:r>
          </w:p>
        </w:tc>
        <w:tc>
          <w:tcPr>
            <w:tcW w:w="407" w:type="pct"/>
            <w:vMerge w:val="restart"/>
            <w:vAlign w:val="center"/>
          </w:tcPr>
          <w:p w14:paraId="5744C1A8">
            <w:pPr>
              <w:spacing w:line="240" w:lineRule="auto"/>
              <w:ind w:firstLine="0" w:firstLineChars="0"/>
              <w:jc w:val="center"/>
              <w:rPr>
                <w:sz w:val="21"/>
                <w:szCs w:val="21"/>
              </w:rPr>
            </w:pPr>
            <w:r>
              <w:rPr>
                <w:sz w:val="21"/>
                <w:szCs w:val="21"/>
              </w:rPr>
              <w:t>DS</w:t>
            </w:r>
          </w:p>
        </w:tc>
      </w:tr>
      <w:tr w14:paraId="44E3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Merge w:val="continue"/>
            <w:vAlign w:val="center"/>
          </w:tcPr>
          <w:p w14:paraId="65C21801">
            <w:pPr>
              <w:spacing w:line="240" w:lineRule="auto"/>
              <w:ind w:firstLine="0" w:firstLineChars="0"/>
              <w:jc w:val="center"/>
              <w:rPr>
                <w:sz w:val="21"/>
                <w:szCs w:val="21"/>
              </w:rPr>
            </w:pPr>
          </w:p>
        </w:tc>
        <w:tc>
          <w:tcPr>
            <w:tcW w:w="492" w:type="pct"/>
            <w:vAlign w:val="center"/>
          </w:tcPr>
          <w:p w14:paraId="621FDE90">
            <w:pPr>
              <w:spacing w:line="240" w:lineRule="auto"/>
              <w:ind w:firstLine="0" w:firstLineChars="0"/>
              <w:jc w:val="center"/>
              <w:rPr>
                <w:sz w:val="21"/>
                <w:szCs w:val="21"/>
              </w:rPr>
            </w:pPr>
            <w:r>
              <w:rPr>
                <w:sz w:val="21"/>
                <w:szCs w:val="21"/>
              </w:rPr>
              <w:t>细系</w:t>
            </w:r>
          </w:p>
        </w:tc>
        <w:tc>
          <w:tcPr>
            <w:tcW w:w="492" w:type="pct"/>
            <w:vAlign w:val="center"/>
          </w:tcPr>
          <w:p w14:paraId="7BAA3258">
            <w:pPr>
              <w:spacing w:line="240" w:lineRule="auto"/>
              <w:ind w:firstLine="0" w:firstLineChars="0"/>
              <w:jc w:val="center"/>
              <w:rPr>
                <w:sz w:val="21"/>
                <w:szCs w:val="21"/>
              </w:rPr>
            </w:pPr>
            <w:r>
              <w:rPr>
                <w:sz w:val="21"/>
                <w:szCs w:val="21"/>
              </w:rPr>
              <w:t>粗系</w:t>
            </w:r>
          </w:p>
        </w:tc>
        <w:tc>
          <w:tcPr>
            <w:tcW w:w="492" w:type="pct"/>
            <w:vAlign w:val="center"/>
          </w:tcPr>
          <w:p w14:paraId="4B5A59B9">
            <w:pPr>
              <w:spacing w:line="240" w:lineRule="auto"/>
              <w:ind w:firstLine="0" w:firstLineChars="0"/>
              <w:jc w:val="center"/>
              <w:rPr>
                <w:sz w:val="21"/>
                <w:szCs w:val="21"/>
              </w:rPr>
            </w:pPr>
            <w:r>
              <w:rPr>
                <w:sz w:val="21"/>
                <w:szCs w:val="21"/>
              </w:rPr>
              <w:t>细系</w:t>
            </w:r>
          </w:p>
        </w:tc>
        <w:tc>
          <w:tcPr>
            <w:tcW w:w="493" w:type="pct"/>
            <w:vAlign w:val="center"/>
          </w:tcPr>
          <w:p w14:paraId="6430DC81">
            <w:pPr>
              <w:spacing w:line="240" w:lineRule="auto"/>
              <w:ind w:firstLine="0" w:firstLineChars="0"/>
              <w:jc w:val="center"/>
              <w:rPr>
                <w:sz w:val="21"/>
                <w:szCs w:val="21"/>
              </w:rPr>
            </w:pPr>
            <w:r>
              <w:rPr>
                <w:sz w:val="21"/>
                <w:szCs w:val="21"/>
              </w:rPr>
              <w:t>粗系</w:t>
            </w:r>
          </w:p>
        </w:tc>
        <w:tc>
          <w:tcPr>
            <w:tcW w:w="492" w:type="pct"/>
            <w:vAlign w:val="center"/>
          </w:tcPr>
          <w:p w14:paraId="418839F3">
            <w:pPr>
              <w:spacing w:line="240" w:lineRule="auto"/>
              <w:ind w:firstLine="0" w:firstLineChars="0"/>
              <w:jc w:val="center"/>
              <w:rPr>
                <w:sz w:val="21"/>
                <w:szCs w:val="21"/>
              </w:rPr>
            </w:pPr>
            <w:r>
              <w:rPr>
                <w:sz w:val="21"/>
                <w:szCs w:val="21"/>
              </w:rPr>
              <w:t>细系</w:t>
            </w:r>
          </w:p>
        </w:tc>
        <w:tc>
          <w:tcPr>
            <w:tcW w:w="493" w:type="pct"/>
            <w:vAlign w:val="center"/>
          </w:tcPr>
          <w:p w14:paraId="2223E723">
            <w:pPr>
              <w:spacing w:line="240" w:lineRule="auto"/>
              <w:ind w:firstLine="0" w:firstLineChars="0"/>
              <w:jc w:val="center"/>
              <w:rPr>
                <w:sz w:val="21"/>
                <w:szCs w:val="21"/>
              </w:rPr>
            </w:pPr>
            <w:r>
              <w:rPr>
                <w:sz w:val="21"/>
                <w:szCs w:val="21"/>
              </w:rPr>
              <w:t>粗系</w:t>
            </w:r>
          </w:p>
        </w:tc>
        <w:tc>
          <w:tcPr>
            <w:tcW w:w="492" w:type="pct"/>
            <w:vAlign w:val="center"/>
          </w:tcPr>
          <w:p w14:paraId="5666E49C">
            <w:pPr>
              <w:spacing w:line="240" w:lineRule="auto"/>
              <w:ind w:firstLine="0" w:firstLineChars="0"/>
              <w:jc w:val="center"/>
              <w:rPr>
                <w:sz w:val="21"/>
                <w:szCs w:val="21"/>
              </w:rPr>
            </w:pPr>
            <w:r>
              <w:rPr>
                <w:sz w:val="21"/>
                <w:szCs w:val="21"/>
              </w:rPr>
              <w:t>细系</w:t>
            </w:r>
          </w:p>
        </w:tc>
        <w:tc>
          <w:tcPr>
            <w:tcW w:w="493" w:type="pct"/>
            <w:vAlign w:val="center"/>
          </w:tcPr>
          <w:p w14:paraId="445D05AB">
            <w:pPr>
              <w:spacing w:line="240" w:lineRule="auto"/>
              <w:ind w:firstLine="0" w:firstLineChars="0"/>
              <w:jc w:val="center"/>
              <w:rPr>
                <w:sz w:val="21"/>
                <w:szCs w:val="21"/>
              </w:rPr>
            </w:pPr>
            <w:r>
              <w:rPr>
                <w:sz w:val="21"/>
                <w:szCs w:val="21"/>
              </w:rPr>
              <w:t>粗系</w:t>
            </w:r>
          </w:p>
        </w:tc>
        <w:tc>
          <w:tcPr>
            <w:tcW w:w="407" w:type="pct"/>
            <w:vMerge w:val="continue"/>
            <w:vAlign w:val="center"/>
          </w:tcPr>
          <w:p w14:paraId="3FAF5886">
            <w:pPr>
              <w:spacing w:line="240" w:lineRule="auto"/>
              <w:ind w:hanging="181" w:firstLineChars="0"/>
              <w:jc w:val="center"/>
              <w:rPr>
                <w:sz w:val="21"/>
                <w:szCs w:val="21"/>
              </w:rPr>
            </w:pPr>
          </w:p>
        </w:tc>
      </w:tr>
      <w:tr w14:paraId="1A17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tcPr>
          <w:p w14:paraId="7420E43B">
            <w:pPr>
              <w:spacing w:line="240" w:lineRule="auto"/>
              <w:ind w:firstLine="0" w:firstLineChars="0"/>
              <w:jc w:val="center"/>
              <w:rPr>
                <w:sz w:val="21"/>
                <w:szCs w:val="21"/>
              </w:rPr>
            </w:pPr>
            <w:r>
              <w:rPr>
                <w:sz w:val="21"/>
                <w:szCs w:val="21"/>
              </w:rPr>
              <w:t>06Cr19Ni10</w:t>
            </w:r>
          </w:p>
        </w:tc>
        <w:tc>
          <w:tcPr>
            <w:tcW w:w="492" w:type="pct"/>
            <w:vAlign w:val="center"/>
          </w:tcPr>
          <w:p w14:paraId="2CE0971B">
            <w:pPr>
              <w:spacing w:line="240" w:lineRule="auto"/>
              <w:ind w:firstLine="0" w:firstLineChars="0"/>
              <w:jc w:val="center"/>
              <w:rPr>
                <w:sz w:val="21"/>
                <w:szCs w:val="21"/>
              </w:rPr>
            </w:pPr>
            <w:r>
              <w:rPr>
                <w:rFonts w:hint="eastAsia"/>
                <w:sz w:val="21"/>
                <w:szCs w:val="21"/>
              </w:rPr>
              <w:t>1</w:t>
            </w:r>
            <w:r>
              <w:rPr>
                <w:sz w:val="21"/>
                <w:szCs w:val="21"/>
              </w:rPr>
              <w:t>.5</w:t>
            </w:r>
          </w:p>
        </w:tc>
        <w:tc>
          <w:tcPr>
            <w:tcW w:w="492" w:type="pct"/>
            <w:vAlign w:val="center"/>
          </w:tcPr>
          <w:p w14:paraId="3F11C166">
            <w:pPr>
              <w:spacing w:line="240" w:lineRule="auto"/>
              <w:ind w:firstLine="0" w:firstLineChars="0"/>
              <w:jc w:val="center"/>
              <w:rPr>
                <w:sz w:val="21"/>
                <w:szCs w:val="21"/>
              </w:rPr>
            </w:pPr>
            <w:r>
              <w:rPr>
                <w:rFonts w:hint="eastAsia"/>
                <w:sz w:val="21"/>
                <w:szCs w:val="21"/>
              </w:rPr>
              <w:t>1</w:t>
            </w:r>
            <w:r>
              <w:rPr>
                <w:sz w:val="21"/>
                <w:szCs w:val="21"/>
              </w:rPr>
              <w:t>.5</w:t>
            </w:r>
          </w:p>
        </w:tc>
        <w:tc>
          <w:tcPr>
            <w:tcW w:w="492" w:type="pct"/>
            <w:vAlign w:val="center"/>
          </w:tcPr>
          <w:p w14:paraId="273530AF">
            <w:pPr>
              <w:spacing w:line="240" w:lineRule="auto"/>
              <w:ind w:firstLine="0" w:firstLineChars="0"/>
              <w:jc w:val="center"/>
              <w:rPr>
                <w:sz w:val="21"/>
                <w:szCs w:val="21"/>
              </w:rPr>
            </w:pPr>
            <w:r>
              <w:rPr>
                <w:rFonts w:hint="eastAsia"/>
                <w:sz w:val="21"/>
                <w:szCs w:val="21"/>
              </w:rPr>
              <w:t>1</w:t>
            </w:r>
            <w:r>
              <w:rPr>
                <w:sz w:val="21"/>
                <w:szCs w:val="21"/>
              </w:rPr>
              <w:t>.5</w:t>
            </w:r>
          </w:p>
        </w:tc>
        <w:tc>
          <w:tcPr>
            <w:tcW w:w="493" w:type="pct"/>
            <w:vAlign w:val="center"/>
          </w:tcPr>
          <w:p w14:paraId="3E99801E">
            <w:pPr>
              <w:spacing w:line="240" w:lineRule="auto"/>
              <w:ind w:firstLine="0" w:firstLineChars="0"/>
              <w:jc w:val="center"/>
              <w:rPr>
                <w:sz w:val="21"/>
                <w:szCs w:val="21"/>
              </w:rPr>
            </w:pPr>
            <w:r>
              <w:rPr>
                <w:rFonts w:hint="eastAsia"/>
                <w:sz w:val="21"/>
                <w:szCs w:val="21"/>
              </w:rPr>
              <w:t>1</w:t>
            </w:r>
            <w:r>
              <w:rPr>
                <w:sz w:val="21"/>
                <w:szCs w:val="21"/>
              </w:rPr>
              <w:t>.5</w:t>
            </w:r>
          </w:p>
        </w:tc>
        <w:tc>
          <w:tcPr>
            <w:tcW w:w="492" w:type="pct"/>
            <w:vAlign w:val="center"/>
          </w:tcPr>
          <w:p w14:paraId="21D4D0DF">
            <w:pPr>
              <w:spacing w:line="240" w:lineRule="auto"/>
              <w:ind w:firstLine="0" w:firstLineChars="0"/>
              <w:jc w:val="center"/>
              <w:rPr>
                <w:sz w:val="21"/>
                <w:szCs w:val="21"/>
              </w:rPr>
            </w:pPr>
            <w:r>
              <w:rPr>
                <w:rFonts w:hint="eastAsia"/>
                <w:sz w:val="21"/>
                <w:szCs w:val="21"/>
              </w:rPr>
              <w:t>1</w:t>
            </w:r>
            <w:r>
              <w:rPr>
                <w:sz w:val="21"/>
                <w:szCs w:val="21"/>
              </w:rPr>
              <w:t>.5</w:t>
            </w:r>
          </w:p>
        </w:tc>
        <w:tc>
          <w:tcPr>
            <w:tcW w:w="493" w:type="pct"/>
            <w:vAlign w:val="center"/>
          </w:tcPr>
          <w:p w14:paraId="7C5DC9E8">
            <w:pPr>
              <w:spacing w:line="240" w:lineRule="auto"/>
              <w:ind w:firstLine="0" w:firstLineChars="0"/>
              <w:jc w:val="center"/>
              <w:rPr>
                <w:sz w:val="21"/>
                <w:szCs w:val="21"/>
              </w:rPr>
            </w:pPr>
            <w:r>
              <w:rPr>
                <w:rFonts w:hint="eastAsia"/>
                <w:sz w:val="21"/>
                <w:szCs w:val="21"/>
              </w:rPr>
              <w:t>1</w:t>
            </w:r>
            <w:r>
              <w:rPr>
                <w:sz w:val="21"/>
                <w:szCs w:val="21"/>
              </w:rPr>
              <w:t>.5</w:t>
            </w:r>
          </w:p>
        </w:tc>
        <w:tc>
          <w:tcPr>
            <w:tcW w:w="492" w:type="pct"/>
            <w:vAlign w:val="center"/>
          </w:tcPr>
          <w:p w14:paraId="3517D3C0">
            <w:pPr>
              <w:spacing w:line="240" w:lineRule="auto"/>
              <w:ind w:firstLine="0" w:firstLineChars="0"/>
              <w:jc w:val="center"/>
              <w:rPr>
                <w:sz w:val="21"/>
                <w:szCs w:val="21"/>
              </w:rPr>
            </w:pPr>
            <w:r>
              <w:rPr>
                <w:rFonts w:hint="eastAsia"/>
                <w:sz w:val="21"/>
                <w:szCs w:val="21"/>
              </w:rPr>
              <w:t>1</w:t>
            </w:r>
            <w:r>
              <w:rPr>
                <w:sz w:val="21"/>
                <w:szCs w:val="21"/>
              </w:rPr>
              <w:t>.5</w:t>
            </w:r>
          </w:p>
        </w:tc>
        <w:tc>
          <w:tcPr>
            <w:tcW w:w="493" w:type="pct"/>
            <w:vAlign w:val="center"/>
          </w:tcPr>
          <w:p w14:paraId="6E233A00">
            <w:pPr>
              <w:spacing w:line="240" w:lineRule="auto"/>
              <w:ind w:firstLine="0" w:firstLineChars="0"/>
              <w:jc w:val="center"/>
              <w:rPr>
                <w:sz w:val="21"/>
                <w:szCs w:val="21"/>
              </w:rPr>
            </w:pPr>
            <w:r>
              <w:rPr>
                <w:rFonts w:hint="eastAsia"/>
                <w:sz w:val="21"/>
                <w:szCs w:val="21"/>
              </w:rPr>
              <w:t>1</w:t>
            </w:r>
            <w:r>
              <w:rPr>
                <w:sz w:val="21"/>
                <w:szCs w:val="21"/>
              </w:rPr>
              <w:t>.5</w:t>
            </w:r>
          </w:p>
        </w:tc>
        <w:tc>
          <w:tcPr>
            <w:tcW w:w="407" w:type="pct"/>
            <w:vAlign w:val="center"/>
          </w:tcPr>
          <w:p w14:paraId="5874F641">
            <w:pPr>
              <w:spacing w:line="240" w:lineRule="auto"/>
              <w:ind w:firstLine="0" w:firstLineChars="0"/>
              <w:jc w:val="center"/>
              <w:rPr>
                <w:sz w:val="21"/>
                <w:szCs w:val="21"/>
              </w:rPr>
            </w:pPr>
            <w:r>
              <w:rPr>
                <w:rFonts w:hint="eastAsia"/>
                <w:sz w:val="21"/>
                <w:szCs w:val="21"/>
              </w:rPr>
              <w:t>1</w:t>
            </w:r>
            <w:r>
              <w:rPr>
                <w:sz w:val="21"/>
                <w:szCs w:val="21"/>
              </w:rPr>
              <w:t>.5</w:t>
            </w:r>
          </w:p>
        </w:tc>
      </w:tr>
      <w:tr w14:paraId="30C9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tcPr>
          <w:p w14:paraId="2469B23A">
            <w:pPr>
              <w:spacing w:line="240" w:lineRule="auto"/>
              <w:ind w:firstLine="0" w:firstLineChars="0"/>
              <w:jc w:val="center"/>
              <w:rPr>
                <w:sz w:val="21"/>
                <w:szCs w:val="21"/>
              </w:rPr>
            </w:pPr>
            <w:r>
              <w:rPr>
                <w:sz w:val="21"/>
                <w:szCs w:val="21"/>
              </w:rPr>
              <w:t>022Cr19Ni10</w:t>
            </w:r>
          </w:p>
        </w:tc>
        <w:tc>
          <w:tcPr>
            <w:tcW w:w="492" w:type="pct"/>
            <w:vAlign w:val="center"/>
          </w:tcPr>
          <w:p w14:paraId="05E72EC5">
            <w:pPr>
              <w:spacing w:line="240" w:lineRule="auto"/>
              <w:ind w:firstLine="0" w:firstLineChars="0"/>
              <w:jc w:val="center"/>
              <w:rPr>
                <w:sz w:val="21"/>
                <w:szCs w:val="21"/>
              </w:rPr>
            </w:pPr>
            <w:r>
              <w:rPr>
                <w:rFonts w:hint="eastAsia"/>
                <w:sz w:val="21"/>
                <w:szCs w:val="21"/>
              </w:rPr>
              <w:t>1</w:t>
            </w:r>
            <w:r>
              <w:rPr>
                <w:sz w:val="21"/>
                <w:szCs w:val="21"/>
              </w:rPr>
              <w:t>.5</w:t>
            </w:r>
          </w:p>
        </w:tc>
        <w:tc>
          <w:tcPr>
            <w:tcW w:w="492" w:type="pct"/>
            <w:vAlign w:val="center"/>
          </w:tcPr>
          <w:p w14:paraId="10F9EAED">
            <w:pPr>
              <w:spacing w:line="240" w:lineRule="auto"/>
              <w:ind w:firstLine="0" w:firstLineChars="0"/>
              <w:jc w:val="center"/>
              <w:rPr>
                <w:sz w:val="21"/>
                <w:szCs w:val="21"/>
              </w:rPr>
            </w:pPr>
            <w:r>
              <w:rPr>
                <w:rFonts w:hint="eastAsia"/>
                <w:sz w:val="21"/>
                <w:szCs w:val="21"/>
              </w:rPr>
              <w:t>1</w:t>
            </w:r>
            <w:r>
              <w:rPr>
                <w:sz w:val="21"/>
                <w:szCs w:val="21"/>
              </w:rPr>
              <w:t>.5</w:t>
            </w:r>
          </w:p>
        </w:tc>
        <w:tc>
          <w:tcPr>
            <w:tcW w:w="492" w:type="pct"/>
            <w:vAlign w:val="center"/>
          </w:tcPr>
          <w:p w14:paraId="5EB631C8">
            <w:pPr>
              <w:spacing w:line="240" w:lineRule="auto"/>
              <w:ind w:firstLine="0" w:firstLineChars="0"/>
              <w:jc w:val="center"/>
              <w:rPr>
                <w:sz w:val="21"/>
                <w:szCs w:val="21"/>
              </w:rPr>
            </w:pPr>
            <w:r>
              <w:rPr>
                <w:rFonts w:hint="eastAsia"/>
                <w:sz w:val="21"/>
                <w:szCs w:val="21"/>
              </w:rPr>
              <w:t>1</w:t>
            </w:r>
            <w:r>
              <w:rPr>
                <w:sz w:val="21"/>
                <w:szCs w:val="21"/>
              </w:rPr>
              <w:t>.5</w:t>
            </w:r>
          </w:p>
        </w:tc>
        <w:tc>
          <w:tcPr>
            <w:tcW w:w="493" w:type="pct"/>
            <w:vAlign w:val="center"/>
          </w:tcPr>
          <w:p w14:paraId="0EA09B87">
            <w:pPr>
              <w:spacing w:line="240" w:lineRule="auto"/>
              <w:ind w:firstLine="0" w:firstLineChars="0"/>
              <w:jc w:val="center"/>
              <w:rPr>
                <w:sz w:val="21"/>
                <w:szCs w:val="21"/>
              </w:rPr>
            </w:pPr>
            <w:r>
              <w:rPr>
                <w:rFonts w:hint="eastAsia"/>
                <w:sz w:val="21"/>
                <w:szCs w:val="21"/>
              </w:rPr>
              <w:t>1</w:t>
            </w:r>
            <w:r>
              <w:rPr>
                <w:sz w:val="21"/>
                <w:szCs w:val="21"/>
              </w:rPr>
              <w:t>.5</w:t>
            </w:r>
          </w:p>
        </w:tc>
        <w:tc>
          <w:tcPr>
            <w:tcW w:w="492" w:type="pct"/>
            <w:vAlign w:val="center"/>
          </w:tcPr>
          <w:p w14:paraId="427B43AA">
            <w:pPr>
              <w:spacing w:line="240" w:lineRule="auto"/>
              <w:ind w:firstLine="0" w:firstLineChars="0"/>
              <w:jc w:val="center"/>
              <w:rPr>
                <w:sz w:val="21"/>
                <w:szCs w:val="21"/>
              </w:rPr>
            </w:pPr>
            <w:r>
              <w:rPr>
                <w:rFonts w:hint="eastAsia"/>
                <w:sz w:val="21"/>
                <w:szCs w:val="21"/>
              </w:rPr>
              <w:t>1</w:t>
            </w:r>
            <w:r>
              <w:rPr>
                <w:sz w:val="21"/>
                <w:szCs w:val="21"/>
              </w:rPr>
              <w:t>.5</w:t>
            </w:r>
          </w:p>
        </w:tc>
        <w:tc>
          <w:tcPr>
            <w:tcW w:w="493" w:type="pct"/>
            <w:vAlign w:val="center"/>
          </w:tcPr>
          <w:p w14:paraId="0DDF9E63">
            <w:pPr>
              <w:spacing w:line="240" w:lineRule="auto"/>
              <w:ind w:firstLine="0" w:firstLineChars="0"/>
              <w:jc w:val="center"/>
              <w:rPr>
                <w:sz w:val="21"/>
                <w:szCs w:val="21"/>
              </w:rPr>
            </w:pPr>
            <w:r>
              <w:rPr>
                <w:rFonts w:hint="eastAsia"/>
                <w:sz w:val="21"/>
                <w:szCs w:val="21"/>
              </w:rPr>
              <w:t>1</w:t>
            </w:r>
            <w:r>
              <w:rPr>
                <w:sz w:val="21"/>
                <w:szCs w:val="21"/>
              </w:rPr>
              <w:t>.5</w:t>
            </w:r>
          </w:p>
        </w:tc>
        <w:tc>
          <w:tcPr>
            <w:tcW w:w="492" w:type="pct"/>
            <w:vAlign w:val="center"/>
          </w:tcPr>
          <w:p w14:paraId="56CBF655">
            <w:pPr>
              <w:spacing w:line="240" w:lineRule="auto"/>
              <w:ind w:firstLine="0" w:firstLineChars="0"/>
              <w:jc w:val="center"/>
              <w:rPr>
                <w:sz w:val="21"/>
                <w:szCs w:val="21"/>
              </w:rPr>
            </w:pPr>
            <w:r>
              <w:rPr>
                <w:rFonts w:hint="eastAsia"/>
                <w:sz w:val="21"/>
                <w:szCs w:val="21"/>
              </w:rPr>
              <w:t>1</w:t>
            </w:r>
            <w:r>
              <w:rPr>
                <w:sz w:val="21"/>
                <w:szCs w:val="21"/>
              </w:rPr>
              <w:t>.5</w:t>
            </w:r>
          </w:p>
        </w:tc>
        <w:tc>
          <w:tcPr>
            <w:tcW w:w="493" w:type="pct"/>
            <w:vAlign w:val="center"/>
          </w:tcPr>
          <w:p w14:paraId="69B607D3">
            <w:pPr>
              <w:spacing w:line="240" w:lineRule="auto"/>
              <w:ind w:firstLine="0" w:firstLineChars="0"/>
              <w:jc w:val="center"/>
              <w:rPr>
                <w:sz w:val="21"/>
                <w:szCs w:val="21"/>
              </w:rPr>
            </w:pPr>
            <w:r>
              <w:rPr>
                <w:rFonts w:hint="eastAsia"/>
                <w:sz w:val="21"/>
                <w:szCs w:val="21"/>
              </w:rPr>
              <w:t>1</w:t>
            </w:r>
            <w:r>
              <w:rPr>
                <w:sz w:val="21"/>
                <w:szCs w:val="21"/>
              </w:rPr>
              <w:t>.5</w:t>
            </w:r>
          </w:p>
        </w:tc>
        <w:tc>
          <w:tcPr>
            <w:tcW w:w="407" w:type="pct"/>
            <w:vAlign w:val="center"/>
          </w:tcPr>
          <w:p w14:paraId="0757078B">
            <w:pPr>
              <w:spacing w:line="240" w:lineRule="auto"/>
              <w:ind w:firstLine="0" w:firstLineChars="0"/>
              <w:jc w:val="center"/>
              <w:rPr>
                <w:sz w:val="21"/>
                <w:szCs w:val="21"/>
              </w:rPr>
            </w:pPr>
            <w:r>
              <w:rPr>
                <w:rFonts w:hint="eastAsia"/>
                <w:sz w:val="21"/>
                <w:szCs w:val="21"/>
              </w:rPr>
              <w:t>1</w:t>
            </w:r>
            <w:r>
              <w:rPr>
                <w:sz w:val="21"/>
                <w:szCs w:val="21"/>
              </w:rPr>
              <w:t>.5</w:t>
            </w:r>
          </w:p>
        </w:tc>
      </w:tr>
    </w:tbl>
    <w:p w14:paraId="0BAE23A9">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　晶粒度.</w:t>
      </w:r>
    </w:p>
    <w:p w14:paraId="0887F4F7">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银亮钢交货状态的实际晶粒度级别应为7级或更细，晶粒不均匀极差小于或等于3级。</w:t>
      </w:r>
    </w:p>
    <w:p w14:paraId="268D8BD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　显微组织</w:t>
      </w:r>
    </w:p>
    <w:p w14:paraId="0F5BA3B2">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固溶空冷不允许出现1000倍下可见的Cr23C6，不允许有马氏体，σ相析出，TiC的最大单晶＜10um，铁素体含量≤1%（固溶后）。在使用非含氮气氛固溶时，不得有氮化物析出。</w:t>
      </w:r>
    </w:p>
    <w:p w14:paraId="688F225D">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　无损探伤</w:t>
      </w:r>
    </w:p>
    <w:p w14:paraId="1A07347A">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.1　</w:t>
      </w:r>
      <w:r>
        <w:rPr>
          <w:rFonts w:hint="eastAsia" w:ascii="Times New Roman" w:hAnsi="Times New Roman" w:eastAsia="仿宋_GB2312" w:cs="Times New Roman"/>
          <w:sz w:val="28"/>
          <w:szCs w:val="28"/>
          <w:lang w:eastAsia="zh-CN"/>
        </w:rPr>
        <w:t>银亮钢</w:t>
      </w:r>
      <w:r>
        <w:rPr>
          <w:rFonts w:hint="eastAsia" w:ascii="Times New Roman" w:hAnsi="Times New Roman" w:eastAsia="仿宋_GB2312" w:cs="Times New Roman"/>
          <w:sz w:val="28"/>
          <w:szCs w:val="28"/>
        </w:rPr>
        <w:t>应按GB/T 11260规定的方法进行涡流探伤。人工缺陷按照槽尺寸质量等级3级（槽深为0.10mm）或由供需双方在合同中约定。</w:t>
      </w:r>
    </w:p>
    <w:p w14:paraId="2D3BC743">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.2　</w:t>
      </w:r>
      <w:r>
        <w:rPr>
          <w:rFonts w:hint="eastAsia" w:ascii="Times New Roman" w:hAnsi="Times New Roman" w:eastAsia="仿宋_GB2312" w:cs="Times New Roman"/>
          <w:sz w:val="28"/>
          <w:szCs w:val="28"/>
          <w:lang w:eastAsia="zh-CN"/>
        </w:rPr>
        <w:t>银亮钢</w:t>
      </w:r>
      <w:r>
        <w:rPr>
          <w:rFonts w:hint="eastAsia" w:ascii="Times New Roman" w:hAnsi="Times New Roman" w:eastAsia="仿宋_GB2312" w:cs="Times New Roman"/>
          <w:sz w:val="28"/>
          <w:szCs w:val="28"/>
        </w:rPr>
        <w:t>应按GB/T 8361规定的方法进行超声波探伤。对比试样的人工缺陷尺寸为A级或由供需双方在合同中约定</w:t>
      </w:r>
      <w:r>
        <w:rPr>
          <w:rFonts w:hint="eastAsia" w:ascii="Times New Roman" w:hAnsi="Times New Roman" w:eastAsia="仿宋_GB2312" w:cs="Times New Roman"/>
          <w:sz w:val="28"/>
          <w:szCs w:val="28"/>
          <w:lang w:eastAsia="zh-CN"/>
        </w:rPr>
        <w:t>。</w:t>
      </w:r>
    </w:p>
    <w:p w14:paraId="2FFA4F0D">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　耐腐蚀性能</w:t>
      </w:r>
    </w:p>
    <w:p w14:paraId="7568E7FE">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原材料取20-25mm厚度样品固溶空冷后进行晶间腐蚀测试，采用GB/T 4334中A法，10%草酸浸蚀试验进行筛选，一类组织合格。</w:t>
      </w:r>
    </w:p>
    <w:p w14:paraId="67EFECFC">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10</w:t>
      </w:r>
      <w:r>
        <w:rPr>
          <w:rFonts w:hint="eastAsia" w:ascii="Times New Roman" w:hAnsi="Times New Roman" w:eastAsia="仿宋_GB2312" w:cs="Times New Roman"/>
          <w:sz w:val="28"/>
          <w:szCs w:val="28"/>
        </w:rPr>
        <w:t>　断口检验</w:t>
      </w:r>
    </w:p>
    <w:p w14:paraId="6D85316C">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按GB/T 1814进行断口试验。不允许断口截面有白点、层状断裂、内裂、过热和过烧。供方能保证钢材断口试验合格，可不进行试验，质量保证书中填写断口试验“合格”。</w:t>
      </w:r>
    </w:p>
    <w:p w14:paraId="10DE058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rPr>
        <w:t>　表面质量</w:t>
      </w:r>
    </w:p>
    <w:p w14:paraId="7E10B0D1">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rPr>
        <w:t>.1　银亮钢的表面应洁净、光滑，不得有裂纹、发纹、折迭、刮痕、凹面、结疤、锈蚀和氧化皮等外部缺陷存在。清除深度从钢材实际尺寸算起应符合表6规定，清除宽度大于或等于清除深度的5倍，同一截面达到最大清除深度不得多于1处。允许有深度不超过公差之半的个别轻微划痕、矫直和剥皮的螺旋纹存在，经热处理后的银亮钢允许有氧化色存在。</w:t>
      </w:r>
    </w:p>
    <w:p w14:paraId="28709F9F">
      <w:pPr>
        <w:spacing w:line="560" w:lineRule="exact"/>
        <w:ind w:firstLine="0" w:firstLineChars="0"/>
        <w:contextualSpacing/>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表6　表面允许清除深度</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D63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1" w:type="dxa"/>
          </w:tcPr>
          <w:p w14:paraId="75B61377">
            <w:pPr>
              <w:spacing w:line="240" w:lineRule="auto"/>
              <w:ind w:firstLine="420"/>
              <w:jc w:val="center"/>
              <w:rPr>
                <w:rFonts w:eastAsiaTheme="minorEastAsia"/>
                <w:sz w:val="21"/>
                <w:szCs w:val="21"/>
              </w:rPr>
            </w:pPr>
            <w:r>
              <w:rPr>
                <w:rFonts w:eastAsiaTheme="minorEastAsia"/>
                <w:sz w:val="21"/>
                <w:szCs w:val="21"/>
              </w:rPr>
              <w:t>钢材尺寸，mm</w:t>
            </w:r>
          </w:p>
        </w:tc>
        <w:tc>
          <w:tcPr>
            <w:tcW w:w="4261" w:type="dxa"/>
          </w:tcPr>
          <w:p w14:paraId="6515B8E9">
            <w:pPr>
              <w:spacing w:line="240" w:lineRule="auto"/>
              <w:ind w:firstLine="420"/>
              <w:jc w:val="center"/>
              <w:rPr>
                <w:rFonts w:eastAsiaTheme="minorEastAsia"/>
                <w:sz w:val="21"/>
                <w:szCs w:val="21"/>
              </w:rPr>
            </w:pPr>
            <w:r>
              <w:rPr>
                <w:rFonts w:eastAsiaTheme="minorEastAsia"/>
                <w:sz w:val="21"/>
                <w:szCs w:val="21"/>
              </w:rPr>
              <w:t>同一截面允许清除深度</w:t>
            </w:r>
          </w:p>
        </w:tc>
      </w:tr>
      <w:tr w14:paraId="5BBC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1" w:type="dxa"/>
          </w:tcPr>
          <w:p w14:paraId="42E7022A">
            <w:pPr>
              <w:spacing w:line="240" w:lineRule="auto"/>
              <w:ind w:firstLine="420"/>
              <w:jc w:val="center"/>
              <w:rPr>
                <w:rFonts w:eastAsiaTheme="minorEastAsia"/>
                <w:sz w:val="21"/>
                <w:szCs w:val="21"/>
              </w:rPr>
            </w:pPr>
            <w:r>
              <w:rPr>
                <w:rFonts w:eastAsiaTheme="minorEastAsia"/>
                <w:sz w:val="21"/>
                <w:szCs w:val="21"/>
              </w:rPr>
              <w:t>141~180</w:t>
            </w:r>
          </w:p>
        </w:tc>
        <w:tc>
          <w:tcPr>
            <w:tcW w:w="4261" w:type="dxa"/>
          </w:tcPr>
          <w:p w14:paraId="334AE83D">
            <w:pPr>
              <w:spacing w:line="240" w:lineRule="auto"/>
              <w:ind w:firstLine="420"/>
              <w:jc w:val="center"/>
              <w:rPr>
                <w:rFonts w:eastAsiaTheme="minorEastAsia"/>
                <w:sz w:val="21"/>
                <w:szCs w:val="21"/>
              </w:rPr>
            </w:pPr>
            <w:r>
              <w:rPr>
                <w:rFonts w:eastAsiaTheme="minorEastAsia"/>
                <w:sz w:val="21"/>
                <w:szCs w:val="21"/>
              </w:rPr>
              <w:t>钢材尺寸的5%</w:t>
            </w:r>
          </w:p>
        </w:tc>
      </w:tr>
      <w:tr w14:paraId="107E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1" w:type="dxa"/>
          </w:tcPr>
          <w:p w14:paraId="6088A329">
            <w:pPr>
              <w:spacing w:line="240" w:lineRule="auto"/>
              <w:ind w:firstLine="420"/>
              <w:jc w:val="center"/>
              <w:rPr>
                <w:rFonts w:eastAsiaTheme="minorEastAsia"/>
                <w:sz w:val="21"/>
                <w:szCs w:val="21"/>
              </w:rPr>
            </w:pPr>
            <w:r>
              <w:rPr>
                <w:rFonts w:eastAsiaTheme="minorEastAsia"/>
                <w:sz w:val="21"/>
                <w:szCs w:val="21"/>
              </w:rPr>
              <w:t>80~140</w:t>
            </w:r>
          </w:p>
        </w:tc>
        <w:tc>
          <w:tcPr>
            <w:tcW w:w="4261" w:type="dxa"/>
          </w:tcPr>
          <w:p w14:paraId="74E857D3">
            <w:pPr>
              <w:spacing w:line="240" w:lineRule="auto"/>
              <w:ind w:firstLine="420"/>
              <w:jc w:val="center"/>
              <w:rPr>
                <w:rFonts w:eastAsiaTheme="minorEastAsia"/>
                <w:sz w:val="21"/>
                <w:szCs w:val="21"/>
              </w:rPr>
            </w:pPr>
            <w:r>
              <w:rPr>
                <w:rFonts w:eastAsiaTheme="minorEastAsia"/>
                <w:sz w:val="21"/>
                <w:szCs w:val="21"/>
              </w:rPr>
              <w:t>钢材尺寸公差</w:t>
            </w:r>
          </w:p>
        </w:tc>
      </w:tr>
      <w:tr w14:paraId="6B2C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1" w:type="dxa"/>
          </w:tcPr>
          <w:p w14:paraId="523CBDCF">
            <w:pPr>
              <w:spacing w:line="240" w:lineRule="auto"/>
              <w:ind w:firstLine="420"/>
              <w:jc w:val="center"/>
              <w:rPr>
                <w:rFonts w:eastAsiaTheme="minorEastAsia"/>
                <w:sz w:val="21"/>
                <w:szCs w:val="21"/>
              </w:rPr>
            </w:pPr>
            <w:r>
              <w:rPr>
                <w:rFonts w:eastAsiaTheme="minorEastAsia"/>
                <w:sz w:val="21"/>
                <w:szCs w:val="21"/>
              </w:rPr>
              <w:t>＜80</w:t>
            </w:r>
          </w:p>
        </w:tc>
        <w:tc>
          <w:tcPr>
            <w:tcW w:w="4261" w:type="dxa"/>
          </w:tcPr>
          <w:p w14:paraId="7F4A9466">
            <w:pPr>
              <w:spacing w:line="240" w:lineRule="auto"/>
              <w:ind w:firstLine="420"/>
              <w:jc w:val="center"/>
              <w:rPr>
                <w:rFonts w:eastAsiaTheme="minorEastAsia"/>
                <w:sz w:val="21"/>
                <w:szCs w:val="21"/>
              </w:rPr>
            </w:pPr>
            <w:r>
              <w:rPr>
                <w:rFonts w:eastAsiaTheme="minorEastAsia"/>
                <w:sz w:val="21"/>
                <w:szCs w:val="21"/>
              </w:rPr>
              <w:t>钢材尺寸公差的1/2</w:t>
            </w:r>
          </w:p>
        </w:tc>
      </w:tr>
    </w:tbl>
    <w:p w14:paraId="4010DF8D">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rPr>
        <w:t>.2　银亮钢的表面粗糙度应符合表7规定。供方若能保证粗糙度合格，可不进行检验。</w:t>
      </w:r>
    </w:p>
    <w:p w14:paraId="6C03A30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rPr>
        <w:t>.3　需方有特殊要求时，经供需双方协商并在合同注明，可按具体要求执行。</w:t>
      </w:r>
    </w:p>
    <w:p w14:paraId="01BBC797">
      <w:pPr>
        <w:spacing w:line="240" w:lineRule="auto"/>
        <w:ind w:firstLine="0" w:firstLineChars="0"/>
        <w:contextualSpacing/>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表7　表面粗糙度</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3"/>
        <w:gridCol w:w="4559"/>
      </w:tblGrid>
      <w:tr w14:paraId="3D72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5" w:type="pct"/>
          </w:tcPr>
          <w:p w14:paraId="410D5172">
            <w:pPr>
              <w:spacing w:line="240" w:lineRule="auto"/>
              <w:ind w:left="181" w:firstLine="0" w:firstLineChars="0"/>
              <w:jc w:val="center"/>
              <w:rPr>
                <w:sz w:val="21"/>
                <w:szCs w:val="21"/>
              </w:rPr>
            </w:pPr>
            <w:r>
              <w:rPr>
                <w:sz w:val="21"/>
                <w:szCs w:val="21"/>
              </w:rPr>
              <w:t>类别</w:t>
            </w:r>
          </w:p>
        </w:tc>
        <w:tc>
          <w:tcPr>
            <w:tcW w:w="2675" w:type="pct"/>
          </w:tcPr>
          <w:p w14:paraId="36FA5A9B">
            <w:pPr>
              <w:spacing w:line="240" w:lineRule="auto"/>
              <w:ind w:left="181" w:firstLine="0" w:firstLineChars="0"/>
              <w:jc w:val="center"/>
              <w:rPr>
                <w:sz w:val="21"/>
                <w:szCs w:val="21"/>
              </w:rPr>
            </w:pPr>
            <w:r>
              <w:rPr>
                <w:sz w:val="21"/>
                <w:szCs w:val="21"/>
              </w:rPr>
              <w:t>粗糙度 Ra/μm</w:t>
            </w:r>
          </w:p>
        </w:tc>
      </w:tr>
      <w:tr w14:paraId="6CA5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5" w:type="pct"/>
            <w:shd w:val="clear" w:color="auto" w:fill="auto"/>
          </w:tcPr>
          <w:p w14:paraId="75F4DF50">
            <w:pPr>
              <w:spacing w:line="240" w:lineRule="auto"/>
              <w:ind w:left="181" w:firstLine="0" w:firstLineChars="0"/>
              <w:jc w:val="center"/>
              <w:rPr>
                <w:sz w:val="21"/>
                <w:szCs w:val="21"/>
              </w:rPr>
            </w:pPr>
            <w:r>
              <w:rPr>
                <w:sz w:val="21"/>
                <w:szCs w:val="21"/>
              </w:rPr>
              <w:t>剥皮材，SF</w:t>
            </w:r>
          </w:p>
        </w:tc>
        <w:tc>
          <w:tcPr>
            <w:tcW w:w="2675" w:type="pct"/>
            <w:shd w:val="clear" w:color="auto" w:fill="auto"/>
          </w:tcPr>
          <w:p w14:paraId="4E27EC69">
            <w:pPr>
              <w:spacing w:line="240" w:lineRule="auto"/>
              <w:ind w:left="181" w:firstLine="0" w:firstLineChars="0"/>
              <w:jc w:val="center"/>
              <w:rPr>
                <w:sz w:val="21"/>
                <w:szCs w:val="21"/>
              </w:rPr>
            </w:pPr>
            <w:r>
              <w:rPr>
                <w:sz w:val="21"/>
                <w:szCs w:val="21"/>
              </w:rPr>
              <w:t>≤3.0</w:t>
            </w:r>
          </w:p>
        </w:tc>
      </w:tr>
      <w:tr w14:paraId="3BB7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5" w:type="pct"/>
            <w:shd w:val="clear" w:color="auto" w:fill="auto"/>
          </w:tcPr>
          <w:p w14:paraId="1B4D18FC">
            <w:pPr>
              <w:spacing w:line="240" w:lineRule="auto"/>
              <w:ind w:left="181" w:firstLine="0" w:firstLineChars="0"/>
              <w:jc w:val="center"/>
              <w:rPr>
                <w:sz w:val="21"/>
                <w:szCs w:val="21"/>
              </w:rPr>
            </w:pPr>
            <w:r>
              <w:rPr>
                <w:sz w:val="21"/>
                <w:szCs w:val="21"/>
              </w:rPr>
              <w:t>磨光材，SP</w:t>
            </w:r>
          </w:p>
        </w:tc>
        <w:tc>
          <w:tcPr>
            <w:tcW w:w="2675" w:type="pct"/>
            <w:shd w:val="clear" w:color="auto" w:fill="auto"/>
          </w:tcPr>
          <w:p w14:paraId="77C42B20">
            <w:pPr>
              <w:spacing w:line="240" w:lineRule="auto"/>
              <w:ind w:left="181" w:firstLine="0" w:firstLineChars="0"/>
              <w:jc w:val="center"/>
              <w:rPr>
                <w:sz w:val="21"/>
                <w:szCs w:val="21"/>
              </w:rPr>
            </w:pPr>
            <w:r>
              <w:rPr>
                <w:sz w:val="21"/>
                <w:szCs w:val="21"/>
              </w:rPr>
              <w:t>≤5.0</w:t>
            </w:r>
          </w:p>
        </w:tc>
      </w:tr>
      <w:tr w14:paraId="4E0B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5" w:type="pct"/>
            <w:shd w:val="clear" w:color="auto" w:fill="auto"/>
          </w:tcPr>
          <w:p w14:paraId="02C1646D">
            <w:pPr>
              <w:spacing w:line="240" w:lineRule="auto"/>
              <w:ind w:left="181" w:firstLine="0" w:firstLineChars="0"/>
              <w:jc w:val="center"/>
              <w:rPr>
                <w:sz w:val="21"/>
                <w:szCs w:val="21"/>
              </w:rPr>
            </w:pPr>
            <w:r>
              <w:rPr>
                <w:sz w:val="21"/>
                <w:szCs w:val="21"/>
              </w:rPr>
              <w:t>抛光材，SB</w:t>
            </w:r>
          </w:p>
        </w:tc>
        <w:tc>
          <w:tcPr>
            <w:tcW w:w="2675" w:type="pct"/>
            <w:shd w:val="clear" w:color="auto" w:fill="auto"/>
          </w:tcPr>
          <w:p w14:paraId="50364BEA">
            <w:pPr>
              <w:spacing w:line="240" w:lineRule="auto"/>
              <w:ind w:left="181" w:firstLine="0" w:firstLineChars="0"/>
              <w:jc w:val="center"/>
              <w:rPr>
                <w:sz w:val="21"/>
                <w:szCs w:val="21"/>
              </w:rPr>
            </w:pPr>
            <w:r>
              <w:rPr>
                <w:sz w:val="21"/>
                <w:szCs w:val="21"/>
              </w:rPr>
              <w:t>≤0.6</w:t>
            </w:r>
          </w:p>
        </w:tc>
      </w:tr>
    </w:tbl>
    <w:p w14:paraId="5B776BA4">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7.1</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　尺寸、外形、重量及允许偏</w:t>
      </w:r>
      <w:r>
        <w:rPr>
          <w:rFonts w:hint="eastAsia" w:ascii="Times New Roman" w:hAnsi="Times New Roman" w:eastAsia="仿宋_GB2312" w:cs="Times New Roman"/>
          <w:sz w:val="28"/>
          <w:szCs w:val="28"/>
          <w:lang w:val="en-US" w:eastAsia="zh-CN"/>
        </w:rPr>
        <w:t>差</w:t>
      </w:r>
    </w:p>
    <w:p w14:paraId="4C6DD2D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7.12.1</w:t>
      </w:r>
      <w:r>
        <w:rPr>
          <w:rFonts w:hint="eastAsia" w:ascii="Times New Roman" w:hAnsi="Times New Roman" w:eastAsia="仿宋_GB2312" w:cs="Times New Roman"/>
          <w:sz w:val="28"/>
          <w:szCs w:val="28"/>
        </w:rPr>
        <w:t>尺寸及允许偏差</w:t>
      </w:r>
    </w:p>
    <w:p w14:paraId="33D0BA12">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直径不大于80mm的银亮钢棒的直径及允许偏差应符合GB/T 3207-2008中第11级的规定。直径大于80mm的银亮钢棒的直径及允许偏差应符合GB/T 3207-2008中第12级的规定。经供需双方协商，并在合同中注明，钢材的直径及允许偏差也可以按其他技术要求交货。</w:t>
      </w:r>
    </w:p>
    <w:p w14:paraId="1EE9F8A8">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7.12.2</w:t>
      </w:r>
      <w:r>
        <w:rPr>
          <w:rFonts w:hint="eastAsia" w:ascii="Times New Roman" w:hAnsi="Times New Roman" w:eastAsia="仿宋_GB2312" w:cs="Times New Roman"/>
          <w:sz w:val="28"/>
          <w:szCs w:val="28"/>
        </w:rPr>
        <w:t>长度及允许偏差</w:t>
      </w:r>
    </w:p>
    <w:p w14:paraId="2E5B702D">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7.12.2.1圆钢长度一般应为8m，允许有短尺但不小于4m。短尺交货量不得超过该批总重量的10%。根据双方协商并在合同注明，可供应长度有特殊要求的银亮钢。</w:t>
      </w:r>
    </w:p>
    <w:p w14:paraId="464283D6">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7.12.2.2银亮钢应按定尺或倍尺交货，其长度允许偏差为。根据需方要求，经供需双方协商并在合同注明，可供应特殊长度允许偏差的银亮钢。</w:t>
      </w:r>
    </w:p>
    <w:p w14:paraId="1AD29653">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7.12.3</w:t>
      </w:r>
      <w:r>
        <w:rPr>
          <w:rFonts w:hint="eastAsia" w:ascii="Times New Roman" w:hAnsi="Times New Roman" w:eastAsia="仿宋_GB2312" w:cs="Times New Roman"/>
          <w:sz w:val="28"/>
          <w:szCs w:val="28"/>
        </w:rPr>
        <w:t>外形</w:t>
      </w:r>
    </w:p>
    <w:p w14:paraId="29AA745E">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7.12.3.1不圆度应小于或等于公称直径公差的70%。</w:t>
      </w:r>
    </w:p>
    <w:p w14:paraId="792F8091">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7.12.3.2银亮钢的弯曲度应小于或等于4mm/m，总弯曲度应小于或等于总长度的0.4%。</w:t>
      </w:r>
    </w:p>
    <w:p w14:paraId="181A3E6D">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7.12.3.3银亮钢的端部应剪切平整，不得有影响使用的毛刺。根据用户要求，并在合同中注明，钢材的端部可倒棱交货。</w:t>
      </w:r>
    </w:p>
    <w:p w14:paraId="52A8D2FE">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7.12.4</w:t>
      </w:r>
      <w:r>
        <w:rPr>
          <w:rFonts w:hint="eastAsia" w:ascii="Times New Roman" w:hAnsi="Times New Roman" w:eastAsia="仿宋_GB2312" w:cs="Times New Roman"/>
          <w:sz w:val="28"/>
          <w:szCs w:val="28"/>
        </w:rPr>
        <w:t>重量</w:t>
      </w:r>
    </w:p>
    <w:p w14:paraId="6B592EE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钢材以实际重量交货。</w:t>
      </w:r>
    </w:p>
    <w:p w14:paraId="68B8374C">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7.1</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　其他特殊需求</w:t>
      </w:r>
    </w:p>
    <w:p w14:paraId="2802606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有特殊要求时，经供需双方协商同意，并在合同中注明。</w:t>
      </w:r>
    </w:p>
    <w:p w14:paraId="5CCD75A3">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　试验方法</w:t>
      </w:r>
    </w:p>
    <w:p w14:paraId="5126E221">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8.1　检验项目及方法</w:t>
      </w:r>
    </w:p>
    <w:p w14:paraId="54CD4A40">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银亮钢</w:t>
      </w:r>
      <w:r>
        <w:rPr>
          <w:rFonts w:hint="eastAsia" w:ascii="Times New Roman" w:hAnsi="Times New Roman" w:eastAsia="仿宋_GB2312" w:cs="Times New Roman"/>
          <w:sz w:val="28"/>
          <w:szCs w:val="28"/>
        </w:rPr>
        <w:t>材的检验项目和检验方法应符合表8的规定。</w:t>
      </w:r>
    </w:p>
    <w:p w14:paraId="205E7B95">
      <w:pPr>
        <w:spacing w:line="560" w:lineRule="exact"/>
        <w:ind w:firstLine="0" w:firstLineChars="0"/>
        <w:contextualSpacing/>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表8　检验项目及方法</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71"/>
        <w:gridCol w:w="1533"/>
        <w:gridCol w:w="1997"/>
        <w:gridCol w:w="2795"/>
      </w:tblGrid>
      <w:tr w14:paraId="46BA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6" w:type="pct"/>
            <w:vAlign w:val="center"/>
          </w:tcPr>
          <w:p w14:paraId="4A6C75C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sz w:val="21"/>
                <w:szCs w:val="21"/>
              </w:rPr>
            </w:pPr>
            <w:r>
              <w:rPr>
                <w:rFonts w:hint="eastAsia"/>
                <w:sz w:val="21"/>
                <w:szCs w:val="21"/>
              </w:rPr>
              <w:t>序号</w:t>
            </w:r>
          </w:p>
        </w:tc>
        <w:tc>
          <w:tcPr>
            <w:tcW w:w="863" w:type="pct"/>
            <w:vAlign w:val="center"/>
          </w:tcPr>
          <w:p w14:paraId="3DEEB2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sz w:val="21"/>
                <w:szCs w:val="21"/>
              </w:rPr>
            </w:pPr>
            <w:r>
              <w:rPr>
                <w:rFonts w:hint="eastAsia"/>
                <w:sz w:val="21"/>
                <w:szCs w:val="21"/>
              </w:rPr>
              <w:t>检验项目</w:t>
            </w:r>
          </w:p>
        </w:tc>
        <w:tc>
          <w:tcPr>
            <w:tcW w:w="899" w:type="pct"/>
            <w:vAlign w:val="center"/>
          </w:tcPr>
          <w:p w14:paraId="0930778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sz w:val="21"/>
                <w:szCs w:val="21"/>
              </w:rPr>
            </w:pPr>
            <w:r>
              <w:rPr>
                <w:rFonts w:hint="eastAsia"/>
                <w:sz w:val="21"/>
                <w:szCs w:val="21"/>
              </w:rPr>
              <w:t>取样数量/个</w:t>
            </w:r>
          </w:p>
        </w:tc>
        <w:tc>
          <w:tcPr>
            <w:tcW w:w="1171" w:type="pct"/>
            <w:vAlign w:val="center"/>
          </w:tcPr>
          <w:p w14:paraId="23657C3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sz w:val="21"/>
                <w:szCs w:val="21"/>
              </w:rPr>
            </w:pPr>
            <w:r>
              <w:rPr>
                <w:rFonts w:hint="eastAsia"/>
                <w:sz w:val="21"/>
                <w:szCs w:val="21"/>
              </w:rPr>
              <w:t>取样部位</w:t>
            </w:r>
          </w:p>
        </w:tc>
        <w:tc>
          <w:tcPr>
            <w:tcW w:w="1639" w:type="pct"/>
            <w:vAlign w:val="center"/>
          </w:tcPr>
          <w:p w14:paraId="075AF01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sz w:val="21"/>
                <w:szCs w:val="21"/>
              </w:rPr>
            </w:pPr>
            <w:r>
              <w:rPr>
                <w:rFonts w:hint="eastAsia"/>
                <w:sz w:val="21"/>
                <w:szCs w:val="21"/>
              </w:rPr>
              <w:t>检验方法</w:t>
            </w:r>
          </w:p>
        </w:tc>
      </w:tr>
      <w:tr w14:paraId="55D0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6" w:type="pct"/>
            <w:shd w:val="clear" w:color="auto" w:fill="auto"/>
            <w:vAlign w:val="center"/>
          </w:tcPr>
          <w:p w14:paraId="7FBA4E3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1</w:t>
            </w:r>
          </w:p>
        </w:tc>
        <w:tc>
          <w:tcPr>
            <w:tcW w:w="863" w:type="pct"/>
            <w:shd w:val="clear" w:color="auto" w:fill="auto"/>
            <w:vAlign w:val="center"/>
          </w:tcPr>
          <w:p w14:paraId="2956D2C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化学成分</w:t>
            </w:r>
          </w:p>
        </w:tc>
        <w:tc>
          <w:tcPr>
            <w:tcW w:w="899" w:type="pct"/>
            <w:shd w:val="clear" w:color="auto" w:fill="auto"/>
            <w:vAlign w:val="center"/>
          </w:tcPr>
          <w:p w14:paraId="02E18EB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1</w:t>
            </w:r>
          </w:p>
        </w:tc>
        <w:tc>
          <w:tcPr>
            <w:tcW w:w="1171" w:type="pct"/>
            <w:shd w:val="clear" w:color="auto" w:fill="auto"/>
            <w:vAlign w:val="center"/>
          </w:tcPr>
          <w:p w14:paraId="222BC0B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20066</w:t>
            </w:r>
          </w:p>
        </w:tc>
        <w:tc>
          <w:tcPr>
            <w:tcW w:w="1639" w:type="pct"/>
            <w:shd w:val="clear" w:color="auto" w:fill="auto"/>
            <w:vAlign w:val="center"/>
          </w:tcPr>
          <w:p w14:paraId="038D10F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见8.2</w:t>
            </w:r>
          </w:p>
        </w:tc>
      </w:tr>
      <w:tr w14:paraId="3109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26" w:type="pct"/>
            <w:shd w:val="clear" w:color="auto" w:fill="auto"/>
            <w:vAlign w:val="center"/>
          </w:tcPr>
          <w:p w14:paraId="3CE8420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863" w:type="pct"/>
            <w:shd w:val="clear" w:color="auto" w:fill="auto"/>
            <w:vAlign w:val="center"/>
          </w:tcPr>
          <w:p w14:paraId="3539E46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硬度</w:t>
            </w:r>
          </w:p>
        </w:tc>
        <w:tc>
          <w:tcPr>
            <w:tcW w:w="899" w:type="pct"/>
            <w:shd w:val="clear" w:color="auto" w:fill="auto"/>
            <w:vAlign w:val="center"/>
          </w:tcPr>
          <w:p w14:paraId="08FD1A4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1171" w:type="pct"/>
            <w:shd w:val="clear" w:color="auto" w:fill="auto"/>
            <w:vAlign w:val="center"/>
          </w:tcPr>
          <w:p w14:paraId="70E669E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不同支棒材GB/T 2975</w:t>
            </w:r>
          </w:p>
        </w:tc>
        <w:tc>
          <w:tcPr>
            <w:tcW w:w="1639" w:type="pct"/>
            <w:shd w:val="clear" w:color="auto" w:fill="auto"/>
            <w:vAlign w:val="center"/>
          </w:tcPr>
          <w:p w14:paraId="527A187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231.1、 GB/T 230.1</w:t>
            </w:r>
          </w:p>
        </w:tc>
      </w:tr>
      <w:tr w14:paraId="248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26" w:type="pct"/>
            <w:shd w:val="clear" w:color="auto" w:fill="auto"/>
            <w:vAlign w:val="center"/>
          </w:tcPr>
          <w:p w14:paraId="4EEC846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3</w:t>
            </w:r>
          </w:p>
        </w:tc>
        <w:tc>
          <w:tcPr>
            <w:tcW w:w="863" w:type="pct"/>
            <w:shd w:val="clear" w:color="auto" w:fill="auto"/>
            <w:vAlign w:val="center"/>
          </w:tcPr>
          <w:p w14:paraId="62A0EDF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室温拉伸</w:t>
            </w:r>
          </w:p>
        </w:tc>
        <w:tc>
          <w:tcPr>
            <w:tcW w:w="899" w:type="pct"/>
            <w:shd w:val="clear" w:color="auto" w:fill="auto"/>
            <w:vAlign w:val="center"/>
          </w:tcPr>
          <w:p w14:paraId="52D4EDB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1171" w:type="pct"/>
            <w:shd w:val="clear" w:color="auto" w:fill="auto"/>
            <w:vAlign w:val="center"/>
          </w:tcPr>
          <w:p w14:paraId="4DAFB9E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不同支棒材GB/T 2975</w:t>
            </w:r>
          </w:p>
        </w:tc>
        <w:tc>
          <w:tcPr>
            <w:tcW w:w="1639" w:type="pct"/>
            <w:shd w:val="clear" w:color="auto" w:fill="auto"/>
            <w:vAlign w:val="center"/>
          </w:tcPr>
          <w:p w14:paraId="697ABC0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228.1</w:t>
            </w:r>
          </w:p>
        </w:tc>
      </w:tr>
      <w:tr w14:paraId="0AAA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26" w:type="pct"/>
            <w:shd w:val="clear" w:color="auto" w:fill="auto"/>
            <w:vAlign w:val="center"/>
          </w:tcPr>
          <w:p w14:paraId="1B79687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4</w:t>
            </w:r>
          </w:p>
        </w:tc>
        <w:tc>
          <w:tcPr>
            <w:tcW w:w="863" w:type="pct"/>
            <w:shd w:val="clear" w:color="auto" w:fill="auto"/>
            <w:vAlign w:val="center"/>
          </w:tcPr>
          <w:p w14:paraId="1BAA8FE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低倍组织</w:t>
            </w:r>
          </w:p>
        </w:tc>
        <w:tc>
          <w:tcPr>
            <w:tcW w:w="899" w:type="pct"/>
            <w:shd w:val="clear" w:color="auto" w:fill="auto"/>
            <w:vAlign w:val="center"/>
          </w:tcPr>
          <w:p w14:paraId="795F5A7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1171" w:type="pct"/>
            <w:shd w:val="clear" w:color="auto" w:fill="auto"/>
            <w:vAlign w:val="center"/>
          </w:tcPr>
          <w:p w14:paraId="5A1FA23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不同支棒材</w:t>
            </w:r>
          </w:p>
        </w:tc>
        <w:tc>
          <w:tcPr>
            <w:tcW w:w="1639" w:type="pct"/>
            <w:shd w:val="clear" w:color="auto" w:fill="auto"/>
            <w:vAlign w:val="center"/>
          </w:tcPr>
          <w:p w14:paraId="0A9ED70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226、GB/T 1979</w:t>
            </w:r>
          </w:p>
        </w:tc>
      </w:tr>
      <w:tr w14:paraId="58AD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6" w:type="pct"/>
            <w:shd w:val="clear" w:color="auto" w:fill="auto"/>
            <w:vAlign w:val="center"/>
          </w:tcPr>
          <w:p w14:paraId="545E5FE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5</w:t>
            </w:r>
          </w:p>
        </w:tc>
        <w:tc>
          <w:tcPr>
            <w:tcW w:w="863" w:type="pct"/>
            <w:shd w:val="clear" w:color="auto" w:fill="auto"/>
            <w:vAlign w:val="center"/>
          </w:tcPr>
          <w:p w14:paraId="4391DC1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顶锻</w:t>
            </w:r>
          </w:p>
        </w:tc>
        <w:tc>
          <w:tcPr>
            <w:tcW w:w="899" w:type="pct"/>
            <w:shd w:val="clear" w:color="auto" w:fill="auto"/>
            <w:vAlign w:val="center"/>
          </w:tcPr>
          <w:p w14:paraId="4DB60B0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1171" w:type="pct"/>
            <w:shd w:val="clear" w:color="auto" w:fill="auto"/>
            <w:vAlign w:val="center"/>
          </w:tcPr>
          <w:p w14:paraId="5BD27BE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不同支棒材</w:t>
            </w:r>
          </w:p>
        </w:tc>
        <w:tc>
          <w:tcPr>
            <w:tcW w:w="1639" w:type="pct"/>
            <w:shd w:val="clear" w:color="auto" w:fill="auto"/>
            <w:vAlign w:val="center"/>
          </w:tcPr>
          <w:p w14:paraId="34E88E7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YB/T 5293</w:t>
            </w:r>
          </w:p>
        </w:tc>
      </w:tr>
      <w:tr w14:paraId="6621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6" w:type="pct"/>
            <w:shd w:val="clear" w:color="auto" w:fill="auto"/>
            <w:vAlign w:val="center"/>
          </w:tcPr>
          <w:p w14:paraId="5ABDE33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6</w:t>
            </w:r>
          </w:p>
        </w:tc>
        <w:tc>
          <w:tcPr>
            <w:tcW w:w="863" w:type="pct"/>
            <w:shd w:val="clear" w:color="auto" w:fill="auto"/>
            <w:vAlign w:val="center"/>
          </w:tcPr>
          <w:p w14:paraId="41C1913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非金属夹杂物</w:t>
            </w:r>
          </w:p>
        </w:tc>
        <w:tc>
          <w:tcPr>
            <w:tcW w:w="899" w:type="pct"/>
            <w:shd w:val="clear" w:color="auto" w:fill="auto"/>
            <w:vAlign w:val="center"/>
          </w:tcPr>
          <w:p w14:paraId="39EBB5B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1171" w:type="pct"/>
            <w:shd w:val="clear" w:color="auto" w:fill="auto"/>
            <w:vAlign w:val="center"/>
          </w:tcPr>
          <w:p w14:paraId="22A791D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不同支棒材</w:t>
            </w:r>
          </w:p>
        </w:tc>
        <w:tc>
          <w:tcPr>
            <w:tcW w:w="1639" w:type="pct"/>
            <w:shd w:val="clear" w:color="auto" w:fill="auto"/>
            <w:vAlign w:val="center"/>
          </w:tcPr>
          <w:p w14:paraId="1193975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10561</w:t>
            </w:r>
          </w:p>
        </w:tc>
      </w:tr>
      <w:tr w14:paraId="14B5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6" w:type="pct"/>
            <w:shd w:val="clear" w:color="auto" w:fill="auto"/>
            <w:vAlign w:val="center"/>
          </w:tcPr>
          <w:p w14:paraId="2622ADE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7</w:t>
            </w:r>
          </w:p>
        </w:tc>
        <w:tc>
          <w:tcPr>
            <w:tcW w:w="863" w:type="pct"/>
            <w:shd w:val="clear" w:color="auto" w:fill="auto"/>
            <w:vAlign w:val="center"/>
          </w:tcPr>
          <w:p w14:paraId="1B75260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晶粒度</w:t>
            </w:r>
          </w:p>
        </w:tc>
        <w:tc>
          <w:tcPr>
            <w:tcW w:w="899" w:type="pct"/>
            <w:shd w:val="clear" w:color="auto" w:fill="auto"/>
            <w:vAlign w:val="center"/>
          </w:tcPr>
          <w:p w14:paraId="784057C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1171" w:type="pct"/>
            <w:shd w:val="clear" w:color="auto" w:fill="auto"/>
            <w:vAlign w:val="center"/>
          </w:tcPr>
          <w:p w14:paraId="5774051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不同支棒材</w:t>
            </w:r>
          </w:p>
        </w:tc>
        <w:tc>
          <w:tcPr>
            <w:tcW w:w="1639" w:type="pct"/>
            <w:shd w:val="clear" w:color="auto" w:fill="auto"/>
            <w:vAlign w:val="center"/>
          </w:tcPr>
          <w:p w14:paraId="18F5471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6394</w:t>
            </w:r>
          </w:p>
        </w:tc>
      </w:tr>
      <w:tr w14:paraId="216E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6" w:type="pct"/>
            <w:shd w:val="clear" w:color="auto" w:fill="auto"/>
            <w:vAlign w:val="center"/>
          </w:tcPr>
          <w:p w14:paraId="1EF8006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8</w:t>
            </w:r>
          </w:p>
        </w:tc>
        <w:tc>
          <w:tcPr>
            <w:tcW w:w="863" w:type="pct"/>
            <w:shd w:val="clear" w:color="auto" w:fill="auto"/>
            <w:vAlign w:val="center"/>
          </w:tcPr>
          <w:p w14:paraId="2B3483C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显微组织</w:t>
            </w:r>
          </w:p>
        </w:tc>
        <w:tc>
          <w:tcPr>
            <w:tcW w:w="899" w:type="pct"/>
            <w:shd w:val="clear" w:color="auto" w:fill="auto"/>
            <w:vAlign w:val="center"/>
          </w:tcPr>
          <w:p w14:paraId="18B035A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1171" w:type="pct"/>
            <w:shd w:val="clear" w:color="auto" w:fill="auto"/>
            <w:vAlign w:val="center"/>
          </w:tcPr>
          <w:p w14:paraId="3B06D84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不同支棒材</w:t>
            </w:r>
          </w:p>
        </w:tc>
        <w:tc>
          <w:tcPr>
            <w:tcW w:w="1639" w:type="pct"/>
            <w:shd w:val="clear" w:color="auto" w:fill="auto"/>
            <w:vAlign w:val="center"/>
          </w:tcPr>
          <w:p w14:paraId="10A4E84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见7.11</w:t>
            </w:r>
          </w:p>
        </w:tc>
      </w:tr>
      <w:tr w14:paraId="7B75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6" w:type="pct"/>
            <w:shd w:val="clear" w:color="auto" w:fill="auto"/>
            <w:vAlign w:val="center"/>
          </w:tcPr>
          <w:p w14:paraId="2F665D0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9</w:t>
            </w:r>
          </w:p>
        </w:tc>
        <w:tc>
          <w:tcPr>
            <w:tcW w:w="863" w:type="pct"/>
            <w:shd w:val="clear" w:color="auto" w:fill="auto"/>
            <w:vAlign w:val="center"/>
          </w:tcPr>
          <w:p w14:paraId="050C085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涡流探伤</w:t>
            </w:r>
          </w:p>
        </w:tc>
        <w:tc>
          <w:tcPr>
            <w:tcW w:w="899" w:type="pct"/>
            <w:shd w:val="clear" w:color="auto" w:fill="auto"/>
            <w:vAlign w:val="center"/>
          </w:tcPr>
          <w:p w14:paraId="39A81AC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逐支</w:t>
            </w:r>
          </w:p>
        </w:tc>
        <w:tc>
          <w:tcPr>
            <w:tcW w:w="1171" w:type="pct"/>
            <w:shd w:val="clear" w:color="auto" w:fill="auto"/>
            <w:vAlign w:val="center"/>
          </w:tcPr>
          <w:p w14:paraId="0117970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整支棒材</w:t>
            </w:r>
          </w:p>
        </w:tc>
        <w:tc>
          <w:tcPr>
            <w:tcW w:w="1639" w:type="pct"/>
            <w:shd w:val="clear" w:color="auto" w:fill="auto"/>
            <w:vAlign w:val="center"/>
          </w:tcPr>
          <w:p w14:paraId="010A193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11260</w:t>
            </w:r>
          </w:p>
        </w:tc>
      </w:tr>
      <w:tr w14:paraId="72ED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6" w:type="pct"/>
            <w:shd w:val="clear" w:color="auto" w:fill="auto"/>
            <w:vAlign w:val="center"/>
          </w:tcPr>
          <w:p w14:paraId="66BD902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10</w:t>
            </w:r>
          </w:p>
        </w:tc>
        <w:tc>
          <w:tcPr>
            <w:tcW w:w="863" w:type="pct"/>
            <w:shd w:val="clear" w:color="auto" w:fill="auto"/>
            <w:vAlign w:val="center"/>
          </w:tcPr>
          <w:p w14:paraId="1150E55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超声波探伤</w:t>
            </w:r>
          </w:p>
        </w:tc>
        <w:tc>
          <w:tcPr>
            <w:tcW w:w="899" w:type="pct"/>
            <w:shd w:val="clear" w:color="auto" w:fill="auto"/>
            <w:vAlign w:val="center"/>
          </w:tcPr>
          <w:p w14:paraId="677B100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逐支</w:t>
            </w:r>
          </w:p>
        </w:tc>
        <w:tc>
          <w:tcPr>
            <w:tcW w:w="1171" w:type="pct"/>
            <w:shd w:val="clear" w:color="auto" w:fill="auto"/>
            <w:vAlign w:val="center"/>
          </w:tcPr>
          <w:p w14:paraId="772292B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整支棒材</w:t>
            </w:r>
          </w:p>
        </w:tc>
        <w:tc>
          <w:tcPr>
            <w:tcW w:w="1639" w:type="pct"/>
            <w:shd w:val="clear" w:color="auto" w:fill="auto"/>
            <w:vAlign w:val="center"/>
          </w:tcPr>
          <w:p w14:paraId="04635CD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8361</w:t>
            </w:r>
          </w:p>
        </w:tc>
      </w:tr>
      <w:tr w14:paraId="2184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6" w:type="pct"/>
            <w:shd w:val="clear" w:color="auto" w:fill="auto"/>
            <w:vAlign w:val="center"/>
          </w:tcPr>
          <w:p w14:paraId="113DFAB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11</w:t>
            </w:r>
          </w:p>
        </w:tc>
        <w:tc>
          <w:tcPr>
            <w:tcW w:w="863" w:type="pct"/>
            <w:shd w:val="clear" w:color="auto" w:fill="auto"/>
            <w:vAlign w:val="center"/>
          </w:tcPr>
          <w:p w14:paraId="11C902F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耐腐蚀性能</w:t>
            </w:r>
          </w:p>
        </w:tc>
        <w:tc>
          <w:tcPr>
            <w:tcW w:w="899" w:type="pct"/>
            <w:shd w:val="clear" w:color="auto" w:fill="auto"/>
            <w:vAlign w:val="center"/>
          </w:tcPr>
          <w:p w14:paraId="6784BE6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1171" w:type="pct"/>
            <w:shd w:val="clear" w:color="auto" w:fill="auto"/>
            <w:vAlign w:val="center"/>
          </w:tcPr>
          <w:p w14:paraId="6A89B0D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不同支棒材</w:t>
            </w:r>
          </w:p>
        </w:tc>
        <w:tc>
          <w:tcPr>
            <w:tcW w:w="1639" w:type="pct"/>
            <w:shd w:val="clear" w:color="auto" w:fill="auto"/>
            <w:vAlign w:val="center"/>
          </w:tcPr>
          <w:p w14:paraId="3F51004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4334</w:t>
            </w:r>
          </w:p>
        </w:tc>
      </w:tr>
      <w:tr w14:paraId="4581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6" w:type="pct"/>
            <w:shd w:val="clear" w:color="auto" w:fill="auto"/>
            <w:vAlign w:val="center"/>
          </w:tcPr>
          <w:p w14:paraId="64C7DE8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12</w:t>
            </w:r>
          </w:p>
        </w:tc>
        <w:tc>
          <w:tcPr>
            <w:tcW w:w="863" w:type="pct"/>
            <w:shd w:val="clear" w:color="auto" w:fill="auto"/>
            <w:vAlign w:val="center"/>
          </w:tcPr>
          <w:p w14:paraId="62B0175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断口检验</w:t>
            </w:r>
          </w:p>
        </w:tc>
        <w:tc>
          <w:tcPr>
            <w:tcW w:w="899" w:type="pct"/>
            <w:shd w:val="clear" w:color="auto" w:fill="auto"/>
            <w:vAlign w:val="center"/>
          </w:tcPr>
          <w:p w14:paraId="187B3C1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2</w:t>
            </w:r>
          </w:p>
        </w:tc>
        <w:tc>
          <w:tcPr>
            <w:tcW w:w="1171" w:type="pct"/>
            <w:shd w:val="clear" w:color="auto" w:fill="auto"/>
            <w:vAlign w:val="center"/>
          </w:tcPr>
          <w:p w14:paraId="4ABD2B0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不同支棒材</w:t>
            </w:r>
          </w:p>
        </w:tc>
        <w:tc>
          <w:tcPr>
            <w:tcW w:w="1639" w:type="pct"/>
            <w:shd w:val="clear" w:color="auto" w:fill="auto"/>
            <w:vAlign w:val="center"/>
          </w:tcPr>
          <w:p w14:paraId="5627876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1814</w:t>
            </w:r>
          </w:p>
        </w:tc>
      </w:tr>
      <w:tr w14:paraId="04C4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6" w:type="pct"/>
            <w:shd w:val="clear" w:color="auto" w:fill="auto"/>
            <w:vAlign w:val="center"/>
          </w:tcPr>
          <w:p w14:paraId="10C1DF0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13</w:t>
            </w:r>
          </w:p>
        </w:tc>
        <w:tc>
          <w:tcPr>
            <w:tcW w:w="863" w:type="pct"/>
            <w:shd w:val="clear" w:color="auto" w:fill="auto"/>
            <w:vAlign w:val="center"/>
          </w:tcPr>
          <w:p w14:paraId="789510C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尺寸</w:t>
            </w:r>
          </w:p>
        </w:tc>
        <w:tc>
          <w:tcPr>
            <w:tcW w:w="899" w:type="pct"/>
            <w:shd w:val="clear" w:color="auto" w:fill="auto"/>
            <w:vAlign w:val="center"/>
          </w:tcPr>
          <w:p w14:paraId="09B0FC2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逐支</w:t>
            </w:r>
          </w:p>
        </w:tc>
        <w:tc>
          <w:tcPr>
            <w:tcW w:w="1171" w:type="pct"/>
            <w:shd w:val="clear" w:color="auto" w:fill="auto"/>
            <w:vAlign w:val="center"/>
          </w:tcPr>
          <w:p w14:paraId="65C652F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整支棒材</w:t>
            </w:r>
          </w:p>
        </w:tc>
        <w:tc>
          <w:tcPr>
            <w:tcW w:w="1639" w:type="pct"/>
            <w:shd w:val="clear" w:color="auto" w:fill="auto"/>
            <w:vAlign w:val="center"/>
          </w:tcPr>
          <w:p w14:paraId="046A803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千分尺、游标卡尺</w:t>
            </w:r>
          </w:p>
        </w:tc>
      </w:tr>
      <w:tr w14:paraId="3DB0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26" w:type="pct"/>
            <w:shd w:val="clear" w:color="auto" w:fill="auto"/>
            <w:vAlign w:val="center"/>
          </w:tcPr>
          <w:p w14:paraId="624D3FE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14</w:t>
            </w:r>
          </w:p>
        </w:tc>
        <w:tc>
          <w:tcPr>
            <w:tcW w:w="863" w:type="pct"/>
            <w:shd w:val="clear" w:color="auto" w:fill="auto"/>
            <w:vAlign w:val="center"/>
          </w:tcPr>
          <w:p w14:paraId="4898EC0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表面</w:t>
            </w:r>
          </w:p>
        </w:tc>
        <w:tc>
          <w:tcPr>
            <w:tcW w:w="899" w:type="pct"/>
            <w:shd w:val="clear" w:color="auto" w:fill="auto"/>
            <w:vAlign w:val="center"/>
          </w:tcPr>
          <w:p w14:paraId="2DA3154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逐支</w:t>
            </w:r>
          </w:p>
        </w:tc>
        <w:tc>
          <w:tcPr>
            <w:tcW w:w="1171" w:type="pct"/>
            <w:shd w:val="clear" w:color="auto" w:fill="auto"/>
            <w:vAlign w:val="center"/>
          </w:tcPr>
          <w:p w14:paraId="6474AEC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整支棒材</w:t>
            </w:r>
          </w:p>
        </w:tc>
        <w:tc>
          <w:tcPr>
            <w:tcW w:w="1639" w:type="pct"/>
            <w:shd w:val="clear" w:color="auto" w:fill="auto"/>
            <w:vAlign w:val="center"/>
          </w:tcPr>
          <w:p w14:paraId="6B6285B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eastAsiaTheme="minorEastAsia"/>
                <w:sz w:val="18"/>
                <w:szCs w:val="18"/>
              </w:rPr>
            </w:pPr>
            <w:r>
              <w:rPr>
                <w:rFonts w:hint="eastAsia" w:ascii="宋体" w:eastAsiaTheme="minorEastAsia"/>
                <w:sz w:val="18"/>
                <w:szCs w:val="18"/>
              </w:rPr>
              <w:t>GB/T 10610、目视</w:t>
            </w:r>
          </w:p>
        </w:tc>
      </w:tr>
    </w:tbl>
    <w:p w14:paraId="0A8D1C34">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8.2　化学成分检测方法</w:t>
      </w:r>
    </w:p>
    <w:p w14:paraId="1E23B919">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银亮钢的化学成分（氧含量除外）按GB/T 4336，GB/T20066，GB/T 20123，GB/T 20124或通用的实验方法进行分析。仲裁时按GB/T 223.11、GB/T 223.25、GB/T 223.59、GB/T 223.60、GB/T 223.63、GB/T 223.84的要求进行。</w:t>
      </w:r>
    </w:p>
    <w:p w14:paraId="2A60CBFB">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　检验规则</w:t>
      </w:r>
    </w:p>
    <w:p w14:paraId="5E7E280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9.1　检查和验收</w:t>
      </w:r>
    </w:p>
    <w:p w14:paraId="28D1CE0A">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银亮钢的检查和验收由供方质量部门进行。需方有权在钢材上按本文件进行验收。</w:t>
      </w:r>
    </w:p>
    <w:p w14:paraId="13DA0C09">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9.2　组批规则</w:t>
      </w:r>
    </w:p>
    <w:p w14:paraId="2F0C63CD">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银亮钢应按批检查和验收，每批应由同一牌号、同一炉号、同一加工方法、同一规格和同一热处理炉次（用连续炉热处理时为同一热处理制度）的银亮钢组成。</w:t>
      </w:r>
    </w:p>
    <w:p w14:paraId="53DAB2F4">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9.3  取样数量和取样部位</w:t>
      </w:r>
    </w:p>
    <w:p w14:paraId="67C3D9FD">
      <w:pPr>
        <w:spacing w:line="560" w:lineRule="exact"/>
        <w:ind w:firstLine="56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每批钢材的取样数量和取样部位应符合表8的规定</w:t>
      </w:r>
      <w:r>
        <w:rPr>
          <w:rFonts w:hint="eastAsia" w:ascii="Times New Roman" w:hAnsi="Times New Roman" w:eastAsia="仿宋_GB2312" w:cs="Times New Roman"/>
          <w:sz w:val="28"/>
          <w:szCs w:val="28"/>
          <w:lang w:val="en-US" w:eastAsia="zh-CN"/>
        </w:rPr>
        <w:t>。</w:t>
      </w:r>
    </w:p>
    <w:p w14:paraId="095D8199">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　复验和判定规则</w:t>
      </w:r>
    </w:p>
    <w:p w14:paraId="6341810E">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钢材的复验和判定应符合GB/T 2101的规定。供方若能保证银亮钢合格，对同一炉号的银亮钢或坯的力学性能、低倍组织、非金属夹杂物的检验结果，允许以坯代材、以大代小。</w:t>
      </w:r>
    </w:p>
    <w:p w14:paraId="6300D1F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　数值修约</w:t>
      </w:r>
    </w:p>
    <w:p w14:paraId="31832547">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试验和检验结果应采用修约值比较法修约到与规定值本位数字所表示的数位相一致，其修约规则应符合GB/T 8170的规定。</w:t>
      </w:r>
    </w:p>
    <w:p w14:paraId="0F39F20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　包装、标志和质量证明书</w:t>
      </w:r>
    </w:p>
    <w:p w14:paraId="73DC5145">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包装标志和质量证明书应符合GB/T 2101和GB/T 2103的规定。</w:t>
      </w:r>
    </w:p>
    <w:p w14:paraId="1324AD6C">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14:paraId="011DCB4D">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汽车高压共轨银亮钢</w:t>
      </w:r>
      <w:r>
        <w:rPr>
          <w:rFonts w:hint="eastAsia" w:ascii="Times New Roman" w:hAnsi="Times New Roman" w:eastAsia="仿宋_GB2312" w:cs="Times New Roman"/>
          <w:sz w:val="28"/>
          <w:szCs w:val="28"/>
        </w:rPr>
        <w:t>的订货内容、分类、尺寸、外形、重量、技术要求、试验方法、检验规则、包装、标志和质量证明书。</w:t>
      </w:r>
      <w:r>
        <w:rPr>
          <w:rFonts w:ascii="Times New Roman" w:hAnsi="Times New Roman" w:eastAsia="仿宋_GB2312" w:cs="Times New Roman"/>
          <w:sz w:val="28"/>
          <w:szCs w:val="28"/>
        </w:rPr>
        <w:t>适用于</w:t>
      </w:r>
      <w:r>
        <w:rPr>
          <w:rFonts w:hint="eastAsia" w:ascii="Times New Roman" w:hAnsi="Times New Roman" w:eastAsia="仿宋_GB2312" w:cs="Times New Roman"/>
          <w:sz w:val="28"/>
          <w:szCs w:val="28"/>
          <w:lang w:eastAsia="zh-CN"/>
        </w:rPr>
        <w:t>汽车高压共轨银亮钢</w:t>
      </w:r>
      <w:r>
        <w:rPr>
          <w:rFonts w:ascii="Times New Roman" w:hAnsi="Times New Roman" w:eastAsia="仿宋_GB2312" w:cs="Times New Roman"/>
          <w:sz w:val="28"/>
          <w:szCs w:val="28"/>
        </w:rPr>
        <w:t>的生产和质量管控。同时，结合</w:t>
      </w:r>
      <w:r>
        <w:rPr>
          <w:rFonts w:hint="eastAsia" w:ascii="Times New Roman" w:hAnsi="Times New Roman" w:eastAsia="仿宋_GB2312" w:cs="Times New Roman"/>
          <w:sz w:val="28"/>
          <w:szCs w:val="28"/>
        </w:rPr>
        <w:t>下游对</w:t>
      </w:r>
      <w:r>
        <w:rPr>
          <w:rFonts w:hint="eastAsia" w:ascii="Times New Roman" w:hAnsi="Times New Roman" w:eastAsia="仿宋_GB2312" w:cs="Times New Roman"/>
          <w:sz w:val="28"/>
          <w:szCs w:val="28"/>
          <w:lang w:eastAsia="zh-CN"/>
        </w:rPr>
        <w:t>汽车高压共轨银亮钢</w:t>
      </w:r>
      <w:r>
        <w:rPr>
          <w:rFonts w:ascii="Times New Roman" w:hAnsi="Times New Roman" w:eastAsia="仿宋_GB2312" w:cs="Times New Roman"/>
          <w:sz w:val="28"/>
          <w:szCs w:val="28"/>
        </w:rPr>
        <w:t>制造过程中的特殊需要，对技术参数、试验方法进行了优化设计和补充，对下游行业的基础材料采购、加工和制造具有科学指导意义。</w:t>
      </w:r>
    </w:p>
    <w:p w14:paraId="6F0CEBE3">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强化了上下游行业间的衔接和联系，为</w:t>
      </w:r>
      <w:r>
        <w:rPr>
          <w:rFonts w:hint="eastAsia" w:ascii="Times New Roman" w:hAnsi="Times New Roman" w:eastAsia="仿宋_GB2312" w:cs="Times New Roman"/>
          <w:sz w:val="28"/>
          <w:szCs w:val="28"/>
          <w:lang w:eastAsia="zh-CN"/>
        </w:rPr>
        <w:t>汽车高压共轨银亮钢</w:t>
      </w:r>
      <w:r>
        <w:rPr>
          <w:rFonts w:hint="eastAsia" w:ascii="Times New Roman" w:hAnsi="Times New Roman" w:eastAsia="仿宋_GB2312" w:cs="Times New Roman"/>
          <w:sz w:val="28"/>
          <w:szCs w:val="28"/>
        </w:rPr>
        <w:t>制造</w:t>
      </w:r>
      <w:r>
        <w:rPr>
          <w:rFonts w:ascii="Times New Roman" w:hAnsi="Times New Roman" w:eastAsia="仿宋_GB2312" w:cs="Times New Roman"/>
          <w:sz w:val="28"/>
          <w:szCs w:val="28"/>
        </w:rPr>
        <w:t>领域提供基础材料保障，有助于产业链的协同发展。</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的实施，符合我国钢铁工业由高速度发展向高质量发展的整体趋势，能够为我国</w:t>
      </w:r>
      <w:r>
        <w:rPr>
          <w:rFonts w:hint="eastAsia" w:ascii="Times New Roman" w:hAnsi="Times New Roman" w:eastAsia="仿宋_GB2312" w:cs="Times New Roman"/>
          <w:sz w:val="28"/>
          <w:szCs w:val="28"/>
        </w:rPr>
        <w:t>先进钢铁材料</w:t>
      </w:r>
      <w:r>
        <w:rPr>
          <w:rFonts w:ascii="Times New Roman" w:hAnsi="Times New Roman" w:eastAsia="仿宋_GB2312" w:cs="Times New Roman"/>
          <w:sz w:val="28"/>
          <w:szCs w:val="28"/>
        </w:rPr>
        <w:t>高质量发展提供有力支撑，使原料生产企业充分满足下游行业对基础材料产品的升级需要，引导双方形成合力，共同助力我国</w:t>
      </w:r>
      <w:r>
        <w:rPr>
          <w:rFonts w:hint="eastAsia" w:ascii="Times New Roman" w:hAnsi="Times New Roman" w:eastAsia="仿宋_GB2312" w:cs="Times New Roman"/>
          <w:sz w:val="28"/>
          <w:szCs w:val="28"/>
          <w:lang w:eastAsia="zh-CN"/>
        </w:rPr>
        <w:t>汽车高压共轨银亮钢</w:t>
      </w:r>
      <w:r>
        <w:rPr>
          <w:rFonts w:hint="eastAsia" w:ascii="Times New Roman" w:hAnsi="Times New Roman" w:eastAsia="仿宋_GB2312" w:cs="Times New Roman"/>
          <w:sz w:val="28"/>
          <w:szCs w:val="28"/>
        </w:rPr>
        <w:t>产业</w:t>
      </w:r>
      <w:r>
        <w:rPr>
          <w:rFonts w:ascii="Times New Roman" w:hAnsi="Times New Roman" w:eastAsia="仿宋_GB2312" w:cs="Times New Roman"/>
          <w:sz w:val="28"/>
          <w:szCs w:val="28"/>
        </w:rPr>
        <w:t>快速发展。</w:t>
      </w:r>
    </w:p>
    <w:p w14:paraId="5DC25608">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七、标准属性</w:t>
      </w:r>
    </w:p>
    <w:p w14:paraId="036B4BF3">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属于钢铁行业团体标准。</w:t>
      </w:r>
    </w:p>
    <w:p w14:paraId="464D50FD">
      <w:pPr>
        <w:spacing w:line="560" w:lineRule="exact"/>
        <w:ind w:firstLine="0" w:firstLineChars="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汽车高压共轨银亮钢</w:t>
      </w:r>
      <w:r>
        <w:rPr>
          <w:rFonts w:ascii="Times New Roman" w:hAnsi="Times New Roman" w:eastAsia="仿宋_GB2312" w:cs="Times New Roman"/>
          <w:sz w:val="28"/>
          <w:szCs w:val="28"/>
        </w:rPr>
        <w:t>》标准编制工作组</w:t>
      </w:r>
    </w:p>
    <w:p w14:paraId="1F28DE17">
      <w:pPr>
        <w:spacing w:line="560" w:lineRule="exact"/>
        <w:ind w:firstLine="4620" w:firstLineChars="165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4年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F5F20">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84EF7">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02FA9">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9E9AE">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B331">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394F">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9"/>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YxY2M1MTFiNDYxNDNkNzhiMDQzYzE3Mzc3ODRlN2Y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43E0"/>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27AE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741"/>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16D9"/>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0EAB"/>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37FD4"/>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572D"/>
    <w:rsid w:val="00597A7F"/>
    <w:rsid w:val="005A1431"/>
    <w:rsid w:val="005A1B9D"/>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5EFF"/>
    <w:rsid w:val="00606725"/>
    <w:rsid w:val="00606B70"/>
    <w:rsid w:val="006104D0"/>
    <w:rsid w:val="00615B59"/>
    <w:rsid w:val="006164DF"/>
    <w:rsid w:val="00617675"/>
    <w:rsid w:val="00621B10"/>
    <w:rsid w:val="00622111"/>
    <w:rsid w:val="00623552"/>
    <w:rsid w:val="006249C7"/>
    <w:rsid w:val="006266CE"/>
    <w:rsid w:val="00631ACF"/>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122D"/>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77962"/>
    <w:rsid w:val="00B813DB"/>
    <w:rsid w:val="00B8192C"/>
    <w:rsid w:val="00B851E4"/>
    <w:rsid w:val="00B85EE1"/>
    <w:rsid w:val="00B872E5"/>
    <w:rsid w:val="00B875EE"/>
    <w:rsid w:val="00B900B9"/>
    <w:rsid w:val="00B918A1"/>
    <w:rsid w:val="00B92BA7"/>
    <w:rsid w:val="00B93E07"/>
    <w:rsid w:val="00B946E1"/>
    <w:rsid w:val="00B95A48"/>
    <w:rsid w:val="00B95C34"/>
    <w:rsid w:val="00B95D24"/>
    <w:rsid w:val="00BA01F9"/>
    <w:rsid w:val="00BA3CBA"/>
    <w:rsid w:val="00BA5652"/>
    <w:rsid w:val="00BA78C3"/>
    <w:rsid w:val="00BB24E7"/>
    <w:rsid w:val="00BB3EEA"/>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4669"/>
    <w:rsid w:val="00C65B66"/>
    <w:rsid w:val="00C66C5C"/>
    <w:rsid w:val="00C70892"/>
    <w:rsid w:val="00C722F9"/>
    <w:rsid w:val="00C7467E"/>
    <w:rsid w:val="00C74C2D"/>
    <w:rsid w:val="00C755E3"/>
    <w:rsid w:val="00C768AA"/>
    <w:rsid w:val="00C7769E"/>
    <w:rsid w:val="00C80B8D"/>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02C9"/>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6EB"/>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262"/>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3FBC"/>
    <w:rsid w:val="00F9456B"/>
    <w:rsid w:val="00F954D7"/>
    <w:rsid w:val="00FA32DC"/>
    <w:rsid w:val="00FA3D24"/>
    <w:rsid w:val="00FA58D8"/>
    <w:rsid w:val="00FA6A32"/>
    <w:rsid w:val="00FA793F"/>
    <w:rsid w:val="00FA7C2E"/>
    <w:rsid w:val="00FB07FC"/>
    <w:rsid w:val="00FB1888"/>
    <w:rsid w:val="00FB260B"/>
    <w:rsid w:val="00FB3AB1"/>
    <w:rsid w:val="00FB42A5"/>
    <w:rsid w:val="00FB4F70"/>
    <w:rsid w:val="00FB5819"/>
    <w:rsid w:val="00FB7DEC"/>
    <w:rsid w:val="00FC2610"/>
    <w:rsid w:val="00FC4AF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A518EE"/>
    <w:rsid w:val="024154FA"/>
    <w:rsid w:val="03392585"/>
    <w:rsid w:val="03777930"/>
    <w:rsid w:val="048B563B"/>
    <w:rsid w:val="0498740B"/>
    <w:rsid w:val="04C67170"/>
    <w:rsid w:val="04E06F37"/>
    <w:rsid w:val="050F6A78"/>
    <w:rsid w:val="051B5CC1"/>
    <w:rsid w:val="0551112C"/>
    <w:rsid w:val="056447B9"/>
    <w:rsid w:val="0611163F"/>
    <w:rsid w:val="064B3B5C"/>
    <w:rsid w:val="06FE29A5"/>
    <w:rsid w:val="07474655"/>
    <w:rsid w:val="0757474C"/>
    <w:rsid w:val="077F1B3D"/>
    <w:rsid w:val="07B04500"/>
    <w:rsid w:val="081A438D"/>
    <w:rsid w:val="08FD1BBC"/>
    <w:rsid w:val="0B52548A"/>
    <w:rsid w:val="0B8E390A"/>
    <w:rsid w:val="0B9F4D98"/>
    <w:rsid w:val="0C301086"/>
    <w:rsid w:val="0C355509"/>
    <w:rsid w:val="0C6467C6"/>
    <w:rsid w:val="0CFC55E5"/>
    <w:rsid w:val="0E2E3F54"/>
    <w:rsid w:val="0F6D1551"/>
    <w:rsid w:val="110D7072"/>
    <w:rsid w:val="11454BE8"/>
    <w:rsid w:val="11A80A94"/>
    <w:rsid w:val="134E3BB4"/>
    <w:rsid w:val="156C5DB0"/>
    <w:rsid w:val="158D359A"/>
    <w:rsid w:val="158E06CA"/>
    <w:rsid w:val="15C858AE"/>
    <w:rsid w:val="16AA5406"/>
    <w:rsid w:val="16F151C5"/>
    <w:rsid w:val="174A6DFA"/>
    <w:rsid w:val="1A017313"/>
    <w:rsid w:val="1A0F4EFC"/>
    <w:rsid w:val="1A2F34F8"/>
    <w:rsid w:val="1AE05AFE"/>
    <w:rsid w:val="1B3B5BF8"/>
    <w:rsid w:val="1C186AEB"/>
    <w:rsid w:val="1C5D3FA3"/>
    <w:rsid w:val="1CC246D4"/>
    <w:rsid w:val="1CEB0F2C"/>
    <w:rsid w:val="1D856F7B"/>
    <w:rsid w:val="1E590BA1"/>
    <w:rsid w:val="1E8C53F8"/>
    <w:rsid w:val="1EA6157D"/>
    <w:rsid w:val="21BF051C"/>
    <w:rsid w:val="220F1AA2"/>
    <w:rsid w:val="22592F43"/>
    <w:rsid w:val="2356208B"/>
    <w:rsid w:val="24351E83"/>
    <w:rsid w:val="249C3D85"/>
    <w:rsid w:val="24F51056"/>
    <w:rsid w:val="252817C0"/>
    <w:rsid w:val="26716FE8"/>
    <w:rsid w:val="268A4F91"/>
    <w:rsid w:val="290A162E"/>
    <w:rsid w:val="2C967788"/>
    <w:rsid w:val="2D8812A4"/>
    <w:rsid w:val="2D9A7884"/>
    <w:rsid w:val="2DBC4B62"/>
    <w:rsid w:val="2E992820"/>
    <w:rsid w:val="2ECC32E3"/>
    <w:rsid w:val="2F2C7D49"/>
    <w:rsid w:val="300E4E3D"/>
    <w:rsid w:val="314B6A1C"/>
    <w:rsid w:val="31717D48"/>
    <w:rsid w:val="335A778C"/>
    <w:rsid w:val="340D4DA1"/>
    <w:rsid w:val="34685552"/>
    <w:rsid w:val="34AE4D02"/>
    <w:rsid w:val="350767DC"/>
    <w:rsid w:val="350864AC"/>
    <w:rsid w:val="366E20FD"/>
    <w:rsid w:val="371645EB"/>
    <w:rsid w:val="388050CF"/>
    <w:rsid w:val="388741D3"/>
    <w:rsid w:val="39AA2F7F"/>
    <w:rsid w:val="3AA045FD"/>
    <w:rsid w:val="3B310220"/>
    <w:rsid w:val="3BA3323A"/>
    <w:rsid w:val="3D2E6B3B"/>
    <w:rsid w:val="3E64673C"/>
    <w:rsid w:val="3F7C1DD3"/>
    <w:rsid w:val="3FD46A12"/>
    <w:rsid w:val="402674E6"/>
    <w:rsid w:val="41C07145"/>
    <w:rsid w:val="424F200A"/>
    <w:rsid w:val="42F265E0"/>
    <w:rsid w:val="44243511"/>
    <w:rsid w:val="45FF5777"/>
    <w:rsid w:val="47EC2027"/>
    <w:rsid w:val="48090121"/>
    <w:rsid w:val="4A020BB7"/>
    <w:rsid w:val="4BFF46EB"/>
    <w:rsid w:val="4C2D1849"/>
    <w:rsid w:val="4D4D29C6"/>
    <w:rsid w:val="4DA931EB"/>
    <w:rsid w:val="4FD4695C"/>
    <w:rsid w:val="50074DB1"/>
    <w:rsid w:val="50646E22"/>
    <w:rsid w:val="50AF20B7"/>
    <w:rsid w:val="53080939"/>
    <w:rsid w:val="53A45945"/>
    <w:rsid w:val="53B403AF"/>
    <w:rsid w:val="540C1746"/>
    <w:rsid w:val="54E678E0"/>
    <w:rsid w:val="54F9767B"/>
    <w:rsid w:val="552D2F4B"/>
    <w:rsid w:val="555A678D"/>
    <w:rsid w:val="55FC2059"/>
    <w:rsid w:val="564E5574"/>
    <w:rsid w:val="56712946"/>
    <w:rsid w:val="56804E61"/>
    <w:rsid w:val="5768210B"/>
    <w:rsid w:val="58462E6A"/>
    <w:rsid w:val="58AC11CA"/>
    <w:rsid w:val="58C32856"/>
    <w:rsid w:val="593B07D8"/>
    <w:rsid w:val="5957590F"/>
    <w:rsid w:val="59C20CE0"/>
    <w:rsid w:val="5BA65FC6"/>
    <w:rsid w:val="5C114C5F"/>
    <w:rsid w:val="5D5C411F"/>
    <w:rsid w:val="5D871A10"/>
    <w:rsid w:val="5DEB31FE"/>
    <w:rsid w:val="5E3462EB"/>
    <w:rsid w:val="5EB07780"/>
    <w:rsid w:val="5EDB3E71"/>
    <w:rsid w:val="5FDD3307"/>
    <w:rsid w:val="60164E79"/>
    <w:rsid w:val="60F666A9"/>
    <w:rsid w:val="615D1744"/>
    <w:rsid w:val="62332990"/>
    <w:rsid w:val="62FC2FFD"/>
    <w:rsid w:val="630C42D5"/>
    <w:rsid w:val="637B778C"/>
    <w:rsid w:val="644F0457"/>
    <w:rsid w:val="64EB18ED"/>
    <w:rsid w:val="66511D7F"/>
    <w:rsid w:val="67245C40"/>
    <w:rsid w:val="67487E87"/>
    <w:rsid w:val="67AF59F5"/>
    <w:rsid w:val="6A4B1902"/>
    <w:rsid w:val="6AA74529"/>
    <w:rsid w:val="6AC137B3"/>
    <w:rsid w:val="6AEE6971"/>
    <w:rsid w:val="6AF36141"/>
    <w:rsid w:val="6D1628D6"/>
    <w:rsid w:val="6D577891"/>
    <w:rsid w:val="6D6D5048"/>
    <w:rsid w:val="6DDC178D"/>
    <w:rsid w:val="6EC07D41"/>
    <w:rsid w:val="6FCC398B"/>
    <w:rsid w:val="700E7C74"/>
    <w:rsid w:val="706B6A59"/>
    <w:rsid w:val="72FC0F56"/>
    <w:rsid w:val="738E3645"/>
    <w:rsid w:val="73952D92"/>
    <w:rsid w:val="73E76502"/>
    <w:rsid w:val="74480AA6"/>
    <w:rsid w:val="77E72D1B"/>
    <w:rsid w:val="781227C7"/>
    <w:rsid w:val="78895FA2"/>
    <w:rsid w:val="7A261261"/>
    <w:rsid w:val="7AD76D1F"/>
    <w:rsid w:val="7B4F5E0F"/>
    <w:rsid w:val="7BFB33C9"/>
    <w:rsid w:val="7CA1240F"/>
    <w:rsid w:val="7D8C6A5C"/>
    <w:rsid w:val="7DEF58B3"/>
    <w:rsid w:val="7DFA1E09"/>
    <w:rsid w:val="7E06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5"/>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52"/>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annotation text"/>
    <w:basedOn w:val="1"/>
    <w:semiHidden/>
    <w:unhideWhenUsed/>
    <w:qFormat/>
    <w:uiPriority w:val="0"/>
    <w:pPr>
      <w:jc w:val="left"/>
    </w:pPr>
  </w:style>
  <w:style w:type="paragraph" w:styleId="5">
    <w:name w:val="Date"/>
    <w:basedOn w:val="1"/>
    <w:next w:val="1"/>
    <w:link w:val="65"/>
    <w:qFormat/>
    <w:uiPriority w:val="0"/>
    <w:pPr>
      <w:ind w:left="100" w:leftChars="2500"/>
    </w:pPr>
  </w:style>
  <w:style w:type="paragraph" w:styleId="6">
    <w:name w:val="Body Text Indent 2"/>
    <w:basedOn w:val="1"/>
    <w:link w:val="48"/>
    <w:qFormat/>
    <w:uiPriority w:val="0"/>
    <w:pPr>
      <w:ind w:firstLine="480" w:firstLineChars="0"/>
    </w:pPr>
    <w:rPr>
      <w:rFonts w:ascii="Times New Roman" w:hAnsi="Times New Roman" w:eastAsia="宋体" w:cs="Times New Roman"/>
      <w:b/>
      <w:sz w:val="24"/>
      <w:szCs w:val="20"/>
    </w:rPr>
  </w:style>
  <w:style w:type="paragraph" w:styleId="7">
    <w:name w:val="endnote text"/>
    <w:basedOn w:val="1"/>
    <w:link w:val="57"/>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8">
    <w:name w:val="Balloon Text"/>
    <w:basedOn w:val="1"/>
    <w:link w:val="42"/>
    <w:semiHidden/>
    <w:unhideWhenUsed/>
    <w:qFormat/>
    <w:uiPriority w:val="0"/>
    <w:pPr>
      <w:spacing w:line="240" w:lineRule="auto"/>
    </w:pPr>
    <w:rPr>
      <w:sz w:val="18"/>
      <w:szCs w:val="18"/>
    </w:rPr>
  </w:style>
  <w:style w:type="paragraph" w:styleId="9">
    <w:name w:val="footer"/>
    <w:basedOn w:val="1"/>
    <w:link w:val="25"/>
    <w:unhideWhenUsed/>
    <w:qFormat/>
    <w:uiPriority w:val="0"/>
    <w:pPr>
      <w:tabs>
        <w:tab w:val="center" w:pos="4153"/>
        <w:tab w:val="right" w:pos="8306"/>
      </w:tabs>
      <w:snapToGrid w:val="0"/>
      <w:spacing w:line="240" w:lineRule="auto"/>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semiHidden/>
    <w:qFormat/>
    <w:uiPriority w:val="0"/>
    <w:pPr>
      <w:tabs>
        <w:tab w:val="right" w:leader="dot" w:pos="9242"/>
      </w:tabs>
      <w:spacing w:beforeLines="25" w:afterLines="25"/>
      <w:jc w:val="left"/>
    </w:pPr>
    <w:rPr>
      <w:rFonts w:ascii="宋体"/>
      <w:szCs w:val="21"/>
    </w:rPr>
  </w:style>
  <w:style w:type="paragraph" w:styleId="12">
    <w:name w:val="footnote text"/>
    <w:basedOn w:val="1"/>
    <w:link w:val="59"/>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3">
    <w:name w:val="Normal (Web)"/>
    <w:basedOn w:val="1"/>
    <w:qFormat/>
    <w:uiPriority w:val="99"/>
    <w:pPr>
      <w:spacing w:beforeAutospacing="1" w:afterAutospacing="1"/>
      <w:jc w:val="left"/>
    </w:pPr>
    <w:rPr>
      <w:rFonts w:cs="Times New Roman"/>
      <w:kern w:val="0"/>
      <w:sz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endnote reference"/>
    <w:basedOn w:val="16"/>
    <w:qFormat/>
    <w:uiPriority w:val="0"/>
    <w:rPr>
      <w:vertAlign w:val="superscript"/>
    </w:rPr>
  </w:style>
  <w:style w:type="character" w:styleId="18">
    <w:name w:val="Hyperlink"/>
    <w:basedOn w:val="16"/>
    <w:unhideWhenUsed/>
    <w:qFormat/>
    <w:uiPriority w:val="99"/>
    <w:rPr>
      <w:color w:val="0000FF"/>
      <w:u w:val="single"/>
    </w:rPr>
  </w:style>
  <w:style w:type="character" w:styleId="19">
    <w:name w:val="annotation reference"/>
    <w:basedOn w:val="16"/>
    <w:semiHidden/>
    <w:unhideWhenUsed/>
    <w:qFormat/>
    <w:uiPriority w:val="0"/>
    <w:rPr>
      <w:sz w:val="21"/>
      <w:szCs w:val="21"/>
    </w:rPr>
  </w:style>
  <w:style w:type="character" w:styleId="20">
    <w:name w:val="footnote reference"/>
    <w:basedOn w:val="16"/>
    <w:qFormat/>
    <w:uiPriority w:val="0"/>
    <w:rPr>
      <w:vertAlign w:val="superscript"/>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章标题"/>
    <w:next w:val="22"/>
    <w:link w:val="4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4">
    <w:name w:val="页眉 字符"/>
    <w:basedOn w:val="16"/>
    <w:link w:val="10"/>
    <w:qFormat/>
    <w:uiPriority w:val="0"/>
    <w:rPr>
      <w:rFonts w:eastAsia="仿宋" w:asciiTheme="minorHAnsi" w:hAnsiTheme="minorHAnsi" w:cstheme="minorBidi"/>
      <w:kern w:val="2"/>
      <w:sz w:val="18"/>
      <w:szCs w:val="18"/>
    </w:rPr>
  </w:style>
  <w:style w:type="character" w:customStyle="1" w:styleId="25">
    <w:name w:val="页脚 字符"/>
    <w:basedOn w:val="16"/>
    <w:link w:val="9"/>
    <w:qFormat/>
    <w:uiPriority w:val="0"/>
    <w:rPr>
      <w:rFonts w:eastAsia="仿宋" w:asciiTheme="minorHAnsi" w:hAnsiTheme="minorHAnsi" w:cstheme="minorBidi"/>
      <w:kern w:val="2"/>
      <w:sz w:val="18"/>
      <w:szCs w:val="18"/>
    </w:rPr>
  </w:style>
  <w:style w:type="paragraph" w:styleId="26">
    <w:name w:val="List Paragraph"/>
    <w:basedOn w:val="1"/>
    <w:unhideWhenUsed/>
    <w:qFormat/>
    <w:uiPriority w:val="34"/>
    <w:pPr>
      <w:ind w:firstLine="420"/>
    </w:pPr>
  </w:style>
  <w:style w:type="paragraph" w:customStyle="1" w:styleId="2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30">
    <w:name w:val="段 Char"/>
    <w:basedOn w:val="16"/>
    <w:link w:val="22"/>
    <w:qFormat/>
    <w:locked/>
    <w:uiPriority w:val="0"/>
    <w:rPr>
      <w:rFonts w:ascii="宋体"/>
      <w:sz w:val="21"/>
    </w:rPr>
  </w:style>
  <w:style w:type="character" w:customStyle="1" w:styleId="31">
    <w:name w:val="一级条标题 Char"/>
    <w:link w:val="32"/>
    <w:qFormat/>
    <w:locked/>
    <w:uiPriority w:val="99"/>
    <w:rPr>
      <w:rFonts w:ascii="黑体" w:eastAsia="黑体"/>
      <w:sz w:val="22"/>
    </w:rPr>
  </w:style>
  <w:style w:type="paragraph" w:customStyle="1" w:styleId="32">
    <w:name w:val="一级条标题"/>
    <w:next w:val="22"/>
    <w:link w:val="31"/>
    <w:qFormat/>
    <w:uiPriority w:val="99"/>
    <w:pPr>
      <w:spacing w:beforeLines="50" w:afterLines="50"/>
      <w:outlineLvl w:val="2"/>
    </w:pPr>
    <w:rPr>
      <w:rFonts w:ascii="黑体" w:hAnsi="Times New Roman" w:eastAsia="黑体" w:cs="Times New Roman"/>
      <w:sz w:val="22"/>
      <w:lang w:val="en-US" w:eastAsia="zh-CN" w:bidi="ar-SA"/>
    </w:rPr>
  </w:style>
  <w:style w:type="paragraph" w:customStyle="1" w:styleId="33">
    <w:name w:val="四级条标题"/>
    <w:basedOn w:val="34"/>
    <w:next w:val="22"/>
    <w:qFormat/>
    <w:uiPriority w:val="0"/>
    <w:pPr>
      <w:outlineLvl w:val="5"/>
    </w:pPr>
  </w:style>
  <w:style w:type="paragraph" w:customStyle="1" w:styleId="34">
    <w:name w:val="三级条标题"/>
    <w:basedOn w:val="35"/>
    <w:next w:val="22"/>
    <w:qFormat/>
    <w:uiPriority w:val="0"/>
    <w:pPr>
      <w:outlineLvl w:val="4"/>
    </w:pPr>
  </w:style>
  <w:style w:type="paragraph" w:customStyle="1" w:styleId="35">
    <w:name w:val="二级条标题"/>
    <w:basedOn w:val="32"/>
    <w:next w:val="22"/>
    <w:qFormat/>
    <w:uiPriority w:val="0"/>
    <w:pPr>
      <w:spacing w:before="50" w:after="50"/>
      <w:outlineLvl w:val="3"/>
    </w:pPr>
  </w:style>
  <w:style w:type="paragraph" w:customStyle="1" w:styleId="36">
    <w:name w:val="五级条标题"/>
    <w:basedOn w:val="33"/>
    <w:next w:val="22"/>
    <w:qFormat/>
    <w:uiPriority w:val="0"/>
    <w:pPr>
      <w:outlineLvl w:val="6"/>
    </w:pPr>
  </w:style>
  <w:style w:type="paragraph" w:customStyle="1" w:styleId="37">
    <w:name w:val="正文表标题"/>
    <w:next w:val="22"/>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8">
    <w:name w:val="附录表标号"/>
    <w:basedOn w:val="1"/>
    <w:next w:val="22"/>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9">
    <w:name w:val="附录表标题"/>
    <w:basedOn w:val="1"/>
    <w:next w:val="22"/>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0">
    <w:name w:val="图表脚注说明"/>
    <w:basedOn w:val="1"/>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1">
    <w:name w:val="章标题 Char"/>
    <w:link w:val="23"/>
    <w:qFormat/>
    <w:locked/>
    <w:uiPriority w:val="99"/>
    <w:rPr>
      <w:rFonts w:ascii="黑体" w:eastAsia="黑体"/>
      <w:sz w:val="21"/>
    </w:rPr>
  </w:style>
  <w:style w:type="character" w:customStyle="1" w:styleId="42">
    <w:name w:val="批注框文本 字符"/>
    <w:basedOn w:val="16"/>
    <w:link w:val="8"/>
    <w:semiHidden/>
    <w:qFormat/>
    <w:uiPriority w:val="0"/>
    <w:rPr>
      <w:rFonts w:eastAsia="仿宋" w:asciiTheme="minorHAnsi" w:hAnsiTheme="minorHAnsi" w:cstheme="minorBidi"/>
      <w:kern w:val="2"/>
      <w:sz w:val="18"/>
      <w:szCs w:val="18"/>
    </w:rPr>
  </w:style>
  <w:style w:type="paragraph" w:customStyle="1" w:styleId="43">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4">
    <w:name w:val="标题 2 字符"/>
    <w:basedOn w:val="16"/>
    <w:semiHidden/>
    <w:qFormat/>
    <w:uiPriority w:val="9"/>
    <w:rPr>
      <w:rFonts w:asciiTheme="majorHAnsi" w:hAnsiTheme="majorHAnsi" w:eastAsiaTheme="majorEastAsia" w:cstheme="majorBidi"/>
      <w:b/>
      <w:bCs/>
      <w:kern w:val="2"/>
      <w:sz w:val="32"/>
      <w:szCs w:val="32"/>
    </w:rPr>
  </w:style>
  <w:style w:type="character" w:customStyle="1" w:styleId="45">
    <w:name w:val="标题 2 字符1"/>
    <w:basedOn w:val="16"/>
    <w:link w:val="2"/>
    <w:qFormat/>
    <w:uiPriority w:val="0"/>
    <w:rPr>
      <w:rFonts w:ascii="Arial" w:hAnsi="Arial" w:eastAsia="黑体"/>
      <w:b/>
      <w:bCs/>
      <w:kern w:val="2"/>
      <w:sz w:val="32"/>
      <w:szCs w:val="32"/>
    </w:rPr>
  </w:style>
  <w:style w:type="paragraph" w:customStyle="1" w:styleId="46">
    <w:name w:val="Char Char Char Char"/>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7">
    <w:name w:val="Char"/>
    <w:basedOn w:val="1"/>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8">
    <w:name w:val="正文文本缩进 2 字符"/>
    <w:basedOn w:val="16"/>
    <w:link w:val="6"/>
    <w:qFormat/>
    <w:uiPriority w:val="0"/>
    <w:rPr>
      <w:b/>
      <w:kern w:val="2"/>
      <w:sz w:val="24"/>
    </w:rPr>
  </w:style>
  <w:style w:type="table" w:customStyle="1" w:styleId="49">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一级无"/>
    <w:basedOn w:val="32"/>
    <w:qFormat/>
    <w:uiPriority w:val="0"/>
    <w:pPr>
      <w:spacing w:beforeLines="0" w:afterLines="0"/>
      <w:ind w:left="210"/>
    </w:pPr>
    <w:rPr>
      <w:rFonts w:ascii="宋体" w:eastAsia="宋体"/>
      <w:sz w:val="21"/>
      <w:szCs w:val="21"/>
    </w:rPr>
  </w:style>
  <w:style w:type="paragraph" w:customStyle="1" w:styleId="51">
    <w:name w:val="示例"/>
    <w:next w:val="1"/>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2">
    <w:name w:val="文档结构图 字符"/>
    <w:basedOn w:val="16"/>
    <w:link w:val="3"/>
    <w:semiHidden/>
    <w:qFormat/>
    <w:uiPriority w:val="0"/>
    <w:rPr>
      <w:kern w:val="2"/>
      <w:sz w:val="21"/>
      <w:szCs w:val="24"/>
      <w:shd w:val="clear" w:color="auto" w:fill="000080"/>
    </w:rPr>
  </w:style>
  <w:style w:type="paragraph" w:customStyle="1" w:styleId="53">
    <w:name w:val="二级无"/>
    <w:basedOn w:val="35"/>
    <w:qFormat/>
    <w:uiPriority w:val="0"/>
    <w:pPr>
      <w:spacing w:beforeLines="0" w:afterLines="0"/>
    </w:pPr>
    <w:rPr>
      <w:rFonts w:ascii="宋体" w:eastAsia="宋体"/>
      <w:sz w:val="21"/>
      <w:szCs w:val="21"/>
    </w:rPr>
  </w:style>
  <w:style w:type="paragraph" w:customStyle="1" w:styleId="54">
    <w:name w:val="三级无"/>
    <w:basedOn w:val="1"/>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5">
    <w:name w:val="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6">
    <w:name w:val="尾注文本 字符"/>
    <w:basedOn w:val="16"/>
    <w:semiHidden/>
    <w:qFormat/>
    <w:uiPriority w:val="99"/>
    <w:rPr>
      <w:rFonts w:eastAsia="仿宋" w:asciiTheme="minorHAnsi" w:hAnsiTheme="minorHAnsi" w:cstheme="minorBidi"/>
      <w:kern w:val="2"/>
      <w:sz w:val="32"/>
      <w:szCs w:val="22"/>
    </w:rPr>
  </w:style>
  <w:style w:type="character" w:customStyle="1" w:styleId="57">
    <w:name w:val="尾注文本 字符1"/>
    <w:basedOn w:val="16"/>
    <w:link w:val="7"/>
    <w:qFormat/>
    <w:uiPriority w:val="0"/>
    <w:rPr>
      <w:kern w:val="2"/>
      <w:sz w:val="21"/>
      <w:szCs w:val="24"/>
    </w:rPr>
  </w:style>
  <w:style w:type="character" w:customStyle="1" w:styleId="58">
    <w:name w:val="脚注文本 字符"/>
    <w:basedOn w:val="16"/>
    <w:semiHidden/>
    <w:qFormat/>
    <w:uiPriority w:val="99"/>
    <w:rPr>
      <w:rFonts w:eastAsia="仿宋" w:asciiTheme="minorHAnsi" w:hAnsiTheme="minorHAnsi" w:cstheme="minorBidi"/>
      <w:kern w:val="2"/>
      <w:sz w:val="18"/>
      <w:szCs w:val="18"/>
    </w:rPr>
  </w:style>
  <w:style w:type="character" w:customStyle="1" w:styleId="59">
    <w:name w:val="脚注文本 字符1"/>
    <w:basedOn w:val="16"/>
    <w:link w:val="12"/>
    <w:qFormat/>
    <w:uiPriority w:val="0"/>
    <w:rPr>
      <w:kern w:val="2"/>
      <w:sz w:val="18"/>
      <w:szCs w:val="18"/>
    </w:rPr>
  </w:style>
  <w:style w:type="table" w:customStyle="1" w:styleId="60">
    <w:name w:val="网格型2"/>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3"/>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
    <w:name w:val="网格型4"/>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3">
    <w:name w:val="网格型5"/>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4">
    <w:name w:val="网格型6"/>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5">
    <w:name w:val="日期 字符"/>
    <w:basedOn w:val="16"/>
    <w:link w:val="5"/>
    <w:qFormat/>
    <w:uiPriority w:val="0"/>
    <w:rPr>
      <w:rFonts w:eastAsia="仿宋" w:asciiTheme="minorHAnsi" w:hAnsiTheme="minorHAnsi" w:cstheme="minorBidi"/>
      <w:kern w:val="2"/>
      <w:sz w:val="32"/>
      <w:szCs w:val="22"/>
    </w:rPr>
  </w:style>
  <w:style w:type="table" w:customStyle="1" w:styleId="66">
    <w:name w:val="网格型7"/>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
    <w:name w:val="网格型8"/>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8">
    <w:name w:val="Other|1"/>
    <w:basedOn w:val="1"/>
    <w:qFormat/>
    <w:uiPriority w:val="0"/>
    <w:pPr>
      <w:spacing w:line="348" w:lineRule="auto"/>
    </w:pPr>
    <w:rPr>
      <w:rFonts w:ascii="宋体" w:hAnsi="宋体" w:eastAsia="宋体" w:cs="宋体"/>
      <w:sz w:val="19"/>
      <w:szCs w:val="19"/>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1F50-DE4E-4FEB-96FC-6E1BAE2833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4999</Words>
  <Characters>6191</Characters>
  <Lines>48</Lines>
  <Paragraphs>13</Paragraphs>
  <TotalTime>0</TotalTime>
  <ScaleCrop>false</ScaleCrop>
  <LinksUpToDate>false</LinksUpToDate>
  <CharactersWithSpaces>6375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2018-10-16T20:29:00Z</dcterms:created>
  <dc:creator>herodavidgao</dc:creator>
  <cp:lastModifiedBy>张世恩-13241711369</cp:lastModifiedBy>
  <cp:lastPrinted>2018-08-29T11:18:00Z</cp:lastPrinted>
  <dcterms:modified xsi:type="dcterms:W3CDTF">2024-10-29T06:34:05Z</dcterms:modified>
  <cp:revision>1706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DAD9AF3F6A1646BDA32A1A6D027B33BF</vt:lpwstr>
  </property>
</Properties>
</file>