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B411F">
      <w:pPr>
        <w:pStyle w:val="102"/>
        <w:framePr w:w="0" w:hRule="auto" w:wrap="around" w:x="1590" w:y="2356"/>
        <w:rPr>
          <w:rFonts w:ascii="Times New Roman"/>
          <w:b w:val="0"/>
          <w:szCs w:val="48"/>
        </w:rPr>
      </w:pPr>
      <w:r>
        <w:rPr>
          <w:rFonts w:ascii="Times New Roman"/>
          <w:b w:val="0"/>
        </w:rPr>
        <w:t>团体标准</w:t>
      </w:r>
    </w:p>
    <w:p w14:paraId="1B3E0686">
      <w:pPr>
        <w:pStyle w:val="83"/>
        <w:framePr w:wrap="around"/>
        <w:pBdr>
          <w:bottom w:val="single" w:color="auto" w:sz="4" w:space="1"/>
        </w:pBdr>
        <w:wordWrap w:val="0"/>
        <w:rPr>
          <w:rFonts w:ascii="Times New Roman" w:eastAsia="宋体"/>
        </w:rPr>
      </w:pPr>
      <w:r>
        <w:rPr>
          <w:rFonts w:ascii="Times New Roman" w:eastAsia="宋体"/>
        </w:rPr>
        <w:t xml:space="preserve">T/SSEA </w:t>
      </w:r>
      <w:r>
        <w:rPr>
          <w:rFonts w:hint="eastAsia" w:ascii="Times New Roman" w:eastAsia="宋体"/>
        </w:rPr>
        <w:t>XXXX</w:t>
      </w:r>
      <w:r>
        <w:rPr>
          <w:rFonts w:ascii="Times New Roman" w:eastAsia="宋体"/>
        </w:rPr>
        <w:t>—</w:t>
      </w:r>
      <w:r>
        <w:rPr>
          <w:rFonts w:hint="eastAsia" w:ascii="Times New Roman" w:eastAsia="宋体"/>
        </w:rPr>
        <w:t>2024</w:t>
      </w:r>
    </w:p>
    <w:p w14:paraId="358D085D">
      <w:pPr>
        <w:pStyle w:val="83"/>
        <w:framePr w:wrap="around"/>
        <w:rPr>
          <w:rFonts w:ascii="Times New Roman" w:eastAsia="宋体"/>
        </w:rPr>
      </w:pPr>
    </w:p>
    <w:p w14:paraId="7E86AEC6">
      <w:pPr>
        <w:pStyle w:val="83"/>
        <w:framePr w:wrap="around"/>
        <w:rPr>
          <w:rFonts w:ascii="Times New Roman" w:eastAsia="宋体"/>
        </w:rPr>
      </w:pPr>
    </w:p>
    <w:p w14:paraId="0FEBDDB7">
      <w:pPr>
        <w:pStyle w:val="73"/>
        <w:framePr w:wrap="around" w:x="1536" w:y="6316"/>
        <w:rPr>
          <w:rFonts w:ascii="Times New Roman"/>
        </w:rPr>
      </w:pPr>
      <w:bookmarkStart w:id="0" w:name="_Hlk80734608"/>
      <w:r>
        <w:rPr>
          <w:rFonts w:hint="eastAsia" w:ascii="Times New Roman"/>
        </w:rPr>
        <w:t>锚杆用耐蚀钢筋</w:t>
      </w:r>
      <w:bookmarkStart w:id="37" w:name="_GoBack"/>
      <w:bookmarkEnd w:id="37"/>
    </w:p>
    <w:bookmarkEnd w:id="0"/>
    <w:p w14:paraId="66A56BA7">
      <w:pPr>
        <w:pStyle w:val="72"/>
        <w:framePr w:wrap="around" w:x="1536" w:y="6316"/>
        <w:spacing w:before="468" w:beforeLines="150"/>
        <w:rPr>
          <w:bCs/>
        </w:rPr>
      </w:pPr>
      <w:r>
        <w:rPr>
          <w:rFonts w:hint="eastAsia"/>
          <w:bCs/>
        </w:rPr>
        <w:t>Corrosion resistant steel bars for rock bolts</w:t>
      </w:r>
    </w:p>
    <w:p w14:paraId="731FCC04">
      <w:pPr>
        <w:pStyle w:val="114"/>
        <w:framePr w:wrap="around" w:hAnchor="page" w:x="1175" w:y="14086"/>
        <w:rPr>
          <w:rFonts w:eastAsia="宋体"/>
        </w:rPr>
      </w:pPr>
      <w:r>
        <w:rPr>
          <w:rFonts w:hint="eastAsia" w:eastAsia="宋体"/>
        </w:rPr>
        <w:t>2024-XX-XX</w:t>
      </w:r>
      <w:r>
        <w:t>发布</w:t>
      </w:r>
    </w:p>
    <w:p w14:paraId="25E2BA4E">
      <w:pPr>
        <w:pStyle w:val="145"/>
        <w:framePr w:wrap="around" w:hAnchor="page" w:x="6661" w:y="14041"/>
      </w:pPr>
      <w:r>
        <w:rPr>
          <w:rFonts w:hint="eastAsia" w:eastAsia="宋体"/>
        </w:rPr>
        <w:t>2024-XX-XX</w:t>
      </w:r>
      <w:r>
        <w:t>实施</w:t>
      </w:r>
    </w:p>
    <w:p w14:paraId="0611F7C4">
      <w:pPr>
        <w:pStyle w:val="137"/>
        <w:framePr w:wrap="around" w:x="2156" w:y="15196"/>
        <w:rPr>
          <w:rFonts w:ascii="Times New Roman"/>
          <w:b w:val="0"/>
        </w:rPr>
      </w:pPr>
      <w:r>
        <w:rPr>
          <w:rFonts w:ascii="Times New Roman"/>
          <w:b w:val="0"/>
          <w:sz w:val="36"/>
          <w:szCs w:val="36"/>
        </w:rPr>
        <w:t xml:space="preserve">中国特钢企业协会  </w:t>
      </w:r>
      <w:r>
        <w:rPr>
          <w:rFonts w:ascii="Times New Roman"/>
          <w:b w:val="0"/>
        </w:rPr>
        <w:t>发布</w:t>
      </w:r>
    </w:p>
    <w:p w14:paraId="7A5ABADE">
      <w:pPr>
        <w:pStyle w:val="23"/>
        <w:spacing w:line="340" w:lineRule="exact"/>
        <w:rPr>
          <w:rFonts w:ascii="Times New Roman"/>
          <w:kern w:val="2"/>
          <w:sz w:val="22"/>
          <w:szCs w:val="22"/>
        </w:rPr>
      </w:pPr>
      <w:r>
        <w:rPr>
          <w:rFonts w:ascii="Times New Roman"/>
        </w:rPr>
        <w:t>ICS</w:t>
      </w:r>
      <w:r>
        <w:rPr>
          <w:rFonts w:ascii="Times New Roman"/>
          <w:kern w:val="2"/>
          <w:sz w:val="22"/>
          <w:szCs w:val="22"/>
        </w:rPr>
        <w:t xml:space="preserve"> 77.140.60</w:t>
      </w:r>
    </w:p>
    <w:p w14:paraId="05BFDE59">
      <w:pPr>
        <w:pStyle w:val="23"/>
        <w:spacing w:line="340" w:lineRule="exact"/>
        <w:rPr>
          <w:rFonts w:ascii="Times New Roman"/>
        </w:rPr>
      </w:pPr>
      <w:r>
        <w:rPr>
          <w:rFonts w:ascii="Times New Roman"/>
        </w:rPr>
        <w:t>CCS H 44</w:t>
      </w:r>
    </w:p>
    <w:p w14:paraId="2CC1AE03">
      <w:pPr>
        <w:pStyle w:val="23"/>
        <w:spacing w:line="340" w:lineRule="exact"/>
        <w:rPr>
          <w:rFonts w:ascii="Times New Roman"/>
        </w:rPr>
      </w:pPr>
    </w:p>
    <w:p w14:paraId="1D3D6CFA">
      <w:pPr>
        <w:jc w:val="center"/>
        <w:rPr>
          <w:spacing w:val="20"/>
          <w:sz w:val="28"/>
          <w:szCs w:val="28"/>
        </w:rPr>
      </w:pPr>
    </w:p>
    <w:p w14:paraId="588A7C06">
      <w:pPr>
        <w:jc w:val="center"/>
        <w:rPr>
          <w:spacing w:val="20"/>
          <w:sz w:val="28"/>
          <w:szCs w:val="28"/>
        </w:rPr>
      </w:pPr>
    </w:p>
    <w:p w14:paraId="53C4DDC7">
      <w:pPr>
        <w:jc w:val="center"/>
        <w:rPr>
          <w:spacing w:val="20"/>
          <w:sz w:val="28"/>
          <w:szCs w:val="28"/>
        </w:rPr>
      </w:pPr>
      <w: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5876925</wp:posOffset>
                </wp:positionV>
                <wp:extent cx="5948680" cy="0"/>
                <wp:effectExtent l="0" t="0" r="0" b="0"/>
                <wp:wrapTight wrapText="bothSides">
                  <wp:wrapPolygon>
                    <wp:start x="0" y="0"/>
                    <wp:lineTo x="0" y="21600"/>
                    <wp:lineTo x="21600" y="21600"/>
                    <wp:lineTo x="21600" y="0"/>
                  </wp:wrapPolygon>
                </wp:wrapTight>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25pt;margin-top:462.75pt;height:0pt;width:468.4pt;mso-wrap-distance-left:9pt;mso-wrap-distance-right:9pt;z-index:-251657216;mso-width-relative:page;mso-height-relative:page;" filled="f" stroked="t" coordsize="21600,21600" wrapcoords="0 0 0 21600 21600 21600 21600 0"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UWRo1wAAAAsB&#10;AAAPAAAAAAAAAAEAIAAAACIAAABkcnMvZG93bnJldi54bWxQSwECFAAUAAAACACHTuJAfHro7+MB&#10;AACqAwAADgAAAAAAAAABACAAAAAmAQAAZHJzL2Uyb0RvYy54bWxQSwUGAAAAAAYABgBZAQAAewUA&#10;AAAA&#10;">
                <v:fill on="f" focussize="0,0"/>
                <v:stroke color="#000000" joinstyle="round"/>
                <v:imagedata o:title=""/>
                <o:lock v:ext="edit" aspectratio="f"/>
                <w10:wrap type="tight"/>
              </v:line>
            </w:pict>
          </mc:Fallback>
        </mc:AlternateContent>
      </w:r>
    </w:p>
    <w:p w14:paraId="780E95A3">
      <w:pPr>
        <w:jc w:val="center"/>
        <w:rPr>
          <w:sz w:val="32"/>
        </w:rPr>
        <w:sectPr>
          <w:headerReference r:id="rId3" w:type="default"/>
          <w:pgSz w:w="11906" w:h="16838"/>
          <w:pgMar w:top="1134" w:right="1134" w:bottom="1134" w:left="1418" w:header="851" w:footer="992" w:gutter="0"/>
          <w:pgNumType w:start="0"/>
          <w:cols w:space="720" w:num="1"/>
          <w:docGrid w:type="lines" w:linePitch="312" w:charSpace="0"/>
        </w:sectPr>
      </w:pPr>
    </w:p>
    <w:p w14:paraId="4DE375E3">
      <w:pPr>
        <w:pStyle w:val="86"/>
        <w:rPr>
          <w:rFonts w:ascii="Times New Roman"/>
        </w:rPr>
      </w:pPr>
      <w:bookmarkStart w:id="1" w:name="_Toc520380389"/>
    </w:p>
    <w:p w14:paraId="2A2E5FC1">
      <w:pPr>
        <w:pStyle w:val="23"/>
        <w:rPr>
          <w:rFonts w:ascii="Times New Roman"/>
        </w:rPr>
      </w:pPr>
    </w:p>
    <w:p w14:paraId="501C443B">
      <w:pPr>
        <w:pStyle w:val="23"/>
        <w:rPr>
          <w:rFonts w:ascii="Times New Roman"/>
        </w:rPr>
      </w:pPr>
    </w:p>
    <w:p w14:paraId="67727275">
      <w:pPr>
        <w:pStyle w:val="23"/>
        <w:rPr>
          <w:rFonts w:ascii="Times New Roman"/>
        </w:rPr>
      </w:pPr>
    </w:p>
    <w:p w14:paraId="2C9DE957">
      <w:pPr>
        <w:pStyle w:val="23"/>
        <w:rPr>
          <w:rFonts w:ascii="Times New Roman"/>
        </w:rPr>
      </w:pPr>
    </w:p>
    <w:p w14:paraId="410D8B97">
      <w:pPr>
        <w:pStyle w:val="23"/>
        <w:rPr>
          <w:rFonts w:ascii="Times New Roman"/>
        </w:rPr>
      </w:pPr>
    </w:p>
    <w:p w14:paraId="3FB109A8">
      <w:pPr>
        <w:pStyle w:val="23"/>
        <w:rPr>
          <w:rFonts w:ascii="Times New Roman"/>
        </w:rPr>
      </w:pPr>
    </w:p>
    <w:p w14:paraId="05CC37CB">
      <w:pPr>
        <w:pStyle w:val="23"/>
        <w:rPr>
          <w:rFonts w:ascii="Times New Roman"/>
        </w:rPr>
      </w:pPr>
    </w:p>
    <w:p w14:paraId="06851E59">
      <w:pPr>
        <w:pStyle w:val="23"/>
        <w:rPr>
          <w:rFonts w:ascii="Times New Roman"/>
        </w:rPr>
      </w:pPr>
    </w:p>
    <w:p w14:paraId="3BE9E744">
      <w:pPr>
        <w:pStyle w:val="23"/>
        <w:rPr>
          <w:rFonts w:ascii="Times New Roman"/>
        </w:rPr>
      </w:pPr>
    </w:p>
    <w:p w14:paraId="1759F89E">
      <w:pPr>
        <w:pStyle w:val="23"/>
        <w:rPr>
          <w:rFonts w:ascii="Times New Roman"/>
        </w:rPr>
      </w:pPr>
    </w:p>
    <w:p w14:paraId="71A381DD">
      <w:pPr>
        <w:pStyle w:val="23"/>
        <w:rPr>
          <w:rFonts w:ascii="Times New Roman"/>
        </w:rPr>
      </w:pPr>
    </w:p>
    <w:p w14:paraId="28B9EB88">
      <w:pPr>
        <w:pStyle w:val="23"/>
        <w:rPr>
          <w:rFonts w:ascii="Times New Roman"/>
        </w:rPr>
      </w:pPr>
    </w:p>
    <w:p w14:paraId="7F8D77C6">
      <w:pPr>
        <w:pStyle w:val="23"/>
        <w:rPr>
          <w:rFonts w:ascii="Times New Roman"/>
        </w:rPr>
      </w:pPr>
    </w:p>
    <w:p w14:paraId="7138F00C">
      <w:pPr>
        <w:pStyle w:val="23"/>
        <w:rPr>
          <w:rFonts w:ascii="Times New Roman"/>
        </w:rPr>
      </w:pPr>
    </w:p>
    <w:p w14:paraId="305DE5C9">
      <w:pPr>
        <w:pStyle w:val="23"/>
        <w:rPr>
          <w:rFonts w:ascii="Times New Roman"/>
        </w:rPr>
      </w:pPr>
    </w:p>
    <w:p w14:paraId="1D451960">
      <w:pPr>
        <w:pStyle w:val="23"/>
        <w:rPr>
          <w:rFonts w:ascii="Times New Roman"/>
        </w:rPr>
      </w:pPr>
    </w:p>
    <w:p w14:paraId="7EEB4B0B">
      <w:pPr>
        <w:pStyle w:val="23"/>
        <w:rPr>
          <w:rFonts w:ascii="Times New Roman"/>
        </w:rPr>
      </w:pPr>
    </w:p>
    <w:p w14:paraId="23AAD6AA">
      <w:pPr>
        <w:pStyle w:val="23"/>
        <w:rPr>
          <w:rFonts w:ascii="Times New Roman"/>
        </w:rPr>
      </w:pPr>
    </w:p>
    <w:p w14:paraId="6BFA005C">
      <w:pPr>
        <w:pStyle w:val="23"/>
        <w:rPr>
          <w:rFonts w:ascii="Times New Roman"/>
        </w:rPr>
      </w:pPr>
    </w:p>
    <w:p w14:paraId="70ECC9FF">
      <w:pPr>
        <w:pStyle w:val="23"/>
        <w:rPr>
          <w:rFonts w:ascii="Times New Roman"/>
        </w:rPr>
      </w:pPr>
    </w:p>
    <w:p w14:paraId="470E3026">
      <w:pPr>
        <w:pStyle w:val="23"/>
        <w:rPr>
          <w:rFonts w:ascii="Times New Roman"/>
        </w:rPr>
      </w:pPr>
    </w:p>
    <w:p w14:paraId="065A0D08">
      <w:pPr>
        <w:pStyle w:val="23"/>
        <w:rPr>
          <w:rFonts w:ascii="Times New Roman"/>
        </w:rPr>
      </w:pPr>
    </w:p>
    <w:p w14:paraId="47B29C9C">
      <w:pPr>
        <w:pStyle w:val="23"/>
        <w:rPr>
          <w:rFonts w:ascii="Times New Roman"/>
        </w:rPr>
      </w:pPr>
    </w:p>
    <w:p w14:paraId="2A2EE90F">
      <w:pPr>
        <w:pStyle w:val="23"/>
        <w:rPr>
          <w:rFonts w:ascii="Times New Roman"/>
        </w:rPr>
      </w:pPr>
    </w:p>
    <w:p w14:paraId="64AFBCDD">
      <w:pPr>
        <w:pStyle w:val="23"/>
        <w:rPr>
          <w:rFonts w:ascii="Times New Roman"/>
        </w:rPr>
      </w:pPr>
    </w:p>
    <w:p w14:paraId="44ED5103">
      <w:pPr>
        <w:pStyle w:val="23"/>
        <w:rPr>
          <w:rFonts w:ascii="Times New Roman"/>
        </w:rPr>
      </w:pPr>
    </w:p>
    <w:p w14:paraId="5F49BB0D">
      <w:r>
        <w:drawing>
          <wp:inline distT="0" distB="0" distL="0" distR="0">
            <wp:extent cx="814705"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14705" cy="762000"/>
                    </a:xfrm>
                    <a:prstGeom prst="rect">
                      <a:avLst/>
                    </a:prstGeom>
                    <a:noFill/>
                    <a:ln>
                      <a:noFill/>
                    </a:ln>
                  </pic:spPr>
                </pic:pic>
              </a:graphicData>
            </a:graphic>
          </wp:inline>
        </w:drawing>
      </w:r>
      <w:r>
        <w:t>版权保护文件</w:t>
      </w:r>
    </w:p>
    <w:p w14:paraId="04CA75E0">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69AE7319">
      <w:pPr>
        <w:pStyle w:val="2"/>
        <w:jc w:val="center"/>
        <w:rPr>
          <w:rFonts w:eastAsia="黑体"/>
          <w:b w:val="0"/>
          <w:sz w:val="32"/>
          <w:szCs w:val="32"/>
        </w:rPr>
      </w:pPr>
      <w:bookmarkStart w:id="2" w:name="_Toc103246206"/>
      <w:r>
        <w:rPr>
          <w:rFonts w:eastAsia="黑体"/>
          <w:b w:val="0"/>
          <w:sz w:val="32"/>
          <w:szCs w:val="32"/>
        </w:rPr>
        <w:t>前    言</w:t>
      </w:r>
      <w:bookmarkEnd w:id="1"/>
      <w:bookmarkEnd w:id="2"/>
    </w:p>
    <w:p w14:paraId="6482804A">
      <w:pPr>
        <w:pStyle w:val="23"/>
        <w:rPr>
          <w:rFonts w:ascii="Times New Roman"/>
        </w:rPr>
      </w:pPr>
      <w:r>
        <w:rPr>
          <w:rFonts w:ascii="Times New Roman"/>
        </w:rPr>
        <w:t>本文件按照GB/T 1.1</w:t>
      </w:r>
      <w:r>
        <w:rPr>
          <w:rFonts w:ascii="Times New Roman"/>
          <w:kern w:val="2"/>
          <w:szCs w:val="22"/>
        </w:rPr>
        <w:t>—</w:t>
      </w:r>
      <w:r>
        <w:rPr>
          <w:rFonts w:ascii="Times New Roman"/>
        </w:rPr>
        <w:t>2020《标准化工作导则  第1部分：标准化文件的结构和起草规则》的规定起草。</w:t>
      </w:r>
    </w:p>
    <w:p w14:paraId="7D807A89">
      <w:pPr>
        <w:pStyle w:val="23"/>
        <w:rPr>
          <w:rFonts w:ascii="Times New Roman"/>
        </w:rPr>
      </w:pPr>
      <w:r>
        <w:rPr>
          <w:rFonts w:ascii="Times New Roman"/>
        </w:rPr>
        <w:t>请注意本</w:t>
      </w:r>
      <w:r>
        <w:rPr>
          <w:rFonts w:hint="eastAsia" w:ascii="Times New Roman"/>
          <w:lang w:val="en-US" w:eastAsia="zh-CN"/>
        </w:rPr>
        <w:t>文件</w:t>
      </w:r>
      <w:r>
        <w:rPr>
          <w:rFonts w:ascii="Times New Roman"/>
        </w:rPr>
        <w:t>的某些内容可能涉及专利。本文件的发布机构不承担识别专利的责任。</w:t>
      </w:r>
    </w:p>
    <w:p w14:paraId="44E9C9F0">
      <w:pPr>
        <w:pStyle w:val="23"/>
        <w:rPr>
          <w:rFonts w:ascii="Times New Roman"/>
        </w:rPr>
      </w:pPr>
      <w:r>
        <w:rPr>
          <w:rFonts w:ascii="Times New Roman"/>
        </w:rPr>
        <w:t>本文件由中国特钢企业协会团体标准化工作委员会提出并归口。</w:t>
      </w:r>
    </w:p>
    <w:p w14:paraId="57F4D2E1">
      <w:pPr>
        <w:pStyle w:val="23"/>
        <w:rPr>
          <w:rFonts w:ascii="Times New Roman"/>
        </w:rPr>
      </w:pPr>
      <w:r>
        <w:rPr>
          <w:rFonts w:ascii="Times New Roman"/>
        </w:rPr>
        <w:t>本文件起草单位：</w:t>
      </w:r>
    </w:p>
    <w:p w14:paraId="664AE1A5">
      <w:pPr>
        <w:pStyle w:val="23"/>
        <w:rPr>
          <w:rFonts w:ascii="Times New Roman"/>
        </w:rPr>
      </w:pPr>
      <w:r>
        <w:rPr>
          <w:rFonts w:ascii="Times New Roman"/>
        </w:rPr>
        <w:t>本文件主要起草人：</w:t>
      </w:r>
      <w:r>
        <w:rPr>
          <w:rFonts w:hint="eastAsia" w:ascii="Times New Roman"/>
        </w:rPr>
        <w:t>。</w:t>
      </w:r>
    </w:p>
    <w:p w14:paraId="61BF63F6">
      <w:pPr>
        <w:pStyle w:val="23"/>
        <w:rPr>
          <w:rFonts w:ascii="Times New Roman"/>
        </w:rPr>
      </w:pPr>
    </w:p>
    <w:p w14:paraId="066AB939">
      <w:pPr>
        <w:pStyle w:val="23"/>
        <w:rPr>
          <w:rFonts w:ascii="Times New Roman"/>
          <w:bCs/>
        </w:rPr>
      </w:pPr>
    </w:p>
    <w:p w14:paraId="5255645E">
      <w:pPr>
        <w:ind w:firstLine="420" w:firstLineChars="200"/>
        <w:rPr>
          <w:bCs/>
        </w:rPr>
        <w:sectPr>
          <w:headerReference r:id="rId8" w:type="first"/>
          <w:footerReference r:id="rId11" w:type="first"/>
          <w:headerReference r:id="rId6" w:type="default"/>
          <w:footerReference r:id="rId9" w:type="default"/>
          <w:headerReference r:id="rId7" w:type="even"/>
          <w:footerReference r:id="rId10" w:type="even"/>
          <w:type w:val="oddPage"/>
          <w:pgSz w:w="11906" w:h="16838"/>
          <w:pgMar w:top="1440" w:right="1134" w:bottom="1440" w:left="1418" w:header="1418" w:footer="1134" w:gutter="0"/>
          <w:pgNumType w:fmt="upperRoman"/>
          <w:cols w:space="720" w:num="1"/>
          <w:formProt w:val="0"/>
          <w:titlePg/>
          <w:docGrid w:type="lines" w:linePitch="312" w:charSpace="0"/>
        </w:sectPr>
      </w:pPr>
    </w:p>
    <w:p w14:paraId="772E4369">
      <w:pPr>
        <w:pStyle w:val="63"/>
        <w:spacing w:after="624" w:afterLines="200"/>
        <w:rPr>
          <w:rFonts w:ascii="Times New Roman"/>
        </w:rPr>
      </w:pPr>
      <w:r>
        <w:rPr>
          <w:rFonts w:hint="eastAsia" w:ascii="Times New Roman"/>
        </w:rPr>
        <w:t>锚杆用耐蚀钢筋</w:t>
      </w:r>
    </w:p>
    <w:p w14:paraId="44DD1871">
      <w:pPr>
        <w:pStyle w:val="50"/>
      </w:pPr>
      <w:bookmarkStart w:id="3" w:name="_Toc103246208"/>
      <w:bookmarkStart w:id="4" w:name="_Toc520380391"/>
      <w:r>
        <w:t>范围</w:t>
      </w:r>
      <w:bookmarkEnd w:id="3"/>
      <w:bookmarkEnd w:id="4"/>
    </w:p>
    <w:p w14:paraId="70FF8648">
      <w:pPr>
        <w:pStyle w:val="23"/>
        <w:ind w:firstLine="630" w:firstLineChars="300"/>
        <w:rPr>
          <w:rFonts w:ascii="Times New Roman"/>
        </w:rPr>
      </w:pPr>
      <w:bookmarkStart w:id="5" w:name="_Hlk80686827"/>
      <w:r>
        <w:rPr>
          <w:rFonts w:ascii="Times New Roman"/>
        </w:rPr>
        <w:t>本文件规定了</w:t>
      </w:r>
      <w:r>
        <w:rPr>
          <w:rFonts w:hint="eastAsia" w:ascii="Times New Roman"/>
        </w:rPr>
        <w:t>锚杆用耐蚀钢筋</w:t>
      </w:r>
      <w:r>
        <w:rPr>
          <w:rFonts w:ascii="Times New Roman"/>
        </w:rPr>
        <w:t>的</w:t>
      </w:r>
      <w:r>
        <w:rPr>
          <w:rFonts w:hint="eastAsia" w:ascii="Times New Roman"/>
        </w:rPr>
        <w:t>定义</w:t>
      </w:r>
      <w:r>
        <w:rPr>
          <w:rFonts w:ascii="Times New Roman"/>
        </w:rPr>
        <w:t>、订货内容</w:t>
      </w:r>
      <w:r>
        <w:rPr>
          <w:rFonts w:hint="eastAsia" w:ascii="Times New Roman"/>
        </w:rPr>
        <w:t>、分类、</w:t>
      </w:r>
      <w:r>
        <w:rPr>
          <w:rFonts w:ascii="Times New Roman"/>
        </w:rPr>
        <w:t>牌号、尺寸、外形、重量</w:t>
      </w:r>
      <w:r>
        <w:rPr>
          <w:rFonts w:hint="eastAsia" w:ascii="Times New Roman"/>
        </w:rPr>
        <w:t>及允许偏差</w:t>
      </w:r>
      <w:r>
        <w:rPr>
          <w:rFonts w:ascii="Times New Roman"/>
        </w:rPr>
        <w:t>、</w:t>
      </w:r>
      <w:r>
        <w:rPr>
          <w:rFonts w:hint="eastAsia" w:ascii="Times New Roman"/>
        </w:rPr>
        <w:t>冶炼及性能</w:t>
      </w:r>
      <w:r>
        <w:rPr>
          <w:rFonts w:ascii="Times New Roman"/>
        </w:rPr>
        <w:t>、试验方法、检验规则、包装、标志和质量证明书。</w:t>
      </w:r>
    </w:p>
    <w:p w14:paraId="15CF7331">
      <w:pPr>
        <w:pStyle w:val="23"/>
        <w:ind w:firstLine="630" w:firstLineChars="300"/>
        <w:rPr>
          <w:rFonts w:ascii="Times New Roman"/>
        </w:rPr>
      </w:pPr>
      <w:r>
        <w:rPr>
          <w:rFonts w:ascii="Times New Roman"/>
        </w:rPr>
        <w:t>本文件适用于</w:t>
      </w:r>
      <w:r>
        <w:rPr>
          <w:rFonts w:hint="eastAsia" w:ascii="Times New Roman"/>
        </w:rPr>
        <w:t>锚杆用耐蚀钢筋</w:t>
      </w:r>
      <w:r>
        <w:rPr>
          <w:rFonts w:ascii="Times New Roman"/>
        </w:rPr>
        <w:t>（以下简称钢筋）。</w:t>
      </w:r>
    </w:p>
    <w:bookmarkEnd w:id="5"/>
    <w:p w14:paraId="5282DC2B">
      <w:pPr>
        <w:pStyle w:val="50"/>
      </w:pPr>
      <w:bookmarkStart w:id="6" w:name="_Toc103246209"/>
      <w:bookmarkStart w:id="7" w:name="_Toc520380393"/>
      <w:r>
        <w:t>规范性引用文件</w:t>
      </w:r>
      <w:bookmarkEnd w:id="6"/>
    </w:p>
    <w:p w14:paraId="01452E66">
      <w:pPr>
        <w:ind w:firstLine="420" w:firstLineChars="200"/>
      </w:pPr>
      <w:r>
        <w:t>下列文件中的内容通过文中的规范</w:t>
      </w:r>
      <w:r>
        <w:rPr>
          <w:rFonts w:hint="eastAsia"/>
        </w:rPr>
        <w:t xml:space="preserve"> </w:t>
      </w:r>
      <w:r>
        <w:t>性引用而成为本文件必不可少的条款。其中，注日期的引用文件，仅该日期对应的版本适用于本文件；不注日期的引用文件，其最新版本（包括所有的修改单）适用于本文件。</w:t>
      </w:r>
    </w:p>
    <w:bookmarkEnd w:id="7"/>
    <w:p w14:paraId="5611AB30">
      <w:pPr>
        <w:ind w:firstLine="420" w:firstLineChars="200"/>
      </w:pPr>
      <w:bookmarkStart w:id="8" w:name="_Toc103246210"/>
      <w:bookmarkStart w:id="9" w:name="_Toc520380394"/>
      <w:r>
        <w:t>GB/T 222  钢的成品化学成分允许偏差</w:t>
      </w:r>
    </w:p>
    <w:p w14:paraId="7EE129C0">
      <w:pPr>
        <w:autoSpaceDE w:val="0"/>
        <w:autoSpaceDN w:val="0"/>
        <w:adjustRightInd w:val="0"/>
        <w:snapToGrid w:val="0"/>
        <w:ind w:firstLine="420"/>
        <w:rPr>
          <w:szCs w:val="21"/>
          <w:lang w:val="zh-CN"/>
        </w:rPr>
      </w:pPr>
      <w:bookmarkStart w:id="10" w:name="_Hlk99614279"/>
      <w:r>
        <w:rPr>
          <w:szCs w:val="21"/>
          <w:lang w:val="zh-CN"/>
        </w:rPr>
        <w:t>GB/T 223.5  钢铁  酸溶硅和全硅含量的测定  还原型硅钼酸盐分光光度法</w:t>
      </w:r>
    </w:p>
    <w:p w14:paraId="1F0BA3D6">
      <w:pPr>
        <w:ind w:firstLine="420" w:firstLineChars="200"/>
      </w:pPr>
      <w:r>
        <w:t xml:space="preserve">GB/T 223.11  </w:t>
      </w:r>
      <w:r>
        <w:rPr>
          <w:rFonts w:hint="eastAsia"/>
        </w:rPr>
        <w:t>钢铁及合金</w:t>
      </w:r>
      <w:r>
        <w:t xml:space="preserve">  </w:t>
      </w:r>
      <w:r>
        <w:rPr>
          <w:rFonts w:hint="eastAsia"/>
        </w:rPr>
        <w:t>铬含量的测定</w:t>
      </w:r>
      <w:r>
        <w:t xml:space="preserve">  </w:t>
      </w:r>
      <w:r>
        <w:rPr>
          <w:rFonts w:hint="eastAsia"/>
        </w:rPr>
        <w:t>可视滴定或电位滴定法</w:t>
      </w:r>
    </w:p>
    <w:p w14:paraId="1C99109A">
      <w:pPr>
        <w:ind w:firstLine="420" w:firstLineChars="200"/>
      </w:pPr>
      <w:r>
        <w:t>GB/T 223.14  钢铁及合金化学分析方法  钽试剂萃取光度法测定钒含量</w:t>
      </w:r>
    </w:p>
    <w:p w14:paraId="371E9ED7">
      <w:pPr>
        <w:ind w:firstLine="420" w:firstLineChars="200"/>
      </w:pPr>
      <w:r>
        <w:t>GB/T 223.19  钢铁及合金化学分析方法  新亚铜灵-三氯甲烷萃取光度法测定铜量</w:t>
      </w:r>
    </w:p>
    <w:p w14:paraId="2CC06F1B">
      <w:pPr>
        <w:ind w:firstLine="420" w:firstLineChars="200"/>
      </w:pPr>
      <w:r>
        <w:t xml:space="preserve">GB/T 223.23  </w:t>
      </w:r>
      <w:r>
        <w:rPr>
          <w:rFonts w:hint="eastAsia"/>
        </w:rPr>
        <w:t>钢铁及合金</w:t>
      </w:r>
      <w:r>
        <w:t xml:space="preserve">  </w:t>
      </w:r>
      <w:r>
        <w:rPr>
          <w:rFonts w:hint="eastAsia"/>
        </w:rPr>
        <w:t>镍含量的测定</w:t>
      </w:r>
      <w:r>
        <w:t xml:space="preserve">  </w:t>
      </w:r>
      <w:r>
        <w:rPr>
          <w:rFonts w:hint="eastAsia"/>
        </w:rPr>
        <w:t>丁二酮肟分光亮度法</w:t>
      </w:r>
    </w:p>
    <w:p w14:paraId="6D731FD8">
      <w:pPr>
        <w:autoSpaceDE w:val="0"/>
        <w:autoSpaceDN w:val="0"/>
        <w:adjustRightInd w:val="0"/>
        <w:snapToGrid w:val="0"/>
        <w:ind w:firstLine="420"/>
        <w:rPr>
          <w:szCs w:val="21"/>
          <w:lang w:val="zh-CN"/>
        </w:rPr>
      </w:pPr>
      <w:bookmarkStart w:id="11" w:name="_Hlk87887577"/>
      <w:r>
        <w:t>GB/T 223.26</w:t>
      </w:r>
      <w:bookmarkEnd w:id="11"/>
      <w:r>
        <w:t xml:space="preserve">  钢铁及合金  钼含量的测定  硫氰酸盐分光光度法</w:t>
      </w:r>
    </w:p>
    <w:p w14:paraId="749994C8">
      <w:pPr>
        <w:autoSpaceDE w:val="0"/>
        <w:autoSpaceDN w:val="0"/>
        <w:adjustRightInd w:val="0"/>
        <w:snapToGrid w:val="0"/>
        <w:ind w:firstLine="420"/>
        <w:rPr>
          <w:szCs w:val="21"/>
          <w:lang w:val="zh-CN"/>
        </w:rPr>
      </w:pPr>
      <w:r>
        <w:rPr>
          <w:szCs w:val="21"/>
          <w:lang w:val="zh-CN"/>
        </w:rPr>
        <w:t>GB/T 223.40  钢铁及合金  铌含量的测定  氯磺酚S分光光度法</w:t>
      </w:r>
    </w:p>
    <w:p w14:paraId="42EDAB7A">
      <w:pPr>
        <w:autoSpaceDE w:val="0"/>
        <w:autoSpaceDN w:val="0"/>
        <w:adjustRightInd w:val="0"/>
        <w:snapToGrid w:val="0"/>
        <w:ind w:firstLine="420"/>
        <w:rPr>
          <w:szCs w:val="21"/>
          <w:lang w:val="zh-CN"/>
        </w:rPr>
      </w:pPr>
      <w:r>
        <w:rPr>
          <w:szCs w:val="21"/>
          <w:lang w:val="zh-CN"/>
        </w:rPr>
        <w:t>GB/T 223.4</w:t>
      </w:r>
      <w:r>
        <w:rPr>
          <w:rFonts w:hint="eastAsia"/>
          <w:szCs w:val="21"/>
          <w:lang w:val="zh-CN"/>
        </w:rPr>
        <w:t>9</w:t>
      </w:r>
      <w:r>
        <w:rPr>
          <w:szCs w:val="21"/>
          <w:lang w:val="zh-CN"/>
        </w:rPr>
        <w:t xml:space="preserve">  </w:t>
      </w:r>
      <w:r>
        <w:rPr>
          <w:rFonts w:hint="eastAsia"/>
          <w:szCs w:val="21"/>
          <w:lang w:val="zh-CN"/>
        </w:rPr>
        <w:t>钢铁及合金化学分析方法  萃取分离-偶氮氯膦mA分光光度法测定稀土总量</w:t>
      </w:r>
    </w:p>
    <w:p w14:paraId="32D833AC">
      <w:pPr>
        <w:autoSpaceDE w:val="0"/>
        <w:autoSpaceDN w:val="0"/>
        <w:adjustRightInd w:val="0"/>
        <w:snapToGrid w:val="0"/>
        <w:ind w:firstLine="420"/>
        <w:rPr>
          <w:szCs w:val="21"/>
          <w:lang w:val="zh-CN"/>
        </w:rPr>
      </w:pPr>
      <w:r>
        <w:rPr>
          <w:szCs w:val="21"/>
          <w:lang w:val="zh-CN"/>
        </w:rPr>
        <w:t>GB/T 223.59  钢铁及合金  磷含量的测定  铋磷钼蓝分光光度法和锑磷钼蓝分光光度法</w:t>
      </w:r>
    </w:p>
    <w:p w14:paraId="2B432AD9">
      <w:pPr>
        <w:ind w:firstLine="420" w:firstLineChars="200"/>
      </w:pPr>
      <w:r>
        <w:t xml:space="preserve">GB/T 223.63  </w:t>
      </w:r>
      <w:r>
        <w:rPr>
          <w:rFonts w:hint="eastAsia"/>
        </w:rPr>
        <w:t>钢铁及合金  锰含量的测定 高碘酸钠（钾）分光光度法</w:t>
      </w:r>
    </w:p>
    <w:p w14:paraId="4ACF86BF">
      <w:pPr>
        <w:ind w:firstLine="420" w:firstLineChars="200"/>
      </w:pPr>
      <w:r>
        <w:t>GB/T 223.6</w:t>
      </w:r>
      <w:r>
        <w:rPr>
          <w:rFonts w:hint="eastAsia"/>
        </w:rPr>
        <w:t>9</w:t>
      </w:r>
      <w:r>
        <w:t xml:space="preserve">  </w:t>
      </w:r>
      <w:r>
        <w:rPr>
          <w:rFonts w:hint="eastAsia"/>
        </w:rPr>
        <w:t>钢铁及合金  碳含量的测定  管式炉内燃烧后气体容量法</w:t>
      </w:r>
    </w:p>
    <w:p w14:paraId="7E044C69">
      <w:pPr>
        <w:ind w:firstLine="420" w:firstLineChars="200"/>
      </w:pPr>
      <w:r>
        <w:t>GB/T 223.</w:t>
      </w:r>
      <w:r>
        <w:rPr>
          <w:rFonts w:hint="eastAsia"/>
          <w:lang w:val="en-US" w:eastAsia="zh-CN"/>
        </w:rPr>
        <w:t>76</w:t>
      </w:r>
      <w:r>
        <w:t xml:space="preserve">  </w:t>
      </w:r>
      <w:r>
        <w:rPr>
          <w:rFonts w:hint="eastAsia"/>
        </w:rPr>
        <w:t>钢铁及合金化学分析方法 火焰原子吸收光谱法测定钒量</w:t>
      </w:r>
    </w:p>
    <w:p w14:paraId="167124E8">
      <w:pPr>
        <w:ind w:firstLine="420" w:firstLineChars="200"/>
      </w:pPr>
      <w:r>
        <w:t>GB/T 223.84  钢铁及合金  钛含量的测定  二安替比林甲烷分光光度法</w:t>
      </w:r>
    </w:p>
    <w:p w14:paraId="0DA191C1">
      <w:pPr>
        <w:autoSpaceDE w:val="0"/>
        <w:autoSpaceDN w:val="0"/>
        <w:adjustRightInd w:val="0"/>
        <w:snapToGrid w:val="0"/>
        <w:ind w:firstLine="420"/>
        <w:rPr>
          <w:szCs w:val="21"/>
          <w:lang w:val="zh-CN"/>
        </w:rPr>
      </w:pPr>
      <w:r>
        <w:rPr>
          <w:szCs w:val="21"/>
          <w:lang w:val="zh-CN"/>
        </w:rPr>
        <w:t>GB/T 223.85  钢铁及合金  硫含量的测定  感应炉燃烧后红外吸收法</w:t>
      </w:r>
    </w:p>
    <w:p w14:paraId="0A6158CE">
      <w:pPr>
        <w:autoSpaceDE w:val="0"/>
        <w:autoSpaceDN w:val="0"/>
        <w:adjustRightInd w:val="0"/>
        <w:snapToGrid w:val="0"/>
        <w:ind w:firstLine="420"/>
        <w:rPr>
          <w:szCs w:val="21"/>
          <w:lang w:val="zh-CN"/>
        </w:rPr>
      </w:pPr>
      <w:r>
        <w:rPr>
          <w:szCs w:val="21"/>
          <w:lang w:val="zh-CN"/>
        </w:rPr>
        <w:t>GB/T 223.86  钢铁及合金  总碳含量的测定  感应炉燃烧后红外吸收法</w:t>
      </w:r>
    </w:p>
    <w:p w14:paraId="53989972">
      <w:pPr>
        <w:autoSpaceDE w:val="0"/>
        <w:autoSpaceDN w:val="0"/>
        <w:adjustRightInd w:val="0"/>
        <w:snapToGrid w:val="0"/>
        <w:ind w:firstLine="420"/>
        <w:rPr>
          <w:szCs w:val="21"/>
        </w:rPr>
      </w:pPr>
      <w:r>
        <w:rPr>
          <w:szCs w:val="21"/>
          <w:lang w:val="zh-CN"/>
        </w:rPr>
        <w:t>GB/T 22</w:t>
      </w:r>
      <w:r>
        <w:rPr>
          <w:rFonts w:hint="eastAsia"/>
          <w:szCs w:val="21"/>
        </w:rPr>
        <w:t>8</w:t>
      </w:r>
      <w:r>
        <w:rPr>
          <w:szCs w:val="21"/>
          <w:lang w:val="zh-CN"/>
        </w:rPr>
        <w:t>.</w:t>
      </w:r>
      <w:r>
        <w:rPr>
          <w:rFonts w:hint="eastAsia"/>
          <w:szCs w:val="21"/>
        </w:rPr>
        <w:t>1</w:t>
      </w:r>
      <w:r>
        <w:rPr>
          <w:szCs w:val="21"/>
          <w:lang w:val="zh-CN"/>
        </w:rPr>
        <w:t xml:space="preserve">  </w:t>
      </w:r>
      <w:r>
        <w:rPr>
          <w:rFonts w:hint="eastAsia"/>
          <w:szCs w:val="21"/>
          <w:lang w:val="zh-CN"/>
        </w:rPr>
        <w:t>金属材料</w:t>
      </w:r>
      <w:r>
        <w:rPr>
          <w:szCs w:val="21"/>
          <w:lang w:val="zh-CN"/>
        </w:rPr>
        <w:t xml:space="preserve">  </w:t>
      </w:r>
      <w:r>
        <w:rPr>
          <w:rFonts w:hint="eastAsia"/>
          <w:szCs w:val="21"/>
          <w:lang w:val="zh-CN"/>
        </w:rPr>
        <w:t>拉伸试验</w:t>
      </w:r>
      <w:r>
        <w:rPr>
          <w:rFonts w:hint="eastAsia"/>
          <w:szCs w:val="21"/>
        </w:rPr>
        <w:t xml:space="preserve">  第1部分：室温试验方法</w:t>
      </w:r>
    </w:p>
    <w:p w14:paraId="2043969D">
      <w:pPr>
        <w:autoSpaceDE w:val="0"/>
        <w:autoSpaceDN w:val="0"/>
        <w:adjustRightInd w:val="0"/>
        <w:snapToGrid w:val="0"/>
        <w:ind w:firstLine="420"/>
        <w:rPr>
          <w:szCs w:val="21"/>
          <w:lang w:val="zh-CN"/>
        </w:rPr>
      </w:pPr>
      <w:r>
        <w:rPr>
          <w:szCs w:val="21"/>
          <w:lang w:val="zh-CN"/>
        </w:rPr>
        <w:t>GB/T 22</w:t>
      </w:r>
      <w:r>
        <w:rPr>
          <w:rFonts w:hint="eastAsia"/>
          <w:szCs w:val="21"/>
        </w:rPr>
        <w:t>9</w:t>
      </w:r>
      <w:r>
        <w:rPr>
          <w:szCs w:val="21"/>
          <w:lang w:val="zh-CN"/>
        </w:rPr>
        <w:t xml:space="preserve">  </w:t>
      </w:r>
      <w:r>
        <w:rPr>
          <w:rFonts w:hint="eastAsia"/>
          <w:szCs w:val="21"/>
          <w:lang w:val="zh-CN"/>
        </w:rPr>
        <w:t>金属材料 夏比摆锤冲击试验方法</w:t>
      </w:r>
    </w:p>
    <w:p w14:paraId="5BF5C399">
      <w:pPr>
        <w:autoSpaceDE w:val="0"/>
        <w:autoSpaceDN w:val="0"/>
        <w:adjustRightInd w:val="0"/>
        <w:snapToGrid w:val="0"/>
        <w:ind w:firstLine="420"/>
        <w:rPr>
          <w:szCs w:val="21"/>
        </w:rPr>
      </w:pPr>
      <w:r>
        <w:rPr>
          <w:szCs w:val="21"/>
          <w:lang w:val="zh-CN"/>
        </w:rPr>
        <w:t>GB/T 2</w:t>
      </w:r>
      <w:r>
        <w:rPr>
          <w:rFonts w:hint="eastAsia"/>
          <w:szCs w:val="21"/>
        </w:rPr>
        <w:t>32</w:t>
      </w:r>
      <w:r>
        <w:rPr>
          <w:szCs w:val="21"/>
          <w:lang w:val="zh-CN"/>
        </w:rPr>
        <w:t xml:space="preserve">  </w:t>
      </w:r>
      <w:r>
        <w:rPr>
          <w:rFonts w:hint="eastAsia"/>
          <w:szCs w:val="21"/>
          <w:lang w:val="zh-CN"/>
        </w:rPr>
        <w:t>金属材料</w:t>
      </w:r>
      <w:r>
        <w:rPr>
          <w:szCs w:val="21"/>
          <w:lang w:val="zh-CN"/>
        </w:rPr>
        <w:t xml:space="preserve">  </w:t>
      </w:r>
      <w:r>
        <w:rPr>
          <w:rFonts w:hint="eastAsia"/>
          <w:szCs w:val="21"/>
          <w:lang w:val="zh-CN"/>
        </w:rPr>
        <w:t>弯曲试验</w:t>
      </w:r>
      <w:r>
        <w:rPr>
          <w:rFonts w:hint="eastAsia"/>
          <w:szCs w:val="21"/>
        </w:rPr>
        <w:t>方法</w:t>
      </w:r>
    </w:p>
    <w:p w14:paraId="7E5DB81E">
      <w:pPr>
        <w:autoSpaceDE w:val="0"/>
        <w:autoSpaceDN w:val="0"/>
        <w:adjustRightInd w:val="0"/>
        <w:snapToGrid w:val="0"/>
        <w:ind w:firstLine="420"/>
        <w:rPr>
          <w:szCs w:val="21"/>
          <w:lang w:val="zh-CN"/>
        </w:rPr>
      </w:pPr>
      <w:r>
        <w:rPr>
          <w:szCs w:val="21"/>
          <w:lang w:val="zh-CN"/>
        </w:rPr>
        <w:t>GB</w:t>
      </w:r>
      <w:r>
        <w:rPr>
          <w:rFonts w:hint="eastAsia"/>
          <w:szCs w:val="21"/>
        </w:rPr>
        <w:t xml:space="preserve"> </w:t>
      </w:r>
      <w:r>
        <w:rPr>
          <w:szCs w:val="21"/>
          <w:lang w:val="zh-CN"/>
        </w:rPr>
        <w:t>1499.2  钢筋混凝土用钢  第2部分：热轧带肋钢筋</w:t>
      </w:r>
    </w:p>
    <w:p w14:paraId="6C6D5A8C">
      <w:pPr>
        <w:autoSpaceDE w:val="0"/>
        <w:autoSpaceDN w:val="0"/>
        <w:adjustRightInd w:val="0"/>
        <w:snapToGrid w:val="0"/>
        <w:ind w:firstLine="420"/>
        <w:rPr>
          <w:szCs w:val="21"/>
          <w:lang w:val="zh-CN"/>
        </w:rPr>
      </w:pPr>
      <w:r>
        <w:rPr>
          <w:szCs w:val="21"/>
          <w:lang w:val="zh-CN"/>
        </w:rPr>
        <w:t>GB/T 2101  型钢验收、包装、标志及质量证明书的一般规定</w:t>
      </w:r>
    </w:p>
    <w:p w14:paraId="3A378C3E">
      <w:pPr>
        <w:autoSpaceDE w:val="0"/>
        <w:autoSpaceDN w:val="0"/>
        <w:adjustRightInd w:val="0"/>
        <w:snapToGrid w:val="0"/>
        <w:ind w:firstLine="420"/>
        <w:rPr>
          <w:szCs w:val="21"/>
          <w:lang w:val="zh-CN"/>
        </w:rPr>
      </w:pPr>
      <w:r>
        <w:rPr>
          <w:szCs w:val="21"/>
          <w:lang w:val="zh-CN"/>
        </w:rPr>
        <w:t>GB/T 2</w:t>
      </w:r>
      <w:r>
        <w:rPr>
          <w:rFonts w:hint="eastAsia"/>
          <w:szCs w:val="21"/>
        </w:rPr>
        <w:t>975</w:t>
      </w:r>
      <w:r>
        <w:rPr>
          <w:szCs w:val="21"/>
          <w:lang w:val="zh-CN"/>
        </w:rPr>
        <w:t xml:space="preserve">  </w:t>
      </w:r>
      <w:r>
        <w:rPr>
          <w:rFonts w:hint="eastAsia"/>
          <w:szCs w:val="21"/>
          <w:lang w:val="zh-CN"/>
        </w:rPr>
        <w:t>钢及钢产品</w:t>
      </w:r>
      <w:r>
        <w:rPr>
          <w:rFonts w:hint="eastAsia"/>
          <w:szCs w:val="21"/>
        </w:rPr>
        <w:t xml:space="preserve">  </w:t>
      </w:r>
      <w:r>
        <w:rPr>
          <w:rFonts w:hint="eastAsia"/>
          <w:szCs w:val="21"/>
          <w:lang w:val="zh-CN"/>
        </w:rPr>
        <w:t>力学性能试验取样位置及试样制备</w:t>
      </w:r>
    </w:p>
    <w:p w14:paraId="000C0935">
      <w:pPr>
        <w:autoSpaceDE w:val="0"/>
        <w:autoSpaceDN w:val="0"/>
        <w:adjustRightInd w:val="0"/>
        <w:snapToGrid w:val="0"/>
        <w:ind w:firstLine="420"/>
        <w:rPr>
          <w:szCs w:val="21"/>
          <w:lang w:val="zh-CN"/>
        </w:rPr>
      </w:pPr>
      <w:r>
        <w:rPr>
          <w:szCs w:val="21"/>
          <w:lang w:val="zh-CN"/>
        </w:rPr>
        <w:t>GB/T 4336  碳素钢和中低合金钢  多元素含量的测定  火花放电原子发射光谱法（常规法）</w:t>
      </w:r>
    </w:p>
    <w:p w14:paraId="68C9F232">
      <w:pPr>
        <w:autoSpaceDE w:val="0"/>
        <w:autoSpaceDN w:val="0"/>
        <w:adjustRightInd w:val="0"/>
        <w:snapToGrid w:val="0"/>
        <w:ind w:firstLine="420"/>
        <w:rPr>
          <w:szCs w:val="21"/>
          <w:lang w:val="zh-CN"/>
        </w:rPr>
      </w:pPr>
      <w:r>
        <w:rPr>
          <w:szCs w:val="21"/>
          <w:lang w:val="zh-CN"/>
        </w:rPr>
        <w:t>GB/T 13298  金属显微组织检验方法</w:t>
      </w:r>
    </w:p>
    <w:p w14:paraId="265D4DFF">
      <w:pPr>
        <w:autoSpaceDE w:val="0"/>
        <w:autoSpaceDN w:val="0"/>
        <w:adjustRightInd w:val="0"/>
        <w:snapToGrid w:val="0"/>
        <w:ind w:firstLine="420"/>
        <w:rPr>
          <w:szCs w:val="21"/>
          <w:lang w:val="zh-CN"/>
        </w:rPr>
      </w:pPr>
      <w:r>
        <w:rPr>
          <w:szCs w:val="21"/>
          <w:lang w:val="zh-CN"/>
        </w:rPr>
        <w:t>GB/T 1329</w:t>
      </w:r>
      <w:r>
        <w:rPr>
          <w:rFonts w:hint="eastAsia"/>
          <w:szCs w:val="21"/>
        </w:rPr>
        <w:t>9</w:t>
      </w:r>
      <w:r>
        <w:rPr>
          <w:szCs w:val="21"/>
          <w:lang w:val="zh-CN"/>
        </w:rPr>
        <w:t xml:space="preserve">  </w:t>
      </w:r>
      <w:r>
        <w:rPr>
          <w:rFonts w:hint="eastAsia"/>
          <w:szCs w:val="21"/>
          <w:lang w:val="zh-CN"/>
        </w:rPr>
        <w:t>钢的</w:t>
      </w:r>
      <w:r>
        <w:rPr>
          <w:szCs w:val="21"/>
          <w:lang w:val="zh-CN"/>
        </w:rPr>
        <w:t>显微组织</w:t>
      </w:r>
      <w:r>
        <w:rPr>
          <w:rFonts w:hint="eastAsia"/>
          <w:szCs w:val="21"/>
          <w:lang w:val="zh-CN"/>
        </w:rPr>
        <w:t>评定</w:t>
      </w:r>
      <w:r>
        <w:rPr>
          <w:szCs w:val="21"/>
          <w:lang w:val="zh-CN"/>
        </w:rPr>
        <w:t>方法</w:t>
      </w:r>
    </w:p>
    <w:p w14:paraId="6485EAFA">
      <w:pPr>
        <w:autoSpaceDE w:val="0"/>
        <w:autoSpaceDN w:val="0"/>
        <w:adjustRightInd w:val="0"/>
        <w:snapToGrid w:val="0"/>
        <w:ind w:firstLine="420"/>
        <w:rPr>
          <w:szCs w:val="21"/>
          <w:lang w:val="zh-CN"/>
        </w:rPr>
      </w:pPr>
      <w:r>
        <w:rPr>
          <w:szCs w:val="21"/>
          <w:lang w:val="zh-CN"/>
        </w:rPr>
        <w:t>GB/T 20066  钢和铁  化学成分测定用试样的取样和制样方法</w:t>
      </w:r>
    </w:p>
    <w:p w14:paraId="009473A2">
      <w:pPr>
        <w:autoSpaceDE w:val="0"/>
        <w:autoSpaceDN w:val="0"/>
        <w:adjustRightInd w:val="0"/>
        <w:snapToGrid w:val="0"/>
        <w:ind w:firstLine="420"/>
        <w:rPr>
          <w:szCs w:val="21"/>
          <w:lang w:val="zh-CN"/>
        </w:rPr>
      </w:pPr>
      <w:r>
        <w:rPr>
          <w:szCs w:val="21"/>
          <w:lang w:val="zh-CN"/>
        </w:rPr>
        <w:t>GB/T 20123  钢铁  总碳硫含量的测定  高频感应炉燃烧后红外吸收法（常规方法）</w:t>
      </w:r>
    </w:p>
    <w:p w14:paraId="5A24B629">
      <w:pPr>
        <w:autoSpaceDE w:val="0"/>
        <w:autoSpaceDN w:val="0"/>
        <w:adjustRightInd w:val="0"/>
        <w:snapToGrid w:val="0"/>
        <w:ind w:firstLine="420"/>
        <w:rPr>
          <w:szCs w:val="21"/>
          <w:lang w:val="zh-CN"/>
        </w:rPr>
      </w:pPr>
      <w:r>
        <w:rPr>
          <w:szCs w:val="21"/>
          <w:lang w:val="zh-CN"/>
        </w:rPr>
        <w:t>GB/T 20124  钢铁  氮含量的测定  惰性气体熔融热导法（常规方法）</w:t>
      </w:r>
    </w:p>
    <w:p w14:paraId="4D6D3875">
      <w:pPr>
        <w:autoSpaceDE w:val="0"/>
        <w:autoSpaceDN w:val="0"/>
        <w:adjustRightInd w:val="0"/>
        <w:snapToGrid w:val="0"/>
        <w:ind w:firstLine="420"/>
        <w:rPr>
          <w:szCs w:val="21"/>
          <w:lang w:val="zh-CN"/>
        </w:rPr>
      </w:pPr>
      <w:r>
        <w:rPr>
          <w:szCs w:val="21"/>
          <w:lang w:val="zh-CN"/>
        </w:rPr>
        <w:t>GB/T 20125  低合金钢  多元素的测定  电感耦合等离子体发射光谱法</w:t>
      </w:r>
    </w:p>
    <w:p w14:paraId="721BC594">
      <w:pPr>
        <w:autoSpaceDE w:val="0"/>
        <w:autoSpaceDN w:val="0"/>
        <w:adjustRightInd w:val="0"/>
        <w:snapToGrid w:val="0"/>
        <w:ind w:firstLine="420"/>
        <w:rPr>
          <w:szCs w:val="21"/>
        </w:rPr>
      </w:pPr>
      <w:r>
        <w:rPr>
          <w:rFonts w:hint="eastAsia"/>
          <w:szCs w:val="21"/>
        </w:rPr>
        <w:t>YB/T 081  冶金技术标准的数值修约与检测数值的判定</w:t>
      </w:r>
    </w:p>
    <w:p w14:paraId="2E77C03E">
      <w:pPr>
        <w:autoSpaceDE w:val="0"/>
        <w:autoSpaceDN w:val="0"/>
        <w:adjustRightInd w:val="0"/>
        <w:snapToGrid w:val="0"/>
        <w:ind w:firstLine="420"/>
        <w:rPr>
          <w:szCs w:val="21"/>
        </w:rPr>
      </w:pPr>
      <w:r>
        <w:rPr>
          <w:szCs w:val="21"/>
          <w:lang w:val="zh-CN"/>
        </w:rPr>
        <w:t>YB/T 436</w:t>
      </w:r>
      <w:r>
        <w:rPr>
          <w:rFonts w:hint="eastAsia"/>
          <w:szCs w:val="21"/>
        </w:rPr>
        <w:t>4  锚杆用热轧带肋钢筋</w:t>
      </w:r>
    </w:p>
    <w:p w14:paraId="4316DF91">
      <w:pPr>
        <w:autoSpaceDE w:val="0"/>
        <w:autoSpaceDN w:val="0"/>
        <w:adjustRightInd w:val="0"/>
        <w:snapToGrid w:val="0"/>
        <w:ind w:firstLine="420"/>
        <w:rPr>
          <w:szCs w:val="21"/>
          <w:lang w:val="zh-CN"/>
        </w:rPr>
      </w:pPr>
      <w:r>
        <w:rPr>
          <w:szCs w:val="21"/>
          <w:lang w:val="zh-CN"/>
        </w:rPr>
        <w:t>YB/T 4367  钢筋在氯离子环境中腐蚀试验方法</w:t>
      </w:r>
    </w:p>
    <w:p w14:paraId="5F8B9DBB">
      <w:pPr>
        <w:autoSpaceDE w:val="0"/>
        <w:autoSpaceDN w:val="0"/>
        <w:adjustRightInd w:val="0"/>
        <w:snapToGrid w:val="0"/>
        <w:ind w:firstLine="420"/>
        <w:rPr>
          <w:sz w:val="24"/>
          <w:highlight w:val="yellow"/>
          <w:lang w:val="zh-CN"/>
        </w:rPr>
      </w:pPr>
    </w:p>
    <w:bookmarkEnd w:id="10"/>
    <w:p w14:paraId="0A2F09E5">
      <w:pPr>
        <w:pStyle w:val="50"/>
      </w:pPr>
      <w:r>
        <w:t>术语和定义</w:t>
      </w:r>
      <w:bookmarkEnd w:id="8"/>
    </w:p>
    <w:p w14:paraId="499B4C70">
      <w:pPr>
        <w:pStyle w:val="23"/>
        <w:rPr>
          <w:rFonts w:ascii="Times New Roman"/>
        </w:rPr>
      </w:pPr>
      <w:r>
        <w:rPr>
          <w:rFonts w:hint="eastAsia" w:ascii="Times New Roman"/>
        </w:rPr>
        <w:t>GB 1499.2、YB/T 4364</w:t>
      </w:r>
      <w:r>
        <w:rPr>
          <w:rFonts w:ascii="Times New Roman"/>
        </w:rPr>
        <w:t>界定的术语和定义适用于本文件。</w:t>
      </w:r>
    </w:p>
    <w:p w14:paraId="7DABED31">
      <w:pPr>
        <w:pStyle w:val="50"/>
      </w:pPr>
      <w:bookmarkStart w:id="12" w:name="_Toc103246212"/>
      <w:r>
        <w:t>订货内容</w:t>
      </w:r>
      <w:bookmarkEnd w:id="12"/>
    </w:p>
    <w:p w14:paraId="721C036C">
      <w:pPr>
        <w:pStyle w:val="23"/>
        <w:rPr>
          <w:rFonts w:ascii="Times New Roman"/>
        </w:rPr>
      </w:pPr>
      <w:r>
        <w:rPr>
          <w:rFonts w:ascii="Times New Roman"/>
        </w:rPr>
        <w:t>按本文件订货的合同或订单应包括以下内容：</w:t>
      </w:r>
    </w:p>
    <w:p w14:paraId="5DFE22D6">
      <w:pPr>
        <w:pStyle w:val="107"/>
        <w:numPr>
          <w:ilvl w:val="0"/>
          <w:numId w:val="4"/>
        </w:numPr>
        <w:rPr>
          <w:rFonts w:ascii="Times New Roman"/>
        </w:rPr>
      </w:pPr>
      <w:r>
        <w:rPr>
          <w:rFonts w:ascii="Times New Roman"/>
        </w:rPr>
        <w:t>本</w:t>
      </w:r>
      <w:r>
        <w:rPr>
          <w:rFonts w:hint="eastAsia" w:ascii="Times New Roman"/>
        </w:rPr>
        <w:t>文件</w:t>
      </w:r>
      <w:r>
        <w:rPr>
          <w:rFonts w:ascii="Times New Roman"/>
        </w:rPr>
        <w:t>编号；</w:t>
      </w:r>
    </w:p>
    <w:p w14:paraId="4B3FF028">
      <w:pPr>
        <w:pStyle w:val="107"/>
        <w:numPr>
          <w:ilvl w:val="0"/>
          <w:numId w:val="4"/>
        </w:numPr>
        <w:rPr>
          <w:rFonts w:ascii="Times New Roman"/>
        </w:rPr>
      </w:pPr>
      <w:r>
        <w:rPr>
          <w:rFonts w:ascii="Times New Roman"/>
        </w:rPr>
        <w:t>产品名称；</w:t>
      </w:r>
    </w:p>
    <w:p w14:paraId="661C6313">
      <w:pPr>
        <w:pStyle w:val="107"/>
        <w:numPr>
          <w:ilvl w:val="0"/>
          <w:numId w:val="4"/>
        </w:numPr>
        <w:rPr>
          <w:rFonts w:ascii="Times New Roman"/>
        </w:rPr>
      </w:pPr>
      <w:r>
        <w:rPr>
          <w:rFonts w:ascii="Times New Roman"/>
        </w:rPr>
        <w:t>钢筋牌号；</w:t>
      </w:r>
    </w:p>
    <w:p w14:paraId="64F574B2">
      <w:pPr>
        <w:pStyle w:val="107"/>
        <w:numPr>
          <w:ilvl w:val="0"/>
          <w:numId w:val="4"/>
        </w:numPr>
        <w:rPr>
          <w:rFonts w:ascii="Times New Roman"/>
        </w:rPr>
      </w:pPr>
      <w:r>
        <w:rPr>
          <w:rFonts w:ascii="Times New Roman"/>
        </w:rPr>
        <w:t>钢筋公称直径、长度及重量（或数量）；</w:t>
      </w:r>
    </w:p>
    <w:p w14:paraId="3644F1C9">
      <w:pPr>
        <w:pStyle w:val="107"/>
        <w:numPr>
          <w:ilvl w:val="0"/>
          <w:numId w:val="4"/>
        </w:numPr>
        <w:rPr>
          <w:rFonts w:ascii="Times New Roman"/>
        </w:rPr>
      </w:pPr>
      <w:r>
        <w:rPr>
          <w:rFonts w:ascii="Times New Roman"/>
        </w:rPr>
        <w:t>特殊要求。</w:t>
      </w:r>
    </w:p>
    <w:p w14:paraId="65D05202">
      <w:pPr>
        <w:pStyle w:val="50"/>
      </w:pPr>
      <w:bookmarkStart w:id="13" w:name="_Toc103246211"/>
      <w:r>
        <w:rPr>
          <w:rFonts w:hint="eastAsia"/>
        </w:rPr>
        <w:t>分类与</w:t>
      </w:r>
      <w:r>
        <w:t>牌号</w:t>
      </w:r>
      <w:bookmarkEnd w:id="13"/>
    </w:p>
    <w:p w14:paraId="03E6F118">
      <w:pPr>
        <w:pStyle w:val="52"/>
        <w:numPr>
          <w:ilvl w:val="1"/>
          <w:numId w:val="2"/>
        </w:numPr>
        <w:spacing w:beforeLines="0" w:afterLines="0"/>
        <w:jc w:val="both"/>
      </w:pPr>
      <w:bookmarkStart w:id="14" w:name="_Hlk59177872"/>
      <w:r>
        <w:rPr>
          <w:rFonts w:ascii="Times New Roman" w:eastAsia="宋体"/>
        </w:rPr>
        <w:t>钢筋按屈服强度特征值分为400Mpa和500Mpa级。</w:t>
      </w:r>
      <w:bookmarkEnd w:id="14"/>
    </w:p>
    <w:p w14:paraId="4DBBDB71">
      <w:pPr>
        <w:pStyle w:val="52"/>
        <w:numPr>
          <w:ilvl w:val="1"/>
          <w:numId w:val="2"/>
        </w:numPr>
        <w:spacing w:beforeLines="0" w:afterLines="0"/>
        <w:jc w:val="both"/>
      </w:pPr>
      <w:r>
        <w:rPr>
          <w:rFonts w:hint="eastAsia" w:ascii="Times New Roman" w:eastAsia="宋体"/>
        </w:rPr>
        <w:t>钢筋牌号的构成及其含义如下：</w:t>
      </w:r>
    </w:p>
    <w:p w14:paraId="3ADE60F5">
      <w:pPr>
        <w:pStyle w:val="23"/>
        <w:ind w:firstLine="0" w:firstLineChars="0"/>
        <w:rPr>
          <w:rFonts w:ascii="Times New Roman"/>
          <w:sz w:val="28"/>
          <w:szCs w:val="28"/>
        </w:rPr>
      </w:pPr>
      <w:r>
        <w:rPr>
          <w:sz w:val="24"/>
        </w:rPr>
        <mc:AlternateContent>
          <mc:Choice Requires="wpg">
            <w:drawing>
              <wp:anchor distT="0" distB="0" distL="114300" distR="114300" simplePos="0" relativeHeight="251665408" behindDoc="0" locked="0" layoutInCell="1" allowOverlap="1">
                <wp:simplePos x="0" y="0"/>
                <wp:positionH relativeFrom="column">
                  <wp:posOffset>1343660</wp:posOffset>
                </wp:positionH>
                <wp:positionV relativeFrom="paragraph">
                  <wp:posOffset>266700</wp:posOffset>
                </wp:positionV>
                <wp:extent cx="821690" cy="250825"/>
                <wp:effectExtent l="4445" t="0" r="12065" b="53975"/>
                <wp:wrapNone/>
                <wp:docPr id="36" name="组合 36"/>
                <wp:cNvGraphicFramePr/>
                <a:graphic xmlns:a="http://schemas.openxmlformats.org/drawingml/2006/main">
                  <a:graphicData uri="http://schemas.microsoft.com/office/word/2010/wordprocessingGroup">
                    <wpg:wgp>
                      <wpg:cNvGrpSpPr/>
                      <wpg:grpSpPr>
                        <a:xfrm>
                          <a:off x="0" y="0"/>
                          <a:ext cx="821690" cy="250825"/>
                          <a:chOff x="8027" y="12960"/>
                          <a:chExt cx="1457" cy="381"/>
                        </a:xfrm>
                      </wpg:grpSpPr>
                      <wps:wsp>
                        <wps:cNvPr id="34" name="直接箭头连接符 34"/>
                        <wps:cNvCnPr/>
                        <wps:spPr>
                          <a:xfrm>
                            <a:off x="8027" y="12960"/>
                            <a:ext cx="0" cy="381"/>
                          </a:xfrm>
                          <a:prstGeom prst="straightConnector1">
                            <a:avLst/>
                          </a:prstGeom>
                          <a:ln w="9525" cap="flat" cmpd="sng">
                            <a:solidFill>
                              <a:srgbClr val="000000"/>
                            </a:solidFill>
                            <a:prstDash val="solid"/>
                            <a:headEnd type="none" w="med" len="med"/>
                            <a:tailEnd type="none" w="med" len="med"/>
                          </a:ln>
                        </wps:spPr>
                        <wps:bodyPr/>
                      </wps:wsp>
                      <wps:wsp>
                        <wps:cNvPr id="35" name="直接连接符 35"/>
                        <wps:cNvCnPr/>
                        <wps:spPr>
                          <a:xfrm>
                            <a:off x="8044" y="13341"/>
                            <a:ext cx="1440" cy="0"/>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105.8pt;margin-top:21pt;height:19.75pt;width:64.7pt;z-index:251665408;mso-width-relative:page;mso-height-relative:page;" coordorigin="8027,12960" coordsize="1457,381" o:gfxdata="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mde8MNkAAAAJAQAADwAAAAAAAAABACAA&#10;AAAiAAAAZHJzL2Rvd25yZXYueG1sUEsBAhQAFAAAAAgAh07iQKeAORu3AgAAJgcAAA4AAAAAAAAA&#10;AQAgAAAAKAEAAGRycy9lMm9Eb2MueG1sUEsFBgAAAAAGAAYAWQEAAFEGAAAAAA==&#10;">
                <o:lock v:ext="edit" aspectratio="f"/>
                <v:shape id="_x0000_s1026" o:spid="_x0000_s1026" o:spt="32" type="#_x0000_t32" style="position:absolute;left:8027;top:12960;height:381;width:0;" filled="f" stroked="t" coordsize="21600,21600" o:gfxdata="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xowD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line id="_x0000_s1026" o:spid="_x0000_s1026" o:spt="20" style="position:absolute;left:8044;top:13341;height:0;width:1440;"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sz w:val="24"/>
        </w:rPr>
        <mc:AlternateContent>
          <mc:Choice Requires="wpg">
            <w:drawing>
              <wp:anchor distT="0" distB="0" distL="114300" distR="114300" simplePos="0" relativeHeight="251664384" behindDoc="0" locked="0" layoutInCell="1" allowOverlap="1">
                <wp:simplePos x="0" y="0"/>
                <wp:positionH relativeFrom="column">
                  <wp:posOffset>1069340</wp:posOffset>
                </wp:positionH>
                <wp:positionV relativeFrom="paragraph">
                  <wp:posOffset>261620</wp:posOffset>
                </wp:positionV>
                <wp:extent cx="1755775" cy="818515"/>
                <wp:effectExtent l="4445" t="0" r="11430" b="38735"/>
                <wp:wrapNone/>
                <wp:docPr id="33" name="组合 33"/>
                <wp:cNvGraphicFramePr/>
                <a:graphic xmlns:a="http://schemas.openxmlformats.org/drawingml/2006/main">
                  <a:graphicData uri="http://schemas.microsoft.com/office/word/2010/wordprocessingGroup">
                    <wpg:wgp>
                      <wpg:cNvGrpSpPr/>
                      <wpg:grpSpPr>
                        <a:xfrm>
                          <a:off x="0" y="0"/>
                          <a:ext cx="1755775" cy="818515"/>
                          <a:chOff x="6883" y="13010"/>
                          <a:chExt cx="2676" cy="1424"/>
                        </a:xfrm>
                      </wpg:grpSpPr>
                      <wps:wsp>
                        <wps:cNvPr id="31" name="直接箭头连接符 31"/>
                        <wps:cNvCnPr/>
                        <wps:spPr>
                          <a:xfrm>
                            <a:off x="6883" y="13010"/>
                            <a:ext cx="0" cy="1424"/>
                          </a:xfrm>
                          <a:prstGeom prst="straightConnector1">
                            <a:avLst/>
                          </a:prstGeom>
                          <a:ln w="9525" cap="flat" cmpd="sng">
                            <a:solidFill>
                              <a:srgbClr val="000000"/>
                            </a:solidFill>
                            <a:prstDash val="solid"/>
                            <a:headEnd type="none" w="med" len="med"/>
                            <a:tailEnd type="none" w="med" len="med"/>
                          </a:ln>
                        </wps:spPr>
                        <wps:bodyPr/>
                      </wps:wsp>
                      <wps:wsp>
                        <wps:cNvPr id="32" name="直接连接符 32"/>
                        <wps:cNvCnPr/>
                        <wps:spPr>
                          <a:xfrm>
                            <a:off x="6883" y="14434"/>
                            <a:ext cx="2676" cy="0"/>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84.2pt;margin-top:20.6pt;height:64.45pt;width:138.25pt;z-index:251664384;mso-width-relative:page;mso-height-relative:page;" coordorigin="6883,13010" coordsize="2676,1424" o:gfxdata="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lXDJmtkAAAAKAQAADwAAAAAAAAABACAAAAAiAAAAZHJzL2Rv&#10;d25yZXYueG1sUEsBAhQAFAAAAAgAh07iQPDUQF+rAgAAKQcAAA4AAAAAAAAAAQAgAAAAKAEAAGRy&#10;cy9lMm9Eb2MueG1sUEsFBgAAAAAGAAYAWQEAAEUGAAAAAA==&#10;">
                <o:lock v:ext="edit" aspectratio="f"/>
                <v:shape id="_x0000_s1026" o:spid="_x0000_s1026" o:spt="32" type="#_x0000_t32" style="position:absolute;left:6883;top:13010;height:1424;width:0;" filled="f" stroked="t" coordsize="21600,21600" o:gfxdata="UEsDBAoAAAAAAIdO4kAAAAAAAAAAAAAAAAAEAAAAZHJzL1BLAwQUAAAACACHTuJAaLEvm7wAAADb&#10;AAAADwAAAGRycy9kb3ducmV2LnhtbEWPQYvCMBSE78L+h/AW9iKaVFG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L5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line id="_x0000_s1026" o:spid="_x0000_s1026" o:spt="20" style="position:absolute;left:6883;top:14434;height:0;width:2676;"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sz w:val="24"/>
        </w:rPr>
        <mc:AlternateContent>
          <mc:Choice Requires="wpg">
            <w:drawing>
              <wp:anchor distT="0" distB="0" distL="114300" distR="114300" simplePos="0" relativeHeight="251663360" behindDoc="0" locked="0" layoutInCell="1" allowOverlap="1">
                <wp:simplePos x="0" y="0"/>
                <wp:positionH relativeFrom="column">
                  <wp:posOffset>643255</wp:posOffset>
                </wp:positionH>
                <wp:positionV relativeFrom="paragraph">
                  <wp:posOffset>281940</wp:posOffset>
                </wp:positionV>
                <wp:extent cx="2182495" cy="1405255"/>
                <wp:effectExtent l="4445" t="0" r="3810" b="42545"/>
                <wp:wrapNone/>
                <wp:docPr id="30" name="组合 30"/>
                <wp:cNvGraphicFramePr/>
                <a:graphic xmlns:a="http://schemas.openxmlformats.org/drawingml/2006/main">
                  <a:graphicData uri="http://schemas.microsoft.com/office/word/2010/wordprocessingGroup">
                    <wpg:wgp>
                      <wpg:cNvGrpSpPr/>
                      <wpg:grpSpPr>
                        <a:xfrm>
                          <a:off x="0" y="0"/>
                          <a:ext cx="2182495" cy="1405255"/>
                          <a:chOff x="6632" y="13016"/>
                          <a:chExt cx="2926" cy="1900"/>
                        </a:xfrm>
                      </wpg:grpSpPr>
                      <wps:wsp>
                        <wps:cNvPr id="28" name="直接箭头连接符 28"/>
                        <wps:cNvCnPr/>
                        <wps:spPr>
                          <a:xfrm>
                            <a:off x="6632" y="13016"/>
                            <a:ext cx="0" cy="1900"/>
                          </a:xfrm>
                          <a:prstGeom prst="straightConnector1">
                            <a:avLst/>
                          </a:prstGeom>
                          <a:ln w="9525" cap="flat" cmpd="sng">
                            <a:solidFill>
                              <a:srgbClr val="000000"/>
                            </a:solidFill>
                            <a:prstDash val="solid"/>
                            <a:headEnd type="none" w="med" len="med"/>
                            <a:tailEnd type="none" w="med" len="med"/>
                          </a:ln>
                        </wps:spPr>
                        <wps:bodyPr/>
                      </wps:wsp>
                      <wps:wsp>
                        <wps:cNvPr id="29" name="直接连接符 29"/>
                        <wps:cNvCnPr/>
                        <wps:spPr>
                          <a:xfrm>
                            <a:off x="6632" y="14916"/>
                            <a:ext cx="2927" cy="0"/>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50.65pt;margin-top:22.2pt;height:110.65pt;width:171.85pt;z-index:251663360;mso-width-relative:page;mso-height-relative:page;" coordorigin="6632,13016" coordsize="2926,1900" o:gfxdata="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D5TawNoAAAAKAQAADwAAAAAAAAABACAAAAAiAAAAZHJz&#10;L2Rvd25yZXYueG1sUEsBAhQAFAAAAAgAh07iQJBoIRCtAgAAKgcAAA4AAAAAAAAAAQAgAAAAKQEA&#10;AGRycy9lMm9Eb2MueG1sUEsFBgAAAAAGAAYAWQEAAEgGAAAAAA==&#10;">
                <o:lock v:ext="edit" aspectratio="f"/>
                <v:shape id="_x0000_s1026" o:spid="_x0000_s1026" o:spt="32" type="#_x0000_t32" style="position:absolute;left:6632;top:13016;height:1900;width:0;" filled="f" stroked="t" coordsize="21600,21600" o:gfxdata="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UhD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line id="_x0000_s1026" o:spid="_x0000_s1026" o:spt="20" style="position:absolute;left:6632;top:14916;height:0;width:2927;"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ascii="Calibri" w:hAnsi="Calibri"/>
          <w:sz w:val="24"/>
        </w:rPr>
        <mc:AlternateContent>
          <mc:Choice Requires="wps">
            <w:drawing>
              <wp:anchor distT="0" distB="0" distL="114300" distR="114300" simplePos="0" relativeHeight="251661312" behindDoc="0" locked="0" layoutInCell="1" allowOverlap="1">
                <wp:simplePos x="0" y="0"/>
                <wp:positionH relativeFrom="column">
                  <wp:posOffset>156845</wp:posOffset>
                </wp:positionH>
                <wp:positionV relativeFrom="paragraph">
                  <wp:posOffset>275590</wp:posOffset>
                </wp:positionV>
                <wp:extent cx="10795" cy="1803400"/>
                <wp:effectExtent l="4445" t="0" r="22860" b="6350"/>
                <wp:wrapNone/>
                <wp:docPr id="20" name="直接箭头连接符 20"/>
                <wp:cNvGraphicFramePr/>
                <a:graphic xmlns:a="http://schemas.openxmlformats.org/drawingml/2006/main">
                  <a:graphicData uri="http://schemas.microsoft.com/office/word/2010/wordprocessingShape">
                    <wps:wsp>
                      <wps:cNvCnPr/>
                      <wps:spPr>
                        <a:xfrm flipH="1">
                          <a:off x="0" y="0"/>
                          <a:ext cx="10795" cy="18034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2.35pt;margin-top:21.7pt;height:142pt;width:0.85pt;z-index:251661312;mso-width-relative:page;mso-height-relative:page;" filled="f" stroked="t" coordsize="21600,21600" o:gfxdata="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QMdEPXAAAACAEAAA8AAAAAAAAAAQAgAAAAIgAA&#10;AGRycy9kb3ducmV2LnhtbFBLAQIUABQAAAAIAIdO4kCUAI96CQIAAPwDAAAOAAAAAAAAAAEAIAAA&#10;ACYBAABkcnMvZTJvRG9jLnhtbFBLBQYAAAAABgAGAFkBAAChBQAAAAA=&#10;">
                <v:fill on="f" focussize="0,0"/>
                <v:stroke color="#000000" joinstyle="round"/>
                <v:imagedata o:title=""/>
                <o:lock v:ext="edit" aspectratio="f"/>
              </v:shape>
            </w:pict>
          </mc:Fallback>
        </mc:AlternateContent>
      </w:r>
      <w:r>
        <w:rPr>
          <w:rFonts w:hint="eastAsia" w:ascii="Times New Roman"/>
          <w:sz w:val="28"/>
          <w:szCs w:val="28"/>
        </w:rPr>
        <w:t xml:space="preserve">MG + </w:t>
      </w:r>
      <w:r>
        <w:rPr>
          <w:rFonts w:ascii="Arial" w:hAnsi="Arial" w:cs="Arial"/>
          <w:sz w:val="28"/>
          <w:szCs w:val="28"/>
        </w:rPr>
        <w:t>XXX</w:t>
      </w:r>
      <w:r>
        <w:rPr>
          <w:rFonts w:hint="eastAsia" w:ascii="Times New Roman"/>
          <w:sz w:val="28"/>
          <w:szCs w:val="28"/>
        </w:rPr>
        <w:t xml:space="preserve"> + c + </w:t>
      </w:r>
      <w:r>
        <w:rPr>
          <w:rFonts w:ascii="Arial" w:hAnsi="Arial" w:cs="Arial"/>
          <w:sz w:val="28"/>
          <w:szCs w:val="28"/>
        </w:rPr>
        <w:t>X</w:t>
      </w:r>
    </w:p>
    <w:p w14:paraId="003A67DB">
      <w:pPr>
        <w:pStyle w:val="23"/>
        <w:ind w:firstLine="3570" w:firstLineChars="1700"/>
        <w:rPr>
          <w:rFonts w:ascii="Times New Roman"/>
          <w:szCs w:val="21"/>
        </w:rPr>
      </w:pPr>
      <w:r>
        <w:rPr>
          <w:rFonts w:hint="eastAsia" w:ascii="Times New Roman"/>
          <w:szCs w:val="21"/>
        </w:rPr>
        <w:t>分类，月牙肋钢筋不加标识，</w:t>
      </w:r>
    </w:p>
    <w:p w14:paraId="5BAEEFA9">
      <w:pPr>
        <w:pStyle w:val="23"/>
        <w:ind w:firstLine="3570" w:firstLineChars="1700"/>
        <w:rPr>
          <w:rFonts w:ascii="Times New Roman"/>
          <w:szCs w:val="21"/>
        </w:rPr>
      </w:pPr>
      <w:r>
        <w:rPr>
          <w:rFonts w:hint="eastAsia" w:ascii="Times New Roman"/>
          <w:szCs w:val="21"/>
        </w:rPr>
        <w:t xml:space="preserve">螺纹肋钢筋左螺纹用“Z”，右螺纹用“Y”                    </w:t>
      </w:r>
    </w:p>
    <w:p w14:paraId="612CFB96">
      <w:pPr>
        <w:pStyle w:val="23"/>
        <w:ind w:left="4620" w:leftChars="2200" w:firstLine="0" w:firstLineChars="0"/>
        <w:rPr>
          <w:rFonts w:ascii="Times New Roman"/>
          <w:szCs w:val="21"/>
        </w:rPr>
      </w:pPr>
    </w:p>
    <w:p w14:paraId="15BCA5E0">
      <w:pPr>
        <w:pStyle w:val="23"/>
        <w:ind w:left="4620" w:leftChars="2200" w:firstLine="0" w:firstLineChars="0"/>
        <w:rPr>
          <w:rFonts w:ascii="Times New Roman"/>
          <w:szCs w:val="21"/>
        </w:rPr>
      </w:pPr>
      <w:r>
        <w:rPr>
          <w:rFonts w:hint="eastAsia" w:ascii="Times New Roman"/>
          <w:szCs w:val="21"/>
        </w:rPr>
        <w:t>耐氯离子腐蚀的英文（chloride corrosion resistance)中“chloride”的首字母</w:t>
      </w:r>
    </w:p>
    <w:p w14:paraId="013449F0">
      <w:pPr>
        <w:pStyle w:val="23"/>
        <w:ind w:left="4620" w:leftChars="2200" w:firstLine="0" w:firstLineChars="0"/>
        <w:rPr>
          <w:rFonts w:ascii="Times New Roman"/>
          <w:szCs w:val="21"/>
        </w:rPr>
      </w:pPr>
    </w:p>
    <w:p w14:paraId="4E051B35">
      <w:pPr>
        <w:pStyle w:val="23"/>
        <w:ind w:left="4620" w:leftChars="2200" w:firstLine="0" w:firstLineChars="0"/>
        <w:rPr>
          <w:rFonts w:ascii="Times New Roman"/>
          <w:szCs w:val="21"/>
        </w:rPr>
      </w:pPr>
      <w:r>
        <w:rPr>
          <w:rFonts w:hint="eastAsia" w:ascii="Times New Roman"/>
          <w:szCs w:val="21"/>
        </w:rPr>
        <w:t xml:space="preserve">屈服强度特征值    </w:t>
      </w:r>
    </w:p>
    <w:p w14:paraId="34F1A1BD">
      <w:pPr>
        <w:pStyle w:val="23"/>
        <w:ind w:left="4620" w:leftChars="2200" w:firstLine="0" w:firstLineChars="0"/>
        <w:rPr>
          <w:rFonts w:ascii="Times New Roman"/>
          <w:szCs w:val="21"/>
        </w:rPr>
      </w:pPr>
    </w:p>
    <w:p w14:paraId="34D69AAA">
      <w:pPr>
        <w:pStyle w:val="23"/>
        <w:ind w:firstLine="3570" w:firstLineChars="1700"/>
        <w:rPr>
          <w:rFonts w:ascii="Times New Roman"/>
          <w:szCs w:val="21"/>
        </w:rPr>
      </w:pPr>
      <w:r>
        <w:rPr>
          <w:rFonts w:hint="eastAsia" w:hAnsi="宋体"/>
          <w:szCs w:val="21"/>
        </w:rPr>
        <mc:AlternateContent>
          <mc:Choice Requires="wps">
            <w:drawing>
              <wp:anchor distT="0" distB="0" distL="114300" distR="114300" simplePos="0" relativeHeight="251662336" behindDoc="1" locked="0" layoutInCell="1" allowOverlap="1">
                <wp:simplePos x="0" y="0"/>
                <wp:positionH relativeFrom="column">
                  <wp:posOffset>168275</wp:posOffset>
                </wp:positionH>
                <wp:positionV relativeFrom="paragraph">
                  <wp:posOffset>73660</wp:posOffset>
                </wp:positionV>
                <wp:extent cx="2030095" cy="0"/>
                <wp:effectExtent l="0" t="38100" r="8255" b="38100"/>
                <wp:wrapThrough wrapText="bothSides">
                  <wp:wrapPolygon>
                    <wp:start x="20269" y="0"/>
                    <wp:lineTo x="0" y="0"/>
                    <wp:lineTo x="0" y="-2147483648"/>
                    <wp:lineTo x="20269" y="-2147483648"/>
                    <wp:lineTo x="21485" y="-2147483648"/>
                    <wp:lineTo x="21485" y="0"/>
                    <wp:lineTo x="20269" y="0"/>
                  </wp:wrapPolygon>
                </wp:wrapThrough>
                <wp:docPr id="27" name="直接连接符 27"/>
                <wp:cNvGraphicFramePr/>
                <a:graphic xmlns:a="http://schemas.openxmlformats.org/drawingml/2006/main">
                  <a:graphicData uri="http://schemas.microsoft.com/office/word/2010/wordprocessingShape">
                    <wps:wsp>
                      <wps:cNvCnPr/>
                      <wps:spPr>
                        <a:xfrm>
                          <a:off x="0" y="0"/>
                          <a:ext cx="203009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3.25pt;margin-top:5.8pt;height:0pt;width:159.85pt;mso-wrap-distance-left:9pt;mso-wrap-distance-right:9pt;z-index:-251654144;mso-width-relative:page;mso-height-relative:page;" filled="f" stroked="t" coordsize="21600,21600" wrapcoords="20269 0 0 0 0 -2147483648 20269 -2147483648 21485 -2147483648 21485 0 20269 0" o:gfxdata="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wW5ATXAAAACAEAAA8AAAAAAAAAAQAgAAAAIgAAAGRycy9kb3ducmV2LnhtbFBLAQIU&#10;ABQAAAAIAIdO4kAfDR/g9AEAAN4DAAAOAAAAAAAAAAEAIAAAACYBAABkcnMvZTJvRG9jLnhtbFBL&#10;BQYAAAAABgAGAFkBAACMBQAAAAA=&#10;">
                <v:fill on="f" focussize="0,0"/>
                <v:stroke color="#000000" joinstyle="round" endarrow="block"/>
                <v:imagedata o:title=""/>
                <o:lock v:ext="edit" aspectratio="f"/>
                <w10:wrap type="through"/>
              </v:line>
            </w:pict>
          </mc:Fallback>
        </mc:AlternateContent>
      </w:r>
      <w:r>
        <w:rPr>
          <w:rFonts w:hint="eastAsia" w:ascii="Times New Roman"/>
          <w:szCs w:val="21"/>
        </w:rPr>
        <w:t>“锚杆”大写汉语拼音“MAO GAN”的首位字母</w:t>
      </w:r>
    </w:p>
    <w:p w14:paraId="27F83EC8">
      <w:pPr>
        <w:pStyle w:val="23"/>
        <w:rPr>
          <w:rFonts w:ascii="Times New Roman"/>
          <w:szCs w:val="21"/>
        </w:rPr>
      </w:pPr>
    </w:p>
    <w:p w14:paraId="798D3C05">
      <w:pPr>
        <w:pStyle w:val="23"/>
        <w:rPr>
          <w:rFonts w:ascii="Times New Roman"/>
          <w:szCs w:val="21"/>
        </w:rPr>
      </w:pPr>
      <w:r>
        <w:rPr>
          <w:rFonts w:hint="eastAsia" w:ascii="Times New Roman"/>
          <w:szCs w:val="21"/>
        </w:rPr>
        <w:t>例如：屈服强度特征值为400MPa的月牙肋锚杆用耐蚀钢筋，可以写为MG400c</w:t>
      </w:r>
    </w:p>
    <w:p w14:paraId="1C5C588C">
      <w:pPr>
        <w:pStyle w:val="23"/>
        <w:ind w:firstLine="1050" w:firstLineChars="500"/>
        <w:rPr>
          <w:rFonts w:hint="eastAsia" w:ascii="Times New Roman"/>
          <w:szCs w:val="21"/>
        </w:rPr>
      </w:pPr>
      <w:r>
        <w:rPr>
          <w:rFonts w:hint="eastAsia" w:ascii="Times New Roman"/>
          <w:szCs w:val="21"/>
        </w:rPr>
        <w:t>屈服强度特征值为400MPa的左旋螺纹肋锚杆用耐蚀钢筋，可以写为MG400cZ。</w:t>
      </w:r>
    </w:p>
    <w:p w14:paraId="029C0D00">
      <w:pPr>
        <w:pStyle w:val="50"/>
      </w:pPr>
      <w:r>
        <w:rPr>
          <w:rFonts w:hint="eastAsia"/>
          <w:lang w:val="en-US" w:eastAsia="zh-CN"/>
        </w:rPr>
        <w:t>尺</w:t>
      </w:r>
      <w:r>
        <w:rPr>
          <w:rFonts w:hint="eastAsia" w:ascii="Times New Roman"/>
        </w:rPr>
        <w:t>寸、外形、重量及允许偏差</w:t>
      </w:r>
    </w:p>
    <w:p w14:paraId="5BA3EE18">
      <w:pPr>
        <w:pStyle w:val="50"/>
        <w:keepNext w:val="0"/>
        <w:keepLines w:val="0"/>
        <w:pageBreakBefore w:val="0"/>
        <w:widowControl/>
        <w:numPr>
          <w:ilvl w:val="0"/>
          <w:numId w:val="0"/>
        </w:numPr>
        <w:kinsoku/>
        <w:wordWrap/>
        <w:overflowPunct/>
        <w:topLinePunct w:val="0"/>
        <w:autoSpaceDE/>
        <w:autoSpaceDN/>
        <w:bidi w:val="0"/>
        <w:adjustRightInd/>
        <w:snapToGrid/>
        <w:ind w:leftChars="0" w:firstLine="420" w:firstLineChars="200"/>
        <w:textAlignment w:val="auto"/>
        <w:rPr>
          <w:rFonts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钢筋的尺寸、外形、长度、弯曲度和端部、重量及其允许偏差应符合YB/T 4364的规定。</w:t>
      </w:r>
    </w:p>
    <w:bookmarkEnd w:id="9"/>
    <w:p w14:paraId="42CC45B8">
      <w:pPr>
        <w:pStyle w:val="50"/>
      </w:pPr>
      <w:r>
        <w:rPr>
          <w:rFonts w:hint="eastAsia"/>
        </w:rPr>
        <w:t>技术要求</w:t>
      </w:r>
    </w:p>
    <w:p w14:paraId="319B6F39">
      <w:pPr>
        <w:pStyle w:val="52"/>
        <w:numPr>
          <w:ilvl w:val="1"/>
          <w:numId w:val="2"/>
        </w:numPr>
        <w:spacing w:before="156" w:after="156"/>
        <w:rPr>
          <w:rFonts w:ascii="Times New Roman"/>
        </w:rPr>
      </w:pPr>
      <w:bookmarkStart w:id="15" w:name="_Toc103246223"/>
      <w:r>
        <w:rPr>
          <w:rFonts w:ascii="Times New Roman"/>
        </w:rPr>
        <w:t>牌号和化学成分</w:t>
      </w:r>
      <w:bookmarkEnd w:id="15"/>
    </w:p>
    <w:p w14:paraId="3306AD35">
      <w:pPr>
        <w:pStyle w:val="55"/>
        <w:numPr>
          <w:ilvl w:val="2"/>
          <w:numId w:val="2"/>
        </w:numPr>
        <w:spacing w:beforeLines="0" w:afterLines="0"/>
        <w:jc w:val="both"/>
        <w:rPr>
          <w:rFonts w:ascii="Times New Roman" w:eastAsia="宋体"/>
        </w:rPr>
      </w:pPr>
      <w:bookmarkStart w:id="16" w:name="_Hlk80732631"/>
      <w:r>
        <w:rPr>
          <w:rFonts w:ascii="Times New Roman" w:eastAsia="宋体"/>
        </w:rPr>
        <w:t>钢筋牌号和化学成分（熔炼分析）应符合表</w:t>
      </w:r>
      <w:r>
        <w:rPr>
          <w:rFonts w:hint="eastAsia" w:ascii="Times New Roman" w:eastAsia="宋体"/>
        </w:rPr>
        <w:t>1</w:t>
      </w:r>
      <w:r>
        <w:rPr>
          <w:rFonts w:ascii="Times New Roman" w:eastAsia="宋体"/>
        </w:rPr>
        <w:t>的规定。根据需要，可加入V、Nb、Ti等元素。</w:t>
      </w:r>
    </w:p>
    <w:p w14:paraId="222F9961">
      <w:pPr>
        <w:pStyle w:val="82"/>
        <w:numPr>
          <w:ilvl w:val="0"/>
          <w:numId w:val="5"/>
        </w:numPr>
        <w:spacing w:before="156" w:after="156"/>
        <w:ind w:left="0"/>
        <w:rPr>
          <w:rFonts w:ascii="Times New Roman"/>
        </w:rPr>
      </w:pPr>
      <w:r>
        <w:rPr>
          <w:rFonts w:ascii="Times New Roman"/>
        </w:rPr>
        <w:t>牌号和化学成分（熔炼分析）</w:t>
      </w:r>
    </w:p>
    <w:tbl>
      <w:tblPr>
        <w:tblStyle w:val="32"/>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171"/>
        <w:gridCol w:w="1177"/>
        <w:gridCol w:w="1187"/>
        <w:gridCol w:w="1259"/>
        <w:gridCol w:w="1187"/>
        <w:gridCol w:w="1187"/>
        <w:gridCol w:w="1252"/>
      </w:tblGrid>
      <w:tr w14:paraId="41756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00" w:type="pct"/>
            <w:vMerge w:val="restart"/>
            <w:vAlign w:val="center"/>
          </w:tcPr>
          <w:p w14:paraId="171BF0E3">
            <w:pPr>
              <w:jc w:val="center"/>
              <w:rPr>
                <w:sz w:val="18"/>
                <w:szCs w:val="18"/>
              </w:rPr>
            </w:pPr>
            <w:bookmarkStart w:id="17" w:name="_Hlk168475946"/>
            <w:r>
              <w:rPr>
                <w:sz w:val="18"/>
                <w:szCs w:val="18"/>
              </w:rPr>
              <w:t>牌号</w:t>
            </w:r>
          </w:p>
        </w:tc>
        <w:tc>
          <w:tcPr>
            <w:tcW w:w="4399" w:type="pct"/>
            <w:gridSpan w:val="7"/>
          </w:tcPr>
          <w:p w14:paraId="25F4F55B">
            <w:pPr>
              <w:jc w:val="center"/>
              <w:rPr>
                <w:sz w:val="18"/>
                <w:szCs w:val="18"/>
              </w:rPr>
            </w:pPr>
            <w:r>
              <w:rPr>
                <w:sz w:val="18"/>
                <w:szCs w:val="18"/>
              </w:rPr>
              <w:t>化学成分（质量分数）/%</w:t>
            </w:r>
          </w:p>
        </w:tc>
      </w:tr>
      <w:tr w14:paraId="3B85D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00" w:type="pct"/>
            <w:vMerge w:val="continue"/>
            <w:vAlign w:val="center"/>
          </w:tcPr>
          <w:p w14:paraId="4F66A086">
            <w:pPr>
              <w:jc w:val="center"/>
              <w:rPr>
                <w:sz w:val="18"/>
                <w:szCs w:val="18"/>
              </w:rPr>
            </w:pPr>
          </w:p>
        </w:tc>
        <w:tc>
          <w:tcPr>
            <w:tcW w:w="612" w:type="pct"/>
            <w:vAlign w:val="center"/>
          </w:tcPr>
          <w:p w14:paraId="2F291F9B">
            <w:pPr>
              <w:jc w:val="center"/>
              <w:rPr>
                <w:sz w:val="18"/>
                <w:szCs w:val="18"/>
              </w:rPr>
            </w:pPr>
            <w:r>
              <w:rPr>
                <w:sz w:val="18"/>
                <w:szCs w:val="18"/>
              </w:rPr>
              <w:t>C</w:t>
            </w:r>
          </w:p>
        </w:tc>
        <w:tc>
          <w:tcPr>
            <w:tcW w:w="615" w:type="pct"/>
            <w:vAlign w:val="center"/>
          </w:tcPr>
          <w:p w14:paraId="57AE3880">
            <w:pPr>
              <w:jc w:val="center"/>
              <w:rPr>
                <w:sz w:val="18"/>
                <w:szCs w:val="18"/>
              </w:rPr>
            </w:pPr>
            <w:r>
              <w:rPr>
                <w:sz w:val="18"/>
                <w:szCs w:val="18"/>
              </w:rPr>
              <w:t>Si</w:t>
            </w:r>
          </w:p>
        </w:tc>
        <w:tc>
          <w:tcPr>
            <w:tcW w:w="620" w:type="pct"/>
            <w:vAlign w:val="center"/>
          </w:tcPr>
          <w:p w14:paraId="51BA735F">
            <w:pPr>
              <w:jc w:val="center"/>
              <w:rPr>
                <w:sz w:val="18"/>
                <w:szCs w:val="18"/>
              </w:rPr>
            </w:pPr>
            <w:r>
              <w:rPr>
                <w:sz w:val="18"/>
                <w:szCs w:val="18"/>
              </w:rPr>
              <w:t>Mn</w:t>
            </w:r>
          </w:p>
        </w:tc>
        <w:tc>
          <w:tcPr>
            <w:tcW w:w="658" w:type="pct"/>
            <w:vAlign w:val="center"/>
          </w:tcPr>
          <w:p w14:paraId="78E8DA6D">
            <w:pPr>
              <w:jc w:val="center"/>
              <w:rPr>
                <w:sz w:val="18"/>
                <w:szCs w:val="18"/>
              </w:rPr>
            </w:pPr>
            <w:r>
              <w:rPr>
                <w:sz w:val="18"/>
                <w:szCs w:val="18"/>
              </w:rPr>
              <w:t>P</w:t>
            </w:r>
          </w:p>
        </w:tc>
        <w:tc>
          <w:tcPr>
            <w:tcW w:w="620" w:type="pct"/>
            <w:vAlign w:val="center"/>
          </w:tcPr>
          <w:p w14:paraId="18107C6A">
            <w:pPr>
              <w:jc w:val="center"/>
              <w:rPr>
                <w:sz w:val="18"/>
                <w:szCs w:val="18"/>
              </w:rPr>
            </w:pPr>
            <w:r>
              <w:rPr>
                <w:sz w:val="18"/>
                <w:szCs w:val="18"/>
              </w:rPr>
              <w:t>S</w:t>
            </w:r>
          </w:p>
        </w:tc>
        <w:tc>
          <w:tcPr>
            <w:tcW w:w="620" w:type="pct"/>
          </w:tcPr>
          <w:p w14:paraId="4B81A8E0">
            <w:pPr>
              <w:jc w:val="center"/>
              <w:rPr>
                <w:sz w:val="18"/>
                <w:szCs w:val="18"/>
              </w:rPr>
            </w:pPr>
            <w:r>
              <w:rPr>
                <w:rFonts w:hint="eastAsia"/>
                <w:sz w:val="18"/>
                <w:szCs w:val="18"/>
              </w:rPr>
              <w:t>Cr</w:t>
            </w:r>
          </w:p>
        </w:tc>
        <w:tc>
          <w:tcPr>
            <w:tcW w:w="650" w:type="pct"/>
          </w:tcPr>
          <w:p w14:paraId="48388652">
            <w:pPr>
              <w:jc w:val="center"/>
              <w:rPr>
                <w:sz w:val="18"/>
                <w:szCs w:val="18"/>
              </w:rPr>
            </w:pPr>
            <w:r>
              <w:rPr>
                <w:rFonts w:hint="eastAsia"/>
                <w:sz w:val="18"/>
                <w:szCs w:val="18"/>
              </w:rPr>
              <w:t>Ni</w:t>
            </w:r>
          </w:p>
        </w:tc>
      </w:tr>
      <w:tr w14:paraId="56F56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00" w:type="pct"/>
            <w:vAlign w:val="center"/>
          </w:tcPr>
          <w:p w14:paraId="1863182E">
            <w:pPr>
              <w:pStyle w:val="23"/>
              <w:ind w:firstLine="0" w:firstLineChars="0"/>
              <w:jc w:val="center"/>
              <w:rPr>
                <w:sz w:val="18"/>
                <w:szCs w:val="18"/>
              </w:rPr>
            </w:pPr>
            <w:r>
              <w:rPr>
                <w:rFonts w:hint="eastAsia"/>
                <w:sz w:val="18"/>
                <w:szCs w:val="18"/>
              </w:rPr>
              <w:t>MG400c</w:t>
            </w:r>
          </w:p>
        </w:tc>
        <w:tc>
          <w:tcPr>
            <w:tcW w:w="612" w:type="pct"/>
            <w:vMerge w:val="restart"/>
            <w:vAlign w:val="center"/>
          </w:tcPr>
          <w:p w14:paraId="2CA35762">
            <w:pPr>
              <w:jc w:val="center"/>
              <w:rPr>
                <w:sz w:val="18"/>
                <w:szCs w:val="18"/>
              </w:rPr>
            </w:pPr>
            <w:r>
              <w:rPr>
                <w:sz w:val="18"/>
                <w:szCs w:val="18"/>
              </w:rPr>
              <w:t>≤0.21</w:t>
            </w:r>
          </w:p>
        </w:tc>
        <w:tc>
          <w:tcPr>
            <w:tcW w:w="615" w:type="pct"/>
            <w:vMerge w:val="restart"/>
            <w:vAlign w:val="center"/>
          </w:tcPr>
          <w:p w14:paraId="115C06B2">
            <w:pPr>
              <w:pStyle w:val="159"/>
              <w:shd w:val="clear" w:color="auto" w:fill="auto"/>
              <w:spacing w:line="240" w:lineRule="auto"/>
              <w:jc w:val="center"/>
              <w:rPr>
                <w:rFonts w:ascii="Times New Roman" w:hAnsi="Times New Roman" w:eastAsia="宋体" w:cs="Times New Roman"/>
                <w:sz w:val="18"/>
                <w:szCs w:val="18"/>
              </w:rPr>
            </w:pPr>
            <w:r>
              <w:rPr>
                <w:rFonts w:ascii="Times New Roman" w:hAnsi="Times New Roman" w:cs="Times New Roman"/>
                <w:sz w:val="18"/>
                <w:szCs w:val="18"/>
              </w:rPr>
              <w:t>≤0.80</w:t>
            </w:r>
          </w:p>
        </w:tc>
        <w:tc>
          <w:tcPr>
            <w:tcW w:w="620" w:type="pct"/>
            <w:vMerge w:val="restart"/>
            <w:vAlign w:val="center"/>
          </w:tcPr>
          <w:p w14:paraId="1279A811">
            <w:pPr>
              <w:pStyle w:val="159"/>
              <w:shd w:val="clear" w:color="auto" w:fill="auto"/>
              <w:spacing w:line="240" w:lineRule="auto"/>
              <w:jc w:val="center"/>
              <w:rPr>
                <w:rFonts w:ascii="Times New Roman" w:hAnsi="Times New Roman" w:eastAsia="宋体" w:cs="Times New Roman"/>
                <w:sz w:val="18"/>
                <w:szCs w:val="18"/>
              </w:rPr>
            </w:pPr>
            <w:r>
              <w:rPr>
                <w:rFonts w:ascii="Times New Roman" w:hAnsi="Times New Roman" w:cs="Times New Roman"/>
                <w:sz w:val="18"/>
                <w:szCs w:val="18"/>
              </w:rPr>
              <w:t>≤1.60</w:t>
            </w:r>
          </w:p>
        </w:tc>
        <w:tc>
          <w:tcPr>
            <w:tcW w:w="658" w:type="pct"/>
            <w:vMerge w:val="restart"/>
            <w:vAlign w:val="center"/>
          </w:tcPr>
          <w:p w14:paraId="60316000">
            <w:pPr>
              <w:jc w:val="center"/>
              <w:rPr>
                <w:sz w:val="18"/>
                <w:szCs w:val="18"/>
              </w:rPr>
            </w:pPr>
            <w:r>
              <w:rPr>
                <w:sz w:val="18"/>
                <w:szCs w:val="18"/>
              </w:rPr>
              <w:t>≤0.030</w:t>
            </w:r>
          </w:p>
        </w:tc>
        <w:tc>
          <w:tcPr>
            <w:tcW w:w="620" w:type="pct"/>
            <w:vMerge w:val="restart"/>
            <w:vAlign w:val="center"/>
          </w:tcPr>
          <w:p w14:paraId="613CD94F">
            <w:pPr>
              <w:jc w:val="center"/>
              <w:rPr>
                <w:sz w:val="18"/>
                <w:szCs w:val="18"/>
              </w:rPr>
            </w:pPr>
            <w:r>
              <w:rPr>
                <w:sz w:val="18"/>
                <w:szCs w:val="18"/>
              </w:rPr>
              <w:t>≤0.030</w:t>
            </w:r>
          </w:p>
        </w:tc>
        <w:tc>
          <w:tcPr>
            <w:tcW w:w="620" w:type="pct"/>
            <w:vMerge w:val="restart"/>
            <w:vAlign w:val="center"/>
          </w:tcPr>
          <w:p w14:paraId="76698875">
            <w:pPr>
              <w:jc w:val="center"/>
              <w:rPr>
                <w:sz w:val="18"/>
                <w:szCs w:val="18"/>
              </w:rPr>
            </w:pPr>
            <w:r>
              <w:rPr>
                <w:sz w:val="18"/>
                <w:szCs w:val="18"/>
              </w:rPr>
              <w:t>0.25~7.0</w:t>
            </w:r>
          </w:p>
        </w:tc>
        <w:tc>
          <w:tcPr>
            <w:tcW w:w="650" w:type="pct"/>
            <w:vMerge w:val="restart"/>
            <w:vAlign w:val="center"/>
          </w:tcPr>
          <w:p w14:paraId="49A4EBC3">
            <w:pPr>
              <w:jc w:val="center"/>
              <w:rPr>
                <w:sz w:val="18"/>
                <w:szCs w:val="18"/>
              </w:rPr>
            </w:pPr>
            <w:r>
              <w:rPr>
                <w:sz w:val="18"/>
                <w:szCs w:val="18"/>
              </w:rPr>
              <w:t>≤0.65</w:t>
            </w:r>
          </w:p>
        </w:tc>
      </w:tr>
      <w:tr w14:paraId="78DCAE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00" w:type="pct"/>
            <w:vAlign w:val="center"/>
          </w:tcPr>
          <w:p w14:paraId="1FF1BF14">
            <w:pPr>
              <w:pStyle w:val="23"/>
              <w:ind w:firstLine="0" w:firstLineChars="0"/>
              <w:jc w:val="center"/>
              <w:rPr>
                <w:sz w:val="18"/>
                <w:szCs w:val="18"/>
              </w:rPr>
            </w:pPr>
            <w:r>
              <w:rPr>
                <w:rFonts w:hint="eastAsia"/>
                <w:sz w:val="18"/>
                <w:szCs w:val="18"/>
              </w:rPr>
              <w:t>MG500c</w:t>
            </w:r>
          </w:p>
        </w:tc>
        <w:tc>
          <w:tcPr>
            <w:tcW w:w="612" w:type="pct"/>
            <w:vMerge w:val="continue"/>
            <w:vAlign w:val="center"/>
          </w:tcPr>
          <w:p w14:paraId="183C13A5">
            <w:pPr>
              <w:jc w:val="center"/>
              <w:rPr>
                <w:sz w:val="18"/>
                <w:szCs w:val="18"/>
              </w:rPr>
            </w:pPr>
          </w:p>
        </w:tc>
        <w:tc>
          <w:tcPr>
            <w:tcW w:w="615" w:type="pct"/>
            <w:vMerge w:val="continue"/>
            <w:vAlign w:val="center"/>
          </w:tcPr>
          <w:p w14:paraId="53CA6F51">
            <w:pPr>
              <w:jc w:val="center"/>
              <w:rPr>
                <w:sz w:val="18"/>
                <w:szCs w:val="18"/>
              </w:rPr>
            </w:pPr>
          </w:p>
        </w:tc>
        <w:tc>
          <w:tcPr>
            <w:tcW w:w="620" w:type="pct"/>
            <w:vMerge w:val="continue"/>
            <w:vAlign w:val="center"/>
          </w:tcPr>
          <w:p w14:paraId="181D501E">
            <w:pPr>
              <w:jc w:val="center"/>
              <w:rPr>
                <w:sz w:val="18"/>
                <w:szCs w:val="18"/>
              </w:rPr>
            </w:pPr>
          </w:p>
        </w:tc>
        <w:tc>
          <w:tcPr>
            <w:tcW w:w="658" w:type="pct"/>
            <w:vMerge w:val="continue"/>
            <w:vAlign w:val="center"/>
          </w:tcPr>
          <w:p w14:paraId="379752A2">
            <w:pPr>
              <w:jc w:val="center"/>
              <w:rPr>
                <w:sz w:val="18"/>
                <w:szCs w:val="18"/>
              </w:rPr>
            </w:pPr>
          </w:p>
        </w:tc>
        <w:tc>
          <w:tcPr>
            <w:tcW w:w="620" w:type="pct"/>
            <w:vMerge w:val="continue"/>
            <w:vAlign w:val="center"/>
          </w:tcPr>
          <w:p w14:paraId="4349F27C">
            <w:pPr>
              <w:jc w:val="center"/>
              <w:rPr>
                <w:sz w:val="18"/>
                <w:szCs w:val="18"/>
              </w:rPr>
            </w:pPr>
          </w:p>
        </w:tc>
        <w:tc>
          <w:tcPr>
            <w:tcW w:w="620" w:type="pct"/>
            <w:vMerge w:val="continue"/>
            <w:vAlign w:val="center"/>
          </w:tcPr>
          <w:p w14:paraId="06E84C87">
            <w:pPr>
              <w:jc w:val="center"/>
              <w:rPr>
                <w:sz w:val="18"/>
                <w:szCs w:val="18"/>
              </w:rPr>
            </w:pPr>
          </w:p>
        </w:tc>
        <w:tc>
          <w:tcPr>
            <w:tcW w:w="650" w:type="pct"/>
            <w:vMerge w:val="continue"/>
            <w:vAlign w:val="center"/>
          </w:tcPr>
          <w:p w14:paraId="18CC837A">
            <w:pPr>
              <w:jc w:val="center"/>
              <w:rPr>
                <w:sz w:val="18"/>
                <w:szCs w:val="18"/>
              </w:rPr>
            </w:pPr>
          </w:p>
        </w:tc>
      </w:tr>
      <w:bookmarkEnd w:id="17"/>
    </w:tbl>
    <w:p w14:paraId="45119E94">
      <w:pPr>
        <w:pStyle w:val="55"/>
        <w:numPr>
          <w:ilvl w:val="2"/>
          <w:numId w:val="2"/>
        </w:numPr>
        <w:spacing w:beforeLines="0" w:afterLines="0"/>
        <w:jc w:val="both"/>
        <w:rPr>
          <w:rFonts w:ascii="Times New Roman" w:eastAsia="宋体"/>
          <w:bCs/>
        </w:rPr>
      </w:pPr>
      <w:r>
        <w:rPr>
          <w:rFonts w:ascii="Times New Roman" w:eastAsia="宋体"/>
        </w:rPr>
        <w:t>为了进一步提高钢筋的耐腐蚀性能，还可加入下列一种或多种合金元素：</w:t>
      </w:r>
      <w:r>
        <w:rPr>
          <w:rFonts w:ascii="Times New Roman" w:eastAsia="宋体"/>
          <w:lang w:bidi="en-US"/>
        </w:rPr>
        <w:t>Mo≤0.30%</w:t>
      </w:r>
      <w:r>
        <w:rPr>
          <w:rFonts w:hint="eastAsia" w:ascii="Times New Roman" w:eastAsia="宋体"/>
          <w:lang w:bidi="en-US"/>
        </w:rPr>
        <w:t>、</w:t>
      </w:r>
      <w:r>
        <w:rPr>
          <w:rFonts w:ascii="Times New Roman" w:eastAsia="宋体"/>
          <w:lang w:bidi="en-US"/>
        </w:rPr>
        <w:t>RE≤0.05%</w:t>
      </w:r>
      <w:r>
        <w:rPr>
          <w:rFonts w:ascii="Times New Roman" w:eastAsia="宋体"/>
        </w:rPr>
        <w:t>等。</w:t>
      </w:r>
    </w:p>
    <w:p w14:paraId="4FFD6536">
      <w:pPr>
        <w:pStyle w:val="55"/>
        <w:numPr>
          <w:ilvl w:val="2"/>
          <w:numId w:val="2"/>
        </w:numPr>
        <w:spacing w:beforeLines="0" w:afterLines="0"/>
        <w:jc w:val="both"/>
        <w:rPr>
          <w:rFonts w:ascii="Times New Roman" w:eastAsia="宋体"/>
          <w:bCs/>
        </w:rPr>
      </w:pPr>
      <w:r>
        <w:rPr>
          <w:rFonts w:ascii="Times New Roman" w:eastAsia="宋体"/>
        </w:rPr>
        <w:t>钢的氮含量不应大于0.012%。供方如能保证可不作分析，钢中如有足够数量的氮结合元素，含氮量的限制可适当放宽。</w:t>
      </w:r>
    </w:p>
    <w:p w14:paraId="4720B377">
      <w:pPr>
        <w:pStyle w:val="55"/>
        <w:numPr>
          <w:ilvl w:val="2"/>
          <w:numId w:val="2"/>
        </w:numPr>
        <w:spacing w:beforeLines="0" w:afterLines="0"/>
        <w:jc w:val="both"/>
        <w:rPr>
          <w:rFonts w:eastAsia="宋体"/>
        </w:rPr>
      </w:pPr>
      <w:r>
        <w:rPr>
          <w:rFonts w:ascii="Times New Roman" w:eastAsia="宋体"/>
        </w:rPr>
        <w:t>钢筋的成品化学成分允许偏差应符合GB/T 222的规定。</w:t>
      </w:r>
    </w:p>
    <w:p w14:paraId="4C91B6D1">
      <w:pPr>
        <w:pStyle w:val="55"/>
        <w:numPr>
          <w:ilvl w:val="2"/>
          <w:numId w:val="2"/>
        </w:numPr>
        <w:spacing w:beforeLines="0" w:afterLines="0"/>
        <w:jc w:val="both"/>
        <w:rPr>
          <w:rFonts w:ascii="Times New Roman" w:eastAsia="宋体"/>
        </w:rPr>
      </w:pPr>
      <w:r>
        <w:rPr>
          <w:rFonts w:hint="eastAsia" w:ascii="Times New Roman" w:eastAsia="宋体"/>
        </w:rPr>
        <w:t>经供需双方协商，并在合同中注明，也可供应其他牌号和化学成分的钢筋。</w:t>
      </w:r>
    </w:p>
    <w:p w14:paraId="7A64C4E1">
      <w:pPr>
        <w:pStyle w:val="52"/>
        <w:numPr>
          <w:ilvl w:val="1"/>
          <w:numId w:val="2"/>
        </w:numPr>
        <w:spacing w:before="156" w:after="156"/>
        <w:rPr>
          <w:rFonts w:ascii="Times New Roman"/>
        </w:rPr>
      </w:pPr>
      <w:bookmarkStart w:id="18" w:name="_Toc103246222"/>
      <w:r>
        <w:rPr>
          <w:rFonts w:ascii="Times New Roman"/>
        </w:rPr>
        <w:t>冶炼方法</w:t>
      </w:r>
      <w:bookmarkEnd w:id="18"/>
      <w:bookmarkStart w:id="19" w:name="_Hlk80718921"/>
    </w:p>
    <w:p w14:paraId="31AF2CAF">
      <w:pPr>
        <w:pStyle w:val="23"/>
        <w:rPr>
          <w:rFonts w:ascii="Times New Roman"/>
        </w:rPr>
      </w:pPr>
      <w:r>
        <w:rPr>
          <w:rFonts w:ascii="Times New Roman"/>
        </w:rPr>
        <w:t>钢</w:t>
      </w:r>
      <w:r>
        <w:rPr>
          <w:rFonts w:hint="eastAsia" w:ascii="Times New Roman"/>
        </w:rPr>
        <w:t>由</w:t>
      </w:r>
      <w:r>
        <w:rPr>
          <w:rFonts w:ascii="Times New Roman"/>
        </w:rPr>
        <w:t>转炉或电炉冶炼</w:t>
      </w:r>
      <w:r>
        <w:rPr>
          <w:rFonts w:hint="eastAsia" w:ascii="Times New Roman"/>
        </w:rPr>
        <w:t>，必要时可采用炉外精炼。除非需方有特殊要求，冶炼方法一般由供方选择。</w:t>
      </w:r>
    </w:p>
    <w:bookmarkEnd w:id="19"/>
    <w:p w14:paraId="5950FC4E">
      <w:pPr>
        <w:pStyle w:val="52"/>
        <w:numPr>
          <w:ilvl w:val="1"/>
          <w:numId w:val="2"/>
        </w:numPr>
        <w:spacing w:before="156" w:after="156"/>
        <w:rPr>
          <w:rFonts w:ascii="Times New Roman"/>
        </w:rPr>
      </w:pPr>
      <w:bookmarkStart w:id="20" w:name="_Toc103246224"/>
      <w:bookmarkStart w:id="21" w:name="_Toc99610625"/>
      <w:r>
        <w:rPr>
          <w:rFonts w:ascii="Times New Roman"/>
        </w:rPr>
        <w:t>交货</w:t>
      </w:r>
      <w:bookmarkEnd w:id="20"/>
      <w:r>
        <w:rPr>
          <w:rFonts w:hint="eastAsia" w:ascii="Times New Roman"/>
        </w:rPr>
        <w:t>状态及交货型式</w:t>
      </w:r>
    </w:p>
    <w:p w14:paraId="520A6B0F">
      <w:pPr>
        <w:pStyle w:val="55"/>
        <w:numPr>
          <w:ilvl w:val="2"/>
          <w:numId w:val="6"/>
        </w:numPr>
        <w:spacing w:beforeLines="0" w:afterLines="0"/>
        <w:jc w:val="both"/>
        <w:rPr>
          <w:rFonts w:eastAsia="宋体"/>
        </w:rPr>
      </w:pPr>
      <w:r>
        <w:rPr>
          <w:rFonts w:ascii="Times New Roman" w:eastAsia="宋体"/>
        </w:rPr>
        <w:t>钢筋</w:t>
      </w:r>
      <w:r>
        <w:rPr>
          <w:rFonts w:hint="eastAsia" w:ascii="Times New Roman" w:eastAsia="宋体"/>
        </w:rPr>
        <w:t>以热轧或控轧控冷状态交货。</w:t>
      </w:r>
    </w:p>
    <w:p w14:paraId="1E66BDBA">
      <w:pPr>
        <w:pStyle w:val="55"/>
        <w:numPr>
          <w:ilvl w:val="2"/>
          <w:numId w:val="6"/>
        </w:numPr>
        <w:spacing w:beforeLines="0" w:afterLines="0"/>
        <w:jc w:val="both"/>
        <w:rPr>
          <w:rFonts w:eastAsia="宋体"/>
        </w:rPr>
      </w:pPr>
      <w:r>
        <w:rPr>
          <w:rFonts w:eastAsia="宋体"/>
        </w:rPr>
        <w:t>钢筋通常按直条交货</w:t>
      </w:r>
      <w:r>
        <w:rPr>
          <w:rFonts w:hint="eastAsia" w:eastAsia="宋体"/>
        </w:rPr>
        <w:t>。</w:t>
      </w:r>
    </w:p>
    <w:bookmarkEnd w:id="16"/>
    <w:bookmarkEnd w:id="21"/>
    <w:p w14:paraId="0D1F60EC">
      <w:pPr>
        <w:pStyle w:val="52"/>
        <w:numPr>
          <w:ilvl w:val="1"/>
          <w:numId w:val="6"/>
        </w:numPr>
        <w:spacing w:before="156" w:after="156"/>
        <w:rPr>
          <w:rFonts w:ascii="Times New Roman"/>
        </w:rPr>
      </w:pPr>
      <w:bookmarkStart w:id="22" w:name="_Toc103246225"/>
      <w:r>
        <w:rPr>
          <w:rFonts w:ascii="Times New Roman"/>
        </w:rPr>
        <w:t>力学性能</w:t>
      </w:r>
      <w:bookmarkEnd w:id="22"/>
    </w:p>
    <w:p w14:paraId="07D5EDEB">
      <w:pPr>
        <w:pStyle w:val="55"/>
        <w:numPr>
          <w:ilvl w:val="2"/>
          <w:numId w:val="6"/>
        </w:numPr>
        <w:spacing w:before="156" w:after="156"/>
        <w:jc w:val="both"/>
        <w:rPr>
          <w:rFonts w:ascii="Times New Roman" w:eastAsia="宋体"/>
        </w:rPr>
      </w:pPr>
      <w:r>
        <w:rPr>
          <w:rFonts w:ascii="Times New Roman" w:eastAsia="宋体"/>
        </w:rPr>
        <w:t>钢筋的下屈服强度R</w:t>
      </w:r>
      <w:r>
        <w:rPr>
          <w:rFonts w:ascii="Times New Roman" w:eastAsia="宋体"/>
          <w:vertAlign w:val="subscript"/>
        </w:rPr>
        <w:t>eL</w:t>
      </w:r>
      <w:r>
        <w:rPr>
          <w:rFonts w:ascii="Times New Roman" w:eastAsia="宋体"/>
        </w:rPr>
        <w:t>、抗拉强度R</w:t>
      </w:r>
      <w:r>
        <w:rPr>
          <w:rFonts w:ascii="Times New Roman" w:eastAsia="宋体"/>
          <w:vertAlign w:val="subscript"/>
        </w:rPr>
        <w:t>m</w:t>
      </w:r>
      <w:r>
        <w:rPr>
          <w:rFonts w:ascii="Times New Roman" w:eastAsia="宋体"/>
        </w:rPr>
        <w:t>、</w:t>
      </w:r>
      <w:r>
        <w:rPr>
          <w:rFonts w:hint="eastAsia" w:ascii="Times New Roman" w:eastAsia="宋体"/>
        </w:rPr>
        <w:t>断后伸长率A</w:t>
      </w:r>
      <w:r>
        <w:rPr>
          <w:rFonts w:ascii="Times New Roman" w:eastAsia="宋体"/>
        </w:rPr>
        <w:t>等力学性能特征值应符合表</w:t>
      </w:r>
      <w:r>
        <w:rPr>
          <w:rFonts w:hint="eastAsia" w:ascii="Times New Roman" w:eastAsia="宋体"/>
        </w:rPr>
        <w:t>2</w:t>
      </w:r>
      <w:r>
        <w:rPr>
          <w:rFonts w:ascii="Times New Roman" w:eastAsia="宋体"/>
        </w:rPr>
        <w:t>的规定。表</w:t>
      </w:r>
      <w:r>
        <w:rPr>
          <w:rFonts w:hint="eastAsia" w:ascii="Times New Roman" w:eastAsia="宋体"/>
        </w:rPr>
        <w:t>2</w:t>
      </w:r>
      <w:r>
        <w:rPr>
          <w:rFonts w:ascii="Times New Roman" w:eastAsia="宋体"/>
        </w:rPr>
        <w:t>所列各力学性能特征值</w:t>
      </w:r>
      <w:r>
        <w:rPr>
          <w:rFonts w:hint="eastAsia" w:ascii="Times New Roman" w:eastAsia="宋体"/>
        </w:rPr>
        <w:t>，</w:t>
      </w:r>
      <w:r>
        <w:rPr>
          <w:rFonts w:ascii="Times New Roman" w:eastAsia="宋体"/>
        </w:rPr>
        <w:t>可作为交货检验的最小保证值。</w:t>
      </w:r>
    </w:p>
    <w:p w14:paraId="3514FBFB">
      <w:pPr>
        <w:pStyle w:val="55"/>
        <w:numPr>
          <w:ilvl w:val="2"/>
          <w:numId w:val="6"/>
        </w:numPr>
        <w:spacing w:before="156" w:after="156"/>
        <w:jc w:val="both"/>
        <w:rPr>
          <w:rFonts w:ascii="Times New Roman" w:eastAsia="宋体"/>
        </w:rPr>
      </w:pPr>
      <w:r>
        <w:rPr>
          <w:rFonts w:hint="eastAsia" w:ascii="Times New Roman" w:eastAsia="宋体"/>
        </w:rPr>
        <w:t>对于没有明显屈服强度的钢，屈服强度特征值</w:t>
      </w:r>
      <w:r>
        <w:rPr>
          <w:rFonts w:ascii="Times New Roman" w:eastAsia="宋体"/>
        </w:rPr>
        <w:t>R</w:t>
      </w:r>
      <w:r>
        <w:rPr>
          <w:rFonts w:ascii="Times New Roman" w:eastAsia="宋体"/>
          <w:vertAlign w:val="subscript"/>
        </w:rPr>
        <w:t>eL</w:t>
      </w:r>
      <w:r>
        <w:rPr>
          <w:rFonts w:hint="eastAsia" w:ascii="Times New Roman" w:eastAsia="宋体"/>
        </w:rPr>
        <w:t>应采用规定塑性延伸强度</w:t>
      </w:r>
      <w:r>
        <w:rPr>
          <w:rFonts w:ascii="Times New Roman" w:eastAsia="宋体"/>
        </w:rPr>
        <w:t>R</w:t>
      </w:r>
      <w:r>
        <w:rPr>
          <w:rFonts w:hint="eastAsia" w:ascii="Times New Roman" w:eastAsia="宋体"/>
          <w:vertAlign w:val="subscript"/>
        </w:rPr>
        <w:t>p0.2</w:t>
      </w:r>
      <w:r>
        <w:rPr>
          <w:rFonts w:hint="eastAsia" w:ascii="Times New Roman" w:eastAsia="宋体"/>
        </w:rPr>
        <w:t>。</w:t>
      </w:r>
    </w:p>
    <w:p w14:paraId="01139B16">
      <w:pPr>
        <w:pStyle w:val="82"/>
        <w:numPr>
          <w:ilvl w:val="0"/>
          <w:numId w:val="5"/>
        </w:numPr>
        <w:spacing w:before="156" w:after="156"/>
        <w:ind w:left="0"/>
        <w:rPr>
          <w:rFonts w:ascii="Times New Roman"/>
        </w:rPr>
      </w:pPr>
      <w:r>
        <w:rPr>
          <w:rFonts w:ascii="Times New Roman"/>
        </w:rPr>
        <w:t>力学性能</w:t>
      </w:r>
    </w:p>
    <w:tbl>
      <w:tblPr>
        <w:tblStyle w:val="32"/>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499"/>
        <w:gridCol w:w="2572"/>
        <w:gridCol w:w="2595"/>
      </w:tblGrid>
      <w:tr w14:paraId="769336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93" w:type="pct"/>
            <w:vMerge w:val="restart"/>
            <w:vAlign w:val="center"/>
          </w:tcPr>
          <w:p w14:paraId="683158BB">
            <w:pPr>
              <w:adjustRightInd w:val="0"/>
              <w:spacing w:line="300" w:lineRule="exact"/>
              <w:jc w:val="center"/>
              <w:rPr>
                <w:sz w:val="18"/>
                <w:szCs w:val="18"/>
              </w:rPr>
            </w:pPr>
            <w:r>
              <w:rPr>
                <w:sz w:val="18"/>
                <w:szCs w:val="18"/>
                <w:lang w:val="zh-CN"/>
              </w:rPr>
              <w:t>牌号</w:t>
            </w:r>
          </w:p>
        </w:tc>
        <w:tc>
          <w:tcPr>
            <w:tcW w:w="1306" w:type="pct"/>
            <w:vAlign w:val="center"/>
          </w:tcPr>
          <w:p w14:paraId="4825F18D">
            <w:pPr>
              <w:adjustRightInd w:val="0"/>
              <w:spacing w:line="240" w:lineRule="exact"/>
              <w:jc w:val="center"/>
              <w:rPr>
                <w:sz w:val="18"/>
                <w:szCs w:val="18"/>
                <w:lang w:val="zh-CN"/>
              </w:rPr>
            </w:pPr>
            <w:r>
              <w:rPr>
                <w:sz w:val="18"/>
                <w:szCs w:val="18"/>
                <w:lang w:val="zh-CN"/>
              </w:rPr>
              <w:t>下屈服强度</w:t>
            </w:r>
          </w:p>
          <w:p w14:paraId="72B07793">
            <w:pPr>
              <w:adjustRightInd w:val="0"/>
              <w:spacing w:line="240" w:lineRule="exact"/>
              <w:jc w:val="center"/>
              <w:rPr>
                <w:sz w:val="18"/>
                <w:szCs w:val="18"/>
              </w:rPr>
            </w:pPr>
            <w:r>
              <w:rPr>
                <w:i/>
                <w:iCs/>
                <w:sz w:val="18"/>
                <w:szCs w:val="18"/>
                <w:lang w:val="zh-CN"/>
              </w:rPr>
              <w:t>R</w:t>
            </w:r>
            <w:r>
              <w:rPr>
                <w:i/>
                <w:iCs/>
                <w:sz w:val="18"/>
                <w:szCs w:val="18"/>
                <w:vertAlign w:val="subscript"/>
                <w:lang w:val="zh-CN"/>
              </w:rPr>
              <w:t xml:space="preserve">eL </w:t>
            </w:r>
            <w:r>
              <w:rPr>
                <w:i/>
                <w:iCs/>
                <w:sz w:val="18"/>
                <w:szCs w:val="18"/>
                <w:lang w:val="zh-CN"/>
              </w:rPr>
              <w:t xml:space="preserve">/ </w:t>
            </w:r>
            <w:r>
              <w:rPr>
                <w:sz w:val="18"/>
                <w:szCs w:val="18"/>
                <w:lang w:val="zh-CN"/>
              </w:rPr>
              <w:t>MPa</w:t>
            </w:r>
          </w:p>
        </w:tc>
        <w:tc>
          <w:tcPr>
            <w:tcW w:w="1344" w:type="pct"/>
            <w:vAlign w:val="center"/>
          </w:tcPr>
          <w:p w14:paraId="76E83BEF">
            <w:pPr>
              <w:adjustRightInd w:val="0"/>
              <w:spacing w:line="240" w:lineRule="exact"/>
              <w:jc w:val="center"/>
              <w:rPr>
                <w:sz w:val="18"/>
                <w:szCs w:val="18"/>
                <w:lang w:val="zh-CN"/>
              </w:rPr>
            </w:pPr>
            <w:r>
              <w:rPr>
                <w:sz w:val="18"/>
                <w:szCs w:val="18"/>
                <w:lang w:val="zh-CN"/>
              </w:rPr>
              <w:t>抗拉强度</w:t>
            </w:r>
          </w:p>
          <w:p w14:paraId="465031A4">
            <w:pPr>
              <w:adjustRightInd w:val="0"/>
              <w:spacing w:line="240" w:lineRule="exact"/>
              <w:jc w:val="center"/>
              <w:rPr>
                <w:sz w:val="18"/>
                <w:szCs w:val="18"/>
                <w:lang w:val="zh-CN"/>
              </w:rPr>
            </w:pPr>
            <w:r>
              <w:rPr>
                <w:i/>
                <w:iCs/>
                <w:sz w:val="18"/>
                <w:szCs w:val="18"/>
                <w:lang w:val="zh-CN"/>
              </w:rPr>
              <w:t>R</w:t>
            </w:r>
            <w:r>
              <w:rPr>
                <w:i/>
                <w:iCs/>
                <w:sz w:val="18"/>
                <w:szCs w:val="18"/>
                <w:vertAlign w:val="subscript"/>
                <w:lang w:val="zh-CN"/>
              </w:rPr>
              <w:t xml:space="preserve">m </w:t>
            </w:r>
            <w:r>
              <w:rPr>
                <w:i/>
                <w:iCs/>
                <w:sz w:val="18"/>
                <w:szCs w:val="18"/>
              </w:rPr>
              <w:t xml:space="preserve">/ </w:t>
            </w:r>
            <w:r>
              <w:rPr>
                <w:sz w:val="18"/>
                <w:szCs w:val="18"/>
                <w:lang w:val="zh-CN"/>
              </w:rPr>
              <w:t>MPa</w:t>
            </w:r>
          </w:p>
        </w:tc>
        <w:tc>
          <w:tcPr>
            <w:tcW w:w="1355" w:type="pct"/>
            <w:vAlign w:val="center"/>
          </w:tcPr>
          <w:p w14:paraId="0D8D3720">
            <w:pPr>
              <w:adjustRightInd w:val="0"/>
              <w:spacing w:line="240" w:lineRule="exact"/>
              <w:jc w:val="center"/>
              <w:rPr>
                <w:sz w:val="18"/>
                <w:szCs w:val="18"/>
              </w:rPr>
            </w:pPr>
            <w:r>
              <w:rPr>
                <w:rFonts w:hint="eastAsia"/>
                <w:sz w:val="18"/>
                <w:szCs w:val="18"/>
              </w:rPr>
              <w:t>断后伸长率</w:t>
            </w:r>
          </w:p>
          <w:p w14:paraId="7D88723B">
            <w:pPr>
              <w:adjustRightInd w:val="0"/>
              <w:spacing w:line="240" w:lineRule="exact"/>
              <w:jc w:val="center"/>
              <w:rPr>
                <w:i/>
                <w:iCs/>
                <w:sz w:val="18"/>
                <w:szCs w:val="18"/>
              </w:rPr>
            </w:pPr>
            <w:r>
              <w:rPr>
                <w:rFonts w:hint="eastAsia"/>
                <w:sz w:val="18"/>
                <w:szCs w:val="18"/>
              </w:rPr>
              <w:t>A/ %</w:t>
            </w:r>
          </w:p>
        </w:tc>
      </w:tr>
      <w:tr w14:paraId="7C716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93" w:type="pct"/>
            <w:vMerge w:val="continue"/>
            <w:vAlign w:val="center"/>
          </w:tcPr>
          <w:p w14:paraId="08A62ED9">
            <w:pPr>
              <w:spacing w:line="360" w:lineRule="auto"/>
              <w:jc w:val="center"/>
              <w:rPr>
                <w:sz w:val="18"/>
                <w:szCs w:val="18"/>
              </w:rPr>
            </w:pPr>
          </w:p>
        </w:tc>
        <w:tc>
          <w:tcPr>
            <w:tcW w:w="4006" w:type="pct"/>
            <w:gridSpan w:val="3"/>
            <w:vAlign w:val="center"/>
          </w:tcPr>
          <w:p w14:paraId="6A5FE8C3">
            <w:pPr>
              <w:adjustRightInd w:val="0"/>
              <w:spacing w:line="300" w:lineRule="exact"/>
              <w:jc w:val="center"/>
              <w:rPr>
                <w:sz w:val="18"/>
                <w:szCs w:val="18"/>
                <w:lang w:val="zh-CN"/>
              </w:rPr>
            </w:pPr>
            <w:r>
              <w:rPr>
                <w:sz w:val="18"/>
                <w:szCs w:val="18"/>
                <w:lang w:val="zh-CN"/>
              </w:rPr>
              <w:t>不小于</w:t>
            </w:r>
          </w:p>
        </w:tc>
      </w:tr>
      <w:tr w14:paraId="33294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3" w:type="pct"/>
            <w:vMerge w:val="restart"/>
            <w:vAlign w:val="center"/>
          </w:tcPr>
          <w:p w14:paraId="25AD5FFE">
            <w:pPr>
              <w:pStyle w:val="23"/>
              <w:ind w:firstLine="0" w:firstLineChars="0"/>
              <w:jc w:val="center"/>
              <w:rPr>
                <w:bCs/>
                <w:sz w:val="18"/>
                <w:szCs w:val="18"/>
              </w:rPr>
            </w:pPr>
            <w:r>
              <w:rPr>
                <w:rFonts w:hint="eastAsia"/>
                <w:bCs/>
                <w:sz w:val="18"/>
                <w:szCs w:val="18"/>
              </w:rPr>
              <w:t>MG400c</w:t>
            </w:r>
          </w:p>
        </w:tc>
        <w:tc>
          <w:tcPr>
            <w:tcW w:w="1306" w:type="pct"/>
            <w:vMerge w:val="restart"/>
            <w:vAlign w:val="center"/>
          </w:tcPr>
          <w:p w14:paraId="07486C38">
            <w:pPr>
              <w:adjustRightInd w:val="0"/>
              <w:spacing w:line="300" w:lineRule="exact"/>
              <w:jc w:val="center"/>
              <w:rPr>
                <w:sz w:val="18"/>
                <w:szCs w:val="18"/>
              </w:rPr>
            </w:pPr>
            <w:r>
              <w:rPr>
                <w:rFonts w:hint="eastAsia"/>
                <w:sz w:val="18"/>
                <w:szCs w:val="18"/>
              </w:rPr>
              <w:t>400</w:t>
            </w:r>
          </w:p>
        </w:tc>
        <w:tc>
          <w:tcPr>
            <w:tcW w:w="1344" w:type="pct"/>
            <w:vMerge w:val="restart"/>
            <w:vAlign w:val="center"/>
          </w:tcPr>
          <w:p w14:paraId="006C44C3">
            <w:pPr>
              <w:adjustRightInd w:val="0"/>
              <w:spacing w:line="300" w:lineRule="exact"/>
              <w:jc w:val="center"/>
              <w:rPr>
                <w:sz w:val="18"/>
                <w:szCs w:val="18"/>
              </w:rPr>
            </w:pPr>
            <w:r>
              <w:rPr>
                <w:rFonts w:hint="eastAsia"/>
                <w:sz w:val="18"/>
                <w:szCs w:val="18"/>
              </w:rPr>
              <w:t>540</w:t>
            </w:r>
          </w:p>
        </w:tc>
        <w:tc>
          <w:tcPr>
            <w:tcW w:w="1355" w:type="pct"/>
            <w:vAlign w:val="center"/>
          </w:tcPr>
          <w:p w14:paraId="5496AAF4">
            <w:pPr>
              <w:adjustRightInd w:val="0"/>
              <w:spacing w:line="300" w:lineRule="exact"/>
              <w:jc w:val="center"/>
              <w:rPr>
                <w:sz w:val="18"/>
                <w:szCs w:val="18"/>
              </w:rPr>
            </w:pPr>
            <w:r>
              <w:rPr>
                <w:rFonts w:hint="eastAsia"/>
                <w:sz w:val="18"/>
                <w:szCs w:val="18"/>
              </w:rPr>
              <w:t>16</w:t>
            </w:r>
          </w:p>
        </w:tc>
      </w:tr>
      <w:tr w14:paraId="62888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93" w:type="pct"/>
            <w:vAlign w:val="center"/>
          </w:tcPr>
          <w:p w14:paraId="50F20169">
            <w:pPr>
              <w:pStyle w:val="23"/>
              <w:ind w:firstLine="0" w:firstLineChars="0"/>
              <w:jc w:val="center"/>
              <w:rPr>
                <w:bCs/>
                <w:sz w:val="18"/>
                <w:szCs w:val="18"/>
              </w:rPr>
            </w:pPr>
            <w:r>
              <w:rPr>
                <w:rFonts w:hint="eastAsia"/>
                <w:bCs/>
                <w:sz w:val="18"/>
                <w:szCs w:val="18"/>
              </w:rPr>
              <w:t>MG500c</w:t>
            </w:r>
          </w:p>
        </w:tc>
        <w:tc>
          <w:tcPr>
            <w:tcW w:w="1306" w:type="pct"/>
            <w:vAlign w:val="center"/>
          </w:tcPr>
          <w:p w14:paraId="6F2CEE30">
            <w:pPr>
              <w:adjustRightInd w:val="0"/>
              <w:spacing w:line="300" w:lineRule="exact"/>
              <w:jc w:val="center"/>
              <w:rPr>
                <w:sz w:val="18"/>
                <w:szCs w:val="18"/>
              </w:rPr>
            </w:pPr>
            <w:r>
              <w:rPr>
                <w:rFonts w:hint="eastAsia"/>
                <w:sz w:val="18"/>
                <w:szCs w:val="18"/>
              </w:rPr>
              <w:t>500</w:t>
            </w:r>
          </w:p>
        </w:tc>
        <w:tc>
          <w:tcPr>
            <w:tcW w:w="1344" w:type="pct"/>
            <w:vAlign w:val="center"/>
          </w:tcPr>
          <w:p w14:paraId="29BA877F">
            <w:pPr>
              <w:adjustRightInd w:val="0"/>
              <w:spacing w:line="300" w:lineRule="exact"/>
              <w:jc w:val="center"/>
              <w:rPr>
                <w:sz w:val="18"/>
                <w:szCs w:val="18"/>
              </w:rPr>
            </w:pPr>
            <w:r>
              <w:rPr>
                <w:rFonts w:hint="eastAsia"/>
                <w:sz w:val="18"/>
                <w:szCs w:val="18"/>
              </w:rPr>
              <w:t>630</w:t>
            </w:r>
          </w:p>
        </w:tc>
        <w:tc>
          <w:tcPr>
            <w:tcW w:w="1355" w:type="pct"/>
            <w:vAlign w:val="center"/>
          </w:tcPr>
          <w:p w14:paraId="73ECE7E1">
            <w:pPr>
              <w:adjustRightInd w:val="0"/>
              <w:spacing w:line="300" w:lineRule="exact"/>
              <w:jc w:val="center"/>
              <w:rPr>
                <w:sz w:val="18"/>
                <w:szCs w:val="18"/>
              </w:rPr>
            </w:pPr>
            <w:r>
              <w:rPr>
                <w:rFonts w:hint="eastAsia"/>
                <w:sz w:val="18"/>
                <w:szCs w:val="18"/>
              </w:rPr>
              <w:t>16</w:t>
            </w:r>
          </w:p>
        </w:tc>
      </w:tr>
    </w:tbl>
    <w:p w14:paraId="2BA10EC0">
      <w:pPr>
        <w:pStyle w:val="52"/>
        <w:numPr>
          <w:ilvl w:val="1"/>
          <w:numId w:val="6"/>
        </w:numPr>
        <w:spacing w:before="156" w:after="156"/>
        <w:rPr>
          <w:rFonts w:ascii="Times New Roman"/>
        </w:rPr>
      </w:pPr>
      <w:bookmarkStart w:id="23" w:name="_Toc103246226"/>
      <w:r>
        <w:rPr>
          <w:rFonts w:ascii="Times New Roman"/>
        </w:rPr>
        <w:t>工艺性能</w:t>
      </w:r>
      <w:bookmarkEnd w:id="23"/>
    </w:p>
    <w:p w14:paraId="5CBF9E6F">
      <w:pPr>
        <w:pStyle w:val="55"/>
        <w:numPr>
          <w:ilvl w:val="2"/>
          <w:numId w:val="6"/>
        </w:numPr>
        <w:spacing w:beforeLines="0" w:afterLines="0"/>
        <w:jc w:val="both"/>
        <w:rPr>
          <w:rFonts w:ascii="Times New Roman"/>
          <w:bCs/>
        </w:rPr>
      </w:pPr>
      <w:r>
        <w:rPr>
          <w:rFonts w:ascii="Times New Roman"/>
          <w:bCs/>
        </w:rPr>
        <w:t>弯曲性能</w:t>
      </w:r>
    </w:p>
    <w:p w14:paraId="3E2DFB7D">
      <w:pPr>
        <w:pStyle w:val="23"/>
        <w:rPr>
          <w:rFonts w:ascii="Times New Roman"/>
        </w:rPr>
      </w:pPr>
      <w:r>
        <w:rPr>
          <w:rFonts w:ascii="Times New Roman"/>
        </w:rPr>
        <w:t>按表</w:t>
      </w:r>
      <w:r>
        <w:rPr>
          <w:rFonts w:hint="eastAsia" w:ascii="Times New Roman"/>
        </w:rPr>
        <w:t>3</w:t>
      </w:r>
      <w:r>
        <w:rPr>
          <w:rFonts w:ascii="Times New Roman"/>
        </w:rPr>
        <w:t>规定</w:t>
      </w:r>
      <w:r>
        <w:rPr>
          <w:rFonts w:hint="eastAsia" w:ascii="Times New Roman"/>
        </w:rPr>
        <w:t>的弯芯直径弯曲180°后，钢筋受弯曲部位表面不得产生裂纹。如供方能保证可不做弯曲性能检验。</w:t>
      </w:r>
    </w:p>
    <w:p w14:paraId="0515CB39">
      <w:pPr>
        <w:pStyle w:val="82"/>
        <w:numPr>
          <w:ilvl w:val="0"/>
          <w:numId w:val="5"/>
        </w:numPr>
        <w:spacing w:before="156" w:after="156"/>
        <w:ind w:left="0"/>
        <w:rPr>
          <w:rFonts w:ascii="Times New Roman"/>
        </w:rPr>
      </w:pPr>
      <w:r>
        <w:rPr>
          <w:rFonts w:hint="eastAsia" w:ascii="Times New Roman"/>
        </w:rPr>
        <w:t>弯曲性能</w:t>
      </w:r>
    </w:p>
    <w:tbl>
      <w:tblPr>
        <w:tblStyle w:val="32"/>
        <w:tblW w:w="487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3355"/>
        <w:gridCol w:w="3352"/>
      </w:tblGrid>
      <w:tr w14:paraId="197D8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04" w:type="pct"/>
            <w:vAlign w:val="center"/>
          </w:tcPr>
          <w:p w14:paraId="3021F0E5">
            <w:pPr>
              <w:autoSpaceDE w:val="0"/>
              <w:autoSpaceDN w:val="0"/>
              <w:adjustRightInd w:val="0"/>
              <w:spacing w:before="156" w:after="156" w:line="120" w:lineRule="exact"/>
              <w:jc w:val="center"/>
              <w:rPr>
                <w:kern w:val="0"/>
                <w:sz w:val="18"/>
                <w:szCs w:val="18"/>
                <w:lang w:val="zh-CN"/>
              </w:rPr>
            </w:pPr>
            <w:r>
              <w:rPr>
                <w:kern w:val="0"/>
                <w:sz w:val="18"/>
                <w:szCs w:val="18"/>
                <w:lang w:val="zh-CN"/>
              </w:rPr>
              <w:t>牌号</w:t>
            </w:r>
          </w:p>
        </w:tc>
        <w:tc>
          <w:tcPr>
            <w:tcW w:w="1798" w:type="pct"/>
            <w:vAlign w:val="center"/>
          </w:tcPr>
          <w:p w14:paraId="21235AF5">
            <w:pPr>
              <w:autoSpaceDE w:val="0"/>
              <w:autoSpaceDN w:val="0"/>
              <w:adjustRightInd w:val="0"/>
              <w:spacing w:before="156" w:after="156" w:line="120" w:lineRule="exact"/>
              <w:jc w:val="center"/>
              <w:rPr>
                <w:kern w:val="0"/>
                <w:sz w:val="18"/>
                <w:szCs w:val="18"/>
              </w:rPr>
            </w:pPr>
            <w:r>
              <w:rPr>
                <w:kern w:val="0"/>
                <w:sz w:val="18"/>
                <w:szCs w:val="18"/>
                <w:lang w:val="zh-CN"/>
              </w:rPr>
              <w:t>公称直径</w:t>
            </w:r>
            <w:r>
              <w:rPr>
                <w:kern w:val="0"/>
                <w:sz w:val="18"/>
                <w:szCs w:val="18"/>
              </w:rPr>
              <w:t>d</w:t>
            </w:r>
            <w:r>
              <w:rPr>
                <w:rFonts w:hint="eastAsia"/>
                <w:kern w:val="0"/>
                <w:sz w:val="18"/>
                <w:szCs w:val="18"/>
              </w:rPr>
              <w:t>/mm</w:t>
            </w:r>
          </w:p>
        </w:tc>
        <w:tc>
          <w:tcPr>
            <w:tcW w:w="1796" w:type="pct"/>
            <w:vAlign w:val="center"/>
          </w:tcPr>
          <w:p w14:paraId="646533B5">
            <w:pPr>
              <w:autoSpaceDE w:val="0"/>
              <w:autoSpaceDN w:val="0"/>
              <w:adjustRightInd w:val="0"/>
              <w:spacing w:before="156" w:after="156" w:line="120" w:lineRule="exact"/>
              <w:jc w:val="center"/>
              <w:rPr>
                <w:kern w:val="0"/>
                <w:sz w:val="18"/>
                <w:szCs w:val="18"/>
              </w:rPr>
            </w:pPr>
            <w:r>
              <w:rPr>
                <w:kern w:val="0"/>
                <w:sz w:val="18"/>
                <w:szCs w:val="18"/>
                <w:lang w:val="zh-CN"/>
              </w:rPr>
              <w:t>弯曲压头直径</w:t>
            </w:r>
            <w:r>
              <w:rPr>
                <w:rFonts w:hint="eastAsia"/>
                <w:kern w:val="0"/>
                <w:sz w:val="18"/>
                <w:szCs w:val="18"/>
              </w:rPr>
              <w:t>/mm</w:t>
            </w:r>
          </w:p>
        </w:tc>
      </w:tr>
      <w:tr w14:paraId="52566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04" w:type="pct"/>
            <w:vMerge w:val="restart"/>
            <w:shd w:val="clear" w:color="auto" w:fill="auto"/>
            <w:vAlign w:val="center"/>
          </w:tcPr>
          <w:p w14:paraId="7F47F28D">
            <w:pPr>
              <w:autoSpaceDE w:val="0"/>
              <w:autoSpaceDN w:val="0"/>
              <w:adjustRightInd w:val="0"/>
              <w:spacing w:before="156" w:after="156" w:line="120" w:lineRule="exact"/>
              <w:jc w:val="center"/>
              <w:rPr>
                <w:kern w:val="0"/>
                <w:sz w:val="18"/>
                <w:szCs w:val="18"/>
              </w:rPr>
            </w:pPr>
            <w:r>
              <w:rPr>
                <w:rFonts w:hint="eastAsia"/>
                <w:kern w:val="0"/>
                <w:sz w:val="18"/>
                <w:szCs w:val="18"/>
              </w:rPr>
              <w:t>MG400c</w:t>
            </w:r>
          </w:p>
        </w:tc>
        <w:tc>
          <w:tcPr>
            <w:tcW w:w="1798" w:type="pct"/>
            <w:vAlign w:val="center"/>
          </w:tcPr>
          <w:p w14:paraId="063100DD">
            <w:pPr>
              <w:pStyle w:val="159"/>
              <w:shd w:val="clear" w:color="auto" w:fill="auto"/>
              <w:spacing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lang w:bidi="en-US"/>
              </w:rPr>
              <w:t>1</w:t>
            </w:r>
            <w:r>
              <w:rPr>
                <w:rFonts w:ascii="Times New Roman" w:hAnsi="Times New Roman" w:eastAsia="宋体" w:cs="Times New Roman"/>
                <w:sz w:val="18"/>
                <w:szCs w:val="18"/>
                <w:lang w:eastAsia="en-US" w:bidi="en-US"/>
              </w:rPr>
              <w:t>6</w:t>
            </w:r>
            <w:r>
              <w:rPr>
                <w:rFonts w:hint="eastAsia" w:ascii="Times New Roman" w:hAnsi="Times New Roman" w:eastAsia="宋体" w:cs="Times New Roman"/>
                <w:sz w:val="18"/>
                <w:szCs w:val="18"/>
                <w:lang w:bidi="en-US"/>
              </w:rPr>
              <w:t>~</w:t>
            </w:r>
            <w:r>
              <w:rPr>
                <w:rFonts w:ascii="Times New Roman" w:hAnsi="Times New Roman" w:eastAsia="宋体" w:cs="Times New Roman"/>
                <w:sz w:val="18"/>
                <w:szCs w:val="18"/>
                <w:lang w:eastAsia="en-US" w:bidi="en-US"/>
              </w:rPr>
              <w:t>25</w:t>
            </w:r>
          </w:p>
        </w:tc>
        <w:tc>
          <w:tcPr>
            <w:tcW w:w="1796" w:type="pct"/>
            <w:vAlign w:val="center"/>
          </w:tcPr>
          <w:p w14:paraId="20FAD8A8">
            <w:pPr>
              <w:pStyle w:val="159"/>
              <w:shd w:val="clear" w:color="auto" w:fill="auto"/>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lang w:eastAsia="en-US" w:bidi="en-US"/>
              </w:rPr>
              <w:t>4</w:t>
            </w:r>
            <w:r>
              <w:rPr>
                <w:rFonts w:ascii="Times New Roman" w:hAnsi="Times New Roman" w:cs="Times New Roman"/>
                <w:kern w:val="0"/>
                <w:sz w:val="18"/>
                <w:szCs w:val="18"/>
              </w:rPr>
              <w:t>d</w:t>
            </w:r>
          </w:p>
        </w:tc>
      </w:tr>
      <w:tr w14:paraId="31E56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04" w:type="pct"/>
            <w:vMerge w:val="continue"/>
            <w:shd w:val="clear" w:color="auto" w:fill="auto"/>
            <w:vAlign w:val="center"/>
          </w:tcPr>
          <w:p w14:paraId="586B43EB">
            <w:pPr>
              <w:pStyle w:val="23"/>
              <w:ind w:firstLine="0" w:firstLineChars="0"/>
              <w:jc w:val="center"/>
              <w:rPr>
                <w:bCs/>
                <w:sz w:val="18"/>
                <w:szCs w:val="18"/>
              </w:rPr>
            </w:pPr>
          </w:p>
        </w:tc>
        <w:tc>
          <w:tcPr>
            <w:tcW w:w="1798" w:type="pct"/>
            <w:vAlign w:val="center"/>
          </w:tcPr>
          <w:p w14:paraId="26197F11">
            <w:pPr>
              <w:pStyle w:val="159"/>
              <w:shd w:val="clear" w:color="auto" w:fill="auto"/>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lang w:eastAsia="en-US" w:bidi="en-US"/>
              </w:rPr>
              <w:t>28</w:t>
            </w:r>
            <w:r>
              <w:rPr>
                <w:rFonts w:hint="eastAsia" w:ascii="Times New Roman" w:hAnsi="Times New Roman" w:eastAsia="微软雅黑" w:cs="Times New Roman"/>
                <w:sz w:val="18"/>
                <w:szCs w:val="18"/>
                <w:lang w:val="zh-CN" w:bidi="zh-CN"/>
              </w:rPr>
              <w:t>~</w:t>
            </w:r>
            <w:r>
              <w:rPr>
                <w:rFonts w:ascii="Times New Roman" w:hAnsi="Times New Roman" w:eastAsia="宋体" w:cs="Times New Roman"/>
                <w:sz w:val="18"/>
                <w:szCs w:val="18"/>
                <w:lang w:eastAsia="en-US" w:bidi="en-US"/>
              </w:rPr>
              <w:t>40</w:t>
            </w:r>
          </w:p>
        </w:tc>
        <w:tc>
          <w:tcPr>
            <w:tcW w:w="1796" w:type="pct"/>
            <w:vAlign w:val="center"/>
          </w:tcPr>
          <w:p w14:paraId="3B2C69D8">
            <w:pPr>
              <w:pStyle w:val="159"/>
              <w:shd w:val="clear" w:color="auto" w:fill="auto"/>
              <w:spacing w:line="240" w:lineRule="auto"/>
              <w:jc w:val="center"/>
              <w:rPr>
                <w:rFonts w:ascii="Times New Roman" w:hAnsi="Times New Roman" w:eastAsia="宋体" w:cs="Times New Roman"/>
                <w:sz w:val="18"/>
                <w:szCs w:val="18"/>
                <w:lang w:val="zh-CN"/>
              </w:rPr>
            </w:pPr>
            <w:r>
              <w:rPr>
                <w:rFonts w:ascii="Times New Roman" w:hAnsi="Times New Roman" w:eastAsia="宋体" w:cs="Times New Roman"/>
                <w:sz w:val="18"/>
                <w:szCs w:val="18"/>
                <w:lang w:eastAsia="en-US" w:bidi="en-US"/>
              </w:rPr>
              <w:t>5d</w:t>
            </w:r>
          </w:p>
        </w:tc>
      </w:tr>
      <w:tr w14:paraId="58C10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04" w:type="pct"/>
            <w:vMerge w:val="continue"/>
            <w:vAlign w:val="center"/>
          </w:tcPr>
          <w:p w14:paraId="48840280">
            <w:pPr>
              <w:autoSpaceDE w:val="0"/>
              <w:autoSpaceDN w:val="0"/>
              <w:adjustRightInd w:val="0"/>
              <w:spacing w:before="156" w:after="156" w:line="120" w:lineRule="exact"/>
              <w:jc w:val="center"/>
              <w:rPr>
                <w:kern w:val="0"/>
                <w:sz w:val="18"/>
                <w:szCs w:val="18"/>
              </w:rPr>
            </w:pPr>
          </w:p>
        </w:tc>
        <w:tc>
          <w:tcPr>
            <w:tcW w:w="1798" w:type="pct"/>
            <w:vAlign w:val="center"/>
          </w:tcPr>
          <w:p w14:paraId="0B60B455">
            <w:pPr>
              <w:pStyle w:val="159"/>
              <w:shd w:val="clear" w:color="auto" w:fill="auto"/>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lang w:eastAsia="en-US" w:bidi="en-US"/>
              </w:rPr>
              <w:t>&gt;40</w:t>
            </w:r>
            <w:r>
              <w:rPr>
                <w:rFonts w:hint="eastAsia" w:ascii="Times New Roman" w:hAnsi="Times New Roman" w:eastAsia="微软雅黑" w:cs="Times New Roman"/>
                <w:sz w:val="18"/>
                <w:szCs w:val="18"/>
                <w:lang w:val="zh-CN" w:bidi="zh-CN"/>
              </w:rPr>
              <w:t>~</w:t>
            </w:r>
            <w:r>
              <w:rPr>
                <w:rFonts w:ascii="Times New Roman" w:hAnsi="Times New Roman" w:eastAsia="宋体" w:cs="Times New Roman"/>
                <w:sz w:val="18"/>
                <w:szCs w:val="18"/>
                <w:lang w:eastAsia="en-US" w:bidi="en-US"/>
              </w:rPr>
              <w:t>50</w:t>
            </w:r>
          </w:p>
        </w:tc>
        <w:tc>
          <w:tcPr>
            <w:tcW w:w="1796" w:type="pct"/>
            <w:vAlign w:val="center"/>
          </w:tcPr>
          <w:p w14:paraId="17F2CD77">
            <w:pPr>
              <w:pStyle w:val="159"/>
              <w:shd w:val="clear" w:color="auto" w:fill="auto"/>
              <w:spacing w:line="240" w:lineRule="auto"/>
              <w:jc w:val="center"/>
              <w:rPr>
                <w:rFonts w:ascii="Times New Roman" w:hAnsi="Times New Roman" w:eastAsia="宋体" w:cs="Times New Roman"/>
                <w:sz w:val="18"/>
                <w:szCs w:val="18"/>
                <w:lang w:val="zh-CN"/>
              </w:rPr>
            </w:pPr>
            <w:r>
              <w:rPr>
                <w:rFonts w:ascii="Times New Roman" w:hAnsi="Times New Roman" w:eastAsia="宋体" w:cs="Times New Roman"/>
                <w:sz w:val="18"/>
                <w:szCs w:val="18"/>
                <w:lang w:eastAsia="en-US" w:bidi="en-US"/>
              </w:rPr>
              <w:t>6d</w:t>
            </w:r>
          </w:p>
        </w:tc>
      </w:tr>
      <w:tr w14:paraId="49375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vMerge w:val="restart"/>
            <w:shd w:val="clear" w:color="auto" w:fill="auto"/>
            <w:vAlign w:val="center"/>
          </w:tcPr>
          <w:p w14:paraId="7FDB6961">
            <w:pPr>
              <w:jc w:val="center"/>
              <w:rPr>
                <w:bCs/>
                <w:sz w:val="18"/>
                <w:szCs w:val="18"/>
              </w:rPr>
            </w:pPr>
            <w:r>
              <w:rPr>
                <w:rFonts w:hint="eastAsia"/>
                <w:bCs/>
                <w:sz w:val="18"/>
                <w:szCs w:val="18"/>
              </w:rPr>
              <w:t>MG500c</w:t>
            </w:r>
          </w:p>
        </w:tc>
        <w:tc>
          <w:tcPr>
            <w:tcW w:w="1798" w:type="pct"/>
            <w:vAlign w:val="center"/>
          </w:tcPr>
          <w:p w14:paraId="1F66A6BA">
            <w:pPr>
              <w:pStyle w:val="159"/>
              <w:shd w:val="clear" w:color="auto" w:fill="auto"/>
              <w:spacing w:line="240" w:lineRule="auto"/>
              <w:jc w:val="center"/>
              <w:rPr>
                <w:rFonts w:ascii="Times New Roman" w:hAnsi="Times New Roman" w:eastAsia="宋体" w:cs="Times New Roman"/>
                <w:sz w:val="18"/>
                <w:szCs w:val="18"/>
                <w:lang w:val="zh-CN"/>
              </w:rPr>
            </w:pPr>
            <w:r>
              <w:rPr>
                <w:rFonts w:hint="eastAsia" w:ascii="Times New Roman" w:hAnsi="Times New Roman" w:eastAsia="宋体" w:cs="Times New Roman"/>
                <w:sz w:val="18"/>
                <w:szCs w:val="18"/>
                <w:lang w:bidi="zh-CN"/>
              </w:rPr>
              <w:t>1</w:t>
            </w:r>
            <w:r>
              <w:rPr>
                <w:rFonts w:ascii="Times New Roman" w:hAnsi="Times New Roman" w:eastAsia="宋体" w:cs="Times New Roman"/>
                <w:sz w:val="18"/>
                <w:szCs w:val="18"/>
                <w:lang w:val="zh-CN" w:bidi="zh-CN"/>
              </w:rPr>
              <w:t>6</w:t>
            </w:r>
            <w:r>
              <w:rPr>
                <w:rFonts w:hint="eastAsia" w:ascii="Times New Roman" w:hAnsi="Times New Roman" w:eastAsia="微软雅黑" w:cs="Times New Roman"/>
                <w:sz w:val="18"/>
                <w:szCs w:val="18"/>
                <w:lang w:val="zh-CN" w:bidi="zh-CN"/>
              </w:rPr>
              <w:t>~</w:t>
            </w:r>
            <w:r>
              <w:rPr>
                <w:rFonts w:ascii="Times New Roman" w:hAnsi="Times New Roman" w:eastAsia="宋体" w:cs="Times New Roman"/>
                <w:sz w:val="18"/>
                <w:szCs w:val="18"/>
                <w:lang w:val="zh-CN" w:bidi="zh-CN"/>
              </w:rPr>
              <w:t>25</w:t>
            </w:r>
          </w:p>
        </w:tc>
        <w:tc>
          <w:tcPr>
            <w:tcW w:w="1796" w:type="pct"/>
            <w:vAlign w:val="center"/>
          </w:tcPr>
          <w:p w14:paraId="4016E40B">
            <w:pPr>
              <w:pStyle w:val="159"/>
              <w:shd w:val="clear" w:color="auto" w:fill="auto"/>
              <w:spacing w:line="240" w:lineRule="auto"/>
              <w:jc w:val="center"/>
              <w:rPr>
                <w:rFonts w:ascii="Times New Roman" w:hAnsi="Times New Roman" w:eastAsia="宋体" w:cs="Times New Roman"/>
                <w:sz w:val="18"/>
                <w:szCs w:val="18"/>
                <w:lang w:val="zh-CN"/>
              </w:rPr>
            </w:pPr>
            <w:r>
              <w:rPr>
                <w:rFonts w:ascii="Times New Roman" w:hAnsi="Times New Roman" w:eastAsia="宋体" w:cs="Times New Roman"/>
                <w:sz w:val="18"/>
                <w:szCs w:val="18"/>
                <w:lang w:eastAsia="en-US" w:bidi="en-US"/>
              </w:rPr>
              <w:t>6d</w:t>
            </w:r>
          </w:p>
        </w:tc>
      </w:tr>
      <w:tr w14:paraId="51F19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vMerge w:val="continue"/>
            <w:shd w:val="clear" w:color="auto" w:fill="auto"/>
            <w:vAlign w:val="center"/>
          </w:tcPr>
          <w:p w14:paraId="6AE5A6EC">
            <w:pPr>
              <w:pStyle w:val="23"/>
              <w:ind w:firstLine="0" w:firstLineChars="0"/>
              <w:jc w:val="center"/>
              <w:rPr>
                <w:bCs/>
                <w:sz w:val="18"/>
                <w:szCs w:val="18"/>
              </w:rPr>
            </w:pPr>
          </w:p>
        </w:tc>
        <w:tc>
          <w:tcPr>
            <w:tcW w:w="1798" w:type="pct"/>
            <w:vAlign w:val="center"/>
          </w:tcPr>
          <w:p w14:paraId="074188F3">
            <w:pPr>
              <w:pStyle w:val="159"/>
              <w:shd w:val="clear" w:color="auto" w:fill="auto"/>
              <w:spacing w:line="240" w:lineRule="auto"/>
              <w:jc w:val="center"/>
              <w:rPr>
                <w:rFonts w:ascii="Times New Roman" w:hAnsi="Times New Roman" w:eastAsia="宋体" w:cs="Times New Roman"/>
                <w:sz w:val="18"/>
                <w:szCs w:val="18"/>
                <w:lang w:val="zh-CN"/>
              </w:rPr>
            </w:pPr>
            <w:r>
              <w:rPr>
                <w:rFonts w:ascii="Times New Roman" w:hAnsi="Times New Roman" w:eastAsia="宋体" w:cs="Times New Roman"/>
                <w:sz w:val="18"/>
                <w:szCs w:val="18"/>
                <w:lang w:val="zh-CN" w:bidi="zh-CN"/>
              </w:rPr>
              <w:t>28</w:t>
            </w:r>
            <w:r>
              <w:rPr>
                <w:rFonts w:hint="eastAsia" w:ascii="Times New Roman" w:hAnsi="Times New Roman" w:eastAsia="微软雅黑" w:cs="Times New Roman"/>
                <w:sz w:val="18"/>
                <w:szCs w:val="18"/>
                <w:lang w:val="zh-CN" w:bidi="zh-CN"/>
              </w:rPr>
              <w:t>~</w:t>
            </w:r>
            <w:r>
              <w:rPr>
                <w:rFonts w:ascii="Times New Roman" w:hAnsi="Times New Roman" w:eastAsia="宋体" w:cs="Times New Roman"/>
                <w:sz w:val="18"/>
                <w:szCs w:val="18"/>
                <w:lang w:val="zh-CN" w:bidi="zh-CN"/>
              </w:rPr>
              <w:t>40</w:t>
            </w:r>
          </w:p>
        </w:tc>
        <w:tc>
          <w:tcPr>
            <w:tcW w:w="1796" w:type="pct"/>
            <w:vAlign w:val="center"/>
          </w:tcPr>
          <w:p w14:paraId="782F8440">
            <w:pPr>
              <w:pStyle w:val="159"/>
              <w:shd w:val="clear" w:color="auto" w:fill="auto"/>
              <w:spacing w:line="240" w:lineRule="auto"/>
              <w:jc w:val="center"/>
              <w:rPr>
                <w:rFonts w:ascii="Times New Roman" w:hAnsi="Times New Roman" w:eastAsia="宋体" w:cs="Times New Roman"/>
                <w:sz w:val="18"/>
                <w:szCs w:val="18"/>
                <w:lang w:val="zh-CN"/>
              </w:rPr>
            </w:pPr>
            <w:r>
              <w:rPr>
                <w:rFonts w:ascii="Times New Roman" w:hAnsi="Times New Roman" w:eastAsia="宋体" w:cs="Times New Roman"/>
                <w:sz w:val="18"/>
                <w:szCs w:val="18"/>
                <w:lang w:bidi="en-US"/>
              </w:rPr>
              <w:t>7</w:t>
            </w:r>
            <w:r>
              <w:rPr>
                <w:rFonts w:ascii="Times New Roman" w:hAnsi="Times New Roman" w:cs="Times New Roman"/>
                <w:kern w:val="0"/>
                <w:sz w:val="18"/>
                <w:szCs w:val="18"/>
              </w:rPr>
              <w:t>d</w:t>
            </w:r>
          </w:p>
        </w:tc>
      </w:tr>
      <w:tr w14:paraId="505DE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vMerge w:val="continue"/>
            <w:vAlign w:val="center"/>
          </w:tcPr>
          <w:p w14:paraId="3B62C8BF">
            <w:pPr>
              <w:jc w:val="center"/>
              <w:rPr>
                <w:bCs/>
                <w:sz w:val="18"/>
                <w:szCs w:val="18"/>
              </w:rPr>
            </w:pPr>
          </w:p>
        </w:tc>
        <w:tc>
          <w:tcPr>
            <w:tcW w:w="1798" w:type="pct"/>
            <w:vAlign w:val="center"/>
          </w:tcPr>
          <w:p w14:paraId="57BC1C0E">
            <w:pPr>
              <w:pStyle w:val="159"/>
              <w:shd w:val="clear" w:color="auto" w:fill="auto"/>
              <w:spacing w:line="240" w:lineRule="auto"/>
              <w:jc w:val="center"/>
              <w:rPr>
                <w:rFonts w:ascii="Times New Roman" w:hAnsi="Times New Roman" w:eastAsia="宋体" w:cs="Times New Roman"/>
                <w:sz w:val="18"/>
                <w:szCs w:val="18"/>
                <w:lang w:val="zh-CN"/>
              </w:rPr>
            </w:pPr>
            <w:r>
              <w:rPr>
                <w:rFonts w:ascii="Times New Roman" w:hAnsi="Times New Roman" w:eastAsia="宋体" w:cs="Times New Roman"/>
                <w:sz w:val="18"/>
                <w:szCs w:val="18"/>
                <w:lang w:eastAsia="en-US" w:bidi="en-US"/>
              </w:rPr>
              <w:t>&gt;40</w:t>
            </w:r>
            <w:r>
              <w:rPr>
                <w:rFonts w:hint="eastAsia" w:ascii="Times New Roman" w:hAnsi="Times New Roman" w:eastAsia="微软雅黑" w:cs="Times New Roman"/>
                <w:sz w:val="18"/>
                <w:szCs w:val="18"/>
                <w:lang w:val="zh-CN" w:bidi="zh-CN"/>
              </w:rPr>
              <w:t>~</w:t>
            </w:r>
            <w:r>
              <w:rPr>
                <w:rFonts w:ascii="Times New Roman" w:hAnsi="Times New Roman" w:eastAsia="宋体" w:cs="Times New Roman"/>
                <w:sz w:val="18"/>
                <w:szCs w:val="18"/>
                <w:lang w:eastAsia="en-US" w:bidi="en-US"/>
              </w:rPr>
              <w:t>50</w:t>
            </w:r>
          </w:p>
        </w:tc>
        <w:tc>
          <w:tcPr>
            <w:tcW w:w="1796" w:type="pct"/>
            <w:vAlign w:val="center"/>
          </w:tcPr>
          <w:p w14:paraId="668D28AA">
            <w:pPr>
              <w:pStyle w:val="159"/>
              <w:shd w:val="clear" w:color="auto" w:fill="auto"/>
              <w:spacing w:line="240" w:lineRule="auto"/>
              <w:jc w:val="center"/>
              <w:rPr>
                <w:rFonts w:ascii="Times New Roman" w:hAnsi="Times New Roman" w:eastAsia="宋体" w:cs="Times New Roman"/>
                <w:sz w:val="18"/>
                <w:szCs w:val="18"/>
                <w:lang w:val="zh-CN"/>
              </w:rPr>
            </w:pPr>
            <w:r>
              <w:rPr>
                <w:rFonts w:ascii="Times New Roman" w:hAnsi="Times New Roman" w:eastAsia="宋体" w:cs="Times New Roman"/>
                <w:sz w:val="18"/>
                <w:szCs w:val="18"/>
                <w:lang w:eastAsia="en-US" w:bidi="en-US"/>
              </w:rPr>
              <w:t>8</w:t>
            </w:r>
            <w:r>
              <w:rPr>
                <w:rFonts w:ascii="Times New Roman" w:hAnsi="Times New Roman" w:cs="Times New Roman"/>
                <w:kern w:val="0"/>
                <w:sz w:val="18"/>
                <w:szCs w:val="18"/>
              </w:rPr>
              <w:t>d</w:t>
            </w:r>
          </w:p>
        </w:tc>
      </w:tr>
    </w:tbl>
    <w:p w14:paraId="3E0B93BE">
      <w:pPr>
        <w:pStyle w:val="55"/>
        <w:numPr>
          <w:ilvl w:val="2"/>
          <w:numId w:val="6"/>
        </w:numPr>
        <w:spacing w:before="312" w:beforeLines="100" w:afterLines="0"/>
        <w:jc w:val="both"/>
        <w:rPr>
          <w:rFonts w:ascii="Times New Roman"/>
          <w:bCs/>
        </w:rPr>
      </w:pPr>
      <w:r>
        <w:rPr>
          <w:rFonts w:hint="eastAsia" w:ascii="Times New Roman"/>
          <w:bCs/>
        </w:rPr>
        <w:t>冲击</w:t>
      </w:r>
      <w:r>
        <w:rPr>
          <w:rFonts w:ascii="Times New Roman"/>
          <w:bCs/>
        </w:rPr>
        <w:t>性能</w:t>
      </w:r>
    </w:p>
    <w:p w14:paraId="5D2FB896">
      <w:pPr>
        <w:pStyle w:val="79"/>
        <w:spacing w:before="156" w:after="156"/>
        <w:ind w:firstLine="420" w:firstLineChars="200"/>
        <w:rPr>
          <w:rFonts w:ascii="Times New Roman" w:eastAsia="宋体"/>
          <w:lang w:val="zh-CN"/>
        </w:rPr>
      </w:pPr>
      <w:r>
        <w:rPr>
          <w:rFonts w:hint="eastAsia" w:ascii="Times New Roman" w:eastAsia="宋体"/>
          <w:lang w:val="zh-CN"/>
        </w:rPr>
        <w:t>经过供需双方协商，钢筋可以进行冲击性能试验。钢筋的夏比（V型缺口）冲击试验的试验温度和冲击吸收能量检验结果应符合表</w:t>
      </w:r>
      <w:r>
        <w:rPr>
          <w:rFonts w:hint="eastAsia" w:ascii="Times New Roman" w:eastAsia="宋体"/>
        </w:rPr>
        <w:t>4</w:t>
      </w:r>
      <w:r>
        <w:rPr>
          <w:rFonts w:hint="eastAsia" w:ascii="Times New Roman" w:eastAsia="宋体"/>
          <w:lang w:val="zh-CN"/>
        </w:rPr>
        <w:t>规定。</w:t>
      </w:r>
    </w:p>
    <w:p w14:paraId="0AC94729">
      <w:pPr>
        <w:pStyle w:val="82"/>
        <w:numPr>
          <w:ilvl w:val="0"/>
          <w:numId w:val="5"/>
        </w:numPr>
        <w:spacing w:before="156" w:after="156"/>
        <w:ind w:left="0"/>
        <w:rPr>
          <w:rFonts w:ascii="Times New Roman" w:eastAsia="宋体"/>
          <w:lang w:val="zh-CN"/>
        </w:rPr>
      </w:pPr>
      <w:r>
        <w:rPr>
          <w:rFonts w:hint="eastAsia" w:ascii="Times New Roman"/>
        </w:rPr>
        <w:t>冲击性能</w:t>
      </w:r>
    </w:p>
    <w:tbl>
      <w:tblPr>
        <w:tblStyle w:val="32"/>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2500"/>
        <w:gridCol w:w="2572"/>
        <w:gridCol w:w="2595"/>
      </w:tblGrid>
      <w:tr w14:paraId="5174E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92" w:type="pct"/>
            <w:vMerge w:val="restart"/>
            <w:vAlign w:val="center"/>
          </w:tcPr>
          <w:p w14:paraId="66BB9C40">
            <w:pPr>
              <w:adjustRightInd w:val="0"/>
              <w:spacing w:line="300" w:lineRule="exact"/>
              <w:jc w:val="center"/>
              <w:rPr>
                <w:sz w:val="18"/>
                <w:szCs w:val="18"/>
              </w:rPr>
            </w:pPr>
            <w:r>
              <w:rPr>
                <w:sz w:val="18"/>
                <w:szCs w:val="18"/>
                <w:lang w:val="zh-CN"/>
              </w:rPr>
              <w:t>牌号</w:t>
            </w:r>
          </w:p>
        </w:tc>
        <w:tc>
          <w:tcPr>
            <w:tcW w:w="1306" w:type="pct"/>
            <w:vMerge w:val="restart"/>
            <w:vAlign w:val="center"/>
          </w:tcPr>
          <w:p w14:paraId="46663178">
            <w:pPr>
              <w:adjustRightInd w:val="0"/>
              <w:spacing w:line="240" w:lineRule="exact"/>
              <w:jc w:val="center"/>
              <w:rPr>
                <w:sz w:val="18"/>
                <w:szCs w:val="18"/>
              </w:rPr>
            </w:pPr>
            <w:r>
              <w:rPr>
                <w:rFonts w:hint="eastAsia"/>
                <w:sz w:val="18"/>
                <w:szCs w:val="18"/>
                <w:lang w:val="zh-CN"/>
              </w:rPr>
              <w:t>公称直径</w:t>
            </w:r>
            <w:r>
              <w:rPr>
                <w:rFonts w:hint="eastAsia"/>
                <w:sz w:val="18"/>
                <w:szCs w:val="18"/>
              </w:rPr>
              <w:t>d/mm</w:t>
            </w:r>
          </w:p>
        </w:tc>
        <w:tc>
          <w:tcPr>
            <w:tcW w:w="2700" w:type="pct"/>
            <w:gridSpan w:val="2"/>
            <w:vAlign w:val="center"/>
          </w:tcPr>
          <w:p w14:paraId="5984A9D9">
            <w:pPr>
              <w:adjustRightInd w:val="0"/>
              <w:spacing w:line="240" w:lineRule="exact"/>
              <w:jc w:val="center"/>
              <w:rPr>
                <w:i/>
                <w:iCs/>
                <w:sz w:val="18"/>
                <w:szCs w:val="18"/>
              </w:rPr>
            </w:pPr>
            <w:r>
              <w:rPr>
                <w:rFonts w:hint="eastAsia"/>
                <w:sz w:val="18"/>
                <w:szCs w:val="18"/>
              </w:rPr>
              <w:t>冲击试验</w:t>
            </w:r>
            <w:r>
              <w:rPr>
                <w:rFonts w:hint="eastAsia"/>
                <w:sz w:val="18"/>
                <w:szCs w:val="18"/>
                <w:lang w:val="zh-CN"/>
              </w:rPr>
              <w:t>(V型缺口)</w:t>
            </w:r>
          </w:p>
        </w:tc>
      </w:tr>
      <w:tr w14:paraId="1E7264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92" w:type="pct"/>
            <w:vMerge w:val="continue"/>
            <w:vAlign w:val="center"/>
          </w:tcPr>
          <w:p w14:paraId="0BEFFC35">
            <w:pPr>
              <w:spacing w:line="360" w:lineRule="auto"/>
              <w:jc w:val="center"/>
              <w:rPr>
                <w:sz w:val="18"/>
                <w:szCs w:val="18"/>
              </w:rPr>
            </w:pPr>
          </w:p>
        </w:tc>
        <w:tc>
          <w:tcPr>
            <w:tcW w:w="1306" w:type="pct"/>
            <w:vMerge w:val="continue"/>
            <w:vAlign w:val="center"/>
          </w:tcPr>
          <w:p w14:paraId="10AB23D8">
            <w:pPr>
              <w:adjustRightInd w:val="0"/>
              <w:spacing w:line="300" w:lineRule="exact"/>
              <w:jc w:val="center"/>
              <w:rPr>
                <w:sz w:val="18"/>
                <w:szCs w:val="18"/>
                <w:lang w:val="zh-CN"/>
              </w:rPr>
            </w:pPr>
          </w:p>
        </w:tc>
        <w:tc>
          <w:tcPr>
            <w:tcW w:w="1344" w:type="pct"/>
            <w:vAlign w:val="center"/>
          </w:tcPr>
          <w:p w14:paraId="108ADDDA">
            <w:pPr>
              <w:adjustRightInd w:val="0"/>
              <w:spacing w:line="300" w:lineRule="exact"/>
              <w:jc w:val="center"/>
              <w:rPr>
                <w:sz w:val="18"/>
                <w:szCs w:val="18"/>
              </w:rPr>
            </w:pPr>
            <w:r>
              <w:rPr>
                <w:rFonts w:hint="eastAsia"/>
                <w:sz w:val="18"/>
                <w:szCs w:val="18"/>
                <w:lang w:val="zh-CN"/>
              </w:rPr>
              <w:t>试验温度</w:t>
            </w:r>
            <w:r>
              <w:rPr>
                <w:rFonts w:hint="eastAsia"/>
                <w:sz w:val="18"/>
                <w:szCs w:val="18"/>
              </w:rPr>
              <w:t>/℃</w:t>
            </w:r>
          </w:p>
        </w:tc>
        <w:tc>
          <w:tcPr>
            <w:tcW w:w="1356" w:type="pct"/>
            <w:vAlign w:val="center"/>
          </w:tcPr>
          <w:p w14:paraId="3A6DB981">
            <w:pPr>
              <w:adjustRightInd w:val="0"/>
              <w:spacing w:line="300" w:lineRule="exact"/>
              <w:jc w:val="center"/>
              <w:rPr>
                <w:sz w:val="18"/>
                <w:szCs w:val="18"/>
              </w:rPr>
            </w:pPr>
            <w:r>
              <w:rPr>
                <w:rFonts w:hint="eastAsia"/>
                <w:sz w:val="18"/>
                <w:szCs w:val="18"/>
                <w:lang w:val="zh-CN"/>
              </w:rPr>
              <w:t>冲击吸收能量（</w:t>
            </w:r>
            <w:r>
              <w:rPr>
                <w:rFonts w:hint="eastAsia"/>
                <w:sz w:val="18"/>
                <w:szCs w:val="18"/>
              </w:rPr>
              <w:t>KV</w:t>
            </w:r>
            <w:r>
              <w:rPr>
                <w:rFonts w:hint="eastAsia"/>
                <w:sz w:val="18"/>
                <w:szCs w:val="18"/>
                <w:vertAlign w:val="subscript"/>
              </w:rPr>
              <w:t>2</w:t>
            </w:r>
            <w:r>
              <w:rPr>
                <w:rFonts w:hint="eastAsia"/>
                <w:sz w:val="18"/>
                <w:szCs w:val="18"/>
                <w:lang w:val="zh-CN"/>
              </w:rPr>
              <w:t>）</w:t>
            </w:r>
            <w:r>
              <w:rPr>
                <w:rFonts w:hint="eastAsia"/>
                <w:sz w:val="18"/>
                <w:szCs w:val="18"/>
              </w:rPr>
              <w:t>/J</w:t>
            </w:r>
          </w:p>
        </w:tc>
      </w:tr>
      <w:tr w14:paraId="126DA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2" w:type="pct"/>
            <w:vMerge w:val="restart"/>
            <w:vAlign w:val="center"/>
          </w:tcPr>
          <w:p w14:paraId="2581A0E7">
            <w:pPr>
              <w:pStyle w:val="23"/>
              <w:ind w:firstLine="0" w:firstLineChars="0"/>
              <w:jc w:val="center"/>
              <w:rPr>
                <w:bCs/>
                <w:sz w:val="18"/>
                <w:szCs w:val="18"/>
              </w:rPr>
            </w:pPr>
            <w:r>
              <w:rPr>
                <w:rFonts w:hint="eastAsia"/>
                <w:bCs/>
                <w:sz w:val="18"/>
                <w:szCs w:val="18"/>
              </w:rPr>
              <w:t>MG400c</w:t>
            </w:r>
          </w:p>
        </w:tc>
        <w:tc>
          <w:tcPr>
            <w:tcW w:w="1306" w:type="pct"/>
            <w:vMerge w:val="restart"/>
            <w:vAlign w:val="center"/>
          </w:tcPr>
          <w:p w14:paraId="79067237">
            <w:pPr>
              <w:adjustRightInd w:val="0"/>
              <w:spacing w:line="300" w:lineRule="exact"/>
              <w:jc w:val="center"/>
              <w:rPr>
                <w:sz w:val="18"/>
                <w:szCs w:val="18"/>
              </w:rPr>
            </w:pPr>
            <w:r>
              <w:rPr>
                <w:rFonts w:hint="eastAsia"/>
                <w:sz w:val="18"/>
                <w:szCs w:val="18"/>
              </w:rPr>
              <w:t>18-25</w:t>
            </w:r>
          </w:p>
        </w:tc>
        <w:tc>
          <w:tcPr>
            <w:tcW w:w="1344" w:type="pct"/>
            <w:vMerge w:val="restart"/>
            <w:vAlign w:val="center"/>
          </w:tcPr>
          <w:p w14:paraId="07589FF2">
            <w:pPr>
              <w:adjustRightInd w:val="0"/>
              <w:spacing w:line="300" w:lineRule="exact"/>
              <w:jc w:val="center"/>
              <w:rPr>
                <w:sz w:val="18"/>
                <w:szCs w:val="18"/>
              </w:rPr>
            </w:pPr>
            <w:r>
              <w:rPr>
                <w:rFonts w:hint="eastAsia"/>
                <w:sz w:val="18"/>
                <w:szCs w:val="18"/>
              </w:rPr>
              <w:t>20</w:t>
            </w:r>
          </w:p>
        </w:tc>
        <w:tc>
          <w:tcPr>
            <w:tcW w:w="1356" w:type="pct"/>
            <w:vAlign w:val="center"/>
          </w:tcPr>
          <w:p w14:paraId="6DFCB30B">
            <w:pPr>
              <w:adjustRightInd w:val="0"/>
              <w:spacing w:line="300" w:lineRule="exact"/>
              <w:jc w:val="center"/>
              <w:rPr>
                <w:sz w:val="18"/>
                <w:szCs w:val="18"/>
              </w:rPr>
            </w:pPr>
            <w:r>
              <w:rPr>
                <w:rFonts w:hint="eastAsia"/>
                <w:sz w:val="18"/>
                <w:szCs w:val="18"/>
              </w:rPr>
              <w:t>≥50</w:t>
            </w:r>
          </w:p>
        </w:tc>
      </w:tr>
      <w:tr w14:paraId="28F7C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92" w:type="pct"/>
            <w:vAlign w:val="center"/>
          </w:tcPr>
          <w:p w14:paraId="1486301C">
            <w:pPr>
              <w:pStyle w:val="23"/>
              <w:ind w:firstLine="0" w:firstLineChars="0"/>
              <w:jc w:val="center"/>
              <w:rPr>
                <w:bCs/>
                <w:sz w:val="18"/>
                <w:szCs w:val="18"/>
              </w:rPr>
            </w:pPr>
            <w:r>
              <w:rPr>
                <w:rFonts w:hint="eastAsia"/>
                <w:bCs/>
                <w:sz w:val="18"/>
                <w:szCs w:val="18"/>
              </w:rPr>
              <w:t>MG500c</w:t>
            </w:r>
          </w:p>
        </w:tc>
        <w:tc>
          <w:tcPr>
            <w:tcW w:w="1306" w:type="pct"/>
            <w:vAlign w:val="center"/>
          </w:tcPr>
          <w:p w14:paraId="7AF04BAE">
            <w:pPr>
              <w:adjustRightInd w:val="0"/>
              <w:spacing w:line="300" w:lineRule="exact"/>
              <w:jc w:val="center"/>
              <w:rPr>
                <w:sz w:val="18"/>
                <w:szCs w:val="18"/>
              </w:rPr>
            </w:pPr>
            <w:r>
              <w:rPr>
                <w:rFonts w:hint="eastAsia"/>
                <w:sz w:val="18"/>
                <w:szCs w:val="18"/>
              </w:rPr>
              <w:t>18-25</w:t>
            </w:r>
          </w:p>
        </w:tc>
        <w:tc>
          <w:tcPr>
            <w:tcW w:w="1344" w:type="pct"/>
            <w:vAlign w:val="center"/>
          </w:tcPr>
          <w:p w14:paraId="6F94442D">
            <w:pPr>
              <w:adjustRightInd w:val="0"/>
              <w:spacing w:line="300" w:lineRule="exact"/>
              <w:jc w:val="center"/>
              <w:rPr>
                <w:sz w:val="18"/>
                <w:szCs w:val="18"/>
              </w:rPr>
            </w:pPr>
            <w:r>
              <w:rPr>
                <w:rFonts w:hint="eastAsia"/>
                <w:sz w:val="18"/>
                <w:szCs w:val="18"/>
              </w:rPr>
              <w:t>20</w:t>
            </w:r>
          </w:p>
        </w:tc>
        <w:tc>
          <w:tcPr>
            <w:tcW w:w="1356" w:type="pct"/>
            <w:vAlign w:val="center"/>
          </w:tcPr>
          <w:p w14:paraId="260856D4">
            <w:pPr>
              <w:adjustRightInd w:val="0"/>
              <w:spacing w:line="300" w:lineRule="exact"/>
              <w:jc w:val="center"/>
              <w:rPr>
                <w:sz w:val="18"/>
                <w:szCs w:val="18"/>
              </w:rPr>
            </w:pPr>
            <w:r>
              <w:rPr>
                <w:rFonts w:hint="eastAsia"/>
                <w:sz w:val="18"/>
                <w:szCs w:val="18"/>
              </w:rPr>
              <w:t>≥40</w:t>
            </w:r>
          </w:p>
        </w:tc>
      </w:tr>
    </w:tbl>
    <w:p w14:paraId="45796AE8">
      <w:pPr>
        <w:pStyle w:val="23"/>
        <w:ind w:firstLine="0" w:firstLineChars="0"/>
        <w:rPr>
          <w:rFonts w:ascii="Times New Roman"/>
          <w:lang w:val="zh-CN"/>
        </w:rPr>
      </w:pPr>
    </w:p>
    <w:p w14:paraId="5E071F38">
      <w:pPr>
        <w:pStyle w:val="52"/>
        <w:numPr>
          <w:ilvl w:val="1"/>
          <w:numId w:val="6"/>
        </w:numPr>
        <w:spacing w:before="156" w:after="156"/>
        <w:rPr>
          <w:rFonts w:ascii="Times New Roman"/>
        </w:rPr>
      </w:pPr>
      <w:r>
        <w:rPr>
          <w:rFonts w:hint="eastAsia" w:ascii="Times New Roman"/>
        </w:rPr>
        <w:t>金相组织</w:t>
      </w:r>
      <w:bookmarkStart w:id="24" w:name="_Toc103246228"/>
    </w:p>
    <w:bookmarkEnd w:id="24"/>
    <w:p w14:paraId="5245987C">
      <w:pPr>
        <w:pStyle w:val="55"/>
        <w:spacing w:before="156" w:after="156"/>
        <w:ind w:firstLine="420" w:firstLineChars="200"/>
        <w:rPr>
          <w:rFonts w:ascii="Times New Roman" w:eastAsia="宋体"/>
        </w:rPr>
      </w:pPr>
      <w:bookmarkStart w:id="25" w:name="_Toc103246229"/>
      <w:bookmarkStart w:id="26" w:name="_Toc531093341"/>
      <w:bookmarkStart w:id="27" w:name="_Toc531093245"/>
      <w:r>
        <w:rPr>
          <w:rFonts w:hint="eastAsia" w:ascii="Times New Roman" w:eastAsia="宋体"/>
        </w:rPr>
        <w:t>月牙肋钢筋的金相组织主要是铁素体加珠光体，不得有影响使用性能的其他组织（如基圆上出现的回火马氏体组织）存在，如供方能保证合格可不做金相组织检验。</w:t>
      </w:r>
    </w:p>
    <w:p w14:paraId="52F7B186">
      <w:pPr>
        <w:pStyle w:val="52"/>
        <w:numPr>
          <w:ilvl w:val="1"/>
          <w:numId w:val="2"/>
        </w:numPr>
        <w:spacing w:before="156" w:after="156"/>
        <w:rPr>
          <w:rFonts w:ascii="Times New Roman"/>
        </w:rPr>
      </w:pPr>
      <w:r>
        <w:rPr>
          <w:rFonts w:ascii="Times New Roman"/>
        </w:rPr>
        <w:t>耐腐蚀性能</w:t>
      </w:r>
    </w:p>
    <w:p w14:paraId="036251C7">
      <w:pPr>
        <w:pStyle w:val="55"/>
        <w:numPr>
          <w:ilvl w:val="2"/>
          <w:numId w:val="2"/>
        </w:numPr>
        <w:spacing w:before="156" w:after="156"/>
        <w:rPr>
          <w:rFonts w:ascii="Times New Roman" w:eastAsia="宋体"/>
        </w:rPr>
      </w:pPr>
      <w:r>
        <w:rPr>
          <w:rFonts w:ascii="Times New Roman" w:eastAsia="宋体"/>
        </w:rPr>
        <w:t>钢筋应按照YB/T 4367进行耐腐蚀试验。</w:t>
      </w:r>
    </w:p>
    <w:p w14:paraId="6DE7E893">
      <w:pPr>
        <w:pStyle w:val="55"/>
        <w:numPr>
          <w:ilvl w:val="2"/>
          <w:numId w:val="2"/>
        </w:numPr>
        <w:spacing w:before="156" w:after="156"/>
        <w:rPr>
          <w:rFonts w:ascii="Times New Roman" w:eastAsia="宋体"/>
        </w:rPr>
      </w:pPr>
      <w:r>
        <w:rPr>
          <w:rFonts w:ascii="Times New Roman" w:eastAsia="宋体"/>
        </w:rPr>
        <w:t>钢筋相对腐蚀率采用式（1）计算。钢筋与</w:t>
      </w:r>
      <w:r>
        <w:rPr>
          <w:rFonts w:hint="eastAsia" w:ascii="Times New Roman"/>
        </w:rPr>
        <w:t>YB/T 4364</w:t>
      </w:r>
      <w:r>
        <w:rPr>
          <w:rFonts w:ascii="Times New Roman" w:eastAsia="宋体"/>
        </w:rPr>
        <w:t>中</w:t>
      </w:r>
      <w:r>
        <w:rPr>
          <w:rFonts w:hint="eastAsia" w:ascii="Times New Roman" w:eastAsia="宋体"/>
        </w:rPr>
        <w:t>MG4</w:t>
      </w:r>
      <w:r>
        <w:rPr>
          <w:rFonts w:ascii="Times New Roman" w:eastAsia="宋体"/>
        </w:rPr>
        <w:t>00牌号比照，相对腐蚀速率</w:t>
      </w:r>
      <w:r>
        <w:rPr>
          <w:rFonts w:hint="eastAsia" w:ascii="Times New Roman" w:eastAsia="宋体"/>
        </w:rPr>
        <w:t>不大于</w:t>
      </w:r>
      <w:r>
        <w:rPr>
          <w:rFonts w:ascii="Times New Roman" w:eastAsia="宋体"/>
        </w:rPr>
        <w:t>70%。</w:t>
      </w:r>
    </w:p>
    <w:p w14:paraId="74D252D3">
      <w:pPr>
        <w:pStyle w:val="23"/>
        <w:jc w:val="right"/>
        <w:rPr>
          <w:rFonts w:ascii="Times New Roman"/>
        </w:rPr>
      </w:pPr>
      <m:oMath>
        <m:r>
          <m:rPr>
            <m:sty m:val="p"/>
          </m:rPr>
          <w:rPr>
            <w:rFonts w:ascii="Cambria Math" w:hAnsi="Cambria Math"/>
          </w:rPr>
          <m:t>相对腐蚀率=</m:t>
        </m:r>
        <m:f>
          <m:fPr>
            <m:ctrlPr>
              <w:rPr>
                <w:rFonts w:ascii="Cambria Math" w:hAnsi="Cambria Math"/>
              </w:rPr>
            </m:ctrlPr>
          </m:fPr>
          <m:num>
            <m:r>
              <m:rPr>
                <m:sty m:val="p"/>
              </m:rPr>
              <w:rPr>
                <w:rFonts w:ascii="Cambria Math" w:hAnsi="Cambria Math"/>
              </w:rPr>
              <m:t>耐腐蚀钢筋的平均腐蚀速率</m:t>
            </m:r>
            <m:ctrlPr>
              <w:rPr>
                <w:rFonts w:ascii="Cambria Math" w:hAnsi="Cambria Math"/>
              </w:rPr>
            </m:ctrlPr>
          </m:num>
          <m:den>
            <m:r>
              <m:rPr>
                <m:sty m:val="p"/>
              </m:rPr>
              <w:rPr>
                <w:rFonts w:ascii="Cambria Math" w:hAnsi="Cambria Math"/>
              </w:rPr>
              <m:t>普通钢筋的平均腐蚀速率</m:t>
            </m:r>
            <m:ctrlPr>
              <w:rPr>
                <w:rFonts w:ascii="Cambria Math" w:hAnsi="Cambria Math"/>
              </w:rPr>
            </m:ctrlPr>
          </m:den>
        </m:f>
        <m:r>
          <m:rPr/>
          <w:rPr>
            <w:rFonts w:ascii="Cambria Math" w:hAnsi="Cambria Math"/>
          </w:rPr>
          <m:t>×100%</m:t>
        </m:r>
      </m:oMath>
      <w:r>
        <w:rPr>
          <w:rFonts w:ascii="Times New Roman"/>
        </w:rPr>
        <w:t xml:space="preserve">   ··                   ····（1）</w:t>
      </w:r>
    </w:p>
    <w:bookmarkEnd w:id="25"/>
    <w:bookmarkEnd w:id="26"/>
    <w:bookmarkEnd w:id="27"/>
    <w:p w14:paraId="43C05992">
      <w:pPr>
        <w:pStyle w:val="52"/>
        <w:numPr>
          <w:ilvl w:val="1"/>
          <w:numId w:val="2"/>
        </w:numPr>
        <w:spacing w:before="156" w:after="156"/>
        <w:rPr>
          <w:rFonts w:ascii="Times New Roman"/>
        </w:rPr>
      </w:pPr>
      <w:r>
        <w:rPr>
          <w:rFonts w:hint="eastAsia" w:ascii="Times New Roman"/>
        </w:rPr>
        <w:t>表面质量</w:t>
      </w:r>
    </w:p>
    <w:p w14:paraId="453905B0">
      <w:pPr>
        <w:pStyle w:val="23"/>
        <w:numPr>
          <w:ilvl w:val="2"/>
          <w:numId w:val="2"/>
        </w:numPr>
        <w:ind w:firstLineChars="0"/>
        <w:rPr>
          <w:rFonts w:ascii="Times New Roman"/>
        </w:rPr>
      </w:pPr>
      <w:bookmarkStart w:id="28" w:name="_Toc103246230"/>
      <w:r>
        <w:rPr>
          <w:rFonts w:hint="eastAsia" w:ascii="Times New Roman"/>
        </w:rPr>
        <w:t>钢筋表面不得有影响使用的表面缺陷，允许有不影响使用的浮锈。</w:t>
      </w:r>
    </w:p>
    <w:p w14:paraId="379C0E00">
      <w:pPr>
        <w:pStyle w:val="23"/>
        <w:numPr>
          <w:ilvl w:val="2"/>
          <w:numId w:val="2"/>
        </w:numPr>
        <w:ind w:firstLineChars="0"/>
        <w:rPr>
          <w:rFonts w:ascii="Times New Roman"/>
        </w:rPr>
      </w:pPr>
      <w:r>
        <w:rPr>
          <w:rFonts w:hint="eastAsia" w:ascii="Times New Roman"/>
        </w:rPr>
        <w:t>当经钢丝刷刷过的试样的尺寸、横截面积和力学性能符合第6章、第7章的要求时，锈皮、表面不平整或氧化铁皮不作为拒收的理由。</w:t>
      </w:r>
    </w:p>
    <w:p w14:paraId="78D1E067">
      <w:pPr>
        <w:pStyle w:val="23"/>
        <w:numPr>
          <w:ilvl w:val="2"/>
          <w:numId w:val="2"/>
        </w:numPr>
        <w:ind w:firstLineChars="0"/>
        <w:rPr>
          <w:rFonts w:ascii="Times New Roman"/>
        </w:rPr>
      </w:pPr>
      <w:r>
        <w:rPr>
          <w:rFonts w:hint="eastAsia" w:ascii="Times New Roman"/>
        </w:rPr>
        <w:t>当带有7.7.2规定的缺陷以外的表面缺陷的试样不符合力学性能或工艺性能要求时，则认为这些缺陷是有害的。</w:t>
      </w:r>
    </w:p>
    <w:bookmarkEnd w:id="28"/>
    <w:p w14:paraId="50735907">
      <w:pPr>
        <w:pStyle w:val="50"/>
        <w:rPr>
          <w:rFonts w:eastAsia="宋体"/>
        </w:rPr>
      </w:pPr>
      <w:bookmarkStart w:id="29" w:name="_Toc103246231"/>
      <w:r>
        <w:t>试验方法</w:t>
      </w:r>
      <w:bookmarkEnd w:id="29"/>
    </w:p>
    <w:p w14:paraId="742B5036">
      <w:pPr>
        <w:pStyle w:val="52"/>
        <w:numPr>
          <w:ilvl w:val="1"/>
          <w:numId w:val="2"/>
        </w:numPr>
        <w:spacing w:before="156" w:after="156"/>
        <w:rPr>
          <w:rFonts w:ascii="Times New Roman"/>
        </w:rPr>
      </w:pPr>
      <w:bookmarkStart w:id="30" w:name="_Toc103246232"/>
      <w:r>
        <w:rPr>
          <w:rFonts w:hint="eastAsia" w:ascii="Times New Roman"/>
        </w:rPr>
        <w:t>检验项目</w:t>
      </w:r>
    </w:p>
    <w:p w14:paraId="3CB10C52">
      <w:pPr>
        <w:pStyle w:val="23"/>
      </w:pPr>
      <w:r>
        <w:rPr>
          <w:rFonts w:hint="eastAsia"/>
        </w:rPr>
        <w:t>每批钢筋的检验项目、取样数量、取样方法及试验方法应符合表5的规定。</w:t>
      </w:r>
    </w:p>
    <w:p w14:paraId="6F32846C">
      <w:pPr>
        <w:pStyle w:val="52"/>
        <w:numPr>
          <w:ilvl w:val="1"/>
          <w:numId w:val="2"/>
        </w:numPr>
        <w:spacing w:before="156" w:after="156"/>
        <w:rPr>
          <w:rFonts w:ascii="Times New Roman"/>
        </w:rPr>
      </w:pPr>
      <w:r>
        <w:rPr>
          <w:rFonts w:ascii="Times New Roman"/>
        </w:rPr>
        <w:t>拉伸、弯曲试验</w:t>
      </w:r>
      <w:r>
        <w:rPr>
          <w:rFonts w:hint="eastAsia" w:ascii="Times New Roman"/>
        </w:rPr>
        <w:t>、化学成分</w:t>
      </w:r>
    </w:p>
    <w:p w14:paraId="000F0CE3">
      <w:pPr>
        <w:pStyle w:val="23"/>
        <w:numPr>
          <w:ilvl w:val="2"/>
          <w:numId w:val="2"/>
        </w:numPr>
        <w:ind w:firstLineChars="0"/>
        <w:rPr>
          <w:rFonts w:ascii="Times New Roman"/>
        </w:rPr>
      </w:pPr>
      <w:r>
        <w:rPr>
          <w:rFonts w:ascii="Times New Roman"/>
        </w:rPr>
        <w:t>计算钢筋强度用横截面面积，采用YB/T 4364中第6章所规定的公称横截面面积。</w:t>
      </w:r>
    </w:p>
    <w:p w14:paraId="5C6E186F">
      <w:pPr>
        <w:pStyle w:val="23"/>
        <w:numPr>
          <w:ilvl w:val="2"/>
          <w:numId w:val="2"/>
        </w:numPr>
        <w:ind w:firstLineChars="0"/>
        <w:rPr>
          <w:rFonts w:ascii="Times New Roman"/>
        </w:rPr>
      </w:pPr>
      <w:r>
        <w:rPr>
          <w:rFonts w:ascii="Times New Roman"/>
        </w:rPr>
        <w:t>拉伸和弯曲试验采用全截面试样，不允许进行车削加工。</w:t>
      </w:r>
    </w:p>
    <w:p w14:paraId="0693E036">
      <w:pPr>
        <w:pStyle w:val="23"/>
        <w:numPr>
          <w:ilvl w:val="2"/>
          <w:numId w:val="2"/>
        </w:numPr>
        <w:ind w:firstLineChars="0"/>
        <w:rPr>
          <w:rFonts w:ascii="Times New Roman"/>
        </w:rPr>
      </w:pPr>
      <w:r>
        <w:rPr>
          <w:rFonts w:hint="eastAsia" w:ascii="Times New Roman"/>
          <w:lang w:val="en-US" w:eastAsia="zh-CN"/>
        </w:rPr>
        <w:t>钢的化学成分试验应按GB/T 4336、GB/T 20123、GB/T 20124、GB/T 20125或通用的化学分析方法进行。仲裁时应采用GB/T 223.5、GB/T 223.11、GB/T 223.14、GB/T 223.19、GB/T 223.23、GB/T 223.26、GB/T 223.40、GB/T 223.49、GB/T 223.59、GB/T 223.63、GB/T 223.69、GB/T 223.76、GB/T 223.84、GB/T 223.85、GB/T 223.86的方法进行。</w:t>
      </w:r>
    </w:p>
    <w:p w14:paraId="06AC4E78">
      <w:pPr>
        <w:pStyle w:val="52"/>
        <w:numPr>
          <w:ilvl w:val="1"/>
          <w:numId w:val="2"/>
        </w:numPr>
        <w:spacing w:before="156" w:after="156"/>
        <w:rPr>
          <w:rFonts w:ascii="Times New Roman"/>
        </w:rPr>
      </w:pPr>
      <w:r>
        <w:rPr>
          <w:rFonts w:ascii="Times New Roman"/>
        </w:rPr>
        <w:t>耐蚀性能检测</w:t>
      </w:r>
    </w:p>
    <w:p w14:paraId="1B4B012D">
      <w:pPr>
        <w:pStyle w:val="23"/>
        <w:rPr>
          <w:rFonts w:ascii="Times New Roman"/>
        </w:rPr>
      </w:pPr>
      <w:r>
        <w:rPr>
          <w:rFonts w:ascii="Times New Roman"/>
        </w:rPr>
        <w:t>耐腐蚀性能只进行型式试验，即仅在原料、生产工艺、设备有重大变化及新产品生产时进行检验。耐腐蚀性能取样方法和试验方法应符合表5的规定。</w:t>
      </w:r>
    </w:p>
    <w:p w14:paraId="2778DBF0">
      <w:pPr>
        <w:pStyle w:val="52"/>
        <w:numPr>
          <w:ilvl w:val="1"/>
          <w:numId w:val="2"/>
        </w:numPr>
        <w:spacing w:before="156" w:after="156"/>
        <w:rPr>
          <w:rFonts w:ascii="Times New Roman"/>
        </w:rPr>
      </w:pPr>
      <w:r>
        <w:rPr>
          <w:rFonts w:ascii="Times New Roman"/>
        </w:rPr>
        <w:t>尺寸测量</w:t>
      </w:r>
    </w:p>
    <w:p w14:paraId="629A4FB1">
      <w:pPr>
        <w:pStyle w:val="23"/>
        <w:numPr>
          <w:ilvl w:val="2"/>
          <w:numId w:val="2"/>
        </w:numPr>
        <w:ind w:firstLineChars="0"/>
        <w:rPr>
          <w:rFonts w:ascii="Times New Roman"/>
        </w:rPr>
      </w:pPr>
      <w:r>
        <w:rPr>
          <w:rFonts w:ascii="Times New Roman"/>
        </w:rPr>
        <w:t xml:space="preserve">钢筋内径的测量应精确到0.1mm。 </w:t>
      </w:r>
    </w:p>
    <w:p w14:paraId="54F01A68">
      <w:pPr>
        <w:pStyle w:val="23"/>
        <w:numPr>
          <w:ilvl w:val="2"/>
          <w:numId w:val="2"/>
        </w:numPr>
        <w:ind w:firstLineChars="0"/>
        <w:rPr>
          <w:rFonts w:ascii="Times New Roman"/>
        </w:rPr>
      </w:pPr>
      <w:r>
        <w:rPr>
          <w:rFonts w:ascii="Times New Roman"/>
        </w:rPr>
        <w:t>钢筋横肋高度的测量采用测量同一截面两侧横肋高度平均值的方法；即测取锚杆钢筋的最大外径，减去该处内径，所得数值的一半为该处横肋的高度，应精确到0.1mm。</w:t>
      </w:r>
    </w:p>
    <w:p w14:paraId="1A31F135">
      <w:pPr>
        <w:pStyle w:val="23"/>
        <w:numPr>
          <w:ilvl w:val="2"/>
          <w:numId w:val="2"/>
        </w:numPr>
        <w:ind w:firstLineChars="0"/>
        <w:rPr>
          <w:rFonts w:ascii="Times New Roman"/>
        </w:rPr>
      </w:pPr>
      <w:r>
        <w:rPr>
          <w:rFonts w:ascii="Times New Roman"/>
        </w:rPr>
        <w:t xml:space="preserve">钢筋横肋间距采用测量平均肋距的方法进行测量，即测取钢筋一面上第1个与第11个横肋的中心距离，该数值除以10即为横肋间距，精确到0.1mm。 </w:t>
      </w:r>
    </w:p>
    <w:p w14:paraId="08FF478A">
      <w:pPr>
        <w:pStyle w:val="82"/>
        <w:numPr>
          <w:ilvl w:val="0"/>
          <w:numId w:val="5"/>
        </w:numPr>
        <w:spacing w:before="156" w:after="156"/>
        <w:ind w:left="0"/>
        <w:rPr>
          <w:rFonts w:ascii="Times New Roman"/>
        </w:rPr>
      </w:pPr>
      <w:r>
        <w:rPr>
          <w:rFonts w:ascii="Times New Roman"/>
        </w:rPr>
        <w:t>检验项目、取样数量、取样方法和试验方法</w:t>
      </w:r>
    </w:p>
    <w:tbl>
      <w:tblPr>
        <w:tblStyle w:val="32"/>
        <w:tblW w:w="95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235"/>
        <w:gridCol w:w="1282"/>
        <w:gridCol w:w="1656"/>
        <w:gridCol w:w="4641"/>
      </w:tblGrid>
      <w:tr w14:paraId="27E44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4681EF9">
            <w:pPr>
              <w:pStyle w:val="23"/>
              <w:tabs>
                <w:tab w:val="left" w:pos="720"/>
              </w:tabs>
              <w:ind w:firstLine="0" w:firstLineChars="0"/>
              <w:jc w:val="center"/>
              <w:rPr>
                <w:rFonts w:ascii="Times New Roman"/>
                <w:sz w:val="18"/>
                <w:szCs w:val="18"/>
              </w:rPr>
            </w:pPr>
            <w:bookmarkStart w:id="31" w:name="_Hlk168476473"/>
            <w:r>
              <w:rPr>
                <w:rFonts w:ascii="Times New Roman"/>
                <w:sz w:val="18"/>
                <w:szCs w:val="18"/>
              </w:rPr>
              <w:t>序号</w:t>
            </w:r>
          </w:p>
        </w:tc>
        <w:tc>
          <w:tcPr>
            <w:tcW w:w="1235" w:type="dxa"/>
            <w:vAlign w:val="center"/>
          </w:tcPr>
          <w:p w14:paraId="697905E1">
            <w:pPr>
              <w:pStyle w:val="23"/>
              <w:tabs>
                <w:tab w:val="left" w:pos="720"/>
              </w:tabs>
              <w:ind w:firstLine="0" w:firstLineChars="0"/>
              <w:jc w:val="center"/>
              <w:rPr>
                <w:rFonts w:ascii="Times New Roman"/>
                <w:sz w:val="18"/>
                <w:szCs w:val="18"/>
              </w:rPr>
            </w:pPr>
            <w:r>
              <w:rPr>
                <w:rFonts w:ascii="Times New Roman"/>
                <w:sz w:val="18"/>
                <w:szCs w:val="18"/>
              </w:rPr>
              <w:t>检验项目</w:t>
            </w:r>
          </w:p>
        </w:tc>
        <w:tc>
          <w:tcPr>
            <w:tcW w:w="1282" w:type="dxa"/>
            <w:vAlign w:val="center"/>
          </w:tcPr>
          <w:p w14:paraId="62E37741">
            <w:pPr>
              <w:pStyle w:val="23"/>
              <w:tabs>
                <w:tab w:val="left" w:pos="720"/>
              </w:tabs>
              <w:ind w:firstLine="0" w:firstLineChars="0"/>
              <w:jc w:val="center"/>
              <w:rPr>
                <w:rFonts w:ascii="Times New Roman"/>
                <w:sz w:val="18"/>
                <w:szCs w:val="18"/>
              </w:rPr>
            </w:pPr>
            <w:r>
              <w:rPr>
                <w:rFonts w:ascii="Times New Roman"/>
                <w:sz w:val="18"/>
                <w:szCs w:val="18"/>
              </w:rPr>
              <w:t>取样数量/个</w:t>
            </w:r>
          </w:p>
        </w:tc>
        <w:tc>
          <w:tcPr>
            <w:tcW w:w="1656" w:type="dxa"/>
            <w:vAlign w:val="center"/>
          </w:tcPr>
          <w:p w14:paraId="4B62F5BE">
            <w:pPr>
              <w:pStyle w:val="23"/>
              <w:tabs>
                <w:tab w:val="left" w:pos="720"/>
              </w:tabs>
              <w:ind w:firstLine="0" w:firstLineChars="0"/>
              <w:jc w:val="center"/>
              <w:rPr>
                <w:rFonts w:ascii="Times New Roman"/>
                <w:sz w:val="18"/>
                <w:szCs w:val="18"/>
              </w:rPr>
            </w:pPr>
            <w:r>
              <w:rPr>
                <w:rFonts w:ascii="Times New Roman"/>
                <w:sz w:val="18"/>
                <w:szCs w:val="18"/>
              </w:rPr>
              <w:t>取样方法</w:t>
            </w:r>
          </w:p>
        </w:tc>
        <w:tc>
          <w:tcPr>
            <w:tcW w:w="4641" w:type="dxa"/>
            <w:vAlign w:val="center"/>
          </w:tcPr>
          <w:p w14:paraId="2E7A60E7">
            <w:pPr>
              <w:pStyle w:val="23"/>
              <w:tabs>
                <w:tab w:val="left" w:pos="720"/>
              </w:tabs>
              <w:ind w:firstLine="0" w:firstLineChars="0"/>
              <w:jc w:val="center"/>
              <w:rPr>
                <w:rFonts w:ascii="Times New Roman"/>
                <w:sz w:val="18"/>
                <w:szCs w:val="18"/>
              </w:rPr>
            </w:pPr>
            <w:r>
              <w:rPr>
                <w:rFonts w:ascii="Times New Roman"/>
                <w:sz w:val="18"/>
                <w:szCs w:val="18"/>
              </w:rPr>
              <w:t>试验方法</w:t>
            </w:r>
          </w:p>
        </w:tc>
      </w:tr>
      <w:tr w14:paraId="2DADA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56" w:type="dxa"/>
            <w:vAlign w:val="center"/>
          </w:tcPr>
          <w:p w14:paraId="7A89875E">
            <w:pPr>
              <w:pStyle w:val="23"/>
              <w:tabs>
                <w:tab w:val="left" w:pos="720"/>
              </w:tabs>
              <w:ind w:firstLine="0" w:firstLineChars="0"/>
              <w:jc w:val="center"/>
              <w:rPr>
                <w:rFonts w:ascii="Times New Roman"/>
                <w:sz w:val="18"/>
                <w:szCs w:val="18"/>
              </w:rPr>
            </w:pPr>
            <w:r>
              <w:rPr>
                <w:rFonts w:ascii="Times New Roman"/>
                <w:sz w:val="18"/>
                <w:szCs w:val="18"/>
              </w:rPr>
              <w:t>1</w:t>
            </w:r>
          </w:p>
        </w:tc>
        <w:tc>
          <w:tcPr>
            <w:tcW w:w="1235" w:type="dxa"/>
            <w:vAlign w:val="center"/>
          </w:tcPr>
          <w:p w14:paraId="091B0A34">
            <w:pPr>
              <w:pStyle w:val="23"/>
              <w:tabs>
                <w:tab w:val="left" w:pos="720"/>
              </w:tabs>
              <w:ind w:firstLine="0" w:firstLineChars="0"/>
              <w:jc w:val="center"/>
              <w:rPr>
                <w:rFonts w:ascii="Times New Roman"/>
                <w:sz w:val="18"/>
                <w:szCs w:val="18"/>
              </w:rPr>
            </w:pPr>
            <w:r>
              <w:rPr>
                <w:rFonts w:ascii="Times New Roman"/>
                <w:sz w:val="18"/>
                <w:szCs w:val="18"/>
              </w:rPr>
              <w:t>化学成分</w:t>
            </w:r>
          </w:p>
          <w:p w14:paraId="6D63137A">
            <w:pPr>
              <w:pStyle w:val="23"/>
              <w:tabs>
                <w:tab w:val="left" w:pos="720"/>
              </w:tabs>
              <w:ind w:firstLine="0" w:firstLineChars="0"/>
              <w:jc w:val="center"/>
              <w:rPr>
                <w:rFonts w:ascii="Times New Roman"/>
                <w:sz w:val="18"/>
                <w:szCs w:val="18"/>
              </w:rPr>
            </w:pPr>
            <w:r>
              <w:rPr>
                <w:rFonts w:ascii="Times New Roman"/>
                <w:sz w:val="18"/>
                <w:szCs w:val="18"/>
              </w:rPr>
              <w:t>（熔炼分析）</w:t>
            </w:r>
          </w:p>
        </w:tc>
        <w:tc>
          <w:tcPr>
            <w:tcW w:w="1282" w:type="dxa"/>
            <w:vAlign w:val="center"/>
          </w:tcPr>
          <w:p w14:paraId="0CEF1E11">
            <w:pPr>
              <w:pStyle w:val="23"/>
              <w:tabs>
                <w:tab w:val="left" w:pos="720"/>
              </w:tabs>
              <w:ind w:firstLine="0" w:firstLineChars="0"/>
              <w:jc w:val="center"/>
              <w:rPr>
                <w:rFonts w:ascii="Times New Roman"/>
                <w:sz w:val="18"/>
                <w:szCs w:val="18"/>
              </w:rPr>
            </w:pPr>
            <w:r>
              <w:rPr>
                <w:rFonts w:ascii="Times New Roman"/>
                <w:sz w:val="18"/>
                <w:szCs w:val="18"/>
              </w:rPr>
              <w:t>1/炉</w:t>
            </w:r>
          </w:p>
        </w:tc>
        <w:tc>
          <w:tcPr>
            <w:tcW w:w="1656" w:type="dxa"/>
            <w:vAlign w:val="center"/>
          </w:tcPr>
          <w:p w14:paraId="4C6137A2">
            <w:pPr>
              <w:pStyle w:val="23"/>
              <w:tabs>
                <w:tab w:val="left" w:pos="720"/>
              </w:tabs>
              <w:ind w:firstLine="0" w:firstLineChars="0"/>
              <w:jc w:val="center"/>
              <w:rPr>
                <w:rFonts w:ascii="Times New Roman"/>
                <w:sz w:val="18"/>
                <w:szCs w:val="18"/>
              </w:rPr>
            </w:pPr>
            <w:r>
              <w:rPr>
                <w:rFonts w:ascii="Times New Roman"/>
                <w:sz w:val="18"/>
                <w:szCs w:val="18"/>
              </w:rPr>
              <w:t>GB/T 20066</w:t>
            </w:r>
          </w:p>
        </w:tc>
        <w:tc>
          <w:tcPr>
            <w:tcW w:w="4641" w:type="dxa"/>
            <w:vAlign w:val="center"/>
          </w:tcPr>
          <w:p w14:paraId="4383ADC1">
            <w:pPr>
              <w:pStyle w:val="23"/>
              <w:tabs>
                <w:tab w:val="left" w:pos="720"/>
              </w:tabs>
              <w:ind w:firstLine="0" w:firstLineChars="0"/>
              <w:jc w:val="center"/>
              <w:rPr>
                <w:rFonts w:ascii="Times New Roman"/>
                <w:sz w:val="18"/>
                <w:szCs w:val="18"/>
              </w:rPr>
            </w:pPr>
            <w:r>
              <w:rPr>
                <w:rFonts w:hint="eastAsia" w:ascii="Times New Roman"/>
                <w:sz w:val="18"/>
                <w:szCs w:val="18"/>
              </w:rPr>
              <w:t>见</w:t>
            </w:r>
            <w:r>
              <w:rPr>
                <w:rFonts w:ascii="Times New Roman"/>
                <w:sz w:val="18"/>
                <w:szCs w:val="18"/>
              </w:rPr>
              <w:t>8.2.3</w:t>
            </w:r>
          </w:p>
        </w:tc>
      </w:tr>
      <w:tr w14:paraId="56FE31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78F42598">
            <w:pPr>
              <w:pStyle w:val="23"/>
              <w:tabs>
                <w:tab w:val="left" w:pos="720"/>
              </w:tabs>
              <w:ind w:firstLine="0" w:firstLineChars="0"/>
              <w:jc w:val="center"/>
              <w:rPr>
                <w:rFonts w:ascii="Times New Roman"/>
                <w:sz w:val="18"/>
                <w:szCs w:val="18"/>
              </w:rPr>
            </w:pPr>
            <w:r>
              <w:rPr>
                <w:rFonts w:ascii="Times New Roman"/>
                <w:sz w:val="18"/>
                <w:szCs w:val="18"/>
              </w:rPr>
              <w:t>2</w:t>
            </w:r>
          </w:p>
        </w:tc>
        <w:tc>
          <w:tcPr>
            <w:tcW w:w="1235" w:type="dxa"/>
            <w:vAlign w:val="center"/>
          </w:tcPr>
          <w:p w14:paraId="49532E28">
            <w:pPr>
              <w:pStyle w:val="23"/>
              <w:tabs>
                <w:tab w:val="left" w:pos="720"/>
              </w:tabs>
              <w:ind w:firstLine="0" w:firstLineChars="0"/>
              <w:jc w:val="center"/>
              <w:rPr>
                <w:rFonts w:ascii="Times New Roman"/>
                <w:sz w:val="18"/>
                <w:szCs w:val="18"/>
              </w:rPr>
            </w:pPr>
            <w:r>
              <w:rPr>
                <w:rFonts w:ascii="Times New Roman"/>
                <w:sz w:val="18"/>
                <w:szCs w:val="18"/>
              </w:rPr>
              <w:t>拉伸试验</w:t>
            </w:r>
          </w:p>
        </w:tc>
        <w:tc>
          <w:tcPr>
            <w:tcW w:w="1282" w:type="dxa"/>
            <w:vAlign w:val="center"/>
          </w:tcPr>
          <w:p w14:paraId="171E8AC7">
            <w:pPr>
              <w:pStyle w:val="23"/>
              <w:tabs>
                <w:tab w:val="left" w:pos="720"/>
              </w:tabs>
              <w:ind w:firstLine="0" w:firstLineChars="0"/>
              <w:jc w:val="center"/>
              <w:rPr>
                <w:rFonts w:ascii="Times New Roman"/>
                <w:sz w:val="18"/>
                <w:szCs w:val="18"/>
              </w:rPr>
            </w:pPr>
            <w:r>
              <w:rPr>
                <w:rFonts w:ascii="Times New Roman"/>
                <w:sz w:val="18"/>
                <w:szCs w:val="18"/>
              </w:rPr>
              <w:t>2</w:t>
            </w:r>
          </w:p>
        </w:tc>
        <w:tc>
          <w:tcPr>
            <w:tcW w:w="1656" w:type="dxa"/>
            <w:vAlign w:val="center"/>
          </w:tcPr>
          <w:p w14:paraId="09BEAA65">
            <w:pPr>
              <w:pStyle w:val="23"/>
              <w:tabs>
                <w:tab w:val="left" w:pos="720"/>
              </w:tabs>
              <w:ind w:firstLine="0" w:firstLineChars="0"/>
              <w:jc w:val="center"/>
              <w:rPr>
                <w:rFonts w:ascii="Times New Roman"/>
                <w:sz w:val="18"/>
                <w:szCs w:val="18"/>
              </w:rPr>
            </w:pPr>
            <w:r>
              <w:rPr>
                <w:rFonts w:ascii="Times New Roman"/>
                <w:sz w:val="18"/>
                <w:szCs w:val="18"/>
              </w:rPr>
              <w:t>任选两根钢筋切取</w:t>
            </w:r>
          </w:p>
        </w:tc>
        <w:tc>
          <w:tcPr>
            <w:tcW w:w="4641" w:type="dxa"/>
            <w:vAlign w:val="center"/>
          </w:tcPr>
          <w:p w14:paraId="729B9DB6">
            <w:pPr>
              <w:pStyle w:val="23"/>
              <w:tabs>
                <w:tab w:val="left" w:pos="720"/>
              </w:tabs>
              <w:ind w:firstLine="0" w:firstLineChars="0"/>
              <w:jc w:val="center"/>
              <w:rPr>
                <w:rFonts w:ascii="Times New Roman"/>
                <w:sz w:val="18"/>
                <w:szCs w:val="18"/>
              </w:rPr>
            </w:pPr>
            <w:r>
              <w:rPr>
                <w:rFonts w:ascii="Times New Roman"/>
                <w:sz w:val="18"/>
                <w:szCs w:val="18"/>
              </w:rPr>
              <w:t>GB/T 228.1</w:t>
            </w:r>
            <w:r>
              <w:rPr>
                <w:rFonts w:hint="eastAsia" w:ascii="Times New Roman"/>
                <w:sz w:val="18"/>
                <w:szCs w:val="18"/>
                <w:lang w:val="en-US" w:eastAsia="zh-CN"/>
              </w:rPr>
              <w:t>和</w:t>
            </w:r>
            <w:r>
              <w:rPr>
                <w:rFonts w:ascii="Times New Roman"/>
                <w:sz w:val="18"/>
                <w:szCs w:val="18"/>
              </w:rPr>
              <w:t>8.2</w:t>
            </w:r>
          </w:p>
        </w:tc>
      </w:tr>
      <w:tr w14:paraId="76498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70C6618B">
            <w:pPr>
              <w:pStyle w:val="23"/>
              <w:tabs>
                <w:tab w:val="left" w:pos="720"/>
              </w:tabs>
              <w:ind w:firstLine="0" w:firstLineChars="0"/>
              <w:jc w:val="center"/>
              <w:rPr>
                <w:rFonts w:ascii="Times New Roman"/>
                <w:sz w:val="18"/>
                <w:szCs w:val="18"/>
              </w:rPr>
            </w:pPr>
            <w:r>
              <w:rPr>
                <w:rFonts w:ascii="Times New Roman"/>
                <w:sz w:val="18"/>
                <w:szCs w:val="18"/>
              </w:rPr>
              <w:t>3</w:t>
            </w:r>
          </w:p>
        </w:tc>
        <w:tc>
          <w:tcPr>
            <w:tcW w:w="1235" w:type="dxa"/>
            <w:vAlign w:val="center"/>
          </w:tcPr>
          <w:p w14:paraId="0598FB73">
            <w:pPr>
              <w:pStyle w:val="23"/>
              <w:tabs>
                <w:tab w:val="left" w:pos="720"/>
              </w:tabs>
              <w:ind w:firstLine="0" w:firstLineChars="0"/>
              <w:jc w:val="center"/>
              <w:rPr>
                <w:rFonts w:ascii="Times New Roman"/>
                <w:sz w:val="18"/>
                <w:szCs w:val="18"/>
              </w:rPr>
            </w:pPr>
            <w:r>
              <w:rPr>
                <w:rFonts w:ascii="Times New Roman"/>
                <w:sz w:val="18"/>
                <w:szCs w:val="18"/>
              </w:rPr>
              <w:t>弯曲试验</w:t>
            </w:r>
          </w:p>
        </w:tc>
        <w:tc>
          <w:tcPr>
            <w:tcW w:w="1282" w:type="dxa"/>
            <w:vAlign w:val="center"/>
          </w:tcPr>
          <w:p w14:paraId="58F31842">
            <w:pPr>
              <w:pStyle w:val="23"/>
              <w:tabs>
                <w:tab w:val="left" w:pos="720"/>
              </w:tabs>
              <w:ind w:firstLine="0" w:firstLineChars="0"/>
              <w:jc w:val="center"/>
              <w:rPr>
                <w:rFonts w:ascii="Times New Roman"/>
                <w:sz w:val="18"/>
                <w:szCs w:val="18"/>
              </w:rPr>
            </w:pPr>
            <w:r>
              <w:rPr>
                <w:rFonts w:ascii="Times New Roman"/>
                <w:sz w:val="18"/>
                <w:szCs w:val="18"/>
              </w:rPr>
              <w:t>2</w:t>
            </w:r>
          </w:p>
        </w:tc>
        <w:tc>
          <w:tcPr>
            <w:tcW w:w="1656" w:type="dxa"/>
            <w:vAlign w:val="center"/>
          </w:tcPr>
          <w:p w14:paraId="00F67FA3">
            <w:pPr>
              <w:pStyle w:val="23"/>
              <w:tabs>
                <w:tab w:val="left" w:pos="720"/>
              </w:tabs>
              <w:ind w:firstLine="0" w:firstLineChars="0"/>
              <w:jc w:val="center"/>
              <w:rPr>
                <w:rFonts w:ascii="Times New Roman"/>
                <w:sz w:val="18"/>
                <w:szCs w:val="18"/>
              </w:rPr>
            </w:pPr>
            <w:r>
              <w:rPr>
                <w:rFonts w:ascii="Times New Roman"/>
                <w:sz w:val="18"/>
                <w:szCs w:val="18"/>
              </w:rPr>
              <w:t>任选两根钢筋切取</w:t>
            </w:r>
          </w:p>
        </w:tc>
        <w:tc>
          <w:tcPr>
            <w:tcW w:w="4641" w:type="dxa"/>
            <w:vAlign w:val="center"/>
          </w:tcPr>
          <w:p w14:paraId="0B8B33A9">
            <w:pPr>
              <w:pStyle w:val="23"/>
              <w:tabs>
                <w:tab w:val="left" w:pos="720"/>
              </w:tabs>
              <w:ind w:firstLine="0" w:firstLineChars="0"/>
              <w:jc w:val="center"/>
              <w:rPr>
                <w:rFonts w:ascii="Times New Roman"/>
                <w:sz w:val="18"/>
                <w:szCs w:val="18"/>
              </w:rPr>
            </w:pPr>
            <w:r>
              <w:rPr>
                <w:rFonts w:ascii="Times New Roman"/>
                <w:sz w:val="18"/>
                <w:szCs w:val="18"/>
              </w:rPr>
              <w:t>GB/T 232</w:t>
            </w:r>
            <w:r>
              <w:rPr>
                <w:rFonts w:hint="eastAsia" w:ascii="Times New Roman"/>
                <w:sz w:val="18"/>
                <w:szCs w:val="18"/>
                <w:lang w:val="en-US" w:eastAsia="zh-CN"/>
              </w:rPr>
              <w:t>和</w:t>
            </w:r>
            <w:r>
              <w:rPr>
                <w:rFonts w:ascii="Times New Roman"/>
                <w:sz w:val="18"/>
                <w:szCs w:val="18"/>
              </w:rPr>
              <w:t>8.2</w:t>
            </w:r>
          </w:p>
        </w:tc>
      </w:tr>
      <w:tr w14:paraId="20804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7E58E6BE">
            <w:pPr>
              <w:pStyle w:val="23"/>
              <w:tabs>
                <w:tab w:val="left" w:pos="720"/>
              </w:tabs>
              <w:ind w:firstLine="0" w:firstLineChars="0"/>
              <w:jc w:val="center"/>
              <w:rPr>
                <w:rFonts w:ascii="Times New Roman"/>
                <w:sz w:val="18"/>
                <w:szCs w:val="18"/>
              </w:rPr>
            </w:pPr>
            <w:r>
              <w:rPr>
                <w:rFonts w:ascii="Times New Roman"/>
                <w:sz w:val="18"/>
                <w:szCs w:val="18"/>
              </w:rPr>
              <w:t>4</w:t>
            </w:r>
          </w:p>
        </w:tc>
        <w:tc>
          <w:tcPr>
            <w:tcW w:w="1235" w:type="dxa"/>
            <w:vAlign w:val="center"/>
          </w:tcPr>
          <w:p w14:paraId="339906ED">
            <w:pPr>
              <w:pStyle w:val="23"/>
              <w:tabs>
                <w:tab w:val="left" w:pos="720"/>
              </w:tabs>
              <w:ind w:firstLine="0" w:firstLineChars="0"/>
              <w:jc w:val="center"/>
              <w:rPr>
                <w:rFonts w:ascii="Times New Roman"/>
                <w:sz w:val="18"/>
                <w:szCs w:val="18"/>
              </w:rPr>
            </w:pPr>
            <w:r>
              <w:rPr>
                <w:rFonts w:ascii="Times New Roman"/>
                <w:sz w:val="18"/>
                <w:szCs w:val="18"/>
              </w:rPr>
              <w:t>耐腐蚀性能</w:t>
            </w:r>
          </w:p>
        </w:tc>
        <w:tc>
          <w:tcPr>
            <w:tcW w:w="7579" w:type="dxa"/>
            <w:gridSpan w:val="3"/>
            <w:vAlign w:val="center"/>
          </w:tcPr>
          <w:p w14:paraId="10AB8E56">
            <w:pPr>
              <w:pStyle w:val="23"/>
              <w:tabs>
                <w:tab w:val="left" w:pos="720"/>
              </w:tabs>
              <w:ind w:firstLine="0" w:firstLineChars="0"/>
              <w:jc w:val="center"/>
              <w:rPr>
                <w:rFonts w:ascii="Times New Roman"/>
                <w:sz w:val="18"/>
                <w:szCs w:val="18"/>
              </w:rPr>
            </w:pPr>
            <w:r>
              <w:rPr>
                <w:rFonts w:ascii="Times New Roman"/>
                <w:sz w:val="18"/>
                <w:szCs w:val="18"/>
              </w:rPr>
              <w:t>YB/T 4367</w:t>
            </w:r>
          </w:p>
        </w:tc>
      </w:tr>
      <w:tr w14:paraId="722755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73B2D8CF">
            <w:pPr>
              <w:pStyle w:val="23"/>
              <w:tabs>
                <w:tab w:val="left" w:pos="720"/>
              </w:tabs>
              <w:ind w:firstLine="0" w:firstLineChars="0"/>
              <w:jc w:val="center"/>
              <w:rPr>
                <w:rFonts w:ascii="Times New Roman"/>
                <w:sz w:val="18"/>
                <w:szCs w:val="18"/>
              </w:rPr>
            </w:pPr>
            <w:r>
              <w:rPr>
                <w:rFonts w:ascii="Times New Roman"/>
                <w:sz w:val="18"/>
                <w:szCs w:val="18"/>
              </w:rPr>
              <w:t>5</w:t>
            </w:r>
          </w:p>
        </w:tc>
        <w:tc>
          <w:tcPr>
            <w:tcW w:w="1235" w:type="dxa"/>
            <w:vAlign w:val="center"/>
          </w:tcPr>
          <w:p w14:paraId="2F347DC7">
            <w:pPr>
              <w:pStyle w:val="23"/>
              <w:tabs>
                <w:tab w:val="left" w:pos="720"/>
              </w:tabs>
              <w:ind w:firstLine="0" w:firstLineChars="0"/>
              <w:jc w:val="center"/>
              <w:rPr>
                <w:rFonts w:ascii="Times New Roman"/>
                <w:sz w:val="18"/>
                <w:szCs w:val="18"/>
              </w:rPr>
            </w:pPr>
            <w:r>
              <w:rPr>
                <w:rFonts w:ascii="Times New Roman"/>
                <w:sz w:val="18"/>
                <w:szCs w:val="18"/>
              </w:rPr>
              <w:t>冲击试验</w:t>
            </w:r>
          </w:p>
        </w:tc>
        <w:tc>
          <w:tcPr>
            <w:tcW w:w="1282" w:type="dxa"/>
            <w:vAlign w:val="center"/>
          </w:tcPr>
          <w:p w14:paraId="0BCA0972">
            <w:pPr>
              <w:pStyle w:val="23"/>
              <w:tabs>
                <w:tab w:val="left" w:pos="720"/>
              </w:tabs>
              <w:ind w:firstLine="0" w:firstLineChars="0"/>
              <w:jc w:val="center"/>
              <w:rPr>
                <w:rFonts w:ascii="Times New Roman"/>
                <w:sz w:val="18"/>
                <w:szCs w:val="18"/>
              </w:rPr>
            </w:pPr>
            <w:r>
              <w:rPr>
                <w:rFonts w:ascii="Times New Roman"/>
                <w:sz w:val="18"/>
                <w:szCs w:val="18"/>
              </w:rPr>
              <w:t>2</w:t>
            </w:r>
          </w:p>
        </w:tc>
        <w:tc>
          <w:tcPr>
            <w:tcW w:w="1656" w:type="dxa"/>
            <w:vAlign w:val="center"/>
          </w:tcPr>
          <w:p w14:paraId="60D91F32">
            <w:pPr>
              <w:pStyle w:val="23"/>
              <w:tabs>
                <w:tab w:val="left" w:pos="720"/>
              </w:tabs>
              <w:ind w:firstLine="0" w:firstLineChars="0"/>
              <w:jc w:val="center"/>
              <w:rPr>
                <w:rFonts w:ascii="Times New Roman"/>
                <w:sz w:val="18"/>
                <w:szCs w:val="18"/>
              </w:rPr>
            </w:pPr>
            <w:r>
              <w:rPr>
                <w:rFonts w:ascii="Times New Roman"/>
                <w:sz w:val="18"/>
                <w:szCs w:val="18"/>
              </w:rPr>
              <w:t>任选两根钢筋切取，GB/T 2975</w:t>
            </w:r>
          </w:p>
        </w:tc>
        <w:tc>
          <w:tcPr>
            <w:tcW w:w="4641" w:type="dxa"/>
            <w:vAlign w:val="center"/>
          </w:tcPr>
          <w:p w14:paraId="048EB7A1">
            <w:pPr>
              <w:pStyle w:val="23"/>
              <w:tabs>
                <w:tab w:val="left" w:pos="720"/>
              </w:tabs>
              <w:ind w:firstLine="0" w:firstLineChars="0"/>
              <w:jc w:val="center"/>
              <w:rPr>
                <w:rFonts w:ascii="Times New Roman"/>
                <w:sz w:val="18"/>
                <w:szCs w:val="18"/>
              </w:rPr>
            </w:pPr>
            <w:r>
              <w:rPr>
                <w:rFonts w:ascii="Times New Roman"/>
                <w:sz w:val="18"/>
                <w:szCs w:val="18"/>
              </w:rPr>
              <w:t>GB/T 229</w:t>
            </w:r>
          </w:p>
        </w:tc>
      </w:tr>
      <w:tr w14:paraId="6CFD1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6A0CFFE4">
            <w:pPr>
              <w:pStyle w:val="23"/>
              <w:tabs>
                <w:tab w:val="left" w:pos="720"/>
              </w:tabs>
              <w:ind w:firstLine="0" w:firstLineChars="0"/>
              <w:jc w:val="center"/>
              <w:rPr>
                <w:rFonts w:ascii="Times New Roman"/>
                <w:sz w:val="18"/>
                <w:szCs w:val="18"/>
              </w:rPr>
            </w:pPr>
            <w:r>
              <w:rPr>
                <w:rFonts w:ascii="Times New Roman"/>
                <w:sz w:val="18"/>
                <w:szCs w:val="18"/>
              </w:rPr>
              <w:t>6</w:t>
            </w:r>
          </w:p>
        </w:tc>
        <w:tc>
          <w:tcPr>
            <w:tcW w:w="1235" w:type="dxa"/>
            <w:vAlign w:val="center"/>
          </w:tcPr>
          <w:p w14:paraId="0FC1B828">
            <w:pPr>
              <w:pStyle w:val="23"/>
              <w:tabs>
                <w:tab w:val="left" w:pos="720"/>
              </w:tabs>
              <w:ind w:firstLine="0" w:firstLineChars="0"/>
              <w:jc w:val="center"/>
              <w:rPr>
                <w:rFonts w:ascii="Times New Roman"/>
                <w:sz w:val="18"/>
                <w:szCs w:val="18"/>
              </w:rPr>
            </w:pPr>
            <w:r>
              <w:rPr>
                <w:rFonts w:ascii="Times New Roman"/>
                <w:sz w:val="18"/>
                <w:szCs w:val="18"/>
              </w:rPr>
              <w:t>金相组织</w:t>
            </w:r>
          </w:p>
        </w:tc>
        <w:tc>
          <w:tcPr>
            <w:tcW w:w="1282" w:type="dxa"/>
            <w:vAlign w:val="center"/>
          </w:tcPr>
          <w:p w14:paraId="15C28058">
            <w:pPr>
              <w:pStyle w:val="23"/>
              <w:tabs>
                <w:tab w:val="left" w:pos="720"/>
              </w:tabs>
              <w:ind w:firstLine="0" w:firstLineChars="0"/>
              <w:jc w:val="center"/>
              <w:rPr>
                <w:rFonts w:ascii="Times New Roman"/>
                <w:sz w:val="18"/>
                <w:szCs w:val="18"/>
              </w:rPr>
            </w:pPr>
            <w:r>
              <w:rPr>
                <w:rFonts w:ascii="Times New Roman"/>
                <w:sz w:val="18"/>
                <w:szCs w:val="18"/>
              </w:rPr>
              <w:t>1</w:t>
            </w:r>
          </w:p>
        </w:tc>
        <w:tc>
          <w:tcPr>
            <w:tcW w:w="1656" w:type="dxa"/>
            <w:vAlign w:val="center"/>
          </w:tcPr>
          <w:p w14:paraId="61C27114">
            <w:pPr>
              <w:pStyle w:val="23"/>
              <w:tabs>
                <w:tab w:val="left" w:pos="720"/>
              </w:tabs>
              <w:ind w:firstLine="0" w:firstLineChars="0"/>
              <w:jc w:val="center"/>
              <w:rPr>
                <w:rFonts w:ascii="Times New Roman"/>
                <w:sz w:val="18"/>
                <w:szCs w:val="18"/>
              </w:rPr>
            </w:pPr>
            <w:r>
              <w:rPr>
                <w:rFonts w:ascii="Times New Roman"/>
                <w:sz w:val="18"/>
                <w:szCs w:val="18"/>
              </w:rPr>
              <w:t>任选一根钢筋切取</w:t>
            </w:r>
          </w:p>
        </w:tc>
        <w:tc>
          <w:tcPr>
            <w:tcW w:w="4641" w:type="dxa"/>
            <w:vAlign w:val="center"/>
          </w:tcPr>
          <w:p w14:paraId="7B79068C">
            <w:pPr>
              <w:pStyle w:val="23"/>
              <w:tabs>
                <w:tab w:val="left" w:pos="720"/>
              </w:tabs>
              <w:ind w:firstLine="0" w:firstLineChars="0"/>
              <w:jc w:val="center"/>
              <w:rPr>
                <w:rFonts w:ascii="Times New Roman"/>
                <w:sz w:val="18"/>
                <w:szCs w:val="18"/>
              </w:rPr>
            </w:pPr>
            <w:r>
              <w:rPr>
                <w:rFonts w:ascii="Times New Roman"/>
                <w:sz w:val="18"/>
                <w:szCs w:val="18"/>
              </w:rPr>
              <w:t>GB/T 13298、GB/T 13299</w:t>
            </w:r>
          </w:p>
        </w:tc>
      </w:tr>
      <w:tr w14:paraId="6EE7F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3E141CE">
            <w:pPr>
              <w:pStyle w:val="23"/>
              <w:tabs>
                <w:tab w:val="left" w:pos="720"/>
              </w:tabs>
              <w:ind w:firstLine="0" w:firstLineChars="0"/>
              <w:jc w:val="center"/>
              <w:rPr>
                <w:rFonts w:ascii="Times New Roman"/>
                <w:sz w:val="18"/>
                <w:szCs w:val="18"/>
              </w:rPr>
            </w:pPr>
            <w:r>
              <w:rPr>
                <w:rFonts w:ascii="Times New Roman"/>
                <w:sz w:val="18"/>
                <w:szCs w:val="18"/>
              </w:rPr>
              <w:t>7</w:t>
            </w:r>
          </w:p>
        </w:tc>
        <w:tc>
          <w:tcPr>
            <w:tcW w:w="1235" w:type="dxa"/>
            <w:vAlign w:val="center"/>
          </w:tcPr>
          <w:p w14:paraId="33A659DF">
            <w:pPr>
              <w:pStyle w:val="23"/>
              <w:tabs>
                <w:tab w:val="left" w:pos="720"/>
              </w:tabs>
              <w:ind w:firstLine="0" w:firstLineChars="0"/>
              <w:jc w:val="center"/>
              <w:rPr>
                <w:rFonts w:ascii="Times New Roman"/>
                <w:sz w:val="18"/>
                <w:szCs w:val="18"/>
              </w:rPr>
            </w:pPr>
            <w:r>
              <w:rPr>
                <w:rFonts w:ascii="Times New Roman"/>
                <w:sz w:val="18"/>
                <w:szCs w:val="18"/>
              </w:rPr>
              <w:t>表面质量</w:t>
            </w:r>
          </w:p>
        </w:tc>
        <w:tc>
          <w:tcPr>
            <w:tcW w:w="1282" w:type="dxa"/>
            <w:vAlign w:val="center"/>
          </w:tcPr>
          <w:p w14:paraId="0FD29848">
            <w:pPr>
              <w:pStyle w:val="23"/>
              <w:tabs>
                <w:tab w:val="left" w:pos="720"/>
              </w:tabs>
              <w:ind w:firstLine="0" w:firstLineChars="0"/>
              <w:jc w:val="center"/>
              <w:rPr>
                <w:rFonts w:ascii="Times New Roman"/>
                <w:sz w:val="18"/>
                <w:szCs w:val="18"/>
              </w:rPr>
            </w:pPr>
            <w:r>
              <w:rPr>
                <w:rFonts w:ascii="Times New Roman"/>
                <w:sz w:val="18"/>
                <w:szCs w:val="18"/>
              </w:rPr>
              <w:t>逐根</w:t>
            </w:r>
          </w:p>
        </w:tc>
        <w:tc>
          <w:tcPr>
            <w:tcW w:w="1656" w:type="dxa"/>
            <w:vAlign w:val="center"/>
          </w:tcPr>
          <w:p w14:paraId="1D28B496">
            <w:pPr>
              <w:pStyle w:val="23"/>
              <w:tabs>
                <w:tab w:val="left" w:pos="720"/>
              </w:tabs>
              <w:ind w:firstLine="0" w:firstLineChars="0"/>
              <w:jc w:val="center"/>
              <w:rPr>
                <w:rFonts w:ascii="Times New Roman"/>
                <w:sz w:val="18"/>
                <w:szCs w:val="18"/>
              </w:rPr>
            </w:pPr>
            <w:r>
              <w:rPr>
                <w:rFonts w:ascii="Times New Roman"/>
                <w:sz w:val="18"/>
                <w:szCs w:val="18"/>
              </w:rPr>
              <w:t>—</w:t>
            </w:r>
          </w:p>
        </w:tc>
        <w:tc>
          <w:tcPr>
            <w:tcW w:w="4641" w:type="dxa"/>
            <w:vAlign w:val="center"/>
          </w:tcPr>
          <w:p w14:paraId="3DA49B56">
            <w:pPr>
              <w:pStyle w:val="23"/>
              <w:tabs>
                <w:tab w:val="left" w:pos="720"/>
              </w:tabs>
              <w:ind w:firstLine="0" w:firstLineChars="0"/>
              <w:jc w:val="center"/>
              <w:rPr>
                <w:rFonts w:ascii="Times New Roman"/>
                <w:sz w:val="18"/>
                <w:szCs w:val="18"/>
              </w:rPr>
            </w:pPr>
            <w:r>
              <w:rPr>
                <w:rFonts w:ascii="Times New Roman"/>
                <w:sz w:val="18"/>
                <w:szCs w:val="18"/>
              </w:rPr>
              <w:t>目测</w:t>
            </w:r>
          </w:p>
        </w:tc>
      </w:tr>
      <w:tr w14:paraId="1964C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5438F4ED">
            <w:pPr>
              <w:pStyle w:val="23"/>
              <w:tabs>
                <w:tab w:val="left" w:pos="720"/>
              </w:tabs>
              <w:ind w:firstLine="0" w:firstLineChars="0"/>
              <w:jc w:val="center"/>
              <w:rPr>
                <w:rFonts w:ascii="Times New Roman"/>
                <w:sz w:val="18"/>
                <w:szCs w:val="18"/>
              </w:rPr>
            </w:pPr>
            <w:r>
              <w:rPr>
                <w:rFonts w:ascii="Times New Roman"/>
                <w:sz w:val="18"/>
                <w:szCs w:val="18"/>
              </w:rPr>
              <w:t>8</w:t>
            </w:r>
          </w:p>
        </w:tc>
        <w:tc>
          <w:tcPr>
            <w:tcW w:w="1235" w:type="dxa"/>
            <w:vAlign w:val="center"/>
          </w:tcPr>
          <w:p w14:paraId="2818FEF1">
            <w:pPr>
              <w:pStyle w:val="23"/>
              <w:tabs>
                <w:tab w:val="left" w:pos="720"/>
              </w:tabs>
              <w:ind w:firstLine="0" w:firstLineChars="0"/>
              <w:jc w:val="center"/>
              <w:rPr>
                <w:rFonts w:ascii="Times New Roman"/>
                <w:sz w:val="18"/>
                <w:szCs w:val="18"/>
              </w:rPr>
            </w:pPr>
            <w:r>
              <w:rPr>
                <w:rFonts w:ascii="Times New Roman"/>
                <w:sz w:val="18"/>
                <w:szCs w:val="18"/>
              </w:rPr>
              <w:t>尺寸、外形</w:t>
            </w:r>
          </w:p>
        </w:tc>
        <w:tc>
          <w:tcPr>
            <w:tcW w:w="1282" w:type="dxa"/>
            <w:vAlign w:val="center"/>
          </w:tcPr>
          <w:p w14:paraId="61F92B08">
            <w:pPr>
              <w:pStyle w:val="23"/>
              <w:tabs>
                <w:tab w:val="left" w:pos="720"/>
              </w:tabs>
              <w:ind w:firstLine="0" w:firstLineChars="0"/>
              <w:jc w:val="center"/>
              <w:rPr>
                <w:rFonts w:ascii="Times New Roman"/>
                <w:sz w:val="18"/>
                <w:szCs w:val="18"/>
              </w:rPr>
            </w:pPr>
            <w:r>
              <w:rPr>
                <w:rFonts w:ascii="Times New Roman"/>
                <w:sz w:val="18"/>
                <w:szCs w:val="18"/>
              </w:rPr>
              <w:t>逐根</w:t>
            </w:r>
          </w:p>
        </w:tc>
        <w:tc>
          <w:tcPr>
            <w:tcW w:w="1656" w:type="dxa"/>
            <w:vAlign w:val="center"/>
          </w:tcPr>
          <w:p w14:paraId="2EF4B6B0">
            <w:pPr>
              <w:pStyle w:val="23"/>
              <w:tabs>
                <w:tab w:val="left" w:pos="720"/>
              </w:tabs>
              <w:ind w:firstLine="0" w:firstLineChars="0"/>
              <w:jc w:val="center"/>
              <w:rPr>
                <w:rFonts w:ascii="Times New Roman"/>
                <w:sz w:val="18"/>
                <w:szCs w:val="18"/>
              </w:rPr>
            </w:pPr>
            <w:r>
              <w:rPr>
                <w:rFonts w:ascii="Times New Roman"/>
                <w:sz w:val="18"/>
                <w:szCs w:val="18"/>
              </w:rPr>
              <w:t>—</w:t>
            </w:r>
          </w:p>
        </w:tc>
        <w:tc>
          <w:tcPr>
            <w:tcW w:w="4641" w:type="dxa"/>
            <w:vAlign w:val="center"/>
          </w:tcPr>
          <w:p w14:paraId="7D113D2C">
            <w:pPr>
              <w:pStyle w:val="23"/>
              <w:tabs>
                <w:tab w:val="left" w:pos="720"/>
              </w:tabs>
              <w:ind w:firstLine="0" w:firstLineChars="0"/>
              <w:jc w:val="center"/>
              <w:rPr>
                <w:rFonts w:ascii="Times New Roman"/>
                <w:sz w:val="18"/>
                <w:szCs w:val="18"/>
              </w:rPr>
            </w:pPr>
            <w:r>
              <w:rPr>
                <w:rFonts w:ascii="Times New Roman"/>
                <w:sz w:val="18"/>
                <w:szCs w:val="18"/>
              </w:rPr>
              <w:t>适当量具</w:t>
            </w:r>
            <w:r>
              <w:rPr>
                <w:rFonts w:hint="eastAsia" w:ascii="Times New Roman"/>
                <w:sz w:val="18"/>
                <w:szCs w:val="18"/>
                <w:lang w:val="en-US" w:eastAsia="zh-CN"/>
              </w:rPr>
              <w:t>和</w:t>
            </w:r>
            <w:r>
              <w:rPr>
                <w:rFonts w:hint="eastAsia" w:ascii="Times New Roman"/>
                <w:sz w:val="18"/>
                <w:szCs w:val="18"/>
              </w:rPr>
              <w:t>8</w:t>
            </w:r>
            <w:r>
              <w:rPr>
                <w:rFonts w:ascii="Times New Roman"/>
                <w:sz w:val="18"/>
                <w:szCs w:val="18"/>
              </w:rPr>
              <w:t>.4</w:t>
            </w:r>
          </w:p>
        </w:tc>
      </w:tr>
      <w:bookmarkEnd w:id="31"/>
    </w:tbl>
    <w:p w14:paraId="4B148C02">
      <w:pPr>
        <w:pStyle w:val="23"/>
        <w:ind w:firstLine="0" w:firstLineChars="0"/>
        <w:rPr>
          <w:rFonts w:ascii="Times New Roman"/>
        </w:rPr>
      </w:pPr>
    </w:p>
    <w:p w14:paraId="6E4C125F">
      <w:pPr>
        <w:pStyle w:val="50"/>
      </w:pPr>
      <w:r>
        <w:t>检验规则</w:t>
      </w:r>
      <w:bookmarkEnd w:id="30"/>
    </w:p>
    <w:p w14:paraId="7769CB0F">
      <w:pPr>
        <w:pStyle w:val="23"/>
        <w:numPr>
          <w:ilvl w:val="1"/>
          <w:numId w:val="2"/>
        </w:numPr>
        <w:ind w:firstLine="0" w:firstLineChars="0"/>
        <w:rPr>
          <w:rFonts w:ascii="Times New Roman" w:eastAsia="黑体"/>
          <w:szCs w:val="21"/>
        </w:rPr>
      </w:pPr>
      <w:r>
        <w:rPr>
          <w:rFonts w:ascii="Times New Roman" w:eastAsia="黑体"/>
          <w:szCs w:val="21"/>
        </w:rPr>
        <w:t xml:space="preserve">检查和验收 </w:t>
      </w:r>
    </w:p>
    <w:p w14:paraId="309FE4BA">
      <w:pPr>
        <w:pStyle w:val="23"/>
        <w:rPr>
          <w:rFonts w:ascii="Times New Roman"/>
        </w:rPr>
      </w:pPr>
      <w:r>
        <w:rPr>
          <w:rFonts w:ascii="Times New Roman"/>
        </w:rPr>
        <w:t>钢筋由供方质量监督部门进行检查和验收。需方有权按相应标准的规定进行检查和验收。</w:t>
      </w:r>
    </w:p>
    <w:p w14:paraId="01168B2A">
      <w:pPr>
        <w:pStyle w:val="23"/>
        <w:numPr>
          <w:ilvl w:val="1"/>
          <w:numId w:val="2"/>
        </w:numPr>
        <w:ind w:firstLine="0" w:firstLineChars="0"/>
        <w:rPr>
          <w:rFonts w:ascii="Times New Roman"/>
        </w:rPr>
      </w:pPr>
      <w:r>
        <w:rPr>
          <w:rFonts w:ascii="Times New Roman" w:eastAsia="黑体"/>
          <w:szCs w:val="21"/>
        </w:rPr>
        <w:t>组批规则</w:t>
      </w:r>
    </w:p>
    <w:p w14:paraId="58E58AB2">
      <w:pPr>
        <w:pStyle w:val="23"/>
        <w:rPr>
          <w:rFonts w:ascii="Times New Roman"/>
        </w:rPr>
      </w:pPr>
      <w:r>
        <w:rPr>
          <w:rFonts w:ascii="Times New Roman"/>
        </w:rPr>
        <w:t>钢筋应按批进行检查和验收，每批应由同一牌号、同一炉号、同一规格</w:t>
      </w:r>
      <w:r>
        <w:rPr>
          <w:rFonts w:hint="eastAsia" w:ascii="Times New Roman"/>
        </w:rPr>
        <w:t>、同一交货状态</w:t>
      </w:r>
      <w:r>
        <w:rPr>
          <w:rFonts w:ascii="Times New Roman"/>
        </w:rPr>
        <w:t>的钢筋组成。每批重量通常不大于60t。超过60t的部分，每增加40t</w:t>
      </w:r>
      <w:r>
        <w:rPr>
          <w:rFonts w:hint="eastAsia" w:ascii="Times New Roman"/>
        </w:rPr>
        <w:t>（</w:t>
      </w:r>
      <w:r>
        <w:rPr>
          <w:rFonts w:ascii="Times New Roman"/>
        </w:rPr>
        <w:t>或不足40t的余数</w:t>
      </w:r>
      <w:r>
        <w:rPr>
          <w:rFonts w:hint="eastAsia" w:ascii="Times New Roman"/>
        </w:rPr>
        <w:t>）</w:t>
      </w:r>
      <w:r>
        <w:rPr>
          <w:rFonts w:ascii="Times New Roman"/>
        </w:rPr>
        <w:t>，增加一个拉伸试验试样和一个弯曲试验试样。</w:t>
      </w:r>
    </w:p>
    <w:p w14:paraId="7906B098">
      <w:pPr>
        <w:pStyle w:val="23"/>
        <w:rPr>
          <w:rFonts w:ascii="Times New Roman"/>
        </w:rPr>
      </w:pPr>
      <w:r>
        <w:rPr>
          <w:rFonts w:ascii="Times New Roman"/>
        </w:rPr>
        <w:t>允许由同一牌号、同一冶炼方法、同一浇注方法的不同炉号组成混合批，但各炉号含碳量之差不大于0.02%，含锰量之差不大于0.15%。混合批的重量不大于60t。</w:t>
      </w:r>
    </w:p>
    <w:p w14:paraId="10B1AC09">
      <w:pPr>
        <w:pStyle w:val="23"/>
        <w:numPr>
          <w:ilvl w:val="1"/>
          <w:numId w:val="2"/>
        </w:numPr>
        <w:ind w:firstLine="0" w:firstLineChars="0"/>
        <w:rPr>
          <w:rFonts w:ascii="Times New Roman" w:eastAsia="黑体"/>
          <w:szCs w:val="21"/>
        </w:rPr>
      </w:pPr>
      <w:r>
        <w:rPr>
          <w:rFonts w:ascii="Times New Roman" w:eastAsia="黑体"/>
          <w:szCs w:val="21"/>
        </w:rPr>
        <w:t>检验项目和取样数量</w:t>
      </w:r>
    </w:p>
    <w:p w14:paraId="0B218FA4">
      <w:pPr>
        <w:pStyle w:val="23"/>
        <w:rPr>
          <w:rFonts w:ascii="Times New Roman"/>
        </w:rPr>
      </w:pPr>
      <w:r>
        <w:rPr>
          <w:rFonts w:ascii="Times New Roman"/>
        </w:rPr>
        <w:t>钢筋各检验项目和取样数量应符合本标准表5的规定。</w:t>
      </w:r>
    </w:p>
    <w:p w14:paraId="21904D2A">
      <w:pPr>
        <w:pStyle w:val="23"/>
        <w:numPr>
          <w:ilvl w:val="1"/>
          <w:numId w:val="2"/>
        </w:numPr>
        <w:ind w:firstLine="0" w:firstLineChars="0"/>
        <w:rPr>
          <w:rFonts w:ascii="Times New Roman" w:eastAsia="黑体"/>
          <w:szCs w:val="21"/>
        </w:rPr>
      </w:pPr>
      <w:r>
        <w:rPr>
          <w:rFonts w:ascii="Times New Roman" w:eastAsia="黑体"/>
          <w:szCs w:val="21"/>
        </w:rPr>
        <w:t>复验与判定</w:t>
      </w:r>
    </w:p>
    <w:p w14:paraId="37ECFBC8">
      <w:pPr>
        <w:pStyle w:val="23"/>
        <w:rPr>
          <w:rFonts w:ascii="Times New Roman"/>
        </w:rPr>
      </w:pPr>
      <w:r>
        <w:rPr>
          <w:rFonts w:ascii="Times New Roman"/>
        </w:rPr>
        <w:t>钢筋的复验与判定应符合GB/T 2101 的规定。</w:t>
      </w:r>
    </w:p>
    <w:p w14:paraId="1983F1FD">
      <w:pPr>
        <w:pStyle w:val="23"/>
        <w:numPr>
          <w:ilvl w:val="1"/>
          <w:numId w:val="2"/>
        </w:numPr>
        <w:ind w:firstLine="0" w:firstLineChars="0"/>
        <w:rPr>
          <w:rFonts w:ascii="Times New Roman" w:eastAsia="黑体"/>
          <w:szCs w:val="21"/>
        </w:rPr>
      </w:pPr>
      <w:r>
        <w:rPr>
          <w:rFonts w:ascii="Times New Roman" w:eastAsia="黑体"/>
          <w:szCs w:val="21"/>
        </w:rPr>
        <w:t>数值修约</w:t>
      </w:r>
    </w:p>
    <w:p w14:paraId="75E73193">
      <w:pPr>
        <w:pStyle w:val="23"/>
        <w:rPr>
          <w:rFonts w:ascii="Times New Roman"/>
        </w:rPr>
      </w:pPr>
      <w:r>
        <w:rPr>
          <w:rFonts w:ascii="Times New Roman"/>
        </w:rPr>
        <w:t>钢筋各检验项目的检验结果的数值修约与判定应符合YB/T 081的规定。</w:t>
      </w:r>
    </w:p>
    <w:p w14:paraId="4165DD39">
      <w:pPr>
        <w:pStyle w:val="50"/>
      </w:pPr>
      <w:bookmarkStart w:id="32" w:name="_Hlk80734752"/>
      <w:bookmarkStart w:id="33" w:name="_Toc103246236"/>
      <w:r>
        <w:t>包装、标志和质量说明书</w:t>
      </w:r>
      <w:bookmarkEnd w:id="32"/>
      <w:bookmarkEnd w:id="33"/>
    </w:p>
    <w:p w14:paraId="7BE4A141">
      <w:pPr>
        <w:pStyle w:val="52"/>
        <w:numPr>
          <w:ilvl w:val="1"/>
          <w:numId w:val="2"/>
        </w:numPr>
        <w:snapToGrid w:val="0"/>
        <w:spacing w:before="156" w:afterLines="0"/>
        <w:rPr>
          <w:rFonts w:ascii="Times New Roman" w:eastAsia="宋体"/>
        </w:rPr>
      </w:pPr>
      <w:bookmarkStart w:id="34" w:name="_Toc103246237"/>
      <w:bookmarkStart w:id="35" w:name="_Hlk103244852"/>
      <w:r>
        <w:rPr>
          <w:rFonts w:ascii="Times New Roman" w:eastAsia="宋体"/>
        </w:rPr>
        <w:t>钢筋的表面标志应符合下列规定：</w:t>
      </w:r>
      <w:bookmarkEnd w:id="34"/>
    </w:p>
    <w:bookmarkEnd w:id="35"/>
    <w:p w14:paraId="0D0B3ABE">
      <w:pPr>
        <w:pStyle w:val="23"/>
        <w:numPr>
          <w:ilvl w:val="0"/>
          <w:numId w:val="7"/>
        </w:numPr>
        <w:tabs>
          <w:tab w:val="right" w:pos="420"/>
          <w:tab w:val="clear" w:pos="4201"/>
          <w:tab w:val="clear" w:pos="9298"/>
        </w:tabs>
        <w:ind w:left="777" w:hanging="357" w:firstLineChars="0"/>
        <w:rPr>
          <w:rFonts w:ascii="Times New Roman"/>
        </w:rPr>
      </w:pPr>
      <w:r>
        <w:rPr>
          <w:rFonts w:ascii="Times New Roman"/>
        </w:rPr>
        <w:t>月牙肋钢筋应在其表面轧上牌号标志，还可依次轧上厂名(或商标)和规格(公称直径)毫米数字。螺纹肋钢筋不轧标志，采用挂标牌和端部刷漆的方法，MG400c不涂色、MG500c涂黄色。</w:t>
      </w:r>
    </w:p>
    <w:p w14:paraId="02D955E2">
      <w:pPr>
        <w:pStyle w:val="23"/>
        <w:numPr>
          <w:ilvl w:val="0"/>
          <w:numId w:val="7"/>
        </w:numPr>
        <w:tabs>
          <w:tab w:val="right" w:pos="420"/>
          <w:tab w:val="clear" w:pos="4201"/>
          <w:tab w:val="clear" w:pos="9298"/>
        </w:tabs>
        <w:ind w:left="777" w:hanging="357" w:firstLineChars="0"/>
        <w:rPr>
          <w:rFonts w:ascii="Times New Roman"/>
        </w:rPr>
      </w:pPr>
      <w:r>
        <w:rPr>
          <w:rFonts w:ascii="Times New Roman"/>
        </w:rPr>
        <w:t>月牙肋钢筋牌号以阿拉伯数字表示，MG400c、MG500c分别以MG4C、MG5C表示，厂名以大写汉语拼音首位字母表示，公称直径毫米数以阿拉伯数字表示。</w:t>
      </w:r>
    </w:p>
    <w:p w14:paraId="66C05DD2">
      <w:pPr>
        <w:pStyle w:val="23"/>
        <w:numPr>
          <w:ilvl w:val="0"/>
          <w:numId w:val="7"/>
        </w:numPr>
        <w:tabs>
          <w:tab w:val="right" w:pos="420"/>
          <w:tab w:val="clear" w:pos="4201"/>
          <w:tab w:val="clear" w:pos="9298"/>
        </w:tabs>
        <w:ind w:left="777" w:hanging="357" w:firstLineChars="0"/>
        <w:rPr>
          <w:rFonts w:ascii="Times New Roman"/>
        </w:rPr>
      </w:pPr>
      <w:r>
        <w:rPr>
          <w:rFonts w:ascii="Times New Roman"/>
        </w:rPr>
        <w:t>标志应清晰明了，标志的尺寸由供方按钢筋直径大小做适当规定，与标志相交的横肋可取消。</w:t>
      </w:r>
    </w:p>
    <w:p w14:paraId="7CDC2D42">
      <w:pPr>
        <w:pStyle w:val="52"/>
        <w:numPr>
          <w:ilvl w:val="1"/>
          <w:numId w:val="2"/>
        </w:numPr>
        <w:snapToGrid w:val="0"/>
        <w:spacing w:before="156" w:afterLines="0"/>
        <w:rPr>
          <w:rFonts w:ascii="Times New Roman"/>
        </w:rPr>
      </w:pPr>
      <w:bookmarkStart w:id="36" w:name="_Toc103246238"/>
      <w:r>
        <w:rPr>
          <w:rFonts w:ascii="Times New Roman" w:eastAsia="宋体"/>
        </w:rPr>
        <w:t>除上述规定外，钢筋的包装、标志和质量说明书应符合GB/T 2101的有关规定或按合同要求。</w:t>
      </w:r>
      <w:bookmarkEnd w:id="36"/>
      <w:r>
        <w:rPr>
          <w:rFonts w:ascii="Times New Roman"/>
          <w:strike/>
        </w:rPr>
        <mc:AlternateContent>
          <mc:Choice Requires="wps">
            <w:drawing>
              <wp:anchor distT="0" distB="0" distL="114300" distR="114300" simplePos="0" relativeHeight="251660288" behindDoc="0" locked="0" layoutInCell="1" allowOverlap="1">
                <wp:simplePos x="0" y="0"/>
                <wp:positionH relativeFrom="column">
                  <wp:posOffset>2070100</wp:posOffset>
                </wp:positionH>
                <wp:positionV relativeFrom="paragraph">
                  <wp:posOffset>527050</wp:posOffset>
                </wp:positionV>
                <wp:extent cx="1435100" cy="0"/>
                <wp:effectExtent l="0" t="0" r="31750" b="19050"/>
                <wp:wrapTopAndBottom/>
                <wp:docPr id="6" name="自选图形 2"/>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cmpd="sng">
                          <a:solidFill>
                            <a:srgbClr val="000000"/>
                          </a:solidFill>
                          <a:round/>
                        </a:ln>
                      </wps:spPr>
                      <wps:bodyPr/>
                    </wps:wsp>
                  </a:graphicData>
                </a:graphic>
              </wp:anchor>
            </w:drawing>
          </mc:Choice>
          <mc:Fallback>
            <w:pict>
              <v:shape id="自选图形 2" o:spid="_x0000_s1026" o:spt="32" type="#_x0000_t32" style="position:absolute;left:0pt;margin-left:163pt;margin-top:41.5pt;height:0pt;width:113pt;mso-wrap-distance-bottom:0pt;mso-wrap-distance-top:0pt;z-index:251660288;mso-width-relative:page;mso-height-relative:page;" filled="f" stroked="t" coordsize="21600,21600" o:gfxdata="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kfqH1wAAAAkBAAAPAAAAAAAAAAEAIAAAACIAAABkcnMvZG93bnJldi54bWxQSwECFAAU&#10;AAAACACHTuJA9qY9nfIBAADAAwAADgAAAAAAAAABACAAAAAmAQAAZHJzL2Uyb0RvYy54bWxQSwUG&#10;AAAAAAYABgBZAQAAigUAAAAA&#10;">
                <v:fill on="f" focussize="0,0"/>
                <v:stroke color="#000000" joinstyle="round"/>
                <v:imagedata o:title=""/>
                <o:lock v:ext="edit" aspectratio="f"/>
                <w10:wrap type="topAndBottom"/>
              </v:shape>
            </w:pict>
          </mc:Fallback>
        </mc:AlternateContent>
      </w:r>
    </w:p>
    <w:sectPr>
      <w:headerReference r:id="rId12" w:type="default"/>
      <w:footerReference r:id="rId13"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ngLiU">
    <w:altName w:val="Microsoft JhengHei"/>
    <w:panose1 w:val="02010609000101010101"/>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035C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469F7">
    <w:pPr>
      <w:pStyle w:val="97"/>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2FB0F">
    <w:pPr>
      <w:pStyle w:val="17"/>
      <w:jc w:val="left"/>
    </w:pPr>
    <w:r>
      <w:fldChar w:fldCharType="begin"/>
    </w:r>
    <w:r>
      <w:instrText xml:space="preserve">PAGE   \* MERGEFORMAT</w:instrText>
    </w:r>
    <w:r>
      <w:fldChar w:fldCharType="separate"/>
    </w:r>
    <w:r>
      <w:rPr>
        <w:lang w:val="zh-CN"/>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DE13">
    <w:pPr>
      <w:pStyle w:val="17"/>
    </w:pPr>
    <w:r>
      <w:fldChar w:fldCharType="begin"/>
    </w:r>
    <w:r>
      <w:instrText xml:space="preserve">PAGE   \* MERGEFORMAT</w:instrText>
    </w:r>
    <w:r>
      <w:fldChar w:fldCharType="separate"/>
    </w:r>
    <w:r>
      <w:rPr>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C2453">
    <w:pPr>
      <w:pStyle w:val="17"/>
      <w:rPr>
        <w:lang w:val="zh-CN"/>
      </w:rPr>
    </w:pPr>
    <w:r>
      <w:rPr>
        <w:lang w:val="zh-CN"/>
      </w:rPr>
      <w:fldChar w:fldCharType="begin"/>
    </w:r>
    <w:r>
      <w:rPr>
        <w:lang w:val="zh-CN"/>
      </w:rPr>
      <w:instrText xml:space="preserve">PAGE   \* MERGEFORMAT</w:instrText>
    </w:r>
    <w:r>
      <w:rPr>
        <w:lang w:val="zh-CN"/>
      </w:rPr>
      <w:fldChar w:fldCharType="separate"/>
    </w:r>
    <w:r>
      <w:rPr>
        <w:lang w:val="zh-CN"/>
      </w:rPr>
      <w:t>5</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E274F">
    <w:pPr>
      <w:pStyle w:val="18"/>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00FE6">
    <w:pPr>
      <w:pStyle w:val="88"/>
      <w:spacing w:before="120" w:after="120"/>
      <w:rPr>
        <w:color w:val="000000"/>
      </w:rPr>
    </w:pPr>
    <w:r>
      <w:t xml:space="preserve">T/SSEA </w:t>
    </w:r>
    <w:r>
      <w:rPr>
        <w:rFonts w:hint="eastAsia"/>
      </w:rPr>
      <w:t>XXXX</w:t>
    </w:r>
    <w:r>
      <w:t>-</w:t>
    </w:r>
    <w:r>
      <w:rPr>
        <w:rFonts w:hint="eastAsia"/>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7D04F">
    <w:pPr>
      <w:pStyle w:val="18"/>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-XXXX</w:t>
    </w:r>
  </w:p>
  <w:p w14:paraId="712F6181">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5E259">
    <w:pPr>
      <w:pStyle w:val="18"/>
      <w:rPr>
        <w:rFonts w:eastAsia="黑体"/>
        <w:b/>
        <w:bCs/>
        <w:sz w:val="21"/>
        <w:szCs w:val="21"/>
      </w:rPr>
    </w:pPr>
    <w:r>
      <w:rPr>
        <w:rFonts w:eastAsia="黑体"/>
        <w:b/>
        <w:bCs/>
        <w:sz w:val="21"/>
        <w:szCs w:val="21"/>
      </w:rPr>
      <w:t>T/SSEA</w:t>
    </w:r>
    <w:r>
      <w:rPr>
        <w:b/>
        <w:bCs/>
        <w:sz w:val="21"/>
        <w:szCs w:val="21"/>
      </w:rPr>
      <w:t xml:space="preserve"> </w:t>
    </w:r>
    <w:r>
      <w:rPr>
        <w:rFonts w:hint="eastAsia"/>
        <w:b/>
        <w:bCs/>
        <w:sz w:val="21"/>
        <w:szCs w:val="21"/>
      </w:rPr>
      <w:t>XXXX-2024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0A7BD">
    <w:pPr>
      <w:pStyle w:val="88"/>
      <w:spacing w:before="120" w:after="120"/>
      <w:rPr>
        <w:color w:val="000000"/>
      </w:rPr>
    </w:pPr>
    <w:r>
      <w:t xml:space="preserve">T/SSEA </w:t>
    </w:r>
    <w:r>
      <w:rPr>
        <w:rFonts w:hint="eastAsia"/>
      </w:rPr>
      <w:t>XXXX</w:t>
    </w:r>
    <w:r>
      <w:t>-</w:t>
    </w:r>
    <w:r>
      <w:rPr>
        <w:rFonts w:hint="eastAsia"/>
      </w:rPr>
      <w:t>2024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EEB9">
    <w:pPr>
      <w:pStyle w:val="88"/>
      <w:spacing w:before="120" w:after="120"/>
      <w:rPr>
        <w:rFonts w:ascii="Times New Roman"/>
        <w:b/>
        <w:bCs/>
        <w:color w:val="000000"/>
      </w:rPr>
    </w:pPr>
    <w:r>
      <w:rPr>
        <w:rFonts w:ascii="Times New Roman"/>
        <w:b/>
        <w:bCs/>
      </w:rPr>
      <w:t xml:space="preserve">T/SSEA </w:t>
    </w:r>
    <w:r>
      <w:rPr>
        <w:rFonts w:hint="eastAsia" w:ascii="Times New Roman"/>
        <w:b/>
        <w:bCs/>
      </w:rPr>
      <w:t>XXXX-2024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4943371"/>
    <w:multiLevelType w:val="multilevel"/>
    <w:tmpl w:val="14943371"/>
    <w:lvl w:ilvl="0" w:tentative="0">
      <w:start w:val="1"/>
      <w:numFmt w:val="lowerLetter"/>
      <w:lvlText w:val="%1)"/>
      <w:lvlJc w:val="left"/>
      <w:pPr>
        <w:tabs>
          <w:tab w:val="left" w:pos="839"/>
        </w:tabs>
        <w:ind w:left="839" w:hanging="419"/>
      </w:pPr>
      <w:rPr>
        <w:rFonts w:hint="default" w:ascii="Times New Roman" w:hAnsi="Times New Roman"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2">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bCs w:val="0"/>
        <w:i w:val="0"/>
        <w:sz w:val="21"/>
        <w:szCs w:val="21"/>
      </w:rPr>
    </w:lvl>
    <w:lvl w:ilvl="1" w:tentative="0">
      <w:start w:val="1"/>
      <w:numFmt w:val="decimal"/>
      <w:suff w:val="nothing"/>
      <w:lvlText w:val="%1.%2　"/>
      <w:lvlJc w:val="left"/>
      <w:rPr>
        <w:rFonts w:hint="eastAsia" w:ascii="黑体" w:hAnsi="Times New Roman" w:eastAsia="黑体" w:cs="Times New Roman"/>
        <w:b w:val="0"/>
        <w:bCs/>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bCs/>
        <w:i w:val="0"/>
        <w:sz w:val="21"/>
      </w:rPr>
    </w:lvl>
    <w:lvl w:ilvl="3" w:tentative="0">
      <w:start w:val="1"/>
      <w:numFmt w:val="decimal"/>
      <w:suff w:val="nothing"/>
      <w:lvlText w:val="%1.%2.%3.%4　"/>
      <w:lvlJc w:val="left"/>
      <w:pPr>
        <w:ind w:left="0" w:firstLine="0"/>
      </w:pPr>
      <w:rPr>
        <w:rFonts w:hint="eastAsia" w:ascii="黑体" w:hAnsi="Times New Roman" w:eastAsia="黑体"/>
        <w:b w:val="0"/>
        <w:bCs/>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85453CA"/>
    <w:multiLevelType w:val="multilevel"/>
    <w:tmpl w:val="285453CA"/>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CC72903"/>
    <w:multiLevelType w:val="multilevel"/>
    <w:tmpl w:val="4CC72903"/>
    <w:lvl w:ilvl="0" w:tentative="0">
      <w:start w:val="1"/>
      <w:numFmt w:val="lowerLetter"/>
      <w:lvlText w:val="%1）"/>
      <w:lvlJc w:val="left"/>
      <w:pPr>
        <w:ind w:left="780" w:hanging="360"/>
      </w:pPr>
      <w:rPr>
        <w:rFonts w:hint="default"/>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46260FA"/>
    <w:multiLevelType w:val="multilevel"/>
    <w:tmpl w:val="646260FA"/>
    <w:lvl w:ilvl="0" w:tentative="0">
      <w:start w:val="1"/>
      <w:numFmt w:val="decimal"/>
      <w:pStyle w:val="82"/>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2"/>
  </w:num>
  <w:num w:numId="3">
    <w:abstractNumId w:val="5"/>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035925"/>
    <w:rsid w:val="00000244"/>
    <w:rsid w:val="00000FCF"/>
    <w:rsid w:val="0000185F"/>
    <w:rsid w:val="00003889"/>
    <w:rsid w:val="0000586F"/>
    <w:rsid w:val="00005D79"/>
    <w:rsid w:val="00007340"/>
    <w:rsid w:val="00013A5C"/>
    <w:rsid w:val="00013D86"/>
    <w:rsid w:val="00013E02"/>
    <w:rsid w:val="00017E7B"/>
    <w:rsid w:val="00020414"/>
    <w:rsid w:val="000208AF"/>
    <w:rsid w:val="00021259"/>
    <w:rsid w:val="0002143C"/>
    <w:rsid w:val="00022016"/>
    <w:rsid w:val="00023377"/>
    <w:rsid w:val="000234E1"/>
    <w:rsid w:val="00025A65"/>
    <w:rsid w:val="00025FA2"/>
    <w:rsid w:val="000267B2"/>
    <w:rsid w:val="00026C31"/>
    <w:rsid w:val="00027280"/>
    <w:rsid w:val="000306E3"/>
    <w:rsid w:val="00031F28"/>
    <w:rsid w:val="000320A7"/>
    <w:rsid w:val="00035925"/>
    <w:rsid w:val="000366F4"/>
    <w:rsid w:val="00036E08"/>
    <w:rsid w:val="00037DAC"/>
    <w:rsid w:val="00041127"/>
    <w:rsid w:val="000452CE"/>
    <w:rsid w:val="00045C9B"/>
    <w:rsid w:val="000466F7"/>
    <w:rsid w:val="00046D13"/>
    <w:rsid w:val="00050778"/>
    <w:rsid w:val="0005140E"/>
    <w:rsid w:val="00053C9A"/>
    <w:rsid w:val="00057AD7"/>
    <w:rsid w:val="00060190"/>
    <w:rsid w:val="0006070D"/>
    <w:rsid w:val="00061C1A"/>
    <w:rsid w:val="000623EB"/>
    <w:rsid w:val="000639E9"/>
    <w:rsid w:val="00063E76"/>
    <w:rsid w:val="00067CDF"/>
    <w:rsid w:val="00070072"/>
    <w:rsid w:val="00074FBE"/>
    <w:rsid w:val="000772BB"/>
    <w:rsid w:val="00077E45"/>
    <w:rsid w:val="000818DD"/>
    <w:rsid w:val="00082953"/>
    <w:rsid w:val="00083A09"/>
    <w:rsid w:val="0009005E"/>
    <w:rsid w:val="00090E08"/>
    <w:rsid w:val="00092857"/>
    <w:rsid w:val="000941FC"/>
    <w:rsid w:val="00094841"/>
    <w:rsid w:val="00096F59"/>
    <w:rsid w:val="00097D0A"/>
    <w:rsid w:val="000A1B8E"/>
    <w:rsid w:val="000A20A9"/>
    <w:rsid w:val="000A39C1"/>
    <w:rsid w:val="000A48B1"/>
    <w:rsid w:val="000A5495"/>
    <w:rsid w:val="000A71C2"/>
    <w:rsid w:val="000B19E0"/>
    <w:rsid w:val="000B20DA"/>
    <w:rsid w:val="000B3143"/>
    <w:rsid w:val="000B5CA5"/>
    <w:rsid w:val="000C30C7"/>
    <w:rsid w:val="000C31D7"/>
    <w:rsid w:val="000C6B05"/>
    <w:rsid w:val="000C6DD6"/>
    <w:rsid w:val="000C73D4"/>
    <w:rsid w:val="000C7770"/>
    <w:rsid w:val="000D03F1"/>
    <w:rsid w:val="000D114F"/>
    <w:rsid w:val="000D192D"/>
    <w:rsid w:val="000D3344"/>
    <w:rsid w:val="000D3D4C"/>
    <w:rsid w:val="000D4406"/>
    <w:rsid w:val="000D4505"/>
    <w:rsid w:val="000D4F51"/>
    <w:rsid w:val="000D718B"/>
    <w:rsid w:val="000E0C46"/>
    <w:rsid w:val="000E3EC7"/>
    <w:rsid w:val="000F030C"/>
    <w:rsid w:val="000F04B4"/>
    <w:rsid w:val="000F129C"/>
    <w:rsid w:val="00102D72"/>
    <w:rsid w:val="001056DE"/>
    <w:rsid w:val="0010712B"/>
    <w:rsid w:val="001115FC"/>
    <w:rsid w:val="00111863"/>
    <w:rsid w:val="00111E04"/>
    <w:rsid w:val="0011205C"/>
    <w:rsid w:val="001124C0"/>
    <w:rsid w:val="00113D86"/>
    <w:rsid w:val="00114F89"/>
    <w:rsid w:val="001235B6"/>
    <w:rsid w:val="001241FE"/>
    <w:rsid w:val="001278EF"/>
    <w:rsid w:val="0013175F"/>
    <w:rsid w:val="00134999"/>
    <w:rsid w:val="00141881"/>
    <w:rsid w:val="001512B4"/>
    <w:rsid w:val="00152179"/>
    <w:rsid w:val="00152FCD"/>
    <w:rsid w:val="00154746"/>
    <w:rsid w:val="00154A8E"/>
    <w:rsid w:val="00156D41"/>
    <w:rsid w:val="00160652"/>
    <w:rsid w:val="001620A5"/>
    <w:rsid w:val="001640A2"/>
    <w:rsid w:val="00164E53"/>
    <w:rsid w:val="0016699D"/>
    <w:rsid w:val="001701E9"/>
    <w:rsid w:val="00170D62"/>
    <w:rsid w:val="00171728"/>
    <w:rsid w:val="0017259F"/>
    <w:rsid w:val="001726C8"/>
    <w:rsid w:val="00172BDE"/>
    <w:rsid w:val="00174C58"/>
    <w:rsid w:val="00174C87"/>
    <w:rsid w:val="00175159"/>
    <w:rsid w:val="0017521F"/>
    <w:rsid w:val="00176208"/>
    <w:rsid w:val="00176ABD"/>
    <w:rsid w:val="0017711B"/>
    <w:rsid w:val="0018211B"/>
    <w:rsid w:val="001840D3"/>
    <w:rsid w:val="00187A9A"/>
    <w:rsid w:val="001900F8"/>
    <w:rsid w:val="0019112B"/>
    <w:rsid w:val="00191258"/>
    <w:rsid w:val="001918B8"/>
    <w:rsid w:val="0019201C"/>
    <w:rsid w:val="00192680"/>
    <w:rsid w:val="00192989"/>
    <w:rsid w:val="00193037"/>
    <w:rsid w:val="00193A2C"/>
    <w:rsid w:val="00194FE5"/>
    <w:rsid w:val="00197D88"/>
    <w:rsid w:val="001A01D4"/>
    <w:rsid w:val="001A288E"/>
    <w:rsid w:val="001A32EE"/>
    <w:rsid w:val="001A4764"/>
    <w:rsid w:val="001A55D3"/>
    <w:rsid w:val="001A7888"/>
    <w:rsid w:val="001B4066"/>
    <w:rsid w:val="001B530F"/>
    <w:rsid w:val="001B5E5F"/>
    <w:rsid w:val="001B6DC2"/>
    <w:rsid w:val="001C149C"/>
    <w:rsid w:val="001C21AC"/>
    <w:rsid w:val="001C47BA"/>
    <w:rsid w:val="001C59EA"/>
    <w:rsid w:val="001C6851"/>
    <w:rsid w:val="001C7C54"/>
    <w:rsid w:val="001D02BD"/>
    <w:rsid w:val="001D406C"/>
    <w:rsid w:val="001D41EE"/>
    <w:rsid w:val="001D4EC2"/>
    <w:rsid w:val="001D4F77"/>
    <w:rsid w:val="001D4FAF"/>
    <w:rsid w:val="001E0380"/>
    <w:rsid w:val="001E13B1"/>
    <w:rsid w:val="001E55B7"/>
    <w:rsid w:val="001E69DB"/>
    <w:rsid w:val="001F0F1C"/>
    <w:rsid w:val="001F2432"/>
    <w:rsid w:val="001F3A19"/>
    <w:rsid w:val="001F64CA"/>
    <w:rsid w:val="002002E4"/>
    <w:rsid w:val="0020314B"/>
    <w:rsid w:val="00206595"/>
    <w:rsid w:val="00206837"/>
    <w:rsid w:val="00211CC9"/>
    <w:rsid w:val="0021276A"/>
    <w:rsid w:val="00212D26"/>
    <w:rsid w:val="0022046A"/>
    <w:rsid w:val="00222D46"/>
    <w:rsid w:val="0022797D"/>
    <w:rsid w:val="00231142"/>
    <w:rsid w:val="00231970"/>
    <w:rsid w:val="0023378B"/>
    <w:rsid w:val="00234467"/>
    <w:rsid w:val="00237D8D"/>
    <w:rsid w:val="00240622"/>
    <w:rsid w:val="00240FE6"/>
    <w:rsid w:val="00241BEC"/>
    <w:rsid w:val="00241DA2"/>
    <w:rsid w:val="00241DE9"/>
    <w:rsid w:val="00242372"/>
    <w:rsid w:val="00245B95"/>
    <w:rsid w:val="00247532"/>
    <w:rsid w:val="00247FEE"/>
    <w:rsid w:val="00250E7D"/>
    <w:rsid w:val="00255EAD"/>
    <w:rsid w:val="002565D5"/>
    <w:rsid w:val="00257165"/>
    <w:rsid w:val="00257415"/>
    <w:rsid w:val="00257C39"/>
    <w:rsid w:val="00260A00"/>
    <w:rsid w:val="002622C0"/>
    <w:rsid w:val="00262ACE"/>
    <w:rsid w:val="00262D2E"/>
    <w:rsid w:val="00264444"/>
    <w:rsid w:val="00264F9B"/>
    <w:rsid w:val="00272D74"/>
    <w:rsid w:val="00273BCC"/>
    <w:rsid w:val="002759BB"/>
    <w:rsid w:val="00276A58"/>
    <w:rsid w:val="00276B08"/>
    <w:rsid w:val="002778AE"/>
    <w:rsid w:val="0028022A"/>
    <w:rsid w:val="00281919"/>
    <w:rsid w:val="00281CBF"/>
    <w:rsid w:val="002823F5"/>
    <w:rsid w:val="002824CB"/>
    <w:rsid w:val="0028269A"/>
    <w:rsid w:val="00283590"/>
    <w:rsid w:val="00284C66"/>
    <w:rsid w:val="00286973"/>
    <w:rsid w:val="00286E63"/>
    <w:rsid w:val="002904AF"/>
    <w:rsid w:val="00292FE9"/>
    <w:rsid w:val="002943B9"/>
    <w:rsid w:val="00294E70"/>
    <w:rsid w:val="00295DCE"/>
    <w:rsid w:val="00296B8D"/>
    <w:rsid w:val="00296FB8"/>
    <w:rsid w:val="002A06B3"/>
    <w:rsid w:val="002A14F4"/>
    <w:rsid w:val="002A1924"/>
    <w:rsid w:val="002A33AD"/>
    <w:rsid w:val="002A7420"/>
    <w:rsid w:val="002B0F12"/>
    <w:rsid w:val="002B1308"/>
    <w:rsid w:val="002B4449"/>
    <w:rsid w:val="002B4554"/>
    <w:rsid w:val="002B4FE3"/>
    <w:rsid w:val="002B607A"/>
    <w:rsid w:val="002B6C00"/>
    <w:rsid w:val="002B787C"/>
    <w:rsid w:val="002C1D3D"/>
    <w:rsid w:val="002C1D92"/>
    <w:rsid w:val="002C2696"/>
    <w:rsid w:val="002C2CD0"/>
    <w:rsid w:val="002C72D8"/>
    <w:rsid w:val="002D11FA"/>
    <w:rsid w:val="002D2CDF"/>
    <w:rsid w:val="002D3746"/>
    <w:rsid w:val="002D545A"/>
    <w:rsid w:val="002D7E01"/>
    <w:rsid w:val="002E0DDF"/>
    <w:rsid w:val="002E1605"/>
    <w:rsid w:val="002E2906"/>
    <w:rsid w:val="002E4693"/>
    <w:rsid w:val="002E53AA"/>
    <w:rsid w:val="002E5635"/>
    <w:rsid w:val="002E60AA"/>
    <w:rsid w:val="002E64C3"/>
    <w:rsid w:val="002E6A2C"/>
    <w:rsid w:val="002F1D8C"/>
    <w:rsid w:val="002F21DA"/>
    <w:rsid w:val="002F31F1"/>
    <w:rsid w:val="002F3F0D"/>
    <w:rsid w:val="002F42E2"/>
    <w:rsid w:val="002F4512"/>
    <w:rsid w:val="002F57F3"/>
    <w:rsid w:val="002F7547"/>
    <w:rsid w:val="00301F39"/>
    <w:rsid w:val="00304F7A"/>
    <w:rsid w:val="00305812"/>
    <w:rsid w:val="00305CAD"/>
    <w:rsid w:val="003073E0"/>
    <w:rsid w:val="00310478"/>
    <w:rsid w:val="00317A37"/>
    <w:rsid w:val="00320061"/>
    <w:rsid w:val="0032071A"/>
    <w:rsid w:val="003210B3"/>
    <w:rsid w:val="00325926"/>
    <w:rsid w:val="00327A8A"/>
    <w:rsid w:val="0033558C"/>
    <w:rsid w:val="00336610"/>
    <w:rsid w:val="00343474"/>
    <w:rsid w:val="00343F73"/>
    <w:rsid w:val="00345060"/>
    <w:rsid w:val="003452FE"/>
    <w:rsid w:val="00350BC9"/>
    <w:rsid w:val="00352855"/>
    <w:rsid w:val="0035323B"/>
    <w:rsid w:val="00355053"/>
    <w:rsid w:val="00356876"/>
    <w:rsid w:val="003609D2"/>
    <w:rsid w:val="00363F22"/>
    <w:rsid w:val="003650D5"/>
    <w:rsid w:val="003659A4"/>
    <w:rsid w:val="00366BD3"/>
    <w:rsid w:val="003732A9"/>
    <w:rsid w:val="0037473D"/>
    <w:rsid w:val="00374772"/>
    <w:rsid w:val="00375564"/>
    <w:rsid w:val="003755C8"/>
    <w:rsid w:val="00376199"/>
    <w:rsid w:val="0037662F"/>
    <w:rsid w:val="0037675B"/>
    <w:rsid w:val="003768C0"/>
    <w:rsid w:val="00383191"/>
    <w:rsid w:val="00383331"/>
    <w:rsid w:val="003839CA"/>
    <w:rsid w:val="003852DB"/>
    <w:rsid w:val="00386DED"/>
    <w:rsid w:val="00387492"/>
    <w:rsid w:val="003912E7"/>
    <w:rsid w:val="0039140F"/>
    <w:rsid w:val="00392DCB"/>
    <w:rsid w:val="00393947"/>
    <w:rsid w:val="00393B6F"/>
    <w:rsid w:val="00394BE3"/>
    <w:rsid w:val="00395837"/>
    <w:rsid w:val="003976FA"/>
    <w:rsid w:val="003A1A8D"/>
    <w:rsid w:val="003A1F65"/>
    <w:rsid w:val="003A2275"/>
    <w:rsid w:val="003A3F2D"/>
    <w:rsid w:val="003A48CA"/>
    <w:rsid w:val="003A5141"/>
    <w:rsid w:val="003A6A4F"/>
    <w:rsid w:val="003A6F2B"/>
    <w:rsid w:val="003A7088"/>
    <w:rsid w:val="003B00DF"/>
    <w:rsid w:val="003B1275"/>
    <w:rsid w:val="003B1778"/>
    <w:rsid w:val="003B217D"/>
    <w:rsid w:val="003B2AAA"/>
    <w:rsid w:val="003B6E6A"/>
    <w:rsid w:val="003C11CB"/>
    <w:rsid w:val="003C5654"/>
    <w:rsid w:val="003C75F3"/>
    <w:rsid w:val="003C78A3"/>
    <w:rsid w:val="003D27D0"/>
    <w:rsid w:val="003D4A35"/>
    <w:rsid w:val="003D4E71"/>
    <w:rsid w:val="003D721E"/>
    <w:rsid w:val="003E0D6C"/>
    <w:rsid w:val="003E1867"/>
    <w:rsid w:val="003E4AA4"/>
    <w:rsid w:val="003E5000"/>
    <w:rsid w:val="003E5729"/>
    <w:rsid w:val="003E5A57"/>
    <w:rsid w:val="003E6132"/>
    <w:rsid w:val="003F10C2"/>
    <w:rsid w:val="003F4EE0"/>
    <w:rsid w:val="00400C28"/>
    <w:rsid w:val="00402153"/>
    <w:rsid w:val="00402FC1"/>
    <w:rsid w:val="004044B1"/>
    <w:rsid w:val="00406823"/>
    <w:rsid w:val="00412F61"/>
    <w:rsid w:val="004134CE"/>
    <w:rsid w:val="004134DD"/>
    <w:rsid w:val="004145B9"/>
    <w:rsid w:val="004166CD"/>
    <w:rsid w:val="0041793A"/>
    <w:rsid w:val="00422818"/>
    <w:rsid w:val="00423779"/>
    <w:rsid w:val="00423ACB"/>
    <w:rsid w:val="00423DBC"/>
    <w:rsid w:val="00425082"/>
    <w:rsid w:val="00425D4A"/>
    <w:rsid w:val="004304D0"/>
    <w:rsid w:val="00430C53"/>
    <w:rsid w:val="00431DEB"/>
    <w:rsid w:val="0043287C"/>
    <w:rsid w:val="00433284"/>
    <w:rsid w:val="004406DB"/>
    <w:rsid w:val="0044482E"/>
    <w:rsid w:val="00446B29"/>
    <w:rsid w:val="00447338"/>
    <w:rsid w:val="004509E6"/>
    <w:rsid w:val="00450FC1"/>
    <w:rsid w:val="00453F9A"/>
    <w:rsid w:val="0045659F"/>
    <w:rsid w:val="00456804"/>
    <w:rsid w:val="00457E66"/>
    <w:rsid w:val="0047154E"/>
    <w:rsid w:val="0047182B"/>
    <w:rsid w:val="00471CDE"/>
    <w:rsid w:val="00471E91"/>
    <w:rsid w:val="00472AF6"/>
    <w:rsid w:val="00472C61"/>
    <w:rsid w:val="00472C6E"/>
    <w:rsid w:val="00474675"/>
    <w:rsid w:val="0047470C"/>
    <w:rsid w:val="004764AB"/>
    <w:rsid w:val="00476C85"/>
    <w:rsid w:val="0047745F"/>
    <w:rsid w:val="0048305A"/>
    <w:rsid w:val="00485828"/>
    <w:rsid w:val="00485FC5"/>
    <w:rsid w:val="0048674E"/>
    <w:rsid w:val="00487D55"/>
    <w:rsid w:val="00490762"/>
    <w:rsid w:val="00493E1A"/>
    <w:rsid w:val="00496C81"/>
    <w:rsid w:val="004A029F"/>
    <w:rsid w:val="004A0900"/>
    <w:rsid w:val="004A2EB0"/>
    <w:rsid w:val="004A35F9"/>
    <w:rsid w:val="004A44B5"/>
    <w:rsid w:val="004B1107"/>
    <w:rsid w:val="004B1EA1"/>
    <w:rsid w:val="004B24C1"/>
    <w:rsid w:val="004B3527"/>
    <w:rsid w:val="004B4141"/>
    <w:rsid w:val="004B64FF"/>
    <w:rsid w:val="004B7A61"/>
    <w:rsid w:val="004C0D57"/>
    <w:rsid w:val="004C0DE4"/>
    <w:rsid w:val="004C1A06"/>
    <w:rsid w:val="004C292F"/>
    <w:rsid w:val="004C52B4"/>
    <w:rsid w:val="004C6D21"/>
    <w:rsid w:val="004C7B30"/>
    <w:rsid w:val="004D197C"/>
    <w:rsid w:val="004D4EE4"/>
    <w:rsid w:val="004D57B9"/>
    <w:rsid w:val="004E0A76"/>
    <w:rsid w:val="004E1A42"/>
    <w:rsid w:val="004E27F1"/>
    <w:rsid w:val="004E4034"/>
    <w:rsid w:val="004E504F"/>
    <w:rsid w:val="004E7695"/>
    <w:rsid w:val="004F10FB"/>
    <w:rsid w:val="004F11CA"/>
    <w:rsid w:val="004F383E"/>
    <w:rsid w:val="004F70AC"/>
    <w:rsid w:val="00500A34"/>
    <w:rsid w:val="005021A4"/>
    <w:rsid w:val="0050388C"/>
    <w:rsid w:val="0050432F"/>
    <w:rsid w:val="00506B12"/>
    <w:rsid w:val="005075FB"/>
    <w:rsid w:val="00507A14"/>
    <w:rsid w:val="00510280"/>
    <w:rsid w:val="005107C9"/>
    <w:rsid w:val="00511C85"/>
    <w:rsid w:val="00513480"/>
    <w:rsid w:val="00513D73"/>
    <w:rsid w:val="00513E63"/>
    <w:rsid w:val="00514A43"/>
    <w:rsid w:val="005171C8"/>
    <w:rsid w:val="005174E5"/>
    <w:rsid w:val="00522393"/>
    <w:rsid w:val="00522620"/>
    <w:rsid w:val="00522F9A"/>
    <w:rsid w:val="00523671"/>
    <w:rsid w:val="00525656"/>
    <w:rsid w:val="00525D3A"/>
    <w:rsid w:val="00530D66"/>
    <w:rsid w:val="005331FF"/>
    <w:rsid w:val="00534C02"/>
    <w:rsid w:val="00534D29"/>
    <w:rsid w:val="00534EC9"/>
    <w:rsid w:val="005368BA"/>
    <w:rsid w:val="005410B8"/>
    <w:rsid w:val="0054264B"/>
    <w:rsid w:val="00542735"/>
    <w:rsid w:val="00543786"/>
    <w:rsid w:val="00550AC2"/>
    <w:rsid w:val="005533D7"/>
    <w:rsid w:val="00554619"/>
    <w:rsid w:val="005550A7"/>
    <w:rsid w:val="00560E0C"/>
    <w:rsid w:val="005611ED"/>
    <w:rsid w:val="005650DB"/>
    <w:rsid w:val="00565346"/>
    <w:rsid w:val="005703DE"/>
    <w:rsid w:val="00570C96"/>
    <w:rsid w:val="0057259E"/>
    <w:rsid w:val="00575169"/>
    <w:rsid w:val="00575231"/>
    <w:rsid w:val="0057763D"/>
    <w:rsid w:val="00580B6B"/>
    <w:rsid w:val="005828EB"/>
    <w:rsid w:val="0058464E"/>
    <w:rsid w:val="00587FD0"/>
    <w:rsid w:val="00592C13"/>
    <w:rsid w:val="005A01CB"/>
    <w:rsid w:val="005A200B"/>
    <w:rsid w:val="005A2B74"/>
    <w:rsid w:val="005A3C64"/>
    <w:rsid w:val="005A58FF"/>
    <w:rsid w:val="005A5BD3"/>
    <w:rsid w:val="005A5EAF"/>
    <w:rsid w:val="005A64C0"/>
    <w:rsid w:val="005A7996"/>
    <w:rsid w:val="005B0387"/>
    <w:rsid w:val="005B1AD6"/>
    <w:rsid w:val="005B3747"/>
    <w:rsid w:val="005B3C11"/>
    <w:rsid w:val="005B3CB5"/>
    <w:rsid w:val="005B73B1"/>
    <w:rsid w:val="005C1190"/>
    <w:rsid w:val="005C1C28"/>
    <w:rsid w:val="005C3767"/>
    <w:rsid w:val="005C40BF"/>
    <w:rsid w:val="005C6DB5"/>
    <w:rsid w:val="005C7E1D"/>
    <w:rsid w:val="005D347A"/>
    <w:rsid w:val="005D49B1"/>
    <w:rsid w:val="005D4E43"/>
    <w:rsid w:val="005E0135"/>
    <w:rsid w:val="005E19E7"/>
    <w:rsid w:val="005E1B0E"/>
    <w:rsid w:val="005E6661"/>
    <w:rsid w:val="005E71F4"/>
    <w:rsid w:val="005E7A66"/>
    <w:rsid w:val="005F1913"/>
    <w:rsid w:val="005F2504"/>
    <w:rsid w:val="005F3B58"/>
    <w:rsid w:val="005F593E"/>
    <w:rsid w:val="005F7EFC"/>
    <w:rsid w:val="0060055F"/>
    <w:rsid w:val="006036C9"/>
    <w:rsid w:val="00603CAD"/>
    <w:rsid w:val="006123BE"/>
    <w:rsid w:val="0061716C"/>
    <w:rsid w:val="006171EA"/>
    <w:rsid w:val="006243A1"/>
    <w:rsid w:val="0062654B"/>
    <w:rsid w:val="006268F1"/>
    <w:rsid w:val="006274A6"/>
    <w:rsid w:val="006304C9"/>
    <w:rsid w:val="0063111E"/>
    <w:rsid w:val="00631F5D"/>
    <w:rsid w:val="006329E2"/>
    <w:rsid w:val="00632E56"/>
    <w:rsid w:val="00635CBA"/>
    <w:rsid w:val="00636F0B"/>
    <w:rsid w:val="0063741A"/>
    <w:rsid w:val="0064177A"/>
    <w:rsid w:val="00641C62"/>
    <w:rsid w:val="006423A6"/>
    <w:rsid w:val="0064338B"/>
    <w:rsid w:val="006438AA"/>
    <w:rsid w:val="00645139"/>
    <w:rsid w:val="00646542"/>
    <w:rsid w:val="00646A44"/>
    <w:rsid w:val="00646A5E"/>
    <w:rsid w:val="006504F4"/>
    <w:rsid w:val="00651D37"/>
    <w:rsid w:val="00652A8E"/>
    <w:rsid w:val="00653CBB"/>
    <w:rsid w:val="00654BC9"/>
    <w:rsid w:val="006552FD"/>
    <w:rsid w:val="006554A5"/>
    <w:rsid w:val="006603DD"/>
    <w:rsid w:val="00661F88"/>
    <w:rsid w:val="00662954"/>
    <w:rsid w:val="00663AF3"/>
    <w:rsid w:val="006660DF"/>
    <w:rsid w:val="00666A10"/>
    <w:rsid w:val="00666B6C"/>
    <w:rsid w:val="00667E3E"/>
    <w:rsid w:val="00673D02"/>
    <w:rsid w:val="00676D9C"/>
    <w:rsid w:val="00682682"/>
    <w:rsid w:val="00682702"/>
    <w:rsid w:val="00682BBC"/>
    <w:rsid w:val="00683E45"/>
    <w:rsid w:val="006862EB"/>
    <w:rsid w:val="006915B7"/>
    <w:rsid w:val="006916B9"/>
    <w:rsid w:val="00692368"/>
    <w:rsid w:val="00692DB1"/>
    <w:rsid w:val="00692EAF"/>
    <w:rsid w:val="00695989"/>
    <w:rsid w:val="006A2EBC"/>
    <w:rsid w:val="006A363E"/>
    <w:rsid w:val="006A5EA0"/>
    <w:rsid w:val="006A61D0"/>
    <w:rsid w:val="006A6D2A"/>
    <w:rsid w:val="006A783B"/>
    <w:rsid w:val="006A7AEB"/>
    <w:rsid w:val="006A7B33"/>
    <w:rsid w:val="006B0009"/>
    <w:rsid w:val="006B233A"/>
    <w:rsid w:val="006B3B7D"/>
    <w:rsid w:val="006B47BB"/>
    <w:rsid w:val="006B4E13"/>
    <w:rsid w:val="006B72D6"/>
    <w:rsid w:val="006B75DD"/>
    <w:rsid w:val="006C1027"/>
    <w:rsid w:val="006C3EC4"/>
    <w:rsid w:val="006C5EC8"/>
    <w:rsid w:val="006C67E0"/>
    <w:rsid w:val="006C750E"/>
    <w:rsid w:val="006C7ABA"/>
    <w:rsid w:val="006D0D60"/>
    <w:rsid w:val="006D1122"/>
    <w:rsid w:val="006D3C00"/>
    <w:rsid w:val="006D6823"/>
    <w:rsid w:val="006D715A"/>
    <w:rsid w:val="006E3429"/>
    <w:rsid w:val="006E3675"/>
    <w:rsid w:val="006E41D1"/>
    <w:rsid w:val="006E4A7F"/>
    <w:rsid w:val="006E5E69"/>
    <w:rsid w:val="006F2AB3"/>
    <w:rsid w:val="006F2D6E"/>
    <w:rsid w:val="006F48BC"/>
    <w:rsid w:val="006F4AAC"/>
    <w:rsid w:val="006F7512"/>
    <w:rsid w:val="006F7E6E"/>
    <w:rsid w:val="00702335"/>
    <w:rsid w:val="00702D5C"/>
    <w:rsid w:val="007030D7"/>
    <w:rsid w:val="007046D1"/>
    <w:rsid w:val="00704DF6"/>
    <w:rsid w:val="0070651C"/>
    <w:rsid w:val="00707D93"/>
    <w:rsid w:val="00710179"/>
    <w:rsid w:val="0071145F"/>
    <w:rsid w:val="00711B5A"/>
    <w:rsid w:val="00712E84"/>
    <w:rsid w:val="007132A3"/>
    <w:rsid w:val="007132A6"/>
    <w:rsid w:val="00713707"/>
    <w:rsid w:val="00713807"/>
    <w:rsid w:val="007140B6"/>
    <w:rsid w:val="00716421"/>
    <w:rsid w:val="00716F3D"/>
    <w:rsid w:val="00717651"/>
    <w:rsid w:val="007176BF"/>
    <w:rsid w:val="00721550"/>
    <w:rsid w:val="007215E4"/>
    <w:rsid w:val="00722D17"/>
    <w:rsid w:val="00724EFB"/>
    <w:rsid w:val="00726C20"/>
    <w:rsid w:val="007323E9"/>
    <w:rsid w:val="00732949"/>
    <w:rsid w:val="00732C45"/>
    <w:rsid w:val="007419C3"/>
    <w:rsid w:val="007427E9"/>
    <w:rsid w:val="00743B4A"/>
    <w:rsid w:val="00744823"/>
    <w:rsid w:val="00745759"/>
    <w:rsid w:val="0074597F"/>
    <w:rsid w:val="007467A7"/>
    <w:rsid w:val="007469DD"/>
    <w:rsid w:val="00747275"/>
    <w:rsid w:val="0074741B"/>
    <w:rsid w:val="0074759E"/>
    <w:rsid w:val="0074782D"/>
    <w:rsid w:val="007478EA"/>
    <w:rsid w:val="007504E0"/>
    <w:rsid w:val="007529A3"/>
    <w:rsid w:val="00753560"/>
    <w:rsid w:val="00753E0E"/>
    <w:rsid w:val="0075415C"/>
    <w:rsid w:val="007541F5"/>
    <w:rsid w:val="007559C5"/>
    <w:rsid w:val="00756C08"/>
    <w:rsid w:val="00763424"/>
    <w:rsid w:val="00763502"/>
    <w:rsid w:val="00765463"/>
    <w:rsid w:val="00765465"/>
    <w:rsid w:val="00767371"/>
    <w:rsid w:val="00767D83"/>
    <w:rsid w:val="007716B8"/>
    <w:rsid w:val="00771B48"/>
    <w:rsid w:val="00774B1E"/>
    <w:rsid w:val="00774E9B"/>
    <w:rsid w:val="007778A8"/>
    <w:rsid w:val="0078195C"/>
    <w:rsid w:val="00783CAF"/>
    <w:rsid w:val="007848C5"/>
    <w:rsid w:val="00784DB9"/>
    <w:rsid w:val="0078535B"/>
    <w:rsid w:val="00787780"/>
    <w:rsid w:val="00787A89"/>
    <w:rsid w:val="007913AB"/>
    <w:rsid w:val="007914F7"/>
    <w:rsid w:val="00794C62"/>
    <w:rsid w:val="00795BF7"/>
    <w:rsid w:val="00796018"/>
    <w:rsid w:val="00797015"/>
    <w:rsid w:val="00797A81"/>
    <w:rsid w:val="007A2AD4"/>
    <w:rsid w:val="007A4933"/>
    <w:rsid w:val="007B0095"/>
    <w:rsid w:val="007B0C68"/>
    <w:rsid w:val="007B1625"/>
    <w:rsid w:val="007B260D"/>
    <w:rsid w:val="007B2AA6"/>
    <w:rsid w:val="007B330B"/>
    <w:rsid w:val="007B706E"/>
    <w:rsid w:val="007B71EB"/>
    <w:rsid w:val="007B7B0D"/>
    <w:rsid w:val="007B7F4D"/>
    <w:rsid w:val="007C0A15"/>
    <w:rsid w:val="007C2D77"/>
    <w:rsid w:val="007C31CC"/>
    <w:rsid w:val="007C44C3"/>
    <w:rsid w:val="007C487E"/>
    <w:rsid w:val="007C604B"/>
    <w:rsid w:val="007C6205"/>
    <w:rsid w:val="007C686A"/>
    <w:rsid w:val="007C728E"/>
    <w:rsid w:val="007D12D6"/>
    <w:rsid w:val="007D158A"/>
    <w:rsid w:val="007D2C53"/>
    <w:rsid w:val="007D3D60"/>
    <w:rsid w:val="007E0DE1"/>
    <w:rsid w:val="007E1980"/>
    <w:rsid w:val="007E45B1"/>
    <w:rsid w:val="007E4B76"/>
    <w:rsid w:val="007E4C8A"/>
    <w:rsid w:val="007E5445"/>
    <w:rsid w:val="007E5979"/>
    <w:rsid w:val="007E5EA8"/>
    <w:rsid w:val="007E6C5F"/>
    <w:rsid w:val="007E6D9C"/>
    <w:rsid w:val="007E6F67"/>
    <w:rsid w:val="007E7297"/>
    <w:rsid w:val="007E73D4"/>
    <w:rsid w:val="007F019E"/>
    <w:rsid w:val="007F0949"/>
    <w:rsid w:val="007F0CF1"/>
    <w:rsid w:val="007F12A5"/>
    <w:rsid w:val="007F2753"/>
    <w:rsid w:val="007F2D6D"/>
    <w:rsid w:val="007F35A0"/>
    <w:rsid w:val="007F39AA"/>
    <w:rsid w:val="007F3B0B"/>
    <w:rsid w:val="007F4CF1"/>
    <w:rsid w:val="007F5042"/>
    <w:rsid w:val="007F758D"/>
    <w:rsid w:val="007F7D52"/>
    <w:rsid w:val="00802398"/>
    <w:rsid w:val="0080654C"/>
    <w:rsid w:val="008071C6"/>
    <w:rsid w:val="008079ED"/>
    <w:rsid w:val="008109D6"/>
    <w:rsid w:val="00811750"/>
    <w:rsid w:val="00811850"/>
    <w:rsid w:val="008133C7"/>
    <w:rsid w:val="008143FB"/>
    <w:rsid w:val="00814E63"/>
    <w:rsid w:val="00815237"/>
    <w:rsid w:val="00817A00"/>
    <w:rsid w:val="00821C5F"/>
    <w:rsid w:val="0083374C"/>
    <w:rsid w:val="00834B6C"/>
    <w:rsid w:val="008350A8"/>
    <w:rsid w:val="00835DB3"/>
    <w:rsid w:val="0083617B"/>
    <w:rsid w:val="008365C4"/>
    <w:rsid w:val="008371BD"/>
    <w:rsid w:val="0084183F"/>
    <w:rsid w:val="008504A8"/>
    <w:rsid w:val="0085282E"/>
    <w:rsid w:val="008533B6"/>
    <w:rsid w:val="00853539"/>
    <w:rsid w:val="00855A6D"/>
    <w:rsid w:val="00857A3C"/>
    <w:rsid w:val="00857DC3"/>
    <w:rsid w:val="00862151"/>
    <w:rsid w:val="00864FB4"/>
    <w:rsid w:val="0086521D"/>
    <w:rsid w:val="00867158"/>
    <w:rsid w:val="00871037"/>
    <w:rsid w:val="00871514"/>
    <w:rsid w:val="0087198C"/>
    <w:rsid w:val="00872896"/>
    <w:rsid w:val="00872C1F"/>
    <w:rsid w:val="00873B42"/>
    <w:rsid w:val="00874106"/>
    <w:rsid w:val="008743BC"/>
    <w:rsid w:val="00874A40"/>
    <w:rsid w:val="008767F6"/>
    <w:rsid w:val="008770F5"/>
    <w:rsid w:val="00877177"/>
    <w:rsid w:val="0087773E"/>
    <w:rsid w:val="00880B73"/>
    <w:rsid w:val="00881800"/>
    <w:rsid w:val="0088194D"/>
    <w:rsid w:val="00882D2B"/>
    <w:rsid w:val="008835DD"/>
    <w:rsid w:val="00885289"/>
    <w:rsid w:val="008856D8"/>
    <w:rsid w:val="00890F86"/>
    <w:rsid w:val="00892E82"/>
    <w:rsid w:val="00894FC6"/>
    <w:rsid w:val="008A1614"/>
    <w:rsid w:val="008A4095"/>
    <w:rsid w:val="008B2B1E"/>
    <w:rsid w:val="008B326C"/>
    <w:rsid w:val="008C0D91"/>
    <w:rsid w:val="008C1AB4"/>
    <w:rsid w:val="008C1B58"/>
    <w:rsid w:val="008C38FE"/>
    <w:rsid w:val="008C3964"/>
    <w:rsid w:val="008C39AE"/>
    <w:rsid w:val="008C5848"/>
    <w:rsid w:val="008C590D"/>
    <w:rsid w:val="008C645E"/>
    <w:rsid w:val="008C786F"/>
    <w:rsid w:val="008D009D"/>
    <w:rsid w:val="008D0E45"/>
    <w:rsid w:val="008D250B"/>
    <w:rsid w:val="008D4EA9"/>
    <w:rsid w:val="008D6B0E"/>
    <w:rsid w:val="008E031B"/>
    <w:rsid w:val="008E07AB"/>
    <w:rsid w:val="008E118E"/>
    <w:rsid w:val="008E2359"/>
    <w:rsid w:val="008E2388"/>
    <w:rsid w:val="008E4014"/>
    <w:rsid w:val="008E60E2"/>
    <w:rsid w:val="008E7029"/>
    <w:rsid w:val="008E7EF6"/>
    <w:rsid w:val="008F1F98"/>
    <w:rsid w:val="008F5765"/>
    <w:rsid w:val="008F6758"/>
    <w:rsid w:val="00900900"/>
    <w:rsid w:val="00902A08"/>
    <w:rsid w:val="0090326F"/>
    <w:rsid w:val="00903AAD"/>
    <w:rsid w:val="009040DD"/>
    <w:rsid w:val="00905B47"/>
    <w:rsid w:val="00905FB6"/>
    <w:rsid w:val="00906F0A"/>
    <w:rsid w:val="0090711E"/>
    <w:rsid w:val="0091331C"/>
    <w:rsid w:val="0091457E"/>
    <w:rsid w:val="00916945"/>
    <w:rsid w:val="009202DF"/>
    <w:rsid w:val="00920F58"/>
    <w:rsid w:val="00922562"/>
    <w:rsid w:val="009236CF"/>
    <w:rsid w:val="009240E8"/>
    <w:rsid w:val="00924BA0"/>
    <w:rsid w:val="00927116"/>
    <w:rsid w:val="009279DE"/>
    <w:rsid w:val="00930116"/>
    <w:rsid w:val="009311C7"/>
    <w:rsid w:val="00933DC7"/>
    <w:rsid w:val="00934CEB"/>
    <w:rsid w:val="00935676"/>
    <w:rsid w:val="009363F2"/>
    <w:rsid w:val="0093742D"/>
    <w:rsid w:val="00937473"/>
    <w:rsid w:val="009375C7"/>
    <w:rsid w:val="00940FAC"/>
    <w:rsid w:val="00941421"/>
    <w:rsid w:val="0094184E"/>
    <w:rsid w:val="0094212C"/>
    <w:rsid w:val="009421BE"/>
    <w:rsid w:val="00942BFB"/>
    <w:rsid w:val="00944733"/>
    <w:rsid w:val="00946042"/>
    <w:rsid w:val="009504BC"/>
    <w:rsid w:val="009507F6"/>
    <w:rsid w:val="00951D89"/>
    <w:rsid w:val="009520CA"/>
    <w:rsid w:val="00953278"/>
    <w:rsid w:val="00954689"/>
    <w:rsid w:val="00955F71"/>
    <w:rsid w:val="009562D4"/>
    <w:rsid w:val="009602EB"/>
    <w:rsid w:val="009617C9"/>
    <w:rsid w:val="00961C93"/>
    <w:rsid w:val="00963087"/>
    <w:rsid w:val="00965324"/>
    <w:rsid w:val="00966C10"/>
    <w:rsid w:val="0096792B"/>
    <w:rsid w:val="0097091E"/>
    <w:rsid w:val="0097312C"/>
    <w:rsid w:val="00974246"/>
    <w:rsid w:val="00975D08"/>
    <w:rsid w:val="009760D3"/>
    <w:rsid w:val="00977132"/>
    <w:rsid w:val="009773E9"/>
    <w:rsid w:val="00980089"/>
    <w:rsid w:val="00980B45"/>
    <w:rsid w:val="00981A4B"/>
    <w:rsid w:val="00981B03"/>
    <w:rsid w:val="0098238C"/>
    <w:rsid w:val="00982501"/>
    <w:rsid w:val="0098485C"/>
    <w:rsid w:val="00985899"/>
    <w:rsid w:val="00985D50"/>
    <w:rsid w:val="00987386"/>
    <w:rsid w:val="009877D3"/>
    <w:rsid w:val="009949D9"/>
    <w:rsid w:val="00994AD9"/>
    <w:rsid w:val="00994E8F"/>
    <w:rsid w:val="009951DC"/>
    <w:rsid w:val="009959BB"/>
    <w:rsid w:val="00996669"/>
    <w:rsid w:val="009967CB"/>
    <w:rsid w:val="00997158"/>
    <w:rsid w:val="009A01D6"/>
    <w:rsid w:val="009A3753"/>
    <w:rsid w:val="009A3A7C"/>
    <w:rsid w:val="009A3DCF"/>
    <w:rsid w:val="009B0936"/>
    <w:rsid w:val="009B1486"/>
    <w:rsid w:val="009B2ADB"/>
    <w:rsid w:val="009B344C"/>
    <w:rsid w:val="009B603A"/>
    <w:rsid w:val="009B6585"/>
    <w:rsid w:val="009B6AFB"/>
    <w:rsid w:val="009B7DFB"/>
    <w:rsid w:val="009C0F68"/>
    <w:rsid w:val="009C2120"/>
    <w:rsid w:val="009C2D0E"/>
    <w:rsid w:val="009C391A"/>
    <w:rsid w:val="009C3DAC"/>
    <w:rsid w:val="009C42E0"/>
    <w:rsid w:val="009C4EEC"/>
    <w:rsid w:val="009C55DE"/>
    <w:rsid w:val="009C7DCB"/>
    <w:rsid w:val="009D0CC6"/>
    <w:rsid w:val="009D1689"/>
    <w:rsid w:val="009D20F3"/>
    <w:rsid w:val="009D28B6"/>
    <w:rsid w:val="009D2B49"/>
    <w:rsid w:val="009D3502"/>
    <w:rsid w:val="009D5362"/>
    <w:rsid w:val="009D617C"/>
    <w:rsid w:val="009E09B4"/>
    <w:rsid w:val="009E1415"/>
    <w:rsid w:val="009E1E7C"/>
    <w:rsid w:val="009E4174"/>
    <w:rsid w:val="009E4E89"/>
    <w:rsid w:val="009E5754"/>
    <w:rsid w:val="009E6116"/>
    <w:rsid w:val="009E61A4"/>
    <w:rsid w:val="009E6A1B"/>
    <w:rsid w:val="009F11B8"/>
    <w:rsid w:val="009F1B15"/>
    <w:rsid w:val="009F2170"/>
    <w:rsid w:val="009F26ED"/>
    <w:rsid w:val="009F4C79"/>
    <w:rsid w:val="009F51BD"/>
    <w:rsid w:val="009F73D8"/>
    <w:rsid w:val="009F7BA0"/>
    <w:rsid w:val="009F7FAF"/>
    <w:rsid w:val="00A002DE"/>
    <w:rsid w:val="00A00B9D"/>
    <w:rsid w:val="00A0112A"/>
    <w:rsid w:val="00A0163A"/>
    <w:rsid w:val="00A02E40"/>
    <w:rsid w:val="00A02E43"/>
    <w:rsid w:val="00A065F9"/>
    <w:rsid w:val="00A06BEC"/>
    <w:rsid w:val="00A07024"/>
    <w:rsid w:val="00A07F34"/>
    <w:rsid w:val="00A14D23"/>
    <w:rsid w:val="00A15157"/>
    <w:rsid w:val="00A17159"/>
    <w:rsid w:val="00A22154"/>
    <w:rsid w:val="00A24393"/>
    <w:rsid w:val="00A25C38"/>
    <w:rsid w:val="00A26308"/>
    <w:rsid w:val="00A26A96"/>
    <w:rsid w:val="00A27B20"/>
    <w:rsid w:val="00A34775"/>
    <w:rsid w:val="00A34D69"/>
    <w:rsid w:val="00A36BBE"/>
    <w:rsid w:val="00A37335"/>
    <w:rsid w:val="00A41191"/>
    <w:rsid w:val="00A4223D"/>
    <w:rsid w:val="00A4307A"/>
    <w:rsid w:val="00A43097"/>
    <w:rsid w:val="00A44B0E"/>
    <w:rsid w:val="00A44E5A"/>
    <w:rsid w:val="00A45C4B"/>
    <w:rsid w:val="00A47EBB"/>
    <w:rsid w:val="00A50675"/>
    <w:rsid w:val="00A51CDD"/>
    <w:rsid w:val="00A5275E"/>
    <w:rsid w:val="00A544B4"/>
    <w:rsid w:val="00A574AD"/>
    <w:rsid w:val="00A577E8"/>
    <w:rsid w:val="00A6107E"/>
    <w:rsid w:val="00A6162D"/>
    <w:rsid w:val="00A6394B"/>
    <w:rsid w:val="00A6730D"/>
    <w:rsid w:val="00A6746D"/>
    <w:rsid w:val="00A70183"/>
    <w:rsid w:val="00A711A2"/>
    <w:rsid w:val="00A71625"/>
    <w:rsid w:val="00A71B9B"/>
    <w:rsid w:val="00A71BD4"/>
    <w:rsid w:val="00A72ED2"/>
    <w:rsid w:val="00A74F76"/>
    <w:rsid w:val="00A751C7"/>
    <w:rsid w:val="00A7751E"/>
    <w:rsid w:val="00A828DE"/>
    <w:rsid w:val="00A85F7C"/>
    <w:rsid w:val="00A86318"/>
    <w:rsid w:val="00A87844"/>
    <w:rsid w:val="00A92ADF"/>
    <w:rsid w:val="00A94922"/>
    <w:rsid w:val="00A94C41"/>
    <w:rsid w:val="00A95432"/>
    <w:rsid w:val="00A95B7E"/>
    <w:rsid w:val="00A961C2"/>
    <w:rsid w:val="00A97D1F"/>
    <w:rsid w:val="00AA038C"/>
    <w:rsid w:val="00AA0A1E"/>
    <w:rsid w:val="00AA1737"/>
    <w:rsid w:val="00AA50F8"/>
    <w:rsid w:val="00AA56D5"/>
    <w:rsid w:val="00AA78F9"/>
    <w:rsid w:val="00AA7A09"/>
    <w:rsid w:val="00AA7AD2"/>
    <w:rsid w:val="00AB2D90"/>
    <w:rsid w:val="00AB2E67"/>
    <w:rsid w:val="00AB371E"/>
    <w:rsid w:val="00AB3B50"/>
    <w:rsid w:val="00AB3C6A"/>
    <w:rsid w:val="00AB48E9"/>
    <w:rsid w:val="00AC05B1"/>
    <w:rsid w:val="00AC6F5A"/>
    <w:rsid w:val="00AD2DFC"/>
    <w:rsid w:val="00AD356C"/>
    <w:rsid w:val="00AE0930"/>
    <w:rsid w:val="00AE2914"/>
    <w:rsid w:val="00AE42A9"/>
    <w:rsid w:val="00AE55A7"/>
    <w:rsid w:val="00AE6D15"/>
    <w:rsid w:val="00AE7BBA"/>
    <w:rsid w:val="00AF40A2"/>
    <w:rsid w:val="00AF4D12"/>
    <w:rsid w:val="00AF57D3"/>
    <w:rsid w:val="00AF58B8"/>
    <w:rsid w:val="00B00735"/>
    <w:rsid w:val="00B008F2"/>
    <w:rsid w:val="00B01D5B"/>
    <w:rsid w:val="00B01FF6"/>
    <w:rsid w:val="00B02F7B"/>
    <w:rsid w:val="00B0407A"/>
    <w:rsid w:val="00B04182"/>
    <w:rsid w:val="00B049B3"/>
    <w:rsid w:val="00B07AE3"/>
    <w:rsid w:val="00B10F4F"/>
    <w:rsid w:val="00B11430"/>
    <w:rsid w:val="00B12D55"/>
    <w:rsid w:val="00B13C6F"/>
    <w:rsid w:val="00B15940"/>
    <w:rsid w:val="00B30587"/>
    <w:rsid w:val="00B312BD"/>
    <w:rsid w:val="00B3352A"/>
    <w:rsid w:val="00B34238"/>
    <w:rsid w:val="00B34A96"/>
    <w:rsid w:val="00B353EB"/>
    <w:rsid w:val="00B4376E"/>
    <w:rsid w:val="00B439C4"/>
    <w:rsid w:val="00B450BF"/>
    <w:rsid w:val="00B4535E"/>
    <w:rsid w:val="00B476A2"/>
    <w:rsid w:val="00B50D6E"/>
    <w:rsid w:val="00B52A8C"/>
    <w:rsid w:val="00B52E91"/>
    <w:rsid w:val="00B53557"/>
    <w:rsid w:val="00B53C7E"/>
    <w:rsid w:val="00B60A4D"/>
    <w:rsid w:val="00B61939"/>
    <w:rsid w:val="00B6239F"/>
    <w:rsid w:val="00B62F14"/>
    <w:rsid w:val="00B636A8"/>
    <w:rsid w:val="00B651BB"/>
    <w:rsid w:val="00B66179"/>
    <w:rsid w:val="00B665C6"/>
    <w:rsid w:val="00B66FA5"/>
    <w:rsid w:val="00B679EE"/>
    <w:rsid w:val="00B73CB2"/>
    <w:rsid w:val="00B74AFC"/>
    <w:rsid w:val="00B74EB5"/>
    <w:rsid w:val="00B805AF"/>
    <w:rsid w:val="00B869EC"/>
    <w:rsid w:val="00B86D7D"/>
    <w:rsid w:val="00B9076F"/>
    <w:rsid w:val="00B9397A"/>
    <w:rsid w:val="00B95E90"/>
    <w:rsid w:val="00B9628B"/>
    <w:rsid w:val="00B9633D"/>
    <w:rsid w:val="00B97B2E"/>
    <w:rsid w:val="00B97F3D"/>
    <w:rsid w:val="00BA0ED7"/>
    <w:rsid w:val="00BA2C33"/>
    <w:rsid w:val="00BA2EBE"/>
    <w:rsid w:val="00BA32E8"/>
    <w:rsid w:val="00BA5F3B"/>
    <w:rsid w:val="00BA6E1A"/>
    <w:rsid w:val="00BA78BF"/>
    <w:rsid w:val="00BA7AB7"/>
    <w:rsid w:val="00BB0079"/>
    <w:rsid w:val="00BB0F28"/>
    <w:rsid w:val="00BB0F47"/>
    <w:rsid w:val="00BB41EA"/>
    <w:rsid w:val="00BB458A"/>
    <w:rsid w:val="00BB4FBE"/>
    <w:rsid w:val="00BB5F8A"/>
    <w:rsid w:val="00BC18E2"/>
    <w:rsid w:val="00BC1F55"/>
    <w:rsid w:val="00BD00D3"/>
    <w:rsid w:val="00BD1659"/>
    <w:rsid w:val="00BD1AA9"/>
    <w:rsid w:val="00BD3AA9"/>
    <w:rsid w:val="00BD4282"/>
    <w:rsid w:val="00BD4664"/>
    <w:rsid w:val="00BD4A18"/>
    <w:rsid w:val="00BD6DB2"/>
    <w:rsid w:val="00BE042B"/>
    <w:rsid w:val="00BE0FD5"/>
    <w:rsid w:val="00BE11CF"/>
    <w:rsid w:val="00BE21AB"/>
    <w:rsid w:val="00BE2E40"/>
    <w:rsid w:val="00BE4E0E"/>
    <w:rsid w:val="00BE55CB"/>
    <w:rsid w:val="00BE6653"/>
    <w:rsid w:val="00BF356A"/>
    <w:rsid w:val="00BF617A"/>
    <w:rsid w:val="00C0216D"/>
    <w:rsid w:val="00C0379D"/>
    <w:rsid w:val="00C03931"/>
    <w:rsid w:val="00C04EDE"/>
    <w:rsid w:val="00C05FE3"/>
    <w:rsid w:val="00C07EC7"/>
    <w:rsid w:val="00C10BF7"/>
    <w:rsid w:val="00C11D8A"/>
    <w:rsid w:val="00C13D45"/>
    <w:rsid w:val="00C13FE6"/>
    <w:rsid w:val="00C14A56"/>
    <w:rsid w:val="00C174F4"/>
    <w:rsid w:val="00C20D37"/>
    <w:rsid w:val="00C2136D"/>
    <w:rsid w:val="00C214EE"/>
    <w:rsid w:val="00C2314B"/>
    <w:rsid w:val="00C233BE"/>
    <w:rsid w:val="00C23EAB"/>
    <w:rsid w:val="00C245FE"/>
    <w:rsid w:val="00C24971"/>
    <w:rsid w:val="00C26BE5"/>
    <w:rsid w:val="00C26E4D"/>
    <w:rsid w:val="00C27909"/>
    <w:rsid w:val="00C27B03"/>
    <w:rsid w:val="00C3025F"/>
    <w:rsid w:val="00C306CC"/>
    <w:rsid w:val="00C31028"/>
    <w:rsid w:val="00C314E1"/>
    <w:rsid w:val="00C31A79"/>
    <w:rsid w:val="00C32DD9"/>
    <w:rsid w:val="00C339D9"/>
    <w:rsid w:val="00C33EB7"/>
    <w:rsid w:val="00C34397"/>
    <w:rsid w:val="00C4095D"/>
    <w:rsid w:val="00C4339F"/>
    <w:rsid w:val="00C458E9"/>
    <w:rsid w:val="00C47CB7"/>
    <w:rsid w:val="00C5031A"/>
    <w:rsid w:val="00C543C0"/>
    <w:rsid w:val="00C54EA9"/>
    <w:rsid w:val="00C55F2B"/>
    <w:rsid w:val="00C5655B"/>
    <w:rsid w:val="00C56DF0"/>
    <w:rsid w:val="00C57E10"/>
    <w:rsid w:val="00C601D2"/>
    <w:rsid w:val="00C60B6C"/>
    <w:rsid w:val="00C613DE"/>
    <w:rsid w:val="00C61CA0"/>
    <w:rsid w:val="00C61E58"/>
    <w:rsid w:val="00C6236C"/>
    <w:rsid w:val="00C636F9"/>
    <w:rsid w:val="00C64E94"/>
    <w:rsid w:val="00C657AB"/>
    <w:rsid w:val="00C65BCC"/>
    <w:rsid w:val="00C66970"/>
    <w:rsid w:val="00C7054D"/>
    <w:rsid w:val="00C70E2C"/>
    <w:rsid w:val="00C715E4"/>
    <w:rsid w:val="00C721DD"/>
    <w:rsid w:val="00C73BC7"/>
    <w:rsid w:val="00C74AB3"/>
    <w:rsid w:val="00C74BF3"/>
    <w:rsid w:val="00C76191"/>
    <w:rsid w:val="00C778A9"/>
    <w:rsid w:val="00C77B57"/>
    <w:rsid w:val="00C8585D"/>
    <w:rsid w:val="00C864EA"/>
    <w:rsid w:val="00C8691C"/>
    <w:rsid w:val="00C86A9E"/>
    <w:rsid w:val="00C90606"/>
    <w:rsid w:val="00C95B40"/>
    <w:rsid w:val="00C966B8"/>
    <w:rsid w:val="00C9790C"/>
    <w:rsid w:val="00CA168A"/>
    <w:rsid w:val="00CA357E"/>
    <w:rsid w:val="00CA44F9"/>
    <w:rsid w:val="00CA4A69"/>
    <w:rsid w:val="00CB07F4"/>
    <w:rsid w:val="00CB0F15"/>
    <w:rsid w:val="00CB2D67"/>
    <w:rsid w:val="00CB36C4"/>
    <w:rsid w:val="00CB3790"/>
    <w:rsid w:val="00CB39D9"/>
    <w:rsid w:val="00CB40FD"/>
    <w:rsid w:val="00CB449D"/>
    <w:rsid w:val="00CC150A"/>
    <w:rsid w:val="00CC2EE7"/>
    <w:rsid w:val="00CC3E0C"/>
    <w:rsid w:val="00CC4A49"/>
    <w:rsid w:val="00CC58D3"/>
    <w:rsid w:val="00CC784D"/>
    <w:rsid w:val="00CC7B8E"/>
    <w:rsid w:val="00CD11C6"/>
    <w:rsid w:val="00CD2F47"/>
    <w:rsid w:val="00CD3B5B"/>
    <w:rsid w:val="00CD4004"/>
    <w:rsid w:val="00CD761D"/>
    <w:rsid w:val="00CE0361"/>
    <w:rsid w:val="00CE2006"/>
    <w:rsid w:val="00CE4C77"/>
    <w:rsid w:val="00CE51F7"/>
    <w:rsid w:val="00CE70DC"/>
    <w:rsid w:val="00CF019B"/>
    <w:rsid w:val="00CF15CF"/>
    <w:rsid w:val="00CF3124"/>
    <w:rsid w:val="00CF40EE"/>
    <w:rsid w:val="00D0337B"/>
    <w:rsid w:val="00D04F64"/>
    <w:rsid w:val="00D05B87"/>
    <w:rsid w:val="00D079B2"/>
    <w:rsid w:val="00D114E9"/>
    <w:rsid w:val="00D11A67"/>
    <w:rsid w:val="00D11FDA"/>
    <w:rsid w:val="00D12894"/>
    <w:rsid w:val="00D17FC8"/>
    <w:rsid w:val="00D221F1"/>
    <w:rsid w:val="00D2393C"/>
    <w:rsid w:val="00D242F8"/>
    <w:rsid w:val="00D26774"/>
    <w:rsid w:val="00D32F43"/>
    <w:rsid w:val="00D34E6B"/>
    <w:rsid w:val="00D3693A"/>
    <w:rsid w:val="00D3790D"/>
    <w:rsid w:val="00D37A4C"/>
    <w:rsid w:val="00D414A3"/>
    <w:rsid w:val="00D41BB5"/>
    <w:rsid w:val="00D41CD3"/>
    <w:rsid w:val="00D429C6"/>
    <w:rsid w:val="00D47748"/>
    <w:rsid w:val="00D51C69"/>
    <w:rsid w:val="00D54CC3"/>
    <w:rsid w:val="00D567B0"/>
    <w:rsid w:val="00D6041A"/>
    <w:rsid w:val="00D61303"/>
    <w:rsid w:val="00D633EB"/>
    <w:rsid w:val="00D64BDC"/>
    <w:rsid w:val="00D65F17"/>
    <w:rsid w:val="00D6622D"/>
    <w:rsid w:val="00D70657"/>
    <w:rsid w:val="00D7105D"/>
    <w:rsid w:val="00D71C2B"/>
    <w:rsid w:val="00D72991"/>
    <w:rsid w:val="00D72B18"/>
    <w:rsid w:val="00D72D8F"/>
    <w:rsid w:val="00D75BE0"/>
    <w:rsid w:val="00D77237"/>
    <w:rsid w:val="00D807EC"/>
    <w:rsid w:val="00D82FF7"/>
    <w:rsid w:val="00D83842"/>
    <w:rsid w:val="00D842DC"/>
    <w:rsid w:val="00D847FE"/>
    <w:rsid w:val="00D85F8E"/>
    <w:rsid w:val="00D86EC2"/>
    <w:rsid w:val="00D91AE7"/>
    <w:rsid w:val="00D9561C"/>
    <w:rsid w:val="00D964EA"/>
    <w:rsid w:val="00D966D0"/>
    <w:rsid w:val="00DA0C59"/>
    <w:rsid w:val="00DA18F5"/>
    <w:rsid w:val="00DA3726"/>
    <w:rsid w:val="00DA3991"/>
    <w:rsid w:val="00DA43C3"/>
    <w:rsid w:val="00DA501C"/>
    <w:rsid w:val="00DA7D46"/>
    <w:rsid w:val="00DB0065"/>
    <w:rsid w:val="00DB12DE"/>
    <w:rsid w:val="00DB3FCA"/>
    <w:rsid w:val="00DB4ACC"/>
    <w:rsid w:val="00DB5F1D"/>
    <w:rsid w:val="00DB695F"/>
    <w:rsid w:val="00DB7566"/>
    <w:rsid w:val="00DB7C0B"/>
    <w:rsid w:val="00DB7E6C"/>
    <w:rsid w:val="00DC1267"/>
    <w:rsid w:val="00DC3B61"/>
    <w:rsid w:val="00DC4380"/>
    <w:rsid w:val="00DC4591"/>
    <w:rsid w:val="00DC5AAD"/>
    <w:rsid w:val="00DC5BC6"/>
    <w:rsid w:val="00DC6B50"/>
    <w:rsid w:val="00DC6D7E"/>
    <w:rsid w:val="00DD09D2"/>
    <w:rsid w:val="00DD296D"/>
    <w:rsid w:val="00DD515E"/>
    <w:rsid w:val="00DD5A29"/>
    <w:rsid w:val="00DD5D9D"/>
    <w:rsid w:val="00DD7B37"/>
    <w:rsid w:val="00DE0460"/>
    <w:rsid w:val="00DE049D"/>
    <w:rsid w:val="00DE05E9"/>
    <w:rsid w:val="00DE1D3A"/>
    <w:rsid w:val="00DE1E8C"/>
    <w:rsid w:val="00DE35CB"/>
    <w:rsid w:val="00DE54C0"/>
    <w:rsid w:val="00DF1276"/>
    <w:rsid w:val="00DF20DB"/>
    <w:rsid w:val="00DF21E9"/>
    <w:rsid w:val="00DF3746"/>
    <w:rsid w:val="00DF3835"/>
    <w:rsid w:val="00DF45C6"/>
    <w:rsid w:val="00DF4689"/>
    <w:rsid w:val="00DF4F5F"/>
    <w:rsid w:val="00DF5466"/>
    <w:rsid w:val="00DF6EA0"/>
    <w:rsid w:val="00DF6F37"/>
    <w:rsid w:val="00E00F14"/>
    <w:rsid w:val="00E014DB"/>
    <w:rsid w:val="00E01E2C"/>
    <w:rsid w:val="00E06386"/>
    <w:rsid w:val="00E06724"/>
    <w:rsid w:val="00E06A22"/>
    <w:rsid w:val="00E1006D"/>
    <w:rsid w:val="00E12ED5"/>
    <w:rsid w:val="00E135B9"/>
    <w:rsid w:val="00E14A3A"/>
    <w:rsid w:val="00E17B5B"/>
    <w:rsid w:val="00E20F3F"/>
    <w:rsid w:val="00E21E26"/>
    <w:rsid w:val="00E24EB4"/>
    <w:rsid w:val="00E24FB8"/>
    <w:rsid w:val="00E320ED"/>
    <w:rsid w:val="00E32DF6"/>
    <w:rsid w:val="00E33AFB"/>
    <w:rsid w:val="00E34218"/>
    <w:rsid w:val="00E36B6A"/>
    <w:rsid w:val="00E376D7"/>
    <w:rsid w:val="00E379D0"/>
    <w:rsid w:val="00E41C10"/>
    <w:rsid w:val="00E42989"/>
    <w:rsid w:val="00E446AE"/>
    <w:rsid w:val="00E46282"/>
    <w:rsid w:val="00E479CA"/>
    <w:rsid w:val="00E47C2A"/>
    <w:rsid w:val="00E47E10"/>
    <w:rsid w:val="00E51468"/>
    <w:rsid w:val="00E5216E"/>
    <w:rsid w:val="00E534B5"/>
    <w:rsid w:val="00E56F4A"/>
    <w:rsid w:val="00E57BBB"/>
    <w:rsid w:val="00E57E92"/>
    <w:rsid w:val="00E608D9"/>
    <w:rsid w:val="00E60B84"/>
    <w:rsid w:val="00E628AD"/>
    <w:rsid w:val="00E70631"/>
    <w:rsid w:val="00E719BF"/>
    <w:rsid w:val="00E72A9E"/>
    <w:rsid w:val="00E76C52"/>
    <w:rsid w:val="00E82344"/>
    <w:rsid w:val="00E84C82"/>
    <w:rsid w:val="00E84D64"/>
    <w:rsid w:val="00E8693F"/>
    <w:rsid w:val="00E87408"/>
    <w:rsid w:val="00E902FC"/>
    <w:rsid w:val="00E914C4"/>
    <w:rsid w:val="00E91B3A"/>
    <w:rsid w:val="00E934F5"/>
    <w:rsid w:val="00E944E7"/>
    <w:rsid w:val="00E9588F"/>
    <w:rsid w:val="00E96961"/>
    <w:rsid w:val="00EA684C"/>
    <w:rsid w:val="00EA72EC"/>
    <w:rsid w:val="00EB04E1"/>
    <w:rsid w:val="00EB11CB"/>
    <w:rsid w:val="00EB275A"/>
    <w:rsid w:val="00EB3738"/>
    <w:rsid w:val="00EB3E99"/>
    <w:rsid w:val="00EB6435"/>
    <w:rsid w:val="00EB786A"/>
    <w:rsid w:val="00EC1578"/>
    <w:rsid w:val="00EC1C72"/>
    <w:rsid w:val="00EC2945"/>
    <w:rsid w:val="00EC3CC9"/>
    <w:rsid w:val="00EC43E5"/>
    <w:rsid w:val="00EC680A"/>
    <w:rsid w:val="00EC6E99"/>
    <w:rsid w:val="00ED0130"/>
    <w:rsid w:val="00ED099F"/>
    <w:rsid w:val="00ED1196"/>
    <w:rsid w:val="00ED5F95"/>
    <w:rsid w:val="00ED7AEE"/>
    <w:rsid w:val="00EE1BF1"/>
    <w:rsid w:val="00EE205B"/>
    <w:rsid w:val="00EE2BED"/>
    <w:rsid w:val="00EE3414"/>
    <w:rsid w:val="00EE374B"/>
    <w:rsid w:val="00EE4591"/>
    <w:rsid w:val="00EE4805"/>
    <w:rsid w:val="00EE59FB"/>
    <w:rsid w:val="00EE7CF4"/>
    <w:rsid w:val="00EF10F8"/>
    <w:rsid w:val="00EF58BA"/>
    <w:rsid w:val="00EF7629"/>
    <w:rsid w:val="00F01332"/>
    <w:rsid w:val="00F06F45"/>
    <w:rsid w:val="00F11BB5"/>
    <w:rsid w:val="00F12C32"/>
    <w:rsid w:val="00F13869"/>
    <w:rsid w:val="00F1417B"/>
    <w:rsid w:val="00F15743"/>
    <w:rsid w:val="00F1667A"/>
    <w:rsid w:val="00F1787C"/>
    <w:rsid w:val="00F27CEA"/>
    <w:rsid w:val="00F3390A"/>
    <w:rsid w:val="00F34B99"/>
    <w:rsid w:val="00F37A7F"/>
    <w:rsid w:val="00F4053A"/>
    <w:rsid w:val="00F420F2"/>
    <w:rsid w:val="00F44DD5"/>
    <w:rsid w:val="00F44F85"/>
    <w:rsid w:val="00F469B1"/>
    <w:rsid w:val="00F506E9"/>
    <w:rsid w:val="00F50FFC"/>
    <w:rsid w:val="00F510E6"/>
    <w:rsid w:val="00F52A16"/>
    <w:rsid w:val="00F52DAB"/>
    <w:rsid w:val="00F54196"/>
    <w:rsid w:val="00F543F0"/>
    <w:rsid w:val="00F55827"/>
    <w:rsid w:val="00F605B5"/>
    <w:rsid w:val="00F6373D"/>
    <w:rsid w:val="00F66F8F"/>
    <w:rsid w:val="00F67CCD"/>
    <w:rsid w:val="00F72314"/>
    <w:rsid w:val="00F737AD"/>
    <w:rsid w:val="00F75281"/>
    <w:rsid w:val="00F75807"/>
    <w:rsid w:val="00F76769"/>
    <w:rsid w:val="00F801FB"/>
    <w:rsid w:val="00F808F8"/>
    <w:rsid w:val="00F81158"/>
    <w:rsid w:val="00F81D29"/>
    <w:rsid w:val="00F81D61"/>
    <w:rsid w:val="00F81DC8"/>
    <w:rsid w:val="00F820C9"/>
    <w:rsid w:val="00F835D7"/>
    <w:rsid w:val="00F90061"/>
    <w:rsid w:val="00F9060D"/>
    <w:rsid w:val="00F91C4D"/>
    <w:rsid w:val="00F928AB"/>
    <w:rsid w:val="00F92FD9"/>
    <w:rsid w:val="00F93510"/>
    <w:rsid w:val="00F94BCF"/>
    <w:rsid w:val="00F96BC5"/>
    <w:rsid w:val="00F976AD"/>
    <w:rsid w:val="00FA03D9"/>
    <w:rsid w:val="00FA1947"/>
    <w:rsid w:val="00FA2541"/>
    <w:rsid w:val="00FA3D95"/>
    <w:rsid w:val="00FA42EF"/>
    <w:rsid w:val="00FA6470"/>
    <w:rsid w:val="00FA6684"/>
    <w:rsid w:val="00FA705E"/>
    <w:rsid w:val="00FA731E"/>
    <w:rsid w:val="00FB046B"/>
    <w:rsid w:val="00FB0B66"/>
    <w:rsid w:val="00FB1366"/>
    <w:rsid w:val="00FB1A48"/>
    <w:rsid w:val="00FB2B38"/>
    <w:rsid w:val="00FB3791"/>
    <w:rsid w:val="00FB630F"/>
    <w:rsid w:val="00FB653E"/>
    <w:rsid w:val="00FC4B70"/>
    <w:rsid w:val="00FC6358"/>
    <w:rsid w:val="00FC6C90"/>
    <w:rsid w:val="00FD04BB"/>
    <w:rsid w:val="00FD320D"/>
    <w:rsid w:val="00FD570D"/>
    <w:rsid w:val="00FD7850"/>
    <w:rsid w:val="00FE05C6"/>
    <w:rsid w:val="00FE06DA"/>
    <w:rsid w:val="00FE1498"/>
    <w:rsid w:val="00FE23DE"/>
    <w:rsid w:val="00FE3ACA"/>
    <w:rsid w:val="00FF5141"/>
    <w:rsid w:val="01064223"/>
    <w:rsid w:val="018E296F"/>
    <w:rsid w:val="01AF70E0"/>
    <w:rsid w:val="01F5451E"/>
    <w:rsid w:val="02821AAD"/>
    <w:rsid w:val="028E23C4"/>
    <w:rsid w:val="028F3886"/>
    <w:rsid w:val="02E1269B"/>
    <w:rsid w:val="037651A6"/>
    <w:rsid w:val="039A2F5F"/>
    <w:rsid w:val="045A39B8"/>
    <w:rsid w:val="050038AF"/>
    <w:rsid w:val="05EE467B"/>
    <w:rsid w:val="06D74792"/>
    <w:rsid w:val="06E81484"/>
    <w:rsid w:val="08700A06"/>
    <w:rsid w:val="0872205A"/>
    <w:rsid w:val="087331A3"/>
    <w:rsid w:val="08777F05"/>
    <w:rsid w:val="09195E41"/>
    <w:rsid w:val="09237B0A"/>
    <w:rsid w:val="09715068"/>
    <w:rsid w:val="099D4F76"/>
    <w:rsid w:val="0A842761"/>
    <w:rsid w:val="0AD5676B"/>
    <w:rsid w:val="0B563426"/>
    <w:rsid w:val="0B623191"/>
    <w:rsid w:val="0B856E6A"/>
    <w:rsid w:val="0BD14BE2"/>
    <w:rsid w:val="0C68411F"/>
    <w:rsid w:val="0D0E7D87"/>
    <w:rsid w:val="0D341375"/>
    <w:rsid w:val="0D43731A"/>
    <w:rsid w:val="0D505C1B"/>
    <w:rsid w:val="0DD7773F"/>
    <w:rsid w:val="0DD913AA"/>
    <w:rsid w:val="0E8D76BF"/>
    <w:rsid w:val="0EA73071"/>
    <w:rsid w:val="0ECE0E49"/>
    <w:rsid w:val="0EED690A"/>
    <w:rsid w:val="0FC519C8"/>
    <w:rsid w:val="0FC76448"/>
    <w:rsid w:val="10633099"/>
    <w:rsid w:val="10AF6EE8"/>
    <w:rsid w:val="10FF3439"/>
    <w:rsid w:val="11AA401F"/>
    <w:rsid w:val="11AB4A2E"/>
    <w:rsid w:val="11C3320D"/>
    <w:rsid w:val="12553A49"/>
    <w:rsid w:val="12650FB6"/>
    <w:rsid w:val="128A1009"/>
    <w:rsid w:val="12F43040"/>
    <w:rsid w:val="13EE5AF3"/>
    <w:rsid w:val="1420580E"/>
    <w:rsid w:val="146D0E60"/>
    <w:rsid w:val="15485088"/>
    <w:rsid w:val="162305C1"/>
    <w:rsid w:val="16734728"/>
    <w:rsid w:val="16946B78"/>
    <w:rsid w:val="16CB4564"/>
    <w:rsid w:val="17544559"/>
    <w:rsid w:val="175C5B3C"/>
    <w:rsid w:val="176E0AB2"/>
    <w:rsid w:val="1771264D"/>
    <w:rsid w:val="182E640F"/>
    <w:rsid w:val="184A3267"/>
    <w:rsid w:val="1857698B"/>
    <w:rsid w:val="186D408B"/>
    <w:rsid w:val="18DC22BF"/>
    <w:rsid w:val="18E23A6B"/>
    <w:rsid w:val="18E613C1"/>
    <w:rsid w:val="18E96BB7"/>
    <w:rsid w:val="195A0361"/>
    <w:rsid w:val="196E2064"/>
    <w:rsid w:val="19F943D9"/>
    <w:rsid w:val="1A48512E"/>
    <w:rsid w:val="1A6104E1"/>
    <w:rsid w:val="1A61696C"/>
    <w:rsid w:val="1AE709DA"/>
    <w:rsid w:val="1B404546"/>
    <w:rsid w:val="1BDA270B"/>
    <w:rsid w:val="1C3B5CE8"/>
    <w:rsid w:val="1CC522C0"/>
    <w:rsid w:val="1DB93F2E"/>
    <w:rsid w:val="1E0A2BF9"/>
    <w:rsid w:val="1E7B29D8"/>
    <w:rsid w:val="1F3E57F5"/>
    <w:rsid w:val="1FC20171"/>
    <w:rsid w:val="200F301A"/>
    <w:rsid w:val="215C14F1"/>
    <w:rsid w:val="22890E44"/>
    <w:rsid w:val="22CF0F38"/>
    <w:rsid w:val="23841D23"/>
    <w:rsid w:val="23ED3D6C"/>
    <w:rsid w:val="23F1470E"/>
    <w:rsid w:val="24642242"/>
    <w:rsid w:val="24CD7E5B"/>
    <w:rsid w:val="24E608E4"/>
    <w:rsid w:val="25280948"/>
    <w:rsid w:val="25761B4C"/>
    <w:rsid w:val="25AA086D"/>
    <w:rsid w:val="25D52D09"/>
    <w:rsid w:val="25F5515A"/>
    <w:rsid w:val="264B49A0"/>
    <w:rsid w:val="26775B6F"/>
    <w:rsid w:val="26854A71"/>
    <w:rsid w:val="26976211"/>
    <w:rsid w:val="26AE33E5"/>
    <w:rsid w:val="27535D9E"/>
    <w:rsid w:val="276E6F72"/>
    <w:rsid w:val="278E30C9"/>
    <w:rsid w:val="27A26562"/>
    <w:rsid w:val="27A469A3"/>
    <w:rsid w:val="284A4D5C"/>
    <w:rsid w:val="28500425"/>
    <w:rsid w:val="28752477"/>
    <w:rsid w:val="29276E01"/>
    <w:rsid w:val="29A058F9"/>
    <w:rsid w:val="2A4C48C6"/>
    <w:rsid w:val="2A953429"/>
    <w:rsid w:val="2BAF2368"/>
    <w:rsid w:val="2C0C03FA"/>
    <w:rsid w:val="2CC45EAF"/>
    <w:rsid w:val="2CCD0DCC"/>
    <w:rsid w:val="2CD0102B"/>
    <w:rsid w:val="2E1C1A4E"/>
    <w:rsid w:val="2E9D344D"/>
    <w:rsid w:val="2F21725F"/>
    <w:rsid w:val="2FC41607"/>
    <w:rsid w:val="301B2E51"/>
    <w:rsid w:val="30862049"/>
    <w:rsid w:val="312F5C70"/>
    <w:rsid w:val="319F7284"/>
    <w:rsid w:val="321F61DB"/>
    <w:rsid w:val="32766BCA"/>
    <w:rsid w:val="33052B01"/>
    <w:rsid w:val="34A652C3"/>
    <w:rsid w:val="35087C03"/>
    <w:rsid w:val="358010B6"/>
    <w:rsid w:val="35F25432"/>
    <w:rsid w:val="36833EDF"/>
    <w:rsid w:val="376244C1"/>
    <w:rsid w:val="38B36BAB"/>
    <w:rsid w:val="38BA1146"/>
    <w:rsid w:val="38EF31E3"/>
    <w:rsid w:val="39263E98"/>
    <w:rsid w:val="39F4386D"/>
    <w:rsid w:val="3AD34714"/>
    <w:rsid w:val="3B69799B"/>
    <w:rsid w:val="3C3A691C"/>
    <w:rsid w:val="3CF25C1C"/>
    <w:rsid w:val="3E3D426F"/>
    <w:rsid w:val="3E4D424C"/>
    <w:rsid w:val="3E76128D"/>
    <w:rsid w:val="3F814FD2"/>
    <w:rsid w:val="3FD87871"/>
    <w:rsid w:val="402A24A7"/>
    <w:rsid w:val="40D55514"/>
    <w:rsid w:val="4156355C"/>
    <w:rsid w:val="41967D0B"/>
    <w:rsid w:val="42742D31"/>
    <w:rsid w:val="42997141"/>
    <w:rsid w:val="43324E9F"/>
    <w:rsid w:val="43436C56"/>
    <w:rsid w:val="43D649ED"/>
    <w:rsid w:val="43DD12AF"/>
    <w:rsid w:val="442C14BC"/>
    <w:rsid w:val="44672941"/>
    <w:rsid w:val="450665E4"/>
    <w:rsid w:val="453650AE"/>
    <w:rsid w:val="45706C4E"/>
    <w:rsid w:val="45C53DA9"/>
    <w:rsid w:val="46F43127"/>
    <w:rsid w:val="47525B10"/>
    <w:rsid w:val="47A20B7C"/>
    <w:rsid w:val="480A53EF"/>
    <w:rsid w:val="482037A8"/>
    <w:rsid w:val="48221F3A"/>
    <w:rsid w:val="483D231C"/>
    <w:rsid w:val="48480AD9"/>
    <w:rsid w:val="497F0713"/>
    <w:rsid w:val="49C12AD9"/>
    <w:rsid w:val="49DA6C20"/>
    <w:rsid w:val="4B152671"/>
    <w:rsid w:val="4B9E5218"/>
    <w:rsid w:val="4CE54D31"/>
    <w:rsid w:val="4D396DCB"/>
    <w:rsid w:val="4D737DF0"/>
    <w:rsid w:val="4DC024C2"/>
    <w:rsid w:val="4E131122"/>
    <w:rsid w:val="4E1E0C0A"/>
    <w:rsid w:val="4F2171E9"/>
    <w:rsid w:val="4F765018"/>
    <w:rsid w:val="4FB42027"/>
    <w:rsid w:val="4FFA0AF3"/>
    <w:rsid w:val="5100482F"/>
    <w:rsid w:val="51634C3B"/>
    <w:rsid w:val="51C508AC"/>
    <w:rsid w:val="52433F93"/>
    <w:rsid w:val="52BB22D8"/>
    <w:rsid w:val="52FA61D9"/>
    <w:rsid w:val="52FB705C"/>
    <w:rsid w:val="53D55939"/>
    <w:rsid w:val="54776B9C"/>
    <w:rsid w:val="551761FF"/>
    <w:rsid w:val="553A380B"/>
    <w:rsid w:val="553C6622"/>
    <w:rsid w:val="55B75836"/>
    <w:rsid w:val="55FE5DC1"/>
    <w:rsid w:val="565C0B34"/>
    <w:rsid w:val="565F1555"/>
    <w:rsid w:val="571F1F15"/>
    <w:rsid w:val="573205BE"/>
    <w:rsid w:val="577E34BE"/>
    <w:rsid w:val="57F73795"/>
    <w:rsid w:val="58080CA7"/>
    <w:rsid w:val="59A956DD"/>
    <w:rsid w:val="59BD5424"/>
    <w:rsid w:val="5A22364B"/>
    <w:rsid w:val="5AE12A2F"/>
    <w:rsid w:val="5B6E057C"/>
    <w:rsid w:val="5BA26C0E"/>
    <w:rsid w:val="5BC8419B"/>
    <w:rsid w:val="5BE16E89"/>
    <w:rsid w:val="5BEA5EBF"/>
    <w:rsid w:val="5CE21551"/>
    <w:rsid w:val="5D8752E8"/>
    <w:rsid w:val="5E1610CB"/>
    <w:rsid w:val="5E2C6C63"/>
    <w:rsid w:val="5F0B27EA"/>
    <w:rsid w:val="5F1C6CD8"/>
    <w:rsid w:val="5F7B5377"/>
    <w:rsid w:val="5F926F26"/>
    <w:rsid w:val="606C1599"/>
    <w:rsid w:val="606F4BE5"/>
    <w:rsid w:val="60830691"/>
    <w:rsid w:val="60861192"/>
    <w:rsid w:val="60B741E0"/>
    <w:rsid w:val="60D07D7A"/>
    <w:rsid w:val="60D70516"/>
    <w:rsid w:val="613C66B1"/>
    <w:rsid w:val="61F47A98"/>
    <w:rsid w:val="61FD0B78"/>
    <w:rsid w:val="62077384"/>
    <w:rsid w:val="62930728"/>
    <w:rsid w:val="62C217B6"/>
    <w:rsid w:val="6302305F"/>
    <w:rsid w:val="631168CD"/>
    <w:rsid w:val="635B6F60"/>
    <w:rsid w:val="637E6D4E"/>
    <w:rsid w:val="637E7B08"/>
    <w:rsid w:val="641937E6"/>
    <w:rsid w:val="647A0466"/>
    <w:rsid w:val="649B244D"/>
    <w:rsid w:val="64BA1599"/>
    <w:rsid w:val="6568477B"/>
    <w:rsid w:val="65C27D9C"/>
    <w:rsid w:val="65FE6C18"/>
    <w:rsid w:val="669A6C69"/>
    <w:rsid w:val="66A34B22"/>
    <w:rsid w:val="66A71F17"/>
    <w:rsid w:val="66BA75E2"/>
    <w:rsid w:val="67127145"/>
    <w:rsid w:val="67380D0C"/>
    <w:rsid w:val="674B0307"/>
    <w:rsid w:val="675E0950"/>
    <w:rsid w:val="67890B2A"/>
    <w:rsid w:val="67A95F05"/>
    <w:rsid w:val="67BB219A"/>
    <w:rsid w:val="67E678E8"/>
    <w:rsid w:val="682F23A4"/>
    <w:rsid w:val="68D52A0C"/>
    <w:rsid w:val="691C2E88"/>
    <w:rsid w:val="696E6382"/>
    <w:rsid w:val="69FB1209"/>
    <w:rsid w:val="6A041B6E"/>
    <w:rsid w:val="6A575068"/>
    <w:rsid w:val="6A977871"/>
    <w:rsid w:val="6AAA5EA7"/>
    <w:rsid w:val="6AD933B6"/>
    <w:rsid w:val="6AFE2DD7"/>
    <w:rsid w:val="6C485252"/>
    <w:rsid w:val="6C57063C"/>
    <w:rsid w:val="6C6D7218"/>
    <w:rsid w:val="6C7E6391"/>
    <w:rsid w:val="6C896670"/>
    <w:rsid w:val="6CB8527B"/>
    <w:rsid w:val="6DD05998"/>
    <w:rsid w:val="6E5A5127"/>
    <w:rsid w:val="6E906FA7"/>
    <w:rsid w:val="6E934AAB"/>
    <w:rsid w:val="6EC6695C"/>
    <w:rsid w:val="6EF47329"/>
    <w:rsid w:val="6F123448"/>
    <w:rsid w:val="6F51652A"/>
    <w:rsid w:val="6F6F4A62"/>
    <w:rsid w:val="6F712431"/>
    <w:rsid w:val="6F80435E"/>
    <w:rsid w:val="6FD81B20"/>
    <w:rsid w:val="702D3863"/>
    <w:rsid w:val="70710367"/>
    <w:rsid w:val="70C77E0F"/>
    <w:rsid w:val="716A04E5"/>
    <w:rsid w:val="71802F4C"/>
    <w:rsid w:val="72A36BE5"/>
    <w:rsid w:val="72C61067"/>
    <w:rsid w:val="73322142"/>
    <w:rsid w:val="73352A1F"/>
    <w:rsid w:val="733975AF"/>
    <w:rsid w:val="73C52AEF"/>
    <w:rsid w:val="73E85A93"/>
    <w:rsid w:val="740A4EF9"/>
    <w:rsid w:val="74805552"/>
    <w:rsid w:val="748C3B60"/>
    <w:rsid w:val="74A95080"/>
    <w:rsid w:val="74B35AB8"/>
    <w:rsid w:val="7594262F"/>
    <w:rsid w:val="75E576FB"/>
    <w:rsid w:val="75F76D8E"/>
    <w:rsid w:val="764C5223"/>
    <w:rsid w:val="779E6C78"/>
    <w:rsid w:val="799B672D"/>
    <w:rsid w:val="7B7F5808"/>
    <w:rsid w:val="7C461D0A"/>
    <w:rsid w:val="7C516888"/>
    <w:rsid w:val="7C6D47FA"/>
    <w:rsid w:val="7CAD45CF"/>
    <w:rsid w:val="7CAD4FBB"/>
    <w:rsid w:val="7D455FE0"/>
    <w:rsid w:val="7DA94AD6"/>
    <w:rsid w:val="7DAA58E9"/>
    <w:rsid w:val="7DB214B1"/>
    <w:rsid w:val="7E90249F"/>
    <w:rsid w:val="7E9F053D"/>
    <w:rsid w:val="7EC07A80"/>
    <w:rsid w:val="7F122F5D"/>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autoRedefine/>
    <w:semiHidden/>
    <w:qFormat/>
    <w:uiPriority w:val="0"/>
    <w:pPr>
      <w:shd w:val="clear" w:color="auto" w:fill="000080"/>
    </w:pPr>
  </w:style>
  <w:style w:type="paragraph" w:styleId="8">
    <w:name w:val="annotation text"/>
    <w:basedOn w:val="1"/>
    <w:link w:val="41"/>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42"/>
    <w:qFormat/>
    <w:uiPriority w:val="0"/>
    <w:rPr>
      <w:sz w:val="18"/>
      <w:szCs w:val="18"/>
    </w:rPr>
  </w:style>
  <w:style w:type="paragraph" w:styleId="17">
    <w:name w:val="footer"/>
    <w:basedOn w:val="1"/>
    <w:link w:val="43"/>
    <w:qFormat/>
    <w:uiPriority w:val="99"/>
    <w:pPr>
      <w:snapToGrid w:val="0"/>
      <w:ind w:right="210" w:rightChars="100"/>
      <w:jc w:val="right"/>
    </w:pPr>
    <w:rPr>
      <w:sz w:val="18"/>
      <w:szCs w:val="18"/>
    </w:rPr>
  </w:style>
  <w:style w:type="paragraph" w:styleId="18">
    <w:name w:val="header"/>
    <w:basedOn w:val="1"/>
    <w:link w:val="44"/>
    <w:qFormat/>
    <w:uiPriority w:val="0"/>
    <w:pPr>
      <w:snapToGrid w:val="0"/>
      <w:jc w:val="left"/>
    </w:pPr>
    <w:rPr>
      <w:sz w:val="18"/>
      <w:szCs w:val="18"/>
    </w:rPr>
  </w:style>
  <w:style w:type="paragraph" w:styleId="19">
    <w:name w:val="toc 1"/>
    <w:basedOn w:val="1"/>
    <w:next w:val="1"/>
    <w:qFormat/>
    <w:uiPriority w:val="39"/>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autoRedefine/>
    <w:qFormat/>
    <w:uiPriority w:val="0"/>
    <w:pPr>
      <w:tabs>
        <w:tab w:val="right" w:leader="dot" w:pos="9299"/>
      </w:tabs>
      <w:jc w:val="left"/>
    </w:pPr>
    <w:rPr>
      <w:rFonts w:ascii="宋体"/>
      <w:szCs w:val="21"/>
    </w:rPr>
  </w:style>
  <w:style w:type="paragraph" w:customStyle="1" w:styleId="23">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tabs>
        <w:tab w:val="left" w:pos="0"/>
      </w:tabs>
      <w:snapToGrid w:val="0"/>
      <w:ind w:left="720" w:hanging="357"/>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autoRedefine/>
    <w:qFormat/>
    <w:uiPriority w:val="39"/>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8"/>
    <w:next w:val="8"/>
    <w:link w:val="46"/>
    <w:unhideWhenUsed/>
    <w:qFormat/>
    <w:uiPriority w:val="0"/>
    <w:rPr>
      <w:b/>
      <w:bCs/>
    </w:rPr>
  </w:style>
  <w:style w:type="table" w:styleId="33">
    <w:name w:val="Table Grid"/>
    <w:basedOn w:val="32"/>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Hyperlink"/>
    <w:qFormat/>
    <w:uiPriority w:val="99"/>
    <w:rPr>
      <w:color w:val="0000FF"/>
      <w:spacing w:val="0"/>
      <w:w w:val="100"/>
      <w:szCs w:val="21"/>
      <w:u w:val="single"/>
      <w:lang w:val="en-US" w:eastAsia="zh-CN"/>
    </w:rPr>
  </w:style>
  <w:style w:type="character" w:styleId="38">
    <w:name w:val="annotation reference"/>
    <w:autoRedefine/>
    <w:unhideWhenUsed/>
    <w:qFormat/>
    <w:uiPriority w:val="0"/>
    <w:rPr>
      <w:sz w:val="21"/>
      <w:szCs w:val="21"/>
    </w:rPr>
  </w:style>
  <w:style w:type="character" w:styleId="39">
    <w:name w:val="footnote reference"/>
    <w:autoRedefine/>
    <w:semiHidden/>
    <w:qFormat/>
    <w:uiPriority w:val="0"/>
    <w:rPr>
      <w:vertAlign w:val="superscript"/>
    </w:rPr>
  </w:style>
  <w:style w:type="character" w:customStyle="1" w:styleId="40">
    <w:name w:val="标题 1 字符"/>
    <w:link w:val="2"/>
    <w:autoRedefine/>
    <w:qFormat/>
    <w:uiPriority w:val="0"/>
    <w:rPr>
      <w:b/>
      <w:bCs/>
      <w:kern w:val="44"/>
      <w:sz w:val="44"/>
      <w:szCs w:val="44"/>
    </w:rPr>
  </w:style>
  <w:style w:type="character" w:customStyle="1" w:styleId="41">
    <w:name w:val="批注文字 字符"/>
    <w:link w:val="8"/>
    <w:semiHidden/>
    <w:qFormat/>
    <w:uiPriority w:val="0"/>
    <w:rPr>
      <w:kern w:val="2"/>
      <w:sz w:val="21"/>
      <w:szCs w:val="24"/>
    </w:rPr>
  </w:style>
  <w:style w:type="character" w:customStyle="1" w:styleId="42">
    <w:name w:val="批注框文本 字符"/>
    <w:link w:val="16"/>
    <w:qFormat/>
    <w:uiPriority w:val="0"/>
    <w:rPr>
      <w:kern w:val="2"/>
      <w:sz w:val="18"/>
      <w:szCs w:val="18"/>
    </w:rPr>
  </w:style>
  <w:style w:type="character" w:customStyle="1" w:styleId="43">
    <w:name w:val="页脚 字符"/>
    <w:link w:val="17"/>
    <w:autoRedefine/>
    <w:qFormat/>
    <w:locked/>
    <w:uiPriority w:val="99"/>
    <w:rPr>
      <w:kern w:val="2"/>
      <w:sz w:val="18"/>
      <w:szCs w:val="18"/>
    </w:rPr>
  </w:style>
  <w:style w:type="character" w:customStyle="1" w:styleId="44">
    <w:name w:val="页眉 字符"/>
    <w:link w:val="18"/>
    <w:autoRedefine/>
    <w:qFormat/>
    <w:locked/>
    <w:uiPriority w:val="0"/>
    <w:rPr>
      <w:kern w:val="2"/>
      <w:sz w:val="18"/>
      <w:szCs w:val="18"/>
    </w:rPr>
  </w:style>
  <w:style w:type="character" w:customStyle="1" w:styleId="45">
    <w:name w:val="段 Char"/>
    <w:link w:val="23"/>
    <w:qFormat/>
    <w:uiPriority w:val="0"/>
    <w:rPr>
      <w:rFonts w:ascii="宋体"/>
      <w:sz w:val="21"/>
      <w:lang w:val="en-US" w:eastAsia="zh-CN" w:bidi="ar-SA"/>
    </w:rPr>
  </w:style>
  <w:style w:type="character" w:customStyle="1" w:styleId="46">
    <w:name w:val="批注主题 字符"/>
    <w:link w:val="31"/>
    <w:autoRedefine/>
    <w:semiHidden/>
    <w:qFormat/>
    <w:uiPriority w:val="0"/>
    <w:rPr>
      <w:b/>
      <w:bCs/>
      <w:kern w:val="2"/>
      <w:sz w:val="21"/>
      <w:szCs w:val="24"/>
    </w:rPr>
  </w:style>
  <w:style w:type="character" w:customStyle="1" w:styleId="47">
    <w:name w:val="访问过的超链接1"/>
    <w:qFormat/>
    <w:uiPriority w:val="0"/>
    <w:rPr>
      <w:color w:val="800080"/>
      <w:u w:val="single"/>
    </w:rPr>
  </w:style>
  <w:style w:type="character" w:customStyle="1" w:styleId="48">
    <w:name w:val="发布"/>
    <w:qFormat/>
    <w:uiPriority w:val="0"/>
    <w:rPr>
      <w:rFonts w:ascii="黑体" w:eastAsia="黑体"/>
      <w:spacing w:val="85"/>
      <w:w w:val="100"/>
      <w:position w:val="3"/>
      <w:sz w:val="28"/>
      <w:szCs w:val="28"/>
    </w:rPr>
  </w:style>
  <w:style w:type="character" w:customStyle="1" w:styleId="49">
    <w:name w:val="章标题 Char"/>
    <w:link w:val="50"/>
    <w:qFormat/>
    <w:locked/>
    <w:uiPriority w:val="0"/>
    <w:rPr>
      <w:rFonts w:eastAsia="黑体"/>
      <w:sz w:val="21"/>
    </w:rPr>
  </w:style>
  <w:style w:type="paragraph" w:customStyle="1" w:styleId="50">
    <w:name w:val="章标题"/>
    <w:next w:val="23"/>
    <w:link w:val="49"/>
    <w:autoRedefine/>
    <w:qFormat/>
    <w:uiPriority w:val="0"/>
    <w:pPr>
      <w:numPr>
        <w:ilvl w:val="0"/>
        <w:numId w:val="2"/>
      </w:numPr>
      <w:spacing w:before="312" w:beforeLines="100" w:after="312" w:afterLines="100"/>
      <w:jc w:val="both"/>
      <w:outlineLvl w:val="1"/>
    </w:pPr>
    <w:rPr>
      <w:rFonts w:ascii="Times New Roman" w:hAnsi="Times New Roman" w:eastAsia="黑体" w:cs="Times New Roman"/>
      <w:sz w:val="21"/>
      <w:lang w:val="en-US" w:eastAsia="zh-CN" w:bidi="ar-SA"/>
    </w:rPr>
  </w:style>
  <w:style w:type="character" w:customStyle="1" w:styleId="51">
    <w:name w:val="一级条标题 Char"/>
    <w:link w:val="52"/>
    <w:qFormat/>
    <w:locked/>
    <w:uiPriority w:val="0"/>
    <w:rPr>
      <w:rFonts w:ascii="黑体" w:eastAsia="黑体"/>
      <w:sz w:val="21"/>
      <w:szCs w:val="21"/>
    </w:rPr>
  </w:style>
  <w:style w:type="paragraph" w:customStyle="1" w:styleId="52">
    <w:name w:val="一级条标题"/>
    <w:next w:val="23"/>
    <w:link w:val="51"/>
    <w:autoRedefine/>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53">
    <w:name w:val="二级无 Char"/>
    <w:link w:val="54"/>
    <w:autoRedefine/>
    <w:qFormat/>
    <w:locked/>
    <w:uiPriority w:val="0"/>
    <w:rPr>
      <w:rFonts w:ascii="宋体"/>
      <w:sz w:val="21"/>
      <w:szCs w:val="21"/>
    </w:rPr>
  </w:style>
  <w:style w:type="paragraph" w:customStyle="1" w:styleId="54">
    <w:name w:val="二级无"/>
    <w:basedOn w:val="55"/>
    <w:link w:val="53"/>
    <w:qFormat/>
    <w:uiPriority w:val="0"/>
    <w:pPr>
      <w:spacing w:beforeLines="0" w:afterLines="0"/>
    </w:pPr>
    <w:rPr>
      <w:rFonts w:ascii="宋体" w:eastAsia="宋体"/>
    </w:rPr>
  </w:style>
  <w:style w:type="paragraph" w:customStyle="1" w:styleId="55">
    <w:name w:val="二级条标题"/>
    <w:basedOn w:val="52"/>
    <w:next w:val="23"/>
    <w:link w:val="56"/>
    <w:qFormat/>
    <w:uiPriority w:val="0"/>
    <w:pPr>
      <w:spacing w:before="50" w:after="50"/>
      <w:outlineLvl w:val="3"/>
    </w:pPr>
  </w:style>
  <w:style w:type="character" w:customStyle="1" w:styleId="56">
    <w:name w:val="二级条标题 Char"/>
    <w:link w:val="55"/>
    <w:qFormat/>
    <w:locked/>
    <w:uiPriority w:val="0"/>
    <w:rPr>
      <w:rFonts w:ascii="黑体" w:eastAsia="黑体"/>
      <w:sz w:val="21"/>
      <w:szCs w:val="21"/>
    </w:rPr>
  </w:style>
  <w:style w:type="character" w:customStyle="1" w:styleId="57">
    <w:name w:val="附录公式 Char"/>
    <w:link w:val="58"/>
    <w:qFormat/>
    <w:uiPriority w:val="0"/>
    <w:rPr>
      <w:rFonts w:ascii="宋体"/>
      <w:sz w:val="21"/>
      <w:lang w:val="en-US" w:eastAsia="zh-CN" w:bidi="ar-SA"/>
    </w:rPr>
  </w:style>
  <w:style w:type="paragraph" w:customStyle="1" w:styleId="58">
    <w:name w:val="附录公式"/>
    <w:basedOn w:val="23"/>
    <w:next w:val="23"/>
    <w:link w:val="57"/>
    <w:autoRedefine/>
    <w:qFormat/>
    <w:uiPriority w:val="0"/>
  </w:style>
  <w:style w:type="character" w:customStyle="1" w:styleId="59">
    <w:name w:val="首示例 Char"/>
    <w:link w:val="60"/>
    <w:autoRedefine/>
    <w:qFormat/>
    <w:uiPriority w:val="0"/>
    <w:rPr>
      <w:rFonts w:ascii="宋体" w:hAnsi="宋体"/>
      <w:kern w:val="2"/>
      <w:sz w:val="18"/>
      <w:szCs w:val="18"/>
    </w:rPr>
  </w:style>
  <w:style w:type="paragraph" w:customStyle="1" w:styleId="60">
    <w:name w:val="首示例"/>
    <w:next w:val="23"/>
    <w:link w:val="59"/>
    <w:qFormat/>
    <w:uiPriority w:val="0"/>
    <w:pPr>
      <w:tabs>
        <w:tab w:val="left" w:pos="360"/>
      </w:tabs>
    </w:pPr>
    <w:rPr>
      <w:rFonts w:ascii="宋体" w:hAnsi="宋体" w:eastAsia="宋体" w:cs="Times New Roman"/>
      <w:kern w:val="2"/>
      <w:sz w:val="18"/>
      <w:szCs w:val="18"/>
      <w:lang w:val="en-US" w:eastAsia="zh-CN" w:bidi="ar-SA"/>
    </w:rPr>
  </w:style>
  <w:style w:type="paragraph" w:customStyle="1" w:styleId="61">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6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3">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4">
    <w:name w:val="正文图标题"/>
    <w:next w:val="23"/>
    <w:autoRedefine/>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5">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6">
    <w:name w:val="示例后文字"/>
    <w:basedOn w:val="23"/>
    <w:next w:val="23"/>
    <w:qFormat/>
    <w:uiPriority w:val="0"/>
    <w:pPr>
      <w:ind w:firstLine="360"/>
    </w:pPr>
    <w:rPr>
      <w:sz w:val="18"/>
    </w:rPr>
  </w:style>
  <w:style w:type="paragraph" w:customStyle="1" w:styleId="6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8">
    <w:name w:val="标准书眉一"/>
    <w:qFormat/>
    <w:uiPriority w:val="0"/>
    <w:pPr>
      <w:jc w:val="both"/>
    </w:pPr>
    <w:rPr>
      <w:rFonts w:ascii="Times New Roman" w:hAnsi="Times New Roman" w:eastAsia="宋体" w:cs="Times New Roman"/>
      <w:lang w:val="en-US" w:eastAsia="zh-CN" w:bidi="ar-SA"/>
    </w:rPr>
  </w:style>
  <w:style w:type="paragraph" w:customStyle="1" w:styleId="69">
    <w:name w:val="附录表标号"/>
    <w:basedOn w:val="1"/>
    <w:next w:val="23"/>
    <w:autoRedefine/>
    <w:qFormat/>
    <w:uiPriority w:val="0"/>
    <w:pPr>
      <w:spacing w:line="14" w:lineRule="exact"/>
      <w:ind w:left="811" w:hanging="448"/>
      <w:jc w:val="center"/>
      <w:outlineLvl w:val="0"/>
    </w:pPr>
    <w:rPr>
      <w:color w:val="FFFFFF"/>
    </w:rPr>
  </w:style>
  <w:style w:type="paragraph" w:customStyle="1" w:styleId="70">
    <w:name w:val="附录二级条标题"/>
    <w:basedOn w:val="1"/>
    <w:next w:val="23"/>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1">
    <w:name w:val="封面一致性程度标识"/>
    <w:basedOn w:val="72"/>
    <w:qFormat/>
    <w:uiPriority w:val="99"/>
    <w:pPr>
      <w:framePr w:wrap="around"/>
      <w:spacing w:before="440"/>
    </w:pPr>
    <w:rPr>
      <w:rFonts w:ascii="宋体" w:eastAsia="宋体"/>
    </w:rPr>
  </w:style>
  <w:style w:type="paragraph" w:customStyle="1" w:styleId="72">
    <w:name w:val="封面标准英文名称"/>
    <w:basedOn w:val="73"/>
    <w:qFormat/>
    <w:uiPriority w:val="0"/>
    <w:pPr>
      <w:framePr w:wrap="around"/>
      <w:spacing w:before="370" w:line="400" w:lineRule="exact"/>
    </w:pPr>
    <w:rPr>
      <w:rFonts w:ascii="Times New Roman"/>
      <w:sz w:val="28"/>
      <w:szCs w:val="28"/>
    </w:rPr>
  </w:style>
  <w:style w:type="paragraph" w:customStyle="1" w:styleId="7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附录二级无"/>
    <w:basedOn w:val="70"/>
    <w:qFormat/>
    <w:uiPriority w:val="0"/>
    <w:pPr>
      <w:tabs>
        <w:tab w:val="clear" w:pos="360"/>
      </w:tabs>
      <w:spacing w:beforeLines="0" w:afterLines="0"/>
    </w:pPr>
    <w:rPr>
      <w:rFonts w:ascii="宋体" w:eastAsia="宋体"/>
      <w:szCs w:val="21"/>
    </w:rPr>
  </w:style>
  <w:style w:type="paragraph" w:customStyle="1" w:styleId="75">
    <w:name w:val="一级无"/>
    <w:basedOn w:val="52"/>
    <w:qFormat/>
    <w:uiPriority w:val="0"/>
    <w:pPr>
      <w:spacing w:beforeLines="0" w:afterLines="0"/>
    </w:pPr>
    <w:rPr>
      <w:rFonts w:ascii="宋体" w:eastAsia="宋体"/>
    </w:rPr>
  </w:style>
  <w:style w:type="paragraph" w:customStyle="1" w:styleId="76">
    <w:name w:val="实施日期"/>
    <w:basedOn w:val="62"/>
    <w:qFormat/>
    <w:uiPriority w:val="0"/>
    <w:pPr>
      <w:framePr w:wrap="around" w:vAnchor="page" w:hAnchor="text"/>
      <w:jc w:val="right"/>
    </w:pPr>
  </w:style>
  <w:style w:type="paragraph" w:customStyle="1" w:styleId="77">
    <w:name w:val="四级无"/>
    <w:basedOn w:val="78"/>
    <w:qFormat/>
    <w:uiPriority w:val="0"/>
    <w:pPr>
      <w:spacing w:beforeLines="0" w:afterLines="0"/>
    </w:pPr>
    <w:rPr>
      <w:rFonts w:ascii="宋体" w:eastAsia="宋体"/>
    </w:rPr>
  </w:style>
  <w:style w:type="paragraph" w:customStyle="1" w:styleId="78">
    <w:name w:val="四级条标题"/>
    <w:basedOn w:val="79"/>
    <w:next w:val="23"/>
    <w:autoRedefine/>
    <w:qFormat/>
    <w:uiPriority w:val="0"/>
    <w:pPr>
      <w:outlineLvl w:val="5"/>
    </w:pPr>
  </w:style>
  <w:style w:type="paragraph" w:customStyle="1" w:styleId="79">
    <w:name w:val="三级条标题"/>
    <w:basedOn w:val="55"/>
    <w:next w:val="23"/>
    <w:qFormat/>
    <w:uiPriority w:val="0"/>
    <w:pPr>
      <w:outlineLvl w:val="4"/>
    </w:pPr>
  </w:style>
  <w:style w:type="paragraph" w:customStyle="1" w:styleId="80">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81">
    <w:name w:val="列项——（一级）"/>
    <w:autoRedefine/>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82">
    <w:name w:val="正文表标题"/>
    <w:next w:val="23"/>
    <w:autoRedefine/>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3">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4">
    <w:name w:val="图标脚注说明"/>
    <w:basedOn w:val="23"/>
    <w:autoRedefine/>
    <w:qFormat/>
    <w:uiPriority w:val="0"/>
    <w:pPr>
      <w:ind w:left="840" w:hanging="420" w:firstLineChars="0"/>
    </w:pPr>
    <w:rPr>
      <w:sz w:val="18"/>
      <w:szCs w:val="18"/>
    </w:rPr>
  </w:style>
  <w:style w:type="paragraph" w:customStyle="1" w:styleId="85">
    <w:name w:val="列项◆（三级）"/>
    <w:basedOn w:val="1"/>
    <w:autoRedefine/>
    <w:qFormat/>
    <w:uiPriority w:val="0"/>
    <w:pPr>
      <w:tabs>
        <w:tab w:val="left" w:pos="1678"/>
      </w:tabs>
      <w:ind w:left="1678" w:hanging="414"/>
    </w:pPr>
    <w:rPr>
      <w:rFonts w:ascii="宋体"/>
      <w:szCs w:val="21"/>
    </w:rPr>
  </w:style>
  <w:style w:type="paragraph" w:customStyle="1" w:styleId="86">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7">
    <w:name w:val="附录三级条标题"/>
    <w:basedOn w:val="70"/>
    <w:next w:val="23"/>
    <w:qFormat/>
    <w:uiPriority w:val="0"/>
    <w:pPr>
      <w:outlineLvl w:val="4"/>
    </w:pPr>
  </w:style>
  <w:style w:type="paragraph" w:customStyle="1" w:styleId="8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9">
    <w:name w:val="附录五级无"/>
    <w:basedOn w:val="90"/>
    <w:qFormat/>
    <w:uiPriority w:val="0"/>
    <w:pPr>
      <w:tabs>
        <w:tab w:val="left" w:pos="360"/>
      </w:tabs>
      <w:spacing w:beforeLines="0" w:afterLines="0"/>
    </w:pPr>
    <w:rPr>
      <w:rFonts w:ascii="宋体" w:eastAsia="宋体"/>
      <w:szCs w:val="21"/>
    </w:rPr>
  </w:style>
  <w:style w:type="paragraph" w:customStyle="1" w:styleId="90">
    <w:name w:val="附录五级条标题"/>
    <w:basedOn w:val="91"/>
    <w:next w:val="23"/>
    <w:qFormat/>
    <w:uiPriority w:val="0"/>
    <w:pPr>
      <w:tabs>
        <w:tab w:val="left" w:pos="360"/>
      </w:tabs>
      <w:outlineLvl w:val="6"/>
    </w:pPr>
  </w:style>
  <w:style w:type="paragraph" w:customStyle="1" w:styleId="91">
    <w:name w:val="附录四级条标题"/>
    <w:basedOn w:val="87"/>
    <w:next w:val="23"/>
    <w:qFormat/>
    <w:uiPriority w:val="0"/>
    <w:pPr>
      <w:outlineLvl w:val="5"/>
    </w:pPr>
  </w:style>
  <w:style w:type="paragraph" w:customStyle="1" w:styleId="92">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93">
    <w:name w:val="附录一级无"/>
    <w:basedOn w:val="94"/>
    <w:qFormat/>
    <w:uiPriority w:val="0"/>
    <w:pPr>
      <w:tabs>
        <w:tab w:val="left" w:pos="360"/>
      </w:tabs>
      <w:spacing w:beforeLines="0" w:afterLines="0"/>
    </w:pPr>
    <w:rPr>
      <w:rFonts w:ascii="宋体" w:eastAsia="宋体"/>
      <w:szCs w:val="21"/>
    </w:rPr>
  </w:style>
  <w:style w:type="paragraph" w:customStyle="1" w:styleId="94">
    <w:name w:val="附录一级条标题"/>
    <w:basedOn w:val="95"/>
    <w:next w:val="23"/>
    <w:qFormat/>
    <w:uiPriority w:val="0"/>
    <w:pPr>
      <w:tabs>
        <w:tab w:val="left" w:pos="360"/>
      </w:tabs>
      <w:autoSpaceDN w:val="0"/>
      <w:spacing w:beforeLines="50" w:afterLines="50"/>
      <w:outlineLvl w:val="2"/>
    </w:pPr>
  </w:style>
  <w:style w:type="paragraph" w:customStyle="1" w:styleId="95">
    <w:name w:val="附录章标题"/>
    <w:next w:val="23"/>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8">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9">
    <w:name w:val="附录图标题"/>
    <w:basedOn w:val="1"/>
    <w:next w:val="23"/>
    <w:qFormat/>
    <w:uiPriority w:val="0"/>
    <w:pPr>
      <w:tabs>
        <w:tab w:val="left" w:pos="363"/>
      </w:tabs>
      <w:spacing w:beforeLines="50" w:afterLines="50"/>
      <w:jc w:val="center"/>
    </w:pPr>
    <w:rPr>
      <w:rFonts w:ascii="黑体" w:eastAsia="黑体"/>
      <w:szCs w:val="21"/>
    </w:rPr>
  </w:style>
  <w:style w:type="paragraph" w:customStyle="1" w:styleId="100">
    <w:name w:val="注×："/>
    <w:autoRedefine/>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1">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4">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5">
    <w:name w:val="条文脚注"/>
    <w:basedOn w:val="24"/>
    <w:qFormat/>
    <w:uiPriority w:val="0"/>
    <w:pPr>
      <w:ind w:left="0" w:firstLine="0"/>
      <w:jc w:val="both"/>
    </w:pPr>
  </w:style>
  <w:style w:type="paragraph" w:customStyle="1" w:styleId="10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8">
    <w:name w:val="示例"/>
    <w:next w:val="109"/>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9">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0">
    <w:name w:val="附录图标号"/>
    <w:basedOn w:val="1"/>
    <w:autoRedefine/>
    <w:qFormat/>
    <w:uiPriority w:val="0"/>
    <w:pPr>
      <w:keepNext/>
      <w:pageBreakBefore/>
      <w:widowControl/>
      <w:spacing w:line="14" w:lineRule="exact"/>
      <w:ind w:firstLine="363"/>
      <w:jc w:val="center"/>
      <w:outlineLvl w:val="0"/>
    </w:pPr>
    <w:rPr>
      <w:color w:val="FFFFFF"/>
    </w:rPr>
  </w:style>
  <w:style w:type="paragraph" w:customStyle="1" w:styleId="111">
    <w:name w:val="封面一致性程度标识2"/>
    <w:basedOn w:val="71"/>
    <w:qFormat/>
    <w:uiPriority w:val="0"/>
    <w:pPr>
      <w:framePr w:wrap="around" w:y="4469"/>
    </w:pPr>
  </w:style>
  <w:style w:type="paragraph" w:customStyle="1" w:styleId="112">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13">
    <w:name w:val="附录三级无"/>
    <w:basedOn w:val="87"/>
    <w:qFormat/>
    <w:uiPriority w:val="0"/>
    <w:pPr>
      <w:tabs>
        <w:tab w:val="clear" w:pos="360"/>
      </w:tabs>
      <w:spacing w:beforeLines="0" w:afterLines="0"/>
    </w:pPr>
    <w:rPr>
      <w:rFonts w:ascii="宋体" w:eastAsia="宋体"/>
      <w:szCs w:val="21"/>
    </w:rPr>
  </w:style>
  <w:style w:type="paragraph" w:customStyle="1" w:styleId="114">
    <w:name w:val="其他发布日期"/>
    <w:basedOn w:val="62"/>
    <w:qFormat/>
    <w:uiPriority w:val="99"/>
    <w:pPr>
      <w:framePr w:wrap="around" w:vAnchor="page" w:hAnchor="text" w:x="1419"/>
    </w:pPr>
  </w:style>
  <w:style w:type="paragraph" w:customStyle="1" w:styleId="115">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6">
    <w:name w:val="其他标准标志"/>
    <w:basedOn w:val="106"/>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图表脚注说明"/>
    <w:basedOn w:val="1"/>
    <w:qFormat/>
    <w:uiPriority w:val="0"/>
    <w:pPr>
      <w:ind w:left="544" w:hanging="181"/>
    </w:pPr>
    <w:rPr>
      <w:rFonts w:ascii="宋体"/>
      <w:sz w:val="18"/>
      <w:szCs w:val="18"/>
    </w:rPr>
  </w:style>
  <w:style w:type="paragraph" w:customStyle="1" w:styleId="119">
    <w:name w:val="五级条标题"/>
    <w:basedOn w:val="78"/>
    <w:next w:val="23"/>
    <w:qFormat/>
    <w:uiPriority w:val="0"/>
    <w:pPr>
      <w:outlineLvl w:val="6"/>
    </w:pPr>
  </w:style>
  <w:style w:type="paragraph" w:customStyle="1" w:styleId="120">
    <w:name w:val="封面标准文稿类别"/>
    <w:basedOn w:val="71"/>
    <w:qFormat/>
    <w:uiPriority w:val="0"/>
    <w:pPr>
      <w:framePr w:wrap="around"/>
      <w:spacing w:after="160" w:line="240" w:lineRule="auto"/>
    </w:pPr>
    <w:rPr>
      <w:sz w:val="24"/>
    </w:rPr>
  </w:style>
  <w:style w:type="paragraph" w:customStyle="1" w:styleId="12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2">
    <w:name w:val="示例×："/>
    <w:basedOn w:val="50"/>
    <w:qFormat/>
    <w:uiPriority w:val="0"/>
    <w:pPr>
      <w:spacing w:beforeLines="0" w:afterLines="0"/>
      <w:ind w:firstLine="363"/>
      <w:outlineLvl w:val="9"/>
    </w:pPr>
    <w:rPr>
      <w:rFonts w:ascii="宋体" w:eastAsia="宋体"/>
      <w:sz w:val="18"/>
      <w:szCs w:val="18"/>
    </w:rPr>
  </w:style>
  <w:style w:type="paragraph" w:customStyle="1" w:styleId="12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4">
    <w:name w:val="列项●（二级）"/>
    <w:autoRedefine/>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5">
    <w:name w:val="附录标识"/>
    <w:basedOn w:val="1"/>
    <w:next w:val="23"/>
    <w:autoRedefine/>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6">
    <w:name w:val="标准书眉_偶数页"/>
    <w:basedOn w:val="88"/>
    <w:next w:val="1"/>
    <w:qFormat/>
    <w:uiPriority w:val="0"/>
    <w:pPr>
      <w:jc w:val="left"/>
    </w:pPr>
  </w:style>
  <w:style w:type="paragraph" w:customStyle="1" w:styleId="127">
    <w:name w:val="封面标准文稿编辑信息"/>
    <w:basedOn w:val="120"/>
    <w:qFormat/>
    <w:uiPriority w:val="0"/>
    <w:pPr>
      <w:framePr w:wrap="around"/>
      <w:spacing w:before="180" w:line="180" w:lineRule="exact"/>
    </w:pPr>
    <w:rPr>
      <w:sz w:val="21"/>
    </w:rPr>
  </w:style>
  <w:style w:type="paragraph" w:customStyle="1" w:styleId="128">
    <w:name w:val="附录表标题"/>
    <w:basedOn w:val="1"/>
    <w:next w:val="23"/>
    <w:qFormat/>
    <w:uiPriority w:val="0"/>
    <w:pPr>
      <w:tabs>
        <w:tab w:val="left" w:pos="180"/>
      </w:tabs>
      <w:spacing w:beforeLines="50" w:afterLines="50"/>
      <w:jc w:val="center"/>
    </w:pPr>
    <w:rPr>
      <w:rFonts w:ascii="黑体" w:eastAsia="黑体"/>
      <w:szCs w:val="21"/>
    </w:rPr>
  </w:style>
  <w:style w:type="paragraph" w:customStyle="1" w:styleId="129">
    <w:name w:val="注："/>
    <w:next w:val="23"/>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30">
    <w:name w:val="注：（正文）"/>
    <w:basedOn w:val="129"/>
    <w:next w:val="23"/>
    <w:qFormat/>
    <w:uiPriority w:val="0"/>
  </w:style>
  <w:style w:type="paragraph" w:customStyle="1" w:styleId="131">
    <w:name w:val="封面正文"/>
    <w:autoRedefine/>
    <w:qFormat/>
    <w:uiPriority w:val="0"/>
    <w:pPr>
      <w:jc w:val="both"/>
    </w:pPr>
    <w:rPr>
      <w:rFonts w:ascii="Times New Roman" w:hAnsi="Times New Roman" w:eastAsia="宋体" w:cs="Times New Roman"/>
      <w:lang w:val="en-US" w:eastAsia="zh-CN" w:bidi="ar-SA"/>
    </w:rPr>
  </w:style>
  <w:style w:type="paragraph" w:customStyle="1" w:styleId="132">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33">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4">
    <w:name w:val="附录标题"/>
    <w:basedOn w:val="23"/>
    <w:next w:val="23"/>
    <w:autoRedefine/>
    <w:qFormat/>
    <w:uiPriority w:val="0"/>
    <w:pPr>
      <w:ind w:firstLine="0" w:firstLineChars="0"/>
      <w:jc w:val="center"/>
    </w:pPr>
    <w:rPr>
      <w:rFonts w:ascii="黑体" w:eastAsia="黑体"/>
    </w:rPr>
  </w:style>
  <w:style w:type="paragraph" w:customStyle="1" w:styleId="135">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6">
    <w:name w:val="封面标准名称2"/>
    <w:basedOn w:val="73"/>
    <w:qFormat/>
    <w:uiPriority w:val="0"/>
    <w:pPr>
      <w:framePr w:wrap="around" w:y="4469"/>
      <w:spacing w:beforeLines="630"/>
    </w:pPr>
  </w:style>
  <w:style w:type="paragraph" w:customStyle="1" w:styleId="137">
    <w:name w:val="发布部门"/>
    <w:next w:val="23"/>
    <w:autoRedefine/>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8">
    <w:name w:val="封面标准文稿编辑信息2"/>
    <w:basedOn w:val="127"/>
    <w:autoRedefine/>
    <w:qFormat/>
    <w:uiPriority w:val="0"/>
    <w:pPr>
      <w:framePr w:wrap="around" w:y="4469"/>
    </w:pPr>
  </w:style>
  <w:style w:type="paragraph" w:customStyle="1" w:styleId="139">
    <w:name w:val="其他发布部门"/>
    <w:basedOn w:val="137"/>
    <w:qFormat/>
    <w:uiPriority w:val="0"/>
    <w:pPr>
      <w:framePr w:wrap="around" w:y="15310"/>
      <w:spacing w:line="0" w:lineRule="atLeast"/>
    </w:pPr>
    <w:rPr>
      <w:rFonts w:ascii="黑体" w:eastAsia="黑体"/>
      <w:b w:val="0"/>
    </w:rPr>
  </w:style>
  <w:style w:type="paragraph" w:customStyle="1" w:styleId="140">
    <w:name w:val="附录四级无"/>
    <w:basedOn w:val="91"/>
    <w:qFormat/>
    <w:uiPriority w:val="0"/>
    <w:pPr>
      <w:tabs>
        <w:tab w:val="clear" w:pos="360"/>
      </w:tabs>
      <w:spacing w:beforeLines="0" w:afterLines="0"/>
    </w:pPr>
    <w:rPr>
      <w:rFonts w:ascii="宋体" w:eastAsia="宋体"/>
      <w:szCs w:val="21"/>
    </w:rPr>
  </w:style>
  <w:style w:type="paragraph" w:customStyle="1" w:styleId="141">
    <w:name w:val="三级无"/>
    <w:basedOn w:val="79"/>
    <w:autoRedefine/>
    <w:qFormat/>
    <w:uiPriority w:val="0"/>
    <w:pPr>
      <w:spacing w:beforeLines="0" w:afterLines="0"/>
    </w:pPr>
    <w:rPr>
      <w:rFonts w:ascii="宋体" w:eastAsia="宋体"/>
    </w:rPr>
  </w:style>
  <w:style w:type="paragraph" w:customStyle="1" w:styleId="142">
    <w:name w:val="五级无"/>
    <w:basedOn w:val="119"/>
    <w:autoRedefine/>
    <w:qFormat/>
    <w:uiPriority w:val="0"/>
    <w:pPr>
      <w:spacing w:beforeLines="0" w:afterLines="0"/>
    </w:pPr>
    <w:rPr>
      <w:rFonts w:ascii="宋体" w:eastAsia="宋体"/>
    </w:rPr>
  </w:style>
  <w:style w:type="paragraph" w:customStyle="1" w:styleId="143">
    <w:name w:val="正文公式编号制表符"/>
    <w:basedOn w:val="23"/>
    <w:next w:val="23"/>
    <w:autoRedefine/>
    <w:qFormat/>
    <w:uiPriority w:val="0"/>
    <w:pPr>
      <w:ind w:firstLine="0" w:firstLineChars="0"/>
    </w:pPr>
  </w:style>
  <w:style w:type="paragraph" w:customStyle="1" w:styleId="144">
    <w:name w:val="终结线"/>
    <w:basedOn w:val="1"/>
    <w:autoRedefine/>
    <w:qFormat/>
    <w:uiPriority w:val="0"/>
    <w:pPr>
      <w:framePr w:hSpace="181" w:vSpace="181" w:wrap="around" w:vAnchor="text" w:hAnchor="margin" w:xAlign="center" w:y="285"/>
    </w:pPr>
  </w:style>
  <w:style w:type="paragraph" w:customStyle="1" w:styleId="145">
    <w:name w:val="其他实施日期"/>
    <w:basedOn w:val="76"/>
    <w:autoRedefine/>
    <w:qFormat/>
    <w:uiPriority w:val="99"/>
    <w:pPr>
      <w:framePr w:wrap="around"/>
    </w:pPr>
  </w:style>
  <w:style w:type="paragraph" w:customStyle="1" w:styleId="146">
    <w:name w:val="封面标准英文名称2"/>
    <w:basedOn w:val="72"/>
    <w:autoRedefine/>
    <w:qFormat/>
    <w:uiPriority w:val="0"/>
    <w:pPr>
      <w:framePr w:wrap="around" w:y="4469"/>
    </w:pPr>
  </w:style>
  <w:style w:type="paragraph" w:customStyle="1" w:styleId="147">
    <w:name w:val="封面标准文稿类别2"/>
    <w:basedOn w:val="120"/>
    <w:qFormat/>
    <w:uiPriority w:val="0"/>
    <w:pPr>
      <w:framePr w:wrap="around" w:y="4469"/>
    </w:pPr>
  </w:style>
  <w:style w:type="paragraph" w:styleId="148">
    <w:name w:val="List Paragraph"/>
    <w:basedOn w:val="1"/>
    <w:qFormat/>
    <w:uiPriority w:val="34"/>
    <w:pPr>
      <w:ind w:firstLine="420" w:firstLineChars="200"/>
    </w:pPr>
    <w:rPr>
      <w:rFonts w:ascii="Calibri" w:hAnsi="Calibri"/>
      <w:szCs w:val="22"/>
    </w:rPr>
  </w:style>
  <w:style w:type="paragraph" w:customStyle="1" w:styleId="149">
    <w:name w:val="Char Char Char Char"/>
    <w:basedOn w:val="1"/>
    <w:qFormat/>
    <w:uiPriority w:val="0"/>
    <w:pPr>
      <w:adjustRightInd w:val="0"/>
      <w:spacing w:line="360" w:lineRule="auto"/>
    </w:pPr>
    <w:rPr>
      <w:kern w:val="0"/>
      <w:sz w:val="24"/>
      <w:szCs w:val="20"/>
    </w:rPr>
  </w:style>
  <w:style w:type="character" w:styleId="150">
    <w:name w:val="Placeholder Text"/>
    <w:autoRedefine/>
    <w:unhideWhenUsed/>
    <w:qFormat/>
    <w:uiPriority w:val="99"/>
    <w:rPr>
      <w:color w:val="808080"/>
    </w:rPr>
  </w:style>
  <w:style w:type="paragraph" w:customStyle="1" w:styleId="151">
    <w:name w:val="Other|1"/>
    <w:basedOn w:val="1"/>
    <w:qFormat/>
    <w:uiPriority w:val="0"/>
    <w:pPr>
      <w:spacing w:line="365" w:lineRule="auto"/>
      <w:ind w:firstLine="120"/>
    </w:pPr>
    <w:rPr>
      <w:rFonts w:ascii="宋体" w:hAnsi="宋体" w:cs="宋体"/>
      <w:sz w:val="18"/>
      <w:szCs w:val="18"/>
    </w:rPr>
  </w:style>
  <w:style w:type="paragraph" w:customStyle="1" w:styleId="152">
    <w:name w:val="Heading #3|2"/>
    <w:basedOn w:val="1"/>
    <w:autoRedefine/>
    <w:qFormat/>
    <w:uiPriority w:val="0"/>
    <w:pPr>
      <w:spacing w:after="40"/>
      <w:jc w:val="center"/>
      <w:outlineLvl w:val="2"/>
    </w:pPr>
    <w:rPr>
      <w:rFonts w:ascii="宋体" w:hAnsi="宋体" w:cs="宋体"/>
      <w:sz w:val="18"/>
      <w:szCs w:val="18"/>
      <w:lang w:val="zh-TW" w:eastAsia="zh-TW" w:bidi="zh-TW"/>
    </w:rPr>
  </w:style>
  <w:style w:type="paragraph" w:customStyle="1" w:styleId="153">
    <w:name w:val="Table caption|1"/>
    <w:basedOn w:val="1"/>
    <w:qFormat/>
    <w:uiPriority w:val="0"/>
    <w:rPr>
      <w:rFonts w:ascii="宋体" w:hAnsi="宋体" w:cs="宋体"/>
      <w:sz w:val="18"/>
      <w:szCs w:val="18"/>
      <w:lang w:val="zh-TW" w:eastAsia="zh-TW" w:bidi="zh-TW"/>
    </w:rPr>
  </w:style>
  <w:style w:type="paragraph" w:customStyle="1" w:styleId="154">
    <w:name w:val="Heading #3|1"/>
    <w:basedOn w:val="1"/>
    <w:qFormat/>
    <w:uiPriority w:val="0"/>
    <w:pPr>
      <w:outlineLvl w:val="2"/>
    </w:pPr>
    <w:rPr>
      <w:rFonts w:ascii="宋体" w:hAnsi="宋体" w:cs="宋体"/>
      <w:sz w:val="18"/>
      <w:szCs w:val="18"/>
    </w:rPr>
  </w:style>
  <w:style w:type="paragraph" w:customStyle="1" w:styleId="155">
    <w:name w:val="Header or footer|1"/>
    <w:basedOn w:val="1"/>
    <w:qFormat/>
    <w:uiPriority w:val="0"/>
    <w:rPr>
      <w:b/>
      <w:bCs/>
      <w:sz w:val="20"/>
      <w:szCs w:val="20"/>
    </w:rPr>
  </w:style>
  <w:style w:type="character" w:customStyle="1" w:styleId="156">
    <w:name w:val="页脚 Char"/>
    <w:qFormat/>
    <w:uiPriority w:val="0"/>
    <w:rPr>
      <w:rFonts w:ascii="Calibri" w:hAnsi="Calibri" w:eastAsia="宋体" w:cs="Times New Roman"/>
      <w:kern w:val="2"/>
      <w:sz w:val="18"/>
      <w:szCs w:val="18"/>
    </w:rPr>
  </w:style>
  <w:style w:type="paragraph" w:customStyle="1" w:styleId="157">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5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59">
    <w:name w:val="其他"/>
    <w:basedOn w:val="1"/>
    <w:qFormat/>
    <w:uiPriority w:val="0"/>
    <w:pPr>
      <w:shd w:val="clear" w:color="auto" w:fill="FFFFFF"/>
      <w:spacing w:line="283" w:lineRule="auto"/>
    </w:pPr>
    <w:rPr>
      <w:rFonts w:ascii="MingLiU" w:hAnsi="MingLiU" w:eastAsia="MingLiU" w:cs="MingLiU"/>
      <w:sz w:val="19"/>
      <w:szCs w:val="19"/>
    </w:rPr>
  </w:style>
  <w:style w:type="paragraph" w:customStyle="1" w:styleId="160">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02E102-B175-4D59-A8D1-094E8FDD1BD5}">
  <ds:schemaRefs/>
</ds:datastoreItem>
</file>

<file path=docProps/app.xml><?xml version="1.0" encoding="utf-8"?>
<Properties xmlns="http://schemas.openxmlformats.org/officeDocument/2006/extended-properties" xmlns:vt="http://schemas.openxmlformats.org/officeDocument/2006/docPropsVTypes">
  <Template>Normal</Template>
  <Pages>11</Pages>
  <Words>2346</Words>
  <Characters>2960</Characters>
  <Lines>11</Lines>
  <Paragraphs>10</Paragraphs>
  <TotalTime>19</TotalTime>
  <ScaleCrop>false</ScaleCrop>
  <LinksUpToDate>false</LinksUpToDate>
  <CharactersWithSpaces>3221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2024-06-05T02:30:00Z</dcterms:created>
  <cp:lastPrinted>2022-11-11T01:50:00Z</cp:lastPrinted>
  <dcterms:modified xsi:type="dcterms:W3CDTF">2024-10-21T09:03:24Z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08E8DCA610514901B4CE90EB6826344D_13</vt:lpwstr>
  </property>
</Properties>
</file>