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D531B">
      <w:pPr>
        <w:pStyle w:val="97"/>
        <w:framePr w:w="0" w:hRule="auto" w:wrap="around" w:x="1590" w:y="2356"/>
        <w:rPr>
          <w:rFonts w:ascii="Times New Roman"/>
          <w:color w:val="000000"/>
          <w:szCs w:val="48"/>
        </w:rPr>
      </w:pPr>
      <w:r>
        <w:rPr>
          <w:rFonts w:ascii="Times New Roman"/>
          <w:color w:val="000000"/>
        </w:rPr>
        <w:t>团体标准</w:t>
      </w:r>
    </w:p>
    <w:p w14:paraId="3EAC8007">
      <w:pPr>
        <w:pStyle w:val="78"/>
        <w:framePr w:h="2001" w:hRule="exact" w:wrap="around"/>
        <w:pBdr>
          <w:bottom w:val="single" w:color="auto" w:sz="4" w:space="1"/>
        </w:pBdr>
        <w:wordWrap w:val="0"/>
        <w:rPr>
          <w:rFonts w:ascii="Times New Roman" w:eastAsia="宋体"/>
        </w:rPr>
      </w:pPr>
      <w:r>
        <w:rPr>
          <w:rFonts w:ascii="Times New Roman" w:eastAsia="宋体"/>
        </w:rPr>
        <w:t xml:space="preserve">T/SSEA </w:t>
      </w:r>
      <w:r>
        <w:rPr>
          <w:rFonts w:hint="eastAsia" w:ascii="Times New Roman" w:eastAsia="宋体"/>
        </w:rPr>
        <w:t>XXXX</w:t>
      </w:r>
      <w:r>
        <w:rPr>
          <w:rFonts w:ascii="Times New Roman" w:eastAsia="宋体"/>
        </w:rPr>
        <w:t>—202</w:t>
      </w:r>
      <w:r>
        <w:rPr>
          <w:rFonts w:hint="eastAsia" w:ascii="Times New Roman" w:eastAsia="宋体"/>
        </w:rPr>
        <w:t>4</w:t>
      </w:r>
    </w:p>
    <w:p w14:paraId="7AB86BA9">
      <w:pPr>
        <w:pStyle w:val="78"/>
        <w:framePr w:h="2001" w:hRule="exact" w:wrap="around"/>
        <w:pBdr>
          <w:bottom w:val="single" w:color="auto" w:sz="4" w:space="1"/>
        </w:pBdr>
        <w:wordWrap w:val="0"/>
        <w:rPr>
          <w:rFonts w:ascii="Times New Roman" w:eastAsia="宋体"/>
        </w:rPr>
      </w:pPr>
      <w:r>
        <w:rPr>
          <w:rFonts w:ascii="Times New Roman" w:eastAsia="宋体"/>
        </w:rPr>
        <w:t xml:space="preserve">T/CSTA </w:t>
      </w:r>
      <w:r>
        <w:rPr>
          <w:rFonts w:hint="eastAsia" w:ascii="Times New Roman" w:eastAsia="宋体"/>
        </w:rPr>
        <w:t>XXXX</w:t>
      </w:r>
      <w:r>
        <w:rPr>
          <w:rFonts w:ascii="Times New Roman" w:eastAsia="宋体"/>
        </w:rPr>
        <w:t>—202</w:t>
      </w:r>
      <w:r>
        <w:rPr>
          <w:rFonts w:hint="eastAsia" w:ascii="Times New Roman" w:eastAsia="宋体"/>
        </w:rPr>
        <w:t>4</w:t>
      </w:r>
    </w:p>
    <w:p w14:paraId="1007361F">
      <w:pPr>
        <w:pStyle w:val="78"/>
        <w:framePr w:h="2001" w:hRule="exact" w:wrap="around"/>
        <w:rPr>
          <w:rFonts w:ascii="Times New Roman" w:eastAsia="宋体"/>
        </w:rPr>
      </w:pPr>
    </w:p>
    <w:p w14:paraId="7FB40352">
      <w:pPr>
        <w:pStyle w:val="78"/>
        <w:framePr w:h="2001" w:hRule="exact" w:wrap="around"/>
        <w:rPr>
          <w:rFonts w:ascii="Times New Roman" w:eastAsia="宋体"/>
        </w:rPr>
      </w:pPr>
    </w:p>
    <w:p w14:paraId="155BCB40">
      <w:pPr>
        <w:pStyle w:val="68"/>
        <w:framePr w:wrap="around"/>
        <w:rPr>
          <w:rFonts w:ascii="Times New Roman"/>
        </w:rPr>
      </w:pPr>
      <w:r>
        <w:rPr>
          <w:rFonts w:hint="eastAsia" w:ascii="Times New Roman"/>
        </w:rPr>
        <w:t>家电用彩色涂层钢板及钢带产品质量分级和评价方法</w:t>
      </w:r>
    </w:p>
    <w:p w14:paraId="7D911AF5">
      <w:pPr>
        <w:pStyle w:val="67"/>
        <w:framePr w:wrap="around"/>
      </w:pPr>
      <w:r>
        <w:t xml:space="preserve">Quality gradation and evaluation for </w:t>
      </w:r>
      <w:r>
        <w:rPr>
          <w:rFonts w:hint="eastAsia"/>
        </w:rPr>
        <w:t xml:space="preserve">prepainted </w:t>
      </w:r>
      <w:r>
        <w:t xml:space="preserve">steel </w:t>
      </w:r>
      <w:r>
        <w:rPr>
          <w:rFonts w:hint="eastAsia"/>
        </w:rPr>
        <w:t>sheets and strips</w:t>
      </w:r>
      <w:r>
        <w:t xml:space="preserve"> for </w:t>
      </w:r>
      <w:r>
        <w:rPr>
          <w:rFonts w:hint="eastAsia"/>
        </w:rPr>
        <w:t>household appliance</w:t>
      </w:r>
    </w:p>
    <w:p w14:paraId="42C4187F">
      <w:pPr>
        <w:pStyle w:val="66"/>
        <w:framePr w:wrap="around"/>
        <w:spacing w:before="156" w:after="156"/>
        <w:rPr>
          <w:rFonts w:ascii="Times New Roman"/>
        </w:rPr>
      </w:pPr>
    </w:p>
    <w:p w14:paraId="77ECA4C3">
      <w:pPr>
        <w:pStyle w:val="109"/>
        <w:framePr w:wrap="around" w:hAnchor="page" w:x="1175" w:y="14086"/>
        <w:rPr>
          <w:rFonts w:eastAsia="宋体"/>
        </w:rPr>
      </w:pPr>
      <w:bookmarkStart w:id="0" w:name="FM"/>
      <w:bookmarkStart w:id="24" w:name="_GoBack"/>
      <w:r>
        <mc:AlternateContent>
          <mc:Choice Requires="wps">
            <w:drawing>
              <wp:anchor distT="0" distB="0" distL="114300" distR="114300" simplePos="0" relativeHeight="251659264" behindDoc="1" locked="0" layoutInCell="1" allowOverlap="1">
                <wp:simplePos x="0" y="0"/>
                <wp:positionH relativeFrom="column">
                  <wp:posOffset>232410</wp:posOffset>
                </wp:positionH>
                <wp:positionV relativeFrom="paragraph">
                  <wp:posOffset>16510</wp:posOffset>
                </wp:positionV>
                <wp:extent cx="5948680" cy="0"/>
                <wp:effectExtent l="0" t="0" r="33020" b="19050"/>
                <wp:wrapTight wrapText="bothSides">
                  <wp:wrapPolygon>
                    <wp:start x="0" y="-1"/>
                    <wp:lineTo x="0" y="-1"/>
                    <wp:lineTo x="21651" y="-1"/>
                    <wp:lineTo x="21651" y="-1"/>
                    <wp:lineTo x="0" y="-1"/>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8.3pt;margin-top:1.3pt;height:0pt;width:468.4pt;mso-wrap-distance-left:9pt;mso-wrap-distance-right:9pt;z-index:-251657216;mso-width-relative:page;mso-height-relative:page;" filled="f" stroked="t" coordsize="21600,21600" wrapcoords="0 -1 0 -1 21651 -1 21651 -1 0 -1" o:gfxdata="UEsDBAoAAAAAAIdO4kAAAAAAAAAAAAAAAAAEAAAAZHJzL1BLAwQUAAAACACHTuJA7tCS8tQAAAAG&#10;AQAADwAAAGRycy9kb3ducmV2LnhtbE2OvU7DQBCEeyTe4bRINBE5x0YOGJ9TAO5oCES0G99iW/j2&#10;HN/lB56ehQaq0WhGM1+5OrlBHWgKvWcDi3kCirjxtufWwOtLfXUDKkRki4NnMvBJAVbV+VmJhfVH&#10;fqbDOrZKRjgUaKCLcSy0Dk1HDsPcj8SSvfvJYRQ7tdpOeJRxN+g0SXLtsGd56HCk+46aj/XeGQj1&#10;hnb116yZJW9Z6yndPTw9ojGXF4vkDlSkU/wrww++oEMlTFu/ZxvUYCDLc2kaSEUkvl1m16C2v15X&#10;pf6PX30DUEsDBBQAAAAIAIdO4kA8CvUmyQEAAJ8DAAAOAAAAZHJzL2Uyb0RvYy54bWytU8Fu2zAM&#10;vQ/YPwi6L06CpkiNOD0k6C7ZFqDdByiybAuVREFUYufvR8lJ2nWXHuaDIInk43uP8upxsIadVEAN&#10;ruKzyZQz5STU2rUV//3y9G3JGUbhamHAqYqfFfLH9dcvq96Xag4dmFoFRiAOy95XvIvRl0WBslNW&#10;4AS8chRsIFgR6Rjaog6iJ3Rrivl0el/0EGofQCpEut2OQX5BDJ8BhKbRUm1BHq1ycUQNyohIkrDT&#10;Hvk6s20aJeOvpkEVmak4KY15pSa0P6S1WK9E2QbhOy0vFMRnKHzQZIV21PQGtRVRsGPQ/0BZLQMg&#10;NHEiwRajkOwIqZhNP3jz3AmvshayGv3NdPx/sPLnaR+Yriu+4MwJSwPfaafYMjnTeywpYeP2IWmT&#10;g3v2O5CvyBxsOuFalRm+nD2VzVJF8VdJOqAn/EP/A2rKEccI2aahCTZBkgFsyNM436ahhsgkXS4e&#10;7pb3SxqUvMYKUV4LfcD4XYFlaVNxQ5wzsDjtMCYiorympD4OnrQxedjGsb7iD4v5IhcgGF2nYErD&#10;0B42JrCTSM8lf1kVRd6nBTi6emxi3EV00jk6doD6vA9XM2humc3ljaWH8f6cq9/+q/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tCS8tQAAAAGAQAADwAAAAAAAAABACAAAAAiAAAAZHJzL2Rvd25y&#10;ZXYueG1sUEsBAhQAFAAAAAgAh07iQDwK9SbJAQAAnwMAAA4AAAAAAAAAAQAgAAAAIwEAAGRycy9l&#10;Mm9Eb2MueG1sUEsFBgAAAAAGAAYAWQEAAF4FAAAAAA==&#10;">
                <v:fill on="f" focussize="0,0"/>
                <v:stroke color="#000000" joinstyle="round"/>
                <v:imagedata o:title=""/>
                <o:lock v:ext="edit" aspectratio="f"/>
                <w10:wrap type="tight"/>
              </v:line>
            </w:pict>
          </mc:Fallback>
        </mc:AlternateContent>
      </w:r>
      <w:bookmarkEnd w:id="24"/>
      <w:r>
        <w:rPr>
          <w:rFonts w:eastAsia="宋体"/>
        </w:rPr>
        <w:t>XXXX-</w:t>
      </w:r>
      <w:bookmarkEnd w:id="0"/>
      <w:r>
        <w:rPr>
          <w:rFonts w:eastAsia="宋体"/>
        </w:rPr>
        <w:t>XX-XX</w:t>
      </w:r>
      <w:r>
        <w:t>发布</w:t>
      </w:r>
    </w:p>
    <w:p w14:paraId="4C79CADE">
      <w:pPr>
        <w:pStyle w:val="140"/>
        <w:framePr w:wrap="around" w:hAnchor="page" w:x="6661" w:y="14041"/>
      </w:pPr>
      <w:r>
        <w:rPr>
          <w:rFonts w:eastAsia="宋体"/>
        </w:rPr>
        <w:t>XXXX-XX-XX</w:t>
      </w:r>
      <w:r>
        <w:t>实施</w:t>
      </w:r>
    </w:p>
    <w:p w14:paraId="77689491">
      <w:pPr>
        <w:pStyle w:val="132"/>
        <w:framePr w:wrap="around" w:x="2156" w:y="15196"/>
        <w:rPr>
          <w:rFonts w:ascii="Times New Roman"/>
        </w:rPr>
      </w:pPr>
      <w:r>
        <w:rPr>
          <w:rFonts w:ascii="Times New Roman"/>
          <w:sz w:val="36"/>
          <w:szCs w:val="36"/>
        </w:rPr>
        <w:t>中国特钢企业协会</w:t>
      </w:r>
      <w:r>
        <w:rPr>
          <w:rFonts w:ascii="Times New Roman"/>
        </w:rPr>
        <w:t>发布</w:t>
      </w:r>
    </w:p>
    <w:p w14:paraId="02186A6D">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77.140.50</w:t>
      </w:r>
    </w:p>
    <w:p w14:paraId="7DB792DD">
      <w:pPr>
        <w:pStyle w:val="22"/>
        <w:spacing w:line="340" w:lineRule="exact"/>
        <w:rPr>
          <w:rFonts w:ascii="Times New Roman"/>
        </w:rPr>
      </w:pPr>
      <w:r>
        <w:rPr>
          <w:rFonts w:ascii="Times New Roman"/>
        </w:rPr>
        <w:t>CCS H 46</w:t>
      </w:r>
    </w:p>
    <w:p w14:paraId="068A1C21">
      <w:pPr>
        <w:pStyle w:val="22"/>
        <w:spacing w:line="340" w:lineRule="exact"/>
        <w:rPr>
          <w:rFonts w:ascii="Times New Roman"/>
        </w:rPr>
      </w:pPr>
    </w:p>
    <w:p w14:paraId="7B65E17F">
      <w:pPr>
        <w:jc w:val="center"/>
        <w:rPr>
          <w:spacing w:val="20"/>
          <w:sz w:val="28"/>
          <w:szCs w:val="28"/>
        </w:rPr>
      </w:pPr>
    </w:p>
    <w:p w14:paraId="0E88B83B">
      <w:pPr>
        <w:jc w:val="center"/>
        <w:rPr>
          <w:spacing w:val="20"/>
          <w:sz w:val="28"/>
          <w:szCs w:val="28"/>
        </w:rPr>
      </w:pPr>
    </w:p>
    <w:p w14:paraId="2E1062E9">
      <w:pPr>
        <w:jc w:val="center"/>
        <w:rPr>
          <w:spacing w:val="20"/>
          <w:sz w:val="28"/>
          <w:szCs w:val="28"/>
        </w:rPr>
      </w:pPr>
    </w:p>
    <w:p w14:paraId="13BEBEE4">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14:paraId="728F3AD0">
      <w:pPr>
        <w:keepNext/>
        <w:pageBreakBefore/>
        <w:widowControl/>
        <w:shd w:val="clear" w:color="FFFFFF" w:fill="FFFFFF"/>
        <w:spacing w:before="640" w:after="560"/>
        <w:jc w:val="center"/>
        <w:outlineLvl w:val="0"/>
        <w:rPr>
          <w:rFonts w:eastAsia="黑体"/>
          <w:kern w:val="0"/>
          <w:sz w:val="32"/>
          <w:szCs w:val="20"/>
        </w:rPr>
      </w:pPr>
      <w:bookmarkStart w:id="1" w:name="_Toc520380389"/>
    </w:p>
    <w:p w14:paraId="7BD03226">
      <w:pPr>
        <w:widowControl/>
        <w:tabs>
          <w:tab w:val="center" w:pos="4201"/>
          <w:tab w:val="right" w:leader="dot" w:pos="9298"/>
        </w:tabs>
        <w:autoSpaceDE w:val="0"/>
        <w:autoSpaceDN w:val="0"/>
        <w:ind w:firstLine="400" w:firstLineChars="200"/>
        <w:rPr>
          <w:kern w:val="0"/>
          <w:sz w:val="20"/>
          <w:szCs w:val="20"/>
        </w:rPr>
      </w:pPr>
    </w:p>
    <w:p w14:paraId="7D20CDEB">
      <w:pPr>
        <w:widowControl/>
        <w:tabs>
          <w:tab w:val="center" w:pos="4201"/>
          <w:tab w:val="right" w:leader="dot" w:pos="9298"/>
        </w:tabs>
        <w:autoSpaceDE w:val="0"/>
        <w:autoSpaceDN w:val="0"/>
        <w:ind w:firstLine="400" w:firstLineChars="200"/>
        <w:rPr>
          <w:kern w:val="0"/>
          <w:sz w:val="20"/>
          <w:szCs w:val="20"/>
        </w:rPr>
      </w:pPr>
    </w:p>
    <w:p w14:paraId="6E88A2C9">
      <w:pPr>
        <w:widowControl/>
        <w:tabs>
          <w:tab w:val="center" w:pos="4201"/>
          <w:tab w:val="right" w:leader="dot" w:pos="9298"/>
        </w:tabs>
        <w:autoSpaceDE w:val="0"/>
        <w:autoSpaceDN w:val="0"/>
        <w:ind w:firstLine="400" w:firstLineChars="200"/>
        <w:rPr>
          <w:kern w:val="0"/>
          <w:sz w:val="20"/>
          <w:szCs w:val="20"/>
        </w:rPr>
      </w:pPr>
    </w:p>
    <w:p w14:paraId="0AD9E0F3">
      <w:pPr>
        <w:widowControl/>
        <w:tabs>
          <w:tab w:val="center" w:pos="4201"/>
          <w:tab w:val="right" w:leader="dot" w:pos="9298"/>
        </w:tabs>
        <w:autoSpaceDE w:val="0"/>
        <w:autoSpaceDN w:val="0"/>
        <w:ind w:firstLine="400" w:firstLineChars="200"/>
        <w:rPr>
          <w:kern w:val="0"/>
          <w:sz w:val="20"/>
          <w:szCs w:val="20"/>
        </w:rPr>
      </w:pPr>
    </w:p>
    <w:p w14:paraId="63977B5B">
      <w:pPr>
        <w:widowControl/>
        <w:tabs>
          <w:tab w:val="center" w:pos="4201"/>
          <w:tab w:val="right" w:leader="dot" w:pos="9298"/>
        </w:tabs>
        <w:autoSpaceDE w:val="0"/>
        <w:autoSpaceDN w:val="0"/>
        <w:ind w:firstLine="400" w:firstLineChars="200"/>
        <w:rPr>
          <w:kern w:val="0"/>
          <w:sz w:val="20"/>
          <w:szCs w:val="20"/>
        </w:rPr>
      </w:pPr>
    </w:p>
    <w:p w14:paraId="45642AEC">
      <w:pPr>
        <w:widowControl/>
        <w:tabs>
          <w:tab w:val="center" w:pos="4201"/>
          <w:tab w:val="right" w:leader="dot" w:pos="9298"/>
        </w:tabs>
        <w:autoSpaceDE w:val="0"/>
        <w:autoSpaceDN w:val="0"/>
        <w:ind w:firstLine="400" w:firstLineChars="200"/>
        <w:rPr>
          <w:kern w:val="0"/>
          <w:sz w:val="20"/>
          <w:szCs w:val="20"/>
        </w:rPr>
      </w:pPr>
    </w:p>
    <w:p w14:paraId="2ECF89E9">
      <w:pPr>
        <w:widowControl/>
        <w:tabs>
          <w:tab w:val="center" w:pos="4201"/>
          <w:tab w:val="right" w:leader="dot" w:pos="9298"/>
        </w:tabs>
        <w:autoSpaceDE w:val="0"/>
        <w:autoSpaceDN w:val="0"/>
        <w:ind w:firstLine="400" w:firstLineChars="200"/>
        <w:rPr>
          <w:kern w:val="0"/>
          <w:sz w:val="20"/>
          <w:szCs w:val="20"/>
        </w:rPr>
      </w:pPr>
    </w:p>
    <w:p w14:paraId="6AEA71E1">
      <w:pPr>
        <w:widowControl/>
        <w:tabs>
          <w:tab w:val="center" w:pos="4201"/>
          <w:tab w:val="right" w:leader="dot" w:pos="9298"/>
        </w:tabs>
        <w:autoSpaceDE w:val="0"/>
        <w:autoSpaceDN w:val="0"/>
        <w:ind w:firstLine="400" w:firstLineChars="200"/>
        <w:rPr>
          <w:kern w:val="0"/>
          <w:sz w:val="20"/>
          <w:szCs w:val="20"/>
        </w:rPr>
      </w:pPr>
    </w:p>
    <w:p w14:paraId="3F1FB475">
      <w:pPr>
        <w:widowControl/>
        <w:tabs>
          <w:tab w:val="center" w:pos="4201"/>
          <w:tab w:val="right" w:leader="dot" w:pos="9298"/>
        </w:tabs>
        <w:autoSpaceDE w:val="0"/>
        <w:autoSpaceDN w:val="0"/>
        <w:ind w:firstLine="400" w:firstLineChars="200"/>
        <w:rPr>
          <w:kern w:val="0"/>
          <w:sz w:val="20"/>
          <w:szCs w:val="20"/>
        </w:rPr>
      </w:pPr>
    </w:p>
    <w:p w14:paraId="3E5ABFC0">
      <w:pPr>
        <w:widowControl/>
        <w:tabs>
          <w:tab w:val="center" w:pos="4201"/>
          <w:tab w:val="right" w:leader="dot" w:pos="9298"/>
        </w:tabs>
        <w:autoSpaceDE w:val="0"/>
        <w:autoSpaceDN w:val="0"/>
        <w:ind w:firstLine="400" w:firstLineChars="200"/>
        <w:rPr>
          <w:kern w:val="0"/>
          <w:sz w:val="20"/>
          <w:szCs w:val="20"/>
        </w:rPr>
      </w:pPr>
    </w:p>
    <w:p w14:paraId="3A7AFB06">
      <w:pPr>
        <w:widowControl/>
        <w:tabs>
          <w:tab w:val="center" w:pos="4201"/>
          <w:tab w:val="right" w:leader="dot" w:pos="9298"/>
        </w:tabs>
        <w:autoSpaceDE w:val="0"/>
        <w:autoSpaceDN w:val="0"/>
        <w:ind w:firstLine="400" w:firstLineChars="200"/>
        <w:rPr>
          <w:kern w:val="0"/>
          <w:sz w:val="20"/>
          <w:szCs w:val="20"/>
        </w:rPr>
      </w:pPr>
    </w:p>
    <w:p w14:paraId="1AFCD998">
      <w:pPr>
        <w:widowControl/>
        <w:tabs>
          <w:tab w:val="center" w:pos="4201"/>
          <w:tab w:val="right" w:leader="dot" w:pos="9298"/>
        </w:tabs>
        <w:autoSpaceDE w:val="0"/>
        <w:autoSpaceDN w:val="0"/>
        <w:ind w:firstLine="400" w:firstLineChars="200"/>
        <w:rPr>
          <w:kern w:val="0"/>
          <w:sz w:val="20"/>
          <w:szCs w:val="20"/>
        </w:rPr>
      </w:pPr>
    </w:p>
    <w:p w14:paraId="71344979">
      <w:pPr>
        <w:widowControl/>
        <w:tabs>
          <w:tab w:val="center" w:pos="4201"/>
          <w:tab w:val="right" w:leader="dot" w:pos="9298"/>
        </w:tabs>
        <w:autoSpaceDE w:val="0"/>
        <w:autoSpaceDN w:val="0"/>
        <w:ind w:firstLine="400" w:firstLineChars="200"/>
        <w:rPr>
          <w:kern w:val="0"/>
          <w:sz w:val="20"/>
          <w:szCs w:val="20"/>
        </w:rPr>
      </w:pPr>
    </w:p>
    <w:p w14:paraId="7DF39C11">
      <w:pPr>
        <w:widowControl/>
        <w:tabs>
          <w:tab w:val="center" w:pos="4201"/>
          <w:tab w:val="right" w:leader="dot" w:pos="9298"/>
        </w:tabs>
        <w:autoSpaceDE w:val="0"/>
        <w:autoSpaceDN w:val="0"/>
        <w:ind w:firstLine="400" w:firstLineChars="200"/>
        <w:rPr>
          <w:kern w:val="0"/>
          <w:sz w:val="20"/>
          <w:szCs w:val="20"/>
        </w:rPr>
      </w:pPr>
    </w:p>
    <w:p w14:paraId="05B734C9">
      <w:pPr>
        <w:widowControl/>
        <w:tabs>
          <w:tab w:val="center" w:pos="4201"/>
          <w:tab w:val="right" w:leader="dot" w:pos="9298"/>
        </w:tabs>
        <w:autoSpaceDE w:val="0"/>
        <w:autoSpaceDN w:val="0"/>
        <w:ind w:firstLine="400" w:firstLineChars="200"/>
        <w:rPr>
          <w:kern w:val="0"/>
          <w:sz w:val="20"/>
          <w:szCs w:val="20"/>
        </w:rPr>
      </w:pPr>
    </w:p>
    <w:p w14:paraId="6070B931">
      <w:pPr>
        <w:widowControl/>
        <w:tabs>
          <w:tab w:val="center" w:pos="4201"/>
          <w:tab w:val="right" w:leader="dot" w:pos="9298"/>
        </w:tabs>
        <w:autoSpaceDE w:val="0"/>
        <w:autoSpaceDN w:val="0"/>
        <w:ind w:firstLine="400" w:firstLineChars="200"/>
        <w:rPr>
          <w:kern w:val="0"/>
          <w:sz w:val="20"/>
          <w:szCs w:val="20"/>
        </w:rPr>
      </w:pPr>
    </w:p>
    <w:p w14:paraId="5F7D7327">
      <w:pPr>
        <w:widowControl/>
        <w:tabs>
          <w:tab w:val="center" w:pos="4201"/>
          <w:tab w:val="right" w:leader="dot" w:pos="9298"/>
        </w:tabs>
        <w:autoSpaceDE w:val="0"/>
        <w:autoSpaceDN w:val="0"/>
        <w:ind w:firstLine="400" w:firstLineChars="200"/>
        <w:rPr>
          <w:kern w:val="0"/>
          <w:sz w:val="20"/>
          <w:szCs w:val="20"/>
        </w:rPr>
      </w:pPr>
    </w:p>
    <w:p w14:paraId="6AB77DA6">
      <w:pPr>
        <w:widowControl/>
        <w:tabs>
          <w:tab w:val="center" w:pos="4201"/>
          <w:tab w:val="right" w:leader="dot" w:pos="9298"/>
        </w:tabs>
        <w:autoSpaceDE w:val="0"/>
        <w:autoSpaceDN w:val="0"/>
        <w:ind w:firstLine="400" w:firstLineChars="200"/>
        <w:rPr>
          <w:kern w:val="0"/>
          <w:sz w:val="20"/>
          <w:szCs w:val="20"/>
        </w:rPr>
      </w:pPr>
    </w:p>
    <w:p w14:paraId="1C5C4B62">
      <w:pPr>
        <w:widowControl/>
        <w:tabs>
          <w:tab w:val="center" w:pos="4201"/>
          <w:tab w:val="right" w:leader="dot" w:pos="9298"/>
        </w:tabs>
        <w:autoSpaceDE w:val="0"/>
        <w:autoSpaceDN w:val="0"/>
        <w:ind w:firstLine="400" w:firstLineChars="200"/>
        <w:rPr>
          <w:kern w:val="0"/>
          <w:sz w:val="20"/>
          <w:szCs w:val="20"/>
        </w:rPr>
      </w:pPr>
    </w:p>
    <w:p w14:paraId="1BC4AEAB">
      <w:pPr>
        <w:widowControl/>
        <w:tabs>
          <w:tab w:val="center" w:pos="4201"/>
          <w:tab w:val="right" w:leader="dot" w:pos="9298"/>
        </w:tabs>
        <w:autoSpaceDE w:val="0"/>
        <w:autoSpaceDN w:val="0"/>
        <w:ind w:firstLine="400" w:firstLineChars="200"/>
        <w:rPr>
          <w:kern w:val="0"/>
          <w:sz w:val="20"/>
          <w:szCs w:val="20"/>
        </w:rPr>
      </w:pPr>
    </w:p>
    <w:p w14:paraId="636D9535">
      <w:pPr>
        <w:widowControl/>
        <w:tabs>
          <w:tab w:val="center" w:pos="4201"/>
          <w:tab w:val="right" w:leader="dot" w:pos="9298"/>
        </w:tabs>
        <w:autoSpaceDE w:val="0"/>
        <w:autoSpaceDN w:val="0"/>
        <w:ind w:firstLine="400" w:firstLineChars="200"/>
        <w:rPr>
          <w:kern w:val="0"/>
          <w:sz w:val="20"/>
          <w:szCs w:val="20"/>
        </w:rPr>
      </w:pPr>
    </w:p>
    <w:p w14:paraId="7E021034">
      <w:pPr>
        <w:widowControl/>
        <w:tabs>
          <w:tab w:val="center" w:pos="4201"/>
          <w:tab w:val="right" w:leader="dot" w:pos="9298"/>
        </w:tabs>
        <w:autoSpaceDE w:val="0"/>
        <w:autoSpaceDN w:val="0"/>
        <w:ind w:firstLine="400" w:firstLineChars="200"/>
        <w:rPr>
          <w:kern w:val="0"/>
          <w:sz w:val="20"/>
          <w:szCs w:val="20"/>
        </w:rPr>
      </w:pPr>
    </w:p>
    <w:p w14:paraId="3034A80F">
      <w:pPr>
        <w:widowControl/>
        <w:tabs>
          <w:tab w:val="center" w:pos="4201"/>
          <w:tab w:val="right" w:leader="dot" w:pos="9298"/>
        </w:tabs>
        <w:autoSpaceDE w:val="0"/>
        <w:autoSpaceDN w:val="0"/>
        <w:ind w:firstLine="400" w:firstLineChars="200"/>
        <w:rPr>
          <w:kern w:val="0"/>
          <w:sz w:val="20"/>
          <w:szCs w:val="20"/>
        </w:rPr>
      </w:pPr>
    </w:p>
    <w:p w14:paraId="6F200304">
      <w:pPr>
        <w:widowControl/>
        <w:tabs>
          <w:tab w:val="center" w:pos="4201"/>
          <w:tab w:val="right" w:leader="dot" w:pos="9298"/>
        </w:tabs>
        <w:autoSpaceDE w:val="0"/>
        <w:autoSpaceDN w:val="0"/>
        <w:ind w:firstLine="400" w:firstLineChars="200"/>
        <w:rPr>
          <w:kern w:val="0"/>
          <w:sz w:val="20"/>
          <w:szCs w:val="20"/>
        </w:rPr>
      </w:pPr>
    </w:p>
    <w:p w14:paraId="3A2099CE">
      <w:pPr>
        <w:widowControl/>
        <w:tabs>
          <w:tab w:val="center" w:pos="4201"/>
          <w:tab w:val="right" w:leader="dot" w:pos="9298"/>
        </w:tabs>
        <w:autoSpaceDE w:val="0"/>
        <w:autoSpaceDN w:val="0"/>
        <w:ind w:firstLine="400" w:firstLineChars="200"/>
        <w:rPr>
          <w:kern w:val="0"/>
          <w:sz w:val="20"/>
          <w:szCs w:val="20"/>
        </w:rPr>
      </w:pPr>
    </w:p>
    <w:p w14:paraId="0FB9364D">
      <w:pPr>
        <w:widowControl/>
        <w:tabs>
          <w:tab w:val="center" w:pos="4201"/>
          <w:tab w:val="right" w:leader="dot" w:pos="9298"/>
        </w:tabs>
        <w:autoSpaceDE w:val="0"/>
        <w:autoSpaceDN w:val="0"/>
        <w:ind w:firstLine="400" w:firstLineChars="200"/>
        <w:rPr>
          <w:kern w:val="0"/>
          <w:sz w:val="20"/>
          <w:szCs w:val="20"/>
        </w:rPr>
      </w:pPr>
    </w:p>
    <w:p w14:paraId="4F64DFDE">
      <w:pPr>
        <w:rPr>
          <w:szCs w:val="21"/>
        </w:rPr>
      </w:pPr>
      <w:r>
        <w:rPr>
          <w:szCs w:val="21"/>
        </w:rPr>
        <w:drawing>
          <wp:inline distT="0" distB="0" distL="114300" distR="114300">
            <wp:extent cx="808990" cy="765175"/>
            <wp:effectExtent l="0" t="0" r="1016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808990" cy="765175"/>
                    </a:xfrm>
                    <a:prstGeom prst="rect">
                      <a:avLst/>
                    </a:prstGeom>
                    <a:noFill/>
                    <a:ln>
                      <a:noFill/>
                    </a:ln>
                  </pic:spPr>
                </pic:pic>
              </a:graphicData>
            </a:graphic>
          </wp:inline>
        </w:drawing>
      </w:r>
      <w:r>
        <w:rPr>
          <w:szCs w:val="21"/>
        </w:rPr>
        <w:t xml:space="preserve"> 版权保护文件</w:t>
      </w:r>
    </w:p>
    <w:p w14:paraId="611673CF">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061028B8">
      <w:pPr>
        <w:pStyle w:val="81"/>
        <w:rPr>
          <w:rFonts w:ascii="Times New Roman"/>
        </w:rPr>
      </w:pPr>
      <w:r>
        <w:rPr>
          <w:rFonts w:ascii="Times New Roman"/>
        </w:rPr>
        <w:t>前言</w:t>
      </w:r>
      <w:bookmarkEnd w:id="1"/>
    </w:p>
    <w:p w14:paraId="34F6D8CF">
      <w:pPr>
        <w:pStyle w:val="22"/>
        <w:rPr>
          <w:rFonts w:ascii="Times New Roman"/>
        </w:rPr>
      </w:pPr>
      <w:r>
        <w:rPr>
          <w:rFonts w:ascii="Times New Roman"/>
        </w:rPr>
        <w:t>本文件按照GB/T 1.1-2020《标准化工作导则  第1部分：标准化文件的结构和起草规则》的规定起草。</w:t>
      </w:r>
    </w:p>
    <w:p w14:paraId="7CE85F5A">
      <w:pPr>
        <w:pStyle w:val="22"/>
        <w:rPr>
          <w:rFonts w:ascii="Times New Roman"/>
        </w:rPr>
      </w:pPr>
      <w:r>
        <w:rPr>
          <w:rFonts w:ascii="Times New Roman"/>
        </w:rPr>
        <w:t>请注意本文件的某些内容可能涉及专利。本文件的发布机构不承担识别专利的责任。</w:t>
      </w:r>
    </w:p>
    <w:p w14:paraId="799EFDF2">
      <w:pPr>
        <w:pStyle w:val="22"/>
        <w:rPr>
          <w:rFonts w:ascii="Times New Roman"/>
        </w:rPr>
      </w:pPr>
      <w:r>
        <w:rPr>
          <w:rFonts w:ascii="Times New Roman"/>
        </w:rPr>
        <w:t>本文件由中国特钢企业协会团体标准化工作委员会提出并归口。</w:t>
      </w:r>
    </w:p>
    <w:p w14:paraId="63812FA9">
      <w:pPr>
        <w:pStyle w:val="22"/>
        <w:rPr>
          <w:rFonts w:ascii="Times New Roman"/>
        </w:rPr>
      </w:pPr>
      <w:r>
        <w:rPr>
          <w:rFonts w:ascii="Times New Roman"/>
        </w:rPr>
        <w:t>本文件起草单位：</w:t>
      </w:r>
    </w:p>
    <w:p w14:paraId="6E0E653F">
      <w:pPr>
        <w:pStyle w:val="22"/>
        <w:rPr>
          <w:rFonts w:ascii="Times New Roman"/>
        </w:rPr>
      </w:pPr>
      <w:r>
        <w:rPr>
          <w:rFonts w:ascii="Times New Roman"/>
        </w:rPr>
        <w:t>本文件主要起草人：</w:t>
      </w:r>
    </w:p>
    <w:p w14:paraId="394F0F95">
      <w:pPr>
        <w:pStyle w:val="22"/>
        <w:rPr>
          <w:rFonts w:ascii="Times New Roman"/>
        </w:rPr>
      </w:pPr>
    </w:p>
    <w:p w14:paraId="29159DF9">
      <w:pPr>
        <w:pStyle w:val="22"/>
        <w:rPr>
          <w:rFonts w:ascii="Times New Roman"/>
        </w:rPr>
      </w:pPr>
    </w:p>
    <w:p w14:paraId="3274CEBA">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14:paraId="45AE7BF7">
      <w:pPr>
        <w:pStyle w:val="58"/>
        <w:spacing w:after="624" w:afterLines="200"/>
        <w:rPr>
          <w:rFonts w:ascii="Times New Roman"/>
        </w:rPr>
      </w:pPr>
      <w:r>
        <w:rPr>
          <w:rFonts w:ascii="Times New Roman"/>
        </w:rPr>
        <w:t>家电用彩色涂层钢板及钢带产品质量分级和评价方法</w:t>
      </w:r>
    </w:p>
    <w:p w14:paraId="51D69855">
      <w:pPr>
        <w:pStyle w:val="45"/>
        <w:numPr>
          <w:ilvl w:val="0"/>
          <w:numId w:val="2"/>
        </w:numPr>
        <w:spacing w:before="312" w:after="312"/>
        <w:rPr>
          <w:rFonts w:ascii="Times New Roman"/>
        </w:rPr>
      </w:pPr>
      <w:bookmarkStart w:id="2" w:name="_Toc512093859"/>
      <w:bookmarkStart w:id="3" w:name="_Toc499730568"/>
      <w:bookmarkStart w:id="4" w:name="_Toc499735462"/>
      <w:bookmarkStart w:id="5" w:name="_Toc499733966"/>
      <w:bookmarkStart w:id="6" w:name="_Toc63427522"/>
      <w:r>
        <w:rPr>
          <w:rFonts w:ascii="Times New Roman"/>
        </w:rPr>
        <w:t>范围</w:t>
      </w:r>
      <w:bookmarkEnd w:id="2"/>
      <w:bookmarkEnd w:id="3"/>
      <w:bookmarkEnd w:id="4"/>
      <w:bookmarkEnd w:id="5"/>
      <w:bookmarkEnd w:id="6"/>
    </w:p>
    <w:p w14:paraId="309EDA68">
      <w:pPr>
        <w:pStyle w:val="22"/>
        <w:rPr>
          <w:rFonts w:ascii="Times New Roman"/>
        </w:rPr>
      </w:pPr>
      <w:r>
        <w:rPr>
          <w:rFonts w:ascii="Times New Roman"/>
        </w:rPr>
        <w:t>本文件规定了</w:t>
      </w:r>
      <w:r>
        <w:rPr>
          <w:rFonts w:hint="eastAsia" w:ascii="Times New Roman"/>
        </w:rPr>
        <w:t>家电用彩色涂层钢板及钢带</w:t>
      </w:r>
      <w:r>
        <w:rPr>
          <w:rFonts w:ascii="Times New Roman"/>
        </w:rPr>
        <w:t>产品质量分级评价的评价指标体系、评价方法以及等级标识。</w:t>
      </w:r>
    </w:p>
    <w:p w14:paraId="592DA657">
      <w:pPr>
        <w:pStyle w:val="22"/>
        <w:rPr>
          <w:rFonts w:ascii="Times New Roman"/>
        </w:rPr>
      </w:pPr>
      <w:r>
        <w:rPr>
          <w:rFonts w:ascii="Times New Roman"/>
        </w:rPr>
        <w:t>本文件适用于</w:t>
      </w:r>
      <w:r>
        <w:rPr>
          <w:rFonts w:hint="eastAsia" w:ascii="Times New Roman"/>
        </w:rPr>
        <w:t>家电用彩色涂层钢板及钢带</w:t>
      </w:r>
      <w:r>
        <w:rPr>
          <w:rFonts w:ascii="Times New Roman"/>
        </w:rPr>
        <w:t>（以下简称</w:t>
      </w:r>
      <w:r>
        <w:rPr>
          <w:rFonts w:hint="eastAsia" w:ascii="Times New Roman"/>
        </w:rPr>
        <w:t>钢板及钢带</w:t>
      </w:r>
      <w:r>
        <w:rPr>
          <w:rFonts w:ascii="Times New Roman"/>
        </w:rPr>
        <w:t>）产品的质量分级和评价。</w:t>
      </w:r>
    </w:p>
    <w:p w14:paraId="47533A49">
      <w:pPr>
        <w:pStyle w:val="45"/>
        <w:numPr>
          <w:ilvl w:val="0"/>
          <w:numId w:val="2"/>
        </w:numPr>
        <w:spacing w:before="312" w:after="312"/>
        <w:rPr>
          <w:rFonts w:ascii="Times New Roman"/>
        </w:rPr>
      </w:pPr>
      <w:bookmarkStart w:id="7" w:name="_Toc499735463"/>
      <w:bookmarkStart w:id="8" w:name="_Toc512093860"/>
      <w:bookmarkStart w:id="9" w:name="_Toc499733967"/>
      <w:bookmarkStart w:id="10" w:name="_Toc499730569"/>
      <w:bookmarkStart w:id="11" w:name="_Toc63427523"/>
      <w:r>
        <w:rPr>
          <w:rFonts w:ascii="Times New Roman"/>
        </w:rPr>
        <w:t>规范性引用文件</w:t>
      </w:r>
      <w:bookmarkEnd w:id="7"/>
      <w:bookmarkEnd w:id="8"/>
      <w:bookmarkEnd w:id="9"/>
      <w:bookmarkEnd w:id="10"/>
      <w:bookmarkEnd w:id="11"/>
    </w:p>
    <w:p w14:paraId="5EEFE4D3">
      <w:pPr>
        <w:pStyle w:val="22"/>
        <w:rPr>
          <w:rFonts w:ascii="Times New Roman"/>
          <w:color w:val="FF0000"/>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42A587B">
      <w:pPr>
        <w:ind w:firstLine="420" w:firstLineChars="200"/>
        <w:rPr>
          <w:rFonts w:eastAsiaTheme="minorEastAsia"/>
          <w:color w:val="000000"/>
        </w:rPr>
      </w:pPr>
      <w:r>
        <w:rPr>
          <w:rFonts w:eastAsiaTheme="minorEastAsia"/>
          <w:color w:val="000000"/>
        </w:rPr>
        <w:t xml:space="preserve">GB/T 709-2019  </w:t>
      </w:r>
      <w:r>
        <w:rPr>
          <w:rFonts w:hint="eastAsia" w:eastAsiaTheme="minorEastAsia"/>
          <w:color w:val="000000"/>
        </w:rPr>
        <w:t>热轧钢板</w:t>
      </w:r>
      <w:r>
        <w:rPr>
          <w:rFonts w:eastAsiaTheme="minorEastAsia"/>
          <w:color w:val="000000"/>
        </w:rPr>
        <w:t>和钢带</w:t>
      </w:r>
      <w:r>
        <w:rPr>
          <w:rFonts w:hint="eastAsia" w:eastAsiaTheme="minorEastAsia"/>
          <w:color w:val="000000"/>
        </w:rPr>
        <w:t>的</w:t>
      </w:r>
      <w:r>
        <w:rPr>
          <w:rFonts w:eastAsiaTheme="minorEastAsia"/>
          <w:color w:val="000000"/>
        </w:rPr>
        <w:t>尺寸、外形、</w:t>
      </w:r>
      <w:r>
        <w:rPr>
          <w:rFonts w:hint="eastAsia" w:eastAsiaTheme="minorEastAsia"/>
          <w:color w:val="000000"/>
        </w:rPr>
        <w:t>重量</w:t>
      </w:r>
    </w:p>
    <w:p w14:paraId="57913AC1">
      <w:pPr>
        <w:ind w:firstLine="420" w:firstLineChars="200"/>
      </w:pPr>
      <w:r>
        <w:t>GB/T 19001  质量管理体系要求</w:t>
      </w:r>
    </w:p>
    <w:p w14:paraId="7987D04E">
      <w:pPr>
        <w:ind w:firstLine="420" w:firstLineChars="200"/>
        <w:rPr>
          <w:rFonts w:eastAsiaTheme="minorEastAsia"/>
          <w:color w:val="000000"/>
        </w:rPr>
      </w:pPr>
      <w:r>
        <w:rPr>
          <w:rFonts w:hint="eastAsia" w:eastAsiaTheme="minorEastAsia"/>
          <w:color w:val="000000"/>
        </w:rPr>
        <w:t>YB/</w:t>
      </w:r>
      <w:r>
        <w:rPr>
          <w:rFonts w:eastAsiaTheme="minorEastAsia"/>
          <w:color w:val="000000"/>
        </w:rPr>
        <w:t xml:space="preserve">T </w:t>
      </w:r>
      <w:r>
        <w:rPr>
          <w:rFonts w:hint="eastAsia" w:eastAsiaTheme="minorEastAsia"/>
          <w:color w:val="000000"/>
        </w:rPr>
        <w:t>4458</w:t>
      </w:r>
      <w:r>
        <w:rPr>
          <w:rFonts w:eastAsiaTheme="minorEastAsia"/>
          <w:color w:val="000000"/>
        </w:rPr>
        <w:t xml:space="preserve">  </w:t>
      </w:r>
      <w:r>
        <w:rPr>
          <w:rFonts w:hint="eastAsia" w:eastAsiaTheme="minorEastAsia"/>
          <w:color w:val="000000"/>
        </w:rPr>
        <w:t>家电用彩色涂层钢板及钢带</w:t>
      </w:r>
    </w:p>
    <w:p w14:paraId="6A4F4A80">
      <w:pPr>
        <w:pStyle w:val="45"/>
        <w:numPr>
          <w:ilvl w:val="0"/>
          <w:numId w:val="2"/>
        </w:numPr>
        <w:spacing w:before="312" w:after="312"/>
        <w:rPr>
          <w:rFonts w:ascii="Times New Roman"/>
        </w:rPr>
      </w:pPr>
      <w:bookmarkStart w:id="12" w:name="_Toc499730570"/>
      <w:bookmarkEnd w:id="12"/>
      <w:bookmarkStart w:id="13" w:name="_Toc63427524"/>
      <w:r>
        <w:rPr>
          <w:rFonts w:ascii="Times New Roman"/>
        </w:rPr>
        <w:t>术语和定义</w:t>
      </w:r>
      <w:bookmarkEnd w:id="13"/>
    </w:p>
    <w:p w14:paraId="7EEA0E9A">
      <w:pPr>
        <w:pStyle w:val="22"/>
        <w:rPr>
          <w:rFonts w:ascii="Times New Roman"/>
        </w:rPr>
      </w:pPr>
      <w:r>
        <w:rPr>
          <w:rFonts w:ascii="Times New Roman"/>
        </w:rPr>
        <w:t>本文件没有需要界定的术语和定义。</w:t>
      </w:r>
    </w:p>
    <w:p w14:paraId="743F1EAE">
      <w:pPr>
        <w:pStyle w:val="45"/>
        <w:numPr>
          <w:ilvl w:val="0"/>
          <w:numId w:val="2"/>
        </w:numPr>
        <w:spacing w:before="312" w:after="312"/>
        <w:rPr>
          <w:rFonts w:ascii="Times New Roman"/>
        </w:rPr>
      </w:pPr>
      <w:r>
        <w:rPr>
          <w:rFonts w:ascii="Times New Roman"/>
        </w:rPr>
        <w:t>评价指标体系</w:t>
      </w:r>
    </w:p>
    <w:p w14:paraId="3488F96A">
      <w:pPr>
        <w:pStyle w:val="47"/>
        <w:spacing w:before="156" w:after="156"/>
        <w:ind w:left="0"/>
        <w:jc w:val="both"/>
        <w:rPr>
          <w:rFonts w:ascii="Times New Roman"/>
        </w:rPr>
      </w:pPr>
      <w:bookmarkStart w:id="14" w:name="_Toc496267158"/>
      <w:bookmarkStart w:id="15" w:name="_Toc499735466"/>
      <w:bookmarkStart w:id="16" w:name="_Toc499733970"/>
      <w:bookmarkStart w:id="17" w:name="_Toc512093863"/>
      <w:r>
        <w:rPr>
          <w:rFonts w:ascii="Times New Roman"/>
        </w:rPr>
        <w:t>基本要求</w:t>
      </w:r>
    </w:p>
    <w:p w14:paraId="05D52942">
      <w:pPr>
        <w:pStyle w:val="50"/>
        <w:spacing w:before="156" w:after="156"/>
        <w:rPr>
          <w:rFonts w:ascii="Times New Roman" w:eastAsia="宋体"/>
        </w:rPr>
      </w:pPr>
      <w:bookmarkStart w:id="18" w:name="_Hlk167201366"/>
      <w:r>
        <w:rPr>
          <w:rFonts w:ascii="Times New Roman" w:eastAsia="宋体"/>
        </w:rPr>
        <w:t>钢板</w:t>
      </w:r>
      <w:r>
        <w:rPr>
          <w:rFonts w:hint="eastAsia" w:ascii="Times New Roman" w:eastAsia="宋体"/>
        </w:rPr>
        <w:t>及钢带</w:t>
      </w:r>
      <w:r>
        <w:rPr>
          <w:rFonts w:ascii="Times New Roman" w:eastAsia="宋体"/>
        </w:rPr>
        <w:t>生产企业生产产品应至少满两年。钢板产品质量应满足YB/T 4458</w:t>
      </w:r>
      <w:r>
        <w:rPr>
          <w:rFonts w:hint="eastAsia" w:ascii="Times New Roman" w:eastAsia="宋体"/>
        </w:rPr>
        <w:t>的</w:t>
      </w:r>
      <w:r>
        <w:rPr>
          <w:rFonts w:ascii="Times New Roman" w:eastAsia="宋体"/>
        </w:rPr>
        <w:t>要求。</w:t>
      </w:r>
    </w:p>
    <w:p w14:paraId="5D9C82F8">
      <w:pPr>
        <w:pStyle w:val="50"/>
        <w:spacing w:before="156" w:after="156"/>
        <w:rPr>
          <w:rFonts w:ascii="Times New Roman" w:eastAsia="宋体"/>
        </w:rPr>
      </w:pPr>
      <w:r>
        <w:rPr>
          <w:rFonts w:ascii="Times New Roman" w:eastAsia="宋体"/>
        </w:rPr>
        <w:t>钢板</w:t>
      </w:r>
      <w:r>
        <w:rPr>
          <w:rFonts w:hint="eastAsia" w:ascii="Times New Roman" w:eastAsia="宋体"/>
        </w:rPr>
        <w:t>及钢带</w:t>
      </w:r>
      <w:r>
        <w:rPr>
          <w:rFonts w:ascii="Times New Roman" w:eastAsia="宋体"/>
        </w:rPr>
        <w:t>生产企业开展评价前两年内未发生重大产品质量事故。</w:t>
      </w:r>
    </w:p>
    <w:p w14:paraId="5859548F">
      <w:pPr>
        <w:pStyle w:val="50"/>
        <w:spacing w:before="156" w:after="156"/>
        <w:rPr>
          <w:rFonts w:ascii="Times New Roman" w:eastAsia="宋体"/>
        </w:rPr>
      </w:pPr>
      <w:r>
        <w:rPr>
          <w:rFonts w:ascii="Times New Roman" w:eastAsia="宋体"/>
        </w:rPr>
        <w:t>钢板</w:t>
      </w:r>
      <w:r>
        <w:rPr>
          <w:rFonts w:hint="eastAsia" w:ascii="Times New Roman" w:eastAsia="宋体"/>
        </w:rPr>
        <w:t>及钢带</w:t>
      </w:r>
      <w:r>
        <w:rPr>
          <w:rFonts w:ascii="Times New Roman" w:eastAsia="宋体"/>
        </w:rPr>
        <w:t>生产企业应未列入国家信用信息严重失信主体相关名录。</w:t>
      </w:r>
    </w:p>
    <w:p w14:paraId="760DE470">
      <w:pPr>
        <w:pStyle w:val="50"/>
        <w:spacing w:before="156" w:after="156"/>
        <w:rPr>
          <w:rFonts w:ascii="Times New Roman" w:eastAsia="宋体"/>
        </w:rPr>
      </w:pPr>
      <w:r>
        <w:rPr>
          <w:rFonts w:ascii="Times New Roman" w:eastAsia="宋体"/>
        </w:rPr>
        <w:t>钢板</w:t>
      </w:r>
      <w:r>
        <w:rPr>
          <w:rFonts w:hint="eastAsia" w:ascii="Times New Roman" w:eastAsia="宋体"/>
        </w:rPr>
        <w:t>及钢带</w:t>
      </w:r>
      <w:r>
        <w:rPr>
          <w:rFonts w:ascii="Times New Roman" w:eastAsia="宋体"/>
        </w:rPr>
        <w:t>生产企业应根据GB/T 19001建立并运行相应质量管理体系。钢板生产企业应具有钢板</w:t>
      </w:r>
      <w:r>
        <w:rPr>
          <w:rFonts w:hint="eastAsia" w:ascii="Times New Roman" w:eastAsia="宋体"/>
        </w:rPr>
        <w:t>及钢带</w:t>
      </w:r>
      <w:r>
        <w:rPr>
          <w:rFonts w:ascii="Times New Roman" w:eastAsia="宋体"/>
        </w:rPr>
        <w:t>产品过程监控体系，具有相关检化验设备设施。</w:t>
      </w:r>
    </w:p>
    <w:bookmarkEnd w:id="18"/>
    <w:p w14:paraId="0E018B83">
      <w:pPr>
        <w:pStyle w:val="47"/>
        <w:spacing w:before="156" w:after="156"/>
        <w:ind w:left="0"/>
        <w:jc w:val="both"/>
        <w:rPr>
          <w:rFonts w:ascii="Times New Roman"/>
        </w:rPr>
      </w:pPr>
      <w:r>
        <w:rPr>
          <w:rFonts w:ascii="Times New Roman"/>
        </w:rPr>
        <w:t>评价指标分类及要求</w:t>
      </w:r>
    </w:p>
    <w:p w14:paraId="6C51C693">
      <w:pPr>
        <w:pStyle w:val="22"/>
        <w:rPr>
          <w:rFonts w:ascii="Times New Roman"/>
        </w:rPr>
      </w:pPr>
      <w:bookmarkStart w:id="19" w:name="_Hlk167201395"/>
      <w:r>
        <w:rPr>
          <w:rFonts w:ascii="Times New Roman"/>
        </w:rPr>
        <w:t>钢板</w:t>
      </w:r>
      <w:r>
        <w:rPr>
          <w:rFonts w:hint="eastAsia" w:ascii="Times New Roman"/>
        </w:rPr>
        <w:t>及钢带</w:t>
      </w:r>
      <w:r>
        <w:rPr>
          <w:rFonts w:ascii="Times New Roman"/>
        </w:rPr>
        <w:t>质量等级根据</w:t>
      </w:r>
      <w:r>
        <w:rPr>
          <w:rFonts w:hint="eastAsia" w:ascii="Times New Roman"/>
        </w:rPr>
        <w:t>尺寸</w:t>
      </w:r>
      <w:r>
        <w:rPr>
          <w:rFonts w:ascii="Times New Roman"/>
        </w:rPr>
        <w:t>外形、</w:t>
      </w:r>
      <w:r>
        <w:rPr>
          <w:rFonts w:hint="eastAsia" w:ascii="Times New Roman"/>
        </w:rPr>
        <w:t>最大锌层厚度偏差、耐中性盐雾、耐紫外灯、外观质量</w:t>
      </w:r>
      <w:r>
        <w:rPr>
          <w:rFonts w:ascii="Times New Roman"/>
        </w:rPr>
        <w:t>分为特优级、优质级、一般级。钢板</w:t>
      </w:r>
      <w:r>
        <w:rPr>
          <w:rFonts w:hint="eastAsia" w:ascii="Times New Roman"/>
        </w:rPr>
        <w:t>及钢带</w:t>
      </w:r>
      <w:r>
        <w:rPr>
          <w:rFonts w:ascii="Times New Roman"/>
        </w:rPr>
        <w:t>产品质量分级见表1</w:t>
      </w:r>
      <w:r>
        <w:rPr>
          <w:rFonts w:hint="eastAsia" w:ascii="Times New Roman"/>
        </w:rPr>
        <w:t>、表2、表3</w:t>
      </w:r>
      <w:r>
        <w:rPr>
          <w:rFonts w:ascii="Times New Roman"/>
        </w:rPr>
        <w:t>。</w:t>
      </w:r>
      <w:bookmarkEnd w:id="19"/>
    </w:p>
    <w:p w14:paraId="183BF921">
      <w:pPr>
        <w:pStyle w:val="77"/>
        <w:spacing w:before="156" w:after="156"/>
        <w:ind w:left="0"/>
        <w:rPr>
          <w:rFonts w:ascii="Times New Roman"/>
        </w:rPr>
      </w:pP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63"/>
        <w:gridCol w:w="950"/>
        <w:gridCol w:w="908"/>
        <w:gridCol w:w="955"/>
        <w:gridCol w:w="991"/>
        <w:gridCol w:w="1004"/>
        <w:gridCol w:w="895"/>
        <w:gridCol w:w="873"/>
        <w:gridCol w:w="818"/>
        <w:gridCol w:w="807"/>
      </w:tblGrid>
      <w:tr w14:paraId="518AA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21" w:type="pct"/>
            <w:vMerge w:val="restart"/>
            <w:vAlign w:val="center"/>
          </w:tcPr>
          <w:p w14:paraId="4FD1270D">
            <w:pPr>
              <w:autoSpaceDE w:val="0"/>
              <w:autoSpaceDN w:val="0"/>
              <w:jc w:val="center"/>
              <w:rPr>
                <w:b/>
                <w:bCs/>
                <w:kern w:val="0"/>
                <w:sz w:val="18"/>
                <w:szCs w:val="18"/>
                <w:lang w:bidi="zh-CN"/>
              </w:rPr>
            </w:pPr>
            <w:bookmarkStart w:id="20" w:name="_Toc63427526"/>
            <w:r>
              <w:rPr>
                <w:b/>
                <w:bCs/>
                <w:kern w:val="0"/>
                <w:sz w:val="18"/>
                <w:szCs w:val="18"/>
                <w:lang w:bidi="zh-CN"/>
              </w:rPr>
              <w:t>质量要求</w:t>
            </w:r>
          </w:p>
        </w:tc>
        <w:tc>
          <w:tcPr>
            <w:tcW w:w="4379" w:type="pct"/>
            <w:gridSpan w:val="9"/>
            <w:vAlign w:val="center"/>
          </w:tcPr>
          <w:p w14:paraId="25D4032D">
            <w:pPr>
              <w:autoSpaceDE w:val="0"/>
              <w:autoSpaceDN w:val="0"/>
              <w:ind w:left="3339" w:right="3328"/>
              <w:jc w:val="center"/>
              <w:rPr>
                <w:b/>
                <w:bCs/>
                <w:kern w:val="0"/>
                <w:sz w:val="18"/>
                <w:szCs w:val="18"/>
                <w:lang w:bidi="zh-CN"/>
              </w:rPr>
            </w:pPr>
            <w:r>
              <w:rPr>
                <w:b/>
                <w:bCs/>
                <w:kern w:val="0"/>
                <w:sz w:val="18"/>
                <w:szCs w:val="18"/>
                <w:lang w:bidi="zh-CN"/>
              </w:rPr>
              <w:t>质量等级</w:t>
            </w:r>
          </w:p>
        </w:tc>
      </w:tr>
      <w:tr w14:paraId="7A114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21" w:type="pct"/>
            <w:vMerge w:val="continue"/>
            <w:vAlign w:val="center"/>
          </w:tcPr>
          <w:p w14:paraId="501959FD">
            <w:pPr>
              <w:autoSpaceDE w:val="0"/>
              <w:autoSpaceDN w:val="0"/>
              <w:jc w:val="center"/>
              <w:rPr>
                <w:b/>
                <w:bCs/>
                <w:kern w:val="0"/>
                <w:sz w:val="18"/>
                <w:szCs w:val="18"/>
                <w:lang w:bidi="zh-CN"/>
              </w:rPr>
            </w:pPr>
          </w:p>
        </w:tc>
        <w:tc>
          <w:tcPr>
            <w:tcW w:w="1501" w:type="pct"/>
            <w:gridSpan w:val="3"/>
            <w:vAlign w:val="center"/>
          </w:tcPr>
          <w:p w14:paraId="779E20D7">
            <w:pPr>
              <w:autoSpaceDE w:val="0"/>
              <w:autoSpaceDN w:val="0"/>
              <w:jc w:val="center"/>
              <w:rPr>
                <w:b/>
                <w:bCs/>
                <w:kern w:val="0"/>
                <w:sz w:val="18"/>
                <w:szCs w:val="18"/>
                <w:lang w:bidi="zh-CN"/>
              </w:rPr>
            </w:pPr>
            <w:r>
              <w:rPr>
                <w:b/>
                <w:bCs/>
                <w:kern w:val="0"/>
                <w:sz w:val="18"/>
                <w:szCs w:val="18"/>
                <w:lang w:bidi="zh-CN"/>
              </w:rPr>
              <w:t>特优级</w:t>
            </w:r>
          </w:p>
        </w:tc>
        <w:tc>
          <w:tcPr>
            <w:tcW w:w="1543" w:type="pct"/>
            <w:gridSpan w:val="3"/>
            <w:vAlign w:val="center"/>
          </w:tcPr>
          <w:p w14:paraId="085EC175">
            <w:pPr>
              <w:autoSpaceDE w:val="0"/>
              <w:autoSpaceDN w:val="0"/>
              <w:jc w:val="center"/>
              <w:rPr>
                <w:b/>
                <w:bCs/>
                <w:kern w:val="0"/>
                <w:sz w:val="18"/>
                <w:szCs w:val="18"/>
                <w:lang w:bidi="zh-CN"/>
              </w:rPr>
            </w:pPr>
            <w:r>
              <w:rPr>
                <w:b/>
                <w:bCs/>
                <w:kern w:val="0"/>
                <w:sz w:val="18"/>
                <w:szCs w:val="18"/>
                <w:lang w:bidi="zh-CN"/>
              </w:rPr>
              <w:t>优质级</w:t>
            </w:r>
          </w:p>
        </w:tc>
        <w:tc>
          <w:tcPr>
            <w:tcW w:w="1334" w:type="pct"/>
            <w:gridSpan w:val="3"/>
            <w:vAlign w:val="center"/>
          </w:tcPr>
          <w:p w14:paraId="363067F7">
            <w:pPr>
              <w:autoSpaceDE w:val="0"/>
              <w:autoSpaceDN w:val="0"/>
              <w:jc w:val="center"/>
              <w:rPr>
                <w:b/>
                <w:bCs/>
                <w:kern w:val="0"/>
                <w:sz w:val="18"/>
                <w:szCs w:val="18"/>
                <w:lang w:bidi="zh-CN"/>
              </w:rPr>
            </w:pPr>
            <w:r>
              <w:rPr>
                <w:b/>
                <w:bCs/>
                <w:kern w:val="0"/>
                <w:sz w:val="18"/>
                <w:szCs w:val="18"/>
                <w:lang w:bidi="zh-CN"/>
              </w:rPr>
              <w:t>一般级</w:t>
            </w:r>
          </w:p>
        </w:tc>
      </w:tr>
      <w:tr w14:paraId="24251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621" w:type="pct"/>
            <w:vMerge w:val="continue"/>
            <w:vAlign w:val="center"/>
          </w:tcPr>
          <w:p w14:paraId="04C37316">
            <w:pPr>
              <w:autoSpaceDE w:val="0"/>
              <w:autoSpaceDN w:val="0"/>
              <w:spacing w:before="117"/>
              <w:ind w:left="150" w:right="141"/>
              <w:jc w:val="center"/>
              <w:rPr>
                <w:b/>
                <w:bCs/>
                <w:kern w:val="0"/>
                <w:sz w:val="18"/>
                <w:szCs w:val="18"/>
                <w:lang w:bidi="zh-CN"/>
              </w:rPr>
            </w:pPr>
          </w:p>
        </w:tc>
        <w:tc>
          <w:tcPr>
            <w:tcW w:w="4379" w:type="pct"/>
            <w:gridSpan w:val="9"/>
            <w:vAlign w:val="center"/>
          </w:tcPr>
          <w:p w14:paraId="5922B921">
            <w:pPr>
              <w:autoSpaceDE w:val="0"/>
              <w:autoSpaceDN w:val="0"/>
              <w:spacing w:before="2" w:line="213" w:lineRule="exact"/>
              <w:ind w:right="121"/>
              <w:jc w:val="center"/>
              <w:rPr>
                <w:spacing w:val="-12"/>
                <w:kern w:val="0"/>
                <w:sz w:val="18"/>
                <w:szCs w:val="18"/>
                <w:lang w:bidi="zh-CN"/>
              </w:rPr>
            </w:pPr>
            <w:r>
              <w:rPr>
                <w:spacing w:val="-12"/>
                <w:kern w:val="0"/>
                <w:sz w:val="18"/>
                <w:szCs w:val="18"/>
                <w:lang w:bidi="zh-CN"/>
              </w:rPr>
              <w:t>公称厚度/ mm</w:t>
            </w:r>
          </w:p>
        </w:tc>
      </w:tr>
      <w:tr w14:paraId="6F973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621" w:type="pct"/>
            <w:vMerge w:val="continue"/>
            <w:vAlign w:val="center"/>
          </w:tcPr>
          <w:p w14:paraId="3D3B588E">
            <w:pPr>
              <w:autoSpaceDE w:val="0"/>
              <w:autoSpaceDN w:val="0"/>
              <w:spacing w:before="117"/>
              <w:ind w:left="150" w:right="141"/>
              <w:jc w:val="center"/>
              <w:rPr>
                <w:spacing w:val="-12"/>
                <w:kern w:val="0"/>
                <w:sz w:val="18"/>
                <w:szCs w:val="18"/>
                <w:lang w:val="zh-CN" w:bidi="zh-CN"/>
              </w:rPr>
            </w:pPr>
          </w:p>
        </w:tc>
        <w:tc>
          <w:tcPr>
            <w:tcW w:w="507" w:type="pct"/>
            <w:vAlign w:val="center"/>
          </w:tcPr>
          <w:p w14:paraId="28C117DA">
            <w:pPr>
              <w:autoSpaceDE w:val="0"/>
              <w:autoSpaceDN w:val="0"/>
              <w:jc w:val="center"/>
              <w:rPr>
                <w:kern w:val="0"/>
                <w:sz w:val="18"/>
                <w:szCs w:val="18"/>
                <w:lang w:bidi="zh-CN"/>
              </w:rPr>
            </w:pPr>
            <w:r>
              <w:rPr>
                <w:rFonts w:hint="eastAsia"/>
                <w:kern w:val="0"/>
                <w:sz w:val="18"/>
                <w:szCs w:val="18"/>
                <w:lang w:bidi="zh-CN"/>
              </w:rPr>
              <w:t>≤</w:t>
            </w:r>
            <w:r>
              <w:rPr>
                <w:kern w:val="0"/>
                <w:sz w:val="18"/>
                <w:szCs w:val="18"/>
                <w:lang w:bidi="zh-CN"/>
              </w:rPr>
              <w:t>0.</w:t>
            </w:r>
            <w:r>
              <w:rPr>
                <w:rFonts w:hint="eastAsia"/>
                <w:kern w:val="0"/>
                <w:sz w:val="18"/>
                <w:szCs w:val="18"/>
                <w:lang w:bidi="zh-CN"/>
              </w:rPr>
              <w:t>4</w:t>
            </w:r>
            <w:r>
              <w:rPr>
                <w:kern w:val="0"/>
                <w:sz w:val="18"/>
                <w:szCs w:val="18"/>
                <w:lang w:bidi="zh-CN"/>
              </w:rPr>
              <w:t>mm</w:t>
            </w:r>
          </w:p>
        </w:tc>
        <w:tc>
          <w:tcPr>
            <w:tcW w:w="485" w:type="pct"/>
            <w:vAlign w:val="center"/>
          </w:tcPr>
          <w:p w14:paraId="12BCDEFD">
            <w:pPr>
              <w:autoSpaceDE w:val="0"/>
              <w:autoSpaceDN w:val="0"/>
              <w:jc w:val="center"/>
              <w:rPr>
                <w:kern w:val="0"/>
                <w:sz w:val="18"/>
                <w:szCs w:val="18"/>
                <w:lang w:bidi="zh-CN"/>
              </w:rPr>
            </w:pPr>
            <w:r>
              <w:rPr>
                <w:rFonts w:hint="eastAsia"/>
                <w:kern w:val="0"/>
                <w:sz w:val="18"/>
                <w:szCs w:val="18"/>
                <w:lang w:bidi="zh-CN"/>
              </w:rPr>
              <w:t>≤</w:t>
            </w:r>
            <w:r>
              <w:rPr>
                <w:kern w:val="0"/>
                <w:sz w:val="18"/>
                <w:szCs w:val="18"/>
                <w:lang w:bidi="zh-CN"/>
              </w:rPr>
              <w:t>0.</w:t>
            </w:r>
            <w:r>
              <w:rPr>
                <w:rFonts w:hint="eastAsia"/>
                <w:kern w:val="0"/>
                <w:sz w:val="18"/>
                <w:szCs w:val="18"/>
                <w:lang w:bidi="zh-CN"/>
              </w:rPr>
              <w:t>6</w:t>
            </w:r>
            <w:r>
              <w:rPr>
                <w:kern w:val="0"/>
                <w:sz w:val="18"/>
                <w:szCs w:val="18"/>
                <w:lang w:bidi="zh-CN"/>
              </w:rPr>
              <w:t>mm</w:t>
            </w:r>
          </w:p>
        </w:tc>
        <w:tc>
          <w:tcPr>
            <w:tcW w:w="510" w:type="pct"/>
            <w:vAlign w:val="center"/>
          </w:tcPr>
          <w:p w14:paraId="72C34CC0">
            <w:pPr>
              <w:autoSpaceDE w:val="0"/>
              <w:autoSpaceDN w:val="0"/>
              <w:jc w:val="center"/>
              <w:rPr>
                <w:kern w:val="0"/>
                <w:sz w:val="18"/>
                <w:szCs w:val="18"/>
                <w:lang w:bidi="zh-CN"/>
              </w:rPr>
            </w:pPr>
            <w:r>
              <w:rPr>
                <w:rFonts w:hint="eastAsia"/>
                <w:kern w:val="0"/>
                <w:sz w:val="18"/>
                <w:szCs w:val="18"/>
                <w:lang w:bidi="zh-CN"/>
              </w:rPr>
              <w:t>≤</w:t>
            </w:r>
            <w:r>
              <w:rPr>
                <w:kern w:val="0"/>
                <w:sz w:val="18"/>
                <w:szCs w:val="18"/>
                <w:lang w:bidi="zh-CN"/>
              </w:rPr>
              <w:t>0.</w:t>
            </w:r>
            <w:r>
              <w:rPr>
                <w:rFonts w:hint="eastAsia"/>
                <w:kern w:val="0"/>
                <w:sz w:val="18"/>
                <w:szCs w:val="18"/>
                <w:lang w:bidi="zh-CN"/>
              </w:rPr>
              <w:t>8</w:t>
            </w:r>
            <w:r>
              <w:rPr>
                <w:kern w:val="0"/>
                <w:sz w:val="18"/>
                <w:szCs w:val="18"/>
                <w:lang w:bidi="zh-CN"/>
              </w:rPr>
              <w:t>mm</w:t>
            </w:r>
          </w:p>
        </w:tc>
        <w:tc>
          <w:tcPr>
            <w:tcW w:w="529" w:type="pct"/>
            <w:vAlign w:val="center"/>
          </w:tcPr>
          <w:p w14:paraId="49644E79">
            <w:pPr>
              <w:autoSpaceDE w:val="0"/>
              <w:autoSpaceDN w:val="0"/>
              <w:jc w:val="center"/>
              <w:rPr>
                <w:kern w:val="0"/>
                <w:sz w:val="18"/>
                <w:szCs w:val="18"/>
                <w:lang w:bidi="zh-CN"/>
              </w:rPr>
            </w:pPr>
            <w:r>
              <w:rPr>
                <w:rFonts w:hint="eastAsia"/>
                <w:kern w:val="0"/>
                <w:sz w:val="18"/>
                <w:szCs w:val="18"/>
                <w:lang w:bidi="zh-CN"/>
              </w:rPr>
              <w:t>≤</w:t>
            </w:r>
            <w:r>
              <w:rPr>
                <w:kern w:val="0"/>
                <w:sz w:val="18"/>
                <w:szCs w:val="18"/>
                <w:lang w:bidi="zh-CN"/>
              </w:rPr>
              <w:t>0.</w:t>
            </w:r>
            <w:r>
              <w:rPr>
                <w:rFonts w:hint="eastAsia"/>
                <w:kern w:val="0"/>
                <w:sz w:val="18"/>
                <w:szCs w:val="18"/>
                <w:lang w:bidi="zh-CN"/>
              </w:rPr>
              <w:t>4</w:t>
            </w:r>
            <w:r>
              <w:rPr>
                <w:kern w:val="0"/>
                <w:sz w:val="18"/>
                <w:szCs w:val="18"/>
                <w:lang w:bidi="zh-CN"/>
              </w:rPr>
              <w:t>mm</w:t>
            </w:r>
          </w:p>
        </w:tc>
        <w:tc>
          <w:tcPr>
            <w:tcW w:w="536" w:type="pct"/>
            <w:vAlign w:val="center"/>
          </w:tcPr>
          <w:p w14:paraId="28234104">
            <w:pPr>
              <w:autoSpaceDE w:val="0"/>
              <w:autoSpaceDN w:val="0"/>
              <w:jc w:val="center"/>
              <w:rPr>
                <w:kern w:val="0"/>
                <w:sz w:val="18"/>
                <w:szCs w:val="18"/>
                <w:lang w:bidi="zh-CN"/>
              </w:rPr>
            </w:pPr>
            <w:r>
              <w:rPr>
                <w:rFonts w:hint="eastAsia"/>
                <w:kern w:val="0"/>
                <w:sz w:val="18"/>
                <w:szCs w:val="18"/>
                <w:lang w:bidi="zh-CN"/>
              </w:rPr>
              <w:t>≤</w:t>
            </w:r>
            <w:r>
              <w:rPr>
                <w:kern w:val="0"/>
                <w:sz w:val="18"/>
                <w:szCs w:val="18"/>
                <w:lang w:bidi="zh-CN"/>
              </w:rPr>
              <w:t>0.</w:t>
            </w:r>
            <w:r>
              <w:rPr>
                <w:rFonts w:hint="eastAsia"/>
                <w:kern w:val="0"/>
                <w:sz w:val="18"/>
                <w:szCs w:val="18"/>
                <w:lang w:bidi="zh-CN"/>
              </w:rPr>
              <w:t>6</w:t>
            </w:r>
            <w:r>
              <w:rPr>
                <w:kern w:val="0"/>
                <w:sz w:val="18"/>
                <w:szCs w:val="18"/>
                <w:lang w:bidi="zh-CN"/>
              </w:rPr>
              <w:t>mm</w:t>
            </w:r>
          </w:p>
        </w:tc>
        <w:tc>
          <w:tcPr>
            <w:tcW w:w="478" w:type="pct"/>
            <w:vAlign w:val="center"/>
          </w:tcPr>
          <w:p w14:paraId="6B81EDBF">
            <w:pPr>
              <w:autoSpaceDE w:val="0"/>
              <w:autoSpaceDN w:val="0"/>
              <w:jc w:val="center"/>
              <w:rPr>
                <w:kern w:val="0"/>
                <w:sz w:val="18"/>
                <w:szCs w:val="18"/>
                <w:lang w:bidi="zh-CN"/>
              </w:rPr>
            </w:pPr>
            <w:r>
              <w:rPr>
                <w:rFonts w:hint="eastAsia"/>
                <w:kern w:val="0"/>
                <w:sz w:val="18"/>
                <w:szCs w:val="18"/>
                <w:lang w:bidi="zh-CN"/>
              </w:rPr>
              <w:t>≤</w:t>
            </w:r>
            <w:r>
              <w:rPr>
                <w:kern w:val="0"/>
                <w:sz w:val="18"/>
                <w:szCs w:val="18"/>
                <w:lang w:bidi="zh-CN"/>
              </w:rPr>
              <w:t>0.</w:t>
            </w:r>
            <w:r>
              <w:rPr>
                <w:rFonts w:hint="eastAsia"/>
                <w:kern w:val="0"/>
                <w:sz w:val="18"/>
                <w:szCs w:val="18"/>
                <w:lang w:bidi="zh-CN"/>
              </w:rPr>
              <w:t>8</w:t>
            </w:r>
            <w:r>
              <w:rPr>
                <w:kern w:val="0"/>
                <w:sz w:val="18"/>
                <w:szCs w:val="18"/>
                <w:lang w:bidi="zh-CN"/>
              </w:rPr>
              <w:t>mm</w:t>
            </w:r>
          </w:p>
        </w:tc>
        <w:tc>
          <w:tcPr>
            <w:tcW w:w="466" w:type="pct"/>
            <w:vAlign w:val="center"/>
          </w:tcPr>
          <w:p w14:paraId="728ABA89">
            <w:pPr>
              <w:autoSpaceDE w:val="0"/>
              <w:autoSpaceDN w:val="0"/>
              <w:jc w:val="center"/>
              <w:rPr>
                <w:kern w:val="0"/>
                <w:sz w:val="18"/>
                <w:szCs w:val="18"/>
                <w:lang w:bidi="zh-CN"/>
              </w:rPr>
            </w:pPr>
            <w:r>
              <w:rPr>
                <w:rFonts w:hint="eastAsia"/>
                <w:kern w:val="0"/>
                <w:sz w:val="18"/>
                <w:szCs w:val="18"/>
                <w:lang w:bidi="zh-CN"/>
              </w:rPr>
              <w:t>≤</w:t>
            </w:r>
            <w:r>
              <w:rPr>
                <w:kern w:val="0"/>
                <w:sz w:val="18"/>
                <w:szCs w:val="18"/>
                <w:lang w:bidi="zh-CN"/>
              </w:rPr>
              <w:t>0.</w:t>
            </w:r>
            <w:r>
              <w:rPr>
                <w:rFonts w:hint="eastAsia"/>
                <w:kern w:val="0"/>
                <w:sz w:val="18"/>
                <w:szCs w:val="18"/>
                <w:lang w:bidi="zh-CN"/>
              </w:rPr>
              <w:t>4</w:t>
            </w:r>
            <w:r>
              <w:rPr>
                <w:kern w:val="0"/>
                <w:sz w:val="18"/>
                <w:szCs w:val="18"/>
                <w:lang w:bidi="zh-CN"/>
              </w:rPr>
              <w:t>mm</w:t>
            </w:r>
          </w:p>
        </w:tc>
        <w:tc>
          <w:tcPr>
            <w:tcW w:w="437" w:type="pct"/>
            <w:vAlign w:val="center"/>
          </w:tcPr>
          <w:p w14:paraId="4F23073D">
            <w:pPr>
              <w:autoSpaceDE w:val="0"/>
              <w:autoSpaceDN w:val="0"/>
              <w:jc w:val="center"/>
              <w:rPr>
                <w:kern w:val="0"/>
                <w:sz w:val="18"/>
                <w:szCs w:val="18"/>
                <w:lang w:bidi="zh-CN"/>
              </w:rPr>
            </w:pPr>
            <w:r>
              <w:rPr>
                <w:rFonts w:hint="eastAsia"/>
                <w:kern w:val="0"/>
                <w:sz w:val="18"/>
                <w:szCs w:val="18"/>
                <w:lang w:bidi="zh-CN"/>
              </w:rPr>
              <w:t>≤</w:t>
            </w:r>
            <w:r>
              <w:rPr>
                <w:kern w:val="0"/>
                <w:sz w:val="18"/>
                <w:szCs w:val="18"/>
                <w:lang w:bidi="zh-CN"/>
              </w:rPr>
              <w:t>0.</w:t>
            </w:r>
            <w:r>
              <w:rPr>
                <w:rFonts w:hint="eastAsia"/>
                <w:kern w:val="0"/>
                <w:sz w:val="18"/>
                <w:szCs w:val="18"/>
                <w:lang w:bidi="zh-CN"/>
              </w:rPr>
              <w:t>6</w:t>
            </w:r>
            <w:r>
              <w:rPr>
                <w:kern w:val="0"/>
                <w:sz w:val="18"/>
                <w:szCs w:val="18"/>
                <w:lang w:bidi="zh-CN"/>
              </w:rPr>
              <w:t>mm</w:t>
            </w:r>
          </w:p>
        </w:tc>
        <w:tc>
          <w:tcPr>
            <w:tcW w:w="431" w:type="pct"/>
            <w:vAlign w:val="center"/>
          </w:tcPr>
          <w:p w14:paraId="0DD9978A">
            <w:pPr>
              <w:autoSpaceDE w:val="0"/>
              <w:autoSpaceDN w:val="0"/>
              <w:jc w:val="center"/>
              <w:rPr>
                <w:kern w:val="0"/>
                <w:sz w:val="18"/>
                <w:szCs w:val="18"/>
                <w:lang w:bidi="zh-CN"/>
              </w:rPr>
            </w:pPr>
            <w:r>
              <w:rPr>
                <w:rFonts w:hint="eastAsia"/>
                <w:kern w:val="0"/>
                <w:sz w:val="18"/>
                <w:szCs w:val="18"/>
                <w:lang w:bidi="zh-CN"/>
              </w:rPr>
              <w:t>≤</w:t>
            </w:r>
            <w:r>
              <w:rPr>
                <w:kern w:val="0"/>
                <w:sz w:val="18"/>
                <w:szCs w:val="18"/>
                <w:lang w:bidi="zh-CN"/>
              </w:rPr>
              <w:t>0.</w:t>
            </w:r>
            <w:r>
              <w:rPr>
                <w:rFonts w:hint="eastAsia"/>
                <w:kern w:val="0"/>
                <w:sz w:val="18"/>
                <w:szCs w:val="18"/>
                <w:lang w:bidi="zh-CN"/>
              </w:rPr>
              <w:t>8</w:t>
            </w:r>
            <w:r>
              <w:rPr>
                <w:kern w:val="0"/>
                <w:sz w:val="18"/>
                <w:szCs w:val="18"/>
                <w:lang w:bidi="zh-CN"/>
              </w:rPr>
              <w:t>mm</w:t>
            </w:r>
          </w:p>
        </w:tc>
      </w:tr>
      <w:tr w14:paraId="23C5B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621" w:type="pct"/>
            <w:vAlign w:val="center"/>
          </w:tcPr>
          <w:p w14:paraId="18225CAA">
            <w:pPr>
              <w:autoSpaceDE w:val="0"/>
              <w:autoSpaceDN w:val="0"/>
              <w:spacing w:before="117"/>
              <w:ind w:left="150" w:right="141"/>
              <w:jc w:val="center"/>
              <w:rPr>
                <w:kern w:val="0"/>
                <w:sz w:val="18"/>
                <w:szCs w:val="18"/>
                <w:lang w:bidi="zh-CN"/>
              </w:rPr>
            </w:pPr>
            <w:r>
              <w:rPr>
                <w:spacing w:val="-12"/>
                <w:kern w:val="0"/>
                <w:sz w:val="18"/>
                <w:szCs w:val="18"/>
                <w:lang w:bidi="zh-CN"/>
              </w:rPr>
              <w:t>最大厚度允许偏差/mm</w:t>
            </w:r>
          </w:p>
        </w:tc>
        <w:tc>
          <w:tcPr>
            <w:tcW w:w="507" w:type="pct"/>
            <w:vAlign w:val="center"/>
          </w:tcPr>
          <w:p w14:paraId="7949B002">
            <w:pPr>
              <w:autoSpaceDE w:val="0"/>
              <w:autoSpaceDN w:val="0"/>
              <w:jc w:val="center"/>
              <w:rPr>
                <w:kern w:val="0"/>
                <w:sz w:val="18"/>
                <w:szCs w:val="18"/>
                <w:lang w:bidi="zh-CN"/>
              </w:rPr>
            </w:pPr>
            <w:r>
              <w:rPr>
                <w:kern w:val="0"/>
                <w:sz w:val="18"/>
                <w:szCs w:val="18"/>
                <w:lang w:bidi="zh-CN"/>
              </w:rPr>
              <w:t>±0.0</w:t>
            </w:r>
            <w:r>
              <w:rPr>
                <w:rFonts w:hint="eastAsia"/>
                <w:kern w:val="0"/>
                <w:sz w:val="18"/>
                <w:szCs w:val="18"/>
                <w:lang w:bidi="zh-CN"/>
              </w:rPr>
              <w:t>3</w:t>
            </w:r>
            <w:r>
              <w:rPr>
                <w:kern w:val="0"/>
                <w:sz w:val="18"/>
                <w:szCs w:val="18"/>
                <w:lang w:bidi="zh-CN"/>
              </w:rPr>
              <w:t>0</w:t>
            </w:r>
          </w:p>
        </w:tc>
        <w:tc>
          <w:tcPr>
            <w:tcW w:w="485" w:type="pct"/>
            <w:vAlign w:val="center"/>
          </w:tcPr>
          <w:p w14:paraId="1AF23D28">
            <w:pPr>
              <w:autoSpaceDE w:val="0"/>
              <w:autoSpaceDN w:val="0"/>
              <w:jc w:val="center"/>
              <w:rPr>
                <w:kern w:val="0"/>
                <w:sz w:val="18"/>
                <w:szCs w:val="18"/>
                <w:lang w:bidi="zh-CN"/>
              </w:rPr>
            </w:pPr>
            <w:r>
              <w:rPr>
                <w:kern w:val="0"/>
                <w:sz w:val="18"/>
                <w:szCs w:val="18"/>
                <w:lang w:bidi="zh-CN"/>
              </w:rPr>
              <w:t>±0.0</w:t>
            </w:r>
            <w:r>
              <w:rPr>
                <w:rFonts w:hint="eastAsia"/>
                <w:kern w:val="0"/>
                <w:sz w:val="18"/>
                <w:szCs w:val="18"/>
                <w:lang w:bidi="zh-CN"/>
              </w:rPr>
              <w:t>35</w:t>
            </w:r>
          </w:p>
        </w:tc>
        <w:tc>
          <w:tcPr>
            <w:tcW w:w="510" w:type="pct"/>
            <w:vAlign w:val="center"/>
          </w:tcPr>
          <w:p w14:paraId="5A20E7E5">
            <w:pPr>
              <w:autoSpaceDE w:val="0"/>
              <w:autoSpaceDN w:val="0"/>
              <w:jc w:val="center"/>
              <w:rPr>
                <w:kern w:val="0"/>
                <w:sz w:val="18"/>
                <w:szCs w:val="18"/>
                <w:lang w:bidi="zh-CN"/>
              </w:rPr>
            </w:pPr>
            <w:r>
              <w:rPr>
                <w:kern w:val="0"/>
                <w:sz w:val="18"/>
                <w:szCs w:val="18"/>
                <w:lang w:bidi="zh-CN"/>
              </w:rPr>
              <w:t>±0.0</w:t>
            </w:r>
            <w:r>
              <w:rPr>
                <w:rFonts w:hint="eastAsia"/>
                <w:kern w:val="0"/>
                <w:sz w:val="18"/>
                <w:szCs w:val="18"/>
                <w:lang w:bidi="zh-CN"/>
              </w:rPr>
              <w:t>4</w:t>
            </w:r>
            <w:r>
              <w:rPr>
                <w:kern w:val="0"/>
                <w:sz w:val="18"/>
                <w:szCs w:val="18"/>
                <w:lang w:bidi="zh-CN"/>
              </w:rPr>
              <w:t>0</w:t>
            </w:r>
          </w:p>
        </w:tc>
        <w:tc>
          <w:tcPr>
            <w:tcW w:w="529" w:type="pct"/>
            <w:vAlign w:val="center"/>
          </w:tcPr>
          <w:p w14:paraId="3B6D1728">
            <w:pPr>
              <w:autoSpaceDE w:val="0"/>
              <w:autoSpaceDN w:val="0"/>
              <w:jc w:val="center"/>
              <w:rPr>
                <w:kern w:val="0"/>
                <w:sz w:val="18"/>
                <w:szCs w:val="18"/>
                <w:lang w:bidi="zh-CN"/>
              </w:rPr>
            </w:pPr>
            <w:r>
              <w:rPr>
                <w:kern w:val="0"/>
                <w:sz w:val="18"/>
                <w:szCs w:val="18"/>
                <w:lang w:bidi="zh-CN"/>
              </w:rPr>
              <w:t>±0.0</w:t>
            </w:r>
            <w:r>
              <w:rPr>
                <w:rFonts w:hint="eastAsia"/>
                <w:kern w:val="0"/>
                <w:sz w:val="18"/>
                <w:szCs w:val="18"/>
                <w:lang w:bidi="zh-CN"/>
              </w:rPr>
              <w:t>35</w:t>
            </w:r>
          </w:p>
        </w:tc>
        <w:tc>
          <w:tcPr>
            <w:tcW w:w="536" w:type="pct"/>
            <w:vAlign w:val="center"/>
          </w:tcPr>
          <w:p w14:paraId="631E20A3">
            <w:pPr>
              <w:autoSpaceDE w:val="0"/>
              <w:autoSpaceDN w:val="0"/>
              <w:jc w:val="center"/>
              <w:rPr>
                <w:kern w:val="0"/>
                <w:sz w:val="18"/>
                <w:szCs w:val="18"/>
                <w:lang w:bidi="zh-CN"/>
              </w:rPr>
            </w:pPr>
            <w:r>
              <w:rPr>
                <w:kern w:val="0"/>
                <w:sz w:val="18"/>
                <w:szCs w:val="18"/>
                <w:lang w:bidi="zh-CN"/>
              </w:rPr>
              <w:t>±0.0</w:t>
            </w:r>
            <w:r>
              <w:rPr>
                <w:rFonts w:hint="eastAsia"/>
                <w:kern w:val="0"/>
                <w:sz w:val="18"/>
                <w:szCs w:val="18"/>
                <w:lang w:bidi="zh-CN"/>
              </w:rPr>
              <w:t>40</w:t>
            </w:r>
          </w:p>
        </w:tc>
        <w:tc>
          <w:tcPr>
            <w:tcW w:w="478" w:type="pct"/>
            <w:vAlign w:val="center"/>
          </w:tcPr>
          <w:p w14:paraId="15D6F585">
            <w:pPr>
              <w:autoSpaceDE w:val="0"/>
              <w:autoSpaceDN w:val="0"/>
              <w:jc w:val="center"/>
              <w:rPr>
                <w:kern w:val="0"/>
                <w:sz w:val="18"/>
                <w:szCs w:val="18"/>
                <w:lang w:bidi="zh-CN"/>
              </w:rPr>
            </w:pPr>
            <w:r>
              <w:rPr>
                <w:kern w:val="0"/>
                <w:sz w:val="18"/>
                <w:szCs w:val="18"/>
                <w:lang w:bidi="zh-CN"/>
              </w:rPr>
              <w:t>±0.0</w:t>
            </w:r>
            <w:r>
              <w:rPr>
                <w:rFonts w:hint="eastAsia"/>
                <w:kern w:val="0"/>
                <w:sz w:val="18"/>
                <w:szCs w:val="18"/>
                <w:lang w:bidi="zh-CN"/>
              </w:rPr>
              <w:t>45</w:t>
            </w:r>
          </w:p>
        </w:tc>
        <w:tc>
          <w:tcPr>
            <w:tcW w:w="466" w:type="pct"/>
            <w:vAlign w:val="center"/>
          </w:tcPr>
          <w:p w14:paraId="72959CCC">
            <w:pPr>
              <w:autoSpaceDE w:val="0"/>
              <w:autoSpaceDN w:val="0"/>
              <w:jc w:val="center"/>
              <w:rPr>
                <w:kern w:val="0"/>
                <w:sz w:val="18"/>
                <w:szCs w:val="18"/>
                <w:lang w:bidi="zh-CN"/>
              </w:rPr>
            </w:pPr>
            <w:r>
              <w:rPr>
                <w:kern w:val="0"/>
                <w:sz w:val="18"/>
                <w:szCs w:val="18"/>
                <w:lang w:bidi="zh-CN"/>
              </w:rPr>
              <w:t>±0.0</w:t>
            </w:r>
            <w:r>
              <w:rPr>
                <w:rFonts w:hint="eastAsia"/>
                <w:kern w:val="0"/>
                <w:sz w:val="18"/>
                <w:szCs w:val="18"/>
                <w:lang w:bidi="zh-CN"/>
              </w:rPr>
              <w:t>4</w:t>
            </w:r>
          </w:p>
        </w:tc>
        <w:tc>
          <w:tcPr>
            <w:tcW w:w="437" w:type="pct"/>
            <w:vAlign w:val="center"/>
          </w:tcPr>
          <w:p w14:paraId="70AD21C3">
            <w:pPr>
              <w:autoSpaceDE w:val="0"/>
              <w:autoSpaceDN w:val="0"/>
              <w:jc w:val="center"/>
              <w:rPr>
                <w:kern w:val="0"/>
                <w:sz w:val="18"/>
                <w:szCs w:val="18"/>
                <w:lang w:bidi="zh-CN"/>
              </w:rPr>
            </w:pPr>
            <w:r>
              <w:rPr>
                <w:kern w:val="0"/>
                <w:sz w:val="18"/>
                <w:szCs w:val="18"/>
                <w:lang w:bidi="zh-CN"/>
              </w:rPr>
              <w:t>±0.0</w:t>
            </w:r>
            <w:r>
              <w:rPr>
                <w:rFonts w:hint="eastAsia"/>
                <w:kern w:val="0"/>
                <w:sz w:val="18"/>
                <w:szCs w:val="18"/>
                <w:lang w:bidi="zh-CN"/>
              </w:rPr>
              <w:t>4</w:t>
            </w:r>
            <w:r>
              <w:rPr>
                <w:kern w:val="0"/>
                <w:sz w:val="18"/>
                <w:szCs w:val="18"/>
                <w:lang w:bidi="zh-CN"/>
              </w:rPr>
              <w:t>5</w:t>
            </w:r>
          </w:p>
        </w:tc>
        <w:tc>
          <w:tcPr>
            <w:tcW w:w="431" w:type="pct"/>
            <w:vAlign w:val="center"/>
          </w:tcPr>
          <w:p w14:paraId="3CF52628">
            <w:pPr>
              <w:autoSpaceDE w:val="0"/>
              <w:autoSpaceDN w:val="0"/>
              <w:jc w:val="center"/>
              <w:rPr>
                <w:kern w:val="0"/>
                <w:sz w:val="18"/>
                <w:szCs w:val="18"/>
                <w:lang w:bidi="zh-CN"/>
              </w:rPr>
            </w:pPr>
            <w:r>
              <w:rPr>
                <w:kern w:val="0"/>
                <w:sz w:val="18"/>
                <w:szCs w:val="18"/>
                <w:lang w:bidi="zh-CN"/>
              </w:rPr>
              <w:t>±0.0</w:t>
            </w:r>
            <w:r>
              <w:rPr>
                <w:rFonts w:hint="eastAsia"/>
                <w:kern w:val="0"/>
                <w:sz w:val="18"/>
                <w:szCs w:val="18"/>
                <w:lang w:bidi="zh-CN"/>
              </w:rPr>
              <w:t>5</w:t>
            </w:r>
            <w:r>
              <w:rPr>
                <w:kern w:val="0"/>
                <w:sz w:val="18"/>
                <w:szCs w:val="18"/>
                <w:lang w:bidi="zh-CN"/>
              </w:rPr>
              <w:t>0</w:t>
            </w:r>
          </w:p>
        </w:tc>
      </w:tr>
      <w:tr w14:paraId="7C49A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621" w:type="pct"/>
            <w:vAlign w:val="center"/>
          </w:tcPr>
          <w:p w14:paraId="722A498F">
            <w:pPr>
              <w:autoSpaceDE w:val="0"/>
              <w:autoSpaceDN w:val="0"/>
              <w:spacing w:before="117"/>
              <w:ind w:left="150" w:right="141"/>
              <w:jc w:val="center"/>
              <w:rPr>
                <w:kern w:val="0"/>
                <w:sz w:val="18"/>
                <w:szCs w:val="18"/>
                <w:lang w:bidi="zh-CN"/>
              </w:rPr>
            </w:pPr>
            <w:r>
              <w:rPr>
                <w:spacing w:val="-12"/>
                <w:kern w:val="0"/>
                <w:sz w:val="18"/>
                <w:szCs w:val="18"/>
                <w:lang w:bidi="zh-CN"/>
              </w:rPr>
              <w:t>最大纵向偏差/mm</w:t>
            </w:r>
          </w:p>
        </w:tc>
        <w:tc>
          <w:tcPr>
            <w:tcW w:w="507" w:type="pct"/>
            <w:vAlign w:val="center"/>
          </w:tcPr>
          <w:p w14:paraId="5B54E0B8">
            <w:pPr>
              <w:autoSpaceDE w:val="0"/>
              <w:autoSpaceDN w:val="0"/>
              <w:jc w:val="center"/>
              <w:rPr>
                <w:kern w:val="0"/>
                <w:sz w:val="18"/>
                <w:szCs w:val="18"/>
                <w:lang w:bidi="zh-CN"/>
              </w:rPr>
            </w:pPr>
            <w:r>
              <w:rPr>
                <w:kern w:val="0"/>
                <w:sz w:val="18"/>
                <w:szCs w:val="18"/>
                <w:lang w:bidi="zh-CN"/>
              </w:rPr>
              <w:t>﹢0.012</w:t>
            </w:r>
          </w:p>
          <w:p w14:paraId="623DD0BA">
            <w:pPr>
              <w:autoSpaceDE w:val="0"/>
              <w:autoSpaceDN w:val="0"/>
              <w:spacing w:before="2" w:line="213" w:lineRule="exact"/>
              <w:ind w:right="121"/>
              <w:jc w:val="center"/>
              <w:rPr>
                <w:kern w:val="0"/>
                <w:sz w:val="18"/>
                <w:szCs w:val="18"/>
                <w:lang w:bidi="zh-CN"/>
              </w:rPr>
            </w:pPr>
            <w:r>
              <w:rPr>
                <w:kern w:val="0"/>
                <w:sz w:val="18"/>
                <w:szCs w:val="18"/>
                <w:lang w:bidi="zh-CN"/>
              </w:rPr>
              <w:t>0</w:t>
            </w:r>
          </w:p>
        </w:tc>
        <w:tc>
          <w:tcPr>
            <w:tcW w:w="485" w:type="pct"/>
            <w:vAlign w:val="center"/>
          </w:tcPr>
          <w:p w14:paraId="787D6042">
            <w:pPr>
              <w:autoSpaceDE w:val="0"/>
              <w:autoSpaceDN w:val="0"/>
              <w:jc w:val="center"/>
              <w:rPr>
                <w:kern w:val="0"/>
                <w:sz w:val="18"/>
                <w:szCs w:val="18"/>
                <w:lang w:bidi="zh-CN"/>
              </w:rPr>
            </w:pPr>
            <w:r>
              <w:rPr>
                <w:kern w:val="0"/>
                <w:sz w:val="18"/>
                <w:szCs w:val="18"/>
                <w:lang w:bidi="zh-CN"/>
              </w:rPr>
              <w:t>+0.015</w:t>
            </w:r>
          </w:p>
          <w:p w14:paraId="7CE2CB5E">
            <w:pPr>
              <w:autoSpaceDE w:val="0"/>
              <w:autoSpaceDN w:val="0"/>
              <w:spacing w:before="2" w:line="213" w:lineRule="exact"/>
              <w:ind w:right="121"/>
              <w:jc w:val="center"/>
              <w:rPr>
                <w:kern w:val="0"/>
                <w:sz w:val="18"/>
                <w:szCs w:val="18"/>
                <w:lang w:bidi="zh-CN"/>
              </w:rPr>
            </w:pPr>
            <w:r>
              <w:rPr>
                <w:kern w:val="0"/>
                <w:sz w:val="18"/>
                <w:szCs w:val="18"/>
                <w:lang w:bidi="zh-CN"/>
              </w:rPr>
              <w:t>0</w:t>
            </w:r>
          </w:p>
        </w:tc>
        <w:tc>
          <w:tcPr>
            <w:tcW w:w="510" w:type="pct"/>
            <w:vAlign w:val="center"/>
          </w:tcPr>
          <w:p w14:paraId="23A0DE0B">
            <w:pPr>
              <w:autoSpaceDE w:val="0"/>
              <w:autoSpaceDN w:val="0"/>
              <w:jc w:val="center"/>
              <w:rPr>
                <w:kern w:val="0"/>
                <w:sz w:val="18"/>
                <w:szCs w:val="18"/>
                <w:lang w:bidi="zh-CN"/>
              </w:rPr>
            </w:pPr>
            <w:r>
              <w:rPr>
                <w:kern w:val="0"/>
                <w:sz w:val="18"/>
                <w:szCs w:val="18"/>
                <w:lang w:bidi="zh-CN"/>
              </w:rPr>
              <w:t>+0.020</w:t>
            </w:r>
          </w:p>
          <w:p w14:paraId="6D732070">
            <w:pPr>
              <w:autoSpaceDE w:val="0"/>
              <w:autoSpaceDN w:val="0"/>
              <w:spacing w:before="2" w:line="213" w:lineRule="exact"/>
              <w:ind w:right="121"/>
              <w:jc w:val="center"/>
              <w:rPr>
                <w:kern w:val="0"/>
                <w:sz w:val="18"/>
                <w:szCs w:val="18"/>
                <w:lang w:bidi="zh-CN"/>
              </w:rPr>
            </w:pPr>
            <w:r>
              <w:rPr>
                <w:kern w:val="0"/>
                <w:sz w:val="18"/>
                <w:szCs w:val="18"/>
                <w:lang w:bidi="zh-CN"/>
              </w:rPr>
              <w:t>0</w:t>
            </w:r>
          </w:p>
        </w:tc>
        <w:tc>
          <w:tcPr>
            <w:tcW w:w="529" w:type="pct"/>
            <w:vAlign w:val="center"/>
          </w:tcPr>
          <w:p w14:paraId="74B05DB9">
            <w:pPr>
              <w:autoSpaceDE w:val="0"/>
              <w:autoSpaceDN w:val="0"/>
              <w:jc w:val="center"/>
              <w:rPr>
                <w:kern w:val="0"/>
                <w:sz w:val="18"/>
                <w:szCs w:val="18"/>
                <w:lang w:bidi="zh-CN"/>
              </w:rPr>
            </w:pPr>
            <w:r>
              <w:rPr>
                <w:kern w:val="0"/>
                <w:sz w:val="18"/>
                <w:szCs w:val="18"/>
                <w:lang w:bidi="zh-CN"/>
              </w:rPr>
              <w:t>﹢0.015</w:t>
            </w:r>
          </w:p>
          <w:p w14:paraId="2D0877EC">
            <w:pPr>
              <w:autoSpaceDE w:val="0"/>
              <w:autoSpaceDN w:val="0"/>
              <w:spacing w:before="2" w:line="213" w:lineRule="exact"/>
              <w:ind w:right="121"/>
              <w:jc w:val="center"/>
              <w:rPr>
                <w:kern w:val="0"/>
                <w:sz w:val="18"/>
                <w:szCs w:val="18"/>
                <w:lang w:bidi="zh-CN"/>
              </w:rPr>
            </w:pPr>
            <w:r>
              <w:rPr>
                <w:kern w:val="0"/>
                <w:sz w:val="18"/>
                <w:szCs w:val="18"/>
                <w:lang w:bidi="zh-CN"/>
              </w:rPr>
              <w:t>0</w:t>
            </w:r>
          </w:p>
        </w:tc>
        <w:tc>
          <w:tcPr>
            <w:tcW w:w="536" w:type="pct"/>
            <w:vAlign w:val="center"/>
          </w:tcPr>
          <w:p w14:paraId="38ED59FF">
            <w:pPr>
              <w:autoSpaceDE w:val="0"/>
              <w:autoSpaceDN w:val="0"/>
              <w:jc w:val="center"/>
              <w:rPr>
                <w:kern w:val="0"/>
                <w:sz w:val="18"/>
                <w:szCs w:val="18"/>
                <w:lang w:bidi="zh-CN"/>
              </w:rPr>
            </w:pPr>
            <w:r>
              <w:rPr>
                <w:kern w:val="0"/>
                <w:sz w:val="18"/>
                <w:szCs w:val="18"/>
                <w:lang w:bidi="zh-CN"/>
              </w:rPr>
              <w:t>+0.020</w:t>
            </w:r>
          </w:p>
          <w:p w14:paraId="04A26D7F">
            <w:pPr>
              <w:autoSpaceDE w:val="0"/>
              <w:autoSpaceDN w:val="0"/>
              <w:spacing w:before="2" w:line="213" w:lineRule="exact"/>
              <w:ind w:right="121"/>
              <w:jc w:val="center"/>
              <w:rPr>
                <w:kern w:val="0"/>
                <w:sz w:val="18"/>
                <w:szCs w:val="18"/>
                <w:lang w:bidi="zh-CN"/>
              </w:rPr>
            </w:pPr>
            <w:r>
              <w:rPr>
                <w:kern w:val="0"/>
                <w:sz w:val="18"/>
                <w:szCs w:val="18"/>
                <w:lang w:bidi="zh-CN"/>
              </w:rPr>
              <w:t>0</w:t>
            </w:r>
          </w:p>
        </w:tc>
        <w:tc>
          <w:tcPr>
            <w:tcW w:w="478" w:type="pct"/>
            <w:vAlign w:val="center"/>
          </w:tcPr>
          <w:p w14:paraId="664F5D27">
            <w:pPr>
              <w:autoSpaceDE w:val="0"/>
              <w:autoSpaceDN w:val="0"/>
              <w:jc w:val="center"/>
              <w:rPr>
                <w:kern w:val="0"/>
                <w:sz w:val="18"/>
                <w:szCs w:val="18"/>
                <w:lang w:bidi="zh-CN"/>
              </w:rPr>
            </w:pPr>
            <w:r>
              <w:rPr>
                <w:kern w:val="0"/>
                <w:sz w:val="18"/>
                <w:szCs w:val="18"/>
                <w:lang w:bidi="zh-CN"/>
              </w:rPr>
              <w:t>+0.030</w:t>
            </w:r>
          </w:p>
          <w:p w14:paraId="0DB58DF8">
            <w:pPr>
              <w:autoSpaceDE w:val="0"/>
              <w:autoSpaceDN w:val="0"/>
              <w:spacing w:before="2" w:line="213" w:lineRule="exact"/>
              <w:ind w:right="121"/>
              <w:jc w:val="center"/>
              <w:rPr>
                <w:kern w:val="0"/>
                <w:sz w:val="18"/>
                <w:szCs w:val="18"/>
                <w:lang w:bidi="zh-CN"/>
              </w:rPr>
            </w:pPr>
            <w:r>
              <w:rPr>
                <w:kern w:val="0"/>
                <w:sz w:val="18"/>
                <w:szCs w:val="18"/>
                <w:lang w:bidi="zh-CN"/>
              </w:rPr>
              <w:t>0</w:t>
            </w:r>
          </w:p>
        </w:tc>
        <w:tc>
          <w:tcPr>
            <w:tcW w:w="466" w:type="pct"/>
            <w:vAlign w:val="center"/>
          </w:tcPr>
          <w:p w14:paraId="09140CAF">
            <w:pPr>
              <w:autoSpaceDE w:val="0"/>
              <w:autoSpaceDN w:val="0"/>
              <w:jc w:val="center"/>
              <w:rPr>
                <w:kern w:val="0"/>
                <w:sz w:val="18"/>
                <w:szCs w:val="18"/>
                <w:lang w:bidi="zh-CN"/>
              </w:rPr>
            </w:pPr>
            <w:r>
              <w:rPr>
                <w:kern w:val="0"/>
                <w:sz w:val="18"/>
                <w:szCs w:val="18"/>
                <w:lang w:bidi="zh-CN"/>
              </w:rPr>
              <w:t>﹢0.018</w:t>
            </w:r>
          </w:p>
          <w:p w14:paraId="613741C8">
            <w:pPr>
              <w:autoSpaceDE w:val="0"/>
              <w:autoSpaceDN w:val="0"/>
              <w:spacing w:before="2" w:line="213" w:lineRule="exact"/>
              <w:ind w:right="121"/>
              <w:jc w:val="center"/>
              <w:rPr>
                <w:kern w:val="0"/>
                <w:sz w:val="18"/>
                <w:szCs w:val="18"/>
                <w:lang w:bidi="zh-CN"/>
              </w:rPr>
            </w:pPr>
            <w:r>
              <w:rPr>
                <w:kern w:val="0"/>
                <w:sz w:val="18"/>
                <w:szCs w:val="18"/>
                <w:lang w:bidi="zh-CN"/>
              </w:rPr>
              <w:t>0</w:t>
            </w:r>
          </w:p>
        </w:tc>
        <w:tc>
          <w:tcPr>
            <w:tcW w:w="437" w:type="pct"/>
            <w:vAlign w:val="center"/>
          </w:tcPr>
          <w:p w14:paraId="1FE375F1">
            <w:pPr>
              <w:autoSpaceDE w:val="0"/>
              <w:autoSpaceDN w:val="0"/>
              <w:jc w:val="center"/>
              <w:rPr>
                <w:kern w:val="0"/>
                <w:sz w:val="18"/>
                <w:szCs w:val="18"/>
                <w:lang w:bidi="zh-CN"/>
              </w:rPr>
            </w:pPr>
            <w:r>
              <w:rPr>
                <w:kern w:val="0"/>
                <w:sz w:val="18"/>
                <w:szCs w:val="18"/>
                <w:lang w:bidi="zh-CN"/>
              </w:rPr>
              <w:t>+0.025</w:t>
            </w:r>
          </w:p>
          <w:p w14:paraId="743061AF">
            <w:pPr>
              <w:autoSpaceDE w:val="0"/>
              <w:autoSpaceDN w:val="0"/>
              <w:spacing w:before="2" w:line="213" w:lineRule="exact"/>
              <w:ind w:right="121"/>
              <w:jc w:val="center"/>
              <w:rPr>
                <w:kern w:val="0"/>
                <w:sz w:val="18"/>
                <w:szCs w:val="18"/>
                <w:lang w:bidi="zh-CN"/>
              </w:rPr>
            </w:pPr>
            <w:r>
              <w:rPr>
                <w:kern w:val="0"/>
                <w:sz w:val="18"/>
                <w:szCs w:val="18"/>
                <w:lang w:bidi="zh-CN"/>
              </w:rPr>
              <w:t>0</w:t>
            </w:r>
          </w:p>
        </w:tc>
        <w:tc>
          <w:tcPr>
            <w:tcW w:w="431" w:type="pct"/>
            <w:vAlign w:val="center"/>
          </w:tcPr>
          <w:p w14:paraId="7F206D2F">
            <w:pPr>
              <w:autoSpaceDE w:val="0"/>
              <w:autoSpaceDN w:val="0"/>
              <w:jc w:val="center"/>
              <w:rPr>
                <w:kern w:val="0"/>
                <w:sz w:val="18"/>
                <w:szCs w:val="18"/>
                <w:lang w:bidi="zh-CN"/>
              </w:rPr>
            </w:pPr>
            <w:r>
              <w:rPr>
                <w:kern w:val="0"/>
                <w:sz w:val="18"/>
                <w:szCs w:val="18"/>
                <w:lang w:bidi="zh-CN"/>
              </w:rPr>
              <w:t>+0.035</w:t>
            </w:r>
          </w:p>
          <w:p w14:paraId="1A099299">
            <w:pPr>
              <w:autoSpaceDE w:val="0"/>
              <w:autoSpaceDN w:val="0"/>
              <w:spacing w:before="2" w:line="213" w:lineRule="exact"/>
              <w:ind w:right="121"/>
              <w:jc w:val="center"/>
              <w:rPr>
                <w:kern w:val="0"/>
                <w:sz w:val="18"/>
                <w:szCs w:val="18"/>
                <w:lang w:bidi="zh-CN"/>
              </w:rPr>
            </w:pPr>
            <w:r>
              <w:rPr>
                <w:kern w:val="0"/>
                <w:sz w:val="18"/>
                <w:szCs w:val="18"/>
                <w:lang w:bidi="zh-CN"/>
              </w:rPr>
              <w:t>0</w:t>
            </w:r>
          </w:p>
        </w:tc>
      </w:tr>
      <w:tr w14:paraId="5EAAB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621" w:type="pct"/>
            <w:vAlign w:val="center"/>
          </w:tcPr>
          <w:p w14:paraId="30C1354C">
            <w:pPr>
              <w:autoSpaceDE w:val="0"/>
              <w:autoSpaceDN w:val="0"/>
              <w:spacing w:before="117"/>
              <w:ind w:left="150" w:right="141"/>
              <w:jc w:val="center"/>
              <w:rPr>
                <w:kern w:val="0"/>
                <w:sz w:val="18"/>
                <w:szCs w:val="18"/>
                <w:lang w:bidi="zh-CN"/>
              </w:rPr>
            </w:pPr>
            <w:r>
              <w:rPr>
                <w:spacing w:val="-12"/>
                <w:kern w:val="0"/>
                <w:sz w:val="18"/>
                <w:szCs w:val="18"/>
                <w:lang w:bidi="zh-CN"/>
              </w:rPr>
              <w:t>最大横向偏差/mm</w:t>
            </w:r>
          </w:p>
        </w:tc>
        <w:tc>
          <w:tcPr>
            <w:tcW w:w="507" w:type="pct"/>
            <w:vAlign w:val="center"/>
          </w:tcPr>
          <w:p w14:paraId="7F26632C">
            <w:pPr>
              <w:autoSpaceDE w:val="0"/>
              <w:autoSpaceDN w:val="0"/>
              <w:jc w:val="center"/>
              <w:rPr>
                <w:kern w:val="0"/>
                <w:sz w:val="18"/>
                <w:szCs w:val="18"/>
                <w:lang w:bidi="zh-CN"/>
              </w:rPr>
            </w:pPr>
            <w:r>
              <w:rPr>
                <w:kern w:val="0"/>
                <w:sz w:val="18"/>
                <w:szCs w:val="18"/>
                <w:lang w:bidi="zh-CN"/>
              </w:rPr>
              <w:t>+0.010</w:t>
            </w:r>
          </w:p>
          <w:p w14:paraId="7EB78285">
            <w:pPr>
              <w:autoSpaceDE w:val="0"/>
              <w:autoSpaceDN w:val="0"/>
              <w:spacing w:before="2" w:line="213" w:lineRule="exact"/>
              <w:ind w:right="121"/>
              <w:jc w:val="center"/>
              <w:rPr>
                <w:kern w:val="0"/>
                <w:sz w:val="18"/>
                <w:szCs w:val="18"/>
                <w:lang w:bidi="zh-CN"/>
              </w:rPr>
            </w:pPr>
            <w:r>
              <w:rPr>
                <w:kern w:val="0"/>
                <w:sz w:val="18"/>
                <w:szCs w:val="18"/>
                <w:lang w:bidi="zh-CN"/>
              </w:rPr>
              <w:t>0</w:t>
            </w:r>
          </w:p>
        </w:tc>
        <w:tc>
          <w:tcPr>
            <w:tcW w:w="485" w:type="pct"/>
            <w:vAlign w:val="center"/>
          </w:tcPr>
          <w:p w14:paraId="61172C1D">
            <w:pPr>
              <w:autoSpaceDE w:val="0"/>
              <w:autoSpaceDN w:val="0"/>
              <w:jc w:val="center"/>
              <w:rPr>
                <w:kern w:val="0"/>
                <w:sz w:val="18"/>
                <w:szCs w:val="18"/>
                <w:lang w:bidi="zh-CN"/>
              </w:rPr>
            </w:pPr>
            <w:r>
              <w:rPr>
                <w:kern w:val="0"/>
                <w:sz w:val="18"/>
                <w:szCs w:val="18"/>
                <w:lang w:bidi="zh-CN"/>
              </w:rPr>
              <w:t>+0.010</w:t>
            </w:r>
          </w:p>
          <w:p w14:paraId="510441DB">
            <w:pPr>
              <w:autoSpaceDE w:val="0"/>
              <w:autoSpaceDN w:val="0"/>
              <w:spacing w:before="2" w:line="213" w:lineRule="exact"/>
              <w:ind w:right="121"/>
              <w:jc w:val="center"/>
              <w:rPr>
                <w:kern w:val="0"/>
                <w:sz w:val="18"/>
                <w:szCs w:val="18"/>
                <w:lang w:bidi="zh-CN"/>
              </w:rPr>
            </w:pPr>
            <w:r>
              <w:rPr>
                <w:kern w:val="0"/>
                <w:sz w:val="18"/>
                <w:szCs w:val="18"/>
                <w:lang w:bidi="zh-CN"/>
              </w:rPr>
              <w:t>0</w:t>
            </w:r>
          </w:p>
        </w:tc>
        <w:tc>
          <w:tcPr>
            <w:tcW w:w="510" w:type="pct"/>
            <w:vAlign w:val="center"/>
          </w:tcPr>
          <w:p w14:paraId="2B5F48EC">
            <w:pPr>
              <w:autoSpaceDE w:val="0"/>
              <w:autoSpaceDN w:val="0"/>
              <w:jc w:val="center"/>
              <w:rPr>
                <w:kern w:val="0"/>
                <w:sz w:val="18"/>
                <w:szCs w:val="18"/>
                <w:lang w:bidi="zh-CN"/>
              </w:rPr>
            </w:pPr>
            <w:r>
              <w:rPr>
                <w:kern w:val="0"/>
                <w:sz w:val="18"/>
                <w:szCs w:val="18"/>
                <w:lang w:bidi="zh-CN"/>
              </w:rPr>
              <w:t>+0.015</w:t>
            </w:r>
          </w:p>
          <w:p w14:paraId="017D61D3">
            <w:pPr>
              <w:autoSpaceDE w:val="0"/>
              <w:autoSpaceDN w:val="0"/>
              <w:spacing w:before="2" w:line="213" w:lineRule="exact"/>
              <w:ind w:right="121"/>
              <w:jc w:val="center"/>
              <w:rPr>
                <w:kern w:val="0"/>
                <w:sz w:val="18"/>
                <w:szCs w:val="18"/>
                <w:lang w:bidi="zh-CN"/>
              </w:rPr>
            </w:pPr>
            <w:r>
              <w:rPr>
                <w:kern w:val="0"/>
                <w:sz w:val="18"/>
                <w:szCs w:val="18"/>
                <w:lang w:bidi="zh-CN"/>
              </w:rPr>
              <w:t>0</w:t>
            </w:r>
          </w:p>
        </w:tc>
        <w:tc>
          <w:tcPr>
            <w:tcW w:w="529" w:type="pct"/>
            <w:vAlign w:val="center"/>
          </w:tcPr>
          <w:p w14:paraId="421E9832">
            <w:pPr>
              <w:autoSpaceDE w:val="0"/>
              <w:autoSpaceDN w:val="0"/>
              <w:jc w:val="center"/>
              <w:rPr>
                <w:kern w:val="0"/>
                <w:sz w:val="18"/>
                <w:szCs w:val="18"/>
                <w:lang w:bidi="zh-CN"/>
              </w:rPr>
            </w:pPr>
            <w:r>
              <w:rPr>
                <w:kern w:val="0"/>
                <w:sz w:val="18"/>
                <w:szCs w:val="18"/>
                <w:lang w:bidi="zh-CN"/>
              </w:rPr>
              <w:t>+0.015</w:t>
            </w:r>
          </w:p>
          <w:p w14:paraId="2AC18704">
            <w:pPr>
              <w:autoSpaceDE w:val="0"/>
              <w:autoSpaceDN w:val="0"/>
              <w:spacing w:before="2" w:line="213" w:lineRule="exact"/>
              <w:ind w:right="121"/>
              <w:jc w:val="center"/>
              <w:rPr>
                <w:kern w:val="0"/>
                <w:sz w:val="18"/>
                <w:szCs w:val="18"/>
                <w:lang w:bidi="zh-CN"/>
              </w:rPr>
            </w:pPr>
            <w:r>
              <w:rPr>
                <w:kern w:val="0"/>
                <w:sz w:val="18"/>
                <w:szCs w:val="18"/>
                <w:lang w:bidi="zh-CN"/>
              </w:rPr>
              <w:t>0</w:t>
            </w:r>
          </w:p>
        </w:tc>
        <w:tc>
          <w:tcPr>
            <w:tcW w:w="536" w:type="pct"/>
            <w:vAlign w:val="center"/>
          </w:tcPr>
          <w:p w14:paraId="5D656304">
            <w:pPr>
              <w:autoSpaceDE w:val="0"/>
              <w:autoSpaceDN w:val="0"/>
              <w:jc w:val="center"/>
              <w:rPr>
                <w:kern w:val="0"/>
                <w:sz w:val="18"/>
                <w:szCs w:val="18"/>
                <w:lang w:bidi="zh-CN"/>
              </w:rPr>
            </w:pPr>
            <w:r>
              <w:rPr>
                <w:kern w:val="0"/>
                <w:sz w:val="18"/>
                <w:szCs w:val="18"/>
                <w:lang w:bidi="zh-CN"/>
              </w:rPr>
              <w:t>+0.015</w:t>
            </w:r>
          </w:p>
          <w:p w14:paraId="159483FF">
            <w:pPr>
              <w:autoSpaceDE w:val="0"/>
              <w:autoSpaceDN w:val="0"/>
              <w:spacing w:before="2" w:line="213" w:lineRule="exact"/>
              <w:ind w:right="121"/>
              <w:jc w:val="center"/>
              <w:rPr>
                <w:kern w:val="0"/>
                <w:sz w:val="18"/>
                <w:szCs w:val="18"/>
                <w:lang w:bidi="zh-CN"/>
              </w:rPr>
            </w:pPr>
            <w:r>
              <w:rPr>
                <w:kern w:val="0"/>
                <w:sz w:val="18"/>
                <w:szCs w:val="18"/>
                <w:lang w:bidi="zh-CN"/>
              </w:rPr>
              <w:t>0</w:t>
            </w:r>
          </w:p>
        </w:tc>
        <w:tc>
          <w:tcPr>
            <w:tcW w:w="478" w:type="pct"/>
            <w:vAlign w:val="center"/>
          </w:tcPr>
          <w:p w14:paraId="7D98848E">
            <w:pPr>
              <w:autoSpaceDE w:val="0"/>
              <w:autoSpaceDN w:val="0"/>
              <w:jc w:val="center"/>
              <w:rPr>
                <w:kern w:val="0"/>
                <w:sz w:val="18"/>
                <w:szCs w:val="18"/>
                <w:lang w:bidi="zh-CN"/>
              </w:rPr>
            </w:pPr>
            <w:r>
              <w:rPr>
                <w:kern w:val="0"/>
                <w:sz w:val="18"/>
                <w:szCs w:val="18"/>
                <w:lang w:bidi="zh-CN"/>
              </w:rPr>
              <w:t>+0.020</w:t>
            </w:r>
          </w:p>
          <w:p w14:paraId="5F224142">
            <w:pPr>
              <w:autoSpaceDE w:val="0"/>
              <w:autoSpaceDN w:val="0"/>
              <w:spacing w:before="2" w:line="213" w:lineRule="exact"/>
              <w:ind w:right="121"/>
              <w:jc w:val="center"/>
              <w:rPr>
                <w:kern w:val="0"/>
                <w:sz w:val="18"/>
                <w:szCs w:val="18"/>
                <w:lang w:bidi="zh-CN"/>
              </w:rPr>
            </w:pPr>
            <w:r>
              <w:rPr>
                <w:kern w:val="0"/>
                <w:sz w:val="18"/>
                <w:szCs w:val="18"/>
                <w:lang w:bidi="zh-CN"/>
              </w:rPr>
              <w:t>0</w:t>
            </w:r>
          </w:p>
        </w:tc>
        <w:tc>
          <w:tcPr>
            <w:tcW w:w="466" w:type="pct"/>
            <w:vAlign w:val="center"/>
          </w:tcPr>
          <w:p w14:paraId="402E5C9D">
            <w:pPr>
              <w:autoSpaceDE w:val="0"/>
              <w:autoSpaceDN w:val="0"/>
              <w:jc w:val="center"/>
              <w:rPr>
                <w:kern w:val="0"/>
                <w:sz w:val="18"/>
                <w:szCs w:val="18"/>
                <w:lang w:bidi="zh-CN"/>
              </w:rPr>
            </w:pPr>
            <w:r>
              <w:rPr>
                <w:kern w:val="0"/>
                <w:sz w:val="18"/>
                <w:szCs w:val="18"/>
                <w:lang w:bidi="zh-CN"/>
              </w:rPr>
              <w:t>+0.020</w:t>
            </w:r>
          </w:p>
          <w:p w14:paraId="4DA3D27E">
            <w:pPr>
              <w:autoSpaceDE w:val="0"/>
              <w:autoSpaceDN w:val="0"/>
              <w:spacing w:before="2" w:line="213" w:lineRule="exact"/>
              <w:ind w:right="121"/>
              <w:jc w:val="center"/>
              <w:rPr>
                <w:kern w:val="0"/>
                <w:sz w:val="18"/>
                <w:szCs w:val="18"/>
                <w:lang w:bidi="zh-CN"/>
              </w:rPr>
            </w:pPr>
            <w:r>
              <w:rPr>
                <w:kern w:val="0"/>
                <w:sz w:val="18"/>
                <w:szCs w:val="18"/>
                <w:lang w:bidi="zh-CN"/>
              </w:rPr>
              <w:t>0</w:t>
            </w:r>
          </w:p>
        </w:tc>
        <w:tc>
          <w:tcPr>
            <w:tcW w:w="437" w:type="pct"/>
            <w:vAlign w:val="center"/>
          </w:tcPr>
          <w:p w14:paraId="20CF155A">
            <w:pPr>
              <w:autoSpaceDE w:val="0"/>
              <w:autoSpaceDN w:val="0"/>
              <w:jc w:val="center"/>
              <w:rPr>
                <w:kern w:val="0"/>
                <w:sz w:val="18"/>
                <w:szCs w:val="18"/>
                <w:lang w:bidi="zh-CN"/>
              </w:rPr>
            </w:pPr>
            <w:r>
              <w:rPr>
                <w:kern w:val="0"/>
                <w:sz w:val="18"/>
                <w:szCs w:val="18"/>
                <w:lang w:bidi="zh-CN"/>
              </w:rPr>
              <w:t>+0.020</w:t>
            </w:r>
          </w:p>
          <w:p w14:paraId="4372CE8C">
            <w:pPr>
              <w:autoSpaceDE w:val="0"/>
              <w:autoSpaceDN w:val="0"/>
              <w:spacing w:before="2" w:line="213" w:lineRule="exact"/>
              <w:ind w:right="121"/>
              <w:jc w:val="center"/>
              <w:rPr>
                <w:kern w:val="0"/>
                <w:sz w:val="18"/>
                <w:szCs w:val="18"/>
                <w:lang w:bidi="zh-CN"/>
              </w:rPr>
            </w:pPr>
            <w:r>
              <w:rPr>
                <w:kern w:val="0"/>
                <w:sz w:val="18"/>
                <w:szCs w:val="18"/>
                <w:lang w:bidi="zh-CN"/>
              </w:rPr>
              <w:t>0</w:t>
            </w:r>
          </w:p>
        </w:tc>
        <w:tc>
          <w:tcPr>
            <w:tcW w:w="431" w:type="pct"/>
            <w:vAlign w:val="center"/>
          </w:tcPr>
          <w:p w14:paraId="266ABB2F">
            <w:pPr>
              <w:autoSpaceDE w:val="0"/>
              <w:autoSpaceDN w:val="0"/>
              <w:jc w:val="center"/>
              <w:rPr>
                <w:kern w:val="0"/>
                <w:sz w:val="18"/>
                <w:szCs w:val="18"/>
                <w:lang w:bidi="zh-CN"/>
              </w:rPr>
            </w:pPr>
            <w:r>
              <w:rPr>
                <w:kern w:val="0"/>
                <w:sz w:val="18"/>
                <w:szCs w:val="18"/>
                <w:lang w:bidi="zh-CN"/>
              </w:rPr>
              <w:t>+0.030</w:t>
            </w:r>
          </w:p>
          <w:p w14:paraId="679BCA3F">
            <w:pPr>
              <w:autoSpaceDE w:val="0"/>
              <w:autoSpaceDN w:val="0"/>
              <w:spacing w:before="2" w:line="213" w:lineRule="exact"/>
              <w:ind w:right="121"/>
              <w:jc w:val="center"/>
              <w:rPr>
                <w:kern w:val="0"/>
                <w:sz w:val="18"/>
                <w:szCs w:val="18"/>
                <w:lang w:bidi="zh-CN"/>
              </w:rPr>
            </w:pPr>
            <w:r>
              <w:rPr>
                <w:kern w:val="0"/>
                <w:sz w:val="18"/>
                <w:szCs w:val="18"/>
                <w:lang w:bidi="zh-CN"/>
              </w:rPr>
              <w:t>0</w:t>
            </w:r>
          </w:p>
        </w:tc>
      </w:tr>
    </w:tbl>
    <w:p w14:paraId="56BC55B4">
      <w:pPr>
        <w:pStyle w:val="77"/>
        <w:spacing w:before="156" w:after="156"/>
        <w:ind w:left="0"/>
        <w:rPr>
          <w:rFonts w:ascii="Times New Roman"/>
        </w:rPr>
      </w:pPr>
    </w:p>
    <w:tbl>
      <w:tblPr>
        <w:tblStyle w:val="31"/>
        <w:tblW w:w="51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16"/>
        <w:gridCol w:w="805"/>
        <w:gridCol w:w="942"/>
        <w:gridCol w:w="1132"/>
        <w:gridCol w:w="929"/>
        <w:gridCol w:w="1078"/>
        <w:gridCol w:w="1060"/>
        <w:gridCol w:w="912"/>
        <w:gridCol w:w="828"/>
        <w:gridCol w:w="854"/>
      </w:tblGrid>
      <w:tr w14:paraId="2FC34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578" w:type="pct"/>
            <w:vMerge w:val="restart"/>
            <w:vAlign w:val="center"/>
          </w:tcPr>
          <w:p w14:paraId="1230C504">
            <w:pPr>
              <w:autoSpaceDE w:val="0"/>
              <w:autoSpaceDN w:val="0"/>
              <w:jc w:val="center"/>
              <w:rPr>
                <w:b/>
                <w:bCs/>
                <w:kern w:val="0"/>
                <w:sz w:val="18"/>
                <w:szCs w:val="18"/>
                <w:lang w:bidi="zh-CN"/>
              </w:rPr>
            </w:pPr>
            <w:r>
              <w:rPr>
                <w:b/>
                <w:bCs/>
                <w:kern w:val="0"/>
                <w:sz w:val="18"/>
                <w:szCs w:val="18"/>
                <w:lang w:bidi="zh-CN"/>
              </w:rPr>
              <w:t>质量要求</w:t>
            </w:r>
          </w:p>
        </w:tc>
        <w:tc>
          <w:tcPr>
            <w:tcW w:w="4422" w:type="pct"/>
            <w:gridSpan w:val="9"/>
            <w:vAlign w:val="center"/>
          </w:tcPr>
          <w:p w14:paraId="7402F022">
            <w:pPr>
              <w:autoSpaceDE w:val="0"/>
              <w:autoSpaceDN w:val="0"/>
              <w:ind w:left="3339" w:right="3328"/>
              <w:jc w:val="center"/>
              <w:rPr>
                <w:b/>
                <w:bCs/>
                <w:kern w:val="0"/>
                <w:sz w:val="18"/>
                <w:szCs w:val="18"/>
                <w:lang w:bidi="zh-CN"/>
              </w:rPr>
            </w:pPr>
            <w:r>
              <w:rPr>
                <w:b/>
                <w:bCs/>
                <w:kern w:val="0"/>
                <w:sz w:val="18"/>
                <w:szCs w:val="18"/>
                <w:lang w:bidi="zh-CN"/>
              </w:rPr>
              <w:t>质量等级</w:t>
            </w:r>
          </w:p>
        </w:tc>
      </w:tr>
      <w:tr w14:paraId="24655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78" w:type="pct"/>
            <w:vMerge w:val="continue"/>
            <w:vAlign w:val="center"/>
          </w:tcPr>
          <w:p w14:paraId="7156063F">
            <w:pPr>
              <w:autoSpaceDE w:val="0"/>
              <w:autoSpaceDN w:val="0"/>
              <w:jc w:val="center"/>
              <w:rPr>
                <w:b/>
                <w:bCs/>
                <w:kern w:val="0"/>
                <w:sz w:val="18"/>
                <w:szCs w:val="18"/>
                <w:lang w:bidi="zh-CN"/>
              </w:rPr>
            </w:pPr>
          </w:p>
        </w:tc>
        <w:tc>
          <w:tcPr>
            <w:tcW w:w="1491" w:type="pct"/>
            <w:gridSpan w:val="3"/>
            <w:vAlign w:val="center"/>
          </w:tcPr>
          <w:p w14:paraId="0C3A8265">
            <w:pPr>
              <w:autoSpaceDE w:val="0"/>
              <w:autoSpaceDN w:val="0"/>
              <w:spacing w:before="52"/>
              <w:ind w:left="131" w:right="121"/>
              <w:jc w:val="center"/>
              <w:rPr>
                <w:b/>
                <w:bCs/>
                <w:kern w:val="0"/>
                <w:sz w:val="18"/>
                <w:szCs w:val="18"/>
                <w:lang w:bidi="zh-CN"/>
              </w:rPr>
            </w:pPr>
            <w:r>
              <w:rPr>
                <w:b/>
                <w:bCs/>
                <w:kern w:val="0"/>
                <w:sz w:val="18"/>
                <w:szCs w:val="18"/>
                <w:lang w:bidi="zh-CN"/>
              </w:rPr>
              <w:t>特优级</w:t>
            </w:r>
          </w:p>
        </w:tc>
        <w:tc>
          <w:tcPr>
            <w:tcW w:w="1588" w:type="pct"/>
            <w:gridSpan w:val="3"/>
            <w:vAlign w:val="center"/>
          </w:tcPr>
          <w:p w14:paraId="3BA9188F">
            <w:pPr>
              <w:autoSpaceDE w:val="0"/>
              <w:autoSpaceDN w:val="0"/>
              <w:spacing w:before="52"/>
              <w:ind w:left="137" w:right="130"/>
              <w:jc w:val="center"/>
              <w:rPr>
                <w:b/>
                <w:bCs/>
                <w:kern w:val="0"/>
                <w:sz w:val="18"/>
                <w:szCs w:val="18"/>
                <w:lang w:bidi="zh-CN"/>
              </w:rPr>
            </w:pPr>
            <w:r>
              <w:rPr>
                <w:b/>
                <w:bCs/>
                <w:kern w:val="0"/>
                <w:sz w:val="18"/>
                <w:szCs w:val="18"/>
                <w:lang w:bidi="zh-CN"/>
              </w:rPr>
              <w:t>优质级</w:t>
            </w:r>
          </w:p>
        </w:tc>
        <w:tc>
          <w:tcPr>
            <w:tcW w:w="1343" w:type="pct"/>
            <w:gridSpan w:val="3"/>
            <w:vAlign w:val="center"/>
          </w:tcPr>
          <w:p w14:paraId="612004CF">
            <w:pPr>
              <w:autoSpaceDE w:val="0"/>
              <w:autoSpaceDN w:val="0"/>
              <w:spacing w:before="52"/>
              <w:ind w:left="137" w:right="130"/>
              <w:jc w:val="center"/>
              <w:rPr>
                <w:b/>
                <w:bCs/>
                <w:kern w:val="0"/>
                <w:sz w:val="18"/>
                <w:szCs w:val="18"/>
                <w:lang w:bidi="zh-CN"/>
              </w:rPr>
            </w:pPr>
            <w:r>
              <w:rPr>
                <w:b/>
                <w:bCs/>
                <w:kern w:val="0"/>
                <w:sz w:val="18"/>
                <w:szCs w:val="18"/>
                <w:lang w:bidi="zh-CN"/>
              </w:rPr>
              <w:t>一般级</w:t>
            </w:r>
          </w:p>
        </w:tc>
      </w:tr>
      <w:tr w14:paraId="55B6C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578" w:type="pct"/>
            <w:vMerge w:val="continue"/>
            <w:vAlign w:val="center"/>
          </w:tcPr>
          <w:p w14:paraId="5DF03B26">
            <w:pPr>
              <w:autoSpaceDE w:val="0"/>
              <w:autoSpaceDN w:val="0"/>
              <w:spacing w:before="117"/>
              <w:ind w:left="150" w:right="141"/>
              <w:jc w:val="center"/>
              <w:rPr>
                <w:b/>
                <w:bCs/>
                <w:kern w:val="0"/>
                <w:sz w:val="18"/>
                <w:szCs w:val="18"/>
                <w:lang w:bidi="zh-CN"/>
              </w:rPr>
            </w:pPr>
          </w:p>
        </w:tc>
        <w:tc>
          <w:tcPr>
            <w:tcW w:w="4422" w:type="pct"/>
            <w:gridSpan w:val="9"/>
            <w:vAlign w:val="center"/>
          </w:tcPr>
          <w:p w14:paraId="641A0821">
            <w:pPr>
              <w:autoSpaceDE w:val="0"/>
              <w:autoSpaceDN w:val="0"/>
              <w:spacing w:before="2" w:line="213" w:lineRule="exact"/>
              <w:ind w:right="121"/>
              <w:jc w:val="center"/>
              <w:rPr>
                <w:kern w:val="0"/>
                <w:sz w:val="18"/>
                <w:szCs w:val="18"/>
                <w:lang w:val="zh-CN" w:bidi="zh-CN"/>
              </w:rPr>
            </w:pPr>
            <w:r>
              <w:rPr>
                <w:kern w:val="0"/>
                <w:sz w:val="18"/>
                <w:szCs w:val="18"/>
                <w:lang w:val="zh-CN" w:bidi="zh-CN"/>
              </w:rPr>
              <w:t>公称宽度/ mm</w:t>
            </w:r>
          </w:p>
        </w:tc>
      </w:tr>
      <w:tr w14:paraId="222D8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578" w:type="pct"/>
            <w:vMerge w:val="continue"/>
            <w:vAlign w:val="center"/>
          </w:tcPr>
          <w:p w14:paraId="5FE39DBE">
            <w:pPr>
              <w:autoSpaceDE w:val="0"/>
              <w:autoSpaceDN w:val="0"/>
              <w:spacing w:before="117"/>
              <w:ind w:left="150" w:right="141"/>
              <w:jc w:val="center"/>
              <w:rPr>
                <w:spacing w:val="-12"/>
                <w:kern w:val="0"/>
                <w:sz w:val="18"/>
                <w:szCs w:val="18"/>
                <w:lang w:val="zh-CN" w:bidi="zh-CN"/>
              </w:rPr>
            </w:pPr>
          </w:p>
        </w:tc>
        <w:tc>
          <w:tcPr>
            <w:tcW w:w="417" w:type="pct"/>
            <w:vAlign w:val="center"/>
          </w:tcPr>
          <w:p w14:paraId="3A276D52">
            <w:pPr>
              <w:autoSpaceDE w:val="0"/>
              <w:autoSpaceDN w:val="0"/>
              <w:jc w:val="center"/>
              <w:rPr>
                <w:kern w:val="0"/>
                <w:sz w:val="18"/>
                <w:szCs w:val="18"/>
                <w:lang w:bidi="zh-CN"/>
              </w:rPr>
            </w:pPr>
            <w:r>
              <w:rPr>
                <w:rFonts w:hint="eastAsia"/>
                <w:kern w:val="0"/>
                <w:sz w:val="18"/>
                <w:szCs w:val="18"/>
                <w:lang w:bidi="zh-CN"/>
              </w:rPr>
              <w:t>≤</w:t>
            </w:r>
            <w:r>
              <w:rPr>
                <w:kern w:val="0"/>
                <w:sz w:val="18"/>
                <w:szCs w:val="18"/>
                <w:lang w:bidi="zh-CN"/>
              </w:rPr>
              <w:t>600</w:t>
            </w:r>
          </w:p>
        </w:tc>
        <w:tc>
          <w:tcPr>
            <w:tcW w:w="488" w:type="pct"/>
            <w:vAlign w:val="center"/>
          </w:tcPr>
          <w:p w14:paraId="1599C0D4">
            <w:pPr>
              <w:autoSpaceDE w:val="0"/>
              <w:autoSpaceDN w:val="0"/>
              <w:spacing w:before="1"/>
              <w:jc w:val="center"/>
              <w:rPr>
                <w:kern w:val="0"/>
                <w:sz w:val="18"/>
                <w:szCs w:val="18"/>
                <w:lang w:bidi="zh-CN"/>
              </w:rPr>
            </w:pPr>
            <w:r>
              <w:rPr>
                <w:rFonts w:hint="eastAsia"/>
                <w:kern w:val="0"/>
                <w:sz w:val="18"/>
                <w:szCs w:val="18"/>
                <w:lang w:bidi="zh-CN"/>
              </w:rPr>
              <w:t>≤</w:t>
            </w:r>
            <w:r>
              <w:rPr>
                <w:kern w:val="0"/>
                <w:sz w:val="18"/>
                <w:szCs w:val="18"/>
                <w:lang w:bidi="zh-CN"/>
              </w:rPr>
              <w:t>1000</w:t>
            </w:r>
          </w:p>
        </w:tc>
        <w:tc>
          <w:tcPr>
            <w:tcW w:w="586" w:type="pct"/>
            <w:vAlign w:val="center"/>
          </w:tcPr>
          <w:p w14:paraId="468736EB">
            <w:pPr>
              <w:autoSpaceDE w:val="0"/>
              <w:autoSpaceDN w:val="0"/>
              <w:spacing w:before="1"/>
              <w:jc w:val="center"/>
              <w:rPr>
                <w:kern w:val="0"/>
                <w:sz w:val="18"/>
                <w:szCs w:val="18"/>
                <w:lang w:bidi="zh-CN"/>
              </w:rPr>
            </w:pPr>
            <w:r>
              <w:rPr>
                <w:rFonts w:hint="eastAsia"/>
                <w:kern w:val="0"/>
                <w:sz w:val="18"/>
                <w:szCs w:val="18"/>
                <w:lang w:bidi="zh-CN"/>
              </w:rPr>
              <w:t>≥</w:t>
            </w:r>
            <w:r>
              <w:rPr>
                <w:kern w:val="0"/>
                <w:sz w:val="18"/>
                <w:szCs w:val="18"/>
                <w:lang w:bidi="zh-CN"/>
              </w:rPr>
              <w:t>1000</w:t>
            </w:r>
          </w:p>
        </w:tc>
        <w:tc>
          <w:tcPr>
            <w:tcW w:w="481" w:type="pct"/>
            <w:vAlign w:val="center"/>
          </w:tcPr>
          <w:p w14:paraId="4C52AE29">
            <w:pPr>
              <w:autoSpaceDE w:val="0"/>
              <w:autoSpaceDN w:val="0"/>
              <w:jc w:val="center"/>
              <w:rPr>
                <w:kern w:val="0"/>
                <w:sz w:val="18"/>
                <w:szCs w:val="18"/>
                <w:lang w:bidi="zh-CN"/>
              </w:rPr>
            </w:pPr>
            <w:r>
              <w:rPr>
                <w:rFonts w:hint="eastAsia"/>
                <w:kern w:val="0"/>
                <w:sz w:val="18"/>
                <w:szCs w:val="18"/>
                <w:lang w:bidi="zh-CN"/>
              </w:rPr>
              <w:t>≤</w:t>
            </w:r>
            <w:r>
              <w:rPr>
                <w:kern w:val="0"/>
                <w:sz w:val="18"/>
                <w:szCs w:val="18"/>
                <w:lang w:bidi="zh-CN"/>
              </w:rPr>
              <w:t>600</w:t>
            </w:r>
          </w:p>
        </w:tc>
        <w:tc>
          <w:tcPr>
            <w:tcW w:w="558" w:type="pct"/>
            <w:vAlign w:val="center"/>
          </w:tcPr>
          <w:p w14:paraId="1AF03E1A">
            <w:pPr>
              <w:autoSpaceDE w:val="0"/>
              <w:autoSpaceDN w:val="0"/>
              <w:spacing w:before="1"/>
              <w:jc w:val="center"/>
              <w:rPr>
                <w:kern w:val="0"/>
                <w:sz w:val="18"/>
                <w:szCs w:val="18"/>
                <w:lang w:bidi="zh-CN"/>
              </w:rPr>
            </w:pPr>
            <w:r>
              <w:rPr>
                <w:rFonts w:hint="eastAsia"/>
                <w:kern w:val="0"/>
                <w:sz w:val="18"/>
                <w:szCs w:val="18"/>
                <w:lang w:bidi="zh-CN"/>
              </w:rPr>
              <w:t>≤</w:t>
            </w:r>
            <w:r>
              <w:rPr>
                <w:kern w:val="0"/>
                <w:sz w:val="18"/>
                <w:szCs w:val="18"/>
                <w:lang w:bidi="zh-CN"/>
              </w:rPr>
              <w:t>1000</w:t>
            </w:r>
          </w:p>
        </w:tc>
        <w:tc>
          <w:tcPr>
            <w:tcW w:w="549" w:type="pct"/>
            <w:vAlign w:val="center"/>
          </w:tcPr>
          <w:p w14:paraId="0D8B31CE">
            <w:pPr>
              <w:autoSpaceDE w:val="0"/>
              <w:autoSpaceDN w:val="0"/>
              <w:spacing w:before="1"/>
              <w:jc w:val="center"/>
              <w:rPr>
                <w:kern w:val="0"/>
                <w:sz w:val="18"/>
                <w:szCs w:val="18"/>
                <w:lang w:bidi="zh-CN"/>
              </w:rPr>
            </w:pPr>
            <w:r>
              <w:rPr>
                <w:rFonts w:hint="eastAsia"/>
                <w:kern w:val="0"/>
                <w:sz w:val="18"/>
                <w:szCs w:val="18"/>
                <w:lang w:bidi="zh-CN"/>
              </w:rPr>
              <w:t>≥</w:t>
            </w:r>
            <w:r>
              <w:rPr>
                <w:kern w:val="0"/>
                <w:sz w:val="18"/>
                <w:szCs w:val="18"/>
                <w:lang w:bidi="zh-CN"/>
              </w:rPr>
              <w:t>1000</w:t>
            </w:r>
          </w:p>
        </w:tc>
        <w:tc>
          <w:tcPr>
            <w:tcW w:w="472" w:type="pct"/>
            <w:vAlign w:val="center"/>
          </w:tcPr>
          <w:p w14:paraId="300274D1">
            <w:pPr>
              <w:autoSpaceDE w:val="0"/>
              <w:autoSpaceDN w:val="0"/>
              <w:jc w:val="center"/>
              <w:rPr>
                <w:kern w:val="0"/>
                <w:sz w:val="18"/>
                <w:szCs w:val="18"/>
                <w:lang w:bidi="zh-CN"/>
              </w:rPr>
            </w:pPr>
            <w:r>
              <w:rPr>
                <w:rFonts w:hint="eastAsia"/>
                <w:kern w:val="0"/>
                <w:sz w:val="18"/>
                <w:szCs w:val="18"/>
                <w:lang w:bidi="zh-CN"/>
              </w:rPr>
              <w:t>≤</w:t>
            </w:r>
            <w:r>
              <w:rPr>
                <w:kern w:val="0"/>
                <w:sz w:val="18"/>
                <w:szCs w:val="18"/>
                <w:lang w:bidi="zh-CN"/>
              </w:rPr>
              <w:t>600</w:t>
            </w:r>
          </w:p>
        </w:tc>
        <w:tc>
          <w:tcPr>
            <w:tcW w:w="429" w:type="pct"/>
            <w:vAlign w:val="center"/>
          </w:tcPr>
          <w:p w14:paraId="69484C9E">
            <w:pPr>
              <w:autoSpaceDE w:val="0"/>
              <w:autoSpaceDN w:val="0"/>
              <w:spacing w:before="1"/>
              <w:jc w:val="center"/>
              <w:rPr>
                <w:kern w:val="0"/>
                <w:sz w:val="18"/>
                <w:szCs w:val="18"/>
                <w:lang w:bidi="zh-CN"/>
              </w:rPr>
            </w:pPr>
            <w:r>
              <w:rPr>
                <w:rFonts w:hint="eastAsia"/>
                <w:kern w:val="0"/>
                <w:sz w:val="18"/>
                <w:szCs w:val="18"/>
                <w:lang w:bidi="zh-CN"/>
              </w:rPr>
              <w:t>≤</w:t>
            </w:r>
            <w:r>
              <w:rPr>
                <w:kern w:val="0"/>
                <w:sz w:val="18"/>
                <w:szCs w:val="18"/>
                <w:lang w:bidi="zh-CN"/>
              </w:rPr>
              <w:t>1000</w:t>
            </w:r>
          </w:p>
        </w:tc>
        <w:tc>
          <w:tcPr>
            <w:tcW w:w="442" w:type="pct"/>
            <w:vAlign w:val="center"/>
          </w:tcPr>
          <w:p w14:paraId="15B0294F">
            <w:pPr>
              <w:autoSpaceDE w:val="0"/>
              <w:autoSpaceDN w:val="0"/>
              <w:spacing w:before="1"/>
              <w:jc w:val="center"/>
              <w:rPr>
                <w:kern w:val="0"/>
                <w:sz w:val="18"/>
                <w:szCs w:val="18"/>
                <w:lang w:bidi="zh-CN"/>
              </w:rPr>
            </w:pPr>
            <w:r>
              <w:rPr>
                <w:rFonts w:hint="eastAsia"/>
                <w:kern w:val="0"/>
                <w:sz w:val="18"/>
                <w:szCs w:val="18"/>
                <w:lang w:bidi="zh-CN"/>
              </w:rPr>
              <w:t>≥</w:t>
            </w:r>
            <w:r>
              <w:rPr>
                <w:kern w:val="0"/>
                <w:sz w:val="18"/>
                <w:szCs w:val="18"/>
                <w:lang w:bidi="zh-CN"/>
              </w:rPr>
              <w:t>1000</w:t>
            </w:r>
          </w:p>
        </w:tc>
      </w:tr>
      <w:tr w14:paraId="1134B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78" w:type="pct"/>
            <w:vAlign w:val="center"/>
          </w:tcPr>
          <w:p w14:paraId="46EEC1E9">
            <w:pPr>
              <w:autoSpaceDE w:val="0"/>
              <w:autoSpaceDN w:val="0"/>
              <w:spacing w:before="1"/>
              <w:jc w:val="center"/>
              <w:rPr>
                <w:kern w:val="0"/>
                <w:sz w:val="18"/>
                <w:szCs w:val="18"/>
                <w:lang w:bidi="zh-CN"/>
              </w:rPr>
            </w:pPr>
            <w:r>
              <w:rPr>
                <w:kern w:val="0"/>
                <w:sz w:val="18"/>
                <w:szCs w:val="18"/>
                <w:lang w:val="zh-CN" w:bidi="zh-CN"/>
              </w:rPr>
              <w:t>允许宽度偏差/mm</w:t>
            </w:r>
          </w:p>
        </w:tc>
        <w:tc>
          <w:tcPr>
            <w:tcW w:w="417" w:type="pct"/>
            <w:vAlign w:val="center"/>
          </w:tcPr>
          <w:p w14:paraId="23977256">
            <w:pPr>
              <w:pStyle w:val="148"/>
              <w:spacing w:line="240" w:lineRule="auto"/>
              <w:jc w:val="center"/>
              <w:rPr>
                <w:rFonts w:ascii="Times New Roman" w:hAnsi="Times New Roman" w:cs="Times New Roman"/>
                <w:spacing w:val="-12"/>
                <w:sz w:val="18"/>
                <w:szCs w:val="18"/>
                <w:lang w:val="en-US"/>
              </w:rPr>
            </w:pPr>
            <w:r>
              <w:rPr>
                <w:rFonts w:ascii="Times New Roman" w:hAnsi="Times New Roman" w:cs="Times New Roman"/>
                <w:spacing w:val="-12"/>
                <w:sz w:val="18"/>
                <w:szCs w:val="18"/>
              </w:rPr>
              <w:t>+0.</w:t>
            </w:r>
            <w:r>
              <w:rPr>
                <w:rFonts w:hint="eastAsia" w:ascii="Times New Roman" w:hAnsi="Times New Roman" w:cs="Times New Roman"/>
                <w:spacing w:val="-12"/>
                <w:sz w:val="18"/>
                <w:szCs w:val="18"/>
                <w:lang w:val="en-US"/>
              </w:rPr>
              <w:t>3</w:t>
            </w:r>
          </w:p>
          <w:p w14:paraId="688A7F27">
            <w:pPr>
              <w:autoSpaceDE w:val="0"/>
              <w:autoSpaceDN w:val="0"/>
              <w:jc w:val="center"/>
              <w:rPr>
                <w:kern w:val="0"/>
                <w:sz w:val="18"/>
                <w:szCs w:val="18"/>
                <w:lang w:bidi="zh-CN"/>
              </w:rPr>
            </w:pPr>
            <w:r>
              <w:rPr>
                <w:spacing w:val="-12"/>
                <w:sz w:val="18"/>
                <w:szCs w:val="18"/>
              </w:rPr>
              <w:t>0</w:t>
            </w:r>
          </w:p>
        </w:tc>
        <w:tc>
          <w:tcPr>
            <w:tcW w:w="488" w:type="pct"/>
            <w:vAlign w:val="center"/>
          </w:tcPr>
          <w:p w14:paraId="48E15A7B">
            <w:pPr>
              <w:pStyle w:val="148"/>
              <w:spacing w:line="240" w:lineRule="auto"/>
              <w:jc w:val="center"/>
              <w:rPr>
                <w:rFonts w:ascii="Times New Roman" w:hAnsi="Times New Roman" w:cs="Times New Roman"/>
                <w:spacing w:val="-12"/>
                <w:sz w:val="18"/>
                <w:szCs w:val="18"/>
                <w:lang w:val="en-US"/>
              </w:rPr>
            </w:pPr>
            <w:r>
              <w:rPr>
                <w:rFonts w:ascii="Times New Roman" w:hAnsi="Times New Roman" w:cs="Times New Roman"/>
                <w:spacing w:val="-12"/>
                <w:sz w:val="18"/>
                <w:szCs w:val="18"/>
              </w:rPr>
              <w:t>+0.</w:t>
            </w:r>
            <w:r>
              <w:rPr>
                <w:rFonts w:hint="eastAsia" w:ascii="Times New Roman" w:hAnsi="Times New Roman" w:cs="Times New Roman"/>
                <w:spacing w:val="-12"/>
                <w:sz w:val="18"/>
                <w:szCs w:val="18"/>
                <w:lang w:val="en-US"/>
              </w:rPr>
              <w:t>4</w:t>
            </w:r>
          </w:p>
          <w:p w14:paraId="12C0B13B">
            <w:pPr>
              <w:autoSpaceDE w:val="0"/>
              <w:autoSpaceDN w:val="0"/>
              <w:jc w:val="center"/>
              <w:rPr>
                <w:kern w:val="0"/>
                <w:sz w:val="18"/>
                <w:szCs w:val="18"/>
                <w:lang w:bidi="zh-CN"/>
              </w:rPr>
            </w:pPr>
            <w:r>
              <w:rPr>
                <w:spacing w:val="-12"/>
                <w:sz w:val="18"/>
                <w:szCs w:val="18"/>
              </w:rPr>
              <w:t>0</w:t>
            </w:r>
          </w:p>
        </w:tc>
        <w:tc>
          <w:tcPr>
            <w:tcW w:w="586" w:type="pct"/>
            <w:vAlign w:val="center"/>
          </w:tcPr>
          <w:p w14:paraId="765AAAC4">
            <w:pPr>
              <w:pStyle w:val="148"/>
              <w:spacing w:line="240" w:lineRule="auto"/>
              <w:jc w:val="center"/>
              <w:rPr>
                <w:rFonts w:ascii="Times New Roman" w:hAnsi="Times New Roman" w:cs="Times New Roman"/>
                <w:spacing w:val="-12"/>
                <w:sz w:val="18"/>
                <w:szCs w:val="18"/>
                <w:lang w:val="en-US"/>
              </w:rPr>
            </w:pPr>
            <w:r>
              <w:rPr>
                <w:rFonts w:ascii="Times New Roman" w:hAnsi="Times New Roman" w:cs="Times New Roman"/>
                <w:spacing w:val="-12"/>
                <w:sz w:val="18"/>
                <w:szCs w:val="18"/>
              </w:rPr>
              <w:t>+0.</w:t>
            </w:r>
            <w:r>
              <w:rPr>
                <w:rFonts w:hint="eastAsia" w:ascii="Times New Roman" w:hAnsi="Times New Roman" w:cs="Times New Roman"/>
                <w:spacing w:val="-12"/>
                <w:sz w:val="18"/>
                <w:szCs w:val="18"/>
                <w:lang w:val="en-US"/>
              </w:rPr>
              <w:t>5</w:t>
            </w:r>
          </w:p>
          <w:p w14:paraId="658A940B">
            <w:pPr>
              <w:autoSpaceDE w:val="0"/>
              <w:autoSpaceDN w:val="0"/>
              <w:jc w:val="center"/>
              <w:rPr>
                <w:kern w:val="0"/>
                <w:sz w:val="18"/>
                <w:szCs w:val="18"/>
                <w:lang w:bidi="zh-CN"/>
              </w:rPr>
            </w:pPr>
            <w:r>
              <w:rPr>
                <w:spacing w:val="-12"/>
                <w:sz w:val="18"/>
                <w:szCs w:val="18"/>
              </w:rPr>
              <w:t>0</w:t>
            </w:r>
          </w:p>
        </w:tc>
        <w:tc>
          <w:tcPr>
            <w:tcW w:w="481" w:type="pct"/>
            <w:vAlign w:val="center"/>
          </w:tcPr>
          <w:p w14:paraId="586E4D51">
            <w:pPr>
              <w:pStyle w:val="148"/>
              <w:spacing w:line="240" w:lineRule="auto"/>
              <w:jc w:val="center"/>
              <w:rPr>
                <w:rFonts w:ascii="Times New Roman" w:hAnsi="Times New Roman" w:cs="Times New Roman"/>
                <w:spacing w:val="-12"/>
                <w:sz w:val="18"/>
                <w:szCs w:val="18"/>
                <w:lang w:val="en-US"/>
              </w:rPr>
            </w:pPr>
            <w:r>
              <w:rPr>
                <w:rFonts w:ascii="Times New Roman" w:hAnsi="Times New Roman" w:cs="Times New Roman"/>
                <w:spacing w:val="-12"/>
                <w:sz w:val="18"/>
                <w:szCs w:val="18"/>
              </w:rPr>
              <w:t>+0.</w:t>
            </w:r>
            <w:r>
              <w:rPr>
                <w:rFonts w:hint="eastAsia" w:ascii="Times New Roman" w:hAnsi="Times New Roman" w:cs="Times New Roman"/>
                <w:spacing w:val="-12"/>
                <w:sz w:val="18"/>
                <w:szCs w:val="18"/>
                <w:lang w:val="en-US"/>
              </w:rPr>
              <w:t>4</w:t>
            </w:r>
          </w:p>
          <w:p w14:paraId="45A082AC">
            <w:pPr>
              <w:autoSpaceDE w:val="0"/>
              <w:autoSpaceDN w:val="0"/>
              <w:jc w:val="center"/>
              <w:rPr>
                <w:kern w:val="0"/>
                <w:sz w:val="18"/>
                <w:szCs w:val="18"/>
                <w:lang w:bidi="zh-CN"/>
              </w:rPr>
            </w:pPr>
            <w:r>
              <w:rPr>
                <w:spacing w:val="-12"/>
                <w:sz w:val="18"/>
                <w:szCs w:val="18"/>
              </w:rPr>
              <w:t>0</w:t>
            </w:r>
          </w:p>
        </w:tc>
        <w:tc>
          <w:tcPr>
            <w:tcW w:w="558" w:type="pct"/>
            <w:vAlign w:val="center"/>
          </w:tcPr>
          <w:p w14:paraId="0D78039F">
            <w:pPr>
              <w:pStyle w:val="148"/>
              <w:spacing w:line="240" w:lineRule="auto"/>
              <w:jc w:val="center"/>
              <w:rPr>
                <w:rFonts w:ascii="Times New Roman" w:hAnsi="Times New Roman" w:cs="Times New Roman"/>
                <w:spacing w:val="-12"/>
                <w:sz w:val="18"/>
                <w:szCs w:val="18"/>
                <w:lang w:val="en-US"/>
              </w:rPr>
            </w:pPr>
            <w:r>
              <w:rPr>
                <w:rFonts w:ascii="Times New Roman" w:hAnsi="Times New Roman" w:cs="Times New Roman"/>
                <w:spacing w:val="-12"/>
                <w:sz w:val="18"/>
                <w:szCs w:val="18"/>
              </w:rPr>
              <w:t>+0.</w:t>
            </w:r>
            <w:r>
              <w:rPr>
                <w:rFonts w:hint="eastAsia" w:ascii="Times New Roman" w:hAnsi="Times New Roman" w:cs="Times New Roman"/>
                <w:spacing w:val="-12"/>
                <w:sz w:val="18"/>
                <w:szCs w:val="18"/>
                <w:lang w:val="en-US"/>
              </w:rPr>
              <w:t>5</w:t>
            </w:r>
          </w:p>
          <w:p w14:paraId="663AC98B">
            <w:pPr>
              <w:autoSpaceDE w:val="0"/>
              <w:autoSpaceDN w:val="0"/>
              <w:jc w:val="center"/>
              <w:rPr>
                <w:kern w:val="0"/>
                <w:sz w:val="18"/>
                <w:szCs w:val="18"/>
                <w:lang w:bidi="zh-CN"/>
              </w:rPr>
            </w:pPr>
            <w:r>
              <w:rPr>
                <w:spacing w:val="-12"/>
                <w:sz w:val="18"/>
                <w:szCs w:val="18"/>
              </w:rPr>
              <w:t>0</w:t>
            </w:r>
          </w:p>
        </w:tc>
        <w:tc>
          <w:tcPr>
            <w:tcW w:w="549" w:type="pct"/>
            <w:vAlign w:val="center"/>
          </w:tcPr>
          <w:p w14:paraId="24DBFE21">
            <w:pPr>
              <w:pStyle w:val="148"/>
              <w:spacing w:line="240" w:lineRule="auto"/>
              <w:jc w:val="center"/>
              <w:rPr>
                <w:rFonts w:ascii="Times New Roman" w:hAnsi="Times New Roman" w:cs="Times New Roman"/>
                <w:spacing w:val="-12"/>
                <w:sz w:val="18"/>
                <w:szCs w:val="18"/>
                <w:lang w:val="en-US"/>
              </w:rPr>
            </w:pPr>
            <w:r>
              <w:rPr>
                <w:rFonts w:ascii="Times New Roman" w:hAnsi="Times New Roman" w:cs="Times New Roman"/>
                <w:spacing w:val="-12"/>
                <w:sz w:val="18"/>
                <w:szCs w:val="18"/>
              </w:rPr>
              <w:t>+0.</w:t>
            </w:r>
            <w:r>
              <w:rPr>
                <w:rFonts w:hint="eastAsia" w:ascii="Times New Roman" w:hAnsi="Times New Roman" w:cs="Times New Roman"/>
                <w:spacing w:val="-12"/>
                <w:sz w:val="18"/>
                <w:szCs w:val="18"/>
                <w:lang w:val="en-US"/>
              </w:rPr>
              <w:t>6</w:t>
            </w:r>
          </w:p>
          <w:p w14:paraId="0BCF14EA">
            <w:pPr>
              <w:autoSpaceDE w:val="0"/>
              <w:autoSpaceDN w:val="0"/>
              <w:jc w:val="center"/>
              <w:rPr>
                <w:kern w:val="0"/>
                <w:sz w:val="18"/>
                <w:szCs w:val="18"/>
                <w:lang w:bidi="zh-CN"/>
              </w:rPr>
            </w:pPr>
            <w:r>
              <w:rPr>
                <w:spacing w:val="-12"/>
                <w:sz w:val="18"/>
                <w:szCs w:val="18"/>
              </w:rPr>
              <w:t>0</w:t>
            </w:r>
          </w:p>
        </w:tc>
        <w:tc>
          <w:tcPr>
            <w:tcW w:w="472" w:type="pct"/>
            <w:vAlign w:val="center"/>
          </w:tcPr>
          <w:p w14:paraId="2E058AA6">
            <w:pPr>
              <w:pStyle w:val="148"/>
              <w:spacing w:line="240" w:lineRule="auto"/>
              <w:jc w:val="center"/>
              <w:rPr>
                <w:rFonts w:ascii="Times New Roman" w:hAnsi="Times New Roman" w:cs="Times New Roman"/>
                <w:spacing w:val="-12"/>
                <w:sz w:val="18"/>
                <w:szCs w:val="18"/>
                <w:lang w:val="en-US"/>
              </w:rPr>
            </w:pPr>
            <w:r>
              <w:rPr>
                <w:rFonts w:ascii="Times New Roman" w:hAnsi="Times New Roman" w:cs="Times New Roman"/>
                <w:spacing w:val="-12"/>
                <w:sz w:val="18"/>
                <w:szCs w:val="18"/>
              </w:rPr>
              <w:t>+0.</w:t>
            </w:r>
            <w:r>
              <w:rPr>
                <w:rFonts w:hint="eastAsia" w:ascii="Times New Roman" w:hAnsi="Times New Roman" w:cs="Times New Roman"/>
                <w:spacing w:val="-12"/>
                <w:sz w:val="18"/>
                <w:szCs w:val="18"/>
                <w:lang w:val="en-US"/>
              </w:rPr>
              <w:t>5</w:t>
            </w:r>
          </w:p>
          <w:p w14:paraId="0BCFE1E4">
            <w:pPr>
              <w:autoSpaceDE w:val="0"/>
              <w:autoSpaceDN w:val="0"/>
              <w:jc w:val="center"/>
              <w:rPr>
                <w:kern w:val="0"/>
                <w:sz w:val="18"/>
                <w:szCs w:val="18"/>
                <w:lang w:bidi="zh-CN"/>
              </w:rPr>
            </w:pPr>
            <w:r>
              <w:rPr>
                <w:spacing w:val="-12"/>
                <w:sz w:val="18"/>
                <w:szCs w:val="18"/>
              </w:rPr>
              <w:t>0</w:t>
            </w:r>
          </w:p>
        </w:tc>
        <w:tc>
          <w:tcPr>
            <w:tcW w:w="429" w:type="pct"/>
            <w:vAlign w:val="center"/>
          </w:tcPr>
          <w:p w14:paraId="050DF135">
            <w:pPr>
              <w:pStyle w:val="148"/>
              <w:spacing w:line="240" w:lineRule="auto"/>
              <w:jc w:val="center"/>
              <w:rPr>
                <w:rFonts w:ascii="Times New Roman" w:hAnsi="Times New Roman" w:cs="Times New Roman"/>
                <w:spacing w:val="-12"/>
                <w:sz w:val="18"/>
                <w:szCs w:val="18"/>
                <w:lang w:val="en-US"/>
              </w:rPr>
            </w:pPr>
            <w:r>
              <w:rPr>
                <w:rFonts w:ascii="Times New Roman" w:hAnsi="Times New Roman" w:cs="Times New Roman"/>
                <w:spacing w:val="-12"/>
                <w:sz w:val="18"/>
                <w:szCs w:val="18"/>
              </w:rPr>
              <w:t>+0.</w:t>
            </w:r>
            <w:r>
              <w:rPr>
                <w:rFonts w:hint="eastAsia" w:ascii="Times New Roman" w:hAnsi="Times New Roman" w:cs="Times New Roman"/>
                <w:spacing w:val="-12"/>
                <w:sz w:val="18"/>
                <w:szCs w:val="18"/>
                <w:lang w:val="en-US"/>
              </w:rPr>
              <w:t>6</w:t>
            </w:r>
          </w:p>
          <w:p w14:paraId="235BC739">
            <w:pPr>
              <w:autoSpaceDE w:val="0"/>
              <w:autoSpaceDN w:val="0"/>
              <w:jc w:val="center"/>
              <w:rPr>
                <w:kern w:val="0"/>
                <w:sz w:val="18"/>
                <w:szCs w:val="18"/>
                <w:lang w:bidi="zh-CN"/>
              </w:rPr>
            </w:pPr>
            <w:r>
              <w:rPr>
                <w:spacing w:val="-12"/>
                <w:sz w:val="18"/>
                <w:szCs w:val="18"/>
              </w:rPr>
              <w:t>0</w:t>
            </w:r>
          </w:p>
        </w:tc>
        <w:tc>
          <w:tcPr>
            <w:tcW w:w="442" w:type="pct"/>
            <w:vAlign w:val="center"/>
          </w:tcPr>
          <w:p w14:paraId="4418E575">
            <w:pPr>
              <w:pStyle w:val="148"/>
              <w:spacing w:line="240" w:lineRule="auto"/>
              <w:jc w:val="center"/>
              <w:rPr>
                <w:rFonts w:ascii="Times New Roman" w:hAnsi="Times New Roman" w:cs="Times New Roman"/>
                <w:spacing w:val="-12"/>
                <w:sz w:val="18"/>
                <w:szCs w:val="18"/>
                <w:lang w:val="en-US"/>
              </w:rPr>
            </w:pPr>
            <w:r>
              <w:rPr>
                <w:rFonts w:ascii="Times New Roman" w:hAnsi="Times New Roman" w:cs="Times New Roman"/>
                <w:spacing w:val="-12"/>
                <w:sz w:val="18"/>
                <w:szCs w:val="18"/>
              </w:rPr>
              <w:t>+0.</w:t>
            </w:r>
            <w:r>
              <w:rPr>
                <w:rFonts w:hint="eastAsia" w:ascii="Times New Roman" w:hAnsi="Times New Roman" w:cs="Times New Roman"/>
                <w:spacing w:val="-12"/>
                <w:sz w:val="18"/>
                <w:szCs w:val="18"/>
                <w:lang w:val="en-US"/>
              </w:rPr>
              <w:t>7</w:t>
            </w:r>
          </w:p>
          <w:p w14:paraId="367FFAB8">
            <w:pPr>
              <w:autoSpaceDE w:val="0"/>
              <w:autoSpaceDN w:val="0"/>
              <w:jc w:val="center"/>
              <w:rPr>
                <w:kern w:val="0"/>
                <w:sz w:val="18"/>
                <w:szCs w:val="18"/>
                <w:lang w:bidi="zh-CN"/>
              </w:rPr>
            </w:pPr>
            <w:r>
              <w:rPr>
                <w:spacing w:val="-12"/>
                <w:sz w:val="18"/>
                <w:szCs w:val="18"/>
              </w:rPr>
              <w:t>0</w:t>
            </w:r>
          </w:p>
        </w:tc>
      </w:tr>
      <w:tr w14:paraId="4E646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78" w:type="pct"/>
            <w:vAlign w:val="center"/>
          </w:tcPr>
          <w:p w14:paraId="2F46663C">
            <w:pPr>
              <w:autoSpaceDE w:val="0"/>
              <w:autoSpaceDN w:val="0"/>
              <w:spacing w:before="1"/>
              <w:jc w:val="center"/>
              <w:rPr>
                <w:kern w:val="0"/>
                <w:sz w:val="18"/>
                <w:szCs w:val="18"/>
                <w:lang w:bidi="zh-CN"/>
              </w:rPr>
            </w:pPr>
            <w:r>
              <w:rPr>
                <w:rFonts w:hint="eastAsia"/>
                <w:kern w:val="0"/>
                <w:sz w:val="18"/>
                <w:szCs w:val="18"/>
                <w:lang w:bidi="zh-CN"/>
              </w:rPr>
              <w:t>对角线偏差</w:t>
            </w:r>
            <w:r>
              <w:rPr>
                <w:kern w:val="0"/>
                <w:sz w:val="18"/>
                <w:szCs w:val="18"/>
                <w:lang w:val="zh-CN" w:bidi="zh-CN"/>
              </w:rPr>
              <w:t>/mm</w:t>
            </w:r>
          </w:p>
        </w:tc>
        <w:tc>
          <w:tcPr>
            <w:tcW w:w="1491" w:type="pct"/>
            <w:gridSpan w:val="3"/>
            <w:vAlign w:val="center"/>
          </w:tcPr>
          <w:p w14:paraId="3ACCC797">
            <w:pPr>
              <w:autoSpaceDE w:val="0"/>
              <w:autoSpaceDN w:val="0"/>
              <w:jc w:val="center"/>
              <w:rPr>
                <w:kern w:val="0"/>
                <w:sz w:val="18"/>
                <w:szCs w:val="18"/>
                <w:lang w:bidi="zh-CN"/>
              </w:rPr>
            </w:pPr>
            <w:r>
              <w:rPr>
                <w:kern w:val="0"/>
                <w:sz w:val="18"/>
                <w:szCs w:val="18"/>
                <w:lang w:bidi="zh-CN"/>
              </w:rPr>
              <w:t>0~+1.0</w:t>
            </w:r>
          </w:p>
        </w:tc>
        <w:tc>
          <w:tcPr>
            <w:tcW w:w="1588" w:type="pct"/>
            <w:gridSpan w:val="3"/>
            <w:vAlign w:val="center"/>
          </w:tcPr>
          <w:p w14:paraId="5D11C3BF">
            <w:pPr>
              <w:autoSpaceDE w:val="0"/>
              <w:autoSpaceDN w:val="0"/>
              <w:jc w:val="center"/>
              <w:rPr>
                <w:kern w:val="0"/>
                <w:sz w:val="18"/>
                <w:szCs w:val="18"/>
                <w:lang w:bidi="zh-CN"/>
              </w:rPr>
            </w:pPr>
            <w:r>
              <w:rPr>
                <w:kern w:val="0"/>
                <w:sz w:val="18"/>
                <w:szCs w:val="18"/>
                <w:lang w:bidi="zh-CN"/>
              </w:rPr>
              <w:t>0~+1.5</w:t>
            </w:r>
          </w:p>
        </w:tc>
        <w:tc>
          <w:tcPr>
            <w:tcW w:w="1343" w:type="pct"/>
            <w:gridSpan w:val="3"/>
            <w:vAlign w:val="center"/>
          </w:tcPr>
          <w:p w14:paraId="0D8F52B4">
            <w:pPr>
              <w:autoSpaceDE w:val="0"/>
              <w:autoSpaceDN w:val="0"/>
              <w:jc w:val="center"/>
              <w:rPr>
                <w:kern w:val="0"/>
                <w:sz w:val="18"/>
                <w:szCs w:val="18"/>
                <w:lang w:bidi="zh-CN"/>
              </w:rPr>
            </w:pPr>
            <w:r>
              <w:rPr>
                <w:kern w:val="0"/>
                <w:sz w:val="18"/>
                <w:szCs w:val="18"/>
                <w:lang w:bidi="zh-CN"/>
              </w:rPr>
              <w:t>0~+2.0</w:t>
            </w:r>
          </w:p>
        </w:tc>
      </w:tr>
      <w:tr w14:paraId="776F4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78" w:type="pct"/>
            <w:vAlign w:val="center"/>
          </w:tcPr>
          <w:p w14:paraId="7DEF02CD">
            <w:pPr>
              <w:autoSpaceDE w:val="0"/>
              <w:autoSpaceDN w:val="0"/>
              <w:spacing w:before="1"/>
              <w:jc w:val="center"/>
              <w:rPr>
                <w:kern w:val="0"/>
                <w:sz w:val="18"/>
                <w:szCs w:val="18"/>
                <w:lang w:bidi="zh-CN"/>
              </w:rPr>
            </w:pPr>
            <w:r>
              <w:rPr>
                <w:kern w:val="0"/>
                <w:sz w:val="18"/>
                <w:szCs w:val="18"/>
                <w:lang w:bidi="zh-CN"/>
              </w:rPr>
              <w:t>不平度</w:t>
            </w:r>
            <w:r>
              <w:rPr>
                <w:rFonts w:hint="eastAsia"/>
                <w:kern w:val="0"/>
                <w:sz w:val="18"/>
                <w:szCs w:val="18"/>
                <w:lang w:bidi="zh-CN"/>
              </w:rPr>
              <w:t>/mm</w:t>
            </w:r>
          </w:p>
        </w:tc>
        <w:tc>
          <w:tcPr>
            <w:tcW w:w="905" w:type="pct"/>
            <w:gridSpan w:val="2"/>
            <w:tcBorders>
              <w:right w:val="single" w:color="auto" w:sz="4" w:space="0"/>
            </w:tcBorders>
            <w:vAlign w:val="center"/>
          </w:tcPr>
          <w:p w14:paraId="554B736C">
            <w:pPr>
              <w:autoSpaceDE w:val="0"/>
              <w:autoSpaceDN w:val="0"/>
              <w:jc w:val="center"/>
              <w:rPr>
                <w:kern w:val="0"/>
                <w:sz w:val="18"/>
                <w:szCs w:val="18"/>
                <w:lang w:bidi="zh-CN"/>
              </w:rPr>
            </w:pPr>
            <w:r>
              <w:rPr>
                <w:kern w:val="0"/>
                <w:sz w:val="18"/>
                <w:szCs w:val="18"/>
                <w:lang w:bidi="zh-CN"/>
              </w:rPr>
              <w:t>不超过</w:t>
            </w:r>
            <w:r>
              <w:rPr>
                <w:rFonts w:hint="eastAsia"/>
                <w:kern w:val="0"/>
                <w:sz w:val="18"/>
                <w:szCs w:val="18"/>
                <w:lang w:bidi="zh-CN"/>
              </w:rPr>
              <w:t>8mm</w:t>
            </w:r>
          </w:p>
        </w:tc>
        <w:tc>
          <w:tcPr>
            <w:tcW w:w="586" w:type="pct"/>
            <w:tcBorders>
              <w:left w:val="single" w:color="auto" w:sz="4" w:space="0"/>
            </w:tcBorders>
            <w:vAlign w:val="center"/>
          </w:tcPr>
          <w:p w14:paraId="20C5D617">
            <w:pPr>
              <w:autoSpaceDE w:val="0"/>
              <w:autoSpaceDN w:val="0"/>
              <w:jc w:val="center"/>
              <w:rPr>
                <w:kern w:val="0"/>
                <w:sz w:val="18"/>
                <w:szCs w:val="18"/>
                <w:lang w:bidi="zh-CN"/>
              </w:rPr>
            </w:pPr>
            <w:r>
              <w:rPr>
                <w:kern w:val="0"/>
                <w:sz w:val="18"/>
                <w:szCs w:val="18"/>
                <w:lang w:bidi="zh-CN"/>
              </w:rPr>
              <w:t>不超过</w:t>
            </w:r>
            <w:r>
              <w:rPr>
                <w:rFonts w:hint="eastAsia"/>
                <w:kern w:val="0"/>
                <w:sz w:val="18"/>
                <w:szCs w:val="18"/>
                <w:lang w:bidi="zh-CN"/>
              </w:rPr>
              <w:t>9mm</w:t>
            </w:r>
          </w:p>
        </w:tc>
        <w:tc>
          <w:tcPr>
            <w:tcW w:w="1039" w:type="pct"/>
            <w:gridSpan w:val="2"/>
            <w:tcBorders>
              <w:right w:val="single" w:color="auto" w:sz="4" w:space="0"/>
            </w:tcBorders>
            <w:vAlign w:val="center"/>
          </w:tcPr>
          <w:p w14:paraId="4A97E74D">
            <w:pPr>
              <w:autoSpaceDE w:val="0"/>
              <w:autoSpaceDN w:val="0"/>
              <w:jc w:val="center"/>
              <w:rPr>
                <w:kern w:val="0"/>
                <w:sz w:val="18"/>
                <w:szCs w:val="18"/>
                <w:lang w:bidi="zh-CN"/>
              </w:rPr>
            </w:pPr>
            <w:r>
              <w:rPr>
                <w:kern w:val="0"/>
                <w:sz w:val="18"/>
                <w:szCs w:val="18"/>
                <w:lang w:bidi="zh-CN"/>
              </w:rPr>
              <w:t>不超过</w:t>
            </w:r>
            <w:r>
              <w:rPr>
                <w:rFonts w:hint="eastAsia"/>
                <w:kern w:val="0"/>
                <w:sz w:val="18"/>
                <w:szCs w:val="18"/>
                <w:lang w:bidi="zh-CN"/>
              </w:rPr>
              <w:t>11mm</w:t>
            </w:r>
          </w:p>
        </w:tc>
        <w:tc>
          <w:tcPr>
            <w:tcW w:w="549" w:type="pct"/>
            <w:tcBorders>
              <w:left w:val="single" w:color="auto" w:sz="4" w:space="0"/>
            </w:tcBorders>
            <w:vAlign w:val="center"/>
          </w:tcPr>
          <w:p w14:paraId="538039D7">
            <w:pPr>
              <w:autoSpaceDE w:val="0"/>
              <w:autoSpaceDN w:val="0"/>
              <w:jc w:val="center"/>
              <w:rPr>
                <w:kern w:val="0"/>
                <w:sz w:val="18"/>
                <w:szCs w:val="18"/>
                <w:lang w:bidi="zh-CN"/>
              </w:rPr>
            </w:pPr>
            <w:r>
              <w:rPr>
                <w:kern w:val="0"/>
                <w:sz w:val="18"/>
                <w:szCs w:val="18"/>
                <w:lang w:bidi="zh-CN"/>
              </w:rPr>
              <w:t>不超过</w:t>
            </w:r>
            <w:r>
              <w:rPr>
                <w:rFonts w:hint="eastAsia"/>
                <w:kern w:val="0"/>
                <w:sz w:val="18"/>
                <w:szCs w:val="18"/>
                <w:lang w:bidi="zh-CN"/>
              </w:rPr>
              <w:t>14mm</w:t>
            </w:r>
          </w:p>
        </w:tc>
        <w:tc>
          <w:tcPr>
            <w:tcW w:w="901" w:type="pct"/>
            <w:gridSpan w:val="2"/>
            <w:tcBorders>
              <w:right w:val="single" w:color="auto" w:sz="4" w:space="0"/>
            </w:tcBorders>
            <w:vAlign w:val="center"/>
          </w:tcPr>
          <w:p w14:paraId="4091527C">
            <w:pPr>
              <w:autoSpaceDE w:val="0"/>
              <w:autoSpaceDN w:val="0"/>
              <w:jc w:val="center"/>
              <w:rPr>
                <w:kern w:val="0"/>
                <w:sz w:val="18"/>
                <w:szCs w:val="18"/>
                <w:lang w:bidi="zh-CN"/>
              </w:rPr>
            </w:pPr>
            <w:r>
              <w:rPr>
                <w:kern w:val="0"/>
                <w:sz w:val="18"/>
                <w:szCs w:val="18"/>
                <w:lang w:bidi="zh-CN"/>
              </w:rPr>
              <w:t>不超过</w:t>
            </w:r>
            <w:r>
              <w:rPr>
                <w:rFonts w:hint="eastAsia"/>
                <w:kern w:val="0"/>
                <w:sz w:val="18"/>
                <w:szCs w:val="18"/>
                <w:lang w:bidi="zh-CN"/>
              </w:rPr>
              <w:t>15mm</w:t>
            </w:r>
          </w:p>
        </w:tc>
        <w:tc>
          <w:tcPr>
            <w:tcW w:w="442" w:type="pct"/>
            <w:tcBorders>
              <w:left w:val="single" w:color="auto" w:sz="4" w:space="0"/>
            </w:tcBorders>
            <w:vAlign w:val="center"/>
          </w:tcPr>
          <w:p w14:paraId="300C137A">
            <w:pPr>
              <w:autoSpaceDE w:val="0"/>
              <w:autoSpaceDN w:val="0"/>
              <w:jc w:val="center"/>
              <w:rPr>
                <w:kern w:val="0"/>
                <w:sz w:val="18"/>
                <w:szCs w:val="18"/>
                <w:lang w:bidi="zh-CN"/>
              </w:rPr>
            </w:pPr>
            <w:r>
              <w:rPr>
                <w:kern w:val="0"/>
                <w:sz w:val="18"/>
                <w:szCs w:val="18"/>
                <w:lang w:bidi="zh-CN"/>
              </w:rPr>
              <w:t>不超过</w:t>
            </w:r>
            <w:r>
              <w:rPr>
                <w:rFonts w:hint="eastAsia"/>
                <w:kern w:val="0"/>
                <w:sz w:val="18"/>
                <w:szCs w:val="18"/>
                <w:lang w:bidi="zh-CN"/>
              </w:rPr>
              <w:t>18mm</w:t>
            </w:r>
          </w:p>
        </w:tc>
      </w:tr>
      <w:tr w14:paraId="27DF7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578" w:type="pct"/>
            <w:vAlign w:val="center"/>
          </w:tcPr>
          <w:p w14:paraId="47C542D4">
            <w:pPr>
              <w:autoSpaceDE w:val="0"/>
              <w:autoSpaceDN w:val="0"/>
              <w:spacing w:before="117"/>
              <w:ind w:left="150" w:right="141"/>
              <w:jc w:val="center"/>
              <w:rPr>
                <w:kern w:val="0"/>
                <w:sz w:val="18"/>
                <w:szCs w:val="18"/>
                <w:lang w:bidi="zh-CN"/>
              </w:rPr>
            </w:pPr>
            <w:r>
              <w:rPr>
                <w:kern w:val="0"/>
                <w:sz w:val="18"/>
                <w:szCs w:val="18"/>
                <w:lang w:bidi="zh-CN"/>
              </w:rPr>
              <w:t>镰刀弯/mm</w:t>
            </w:r>
          </w:p>
        </w:tc>
        <w:tc>
          <w:tcPr>
            <w:tcW w:w="905" w:type="pct"/>
            <w:gridSpan w:val="2"/>
            <w:tcBorders>
              <w:right w:val="single" w:color="auto" w:sz="4" w:space="0"/>
            </w:tcBorders>
            <w:vAlign w:val="center"/>
          </w:tcPr>
          <w:p w14:paraId="75A19F98">
            <w:pPr>
              <w:autoSpaceDE w:val="0"/>
              <w:autoSpaceDN w:val="0"/>
              <w:jc w:val="center"/>
              <w:rPr>
                <w:kern w:val="0"/>
                <w:sz w:val="18"/>
                <w:szCs w:val="18"/>
                <w:lang w:bidi="zh-CN"/>
              </w:rPr>
            </w:pPr>
            <w:r>
              <w:rPr>
                <w:kern w:val="0"/>
                <w:sz w:val="18"/>
                <w:szCs w:val="18"/>
                <w:lang w:bidi="zh-CN"/>
              </w:rPr>
              <w:t>≤2.0</w:t>
            </w:r>
          </w:p>
        </w:tc>
        <w:tc>
          <w:tcPr>
            <w:tcW w:w="586" w:type="pct"/>
            <w:tcBorders>
              <w:left w:val="single" w:color="auto" w:sz="4" w:space="0"/>
            </w:tcBorders>
            <w:vAlign w:val="center"/>
          </w:tcPr>
          <w:p w14:paraId="54748F97">
            <w:pPr>
              <w:autoSpaceDE w:val="0"/>
              <w:autoSpaceDN w:val="0"/>
              <w:jc w:val="center"/>
              <w:rPr>
                <w:kern w:val="0"/>
                <w:sz w:val="18"/>
                <w:szCs w:val="18"/>
                <w:lang w:bidi="zh-CN"/>
              </w:rPr>
            </w:pPr>
            <w:r>
              <w:rPr>
                <w:kern w:val="0"/>
                <w:sz w:val="18"/>
                <w:szCs w:val="18"/>
                <w:lang w:bidi="zh-CN"/>
              </w:rPr>
              <w:t>≤1.0</w:t>
            </w:r>
          </w:p>
        </w:tc>
        <w:tc>
          <w:tcPr>
            <w:tcW w:w="1039" w:type="pct"/>
            <w:gridSpan w:val="2"/>
            <w:vAlign w:val="center"/>
          </w:tcPr>
          <w:p w14:paraId="16B579FC">
            <w:pPr>
              <w:autoSpaceDE w:val="0"/>
              <w:autoSpaceDN w:val="0"/>
              <w:jc w:val="center"/>
              <w:rPr>
                <w:kern w:val="0"/>
                <w:sz w:val="18"/>
                <w:szCs w:val="18"/>
                <w:lang w:bidi="zh-CN"/>
              </w:rPr>
            </w:pPr>
            <w:r>
              <w:rPr>
                <w:kern w:val="0"/>
                <w:sz w:val="18"/>
                <w:szCs w:val="18"/>
                <w:lang w:bidi="zh-CN"/>
              </w:rPr>
              <w:t>≤</w:t>
            </w:r>
            <w:r>
              <w:rPr>
                <w:rFonts w:hint="eastAsia"/>
                <w:kern w:val="0"/>
                <w:sz w:val="18"/>
                <w:szCs w:val="18"/>
                <w:lang w:bidi="zh-CN"/>
              </w:rPr>
              <w:t>3.0</w:t>
            </w:r>
          </w:p>
        </w:tc>
        <w:tc>
          <w:tcPr>
            <w:tcW w:w="549" w:type="pct"/>
            <w:vAlign w:val="center"/>
          </w:tcPr>
          <w:p w14:paraId="4B158220">
            <w:pPr>
              <w:autoSpaceDE w:val="0"/>
              <w:autoSpaceDN w:val="0"/>
              <w:jc w:val="center"/>
              <w:rPr>
                <w:kern w:val="0"/>
                <w:sz w:val="18"/>
                <w:szCs w:val="18"/>
                <w:lang w:bidi="zh-CN"/>
              </w:rPr>
            </w:pPr>
            <w:r>
              <w:rPr>
                <w:kern w:val="0"/>
                <w:sz w:val="18"/>
                <w:szCs w:val="18"/>
                <w:lang w:bidi="zh-CN"/>
              </w:rPr>
              <w:t>≤1.</w:t>
            </w:r>
            <w:r>
              <w:rPr>
                <w:rFonts w:hint="eastAsia"/>
                <w:kern w:val="0"/>
                <w:sz w:val="18"/>
                <w:szCs w:val="18"/>
                <w:lang w:bidi="zh-CN"/>
              </w:rPr>
              <w:t>5</w:t>
            </w:r>
          </w:p>
        </w:tc>
        <w:tc>
          <w:tcPr>
            <w:tcW w:w="901" w:type="pct"/>
            <w:gridSpan w:val="2"/>
            <w:tcBorders>
              <w:right w:val="single" w:color="auto" w:sz="4" w:space="0"/>
            </w:tcBorders>
            <w:vAlign w:val="center"/>
          </w:tcPr>
          <w:p w14:paraId="132DEDB4">
            <w:pPr>
              <w:autoSpaceDE w:val="0"/>
              <w:autoSpaceDN w:val="0"/>
              <w:jc w:val="center"/>
              <w:rPr>
                <w:kern w:val="0"/>
                <w:sz w:val="18"/>
                <w:szCs w:val="18"/>
                <w:lang w:bidi="zh-CN"/>
              </w:rPr>
            </w:pPr>
            <w:r>
              <w:rPr>
                <w:kern w:val="0"/>
                <w:sz w:val="18"/>
                <w:szCs w:val="18"/>
                <w:lang w:bidi="zh-CN"/>
              </w:rPr>
              <w:t>≤</w:t>
            </w:r>
            <w:r>
              <w:rPr>
                <w:rFonts w:hint="eastAsia"/>
                <w:kern w:val="0"/>
                <w:sz w:val="18"/>
                <w:szCs w:val="18"/>
                <w:lang w:bidi="zh-CN"/>
              </w:rPr>
              <w:t>4.0</w:t>
            </w:r>
          </w:p>
        </w:tc>
        <w:tc>
          <w:tcPr>
            <w:tcW w:w="442" w:type="pct"/>
            <w:tcBorders>
              <w:left w:val="single" w:color="auto" w:sz="4" w:space="0"/>
            </w:tcBorders>
            <w:vAlign w:val="center"/>
          </w:tcPr>
          <w:p w14:paraId="6404D154">
            <w:pPr>
              <w:autoSpaceDE w:val="0"/>
              <w:autoSpaceDN w:val="0"/>
              <w:jc w:val="center"/>
              <w:rPr>
                <w:kern w:val="0"/>
                <w:sz w:val="18"/>
                <w:szCs w:val="18"/>
                <w:lang w:bidi="zh-CN"/>
              </w:rPr>
            </w:pPr>
            <w:r>
              <w:rPr>
                <w:kern w:val="0"/>
                <w:sz w:val="18"/>
                <w:szCs w:val="18"/>
                <w:lang w:bidi="zh-CN"/>
              </w:rPr>
              <w:t>≤</w:t>
            </w:r>
            <w:r>
              <w:rPr>
                <w:rFonts w:hint="eastAsia"/>
                <w:kern w:val="0"/>
                <w:sz w:val="18"/>
                <w:szCs w:val="18"/>
                <w:lang w:bidi="zh-CN"/>
              </w:rPr>
              <w:t>2.0</w:t>
            </w:r>
          </w:p>
        </w:tc>
      </w:tr>
      <w:tr w14:paraId="14CB9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78" w:type="pct"/>
            <w:vAlign w:val="center"/>
          </w:tcPr>
          <w:p w14:paraId="42601773">
            <w:pPr>
              <w:autoSpaceDE w:val="0"/>
              <w:autoSpaceDN w:val="0"/>
              <w:spacing w:before="117"/>
              <w:ind w:left="150" w:right="141"/>
              <w:jc w:val="center"/>
              <w:rPr>
                <w:kern w:val="0"/>
                <w:sz w:val="18"/>
                <w:szCs w:val="18"/>
                <w:lang w:bidi="zh-CN"/>
              </w:rPr>
            </w:pPr>
            <w:r>
              <w:rPr>
                <w:kern w:val="0"/>
                <w:sz w:val="18"/>
                <w:szCs w:val="18"/>
                <w:lang w:bidi="zh-CN"/>
              </w:rPr>
              <w:t>毛刺高度mm</w:t>
            </w:r>
          </w:p>
        </w:tc>
        <w:tc>
          <w:tcPr>
            <w:tcW w:w="1491" w:type="pct"/>
            <w:gridSpan w:val="3"/>
            <w:vAlign w:val="center"/>
          </w:tcPr>
          <w:p w14:paraId="7B7077F5">
            <w:pPr>
              <w:autoSpaceDE w:val="0"/>
              <w:autoSpaceDN w:val="0"/>
              <w:jc w:val="center"/>
              <w:rPr>
                <w:kern w:val="0"/>
                <w:sz w:val="18"/>
                <w:szCs w:val="18"/>
                <w:lang w:bidi="zh-CN"/>
              </w:rPr>
            </w:pPr>
            <w:r>
              <w:rPr>
                <w:kern w:val="0"/>
                <w:sz w:val="18"/>
                <w:szCs w:val="18"/>
                <w:lang w:bidi="zh-CN"/>
              </w:rPr>
              <w:t>不超过0.030mm</w:t>
            </w:r>
          </w:p>
        </w:tc>
        <w:tc>
          <w:tcPr>
            <w:tcW w:w="1588" w:type="pct"/>
            <w:gridSpan w:val="3"/>
            <w:vAlign w:val="center"/>
          </w:tcPr>
          <w:p w14:paraId="24B6E266">
            <w:pPr>
              <w:autoSpaceDE w:val="0"/>
              <w:autoSpaceDN w:val="0"/>
              <w:jc w:val="center"/>
              <w:rPr>
                <w:kern w:val="0"/>
                <w:sz w:val="18"/>
                <w:szCs w:val="18"/>
                <w:lang w:bidi="zh-CN"/>
              </w:rPr>
            </w:pPr>
            <w:r>
              <w:rPr>
                <w:kern w:val="0"/>
                <w:sz w:val="18"/>
                <w:szCs w:val="18"/>
                <w:lang w:bidi="zh-CN"/>
              </w:rPr>
              <w:t>不超过0.032mm</w:t>
            </w:r>
          </w:p>
        </w:tc>
        <w:tc>
          <w:tcPr>
            <w:tcW w:w="1343" w:type="pct"/>
            <w:gridSpan w:val="3"/>
            <w:vAlign w:val="center"/>
          </w:tcPr>
          <w:p w14:paraId="17182837">
            <w:pPr>
              <w:autoSpaceDE w:val="0"/>
              <w:autoSpaceDN w:val="0"/>
              <w:jc w:val="center"/>
              <w:rPr>
                <w:kern w:val="0"/>
                <w:sz w:val="18"/>
                <w:szCs w:val="18"/>
                <w:lang w:bidi="zh-CN"/>
              </w:rPr>
            </w:pPr>
            <w:r>
              <w:rPr>
                <w:kern w:val="0"/>
                <w:sz w:val="18"/>
                <w:szCs w:val="18"/>
                <w:lang w:bidi="zh-CN"/>
              </w:rPr>
              <w:t>不超过0.035mm</w:t>
            </w:r>
          </w:p>
        </w:tc>
      </w:tr>
    </w:tbl>
    <w:p w14:paraId="0E04CBE4">
      <w:pPr>
        <w:pStyle w:val="77"/>
        <w:spacing w:before="156" w:after="156"/>
        <w:ind w:left="0"/>
        <w:rPr>
          <w:rFonts w:ascii="Times New Roman"/>
        </w:rPr>
      </w:pPr>
    </w:p>
    <w:tbl>
      <w:tblPr>
        <w:tblStyle w:val="31"/>
        <w:tblW w:w="51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62"/>
        <w:gridCol w:w="2812"/>
        <w:gridCol w:w="2891"/>
        <w:gridCol w:w="2791"/>
      </w:tblGrid>
      <w:tr w14:paraId="05EA5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02" w:type="pct"/>
            <w:vMerge w:val="restart"/>
            <w:vAlign w:val="center"/>
          </w:tcPr>
          <w:p w14:paraId="17B1DC1D">
            <w:pPr>
              <w:autoSpaceDE w:val="0"/>
              <w:autoSpaceDN w:val="0"/>
              <w:jc w:val="center"/>
              <w:rPr>
                <w:b/>
                <w:bCs/>
                <w:kern w:val="0"/>
                <w:sz w:val="18"/>
                <w:szCs w:val="18"/>
                <w:lang w:bidi="zh-CN"/>
              </w:rPr>
            </w:pPr>
            <w:r>
              <w:rPr>
                <w:b/>
                <w:bCs/>
                <w:kern w:val="0"/>
                <w:sz w:val="18"/>
                <w:szCs w:val="18"/>
                <w:lang w:bidi="zh-CN"/>
              </w:rPr>
              <w:t>质量要求</w:t>
            </w:r>
          </w:p>
        </w:tc>
        <w:tc>
          <w:tcPr>
            <w:tcW w:w="4398" w:type="pct"/>
            <w:gridSpan w:val="3"/>
            <w:vAlign w:val="center"/>
          </w:tcPr>
          <w:p w14:paraId="1D55F6D1">
            <w:pPr>
              <w:autoSpaceDE w:val="0"/>
              <w:autoSpaceDN w:val="0"/>
              <w:ind w:left="3339" w:right="3328"/>
              <w:jc w:val="center"/>
              <w:rPr>
                <w:b/>
                <w:bCs/>
                <w:kern w:val="0"/>
                <w:sz w:val="18"/>
                <w:szCs w:val="18"/>
                <w:lang w:bidi="zh-CN"/>
              </w:rPr>
            </w:pPr>
            <w:r>
              <w:rPr>
                <w:b/>
                <w:bCs/>
                <w:kern w:val="0"/>
                <w:sz w:val="18"/>
                <w:szCs w:val="18"/>
                <w:lang w:bidi="zh-CN"/>
              </w:rPr>
              <w:t>质量等级</w:t>
            </w:r>
          </w:p>
        </w:tc>
      </w:tr>
      <w:tr w14:paraId="6F008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02" w:type="pct"/>
            <w:vMerge w:val="continue"/>
            <w:vAlign w:val="center"/>
          </w:tcPr>
          <w:p w14:paraId="0B44DFFB">
            <w:pPr>
              <w:autoSpaceDE w:val="0"/>
              <w:autoSpaceDN w:val="0"/>
              <w:jc w:val="center"/>
              <w:rPr>
                <w:b/>
                <w:bCs/>
                <w:kern w:val="0"/>
                <w:sz w:val="18"/>
                <w:szCs w:val="18"/>
                <w:lang w:bidi="zh-CN"/>
              </w:rPr>
            </w:pPr>
          </w:p>
        </w:tc>
        <w:tc>
          <w:tcPr>
            <w:tcW w:w="1456" w:type="pct"/>
            <w:vAlign w:val="center"/>
          </w:tcPr>
          <w:p w14:paraId="6C516869">
            <w:pPr>
              <w:autoSpaceDE w:val="0"/>
              <w:autoSpaceDN w:val="0"/>
              <w:spacing w:before="52"/>
              <w:ind w:left="131" w:right="121"/>
              <w:jc w:val="center"/>
              <w:rPr>
                <w:b/>
                <w:bCs/>
                <w:kern w:val="0"/>
                <w:sz w:val="18"/>
                <w:szCs w:val="18"/>
                <w:lang w:bidi="zh-CN"/>
              </w:rPr>
            </w:pPr>
            <w:r>
              <w:rPr>
                <w:b/>
                <w:bCs/>
                <w:kern w:val="0"/>
                <w:sz w:val="18"/>
                <w:szCs w:val="18"/>
                <w:lang w:bidi="zh-CN"/>
              </w:rPr>
              <w:t>特优级</w:t>
            </w:r>
          </w:p>
        </w:tc>
        <w:tc>
          <w:tcPr>
            <w:tcW w:w="1497" w:type="pct"/>
            <w:vAlign w:val="center"/>
          </w:tcPr>
          <w:p w14:paraId="0A1F883F">
            <w:pPr>
              <w:autoSpaceDE w:val="0"/>
              <w:autoSpaceDN w:val="0"/>
              <w:spacing w:before="52"/>
              <w:ind w:left="137" w:right="130"/>
              <w:jc w:val="center"/>
              <w:rPr>
                <w:b/>
                <w:bCs/>
                <w:kern w:val="0"/>
                <w:sz w:val="18"/>
                <w:szCs w:val="18"/>
                <w:lang w:bidi="zh-CN"/>
              </w:rPr>
            </w:pPr>
            <w:r>
              <w:rPr>
                <w:b/>
                <w:bCs/>
                <w:kern w:val="0"/>
                <w:sz w:val="18"/>
                <w:szCs w:val="18"/>
                <w:lang w:bidi="zh-CN"/>
              </w:rPr>
              <w:t>优质级</w:t>
            </w:r>
          </w:p>
        </w:tc>
        <w:tc>
          <w:tcPr>
            <w:tcW w:w="1446" w:type="pct"/>
            <w:vAlign w:val="center"/>
          </w:tcPr>
          <w:p w14:paraId="76BA955A">
            <w:pPr>
              <w:autoSpaceDE w:val="0"/>
              <w:autoSpaceDN w:val="0"/>
              <w:spacing w:before="52"/>
              <w:ind w:left="137" w:right="130"/>
              <w:jc w:val="center"/>
              <w:rPr>
                <w:b/>
                <w:bCs/>
                <w:kern w:val="0"/>
                <w:sz w:val="18"/>
                <w:szCs w:val="18"/>
                <w:lang w:bidi="zh-CN"/>
              </w:rPr>
            </w:pPr>
            <w:r>
              <w:rPr>
                <w:b/>
                <w:bCs/>
                <w:kern w:val="0"/>
                <w:sz w:val="18"/>
                <w:szCs w:val="18"/>
                <w:lang w:bidi="zh-CN"/>
              </w:rPr>
              <w:t>一般级</w:t>
            </w:r>
          </w:p>
        </w:tc>
      </w:tr>
      <w:tr w14:paraId="2424B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602" w:type="pct"/>
            <w:vAlign w:val="center"/>
          </w:tcPr>
          <w:p w14:paraId="03520DED">
            <w:pPr>
              <w:autoSpaceDE w:val="0"/>
              <w:autoSpaceDN w:val="0"/>
              <w:spacing w:before="1"/>
              <w:jc w:val="center"/>
              <w:rPr>
                <w:kern w:val="0"/>
                <w:sz w:val="18"/>
                <w:szCs w:val="18"/>
                <w:lang w:bidi="zh-CN"/>
              </w:rPr>
            </w:pPr>
            <w:r>
              <w:rPr>
                <w:rFonts w:hint="eastAsia"/>
                <w:kern w:val="0"/>
                <w:sz w:val="18"/>
                <w:szCs w:val="18"/>
                <w:lang w:bidi="zh-CN"/>
              </w:rPr>
              <w:t>最大锌层厚度</w:t>
            </w:r>
            <w:r>
              <w:rPr>
                <w:kern w:val="0"/>
                <w:sz w:val="18"/>
                <w:szCs w:val="18"/>
                <w:lang w:val="zh-CN" w:bidi="zh-CN"/>
              </w:rPr>
              <w:t>偏差/</w:t>
            </w:r>
            <w:r>
              <w:rPr>
                <w:rFonts w:hint="eastAsia"/>
                <w:kern w:val="0"/>
                <w:sz w:val="18"/>
                <w:szCs w:val="18"/>
                <w:lang w:bidi="zh-CN"/>
              </w:rPr>
              <w:t>g/m</w:t>
            </w:r>
            <w:r>
              <w:rPr>
                <w:rFonts w:hint="eastAsia"/>
                <w:kern w:val="0"/>
                <w:sz w:val="18"/>
                <w:szCs w:val="18"/>
                <w:vertAlign w:val="superscript"/>
                <w:lang w:bidi="zh-CN"/>
              </w:rPr>
              <w:t>2</w:t>
            </w:r>
          </w:p>
        </w:tc>
        <w:tc>
          <w:tcPr>
            <w:tcW w:w="1456" w:type="pct"/>
            <w:vAlign w:val="center"/>
          </w:tcPr>
          <w:p w14:paraId="7DECF990">
            <w:pPr>
              <w:autoSpaceDE w:val="0"/>
              <w:autoSpaceDN w:val="0"/>
              <w:jc w:val="center"/>
              <w:rPr>
                <w:kern w:val="0"/>
                <w:sz w:val="18"/>
                <w:szCs w:val="18"/>
                <w:lang w:bidi="zh-CN"/>
              </w:rPr>
            </w:pPr>
            <w:r>
              <w:rPr>
                <w:kern w:val="0"/>
                <w:sz w:val="18"/>
                <w:szCs w:val="18"/>
                <w:lang w:bidi="zh-CN"/>
              </w:rPr>
              <w:t>±</w:t>
            </w:r>
            <w:r>
              <w:rPr>
                <w:rFonts w:hint="eastAsia"/>
                <w:kern w:val="0"/>
                <w:sz w:val="18"/>
                <w:szCs w:val="18"/>
                <w:lang w:bidi="zh-CN"/>
              </w:rPr>
              <w:t>5</w:t>
            </w:r>
          </w:p>
        </w:tc>
        <w:tc>
          <w:tcPr>
            <w:tcW w:w="1497" w:type="pct"/>
            <w:vAlign w:val="center"/>
          </w:tcPr>
          <w:p w14:paraId="072EF990">
            <w:pPr>
              <w:autoSpaceDE w:val="0"/>
              <w:autoSpaceDN w:val="0"/>
              <w:jc w:val="center"/>
              <w:rPr>
                <w:kern w:val="0"/>
                <w:sz w:val="18"/>
                <w:szCs w:val="18"/>
                <w:lang w:bidi="zh-CN"/>
              </w:rPr>
            </w:pPr>
            <w:r>
              <w:rPr>
                <w:kern w:val="0"/>
                <w:sz w:val="18"/>
                <w:szCs w:val="18"/>
                <w:lang w:bidi="zh-CN"/>
              </w:rPr>
              <w:t>±</w:t>
            </w:r>
            <w:r>
              <w:rPr>
                <w:rFonts w:hint="eastAsia"/>
                <w:kern w:val="0"/>
                <w:sz w:val="18"/>
                <w:szCs w:val="18"/>
                <w:lang w:bidi="zh-CN"/>
              </w:rPr>
              <w:t>8</w:t>
            </w:r>
          </w:p>
        </w:tc>
        <w:tc>
          <w:tcPr>
            <w:tcW w:w="1446" w:type="pct"/>
            <w:vAlign w:val="center"/>
          </w:tcPr>
          <w:p w14:paraId="3028B140">
            <w:pPr>
              <w:autoSpaceDE w:val="0"/>
              <w:autoSpaceDN w:val="0"/>
              <w:jc w:val="center"/>
              <w:rPr>
                <w:kern w:val="0"/>
                <w:sz w:val="18"/>
                <w:szCs w:val="18"/>
                <w:lang w:bidi="zh-CN"/>
              </w:rPr>
            </w:pPr>
            <w:r>
              <w:rPr>
                <w:kern w:val="0"/>
                <w:sz w:val="18"/>
                <w:szCs w:val="18"/>
                <w:lang w:bidi="zh-CN"/>
              </w:rPr>
              <w:t>±</w:t>
            </w:r>
            <w:r>
              <w:rPr>
                <w:rFonts w:hint="eastAsia"/>
                <w:kern w:val="0"/>
                <w:sz w:val="18"/>
                <w:szCs w:val="18"/>
                <w:lang w:bidi="zh-CN"/>
              </w:rPr>
              <w:t>10</w:t>
            </w:r>
          </w:p>
        </w:tc>
      </w:tr>
      <w:tr w14:paraId="7BA80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602" w:type="pct"/>
            <w:vAlign w:val="center"/>
          </w:tcPr>
          <w:p w14:paraId="2F8C3651">
            <w:pPr>
              <w:autoSpaceDE w:val="0"/>
              <w:autoSpaceDN w:val="0"/>
              <w:spacing w:before="1"/>
              <w:jc w:val="center"/>
              <w:rPr>
                <w:kern w:val="0"/>
                <w:sz w:val="18"/>
                <w:szCs w:val="18"/>
                <w:lang w:bidi="zh-CN"/>
              </w:rPr>
            </w:pPr>
            <w:r>
              <w:rPr>
                <w:rFonts w:hint="eastAsia"/>
                <w:kern w:val="0"/>
                <w:sz w:val="18"/>
                <w:szCs w:val="18"/>
                <w:lang w:bidi="zh-CN"/>
              </w:rPr>
              <w:t>耐中性盐雾240H</w:t>
            </w:r>
          </w:p>
        </w:tc>
        <w:tc>
          <w:tcPr>
            <w:tcW w:w="1456" w:type="pct"/>
            <w:vAlign w:val="center"/>
          </w:tcPr>
          <w:p w14:paraId="310C7C52">
            <w:pPr>
              <w:autoSpaceDE w:val="0"/>
              <w:autoSpaceDN w:val="0"/>
              <w:jc w:val="center"/>
              <w:rPr>
                <w:kern w:val="0"/>
                <w:sz w:val="18"/>
                <w:szCs w:val="18"/>
                <w:lang w:bidi="zh-CN"/>
              </w:rPr>
            </w:pPr>
            <w:r>
              <w:rPr>
                <w:rFonts w:hint="eastAsia"/>
                <w:kern w:val="0"/>
                <w:sz w:val="18"/>
                <w:szCs w:val="18"/>
                <w:lang w:bidi="zh-CN"/>
              </w:rPr>
              <w:t>十字界面基材总的锈蚀宽度扩散≤1.0</w:t>
            </w:r>
            <w:r>
              <w:rPr>
                <w:kern w:val="0"/>
                <w:sz w:val="18"/>
                <w:szCs w:val="18"/>
                <w:lang w:bidi="zh-CN"/>
              </w:rPr>
              <w:t>mm</w:t>
            </w:r>
          </w:p>
        </w:tc>
        <w:tc>
          <w:tcPr>
            <w:tcW w:w="1497" w:type="pct"/>
            <w:vAlign w:val="center"/>
          </w:tcPr>
          <w:p w14:paraId="470A26C9">
            <w:pPr>
              <w:autoSpaceDE w:val="0"/>
              <w:autoSpaceDN w:val="0"/>
              <w:jc w:val="center"/>
              <w:rPr>
                <w:kern w:val="0"/>
                <w:sz w:val="18"/>
                <w:szCs w:val="18"/>
                <w:lang w:bidi="zh-CN"/>
              </w:rPr>
            </w:pPr>
            <w:r>
              <w:rPr>
                <w:rFonts w:hint="eastAsia"/>
                <w:kern w:val="0"/>
                <w:sz w:val="18"/>
                <w:szCs w:val="18"/>
                <w:lang w:bidi="zh-CN"/>
              </w:rPr>
              <w:t>十字界面基材总的锈蚀宽度扩散≤1.5</w:t>
            </w:r>
            <w:r>
              <w:rPr>
                <w:kern w:val="0"/>
                <w:sz w:val="18"/>
                <w:szCs w:val="18"/>
                <w:lang w:bidi="zh-CN"/>
              </w:rPr>
              <w:t>mm</w:t>
            </w:r>
          </w:p>
        </w:tc>
        <w:tc>
          <w:tcPr>
            <w:tcW w:w="1446" w:type="pct"/>
            <w:vAlign w:val="center"/>
          </w:tcPr>
          <w:p w14:paraId="6B7ED46B">
            <w:pPr>
              <w:autoSpaceDE w:val="0"/>
              <w:autoSpaceDN w:val="0"/>
              <w:jc w:val="center"/>
              <w:rPr>
                <w:kern w:val="0"/>
                <w:sz w:val="18"/>
                <w:szCs w:val="18"/>
                <w:lang w:bidi="zh-CN"/>
              </w:rPr>
            </w:pPr>
            <w:r>
              <w:rPr>
                <w:rFonts w:hint="eastAsia"/>
                <w:kern w:val="0"/>
                <w:sz w:val="18"/>
                <w:szCs w:val="18"/>
                <w:lang w:bidi="zh-CN"/>
              </w:rPr>
              <w:t>十字界面基材总的锈蚀宽度扩散≤2</w:t>
            </w:r>
            <w:r>
              <w:rPr>
                <w:kern w:val="0"/>
                <w:sz w:val="18"/>
                <w:szCs w:val="18"/>
                <w:lang w:bidi="zh-CN"/>
              </w:rPr>
              <w:t>mm</w:t>
            </w:r>
          </w:p>
        </w:tc>
      </w:tr>
      <w:tr w14:paraId="4AF2A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602" w:type="pct"/>
            <w:vAlign w:val="center"/>
          </w:tcPr>
          <w:p w14:paraId="771BF9E4">
            <w:pPr>
              <w:autoSpaceDE w:val="0"/>
              <w:autoSpaceDN w:val="0"/>
              <w:spacing w:before="117"/>
              <w:ind w:left="150" w:right="141"/>
              <w:jc w:val="center"/>
              <w:rPr>
                <w:kern w:val="0"/>
                <w:sz w:val="18"/>
                <w:szCs w:val="18"/>
                <w:lang w:bidi="zh-CN"/>
              </w:rPr>
            </w:pPr>
            <w:r>
              <w:rPr>
                <w:rFonts w:hint="eastAsia"/>
                <w:kern w:val="0"/>
                <w:sz w:val="18"/>
                <w:szCs w:val="18"/>
                <w:lang w:bidi="zh-CN"/>
              </w:rPr>
              <w:t>耐紫外灯（</w:t>
            </w:r>
            <w:r>
              <w:rPr>
                <w:rFonts w:hint="eastAsia"/>
              </w:rPr>
              <w:t>UVA）</w:t>
            </w:r>
            <w:r>
              <w:rPr>
                <w:rFonts w:hint="eastAsia"/>
                <w:kern w:val="0"/>
                <w:sz w:val="18"/>
                <w:szCs w:val="18"/>
                <w:lang w:bidi="zh-CN"/>
              </w:rPr>
              <w:t>24H</w:t>
            </w:r>
          </w:p>
        </w:tc>
        <w:tc>
          <w:tcPr>
            <w:tcW w:w="1456" w:type="pct"/>
            <w:vAlign w:val="center"/>
          </w:tcPr>
          <w:p w14:paraId="074E928C">
            <w:pPr>
              <w:autoSpaceDE w:val="0"/>
              <w:autoSpaceDN w:val="0"/>
              <w:jc w:val="center"/>
              <w:rPr>
                <w:kern w:val="0"/>
                <w:sz w:val="18"/>
                <w:szCs w:val="18"/>
                <w:lang w:bidi="zh-CN"/>
              </w:rPr>
            </w:pPr>
            <w:r>
              <w:rPr>
                <w:rFonts w:hint="eastAsia"/>
                <w:kern w:val="0"/>
                <w:sz w:val="18"/>
                <w:szCs w:val="18"/>
                <w:lang w:bidi="zh-CN"/>
              </w:rPr>
              <w:t>单色系 ΔE≤0.3，金属铝粉系（珠光）</w:t>
            </w:r>
            <w:r>
              <w:rPr>
                <w:kern w:val="0"/>
                <w:sz w:val="18"/>
                <w:szCs w:val="18"/>
                <w:lang w:bidi="zh-CN"/>
              </w:rPr>
              <w:t>ΔE≤</w:t>
            </w:r>
            <w:r>
              <w:rPr>
                <w:rFonts w:hint="eastAsia"/>
                <w:kern w:val="0"/>
                <w:sz w:val="18"/>
                <w:szCs w:val="18"/>
                <w:lang w:bidi="zh-CN"/>
              </w:rPr>
              <w:t>0.4，覆膜系</w:t>
            </w:r>
            <w:r>
              <w:rPr>
                <w:kern w:val="0"/>
                <w:sz w:val="18"/>
                <w:szCs w:val="18"/>
                <w:lang w:bidi="zh-CN"/>
              </w:rPr>
              <w:t>ΔE≤</w:t>
            </w:r>
            <w:r>
              <w:rPr>
                <w:rFonts w:hint="eastAsia"/>
                <w:kern w:val="0"/>
                <w:sz w:val="18"/>
                <w:szCs w:val="18"/>
                <w:lang w:bidi="zh-CN"/>
              </w:rPr>
              <w:t>0.5</w:t>
            </w:r>
          </w:p>
        </w:tc>
        <w:tc>
          <w:tcPr>
            <w:tcW w:w="1497" w:type="pct"/>
            <w:vAlign w:val="center"/>
          </w:tcPr>
          <w:p w14:paraId="6C58BBEE">
            <w:pPr>
              <w:widowControl/>
              <w:jc w:val="center"/>
              <w:rPr>
                <w:kern w:val="0"/>
                <w:sz w:val="18"/>
                <w:szCs w:val="18"/>
                <w:lang w:bidi="zh-CN"/>
              </w:rPr>
            </w:pPr>
            <w:r>
              <w:rPr>
                <w:rFonts w:hint="eastAsia"/>
                <w:kern w:val="0"/>
                <w:sz w:val="18"/>
                <w:szCs w:val="18"/>
                <w:lang w:bidi="zh-CN"/>
              </w:rPr>
              <w:t>单色系 ΔE≤0.5，金属铝粉系（珠光）</w:t>
            </w:r>
            <w:r>
              <w:rPr>
                <w:kern w:val="0"/>
                <w:sz w:val="18"/>
                <w:szCs w:val="18"/>
                <w:lang w:bidi="zh-CN"/>
              </w:rPr>
              <w:t>ΔE≤</w:t>
            </w:r>
            <w:r>
              <w:rPr>
                <w:rFonts w:hint="eastAsia"/>
                <w:kern w:val="0"/>
                <w:sz w:val="18"/>
                <w:szCs w:val="18"/>
                <w:lang w:bidi="zh-CN"/>
              </w:rPr>
              <w:t>0.6，覆膜系</w:t>
            </w:r>
            <w:r>
              <w:rPr>
                <w:kern w:val="0"/>
                <w:sz w:val="18"/>
                <w:szCs w:val="18"/>
                <w:lang w:bidi="zh-CN"/>
              </w:rPr>
              <w:t>ΔE≤</w:t>
            </w:r>
            <w:r>
              <w:rPr>
                <w:rFonts w:hint="eastAsia"/>
                <w:kern w:val="0"/>
                <w:sz w:val="18"/>
                <w:szCs w:val="18"/>
                <w:lang w:bidi="zh-CN"/>
              </w:rPr>
              <w:t>0.7</w:t>
            </w:r>
          </w:p>
        </w:tc>
        <w:tc>
          <w:tcPr>
            <w:tcW w:w="1446" w:type="pct"/>
            <w:vAlign w:val="center"/>
          </w:tcPr>
          <w:p w14:paraId="232E86B5">
            <w:pPr>
              <w:autoSpaceDE w:val="0"/>
              <w:autoSpaceDN w:val="0"/>
              <w:jc w:val="center"/>
              <w:rPr>
                <w:kern w:val="0"/>
                <w:sz w:val="18"/>
                <w:szCs w:val="18"/>
                <w:lang w:bidi="zh-CN"/>
              </w:rPr>
            </w:pPr>
            <w:r>
              <w:rPr>
                <w:rFonts w:hint="eastAsia"/>
                <w:kern w:val="0"/>
                <w:sz w:val="18"/>
                <w:szCs w:val="18"/>
                <w:lang w:bidi="zh-CN"/>
              </w:rPr>
              <w:t>单色系 ΔE≤0.7，金属铝粉系（珠光）</w:t>
            </w:r>
            <w:r>
              <w:rPr>
                <w:kern w:val="0"/>
                <w:sz w:val="18"/>
                <w:szCs w:val="18"/>
                <w:lang w:bidi="zh-CN"/>
              </w:rPr>
              <w:t>ΔE≤</w:t>
            </w:r>
            <w:r>
              <w:rPr>
                <w:rFonts w:hint="eastAsia"/>
                <w:kern w:val="0"/>
                <w:sz w:val="18"/>
                <w:szCs w:val="18"/>
                <w:lang w:bidi="zh-CN"/>
              </w:rPr>
              <w:t>0.8，覆膜系</w:t>
            </w:r>
            <w:r>
              <w:rPr>
                <w:kern w:val="0"/>
                <w:sz w:val="18"/>
                <w:szCs w:val="18"/>
                <w:lang w:bidi="zh-CN"/>
              </w:rPr>
              <w:t>ΔE≤</w:t>
            </w:r>
            <w:r>
              <w:rPr>
                <w:rFonts w:hint="eastAsia"/>
                <w:kern w:val="0"/>
                <w:sz w:val="18"/>
                <w:szCs w:val="18"/>
                <w:lang w:bidi="zh-CN"/>
              </w:rPr>
              <w:t>1.0</w:t>
            </w:r>
          </w:p>
        </w:tc>
      </w:tr>
      <w:tr w14:paraId="32D6C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602" w:type="pct"/>
            <w:vAlign w:val="center"/>
          </w:tcPr>
          <w:p w14:paraId="5922CEC1">
            <w:pPr>
              <w:autoSpaceDE w:val="0"/>
              <w:autoSpaceDN w:val="0"/>
              <w:spacing w:before="117"/>
              <w:ind w:left="150" w:right="141"/>
              <w:jc w:val="center"/>
              <w:rPr>
                <w:kern w:val="0"/>
                <w:sz w:val="18"/>
                <w:szCs w:val="18"/>
                <w:lang w:bidi="zh-CN"/>
              </w:rPr>
            </w:pPr>
            <w:r>
              <w:rPr>
                <w:rFonts w:hint="eastAsia"/>
                <w:kern w:val="0"/>
                <w:sz w:val="18"/>
                <w:szCs w:val="18"/>
                <w:lang w:bidi="zh-CN"/>
              </w:rPr>
              <w:t>外观质量</w:t>
            </w:r>
          </w:p>
        </w:tc>
        <w:tc>
          <w:tcPr>
            <w:tcW w:w="1456" w:type="pct"/>
            <w:vAlign w:val="center"/>
          </w:tcPr>
          <w:p w14:paraId="27629C67">
            <w:pPr>
              <w:autoSpaceDE w:val="0"/>
              <w:autoSpaceDN w:val="0"/>
              <w:jc w:val="center"/>
              <w:rPr>
                <w:kern w:val="0"/>
                <w:sz w:val="18"/>
                <w:szCs w:val="18"/>
                <w:lang w:bidi="zh-CN"/>
              </w:rPr>
            </w:pPr>
            <w:r>
              <w:rPr>
                <w:rFonts w:hint="eastAsia"/>
                <w:kern w:val="0"/>
                <w:sz w:val="18"/>
                <w:szCs w:val="18"/>
                <w:lang w:bidi="zh-CN"/>
              </w:rPr>
              <w:t xml:space="preserve">一平方米单张彩板表层出现的缺陷面积小于 </w:t>
            </w:r>
            <w:r>
              <w:rPr>
                <w:kern w:val="0"/>
                <w:sz w:val="18"/>
                <w:szCs w:val="18"/>
                <w:lang w:bidi="zh-CN"/>
              </w:rPr>
              <w:t>0.</w:t>
            </w:r>
            <w:r>
              <w:rPr>
                <w:rFonts w:hint="eastAsia"/>
                <w:kern w:val="0"/>
                <w:sz w:val="18"/>
                <w:szCs w:val="18"/>
                <w:lang w:bidi="zh-CN"/>
              </w:rPr>
              <w:t>3</w:t>
            </w:r>
            <w:r>
              <w:rPr>
                <w:kern w:val="0"/>
                <w:sz w:val="18"/>
                <w:szCs w:val="18"/>
                <w:lang w:bidi="zh-CN"/>
              </w:rPr>
              <w:t>mm²</w:t>
            </w:r>
            <w:r>
              <w:rPr>
                <w:rFonts w:hint="eastAsia"/>
                <w:kern w:val="0"/>
                <w:sz w:val="18"/>
                <w:szCs w:val="18"/>
                <w:lang w:bidi="zh-CN"/>
              </w:rPr>
              <w:t>，不应超过三处</w:t>
            </w:r>
          </w:p>
        </w:tc>
        <w:tc>
          <w:tcPr>
            <w:tcW w:w="1497" w:type="pct"/>
            <w:vAlign w:val="center"/>
          </w:tcPr>
          <w:p w14:paraId="0D16F08A">
            <w:pPr>
              <w:widowControl/>
              <w:jc w:val="left"/>
              <w:rPr>
                <w:kern w:val="0"/>
                <w:sz w:val="18"/>
                <w:szCs w:val="18"/>
                <w:lang w:bidi="zh-CN"/>
              </w:rPr>
            </w:pPr>
            <w:r>
              <w:rPr>
                <w:rFonts w:hint="eastAsia"/>
                <w:kern w:val="0"/>
                <w:sz w:val="18"/>
                <w:szCs w:val="18"/>
                <w:lang w:bidi="zh-CN"/>
              </w:rPr>
              <w:t xml:space="preserve">一平方米单张彩板表层出现的缺陷面积小于 </w:t>
            </w:r>
            <w:r>
              <w:rPr>
                <w:kern w:val="0"/>
                <w:sz w:val="18"/>
                <w:szCs w:val="18"/>
                <w:lang w:bidi="zh-CN"/>
              </w:rPr>
              <w:t>0.</w:t>
            </w:r>
            <w:r>
              <w:rPr>
                <w:rFonts w:hint="eastAsia"/>
                <w:kern w:val="0"/>
                <w:sz w:val="18"/>
                <w:szCs w:val="18"/>
                <w:lang w:bidi="zh-CN"/>
              </w:rPr>
              <w:t>5</w:t>
            </w:r>
            <w:r>
              <w:rPr>
                <w:kern w:val="0"/>
                <w:sz w:val="18"/>
                <w:szCs w:val="18"/>
                <w:lang w:bidi="zh-CN"/>
              </w:rPr>
              <w:t>mm²</w:t>
            </w:r>
            <w:r>
              <w:rPr>
                <w:rFonts w:hint="eastAsia"/>
                <w:kern w:val="0"/>
                <w:sz w:val="18"/>
                <w:szCs w:val="18"/>
                <w:lang w:bidi="zh-CN"/>
              </w:rPr>
              <w:t>，不应超过三处</w:t>
            </w:r>
          </w:p>
        </w:tc>
        <w:tc>
          <w:tcPr>
            <w:tcW w:w="1446" w:type="pct"/>
            <w:vAlign w:val="center"/>
          </w:tcPr>
          <w:p w14:paraId="44169ECC">
            <w:pPr>
              <w:autoSpaceDE w:val="0"/>
              <w:autoSpaceDN w:val="0"/>
              <w:jc w:val="center"/>
              <w:rPr>
                <w:kern w:val="0"/>
                <w:sz w:val="18"/>
                <w:szCs w:val="18"/>
                <w:lang w:bidi="zh-CN"/>
              </w:rPr>
            </w:pPr>
            <w:r>
              <w:rPr>
                <w:rFonts w:hint="eastAsia"/>
                <w:kern w:val="0"/>
                <w:sz w:val="18"/>
                <w:szCs w:val="18"/>
                <w:lang w:bidi="zh-CN"/>
              </w:rPr>
              <w:t xml:space="preserve">一平方米单张彩板表层出现的缺陷面积小于 </w:t>
            </w:r>
            <w:r>
              <w:rPr>
                <w:kern w:val="0"/>
                <w:sz w:val="18"/>
                <w:szCs w:val="18"/>
                <w:lang w:bidi="zh-CN"/>
              </w:rPr>
              <w:t>0.</w:t>
            </w:r>
            <w:r>
              <w:rPr>
                <w:rFonts w:hint="eastAsia"/>
                <w:kern w:val="0"/>
                <w:sz w:val="18"/>
                <w:szCs w:val="18"/>
                <w:lang w:bidi="zh-CN"/>
              </w:rPr>
              <w:t>8</w:t>
            </w:r>
            <w:r>
              <w:rPr>
                <w:kern w:val="0"/>
                <w:sz w:val="18"/>
                <w:szCs w:val="18"/>
                <w:lang w:bidi="zh-CN"/>
              </w:rPr>
              <w:t>mm²</w:t>
            </w:r>
            <w:r>
              <w:rPr>
                <w:rFonts w:hint="eastAsia"/>
                <w:kern w:val="0"/>
                <w:sz w:val="18"/>
                <w:szCs w:val="18"/>
                <w:lang w:bidi="zh-CN"/>
              </w:rPr>
              <w:t>，不应超过三处</w:t>
            </w:r>
          </w:p>
        </w:tc>
      </w:tr>
    </w:tbl>
    <w:p w14:paraId="74D9D91D">
      <w:pPr>
        <w:pStyle w:val="45"/>
        <w:numPr>
          <w:ilvl w:val="0"/>
          <w:numId w:val="2"/>
        </w:numPr>
        <w:spacing w:before="312" w:after="312"/>
        <w:rPr>
          <w:rFonts w:ascii="Times New Roman"/>
          <w:szCs w:val="22"/>
        </w:rPr>
      </w:pPr>
      <w:r>
        <w:rPr>
          <w:rFonts w:ascii="Times New Roman"/>
        </w:rPr>
        <w:t>评价方法</w:t>
      </w:r>
      <w:bookmarkEnd w:id="20"/>
    </w:p>
    <w:p w14:paraId="646B1755">
      <w:pPr>
        <w:pStyle w:val="47"/>
        <w:spacing w:before="156" w:after="156"/>
        <w:ind w:left="0"/>
        <w:jc w:val="both"/>
        <w:rPr>
          <w:rFonts w:ascii="Times New Roman"/>
        </w:rPr>
      </w:pPr>
      <w:r>
        <w:rPr>
          <w:rFonts w:ascii="Times New Roman"/>
        </w:rPr>
        <w:t>试验方法</w:t>
      </w:r>
    </w:p>
    <w:p w14:paraId="7B6B03FF">
      <w:pPr>
        <w:pStyle w:val="22"/>
        <w:rPr>
          <w:rFonts w:ascii="Times New Roman"/>
        </w:rPr>
      </w:pPr>
      <w:r>
        <w:rPr>
          <w:rFonts w:ascii="Times New Roman"/>
        </w:rPr>
        <w:t>钢板</w:t>
      </w:r>
      <w:r>
        <w:rPr>
          <w:rFonts w:hint="eastAsia" w:ascii="Times New Roman"/>
        </w:rPr>
        <w:t>及钢带</w:t>
      </w:r>
      <w:r>
        <w:rPr>
          <w:rFonts w:ascii="Times New Roman"/>
        </w:rPr>
        <w:t>质量分级的检验项目、取样数量、取样方法及试验方法应符合YB/T 4458的规定</w:t>
      </w:r>
      <w:r>
        <w:rPr>
          <w:rFonts w:hint="eastAsia" w:ascii="Times New Roman"/>
        </w:rPr>
        <w:t>。</w:t>
      </w:r>
    </w:p>
    <w:p w14:paraId="538551F6">
      <w:pPr>
        <w:pStyle w:val="47"/>
        <w:spacing w:before="156" w:after="156"/>
        <w:ind w:left="0"/>
        <w:jc w:val="both"/>
        <w:rPr>
          <w:rFonts w:ascii="Times New Roman"/>
        </w:rPr>
      </w:pPr>
      <w:r>
        <w:rPr>
          <w:rFonts w:ascii="Times New Roman"/>
        </w:rPr>
        <w:t>评价要求</w:t>
      </w:r>
    </w:p>
    <w:p w14:paraId="3CA61BD1">
      <w:pPr>
        <w:pStyle w:val="50"/>
        <w:spacing w:before="156" w:after="156"/>
        <w:jc w:val="both"/>
        <w:rPr>
          <w:rFonts w:ascii="Times New Roman" w:eastAsia="宋体"/>
        </w:rPr>
      </w:pPr>
      <w:r>
        <w:rPr>
          <w:rFonts w:ascii="Times New Roman" w:eastAsia="宋体"/>
        </w:rPr>
        <w:t>钢板</w:t>
      </w:r>
      <w:r>
        <w:rPr>
          <w:rFonts w:hint="eastAsia" w:ascii="Times New Roman" w:eastAsia="宋体"/>
        </w:rPr>
        <w:t>及钢带</w:t>
      </w:r>
      <w:r>
        <w:rPr>
          <w:rFonts w:ascii="Times New Roman" w:eastAsia="宋体"/>
        </w:rPr>
        <w:t>产品分级评价应建立规范的评价工作流程，包括评价准备、组建评价工作组、制定评价方案、现场评价、编制评价报告、技术评审等。</w:t>
      </w:r>
    </w:p>
    <w:p w14:paraId="4B85E569">
      <w:pPr>
        <w:pStyle w:val="50"/>
        <w:spacing w:before="156" w:after="156"/>
        <w:jc w:val="both"/>
        <w:rPr>
          <w:rFonts w:ascii="Times New Roman" w:eastAsia="宋体"/>
        </w:rPr>
      </w:pPr>
      <w:bookmarkStart w:id="21" w:name="5.3.2__方矩管按批进行质量分级和评价，组批规则应符合GB/T_6725的规"/>
      <w:bookmarkEnd w:id="21"/>
      <w:r>
        <w:rPr>
          <w:rFonts w:ascii="Times New Roman" w:eastAsia="宋体"/>
        </w:rPr>
        <w:t>钢板</w:t>
      </w:r>
      <w:r>
        <w:rPr>
          <w:rFonts w:hint="eastAsia" w:ascii="Times New Roman" w:eastAsia="宋体"/>
        </w:rPr>
        <w:t>及钢带</w:t>
      </w:r>
      <w:r>
        <w:rPr>
          <w:rFonts w:ascii="Times New Roman" w:eastAsia="宋体"/>
        </w:rPr>
        <w:t>按批进行质量分级和评价，组批规则应符合YB/T 4458的规定。</w:t>
      </w:r>
    </w:p>
    <w:p w14:paraId="6ABEC7BB">
      <w:pPr>
        <w:pStyle w:val="50"/>
        <w:spacing w:before="156" w:after="156"/>
        <w:jc w:val="both"/>
        <w:rPr>
          <w:rFonts w:ascii="Times New Roman" w:eastAsia="宋体"/>
        </w:rPr>
      </w:pPr>
      <w:bookmarkStart w:id="22" w:name="5.3.3__方矩管按5.2进行检验，检验项目全部达到表1某一等级要求时，该批产"/>
      <w:bookmarkEnd w:id="22"/>
      <w:r>
        <w:rPr>
          <w:rFonts w:ascii="Times New Roman" w:eastAsia="宋体"/>
        </w:rPr>
        <w:t>钢板</w:t>
      </w:r>
      <w:r>
        <w:rPr>
          <w:rFonts w:hint="eastAsia" w:ascii="Times New Roman" w:eastAsia="宋体"/>
        </w:rPr>
        <w:t>及钢带</w:t>
      </w:r>
      <w:r>
        <w:rPr>
          <w:rFonts w:ascii="Times New Roman" w:eastAsia="宋体"/>
        </w:rPr>
        <w:t>按5.1进行检验，检验项目全部达到表1</w:t>
      </w:r>
      <w:r>
        <w:rPr>
          <w:rFonts w:hint="eastAsia" w:ascii="Times New Roman" w:eastAsia="宋体"/>
        </w:rPr>
        <w:t>、表2和表3</w:t>
      </w:r>
      <w:r>
        <w:rPr>
          <w:rFonts w:ascii="Times New Roman" w:eastAsia="宋体"/>
        </w:rPr>
        <w:t>某一等级要求时，该批产品可评价为该等级。</w:t>
      </w:r>
    </w:p>
    <w:bookmarkEnd w:id="14"/>
    <w:bookmarkEnd w:id="15"/>
    <w:bookmarkEnd w:id="16"/>
    <w:bookmarkEnd w:id="17"/>
    <w:p w14:paraId="340141ED">
      <w:pPr>
        <w:pStyle w:val="45"/>
        <w:numPr>
          <w:ilvl w:val="0"/>
          <w:numId w:val="2"/>
        </w:numPr>
        <w:spacing w:before="312" w:after="312"/>
        <w:rPr>
          <w:rFonts w:ascii="Times New Roman"/>
        </w:rPr>
      </w:pPr>
      <w:bookmarkStart w:id="23" w:name="_Toc63427527"/>
      <w:r>
        <w:rPr>
          <w:rFonts w:ascii="Times New Roman"/>
        </w:rPr>
        <w:t>等级标识</w:t>
      </w:r>
      <w:bookmarkEnd w:id="23"/>
    </w:p>
    <w:p w14:paraId="2F4AF7A4">
      <w:pPr>
        <w:pStyle w:val="47"/>
        <w:spacing w:before="156" w:after="156"/>
        <w:ind w:left="0"/>
        <w:rPr>
          <w:rFonts w:ascii="Times New Roman" w:eastAsia="宋体"/>
        </w:rPr>
      </w:pPr>
      <w:r>
        <w:rPr>
          <w:rFonts w:ascii="Times New Roman" w:eastAsia="宋体"/>
        </w:rPr>
        <w:t>钢板</w:t>
      </w:r>
      <w:r>
        <w:rPr>
          <w:rFonts w:hint="eastAsia" w:ascii="Times New Roman" w:eastAsia="宋体"/>
        </w:rPr>
        <w:t>及钢带</w:t>
      </w:r>
      <w:r>
        <w:rPr>
          <w:rFonts w:ascii="Times New Roman" w:eastAsia="宋体"/>
        </w:rPr>
        <w:t>的质量等级标识由供方标注于外包装及质量证明书上。</w:t>
      </w:r>
    </w:p>
    <w:p w14:paraId="6A0B208C">
      <w:pPr>
        <w:pStyle w:val="47"/>
        <w:spacing w:before="156" w:after="156"/>
        <w:ind w:left="0"/>
        <w:rPr>
          <w:rFonts w:ascii="Times New Roman" w:eastAsia="宋体"/>
        </w:rPr>
      </w:pPr>
      <w:r>
        <w:rPr>
          <w:rFonts w:ascii="Times New Roman" w:eastAsia="宋体"/>
        </w:rPr>
        <w:t>一般级可标注</w:t>
      </w:r>
      <w:r>
        <w:rPr>
          <w:rFonts w:hint="eastAsia" w:ascii="Times New Roman" w:eastAsia="宋体"/>
        </w:rPr>
        <w:t>“AA</w:t>
      </w:r>
      <w:r>
        <w:rPr>
          <w:rFonts w:ascii="Times New Roman" w:eastAsia="宋体"/>
        </w:rPr>
        <w:t>A级</w:t>
      </w:r>
      <w:r>
        <w:rPr>
          <w:rFonts w:hint="eastAsia" w:ascii="Times New Roman" w:eastAsia="宋体"/>
        </w:rPr>
        <w:t>”</w:t>
      </w:r>
      <w:r>
        <w:rPr>
          <w:rFonts w:ascii="Times New Roman" w:eastAsia="宋体"/>
        </w:rPr>
        <w:t>，优质级可标注</w:t>
      </w:r>
      <w:r>
        <w:rPr>
          <w:rFonts w:hint="eastAsia" w:ascii="Times New Roman" w:eastAsia="宋体"/>
        </w:rPr>
        <w:t>“AA</w:t>
      </w:r>
      <w:r>
        <w:rPr>
          <w:rFonts w:ascii="Times New Roman" w:eastAsia="宋体"/>
        </w:rPr>
        <w:t>AA级</w:t>
      </w:r>
      <w:r>
        <w:rPr>
          <w:rFonts w:hint="eastAsia" w:ascii="Times New Roman" w:eastAsia="宋体"/>
        </w:rPr>
        <w:t>”</w:t>
      </w:r>
      <w:r>
        <w:rPr>
          <w:rFonts w:ascii="Times New Roman" w:eastAsia="宋体"/>
        </w:rPr>
        <w:t>，特优级可标注</w:t>
      </w:r>
      <w:r>
        <w:rPr>
          <w:rFonts w:hint="eastAsia" w:ascii="Times New Roman" w:eastAsia="宋体"/>
        </w:rPr>
        <w:t>“AA</w:t>
      </w:r>
      <w:r>
        <w:rPr>
          <w:rFonts w:ascii="Times New Roman" w:eastAsia="宋体"/>
        </w:rPr>
        <w:t>AAA级</w:t>
      </w:r>
      <w:r>
        <w:rPr>
          <w:rFonts w:hint="eastAsia" w:ascii="Times New Roman" w:eastAsia="宋体"/>
        </w:rPr>
        <w:t>”。</w:t>
      </w:r>
      <w:r>
        <w:rPr>
          <w:rFonts w:ascii="Times New Roman" w:eastAsia="宋体"/>
        </w:rPr>
        <mc:AlternateContent>
          <mc:Choice Requires="wps">
            <w:drawing>
              <wp:anchor distT="0" distB="0" distL="114300" distR="114300" simplePos="0" relativeHeight="251660288" behindDoc="0" locked="0" layoutInCell="1" allowOverlap="1">
                <wp:simplePos x="0" y="0"/>
                <wp:positionH relativeFrom="column">
                  <wp:posOffset>2124710</wp:posOffset>
                </wp:positionH>
                <wp:positionV relativeFrom="paragraph">
                  <wp:posOffset>465455</wp:posOffset>
                </wp:positionV>
                <wp:extent cx="1624330" cy="0"/>
                <wp:effectExtent l="0" t="0" r="33020" b="1905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7.3pt;margin-top:36.65pt;height:0pt;width:127.9pt;z-index:251660288;mso-width-relative:page;mso-height-relative:page;" filled="f" stroked="t" coordsize="21600,21600" o:gfxdata="UEsDBAoAAAAAAIdO4kAAAAAAAAAAAAAAAAAEAAAAZHJzL1BLAwQUAAAACACHTuJAA46cKdgAAAAJ&#10;AQAADwAAAGRycy9kb3ducmV2LnhtbE2PwU7DMAyG70i8Q2SkXRBLum6DdXWnCYkDR7ZJXLPGtGWN&#10;UzXpOvb0BHGAo+1Pv78/31xsK87U+8YxQjJVIIhLZxquEA77l4cnED5oNrp1TAhf5GFT3N7kOjNu&#10;5Dc670IlYgj7TCPUIXSZlL6syWo/dR1xvH243uoQx76SptdjDLetnCm1lFY3HD/UuqPnmsrTbrAI&#10;5IdForYrWx1er+P9++z6OXZ7xMldotYgAl3CHww/+lEdiuh0dAMbL1qENJ0vI4rwmKYgIrBYqTmI&#10;4+9CFrn836D4BlBLAwQUAAAACACHTuJA4TAynvUBAAC+AwAADgAAAGRycy9lMm9Eb2MueG1srVPN&#10;bhMxEL4j8Q6W72STlEawyqaHROVSoFLLAzhe766F7bE8TjZ5CV4AiRNwAk698zRQHoOx80Mplx7Y&#10;g2V7/H0z3zez07ONNWytAmpwFR8NhpwpJ6HWrq34m+vzJ884wyhcLQw4VfGtQn42e/xo2vtSjaED&#10;U6vAiMRh2fuKdzH6sihQdsoKHIBXjoINBCsiHUNb1EH0xG5NMR4OJ0UPofYBpEKk28UuyPeM4SGE&#10;0DRaqgXIlVUu7liDMiKSJOy0Rz7L1TaNkvF106CKzFSclMa8UhLaL9NazKaibIPwnZb7EsRDSrin&#10;yQrtKOmRaiGiYKug/6GyWgZAaOJAgi12QrIjpGI0vOfNVSe8ylrIavRH0/H/0cpX68vAdF3xCWdO&#10;WGr47fubn+8+3X77+uPjza/vH9L+y2c2SVb1HktCzN1lSGLlxl35C5BvkTmYd8K1Kpd8vfXEM0qI&#10;4i9IOqCnhMv+JdT0RqwiZN82TbCJkhxhm9ye7bE9ahOZpMvRZPz05IQ6Jw+xQpQHoA8YXyiwLG0q&#10;jjEI3XZxDs7REEAY5TRifYExlSXKAyBldXCujcmzYBzrK/78dHyaAQhG1ymYnmFol3MT2Fqkacpf&#10;1kiRu88CrFy9S2Lc3oKkeuffEurtZThYQ23N1exHMM3N3XNG//nt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46cKdgAAAAJAQAADwAAAAAAAAABACAAAAAiAAAAZHJzL2Rvd25yZXYueG1sUEsB&#10;AhQAFAAAAAgAh07iQOEwMp71AQAAvgMAAA4AAAAAAAAAAQAgAAAAJwEAAGRycy9lMm9Eb2MueG1s&#10;UEsFBgAAAAAGAAYAWQEAAI4FAAAAAA==&#10;">
                <v:fill on="f" focussize="0,0"/>
                <v:stroke color="#000000" joinstyle="round"/>
                <v:imagedata o:title=""/>
                <o:lock v:ext="edit" aspectratio="f"/>
              </v:shape>
            </w:pict>
          </mc:Fallback>
        </mc:AlternateContent>
      </w:r>
    </w:p>
    <w:sectPr>
      <w:headerReference r:id="rId12" w:type="default"/>
      <w:footerReference r:id="rId13"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736D3">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8E41">
    <w:pPr>
      <w:pStyle w:val="9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14:paraId="3AA54167">
        <w:pPr>
          <w:pStyle w:val="16"/>
          <w:jc w:val="left"/>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BE985">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35FB7">
    <w:pPr>
      <w:pStyle w:val="92"/>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0E61B">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134A3">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436E8">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-XXXX</w:t>
    </w:r>
  </w:p>
  <w:p w14:paraId="482B1E86">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05E65">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69721EEF">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B9A43">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6AB87">
    <w:pPr>
      <w:pStyle w:val="17"/>
      <w:jc w:val="right"/>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5A5F573F">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5ZDY1NzdmYWQzYTFhMGQ2MTM1ZmVmOTNkMGY0ODMifQ=="/>
  </w:docVars>
  <w:rsids>
    <w:rsidRoot w:val="00035925"/>
    <w:rsid w:val="00000097"/>
    <w:rsid w:val="00000244"/>
    <w:rsid w:val="00000CD3"/>
    <w:rsid w:val="0000185F"/>
    <w:rsid w:val="0000586F"/>
    <w:rsid w:val="00005D79"/>
    <w:rsid w:val="000069FA"/>
    <w:rsid w:val="00007340"/>
    <w:rsid w:val="000077BC"/>
    <w:rsid w:val="00013D86"/>
    <w:rsid w:val="00013E02"/>
    <w:rsid w:val="00017E7B"/>
    <w:rsid w:val="00020414"/>
    <w:rsid w:val="0002143C"/>
    <w:rsid w:val="00022016"/>
    <w:rsid w:val="000238EC"/>
    <w:rsid w:val="00025A65"/>
    <w:rsid w:val="000267B2"/>
    <w:rsid w:val="00026C31"/>
    <w:rsid w:val="00027280"/>
    <w:rsid w:val="000306E3"/>
    <w:rsid w:val="000320A7"/>
    <w:rsid w:val="00033C7F"/>
    <w:rsid w:val="00035925"/>
    <w:rsid w:val="000366F4"/>
    <w:rsid w:val="00037DAC"/>
    <w:rsid w:val="00041127"/>
    <w:rsid w:val="00045C9B"/>
    <w:rsid w:val="000466F7"/>
    <w:rsid w:val="00054B4A"/>
    <w:rsid w:val="000639E9"/>
    <w:rsid w:val="00063E76"/>
    <w:rsid w:val="00067CDF"/>
    <w:rsid w:val="00074FBE"/>
    <w:rsid w:val="000772BB"/>
    <w:rsid w:val="00077E45"/>
    <w:rsid w:val="000818DD"/>
    <w:rsid w:val="00083A09"/>
    <w:rsid w:val="0009005E"/>
    <w:rsid w:val="00090E08"/>
    <w:rsid w:val="00092857"/>
    <w:rsid w:val="00094BD2"/>
    <w:rsid w:val="000A20A9"/>
    <w:rsid w:val="000A48B1"/>
    <w:rsid w:val="000A4DFA"/>
    <w:rsid w:val="000A5495"/>
    <w:rsid w:val="000B06B6"/>
    <w:rsid w:val="000B3143"/>
    <w:rsid w:val="000B4D28"/>
    <w:rsid w:val="000C30C7"/>
    <w:rsid w:val="000C6B05"/>
    <w:rsid w:val="000C6DD6"/>
    <w:rsid w:val="000C73D4"/>
    <w:rsid w:val="000D03F1"/>
    <w:rsid w:val="000D114F"/>
    <w:rsid w:val="000D3D4C"/>
    <w:rsid w:val="000D4406"/>
    <w:rsid w:val="000D4505"/>
    <w:rsid w:val="000D4F51"/>
    <w:rsid w:val="000D718B"/>
    <w:rsid w:val="000E0C46"/>
    <w:rsid w:val="000E0D25"/>
    <w:rsid w:val="000E2645"/>
    <w:rsid w:val="000E3EC7"/>
    <w:rsid w:val="000F030C"/>
    <w:rsid w:val="000F04B4"/>
    <w:rsid w:val="000F129C"/>
    <w:rsid w:val="000F31BB"/>
    <w:rsid w:val="001056DE"/>
    <w:rsid w:val="00106634"/>
    <w:rsid w:val="00111863"/>
    <w:rsid w:val="001124C0"/>
    <w:rsid w:val="00120F44"/>
    <w:rsid w:val="00121FE9"/>
    <w:rsid w:val="001241EE"/>
    <w:rsid w:val="00125108"/>
    <w:rsid w:val="001278EF"/>
    <w:rsid w:val="0013175F"/>
    <w:rsid w:val="00132E58"/>
    <w:rsid w:val="00134999"/>
    <w:rsid w:val="00141BF1"/>
    <w:rsid w:val="00143F81"/>
    <w:rsid w:val="00146E19"/>
    <w:rsid w:val="001512B4"/>
    <w:rsid w:val="00152179"/>
    <w:rsid w:val="00154746"/>
    <w:rsid w:val="00154A8E"/>
    <w:rsid w:val="00156D41"/>
    <w:rsid w:val="00160652"/>
    <w:rsid w:val="001620A5"/>
    <w:rsid w:val="00164E53"/>
    <w:rsid w:val="0016699D"/>
    <w:rsid w:val="001701E9"/>
    <w:rsid w:val="001721FD"/>
    <w:rsid w:val="0017259F"/>
    <w:rsid w:val="00172C54"/>
    <w:rsid w:val="00173E6C"/>
    <w:rsid w:val="00175159"/>
    <w:rsid w:val="0017527F"/>
    <w:rsid w:val="00176208"/>
    <w:rsid w:val="00176D4A"/>
    <w:rsid w:val="0017711B"/>
    <w:rsid w:val="0018211B"/>
    <w:rsid w:val="001840D3"/>
    <w:rsid w:val="00186A56"/>
    <w:rsid w:val="00187A9A"/>
    <w:rsid w:val="001900F8"/>
    <w:rsid w:val="0019112B"/>
    <w:rsid w:val="00191258"/>
    <w:rsid w:val="00192680"/>
    <w:rsid w:val="00193037"/>
    <w:rsid w:val="00193A2C"/>
    <w:rsid w:val="00197D88"/>
    <w:rsid w:val="001A01D4"/>
    <w:rsid w:val="001A22BF"/>
    <w:rsid w:val="001A288E"/>
    <w:rsid w:val="001A32EE"/>
    <w:rsid w:val="001B0469"/>
    <w:rsid w:val="001B2C9E"/>
    <w:rsid w:val="001B5E5F"/>
    <w:rsid w:val="001B617C"/>
    <w:rsid w:val="001B6DC2"/>
    <w:rsid w:val="001C149C"/>
    <w:rsid w:val="001C21AC"/>
    <w:rsid w:val="001C47BA"/>
    <w:rsid w:val="001C59EA"/>
    <w:rsid w:val="001D055C"/>
    <w:rsid w:val="001D406C"/>
    <w:rsid w:val="001D41EE"/>
    <w:rsid w:val="001D4EC2"/>
    <w:rsid w:val="001D7CB7"/>
    <w:rsid w:val="001E0380"/>
    <w:rsid w:val="001E13B1"/>
    <w:rsid w:val="001E24EA"/>
    <w:rsid w:val="001E55B7"/>
    <w:rsid w:val="001E69DB"/>
    <w:rsid w:val="001E739A"/>
    <w:rsid w:val="001F3A19"/>
    <w:rsid w:val="001F3FBF"/>
    <w:rsid w:val="001F7242"/>
    <w:rsid w:val="002002E4"/>
    <w:rsid w:val="002040EA"/>
    <w:rsid w:val="002046F0"/>
    <w:rsid w:val="00205FCF"/>
    <w:rsid w:val="00207392"/>
    <w:rsid w:val="0022046A"/>
    <w:rsid w:val="002242CD"/>
    <w:rsid w:val="00231142"/>
    <w:rsid w:val="00231970"/>
    <w:rsid w:val="00234467"/>
    <w:rsid w:val="00237D8D"/>
    <w:rsid w:val="00240622"/>
    <w:rsid w:val="00240FE6"/>
    <w:rsid w:val="00241DA2"/>
    <w:rsid w:val="00245B95"/>
    <w:rsid w:val="00247FEE"/>
    <w:rsid w:val="00250E7D"/>
    <w:rsid w:val="002543BB"/>
    <w:rsid w:val="002549B0"/>
    <w:rsid w:val="002565D5"/>
    <w:rsid w:val="00257415"/>
    <w:rsid w:val="00257C39"/>
    <w:rsid w:val="002622C0"/>
    <w:rsid w:val="00262D2E"/>
    <w:rsid w:val="00264F9B"/>
    <w:rsid w:val="002759BB"/>
    <w:rsid w:val="00276B08"/>
    <w:rsid w:val="002778AE"/>
    <w:rsid w:val="0028022A"/>
    <w:rsid w:val="00281919"/>
    <w:rsid w:val="002824CB"/>
    <w:rsid w:val="0028269A"/>
    <w:rsid w:val="00283590"/>
    <w:rsid w:val="002836DE"/>
    <w:rsid w:val="00286973"/>
    <w:rsid w:val="00287EDD"/>
    <w:rsid w:val="002904AF"/>
    <w:rsid w:val="002934F8"/>
    <w:rsid w:val="00294E70"/>
    <w:rsid w:val="002952CE"/>
    <w:rsid w:val="00296FB8"/>
    <w:rsid w:val="002A06B3"/>
    <w:rsid w:val="002A0C9E"/>
    <w:rsid w:val="002A1924"/>
    <w:rsid w:val="002A390B"/>
    <w:rsid w:val="002A7420"/>
    <w:rsid w:val="002B0F12"/>
    <w:rsid w:val="002B1308"/>
    <w:rsid w:val="002B4449"/>
    <w:rsid w:val="002B4554"/>
    <w:rsid w:val="002B4FE3"/>
    <w:rsid w:val="002C2696"/>
    <w:rsid w:val="002C72D8"/>
    <w:rsid w:val="002D11FA"/>
    <w:rsid w:val="002D545A"/>
    <w:rsid w:val="002E0DDF"/>
    <w:rsid w:val="002E2906"/>
    <w:rsid w:val="002E5635"/>
    <w:rsid w:val="002E59CE"/>
    <w:rsid w:val="002E64C3"/>
    <w:rsid w:val="002E6A2C"/>
    <w:rsid w:val="002F1D8C"/>
    <w:rsid w:val="002F21DA"/>
    <w:rsid w:val="002F31F1"/>
    <w:rsid w:val="002F3F0D"/>
    <w:rsid w:val="002F42E2"/>
    <w:rsid w:val="002F4512"/>
    <w:rsid w:val="002F57F3"/>
    <w:rsid w:val="00301F39"/>
    <w:rsid w:val="00305812"/>
    <w:rsid w:val="003073E0"/>
    <w:rsid w:val="00310478"/>
    <w:rsid w:val="00317A37"/>
    <w:rsid w:val="0032071A"/>
    <w:rsid w:val="00325926"/>
    <w:rsid w:val="00326146"/>
    <w:rsid w:val="00326BCE"/>
    <w:rsid w:val="00327A8A"/>
    <w:rsid w:val="00336610"/>
    <w:rsid w:val="00343F73"/>
    <w:rsid w:val="00345060"/>
    <w:rsid w:val="00350BC9"/>
    <w:rsid w:val="0035323B"/>
    <w:rsid w:val="00356876"/>
    <w:rsid w:val="00356951"/>
    <w:rsid w:val="003609D2"/>
    <w:rsid w:val="00363F22"/>
    <w:rsid w:val="003650D5"/>
    <w:rsid w:val="003659A4"/>
    <w:rsid w:val="003732A9"/>
    <w:rsid w:val="0037473D"/>
    <w:rsid w:val="00375564"/>
    <w:rsid w:val="0037662F"/>
    <w:rsid w:val="003768C0"/>
    <w:rsid w:val="00382CC2"/>
    <w:rsid w:val="00383191"/>
    <w:rsid w:val="00383618"/>
    <w:rsid w:val="003839CA"/>
    <w:rsid w:val="00383D0B"/>
    <w:rsid w:val="003852DB"/>
    <w:rsid w:val="00385B77"/>
    <w:rsid w:val="00386DED"/>
    <w:rsid w:val="003912E7"/>
    <w:rsid w:val="0039140F"/>
    <w:rsid w:val="0039386C"/>
    <w:rsid w:val="00393947"/>
    <w:rsid w:val="003A1F65"/>
    <w:rsid w:val="003A2275"/>
    <w:rsid w:val="003A3F2D"/>
    <w:rsid w:val="003A48CA"/>
    <w:rsid w:val="003A5141"/>
    <w:rsid w:val="003A6A4F"/>
    <w:rsid w:val="003A7088"/>
    <w:rsid w:val="003B00DF"/>
    <w:rsid w:val="003B1275"/>
    <w:rsid w:val="003B1778"/>
    <w:rsid w:val="003B217D"/>
    <w:rsid w:val="003B70DD"/>
    <w:rsid w:val="003B7AC1"/>
    <w:rsid w:val="003C11CB"/>
    <w:rsid w:val="003C5654"/>
    <w:rsid w:val="003C75F3"/>
    <w:rsid w:val="003C78A3"/>
    <w:rsid w:val="003D0240"/>
    <w:rsid w:val="003D721E"/>
    <w:rsid w:val="003E0318"/>
    <w:rsid w:val="003E0D6C"/>
    <w:rsid w:val="003E1867"/>
    <w:rsid w:val="003E5000"/>
    <w:rsid w:val="003E5729"/>
    <w:rsid w:val="003E5A57"/>
    <w:rsid w:val="003F4EE0"/>
    <w:rsid w:val="00400C28"/>
    <w:rsid w:val="00402153"/>
    <w:rsid w:val="00402FC1"/>
    <w:rsid w:val="004134DD"/>
    <w:rsid w:val="004145B9"/>
    <w:rsid w:val="004166CD"/>
    <w:rsid w:val="0041793A"/>
    <w:rsid w:val="00423779"/>
    <w:rsid w:val="00423DBC"/>
    <w:rsid w:val="00425082"/>
    <w:rsid w:val="00431DEB"/>
    <w:rsid w:val="00433284"/>
    <w:rsid w:val="00446B29"/>
    <w:rsid w:val="004509E6"/>
    <w:rsid w:val="00453F9A"/>
    <w:rsid w:val="004552EA"/>
    <w:rsid w:val="0045659F"/>
    <w:rsid w:val="00462705"/>
    <w:rsid w:val="00462C7F"/>
    <w:rsid w:val="00463F41"/>
    <w:rsid w:val="004643CB"/>
    <w:rsid w:val="00465F5D"/>
    <w:rsid w:val="00471E91"/>
    <w:rsid w:val="00472AF6"/>
    <w:rsid w:val="00472C6E"/>
    <w:rsid w:val="00474675"/>
    <w:rsid w:val="0047470C"/>
    <w:rsid w:val="0047745F"/>
    <w:rsid w:val="0048526D"/>
    <w:rsid w:val="00485828"/>
    <w:rsid w:val="00490762"/>
    <w:rsid w:val="0049326C"/>
    <w:rsid w:val="004A029F"/>
    <w:rsid w:val="004A0900"/>
    <w:rsid w:val="004A24EB"/>
    <w:rsid w:val="004A2EB0"/>
    <w:rsid w:val="004A35F9"/>
    <w:rsid w:val="004B0452"/>
    <w:rsid w:val="004B1107"/>
    <w:rsid w:val="004B1EA1"/>
    <w:rsid w:val="004B24C1"/>
    <w:rsid w:val="004B3527"/>
    <w:rsid w:val="004B4141"/>
    <w:rsid w:val="004B421B"/>
    <w:rsid w:val="004B6567"/>
    <w:rsid w:val="004B7A61"/>
    <w:rsid w:val="004C0DE4"/>
    <w:rsid w:val="004C15CE"/>
    <w:rsid w:val="004C292F"/>
    <w:rsid w:val="004C52B4"/>
    <w:rsid w:val="004C6D21"/>
    <w:rsid w:val="004D197C"/>
    <w:rsid w:val="004E4034"/>
    <w:rsid w:val="004E504F"/>
    <w:rsid w:val="004E7695"/>
    <w:rsid w:val="004F10FB"/>
    <w:rsid w:val="004F11BC"/>
    <w:rsid w:val="004F11CA"/>
    <w:rsid w:val="004F63FD"/>
    <w:rsid w:val="00500A34"/>
    <w:rsid w:val="00510280"/>
    <w:rsid w:val="005107C9"/>
    <w:rsid w:val="00513480"/>
    <w:rsid w:val="00513D73"/>
    <w:rsid w:val="00514A43"/>
    <w:rsid w:val="005174E5"/>
    <w:rsid w:val="005205C2"/>
    <w:rsid w:val="00522393"/>
    <w:rsid w:val="00522620"/>
    <w:rsid w:val="00522F9A"/>
    <w:rsid w:val="00525656"/>
    <w:rsid w:val="00526AEC"/>
    <w:rsid w:val="00531E86"/>
    <w:rsid w:val="00534C02"/>
    <w:rsid w:val="00534D29"/>
    <w:rsid w:val="00534EC9"/>
    <w:rsid w:val="0054264B"/>
    <w:rsid w:val="00543786"/>
    <w:rsid w:val="00544118"/>
    <w:rsid w:val="00550AC2"/>
    <w:rsid w:val="005533D7"/>
    <w:rsid w:val="00560E0C"/>
    <w:rsid w:val="005703DE"/>
    <w:rsid w:val="00571C63"/>
    <w:rsid w:val="00575169"/>
    <w:rsid w:val="00580B6B"/>
    <w:rsid w:val="005828EB"/>
    <w:rsid w:val="00582AD4"/>
    <w:rsid w:val="0058464E"/>
    <w:rsid w:val="00587FD0"/>
    <w:rsid w:val="00592092"/>
    <w:rsid w:val="00592C13"/>
    <w:rsid w:val="005A01CB"/>
    <w:rsid w:val="005A58FF"/>
    <w:rsid w:val="005A5BD3"/>
    <w:rsid w:val="005A5EAF"/>
    <w:rsid w:val="005A64C0"/>
    <w:rsid w:val="005B1AD6"/>
    <w:rsid w:val="005B3747"/>
    <w:rsid w:val="005B3C11"/>
    <w:rsid w:val="005B3CB5"/>
    <w:rsid w:val="005B3ECB"/>
    <w:rsid w:val="005B73B1"/>
    <w:rsid w:val="005C1190"/>
    <w:rsid w:val="005C1C28"/>
    <w:rsid w:val="005C3767"/>
    <w:rsid w:val="005C40BF"/>
    <w:rsid w:val="005C6DB5"/>
    <w:rsid w:val="005C7E1D"/>
    <w:rsid w:val="005D347A"/>
    <w:rsid w:val="005D4E43"/>
    <w:rsid w:val="005E0135"/>
    <w:rsid w:val="005E015A"/>
    <w:rsid w:val="005E19E7"/>
    <w:rsid w:val="005E6290"/>
    <w:rsid w:val="005E6661"/>
    <w:rsid w:val="005E71F4"/>
    <w:rsid w:val="005E7A66"/>
    <w:rsid w:val="005F1878"/>
    <w:rsid w:val="005F1913"/>
    <w:rsid w:val="005F2504"/>
    <w:rsid w:val="005F7EFC"/>
    <w:rsid w:val="00602123"/>
    <w:rsid w:val="006028E5"/>
    <w:rsid w:val="00603CAD"/>
    <w:rsid w:val="006123BE"/>
    <w:rsid w:val="0061716C"/>
    <w:rsid w:val="0062170B"/>
    <w:rsid w:val="006243A1"/>
    <w:rsid w:val="0062654B"/>
    <w:rsid w:val="006268F1"/>
    <w:rsid w:val="006274A6"/>
    <w:rsid w:val="00627580"/>
    <w:rsid w:val="0063111E"/>
    <w:rsid w:val="00632E56"/>
    <w:rsid w:val="00635CBA"/>
    <w:rsid w:val="00635CD4"/>
    <w:rsid w:val="00640D79"/>
    <w:rsid w:val="00641C62"/>
    <w:rsid w:val="006423A6"/>
    <w:rsid w:val="0064338B"/>
    <w:rsid w:val="00646542"/>
    <w:rsid w:val="00646A44"/>
    <w:rsid w:val="00646A5E"/>
    <w:rsid w:val="006504F4"/>
    <w:rsid w:val="00651D37"/>
    <w:rsid w:val="00652A8E"/>
    <w:rsid w:val="00653CBB"/>
    <w:rsid w:val="00654BC9"/>
    <w:rsid w:val="006552FD"/>
    <w:rsid w:val="006554A5"/>
    <w:rsid w:val="00662954"/>
    <w:rsid w:val="00662AFC"/>
    <w:rsid w:val="00663AF3"/>
    <w:rsid w:val="00666B6C"/>
    <w:rsid w:val="00670721"/>
    <w:rsid w:val="006711A4"/>
    <w:rsid w:val="00676D9C"/>
    <w:rsid w:val="006802C6"/>
    <w:rsid w:val="00682682"/>
    <w:rsid w:val="00682702"/>
    <w:rsid w:val="006833B0"/>
    <w:rsid w:val="00684205"/>
    <w:rsid w:val="00685CC6"/>
    <w:rsid w:val="006862EB"/>
    <w:rsid w:val="00686BDE"/>
    <w:rsid w:val="00686DF3"/>
    <w:rsid w:val="006903AA"/>
    <w:rsid w:val="006915B7"/>
    <w:rsid w:val="006916B9"/>
    <w:rsid w:val="00692368"/>
    <w:rsid w:val="00692DB1"/>
    <w:rsid w:val="00692EAF"/>
    <w:rsid w:val="006A2EBC"/>
    <w:rsid w:val="006A5EA0"/>
    <w:rsid w:val="006A61D0"/>
    <w:rsid w:val="006A783B"/>
    <w:rsid w:val="006A7AEB"/>
    <w:rsid w:val="006A7B33"/>
    <w:rsid w:val="006B0009"/>
    <w:rsid w:val="006B3B7D"/>
    <w:rsid w:val="006B47BB"/>
    <w:rsid w:val="006B4972"/>
    <w:rsid w:val="006B4E13"/>
    <w:rsid w:val="006B75DD"/>
    <w:rsid w:val="006C3EC4"/>
    <w:rsid w:val="006C5EC8"/>
    <w:rsid w:val="006C67E0"/>
    <w:rsid w:val="006C7ABA"/>
    <w:rsid w:val="006D0D60"/>
    <w:rsid w:val="006D1122"/>
    <w:rsid w:val="006D3A7D"/>
    <w:rsid w:val="006D3C00"/>
    <w:rsid w:val="006E3675"/>
    <w:rsid w:val="006E4A7F"/>
    <w:rsid w:val="006E5E69"/>
    <w:rsid w:val="006E5F94"/>
    <w:rsid w:val="006F27DC"/>
    <w:rsid w:val="006F2AB3"/>
    <w:rsid w:val="00702335"/>
    <w:rsid w:val="00704DF6"/>
    <w:rsid w:val="0070651C"/>
    <w:rsid w:val="00707D93"/>
    <w:rsid w:val="00710179"/>
    <w:rsid w:val="0071145F"/>
    <w:rsid w:val="00711B5A"/>
    <w:rsid w:val="007132A3"/>
    <w:rsid w:val="00716421"/>
    <w:rsid w:val="00717250"/>
    <w:rsid w:val="00717651"/>
    <w:rsid w:val="00722D17"/>
    <w:rsid w:val="00724EFB"/>
    <w:rsid w:val="00727559"/>
    <w:rsid w:val="00727B0D"/>
    <w:rsid w:val="0073132D"/>
    <w:rsid w:val="00732949"/>
    <w:rsid w:val="00733E7A"/>
    <w:rsid w:val="007419C3"/>
    <w:rsid w:val="00743192"/>
    <w:rsid w:val="00743B4A"/>
    <w:rsid w:val="00744823"/>
    <w:rsid w:val="007467A7"/>
    <w:rsid w:val="007469DD"/>
    <w:rsid w:val="00747275"/>
    <w:rsid w:val="0074741B"/>
    <w:rsid w:val="0074759E"/>
    <w:rsid w:val="007478EA"/>
    <w:rsid w:val="00753E0E"/>
    <w:rsid w:val="0075415C"/>
    <w:rsid w:val="00756956"/>
    <w:rsid w:val="00763424"/>
    <w:rsid w:val="00763502"/>
    <w:rsid w:val="00765463"/>
    <w:rsid w:val="00765465"/>
    <w:rsid w:val="00767D83"/>
    <w:rsid w:val="00771B48"/>
    <w:rsid w:val="00772FB2"/>
    <w:rsid w:val="00774E9B"/>
    <w:rsid w:val="007760D4"/>
    <w:rsid w:val="007762FF"/>
    <w:rsid w:val="00782C2D"/>
    <w:rsid w:val="007848C5"/>
    <w:rsid w:val="00784DB9"/>
    <w:rsid w:val="007913AB"/>
    <w:rsid w:val="007914F7"/>
    <w:rsid w:val="00791C57"/>
    <w:rsid w:val="00797015"/>
    <w:rsid w:val="007B0C68"/>
    <w:rsid w:val="007B1625"/>
    <w:rsid w:val="007B2AA6"/>
    <w:rsid w:val="007B706E"/>
    <w:rsid w:val="007B71EB"/>
    <w:rsid w:val="007B7F4D"/>
    <w:rsid w:val="007C0A15"/>
    <w:rsid w:val="007C0B4B"/>
    <w:rsid w:val="007C2D77"/>
    <w:rsid w:val="007C31CC"/>
    <w:rsid w:val="007C44C3"/>
    <w:rsid w:val="007C487E"/>
    <w:rsid w:val="007C6205"/>
    <w:rsid w:val="007C686A"/>
    <w:rsid w:val="007C728E"/>
    <w:rsid w:val="007C7D7C"/>
    <w:rsid w:val="007D12D6"/>
    <w:rsid w:val="007D2C53"/>
    <w:rsid w:val="007D3D60"/>
    <w:rsid w:val="007D58A1"/>
    <w:rsid w:val="007E1980"/>
    <w:rsid w:val="007E4B76"/>
    <w:rsid w:val="007E4C8A"/>
    <w:rsid w:val="007E5982"/>
    <w:rsid w:val="007E5EA8"/>
    <w:rsid w:val="007F0949"/>
    <w:rsid w:val="007F0CF1"/>
    <w:rsid w:val="007F12A5"/>
    <w:rsid w:val="007F2D6D"/>
    <w:rsid w:val="007F3B0B"/>
    <w:rsid w:val="007F4CF1"/>
    <w:rsid w:val="007F758D"/>
    <w:rsid w:val="007F7D52"/>
    <w:rsid w:val="00802398"/>
    <w:rsid w:val="0080654C"/>
    <w:rsid w:val="008071C6"/>
    <w:rsid w:val="008109D6"/>
    <w:rsid w:val="00811750"/>
    <w:rsid w:val="00815237"/>
    <w:rsid w:val="00817A00"/>
    <w:rsid w:val="00821C5F"/>
    <w:rsid w:val="008278AA"/>
    <w:rsid w:val="0083084A"/>
    <w:rsid w:val="00832460"/>
    <w:rsid w:val="00832776"/>
    <w:rsid w:val="00834B6C"/>
    <w:rsid w:val="00835DB3"/>
    <w:rsid w:val="0083617B"/>
    <w:rsid w:val="008371BD"/>
    <w:rsid w:val="008504A8"/>
    <w:rsid w:val="0085282E"/>
    <w:rsid w:val="008533B6"/>
    <w:rsid w:val="00857A3C"/>
    <w:rsid w:val="00862151"/>
    <w:rsid w:val="00864FB4"/>
    <w:rsid w:val="0087198C"/>
    <w:rsid w:val="00872896"/>
    <w:rsid w:val="00872C1F"/>
    <w:rsid w:val="00873B42"/>
    <w:rsid w:val="008743BC"/>
    <w:rsid w:val="00874A40"/>
    <w:rsid w:val="0087620B"/>
    <w:rsid w:val="008770F5"/>
    <w:rsid w:val="00877177"/>
    <w:rsid w:val="0087773E"/>
    <w:rsid w:val="00880B73"/>
    <w:rsid w:val="00880D62"/>
    <w:rsid w:val="0088194D"/>
    <w:rsid w:val="00882D2B"/>
    <w:rsid w:val="00885289"/>
    <w:rsid w:val="008856D8"/>
    <w:rsid w:val="008912C8"/>
    <w:rsid w:val="00892E82"/>
    <w:rsid w:val="00893E37"/>
    <w:rsid w:val="00894FC6"/>
    <w:rsid w:val="008B0A77"/>
    <w:rsid w:val="008B6B06"/>
    <w:rsid w:val="008C0D91"/>
    <w:rsid w:val="008C1B46"/>
    <w:rsid w:val="008C1B58"/>
    <w:rsid w:val="008C38FE"/>
    <w:rsid w:val="008C39AE"/>
    <w:rsid w:val="008C3DCD"/>
    <w:rsid w:val="008C49B6"/>
    <w:rsid w:val="008C590D"/>
    <w:rsid w:val="008C786F"/>
    <w:rsid w:val="008D009D"/>
    <w:rsid w:val="008D250B"/>
    <w:rsid w:val="008D4EA9"/>
    <w:rsid w:val="008E031B"/>
    <w:rsid w:val="008E0EEA"/>
    <w:rsid w:val="008E2388"/>
    <w:rsid w:val="008E4014"/>
    <w:rsid w:val="008E60E2"/>
    <w:rsid w:val="008E620C"/>
    <w:rsid w:val="008E7029"/>
    <w:rsid w:val="008E7EF6"/>
    <w:rsid w:val="008F04D6"/>
    <w:rsid w:val="008F1F98"/>
    <w:rsid w:val="008F5765"/>
    <w:rsid w:val="008F6758"/>
    <w:rsid w:val="00900900"/>
    <w:rsid w:val="00902A08"/>
    <w:rsid w:val="0090326F"/>
    <w:rsid w:val="009040DD"/>
    <w:rsid w:val="00905B47"/>
    <w:rsid w:val="00906F0A"/>
    <w:rsid w:val="0090711E"/>
    <w:rsid w:val="0091080D"/>
    <w:rsid w:val="0091331C"/>
    <w:rsid w:val="0091457E"/>
    <w:rsid w:val="00916945"/>
    <w:rsid w:val="009236CF"/>
    <w:rsid w:val="009240E8"/>
    <w:rsid w:val="00924BA0"/>
    <w:rsid w:val="009279DE"/>
    <w:rsid w:val="00930116"/>
    <w:rsid w:val="00933DC7"/>
    <w:rsid w:val="00935676"/>
    <w:rsid w:val="009363F2"/>
    <w:rsid w:val="0093742D"/>
    <w:rsid w:val="009375C7"/>
    <w:rsid w:val="00940FAC"/>
    <w:rsid w:val="00941421"/>
    <w:rsid w:val="0094212C"/>
    <w:rsid w:val="009421BE"/>
    <w:rsid w:val="00944733"/>
    <w:rsid w:val="00946042"/>
    <w:rsid w:val="009475C8"/>
    <w:rsid w:val="009504BC"/>
    <w:rsid w:val="009507F6"/>
    <w:rsid w:val="00951D89"/>
    <w:rsid w:val="009520CA"/>
    <w:rsid w:val="00953278"/>
    <w:rsid w:val="00954689"/>
    <w:rsid w:val="009562D4"/>
    <w:rsid w:val="009602EB"/>
    <w:rsid w:val="009617C9"/>
    <w:rsid w:val="00961C93"/>
    <w:rsid w:val="00963087"/>
    <w:rsid w:val="00965324"/>
    <w:rsid w:val="0097091E"/>
    <w:rsid w:val="0097312C"/>
    <w:rsid w:val="009760D3"/>
    <w:rsid w:val="00977132"/>
    <w:rsid w:val="00980089"/>
    <w:rsid w:val="00981A4B"/>
    <w:rsid w:val="0098238C"/>
    <w:rsid w:val="00982501"/>
    <w:rsid w:val="0098485C"/>
    <w:rsid w:val="00985D50"/>
    <w:rsid w:val="00987386"/>
    <w:rsid w:val="009877D3"/>
    <w:rsid w:val="00994AD9"/>
    <w:rsid w:val="00994E8F"/>
    <w:rsid w:val="009951DC"/>
    <w:rsid w:val="009959BB"/>
    <w:rsid w:val="00996669"/>
    <w:rsid w:val="00997158"/>
    <w:rsid w:val="009A01D6"/>
    <w:rsid w:val="009A3753"/>
    <w:rsid w:val="009A3A7C"/>
    <w:rsid w:val="009B2ADB"/>
    <w:rsid w:val="009B603A"/>
    <w:rsid w:val="009B6E06"/>
    <w:rsid w:val="009C0F68"/>
    <w:rsid w:val="009C2D0E"/>
    <w:rsid w:val="009C3DAC"/>
    <w:rsid w:val="009C42E0"/>
    <w:rsid w:val="009C4EEC"/>
    <w:rsid w:val="009C503A"/>
    <w:rsid w:val="009C5BD2"/>
    <w:rsid w:val="009C7913"/>
    <w:rsid w:val="009C7DCB"/>
    <w:rsid w:val="009D28B6"/>
    <w:rsid w:val="009D2B49"/>
    <w:rsid w:val="009D5362"/>
    <w:rsid w:val="009E09B4"/>
    <w:rsid w:val="009E1415"/>
    <w:rsid w:val="009E4174"/>
    <w:rsid w:val="009E4E89"/>
    <w:rsid w:val="009E5238"/>
    <w:rsid w:val="009E5754"/>
    <w:rsid w:val="009E6116"/>
    <w:rsid w:val="009E6A1B"/>
    <w:rsid w:val="009F11B8"/>
    <w:rsid w:val="009F1B15"/>
    <w:rsid w:val="009F2170"/>
    <w:rsid w:val="009F4C79"/>
    <w:rsid w:val="009F51BD"/>
    <w:rsid w:val="009F73D8"/>
    <w:rsid w:val="00A00B9D"/>
    <w:rsid w:val="00A0112A"/>
    <w:rsid w:val="00A02E43"/>
    <w:rsid w:val="00A065F9"/>
    <w:rsid w:val="00A07F34"/>
    <w:rsid w:val="00A132FB"/>
    <w:rsid w:val="00A15157"/>
    <w:rsid w:val="00A22154"/>
    <w:rsid w:val="00A24393"/>
    <w:rsid w:val="00A25C38"/>
    <w:rsid w:val="00A26308"/>
    <w:rsid w:val="00A26A96"/>
    <w:rsid w:val="00A27B20"/>
    <w:rsid w:val="00A31B85"/>
    <w:rsid w:val="00A34775"/>
    <w:rsid w:val="00A34D69"/>
    <w:rsid w:val="00A368A7"/>
    <w:rsid w:val="00A36BBE"/>
    <w:rsid w:val="00A41191"/>
    <w:rsid w:val="00A4307A"/>
    <w:rsid w:val="00A43097"/>
    <w:rsid w:val="00A47EBB"/>
    <w:rsid w:val="00A50675"/>
    <w:rsid w:val="00A51CDD"/>
    <w:rsid w:val="00A577E8"/>
    <w:rsid w:val="00A57CC7"/>
    <w:rsid w:val="00A6107E"/>
    <w:rsid w:val="00A6394B"/>
    <w:rsid w:val="00A6730D"/>
    <w:rsid w:val="00A6746D"/>
    <w:rsid w:val="00A711A2"/>
    <w:rsid w:val="00A71625"/>
    <w:rsid w:val="00A71B9B"/>
    <w:rsid w:val="00A74F83"/>
    <w:rsid w:val="00A751C7"/>
    <w:rsid w:val="00A828DE"/>
    <w:rsid w:val="00A828EA"/>
    <w:rsid w:val="00A87844"/>
    <w:rsid w:val="00A924A5"/>
    <w:rsid w:val="00A92ADF"/>
    <w:rsid w:val="00A94C41"/>
    <w:rsid w:val="00A97D1F"/>
    <w:rsid w:val="00AA038C"/>
    <w:rsid w:val="00AA1737"/>
    <w:rsid w:val="00AA56E2"/>
    <w:rsid w:val="00AA7A09"/>
    <w:rsid w:val="00AA7AD2"/>
    <w:rsid w:val="00AB2D90"/>
    <w:rsid w:val="00AB3B50"/>
    <w:rsid w:val="00AB3C6A"/>
    <w:rsid w:val="00AC05B1"/>
    <w:rsid w:val="00AC6E9C"/>
    <w:rsid w:val="00AC6F5A"/>
    <w:rsid w:val="00AD28AD"/>
    <w:rsid w:val="00AD2DFC"/>
    <w:rsid w:val="00AD356C"/>
    <w:rsid w:val="00AE2914"/>
    <w:rsid w:val="00AE35E5"/>
    <w:rsid w:val="00AE42A9"/>
    <w:rsid w:val="00AE6D15"/>
    <w:rsid w:val="00AE7BBA"/>
    <w:rsid w:val="00AF40A2"/>
    <w:rsid w:val="00AF4D12"/>
    <w:rsid w:val="00AF5E42"/>
    <w:rsid w:val="00B01D5B"/>
    <w:rsid w:val="00B01FF6"/>
    <w:rsid w:val="00B04182"/>
    <w:rsid w:val="00B07AE3"/>
    <w:rsid w:val="00B10F4F"/>
    <w:rsid w:val="00B11430"/>
    <w:rsid w:val="00B1209E"/>
    <w:rsid w:val="00B12D55"/>
    <w:rsid w:val="00B174A5"/>
    <w:rsid w:val="00B243D1"/>
    <w:rsid w:val="00B2575F"/>
    <w:rsid w:val="00B25987"/>
    <w:rsid w:val="00B3352A"/>
    <w:rsid w:val="00B34078"/>
    <w:rsid w:val="00B34238"/>
    <w:rsid w:val="00B34A96"/>
    <w:rsid w:val="00B353EB"/>
    <w:rsid w:val="00B42210"/>
    <w:rsid w:val="00B439C4"/>
    <w:rsid w:val="00B4535E"/>
    <w:rsid w:val="00B462D4"/>
    <w:rsid w:val="00B50D6E"/>
    <w:rsid w:val="00B52A8C"/>
    <w:rsid w:val="00B53C7E"/>
    <w:rsid w:val="00B54165"/>
    <w:rsid w:val="00B60A4D"/>
    <w:rsid w:val="00B61939"/>
    <w:rsid w:val="00B6239F"/>
    <w:rsid w:val="00B636A8"/>
    <w:rsid w:val="00B65085"/>
    <w:rsid w:val="00B651BB"/>
    <w:rsid w:val="00B665C6"/>
    <w:rsid w:val="00B66FA5"/>
    <w:rsid w:val="00B679EE"/>
    <w:rsid w:val="00B715A5"/>
    <w:rsid w:val="00B74AFC"/>
    <w:rsid w:val="00B74EB5"/>
    <w:rsid w:val="00B805AF"/>
    <w:rsid w:val="00B81B88"/>
    <w:rsid w:val="00B820F0"/>
    <w:rsid w:val="00B869EC"/>
    <w:rsid w:val="00B86D7D"/>
    <w:rsid w:val="00B9076F"/>
    <w:rsid w:val="00B9397A"/>
    <w:rsid w:val="00B95E90"/>
    <w:rsid w:val="00B9633D"/>
    <w:rsid w:val="00BA0330"/>
    <w:rsid w:val="00BA2EBE"/>
    <w:rsid w:val="00BA5F3B"/>
    <w:rsid w:val="00BA6E1A"/>
    <w:rsid w:val="00BA78BF"/>
    <w:rsid w:val="00BB0F28"/>
    <w:rsid w:val="00BB0F47"/>
    <w:rsid w:val="00BB41EA"/>
    <w:rsid w:val="00BB458A"/>
    <w:rsid w:val="00BC18E2"/>
    <w:rsid w:val="00BD00D3"/>
    <w:rsid w:val="00BD1659"/>
    <w:rsid w:val="00BD3AA9"/>
    <w:rsid w:val="00BD4A18"/>
    <w:rsid w:val="00BD6DB2"/>
    <w:rsid w:val="00BD7601"/>
    <w:rsid w:val="00BE042B"/>
    <w:rsid w:val="00BE11CF"/>
    <w:rsid w:val="00BE21AB"/>
    <w:rsid w:val="00BE2E40"/>
    <w:rsid w:val="00BE4E0E"/>
    <w:rsid w:val="00BE55CB"/>
    <w:rsid w:val="00BF356A"/>
    <w:rsid w:val="00BF49E8"/>
    <w:rsid w:val="00BF617A"/>
    <w:rsid w:val="00C0216D"/>
    <w:rsid w:val="00C0379D"/>
    <w:rsid w:val="00C03931"/>
    <w:rsid w:val="00C05FE3"/>
    <w:rsid w:val="00C13D45"/>
    <w:rsid w:val="00C14A56"/>
    <w:rsid w:val="00C174F4"/>
    <w:rsid w:val="00C2136D"/>
    <w:rsid w:val="00C214EE"/>
    <w:rsid w:val="00C22A06"/>
    <w:rsid w:val="00C2314B"/>
    <w:rsid w:val="00C233BE"/>
    <w:rsid w:val="00C23E4F"/>
    <w:rsid w:val="00C23EAB"/>
    <w:rsid w:val="00C24971"/>
    <w:rsid w:val="00C26BE5"/>
    <w:rsid w:val="00C26E4D"/>
    <w:rsid w:val="00C27909"/>
    <w:rsid w:val="00C27B03"/>
    <w:rsid w:val="00C3025F"/>
    <w:rsid w:val="00C314E1"/>
    <w:rsid w:val="00C31A79"/>
    <w:rsid w:val="00C32DD9"/>
    <w:rsid w:val="00C33EB7"/>
    <w:rsid w:val="00C3431D"/>
    <w:rsid w:val="00C34397"/>
    <w:rsid w:val="00C4095D"/>
    <w:rsid w:val="00C458E9"/>
    <w:rsid w:val="00C5005D"/>
    <w:rsid w:val="00C543C0"/>
    <w:rsid w:val="00C54EA9"/>
    <w:rsid w:val="00C55F2B"/>
    <w:rsid w:val="00C5655B"/>
    <w:rsid w:val="00C56DF0"/>
    <w:rsid w:val="00C601D2"/>
    <w:rsid w:val="00C613DE"/>
    <w:rsid w:val="00C61CA0"/>
    <w:rsid w:val="00C61E58"/>
    <w:rsid w:val="00C636F9"/>
    <w:rsid w:val="00C64E94"/>
    <w:rsid w:val="00C657AB"/>
    <w:rsid w:val="00C65BCC"/>
    <w:rsid w:val="00C66970"/>
    <w:rsid w:val="00C67E04"/>
    <w:rsid w:val="00C73757"/>
    <w:rsid w:val="00C73BC7"/>
    <w:rsid w:val="00C74BF3"/>
    <w:rsid w:val="00C778A9"/>
    <w:rsid w:val="00C77B57"/>
    <w:rsid w:val="00C80C16"/>
    <w:rsid w:val="00C8585D"/>
    <w:rsid w:val="00C8691C"/>
    <w:rsid w:val="00C86A9E"/>
    <w:rsid w:val="00C90606"/>
    <w:rsid w:val="00C95B40"/>
    <w:rsid w:val="00C966B8"/>
    <w:rsid w:val="00CA0E56"/>
    <w:rsid w:val="00CA168A"/>
    <w:rsid w:val="00CA357E"/>
    <w:rsid w:val="00CA3C12"/>
    <w:rsid w:val="00CA44F9"/>
    <w:rsid w:val="00CA4A69"/>
    <w:rsid w:val="00CA6444"/>
    <w:rsid w:val="00CB2D67"/>
    <w:rsid w:val="00CB40FD"/>
    <w:rsid w:val="00CC3E0C"/>
    <w:rsid w:val="00CC58D3"/>
    <w:rsid w:val="00CC784D"/>
    <w:rsid w:val="00CD2F47"/>
    <w:rsid w:val="00CD3B5B"/>
    <w:rsid w:val="00CE2006"/>
    <w:rsid w:val="00CE4C0A"/>
    <w:rsid w:val="00CE51F7"/>
    <w:rsid w:val="00CF15CF"/>
    <w:rsid w:val="00D0337B"/>
    <w:rsid w:val="00D04F64"/>
    <w:rsid w:val="00D05B87"/>
    <w:rsid w:val="00D079B2"/>
    <w:rsid w:val="00D114E9"/>
    <w:rsid w:val="00D11A67"/>
    <w:rsid w:val="00D11FDA"/>
    <w:rsid w:val="00D12894"/>
    <w:rsid w:val="00D12BEA"/>
    <w:rsid w:val="00D221F1"/>
    <w:rsid w:val="00D2393C"/>
    <w:rsid w:val="00D242F8"/>
    <w:rsid w:val="00D32C52"/>
    <w:rsid w:val="00D34245"/>
    <w:rsid w:val="00D34E6B"/>
    <w:rsid w:val="00D37A4C"/>
    <w:rsid w:val="00D414A3"/>
    <w:rsid w:val="00D41BB5"/>
    <w:rsid w:val="00D421DF"/>
    <w:rsid w:val="00D429C6"/>
    <w:rsid w:val="00D47748"/>
    <w:rsid w:val="00D51EBB"/>
    <w:rsid w:val="00D54CC3"/>
    <w:rsid w:val="00D567B0"/>
    <w:rsid w:val="00D6041A"/>
    <w:rsid w:val="00D633EB"/>
    <w:rsid w:val="00D71C2B"/>
    <w:rsid w:val="00D72991"/>
    <w:rsid w:val="00D72B18"/>
    <w:rsid w:val="00D76DDA"/>
    <w:rsid w:val="00D77237"/>
    <w:rsid w:val="00D81217"/>
    <w:rsid w:val="00D82FF7"/>
    <w:rsid w:val="00D83842"/>
    <w:rsid w:val="00D842DC"/>
    <w:rsid w:val="00D847FE"/>
    <w:rsid w:val="00D8583D"/>
    <w:rsid w:val="00D85F8E"/>
    <w:rsid w:val="00D86EC2"/>
    <w:rsid w:val="00D9561C"/>
    <w:rsid w:val="00D964EA"/>
    <w:rsid w:val="00D966D0"/>
    <w:rsid w:val="00D97DB6"/>
    <w:rsid w:val="00DA0C59"/>
    <w:rsid w:val="00DA3991"/>
    <w:rsid w:val="00DA43C3"/>
    <w:rsid w:val="00DA6358"/>
    <w:rsid w:val="00DB12DE"/>
    <w:rsid w:val="00DB5F1D"/>
    <w:rsid w:val="00DB72FF"/>
    <w:rsid w:val="00DB7566"/>
    <w:rsid w:val="00DB7E6C"/>
    <w:rsid w:val="00DC1267"/>
    <w:rsid w:val="00DC3B61"/>
    <w:rsid w:val="00DC6D7E"/>
    <w:rsid w:val="00DD09D2"/>
    <w:rsid w:val="00DD5A29"/>
    <w:rsid w:val="00DD5D9D"/>
    <w:rsid w:val="00DD6402"/>
    <w:rsid w:val="00DE0570"/>
    <w:rsid w:val="00DE1E8C"/>
    <w:rsid w:val="00DE35CB"/>
    <w:rsid w:val="00DE54C0"/>
    <w:rsid w:val="00DE5E0F"/>
    <w:rsid w:val="00DE611F"/>
    <w:rsid w:val="00DE6E45"/>
    <w:rsid w:val="00DF21E9"/>
    <w:rsid w:val="00DF3746"/>
    <w:rsid w:val="00DF3835"/>
    <w:rsid w:val="00DF45C6"/>
    <w:rsid w:val="00DF4689"/>
    <w:rsid w:val="00DF5466"/>
    <w:rsid w:val="00E00F14"/>
    <w:rsid w:val="00E014DB"/>
    <w:rsid w:val="00E01E2C"/>
    <w:rsid w:val="00E06386"/>
    <w:rsid w:val="00E06724"/>
    <w:rsid w:val="00E06A22"/>
    <w:rsid w:val="00E1006D"/>
    <w:rsid w:val="00E14DD6"/>
    <w:rsid w:val="00E246E4"/>
    <w:rsid w:val="00E24EB4"/>
    <w:rsid w:val="00E320ED"/>
    <w:rsid w:val="00E32DF6"/>
    <w:rsid w:val="00E33AFB"/>
    <w:rsid w:val="00E34218"/>
    <w:rsid w:val="00E36B6A"/>
    <w:rsid w:val="00E427A5"/>
    <w:rsid w:val="00E42989"/>
    <w:rsid w:val="00E440D1"/>
    <w:rsid w:val="00E46282"/>
    <w:rsid w:val="00E47E10"/>
    <w:rsid w:val="00E51468"/>
    <w:rsid w:val="00E5216E"/>
    <w:rsid w:val="00E54976"/>
    <w:rsid w:val="00E55461"/>
    <w:rsid w:val="00E57BBB"/>
    <w:rsid w:val="00E608D9"/>
    <w:rsid w:val="00E60B84"/>
    <w:rsid w:val="00E610C3"/>
    <w:rsid w:val="00E655A7"/>
    <w:rsid w:val="00E664FF"/>
    <w:rsid w:val="00E67760"/>
    <w:rsid w:val="00E70631"/>
    <w:rsid w:val="00E72A9E"/>
    <w:rsid w:val="00E74BE1"/>
    <w:rsid w:val="00E766A1"/>
    <w:rsid w:val="00E76C52"/>
    <w:rsid w:val="00E82344"/>
    <w:rsid w:val="00E84C82"/>
    <w:rsid w:val="00E84D64"/>
    <w:rsid w:val="00E86AF7"/>
    <w:rsid w:val="00E87408"/>
    <w:rsid w:val="00E914C4"/>
    <w:rsid w:val="00E934F5"/>
    <w:rsid w:val="00E96961"/>
    <w:rsid w:val="00EA009C"/>
    <w:rsid w:val="00EA72EC"/>
    <w:rsid w:val="00EB04E1"/>
    <w:rsid w:val="00EB11CB"/>
    <w:rsid w:val="00EB2612"/>
    <w:rsid w:val="00EB275A"/>
    <w:rsid w:val="00EB3E99"/>
    <w:rsid w:val="00EB786A"/>
    <w:rsid w:val="00EC1578"/>
    <w:rsid w:val="00EC1C72"/>
    <w:rsid w:val="00EC25C3"/>
    <w:rsid w:val="00EC2945"/>
    <w:rsid w:val="00EC3CC9"/>
    <w:rsid w:val="00EC55A5"/>
    <w:rsid w:val="00EC680A"/>
    <w:rsid w:val="00ED0130"/>
    <w:rsid w:val="00ED1196"/>
    <w:rsid w:val="00ED3BD7"/>
    <w:rsid w:val="00ED7AEE"/>
    <w:rsid w:val="00EE1BF1"/>
    <w:rsid w:val="00EE205B"/>
    <w:rsid w:val="00EE2BED"/>
    <w:rsid w:val="00EE3414"/>
    <w:rsid w:val="00EE374B"/>
    <w:rsid w:val="00EE475E"/>
    <w:rsid w:val="00EE4805"/>
    <w:rsid w:val="00EE59FB"/>
    <w:rsid w:val="00EF10F8"/>
    <w:rsid w:val="00EF58BA"/>
    <w:rsid w:val="00EF7629"/>
    <w:rsid w:val="00F01332"/>
    <w:rsid w:val="00F11BB5"/>
    <w:rsid w:val="00F1417B"/>
    <w:rsid w:val="00F1787C"/>
    <w:rsid w:val="00F20AA8"/>
    <w:rsid w:val="00F20F5F"/>
    <w:rsid w:val="00F3390A"/>
    <w:rsid w:val="00F34B99"/>
    <w:rsid w:val="00F363FC"/>
    <w:rsid w:val="00F37A7F"/>
    <w:rsid w:val="00F37F10"/>
    <w:rsid w:val="00F420F2"/>
    <w:rsid w:val="00F44F85"/>
    <w:rsid w:val="00F510E6"/>
    <w:rsid w:val="00F52DAB"/>
    <w:rsid w:val="00F53443"/>
    <w:rsid w:val="00F54196"/>
    <w:rsid w:val="00F543F0"/>
    <w:rsid w:val="00F55827"/>
    <w:rsid w:val="00F575F3"/>
    <w:rsid w:val="00F6373D"/>
    <w:rsid w:val="00F64C3D"/>
    <w:rsid w:val="00F7074B"/>
    <w:rsid w:val="00F70B03"/>
    <w:rsid w:val="00F72314"/>
    <w:rsid w:val="00F737AD"/>
    <w:rsid w:val="00F75807"/>
    <w:rsid w:val="00F81158"/>
    <w:rsid w:val="00F81D29"/>
    <w:rsid w:val="00F81D61"/>
    <w:rsid w:val="00F81DC8"/>
    <w:rsid w:val="00F90061"/>
    <w:rsid w:val="00F91C4D"/>
    <w:rsid w:val="00F91E00"/>
    <w:rsid w:val="00F92FD9"/>
    <w:rsid w:val="00F96BC5"/>
    <w:rsid w:val="00F976AD"/>
    <w:rsid w:val="00FA1947"/>
    <w:rsid w:val="00FA2541"/>
    <w:rsid w:val="00FA344F"/>
    <w:rsid w:val="00FA42EF"/>
    <w:rsid w:val="00FA4EF5"/>
    <w:rsid w:val="00FA6470"/>
    <w:rsid w:val="00FA6684"/>
    <w:rsid w:val="00FA6963"/>
    <w:rsid w:val="00FA705E"/>
    <w:rsid w:val="00FA731E"/>
    <w:rsid w:val="00FB0B66"/>
    <w:rsid w:val="00FB1366"/>
    <w:rsid w:val="00FB2B38"/>
    <w:rsid w:val="00FB3791"/>
    <w:rsid w:val="00FB6327"/>
    <w:rsid w:val="00FB653E"/>
    <w:rsid w:val="00FC6358"/>
    <w:rsid w:val="00FC6C90"/>
    <w:rsid w:val="00FD04BB"/>
    <w:rsid w:val="00FD066A"/>
    <w:rsid w:val="00FD1AD2"/>
    <w:rsid w:val="00FD320D"/>
    <w:rsid w:val="00FD570D"/>
    <w:rsid w:val="00FD717A"/>
    <w:rsid w:val="00FE05C6"/>
    <w:rsid w:val="00FE1498"/>
    <w:rsid w:val="00FE23DE"/>
    <w:rsid w:val="0A842761"/>
    <w:rsid w:val="0C68411F"/>
    <w:rsid w:val="0DD7773F"/>
    <w:rsid w:val="0E8D76BF"/>
    <w:rsid w:val="128A1009"/>
    <w:rsid w:val="1F3E57F5"/>
    <w:rsid w:val="215C14F1"/>
    <w:rsid w:val="24642242"/>
    <w:rsid w:val="2D30177A"/>
    <w:rsid w:val="2D5C161A"/>
    <w:rsid w:val="2E1C1A4E"/>
    <w:rsid w:val="377C712F"/>
    <w:rsid w:val="4DC024C2"/>
    <w:rsid w:val="51C508AC"/>
    <w:rsid w:val="521072A2"/>
    <w:rsid w:val="5AE12A2F"/>
    <w:rsid w:val="5F0A6D19"/>
    <w:rsid w:val="5F7B5377"/>
    <w:rsid w:val="6568477B"/>
    <w:rsid w:val="674B0307"/>
    <w:rsid w:val="677F2A18"/>
    <w:rsid w:val="68D52A0C"/>
    <w:rsid w:val="6E906FA7"/>
    <w:rsid w:val="799C7E72"/>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qFormat/>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0"/>
    <w:rPr>
      <w:color w:val="0000FF"/>
      <w:spacing w:val="0"/>
      <w:w w:val="100"/>
      <w:szCs w:val="21"/>
      <w:u w:val="single"/>
      <w:lang w:val="en-US" w:eastAsia="zh-CN"/>
    </w:rPr>
  </w:style>
  <w:style w:type="character" w:styleId="37">
    <w:name w:val="annotation reference"/>
    <w:basedOn w:val="33"/>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Char"/>
    <w:link w:val="17"/>
    <w:qFormat/>
    <w:locked/>
    <w:uiPriority w:val="99"/>
    <w:rPr>
      <w:kern w:val="2"/>
      <w:sz w:val="18"/>
      <w:szCs w:val="18"/>
    </w:rPr>
  </w:style>
  <w:style w:type="character" w:customStyle="1" w:styleId="42">
    <w:name w:val="批注框文本 Char"/>
    <w:link w:val="15"/>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qFormat/>
    <w:locked/>
    <w:uiPriority w:val="0"/>
    <w:rPr>
      <w:rFonts w:ascii="黑体" w:eastAsia="黑体"/>
      <w:sz w:val="21"/>
      <w:szCs w:val="21"/>
    </w:rPr>
  </w:style>
  <w:style w:type="paragraph" w:customStyle="1" w:styleId="47">
    <w:name w:val="一级条标题"/>
    <w:next w:val="22"/>
    <w:link w:val="4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qFormat/>
    <w:locked/>
    <w:uiPriority w:val="0"/>
    <w:rPr>
      <w:rFonts w:ascii="宋体"/>
      <w:sz w:val="21"/>
      <w:szCs w:val="21"/>
    </w:rPr>
  </w:style>
  <w:style w:type="paragraph" w:customStyle="1" w:styleId="49">
    <w:name w:val="二级无"/>
    <w:basedOn w:val="50"/>
    <w:link w:val="48"/>
    <w:qFormat/>
    <w:uiPriority w:val="0"/>
    <w:pPr>
      <w:spacing w:beforeLines="0" w:afterLines="0"/>
    </w:pPr>
    <w:rPr>
      <w:rFonts w:ascii="宋体" w:eastAsia="宋体"/>
    </w:rPr>
  </w:style>
  <w:style w:type="paragraph" w:customStyle="1" w:styleId="50">
    <w:name w:val="二级条标题"/>
    <w:basedOn w:val="47"/>
    <w:next w:val="22"/>
    <w:link w:val="145"/>
    <w:qFormat/>
    <w:uiPriority w:val="0"/>
    <w:pPr>
      <w:numPr>
        <w:ilvl w:val="2"/>
      </w:numPr>
      <w:spacing w:before="50" w:after="50"/>
      <w:outlineLvl w:val="3"/>
    </w:pPr>
  </w:style>
  <w:style w:type="character" w:customStyle="1" w:styleId="51">
    <w:name w:val="附录公式 Char"/>
    <w:basedOn w:val="39"/>
    <w:link w:val="52"/>
    <w:qFormat/>
    <w:uiPriority w:val="0"/>
    <w:rPr>
      <w:rFonts w:ascii="宋体"/>
      <w:sz w:val="21"/>
      <w:lang w:val="en-US" w:eastAsia="zh-CN" w:bidi="ar-SA"/>
    </w:rPr>
  </w:style>
  <w:style w:type="paragraph" w:customStyle="1" w:styleId="52">
    <w:name w:val="附录公式"/>
    <w:basedOn w:val="22"/>
    <w:next w:val="22"/>
    <w:link w:val="51"/>
    <w:qFormat/>
    <w:uiPriority w:val="0"/>
  </w:style>
  <w:style w:type="character" w:customStyle="1" w:styleId="53">
    <w:name w:val="页脚 Char"/>
    <w:link w:val="16"/>
    <w:qFormat/>
    <w:locked/>
    <w:uiPriority w:val="99"/>
    <w:rPr>
      <w:kern w:val="2"/>
      <w:sz w:val="18"/>
      <w:szCs w:val="18"/>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2"/>
    <w:link w:val="54"/>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wrap="around" w:vAnchor="page" w:hAnchor="text"/>
      <w:jc w:val="right"/>
    </w:pPr>
  </w:style>
  <w:style w:type="paragraph" w:customStyle="1" w:styleId="72">
    <w:name w:val="四级无"/>
    <w:basedOn w:val="73"/>
    <w:qFormat/>
    <w:uiPriority w:val="0"/>
    <w:pPr>
      <w:spacing w:beforeLines="0" w:afterLines="0"/>
    </w:pPr>
    <w:rPr>
      <w:rFonts w:ascii="宋体" w:eastAsia="宋体"/>
    </w:rPr>
  </w:style>
  <w:style w:type="paragraph" w:customStyle="1" w:styleId="73">
    <w:name w:val="四级条标题"/>
    <w:basedOn w:val="74"/>
    <w:next w:val="22"/>
    <w:qFormat/>
    <w:uiPriority w:val="0"/>
    <w:pPr>
      <w:outlineLvl w:val="5"/>
    </w:pPr>
  </w:style>
  <w:style w:type="paragraph" w:customStyle="1" w:styleId="74">
    <w:name w:val="三级条标题"/>
    <w:basedOn w:val="50"/>
    <w:next w:val="22"/>
    <w:qFormat/>
    <w:uiPriority w:val="0"/>
    <w:pPr>
      <w:numPr>
        <w:ilvl w:val="0"/>
        <w:numId w:val="0"/>
      </w:num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wrap="around"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qFormat/>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wrap="around"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numPr>
        <w:ilvl w:val="5"/>
      </w:num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qFormat/>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wrap="around"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wrap="around" w:y="4469"/>
    </w:pPr>
  </w:style>
  <w:style w:type="paragraph" w:customStyle="1" w:styleId="134">
    <w:name w:val="其他发布部门"/>
    <w:basedOn w:val="132"/>
    <w:qFormat/>
    <w:uiPriority w:val="0"/>
    <w:pPr>
      <w:framePr w:wrap="around" w:y="15310"/>
      <w:spacing w:line="0" w:lineRule="atLeast"/>
    </w:pPr>
    <w:rPr>
      <w:rFonts w:ascii="黑体" w:eastAsia="黑体"/>
      <w:b w:val="0"/>
    </w:rPr>
  </w:style>
  <w:style w:type="paragraph" w:customStyle="1" w:styleId="135">
    <w:name w:val="附录四级无"/>
    <w:basedOn w:val="86"/>
    <w:qFormat/>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qFormat/>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71"/>
    <w:qFormat/>
    <w:uiPriority w:val="99"/>
    <w:pPr>
      <w:framePr w:wrap="around"/>
    </w:pPr>
  </w:style>
  <w:style w:type="paragraph" w:customStyle="1" w:styleId="141">
    <w:name w:val="封面标准英文名称2"/>
    <w:basedOn w:val="67"/>
    <w:qFormat/>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qFormat/>
    <w:uiPriority w:val="0"/>
    <w:pPr>
      <w:adjustRightInd w:val="0"/>
      <w:spacing w:line="360" w:lineRule="auto"/>
    </w:pPr>
    <w:rPr>
      <w:kern w:val="0"/>
      <w:sz w:val="24"/>
      <w:szCs w:val="20"/>
    </w:rPr>
  </w:style>
  <w:style w:type="character" w:customStyle="1" w:styleId="145">
    <w:name w:val="二级条标题 Char"/>
    <w:link w:val="50"/>
    <w:qFormat/>
    <w:locked/>
    <w:uiPriority w:val="0"/>
    <w:rPr>
      <w:rFonts w:ascii="黑体" w:eastAsia="黑体"/>
      <w:sz w:val="21"/>
      <w:szCs w:val="21"/>
    </w:rPr>
  </w:style>
  <w:style w:type="character" w:customStyle="1" w:styleId="146">
    <w:name w:val="批注文字 Char"/>
    <w:basedOn w:val="33"/>
    <w:link w:val="7"/>
    <w:semiHidden/>
    <w:qFormat/>
    <w:uiPriority w:val="0"/>
    <w:rPr>
      <w:kern w:val="2"/>
      <w:sz w:val="21"/>
      <w:szCs w:val="24"/>
    </w:rPr>
  </w:style>
  <w:style w:type="character" w:customStyle="1" w:styleId="147">
    <w:name w:val="批注主题 Char"/>
    <w:basedOn w:val="146"/>
    <w:link w:val="30"/>
    <w:semiHidden/>
    <w:qFormat/>
    <w:uiPriority w:val="0"/>
    <w:rPr>
      <w:b/>
      <w:bCs/>
      <w:kern w:val="2"/>
      <w:sz w:val="21"/>
      <w:szCs w:val="24"/>
    </w:rPr>
  </w:style>
  <w:style w:type="paragraph" w:customStyle="1" w:styleId="148">
    <w:name w:val="Other|1"/>
    <w:basedOn w:val="1"/>
    <w:qFormat/>
    <w:uiPriority w:val="0"/>
    <w:pPr>
      <w:autoSpaceDE w:val="0"/>
      <w:autoSpaceDN w:val="0"/>
      <w:spacing w:line="334" w:lineRule="auto"/>
      <w:jc w:val="left"/>
    </w:pPr>
    <w:rPr>
      <w:rFonts w:ascii="宋体" w:hAnsi="宋体" w:cs="宋体"/>
      <w:kern w:val="0"/>
      <w:sz w:val="20"/>
      <w:szCs w:val="20"/>
      <w:lang w:val="zh-CN" w:bidi="zh-CN"/>
    </w:rPr>
  </w:style>
  <w:style w:type="paragraph" w:customStyle="1" w:styleId="149">
    <w:name w:val="Table Paragraph"/>
    <w:basedOn w:val="1"/>
    <w:autoRedefine/>
    <w:qFormat/>
    <w:uiPriority w:val="1"/>
    <w:pPr>
      <w:autoSpaceDE w:val="0"/>
      <w:autoSpaceDN w:val="0"/>
      <w:jc w:val="center"/>
    </w:pPr>
    <w:rPr>
      <w:rFonts w:ascii="宋体" w:hAnsi="宋体" w:cs="宋体"/>
      <w:kern w:val="0"/>
      <w:sz w:val="22"/>
      <w:szCs w:val="22"/>
      <w:lang w:val="zh-CN" w:bidi="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AF04A-B9E3-45E4-AE03-CA12CF290243}">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1557</Words>
  <Characters>2121</Characters>
  <Lines>17</Lines>
  <Paragraphs>4</Paragraphs>
  <TotalTime>0</TotalTime>
  <ScaleCrop>false</ScaleCrop>
  <LinksUpToDate>false</LinksUpToDate>
  <CharactersWithSpaces>2162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2024-11-27T05:37:00Z</dcterms:created>
  <dcterms:modified xsi:type="dcterms:W3CDTF">2024-12-02T02:11:01Z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E319A7108F71484BA98B011A6EDF1F33_12</vt:lpwstr>
  </property>
</Properties>
</file>