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6A18FF">
      <w:pPr>
        <w:pStyle w:val="97"/>
        <w:framePr w:w="0" w:hRule="auto" w:wrap="around" w:x="1590" w:y="2356"/>
        <w:rPr>
          <w:rFonts w:ascii="Times New Roman"/>
          <w:szCs w:val="48"/>
        </w:rPr>
      </w:pPr>
      <w:r>
        <w:rPr>
          <w:rFonts w:ascii="Times New Roman"/>
        </w:rPr>
        <w:t>团体标准</w:t>
      </w:r>
    </w:p>
    <w:p w14:paraId="3EAC8007">
      <w:pPr>
        <w:pStyle w:val="78"/>
        <w:framePr w:h="2001" w:hRule="exact" w:wrap="around"/>
        <w:pBdr>
          <w:bottom w:val="single" w:color="auto" w:sz="4" w:space="1"/>
        </w:pBdr>
        <w:wordWrap w:val="0"/>
        <w:rPr>
          <w:rFonts w:ascii="Times New Roman" w:eastAsia="宋体"/>
        </w:rPr>
      </w:pPr>
      <w:r>
        <w:rPr>
          <w:rFonts w:ascii="Times New Roman" w:eastAsia="宋体"/>
        </w:rPr>
        <w:t xml:space="preserve">T/SSEA </w:t>
      </w:r>
      <w:r>
        <w:rPr>
          <w:rFonts w:hint="eastAsia" w:ascii="Times New Roman" w:eastAsia="宋体"/>
        </w:rPr>
        <w:t>XXXX</w:t>
      </w:r>
      <w:r>
        <w:rPr>
          <w:rFonts w:ascii="Times New Roman" w:eastAsia="宋体"/>
        </w:rPr>
        <w:t>—202</w:t>
      </w:r>
      <w:r>
        <w:rPr>
          <w:rFonts w:hint="eastAsia" w:ascii="Times New Roman" w:eastAsia="宋体"/>
        </w:rPr>
        <w:t>4</w:t>
      </w:r>
    </w:p>
    <w:p w14:paraId="7AB86BA9">
      <w:pPr>
        <w:pStyle w:val="78"/>
        <w:framePr w:h="2001" w:hRule="exact" w:wrap="around"/>
        <w:pBdr>
          <w:bottom w:val="single" w:color="auto" w:sz="4" w:space="1"/>
        </w:pBdr>
        <w:wordWrap w:val="0"/>
        <w:rPr>
          <w:rFonts w:ascii="Times New Roman" w:eastAsia="宋体"/>
        </w:rPr>
      </w:pPr>
      <w:r>
        <w:rPr>
          <w:rFonts w:ascii="Times New Roman" w:eastAsia="宋体"/>
        </w:rPr>
        <w:t xml:space="preserve">T/CSTA </w:t>
      </w:r>
      <w:r>
        <w:rPr>
          <w:rFonts w:hint="eastAsia" w:ascii="Times New Roman" w:eastAsia="宋体"/>
        </w:rPr>
        <w:t>XXXX</w:t>
      </w:r>
      <w:r>
        <w:rPr>
          <w:rFonts w:ascii="Times New Roman" w:eastAsia="宋体"/>
        </w:rPr>
        <w:t>—202</w:t>
      </w:r>
      <w:r>
        <w:rPr>
          <w:rFonts w:hint="eastAsia" w:ascii="Times New Roman" w:eastAsia="宋体"/>
        </w:rPr>
        <w:t>4</w:t>
      </w:r>
    </w:p>
    <w:p w14:paraId="1007361F">
      <w:pPr>
        <w:pStyle w:val="78"/>
        <w:framePr w:h="2001" w:hRule="exact" w:wrap="around"/>
        <w:rPr>
          <w:rFonts w:ascii="Times New Roman" w:eastAsia="宋体"/>
        </w:rPr>
      </w:pPr>
    </w:p>
    <w:p w14:paraId="7FB40352">
      <w:pPr>
        <w:pStyle w:val="78"/>
        <w:framePr w:h="2001" w:hRule="exact" w:wrap="around"/>
        <w:rPr>
          <w:rFonts w:ascii="Times New Roman" w:eastAsia="宋体"/>
        </w:rPr>
      </w:pPr>
    </w:p>
    <w:p w14:paraId="2BBEB4B2">
      <w:pPr>
        <w:pStyle w:val="68"/>
        <w:framePr w:wrap="around" w:x="1142" w:y="5232"/>
        <w:rPr>
          <w:rFonts w:ascii="Times New Roman"/>
        </w:rPr>
      </w:pPr>
      <w:bookmarkStart w:id="27" w:name="_GoBack"/>
      <w:bookmarkEnd w:id="27"/>
      <w:r>
        <w:rPr>
          <w:rFonts w:ascii="Times New Roman"/>
        </w:rPr>
        <w:t>焊接气瓶用</w:t>
      </w:r>
      <w:r>
        <w:rPr>
          <w:rFonts w:hint="eastAsia" w:ascii="Times New Roman"/>
        </w:rPr>
        <w:t>热轧钢板及钢带</w:t>
      </w:r>
      <w:r>
        <w:rPr>
          <w:rFonts w:ascii="Times New Roman"/>
        </w:rPr>
        <w:t xml:space="preserve">                产品质量分级和评价方法</w:t>
      </w:r>
    </w:p>
    <w:p w14:paraId="4E26D06D">
      <w:pPr>
        <w:pStyle w:val="67"/>
        <w:framePr w:wrap="around" w:x="1142" w:y="5232"/>
      </w:pPr>
      <w:r>
        <w:t xml:space="preserve">Quality gradation and evaluation for </w:t>
      </w:r>
      <w:r>
        <w:rPr>
          <w:rFonts w:hint="eastAsia"/>
        </w:rPr>
        <w:t>h</w:t>
      </w:r>
      <w:r>
        <w:t xml:space="preserve">ot rolled steel plates and strips for welding gas cylinders </w:t>
      </w:r>
    </w:p>
    <w:p w14:paraId="4216D58A">
      <w:pPr>
        <w:pStyle w:val="66"/>
        <w:framePr w:wrap="around" w:x="1142" w:y="5232"/>
        <w:spacing w:before="156" w:after="156"/>
        <w:rPr>
          <w:rFonts w:ascii="Times New Roman"/>
        </w:rPr>
      </w:pPr>
    </w:p>
    <w:p w14:paraId="010AF736">
      <w:pPr>
        <w:pStyle w:val="109"/>
        <w:framePr w:wrap="around" w:hAnchor="page" w:x="1175" w:y="14086"/>
        <w:rPr>
          <w:rFonts w:eastAsia="宋体"/>
        </w:rPr>
      </w:pPr>
      <w:bookmarkStart w:id="0" w:name="FM"/>
      <w:r>
        <w:rPr>
          <w:rFonts w:eastAsia="宋体"/>
        </w:rPr>
        <w:t>XXXX-</w:t>
      </w:r>
      <w:bookmarkEnd w:id="0"/>
      <w:r>
        <w:rPr>
          <w:rFonts w:eastAsia="宋体"/>
        </w:rPr>
        <w:t>XX-XX</w:t>
      </w:r>
      <w:r>
        <w:t>发布</w:t>
      </w:r>
    </w:p>
    <w:p w14:paraId="1CBA918F">
      <w:pPr>
        <w:pStyle w:val="140"/>
        <w:framePr w:wrap="around" w:hAnchor="page" w:x="6661" w:y="14041"/>
      </w:pPr>
      <w:r>
        <w:rPr>
          <w:rFonts w:eastAsia="宋体"/>
        </w:rPr>
        <w:t>XXXX-XX-XX</w:t>
      </w:r>
      <w:r>
        <w:t>实施</w:t>
      </w:r>
    </w:p>
    <w:p w14:paraId="3C6EE49B">
      <w:pPr>
        <w:pStyle w:val="132"/>
        <w:framePr w:wrap="around" w:x="2156" w:y="15196"/>
        <w:rPr>
          <w:rFonts w:ascii="Times New Roman"/>
        </w:rPr>
      </w:pPr>
      <w:r>
        <w:rPr>
          <w:rFonts w:ascii="Times New Roman"/>
          <w:sz w:val="36"/>
          <w:szCs w:val="36"/>
        </w:rPr>
        <w:t>中国特钢企业协会</w:t>
      </w:r>
      <w:r>
        <w:rPr>
          <w:rFonts w:ascii="Times New Roman"/>
        </w:rPr>
        <w:t>发布</w:t>
      </w:r>
    </w:p>
    <w:p w14:paraId="0544E27F">
      <w:pPr>
        <w:pStyle w:val="22"/>
        <w:spacing w:line="340" w:lineRule="exact"/>
        <w:rPr>
          <w:rFonts w:ascii="Times New Roman"/>
          <w:kern w:val="2"/>
          <w:sz w:val="22"/>
          <w:szCs w:val="22"/>
        </w:rPr>
      </w:pPr>
      <w:r>
        <w:rPr>
          <w:rFonts w:ascii="Times New Roman"/>
        </w:rPr>
        <w:t>ICS</w:t>
      </w:r>
      <w:r>
        <w:rPr>
          <w:rFonts w:ascii="Times New Roman"/>
          <w:kern w:val="2"/>
          <w:sz w:val="22"/>
          <w:szCs w:val="22"/>
        </w:rPr>
        <w:t xml:space="preserve"> 77.140.50</w:t>
      </w:r>
    </w:p>
    <w:p w14:paraId="3EB1C534">
      <w:pPr>
        <w:pStyle w:val="22"/>
        <w:spacing w:line="340" w:lineRule="exact"/>
        <w:rPr>
          <w:rFonts w:ascii="Times New Roman"/>
        </w:rPr>
      </w:pPr>
      <w:r>
        <w:rPr>
          <w:rFonts w:ascii="Times New Roman"/>
        </w:rPr>
        <w:t>CCS H 46</w:t>
      </w:r>
    </w:p>
    <w:p w14:paraId="44E73608">
      <w:pPr>
        <w:pStyle w:val="22"/>
        <w:spacing w:line="340" w:lineRule="exact"/>
        <w:rPr>
          <w:rFonts w:ascii="Times New Roman"/>
        </w:rPr>
      </w:pPr>
    </w:p>
    <w:p w14:paraId="75109816">
      <w:pPr>
        <w:jc w:val="center"/>
        <w:rPr>
          <w:spacing w:val="20"/>
          <w:sz w:val="28"/>
          <w:szCs w:val="28"/>
        </w:rPr>
      </w:pPr>
    </w:p>
    <w:p w14:paraId="18A77343">
      <w:pPr>
        <w:jc w:val="center"/>
        <w:rPr>
          <w:spacing w:val="20"/>
          <w:sz w:val="28"/>
          <w:szCs w:val="28"/>
        </w:rPr>
      </w:pPr>
    </w:p>
    <w:p w14:paraId="6AFDA123">
      <w:pPr>
        <w:jc w:val="center"/>
        <w:rPr>
          <w:spacing w:val="20"/>
          <w:sz w:val="28"/>
          <w:szCs w:val="28"/>
        </w:rPr>
      </w:pPr>
      <w:r>
        <mc:AlternateContent>
          <mc:Choice Requires="wps">
            <w:drawing>
              <wp:anchor distT="0" distB="0" distL="114300" distR="114300" simplePos="0" relativeHeight="251659264" behindDoc="1" locked="0" layoutInCell="1" allowOverlap="1">
                <wp:simplePos x="0" y="0"/>
                <wp:positionH relativeFrom="column">
                  <wp:posOffset>-142875</wp:posOffset>
                </wp:positionH>
                <wp:positionV relativeFrom="paragraph">
                  <wp:posOffset>5876925</wp:posOffset>
                </wp:positionV>
                <wp:extent cx="5948680" cy="0"/>
                <wp:effectExtent l="0" t="0" r="33020" b="19050"/>
                <wp:wrapTight wrapText="bothSides">
                  <wp:wrapPolygon>
                    <wp:start x="0" y="-1"/>
                    <wp:lineTo x="0" y="-1"/>
                    <wp:lineTo x="21651" y="-1"/>
                    <wp:lineTo x="21651" y="-1"/>
                    <wp:lineTo x="0" y="-1"/>
                  </wp:wrapPolygon>
                </wp:wrapTight>
                <wp:docPr id="5" name="Line 8"/>
                <wp:cNvGraphicFramePr/>
                <a:graphic xmlns:a="http://schemas.openxmlformats.org/drawingml/2006/main">
                  <a:graphicData uri="http://schemas.microsoft.com/office/word/2010/wordprocessingShape">
                    <wps:wsp>
                      <wps:cNvCnPr>
                        <a:cxnSpLocks noChangeShapeType="1"/>
                      </wps:cNvCnPr>
                      <wps:spPr bwMode="auto">
                        <a:xfrm>
                          <a:off x="0" y="0"/>
                          <a:ext cx="5948680" cy="0"/>
                        </a:xfrm>
                        <a:prstGeom prst="line">
                          <a:avLst/>
                        </a:prstGeom>
                        <a:noFill/>
                        <a:ln w="9525">
                          <a:solidFill>
                            <a:srgbClr val="000000"/>
                          </a:solidFill>
                          <a:round/>
                        </a:ln>
                      </wps:spPr>
                      <wps:bodyPr/>
                    </wps:wsp>
                  </a:graphicData>
                </a:graphic>
              </wp:anchor>
            </w:drawing>
          </mc:Choice>
          <mc:Fallback>
            <w:pict>
              <v:line id="Line 8" o:spid="_x0000_s1026" o:spt="20" style="position:absolute;left:0pt;margin-left:-11.25pt;margin-top:462.75pt;height:0pt;width:468.4pt;mso-wrap-distance-left:9pt;mso-wrap-distance-right:9pt;z-index:-251657216;mso-width-relative:page;mso-height-relative:page;" filled="f" stroked="t" coordsize="21600,21600" wrapcoords="0 -1 0 -1 21651 -1 21651 -1 0 -1" o:gfxdata="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SlFkaNcAAAALAQAADwAAAAAAAAABACAAAAAiAAAAZHJzL2Rv&#10;d25yZXYueG1sUEsBAhQAFAAAAAgAh07iQDwK9SbJAQAAnwMAAA4AAAAAAAAAAQAgAAAAJgEAAGRy&#10;cy9lMm9Eb2MueG1sUEsFBgAAAAAGAAYAWQEAAGEFAAAAAA==&#10;">
                <v:fill on="f" focussize="0,0"/>
                <v:stroke color="#000000" joinstyle="round"/>
                <v:imagedata o:title=""/>
                <o:lock v:ext="edit" aspectratio="f"/>
                <w10:wrap type="tight"/>
              </v:line>
            </w:pict>
          </mc:Fallback>
        </mc:AlternateContent>
      </w:r>
    </w:p>
    <w:p w14:paraId="305198B0">
      <w:pPr>
        <w:jc w:val="center"/>
        <w:rPr>
          <w:b/>
          <w:sz w:val="32"/>
        </w:rPr>
        <w:sectPr>
          <w:headerReference r:id="rId3" w:type="default"/>
          <w:pgSz w:w="11906" w:h="16838"/>
          <w:pgMar w:top="1134" w:right="1134" w:bottom="1134" w:left="1418" w:header="851" w:footer="992" w:gutter="0"/>
          <w:pgNumType w:start="0"/>
          <w:cols w:space="720" w:num="1"/>
          <w:docGrid w:type="lines" w:linePitch="312" w:charSpace="0"/>
        </w:sectPr>
      </w:pPr>
    </w:p>
    <w:p w14:paraId="02D77CA5">
      <w:pPr>
        <w:keepNext/>
        <w:pageBreakBefore/>
        <w:widowControl/>
        <w:shd w:val="clear" w:color="FFFFFF" w:fill="FFFFFF"/>
        <w:spacing w:before="640" w:after="560"/>
        <w:jc w:val="center"/>
        <w:outlineLvl w:val="0"/>
        <w:rPr>
          <w:rFonts w:eastAsia="黑体"/>
          <w:kern w:val="0"/>
          <w:sz w:val="32"/>
          <w:szCs w:val="20"/>
        </w:rPr>
      </w:pPr>
      <w:bookmarkStart w:id="1" w:name="_Toc520380389"/>
    </w:p>
    <w:p w14:paraId="1FD58855">
      <w:pPr>
        <w:widowControl/>
        <w:tabs>
          <w:tab w:val="center" w:pos="4201"/>
          <w:tab w:val="right" w:leader="dot" w:pos="9298"/>
        </w:tabs>
        <w:autoSpaceDE w:val="0"/>
        <w:autoSpaceDN w:val="0"/>
        <w:ind w:firstLine="400" w:firstLineChars="200"/>
        <w:rPr>
          <w:kern w:val="0"/>
          <w:sz w:val="20"/>
          <w:szCs w:val="20"/>
        </w:rPr>
      </w:pPr>
    </w:p>
    <w:p w14:paraId="5DDBD5CF">
      <w:pPr>
        <w:widowControl/>
        <w:tabs>
          <w:tab w:val="center" w:pos="4201"/>
          <w:tab w:val="right" w:leader="dot" w:pos="9298"/>
        </w:tabs>
        <w:autoSpaceDE w:val="0"/>
        <w:autoSpaceDN w:val="0"/>
        <w:ind w:firstLine="400" w:firstLineChars="200"/>
        <w:rPr>
          <w:kern w:val="0"/>
          <w:sz w:val="20"/>
          <w:szCs w:val="20"/>
        </w:rPr>
      </w:pPr>
    </w:p>
    <w:p w14:paraId="55A64821">
      <w:pPr>
        <w:widowControl/>
        <w:tabs>
          <w:tab w:val="center" w:pos="4201"/>
          <w:tab w:val="right" w:leader="dot" w:pos="9298"/>
        </w:tabs>
        <w:autoSpaceDE w:val="0"/>
        <w:autoSpaceDN w:val="0"/>
        <w:ind w:firstLine="400" w:firstLineChars="200"/>
        <w:rPr>
          <w:kern w:val="0"/>
          <w:sz w:val="20"/>
          <w:szCs w:val="20"/>
        </w:rPr>
      </w:pPr>
    </w:p>
    <w:p w14:paraId="672A0356">
      <w:pPr>
        <w:widowControl/>
        <w:tabs>
          <w:tab w:val="center" w:pos="4201"/>
          <w:tab w:val="right" w:leader="dot" w:pos="9298"/>
        </w:tabs>
        <w:autoSpaceDE w:val="0"/>
        <w:autoSpaceDN w:val="0"/>
        <w:ind w:firstLine="400" w:firstLineChars="200"/>
        <w:rPr>
          <w:kern w:val="0"/>
          <w:sz w:val="20"/>
          <w:szCs w:val="20"/>
        </w:rPr>
      </w:pPr>
    </w:p>
    <w:p w14:paraId="51CEE2EB">
      <w:pPr>
        <w:widowControl/>
        <w:tabs>
          <w:tab w:val="center" w:pos="4201"/>
          <w:tab w:val="right" w:leader="dot" w:pos="9298"/>
        </w:tabs>
        <w:autoSpaceDE w:val="0"/>
        <w:autoSpaceDN w:val="0"/>
        <w:ind w:firstLine="400" w:firstLineChars="200"/>
        <w:rPr>
          <w:kern w:val="0"/>
          <w:sz w:val="20"/>
          <w:szCs w:val="20"/>
        </w:rPr>
      </w:pPr>
    </w:p>
    <w:p w14:paraId="08E421B3">
      <w:pPr>
        <w:widowControl/>
        <w:tabs>
          <w:tab w:val="center" w:pos="4201"/>
          <w:tab w:val="right" w:leader="dot" w:pos="9298"/>
        </w:tabs>
        <w:autoSpaceDE w:val="0"/>
        <w:autoSpaceDN w:val="0"/>
        <w:ind w:firstLine="400" w:firstLineChars="200"/>
        <w:rPr>
          <w:kern w:val="0"/>
          <w:sz w:val="20"/>
          <w:szCs w:val="20"/>
        </w:rPr>
      </w:pPr>
    </w:p>
    <w:p w14:paraId="32ED78B7">
      <w:pPr>
        <w:widowControl/>
        <w:tabs>
          <w:tab w:val="center" w:pos="4201"/>
          <w:tab w:val="right" w:leader="dot" w:pos="9298"/>
        </w:tabs>
        <w:autoSpaceDE w:val="0"/>
        <w:autoSpaceDN w:val="0"/>
        <w:ind w:firstLine="400" w:firstLineChars="200"/>
        <w:rPr>
          <w:kern w:val="0"/>
          <w:sz w:val="20"/>
          <w:szCs w:val="20"/>
        </w:rPr>
      </w:pPr>
    </w:p>
    <w:p w14:paraId="5B3CD028">
      <w:pPr>
        <w:widowControl/>
        <w:tabs>
          <w:tab w:val="center" w:pos="4201"/>
          <w:tab w:val="right" w:leader="dot" w:pos="9298"/>
        </w:tabs>
        <w:autoSpaceDE w:val="0"/>
        <w:autoSpaceDN w:val="0"/>
        <w:ind w:firstLine="400" w:firstLineChars="200"/>
        <w:rPr>
          <w:kern w:val="0"/>
          <w:sz w:val="20"/>
          <w:szCs w:val="20"/>
        </w:rPr>
      </w:pPr>
    </w:p>
    <w:p w14:paraId="470A79E7">
      <w:pPr>
        <w:widowControl/>
        <w:tabs>
          <w:tab w:val="center" w:pos="4201"/>
          <w:tab w:val="right" w:leader="dot" w:pos="9298"/>
        </w:tabs>
        <w:autoSpaceDE w:val="0"/>
        <w:autoSpaceDN w:val="0"/>
        <w:ind w:firstLine="400" w:firstLineChars="200"/>
        <w:rPr>
          <w:kern w:val="0"/>
          <w:sz w:val="20"/>
          <w:szCs w:val="20"/>
        </w:rPr>
      </w:pPr>
    </w:p>
    <w:p w14:paraId="77F377EB">
      <w:pPr>
        <w:widowControl/>
        <w:tabs>
          <w:tab w:val="center" w:pos="4201"/>
          <w:tab w:val="right" w:leader="dot" w:pos="9298"/>
        </w:tabs>
        <w:autoSpaceDE w:val="0"/>
        <w:autoSpaceDN w:val="0"/>
        <w:ind w:firstLine="400" w:firstLineChars="200"/>
        <w:rPr>
          <w:kern w:val="0"/>
          <w:sz w:val="20"/>
          <w:szCs w:val="20"/>
        </w:rPr>
      </w:pPr>
    </w:p>
    <w:p w14:paraId="524C6CE1">
      <w:pPr>
        <w:widowControl/>
        <w:tabs>
          <w:tab w:val="center" w:pos="4201"/>
          <w:tab w:val="right" w:leader="dot" w:pos="9298"/>
        </w:tabs>
        <w:autoSpaceDE w:val="0"/>
        <w:autoSpaceDN w:val="0"/>
        <w:ind w:firstLine="400" w:firstLineChars="200"/>
        <w:rPr>
          <w:kern w:val="0"/>
          <w:sz w:val="20"/>
          <w:szCs w:val="20"/>
        </w:rPr>
      </w:pPr>
    </w:p>
    <w:p w14:paraId="58F9CCFA">
      <w:pPr>
        <w:widowControl/>
        <w:tabs>
          <w:tab w:val="center" w:pos="4201"/>
          <w:tab w:val="right" w:leader="dot" w:pos="9298"/>
        </w:tabs>
        <w:autoSpaceDE w:val="0"/>
        <w:autoSpaceDN w:val="0"/>
        <w:ind w:firstLine="400" w:firstLineChars="200"/>
        <w:rPr>
          <w:kern w:val="0"/>
          <w:sz w:val="20"/>
          <w:szCs w:val="20"/>
        </w:rPr>
      </w:pPr>
    </w:p>
    <w:p w14:paraId="0239797A">
      <w:pPr>
        <w:widowControl/>
        <w:tabs>
          <w:tab w:val="center" w:pos="4201"/>
          <w:tab w:val="right" w:leader="dot" w:pos="9298"/>
        </w:tabs>
        <w:autoSpaceDE w:val="0"/>
        <w:autoSpaceDN w:val="0"/>
        <w:ind w:firstLine="400" w:firstLineChars="200"/>
        <w:rPr>
          <w:kern w:val="0"/>
          <w:sz w:val="20"/>
          <w:szCs w:val="20"/>
        </w:rPr>
      </w:pPr>
    </w:p>
    <w:p w14:paraId="71F5EAF3">
      <w:pPr>
        <w:widowControl/>
        <w:tabs>
          <w:tab w:val="center" w:pos="4201"/>
          <w:tab w:val="right" w:leader="dot" w:pos="9298"/>
        </w:tabs>
        <w:autoSpaceDE w:val="0"/>
        <w:autoSpaceDN w:val="0"/>
        <w:ind w:firstLine="400" w:firstLineChars="200"/>
        <w:rPr>
          <w:kern w:val="0"/>
          <w:sz w:val="20"/>
          <w:szCs w:val="20"/>
        </w:rPr>
      </w:pPr>
    </w:p>
    <w:p w14:paraId="02435DE0">
      <w:pPr>
        <w:widowControl/>
        <w:tabs>
          <w:tab w:val="center" w:pos="4201"/>
          <w:tab w:val="right" w:leader="dot" w:pos="9298"/>
        </w:tabs>
        <w:autoSpaceDE w:val="0"/>
        <w:autoSpaceDN w:val="0"/>
        <w:ind w:firstLine="400" w:firstLineChars="200"/>
        <w:rPr>
          <w:kern w:val="0"/>
          <w:sz w:val="20"/>
          <w:szCs w:val="20"/>
        </w:rPr>
      </w:pPr>
    </w:p>
    <w:p w14:paraId="6D750CA6">
      <w:pPr>
        <w:widowControl/>
        <w:tabs>
          <w:tab w:val="center" w:pos="4201"/>
          <w:tab w:val="right" w:leader="dot" w:pos="9298"/>
        </w:tabs>
        <w:autoSpaceDE w:val="0"/>
        <w:autoSpaceDN w:val="0"/>
        <w:ind w:firstLine="400" w:firstLineChars="200"/>
        <w:rPr>
          <w:kern w:val="0"/>
          <w:sz w:val="20"/>
          <w:szCs w:val="20"/>
        </w:rPr>
      </w:pPr>
    </w:p>
    <w:p w14:paraId="3E7337F0">
      <w:pPr>
        <w:widowControl/>
        <w:tabs>
          <w:tab w:val="center" w:pos="4201"/>
          <w:tab w:val="right" w:leader="dot" w:pos="9298"/>
        </w:tabs>
        <w:autoSpaceDE w:val="0"/>
        <w:autoSpaceDN w:val="0"/>
        <w:ind w:firstLine="400" w:firstLineChars="200"/>
        <w:rPr>
          <w:kern w:val="0"/>
          <w:sz w:val="20"/>
          <w:szCs w:val="20"/>
        </w:rPr>
      </w:pPr>
    </w:p>
    <w:p w14:paraId="6535D7DD">
      <w:pPr>
        <w:widowControl/>
        <w:tabs>
          <w:tab w:val="center" w:pos="4201"/>
          <w:tab w:val="right" w:leader="dot" w:pos="9298"/>
        </w:tabs>
        <w:autoSpaceDE w:val="0"/>
        <w:autoSpaceDN w:val="0"/>
        <w:ind w:firstLine="400" w:firstLineChars="200"/>
        <w:rPr>
          <w:kern w:val="0"/>
          <w:sz w:val="20"/>
          <w:szCs w:val="20"/>
        </w:rPr>
      </w:pPr>
    </w:p>
    <w:p w14:paraId="5DA725C8">
      <w:pPr>
        <w:widowControl/>
        <w:tabs>
          <w:tab w:val="center" w:pos="4201"/>
          <w:tab w:val="right" w:leader="dot" w:pos="9298"/>
        </w:tabs>
        <w:autoSpaceDE w:val="0"/>
        <w:autoSpaceDN w:val="0"/>
        <w:ind w:firstLine="400" w:firstLineChars="200"/>
        <w:rPr>
          <w:kern w:val="0"/>
          <w:sz w:val="20"/>
          <w:szCs w:val="20"/>
        </w:rPr>
      </w:pPr>
    </w:p>
    <w:p w14:paraId="70614418">
      <w:pPr>
        <w:widowControl/>
        <w:tabs>
          <w:tab w:val="center" w:pos="4201"/>
          <w:tab w:val="right" w:leader="dot" w:pos="9298"/>
        </w:tabs>
        <w:autoSpaceDE w:val="0"/>
        <w:autoSpaceDN w:val="0"/>
        <w:ind w:firstLine="400" w:firstLineChars="200"/>
        <w:rPr>
          <w:kern w:val="0"/>
          <w:sz w:val="20"/>
          <w:szCs w:val="20"/>
        </w:rPr>
      </w:pPr>
    </w:p>
    <w:p w14:paraId="5E7E2FC6">
      <w:pPr>
        <w:widowControl/>
        <w:tabs>
          <w:tab w:val="center" w:pos="4201"/>
          <w:tab w:val="right" w:leader="dot" w:pos="9298"/>
        </w:tabs>
        <w:autoSpaceDE w:val="0"/>
        <w:autoSpaceDN w:val="0"/>
        <w:ind w:firstLine="400" w:firstLineChars="200"/>
        <w:rPr>
          <w:kern w:val="0"/>
          <w:sz w:val="20"/>
          <w:szCs w:val="20"/>
        </w:rPr>
      </w:pPr>
    </w:p>
    <w:p w14:paraId="29FB9DDE">
      <w:pPr>
        <w:widowControl/>
        <w:tabs>
          <w:tab w:val="center" w:pos="4201"/>
          <w:tab w:val="right" w:leader="dot" w:pos="9298"/>
        </w:tabs>
        <w:autoSpaceDE w:val="0"/>
        <w:autoSpaceDN w:val="0"/>
        <w:ind w:firstLine="400" w:firstLineChars="200"/>
        <w:rPr>
          <w:kern w:val="0"/>
          <w:sz w:val="20"/>
          <w:szCs w:val="20"/>
        </w:rPr>
      </w:pPr>
    </w:p>
    <w:p w14:paraId="34E40672">
      <w:pPr>
        <w:widowControl/>
        <w:tabs>
          <w:tab w:val="center" w:pos="4201"/>
          <w:tab w:val="right" w:leader="dot" w:pos="9298"/>
        </w:tabs>
        <w:autoSpaceDE w:val="0"/>
        <w:autoSpaceDN w:val="0"/>
        <w:ind w:firstLine="400" w:firstLineChars="200"/>
        <w:rPr>
          <w:kern w:val="0"/>
          <w:sz w:val="20"/>
          <w:szCs w:val="20"/>
        </w:rPr>
      </w:pPr>
    </w:p>
    <w:p w14:paraId="2AD8111E">
      <w:pPr>
        <w:widowControl/>
        <w:tabs>
          <w:tab w:val="center" w:pos="4201"/>
          <w:tab w:val="right" w:leader="dot" w:pos="9298"/>
        </w:tabs>
        <w:autoSpaceDE w:val="0"/>
        <w:autoSpaceDN w:val="0"/>
        <w:ind w:firstLine="400" w:firstLineChars="200"/>
        <w:rPr>
          <w:kern w:val="0"/>
          <w:sz w:val="20"/>
          <w:szCs w:val="20"/>
        </w:rPr>
      </w:pPr>
    </w:p>
    <w:p w14:paraId="3E156D3D">
      <w:pPr>
        <w:widowControl/>
        <w:tabs>
          <w:tab w:val="center" w:pos="4201"/>
          <w:tab w:val="right" w:leader="dot" w:pos="9298"/>
        </w:tabs>
        <w:autoSpaceDE w:val="0"/>
        <w:autoSpaceDN w:val="0"/>
        <w:ind w:firstLine="400" w:firstLineChars="200"/>
        <w:rPr>
          <w:kern w:val="0"/>
          <w:sz w:val="20"/>
          <w:szCs w:val="20"/>
        </w:rPr>
      </w:pPr>
    </w:p>
    <w:p w14:paraId="570C7F9F">
      <w:pPr>
        <w:widowControl/>
        <w:tabs>
          <w:tab w:val="center" w:pos="4201"/>
          <w:tab w:val="right" w:leader="dot" w:pos="9298"/>
        </w:tabs>
        <w:autoSpaceDE w:val="0"/>
        <w:autoSpaceDN w:val="0"/>
        <w:ind w:firstLine="400" w:firstLineChars="200"/>
        <w:rPr>
          <w:kern w:val="0"/>
          <w:sz w:val="20"/>
          <w:szCs w:val="20"/>
        </w:rPr>
      </w:pPr>
    </w:p>
    <w:p w14:paraId="1588D506">
      <w:pPr>
        <w:rPr>
          <w:szCs w:val="21"/>
        </w:rPr>
      </w:pPr>
      <w:r>
        <w:rPr>
          <w:szCs w:val="21"/>
        </w:rPr>
        <w:drawing>
          <wp:inline distT="0" distB="0" distL="114300" distR="114300">
            <wp:extent cx="808990" cy="765175"/>
            <wp:effectExtent l="0" t="0" r="10160" b="1587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5"/>
                    <a:stretch>
                      <a:fillRect/>
                    </a:stretch>
                  </pic:blipFill>
                  <pic:spPr>
                    <a:xfrm>
                      <a:off x="0" y="0"/>
                      <a:ext cx="808990" cy="765175"/>
                    </a:xfrm>
                    <a:prstGeom prst="rect">
                      <a:avLst/>
                    </a:prstGeom>
                    <a:noFill/>
                    <a:ln>
                      <a:noFill/>
                    </a:ln>
                  </pic:spPr>
                </pic:pic>
              </a:graphicData>
            </a:graphic>
          </wp:inline>
        </w:drawing>
      </w:r>
      <w:r>
        <w:rPr>
          <w:szCs w:val="21"/>
        </w:rPr>
        <w:t xml:space="preserve"> 版权保护文件</w:t>
      </w:r>
    </w:p>
    <w:p w14:paraId="5524BD52">
      <w:pPr>
        <w:spacing w:before="156" w:beforeLines="50" w:after="156" w:afterLines="50"/>
        <w:rPr>
          <w:szCs w:val="21"/>
        </w:rPr>
        <w:sectPr>
          <w:headerReference r:id="rId4" w:type="default"/>
          <w:footerReference r:id="rId5" w:type="default"/>
          <w:pgSz w:w="11906" w:h="16838"/>
          <w:pgMar w:top="1440" w:right="1466" w:bottom="1440" w:left="1620" w:header="851" w:footer="992" w:gutter="0"/>
          <w:pgNumType w:fmt="upperRoman" w:start="1"/>
          <w:cols w:space="425" w:num="1"/>
          <w:docGrid w:type="lines" w:linePitch="312" w:charSpace="0"/>
        </w:sectPr>
      </w:pPr>
      <w:r>
        <w:rPr>
          <w:szCs w:val="21"/>
        </w:rPr>
        <w:t>版权所有归属于该标准的发布机构。除非有其他规定，否则未经许可，此发行物及其章节不得以其他形式或任何手段进行复制、再版或使用，包括电子版，影印件，或发布在互联网及内部网络等。使用许可可于发布机构获取。</w:t>
      </w:r>
    </w:p>
    <w:p w14:paraId="4F626F56">
      <w:pPr>
        <w:pStyle w:val="81"/>
        <w:rPr>
          <w:rFonts w:ascii="Times New Roman"/>
        </w:rPr>
      </w:pPr>
      <w:r>
        <w:rPr>
          <w:rFonts w:ascii="Times New Roman"/>
        </w:rPr>
        <w:t>前言</w:t>
      </w:r>
      <w:bookmarkEnd w:id="1"/>
    </w:p>
    <w:p w14:paraId="0E561A93">
      <w:pPr>
        <w:pStyle w:val="22"/>
        <w:rPr>
          <w:rFonts w:ascii="Times New Roman"/>
        </w:rPr>
      </w:pPr>
      <w:r>
        <w:rPr>
          <w:rFonts w:ascii="Times New Roman"/>
        </w:rPr>
        <w:t>本文件按照GB/T 1.1—2020《标准化工作导则  第1部分：标准化文件的结构和起草规则》的规定起草。</w:t>
      </w:r>
    </w:p>
    <w:p w14:paraId="18463533">
      <w:pPr>
        <w:pStyle w:val="22"/>
        <w:rPr>
          <w:rFonts w:ascii="Times New Roman"/>
        </w:rPr>
      </w:pPr>
      <w:r>
        <w:rPr>
          <w:rFonts w:ascii="Times New Roman"/>
        </w:rPr>
        <w:t>请注意本文件的某些内容可能涉及专利。本文件的发布机构不承担识别专利的责任。</w:t>
      </w:r>
    </w:p>
    <w:p w14:paraId="5873970E">
      <w:pPr>
        <w:pStyle w:val="22"/>
        <w:rPr>
          <w:rFonts w:ascii="Times New Roman"/>
        </w:rPr>
      </w:pPr>
      <w:r>
        <w:rPr>
          <w:rFonts w:ascii="Times New Roman"/>
        </w:rPr>
        <w:t>本文件由中国特钢企业协会团体标准化工作委员会提出并归口。</w:t>
      </w:r>
    </w:p>
    <w:p w14:paraId="6576D065">
      <w:pPr>
        <w:pStyle w:val="22"/>
        <w:rPr>
          <w:rFonts w:ascii="Times New Roman"/>
        </w:rPr>
      </w:pPr>
      <w:r>
        <w:rPr>
          <w:rFonts w:ascii="Times New Roman"/>
        </w:rPr>
        <w:t>本文件起草单位：</w:t>
      </w:r>
    </w:p>
    <w:p w14:paraId="1A25AA81">
      <w:pPr>
        <w:pStyle w:val="22"/>
        <w:rPr>
          <w:rFonts w:ascii="Times New Roman"/>
        </w:rPr>
      </w:pPr>
      <w:r>
        <w:rPr>
          <w:rFonts w:ascii="Times New Roman"/>
        </w:rPr>
        <w:t>本文件主要起草人：</w:t>
      </w:r>
    </w:p>
    <w:p w14:paraId="320ADB59">
      <w:pPr>
        <w:pStyle w:val="22"/>
        <w:rPr>
          <w:rFonts w:ascii="Times New Roman"/>
        </w:rPr>
      </w:pPr>
    </w:p>
    <w:p w14:paraId="658DBFEB">
      <w:pPr>
        <w:pStyle w:val="22"/>
        <w:rPr>
          <w:rFonts w:ascii="Times New Roman"/>
        </w:rPr>
      </w:pPr>
    </w:p>
    <w:p w14:paraId="15E450A8">
      <w:pPr>
        <w:ind w:firstLine="420" w:firstLineChars="200"/>
        <w:sectPr>
          <w:headerReference r:id="rId8" w:type="first"/>
          <w:footerReference r:id="rId11" w:type="first"/>
          <w:headerReference r:id="rId6" w:type="default"/>
          <w:footerReference r:id="rId9" w:type="default"/>
          <w:headerReference r:id="rId7" w:type="even"/>
          <w:footerReference r:id="rId10" w:type="even"/>
          <w:pgSz w:w="11906" w:h="16838"/>
          <w:pgMar w:top="567" w:right="1134" w:bottom="1134" w:left="1418" w:header="1418" w:footer="1134" w:gutter="0"/>
          <w:pgNumType w:fmt="upperRoman" w:start="1"/>
          <w:cols w:space="720" w:num="1"/>
          <w:formProt w:val="0"/>
          <w:docGrid w:type="lines" w:linePitch="312" w:charSpace="0"/>
        </w:sectPr>
      </w:pPr>
    </w:p>
    <w:p w14:paraId="04D74555">
      <w:pPr>
        <w:pStyle w:val="58"/>
        <w:spacing w:after="624" w:afterLines="200"/>
        <w:rPr>
          <w:rFonts w:ascii="Times New Roman"/>
        </w:rPr>
      </w:pPr>
      <w:r>
        <w:rPr>
          <w:rFonts w:ascii="Times New Roman"/>
        </w:rPr>
        <w:t>焊接气瓶用</w:t>
      </w:r>
      <w:r>
        <w:rPr>
          <w:rFonts w:hint="eastAsia" w:ascii="Times New Roman"/>
        </w:rPr>
        <w:t>热轧钢板及钢带</w:t>
      </w:r>
      <w:r>
        <w:rPr>
          <w:rFonts w:ascii="Times New Roman"/>
        </w:rPr>
        <w:t xml:space="preserve"> 产品质量分级和评价方法</w:t>
      </w:r>
    </w:p>
    <w:p w14:paraId="518B797D">
      <w:pPr>
        <w:pStyle w:val="45"/>
        <w:numPr>
          <w:ilvl w:val="0"/>
          <w:numId w:val="2"/>
        </w:numPr>
        <w:spacing w:before="312" w:after="312"/>
        <w:rPr>
          <w:rFonts w:ascii="Times New Roman"/>
        </w:rPr>
      </w:pPr>
      <w:bookmarkStart w:id="2" w:name="_Toc499733966"/>
      <w:bookmarkStart w:id="3" w:name="_Toc499730568"/>
      <w:bookmarkStart w:id="4" w:name="_Toc512093859"/>
      <w:bookmarkStart w:id="5" w:name="_Toc63427522"/>
      <w:bookmarkStart w:id="6" w:name="_Toc499735462"/>
      <w:r>
        <w:rPr>
          <w:rFonts w:ascii="Times New Roman"/>
        </w:rPr>
        <w:t>范围</w:t>
      </w:r>
      <w:bookmarkEnd w:id="2"/>
      <w:bookmarkEnd w:id="3"/>
      <w:bookmarkEnd w:id="4"/>
      <w:bookmarkEnd w:id="5"/>
      <w:bookmarkEnd w:id="6"/>
    </w:p>
    <w:p w14:paraId="6EC07F4F">
      <w:pPr>
        <w:pStyle w:val="22"/>
        <w:rPr>
          <w:rFonts w:ascii="Times New Roman"/>
        </w:rPr>
      </w:pPr>
      <w:r>
        <w:rPr>
          <w:rFonts w:ascii="Times New Roman"/>
        </w:rPr>
        <w:t>本文件规定了焊接气瓶用</w:t>
      </w:r>
      <w:r>
        <w:rPr>
          <w:rFonts w:hint="eastAsia" w:ascii="Times New Roman"/>
        </w:rPr>
        <w:t>热轧钢板及钢带</w:t>
      </w:r>
      <w:r>
        <w:rPr>
          <w:rFonts w:ascii="Times New Roman"/>
        </w:rPr>
        <w:t>产品质量分级评价的的评价指标体系、评价方法以及等级标识。</w:t>
      </w:r>
    </w:p>
    <w:p w14:paraId="69E0DDCD">
      <w:pPr>
        <w:pStyle w:val="22"/>
        <w:rPr>
          <w:rFonts w:ascii="Times New Roman"/>
        </w:rPr>
      </w:pPr>
      <w:r>
        <w:rPr>
          <w:rFonts w:ascii="Times New Roman"/>
        </w:rPr>
        <w:t>本文件适用于焊接气瓶用</w:t>
      </w:r>
      <w:r>
        <w:rPr>
          <w:rFonts w:hint="eastAsia" w:ascii="Times New Roman"/>
        </w:rPr>
        <w:t>热轧钢板及钢带</w:t>
      </w:r>
      <w:r>
        <w:rPr>
          <w:rFonts w:ascii="Times New Roman"/>
        </w:rPr>
        <w:t>（以下简称钢板</w:t>
      </w:r>
      <w:r>
        <w:rPr>
          <w:rFonts w:hint="eastAsia" w:ascii="Times New Roman"/>
        </w:rPr>
        <w:t>及</w:t>
      </w:r>
      <w:r>
        <w:rPr>
          <w:rFonts w:ascii="Times New Roman"/>
        </w:rPr>
        <w:t>钢带）产品的质量分级和评价。</w:t>
      </w:r>
    </w:p>
    <w:p w14:paraId="72A9F516">
      <w:pPr>
        <w:pStyle w:val="45"/>
        <w:numPr>
          <w:ilvl w:val="0"/>
          <w:numId w:val="2"/>
        </w:numPr>
        <w:spacing w:before="312" w:after="312"/>
        <w:rPr>
          <w:rFonts w:ascii="Times New Roman"/>
        </w:rPr>
      </w:pPr>
      <w:bookmarkStart w:id="7" w:name="_Toc499735463"/>
      <w:bookmarkStart w:id="8" w:name="_Toc499730569"/>
      <w:bookmarkStart w:id="9" w:name="_Toc63427523"/>
      <w:bookmarkStart w:id="10" w:name="_Toc499733967"/>
      <w:bookmarkStart w:id="11" w:name="_Toc512093860"/>
      <w:r>
        <w:rPr>
          <w:rFonts w:ascii="Times New Roman"/>
        </w:rPr>
        <w:t>规范性引用文件</w:t>
      </w:r>
      <w:bookmarkEnd w:id="7"/>
      <w:bookmarkEnd w:id="8"/>
      <w:bookmarkEnd w:id="9"/>
      <w:bookmarkEnd w:id="10"/>
      <w:bookmarkEnd w:id="11"/>
    </w:p>
    <w:p w14:paraId="7D2C313E">
      <w:pPr>
        <w:pStyle w:val="22"/>
        <w:rPr>
          <w:rFonts w:ascii="Times New Roman"/>
        </w:rPr>
      </w:pPr>
      <w:r>
        <w:rPr>
          <w:rFonts w:ascii="Times New Roman"/>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385689BB">
      <w:pPr>
        <w:ind w:firstLine="420" w:firstLineChars="200"/>
        <w:rPr>
          <w:rFonts w:eastAsiaTheme="minorEastAsia"/>
        </w:rPr>
      </w:pPr>
      <w:r>
        <w:rPr>
          <w:rFonts w:eastAsiaTheme="minorEastAsia"/>
        </w:rPr>
        <w:t>GB/T 709—2019  热轧钢板和钢带的尺寸、外形、重量及允许偏差</w:t>
      </w:r>
    </w:p>
    <w:p w14:paraId="6AEEA598">
      <w:pPr>
        <w:ind w:firstLine="420" w:firstLineChars="200"/>
        <w:rPr>
          <w:rFonts w:eastAsiaTheme="minorEastAsia"/>
        </w:rPr>
      </w:pPr>
      <w:r>
        <w:rPr>
          <w:rFonts w:eastAsiaTheme="minorEastAsia"/>
        </w:rPr>
        <w:t>GB/T 6653  焊接气瓶用钢板和钢带</w:t>
      </w:r>
    </w:p>
    <w:p w14:paraId="6053B02D">
      <w:pPr>
        <w:pStyle w:val="22"/>
        <w:rPr>
          <w:rFonts w:ascii="Times New Roman"/>
        </w:rPr>
      </w:pPr>
      <w:r>
        <w:rPr>
          <w:rFonts w:ascii="Times New Roman"/>
        </w:rPr>
        <w:t>GB/T 19001  质量管理体系  要求</w:t>
      </w:r>
    </w:p>
    <w:p w14:paraId="190D7592">
      <w:pPr>
        <w:pStyle w:val="45"/>
        <w:numPr>
          <w:ilvl w:val="0"/>
          <w:numId w:val="2"/>
        </w:numPr>
        <w:spacing w:before="312" w:after="312"/>
        <w:rPr>
          <w:rFonts w:ascii="Times New Roman"/>
        </w:rPr>
      </w:pPr>
      <w:bookmarkStart w:id="12" w:name="_Toc499730570"/>
      <w:bookmarkEnd w:id="12"/>
      <w:bookmarkStart w:id="13" w:name="_Toc63427524"/>
      <w:r>
        <w:rPr>
          <w:rFonts w:ascii="Times New Roman"/>
        </w:rPr>
        <w:t>术语和定义</w:t>
      </w:r>
      <w:bookmarkEnd w:id="13"/>
    </w:p>
    <w:p w14:paraId="3464294C">
      <w:pPr>
        <w:pStyle w:val="22"/>
        <w:rPr>
          <w:rFonts w:ascii="Times New Roman"/>
        </w:rPr>
      </w:pPr>
      <w:r>
        <w:rPr>
          <w:rFonts w:ascii="Times New Roman"/>
        </w:rPr>
        <w:t>本文件没有需要界定的术语和定义。</w:t>
      </w:r>
    </w:p>
    <w:p w14:paraId="0191187D">
      <w:pPr>
        <w:pStyle w:val="45"/>
        <w:numPr>
          <w:ilvl w:val="0"/>
          <w:numId w:val="2"/>
        </w:numPr>
        <w:spacing w:before="312" w:after="312"/>
        <w:rPr>
          <w:rFonts w:ascii="Times New Roman"/>
        </w:rPr>
      </w:pPr>
      <w:r>
        <w:rPr>
          <w:rFonts w:ascii="Times New Roman"/>
        </w:rPr>
        <w:t>评价指标体系</w:t>
      </w:r>
    </w:p>
    <w:p w14:paraId="366518A7">
      <w:pPr>
        <w:pStyle w:val="47"/>
        <w:spacing w:before="156" w:after="156"/>
        <w:ind w:left="0"/>
        <w:jc w:val="both"/>
        <w:rPr>
          <w:rFonts w:ascii="Times New Roman"/>
        </w:rPr>
      </w:pPr>
      <w:bookmarkStart w:id="14" w:name="_Toc496267158"/>
      <w:bookmarkStart w:id="15" w:name="_Toc512093863"/>
      <w:bookmarkStart w:id="16" w:name="_Toc499733970"/>
      <w:bookmarkStart w:id="17" w:name="_Toc499735466"/>
      <w:r>
        <w:rPr>
          <w:rFonts w:ascii="Times New Roman"/>
        </w:rPr>
        <w:t>基本要求</w:t>
      </w:r>
    </w:p>
    <w:p w14:paraId="5F6F7CB5">
      <w:pPr>
        <w:pStyle w:val="50"/>
        <w:spacing w:before="156" w:after="156"/>
        <w:rPr>
          <w:rFonts w:ascii="Times New Roman" w:eastAsia="宋体"/>
        </w:rPr>
      </w:pPr>
      <w:r>
        <w:rPr>
          <w:rFonts w:ascii="Times New Roman" w:eastAsia="宋体"/>
        </w:rPr>
        <w:t>钢板</w:t>
      </w:r>
      <w:r>
        <w:rPr>
          <w:rFonts w:hint="eastAsia" w:ascii="Times New Roman" w:eastAsia="宋体"/>
        </w:rPr>
        <w:t>及</w:t>
      </w:r>
      <w:r>
        <w:rPr>
          <w:rFonts w:ascii="Times New Roman" w:eastAsia="宋体"/>
        </w:rPr>
        <w:t>钢带生产企业生产产品应至少满两年。钢板</w:t>
      </w:r>
      <w:r>
        <w:rPr>
          <w:rFonts w:hint="eastAsia" w:ascii="Times New Roman" w:eastAsia="宋体"/>
        </w:rPr>
        <w:t>及</w:t>
      </w:r>
      <w:r>
        <w:rPr>
          <w:rFonts w:ascii="Times New Roman" w:eastAsia="宋体"/>
        </w:rPr>
        <w:t>钢带产品质量应满足GB/T 6653及相关规范的要求。</w:t>
      </w:r>
    </w:p>
    <w:p w14:paraId="53102057">
      <w:pPr>
        <w:pStyle w:val="50"/>
        <w:spacing w:before="156" w:after="156"/>
        <w:rPr>
          <w:rFonts w:ascii="Times New Roman" w:eastAsia="宋体"/>
        </w:rPr>
      </w:pPr>
      <w:r>
        <w:rPr>
          <w:rFonts w:ascii="Times New Roman" w:eastAsia="宋体"/>
        </w:rPr>
        <w:t>钢板</w:t>
      </w:r>
      <w:r>
        <w:rPr>
          <w:rFonts w:hint="eastAsia" w:ascii="Times New Roman" w:eastAsia="宋体"/>
        </w:rPr>
        <w:t>及</w:t>
      </w:r>
      <w:r>
        <w:rPr>
          <w:rFonts w:ascii="Times New Roman" w:eastAsia="宋体"/>
        </w:rPr>
        <w:t>钢带生产企业开展评价前两年内未发生重大产品质量事故。</w:t>
      </w:r>
    </w:p>
    <w:p w14:paraId="2CB59BB9">
      <w:pPr>
        <w:pStyle w:val="50"/>
        <w:spacing w:before="156" w:after="156"/>
        <w:rPr>
          <w:rFonts w:ascii="Times New Roman" w:eastAsia="宋体"/>
        </w:rPr>
      </w:pPr>
      <w:r>
        <w:rPr>
          <w:rFonts w:ascii="Times New Roman" w:eastAsia="宋体"/>
        </w:rPr>
        <w:t>钢板</w:t>
      </w:r>
      <w:r>
        <w:rPr>
          <w:rFonts w:hint="eastAsia" w:ascii="Times New Roman" w:eastAsia="宋体"/>
        </w:rPr>
        <w:t>及</w:t>
      </w:r>
      <w:r>
        <w:rPr>
          <w:rFonts w:ascii="Times New Roman" w:eastAsia="宋体"/>
        </w:rPr>
        <w:t>钢带生产企业应未列入国家信用信息严重失信主体相关名录。</w:t>
      </w:r>
    </w:p>
    <w:p w14:paraId="4E23D42F">
      <w:pPr>
        <w:pStyle w:val="50"/>
        <w:spacing w:before="156" w:after="156"/>
        <w:rPr>
          <w:rFonts w:ascii="Times New Roman" w:eastAsia="宋体"/>
        </w:rPr>
      </w:pPr>
      <w:r>
        <w:rPr>
          <w:rFonts w:ascii="Times New Roman" w:eastAsia="宋体"/>
        </w:rPr>
        <w:t>钢板</w:t>
      </w:r>
      <w:r>
        <w:rPr>
          <w:rFonts w:hint="eastAsia" w:ascii="Times New Roman" w:eastAsia="宋体"/>
        </w:rPr>
        <w:t>及</w:t>
      </w:r>
      <w:r>
        <w:rPr>
          <w:rFonts w:ascii="Times New Roman" w:eastAsia="宋体"/>
        </w:rPr>
        <w:t>钢带生产企业应根据GB/T 19001建立并运行相应质量管理体系。钢板</w:t>
      </w:r>
      <w:r>
        <w:rPr>
          <w:rFonts w:hint="eastAsia" w:ascii="Times New Roman" w:eastAsia="宋体"/>
        </w:rPr>
        <w:t>及</w:t>
      </w:r>
      <w:r>
        <w:rPr>
          <w:rFonts w:ascii="Times New Roman" w:eastAsia="宋体"/>
        </w:rPr>
        <w:t>钢带生产企业应具有钢板产品过程监控体系，具有相应的化学成分、力学性能及相关检化验设备设施。</w:t>
      </w:r>
    </w:p>
    <w:p w14:paraId="4F8FEFF5">
      <w:pPr>
        <w:pStyle w:val="47"/>
        <w:spacing w:before="156" w:after="156"/>
        <w:ind w:left="0"/>
        <w:jc w:val="both"/>
        <w:rPr>
          <w:rFonts w:ascii="Times New Roman"/>
        </w:rPr>
      </w:pPr>
      <w:r>
        <w:rPr>
          <w:rFonts w:ascii="Times New Roman"/>
        </w:rPr>
        <w:t>评价指标分类及要求</w:t>
      </w:r>
    </w:p>
    <w:p w14:paraId="5FF55E85">
      <w:pPr>
        <w:pStyle w:val="22"/>
        <w:rPr>
          <w:rFonts w:ascii="Times New Roman"/>
        </w:rPr>
      </w:pPr>
      <w:r>
        <w:rPr>
          <w:rFonts w:ascii="Times New Roman"/>
        </w:rPr>
        <w:t>钢板</w:t>
      </w:r>
      <w:r>
        <w:rPr>
          <w:rFonts w:hint="eastAsia" w:ascii="Times New Roman"/>
        </w:rPr>
        <w:t>及</w:t>
      </w:r>
      <w:r>
        <w:rPr>
          <w:rFonts w:ascii="Times New Roman"/>
        </w:rPr>
        <w:t>钢带质量等级根据尺寸外形、化学成分、力学性能等技术指标，分为特优级、优质级、一般级。钢板</w:t>
      </w:r>
      <w:r>
        <w:rPr>
          <w:rFonts w:hint="eastAsia" w:ascii="Times New Roman"/>
        </w:rPr>
        <w:t>及</w:t>
      </w:r>
      <w:r>
        <w:rPr>
          <w:rFonts w:ascii="Times New Roman"/>
        </w:rPr>
        <w:t>钢带产品质量分级见表1。</w:t>
      </w:r>
    </w:p>
    <w:p w14:paraId="63381052">
      <w:pPr>
        <w:pStyle w:val="77"/>
        <w:spacing w:before="156" w:after="156"/>
        <w:ind w:left="0"/>
        <w:rPr>
          <w:rFonts w:ascii="Times New Roman"/>
        </w:rPr>
      </w:pPr>
      <w:r>
        <w:rPr>
          <w:rFonts w:ascii="Times New Roman"/>
        </w:rPr>
        <w:t>钢板</w:t>
      </w:r>
      <w:r>
        <w:rPr>
          <w:rFonts w:hint="eastAsia" w:ascii="Times New Roman"/>
        </w:rPr>
        <w:t>及</w:t>
      </w:r>
      <w:r>
        <w:rPr>
          <w:rFonts w:ascii="Times New Roman"/>
        </w:rPr>
        <w:t>钢带产品质量分级</w:t>
      </w:r>
    </w:p>
    <w:tbl>
      <w:tblPr>
        <w:tblStyle w:val="31"/>
        <w:tblW w:w="49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9"/>
        <w:gridCol w:w="1745"/>
        <w:gridCol w:w="2179"/>
        <w:gridCol w:w="2350"/>
        <w:gridCol w:w="2275"/>
      </w:tblGrid>
      <w:tr w14:paraId="033AF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41" w:type="pct"/>
            <w:gridSpan w:val="2"/>
            <w:vMerge w:val="restart"/>
            <w:tcBorders>
              <w:tl2br w:val="nil"/>
              <w:tr2bl w:val="nil"/>
            </w:tcBorders>
            <w:shd w:val="clear" w:color="auto" w:fill="auto"/>
            <w:vAlign w:val="center"/>
          </w:tcPr>
          <w:p w14:paraId="78D70B3A">
            <w:pPr>
              <w:adjustRightInd w:val="0"/>
              <w:snapToGrid w:val="0"/>
              <w:jc w:val="center"/>
              <w:rPr>
                <w:sz w:val="18"/>
                <w:szCs w:val="18"/>
              </w:rPr>
            </w:pPr>
            <w:r>
              <w:rPr>
                <w:sz w:val="18"/>
                <w:szCs w:val="18"/>
              </w:rPr>
              <w:t>质量要求</w:t>
            </w:r>
          </w:p>
        </w:tc>
        <w:tc>
          <w:tcPr>
            <w:tcW w:w="3559" w:type="pct"/>
            <w:gridSpan w:val="3"/>
            <w:tcBorders>
              <w:tl2br w:val="nil"/>
              <w:tr2bl w:val="nil"/>
            </w:tcBorders>
            <w:shd w:val="clear" w:color="auto" w:fill="auto"/>
            <w:vAlign w:val="center"/>
          </w:tcPr>
          <w:p w14:paraId="6CD6B06C">
            <w:pPr>
              <w:adjustRightInd w:val="0"/>
              <w:snapToGrid w:val="0"/>
              <w:jc w:val="center"/>
              <w:rPr>
                <w:sz w:val="18"/>
                <w:szCs w:val="18"/>
              </w:rPr>
            </w:pPr>
            <w:r>
              <w:rPr>
                <w:sz w:val="18"/>
                <w:szCs w:val="18"/>
              </w:rPr>
              <w:t>质量等级</w:t>
            </w:r>
          </w:p>
        </w:tc>
      </w:tr>
      <w:tr w14:paraId="0E38D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41" w:type="pct"/>
            <w:gridSpan w:val="2"/>
            <w:vMerge w:val="continue"/>
            <w:tcBorders>
              <w:tl2br w:val="nil"/>
              <w:tr2bl w:val="nil"/>
            </w:tcBorders>
            <w:shd w:val="clear" w:color="auto" w:fill="auto"/>
            <w:vAlign w:val="center"/>
          </w:tcPr>
          <w:p w14:paraId="09525591">
            <w:pPr>
              <w:adjustRightInd w:val="0"/>
              <w:snapToGrid w:val="0"/>
              <w:jc w:val="center"/>
              <w:rPr>
                <w:sz w:val="18"/>
                <w:szCs w:val="18"/>
              </w:rPr>
            </w:pPr>
          </w:p>
        </w:tc>
        <w:tc>
          <w:tcPr>
            <w:tcW w:w="1140" w:type="pct"/>
            <w:tcBorders>
              <w:tl2br w:val="nil"/>
              <w:tr2bl w:val="nil"/>
            </w:tcBorders>
            <w:shd w:val="clear" w:color="auto" w:fill="auto"/>
            <w:vAlign w:val="center"/>
          </w:tcPr>
          <w:p w14:paraId="36A94723">
            <w:pPr>
              <w:adjustRightInd w:val="0"/>
              <w:snapToGrid w:val="0"/>
              <w:jc w:val="center"/>
              <w:rPr>
                <w:sz w:val="18"/>
                <w:szCs w:val="18"/>
              </w:rPr>
            </w:pPr>
            <w:r>
              <w:rPr>
                <w:sz w:val="18"/>
                <w:szCs w:val="18"/>
              </w:rPr>
              <w:t>特优级</w:t>
            </w:r>
          </w:p>
        </w:tc>
        <w:tc>
          <w:tcPr>
            <w:tcW w:w="1229" w:type="pct"/>
            <w:tcBorders>
              <w:tl2br w:val="nil"/>
              <w:tr2bl w:val="nil"/>
            </w:tcBorders>
            <w:shd w:val="clear" w:color="auto" w:fill="auto"/>
            <w:vAlign w:val="center"/>
          </w:tcPr>
          <w:p w14:paraId="171AE1AD">
            <w:pPr>
              <w:adjustRightInd w:val="0"/>
              <w:snapToGrid w:val="0"/>
              <w:jc w:val="center"/>
              <w:rPr>
                <w:sz w:val="18"/>
                <w:szCs w:val="18"/>
              </w:rPr>
            </w:pPr>
            <w:r>
              <w:rPr>
                <w:sz w:val="18"/>
                <w:szCs w:val="18"/>
              </w:rPr>
              <w:t>优质级</w:t>
            </w:r>
          </w:p>
        </w:tc>
        <w:tc>
          <w:tcPr>
            <w:tcW w:w="1190" w:type="pct"/>
            <w:tcBorders>
              <w:tl2br w:val="nil"/>
              <w:tr2bl w:val="nil"/>
            </w:tcBorders>
            <w:shd w:val="clear" w:color="auto" w:fill="auto"/>
            <w:vAlign w:val="center"/>
          </w:tcPr>
          <w:p w14:paraId="7D50577A">
            <w:pPr>
              <w:adjustRightInd w:val="0"/>
              <w:snapToGrid w:val="0"/>
              <w:jc w:val="center"/>
              <w:rPr>
                <w:sz w:val="18"/>
                <w:szCs w:val="18"/>
              </w:rPr>
            </w:pPr>
            <w:r>
              <w:rPr>
                <w:sz w:val="18"/>
                <w:szCs w:val="18"/>
              </w:rPr>
              <w:t>一般级</w:t>
            </w:r>
          </w:p>
        </w:tc>
      </w:tr>
      <w:tr w14:paraId="040DC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28" w:type="pct"/>
            <w:vMerge w:val="restart"/>
            <w:tcBorders>
              <w:tl2br w:val="nil"/>
              <w:tr2bl w:val="nil"/>
            </w:tcBorders>
            <w:shd w:val="clear" w:color="auto" w:fill="auto"/>
            <w:vAlign w:val="center"/>
          </w:tcPr>
          <w:p w14:paraId="354CD692">
            <w:pPr>
              <w:adjustRightInd w:val="0"/>
              <w:snapToGrid w:val="0"/>
              <w:jc w:val="center"/>
              <w:rPr>
                <w:sz w:val="18"/>
                <w:szCs w:val="18"/>
              </w:rPr>
            </w:pPr>
            <w:r>
              <w:rPr>
                <w:sz w:val="18"/>
                <w:szCs w:val="18"/>
              </w:rPr>
              <w:t>尺寸外形</w:t>
            </w:r>
          </w:p>
        </w:tc>
        <w:tc>
          <w:tcPr>
            <w:tcW w:w="913" w:type="pct"/>
            <w:tcBorders>
              <w:tl2br w:val="nil"/>
              <w:tr2bl w:val="nil"/>
            </w:tcBorders>
            <w:shd w:val="clear" w:color="auto" w:fill="auto"/>
            <w:vAlign w:val="center"/>
          </w:tcPr>
          <w:p w14:paraId="5FD07667">
            <w:pPr>
              <w:adjustRightInd w:val="0"/>
              <w:snapToGrid w:val="0"/>
              <w:jc w:val="center"/>
              <w:rPr>
                <w:sz w:val="18"/>
                <w:szCs w:val="18"/>
              </w:rPr>
            </w:pPr>
            <w:r>
              <w:rPr>
                <w:sz w:val="18"/>
                <w:szCs w:val="18"/>
              </w:rPr>
              <w:t>厚度允许偏差</w:t>
            </w:r>
          </w:p>
        </w:tc>
        <w:tc>
          <w:tcPr>
            <w:tcW w:w="1140" w:type="pct"/>
            <w:tcBorders>
              <w:tl2br w:val="nil"/>
              <w:tr2bl w:val="nil"/>
            </w:tcBorders>
            <w:shd w:val="clear" w:color="auto" w:fill="auto"/>
            <w:vAlign w:val="center"/>
          </w:tcPr>
          <w:p w14:paraId="5B5B45AD">
            <w:pPr>
              <w:adjustRightInd w:val="0"/>
              <w:snapToGrid w:val="0"/>
              <w:jc w:val="center"/>
              <w:rPr>
                <w:sz w:val="18"/>
                <w:szCs w:val="18"/>
              </w:rPr>
            </w:pPr>
            <w:r>
              <w:rPr>
                <w:sz w:val="18"/>
                <w:szCs w:val="18"/>
              </w:rPr>
              <w:t>符合GB/T 709—2019表3、表4中较高精度（PT.B）的规定</w:t>
            </w:r>
          </w:p>
        </w:tc>
        <w:tc>
          <w:tcPr>
            <w:tcW w:w="1229" w:type="pct"/>
            <w:tcBorders>
              <w:tl2br w:val="nil"/>
              <w:tr2bl w:val="nil"/>
            </w:tcBorders>
            <w:shd w:val="clear" w:color="auto" w:fill="auto"/>
            <w:vAlign w:val="center"/>
          </w:tcPr>
          <w:p w14:paraId="578CEC24">
            <w:pPr>
              <w:adjustRightInd w:val="0"/>
              <w:snapToGrid w:val="0"/>
              <w:jc w:val="center"/>
              <w:rPr>
                <w:sz w:val="18"/>
                <w:szCs w:val="18"/>
              </w:rPr>
            </w:pPr>
            <w:r>
              <w:rPr>
                <w:sz w:val="18"/>
                <w:szCs w:val="18"/>
              </w:rPr>
              <w:t>符合GB/T 709—2019表3、表4中较高精度（PT.B）的规定</w:t>
            </w:r>
          </w:p>
        </w:tc>
        <w:tc>
          <w:tcPr>
            <w:tcW w:w="1190" w:type="pct"/>
            <w:tcBorders>
              <w:tl2br w:val="nil"/>
              <w:tr2bl w:val="nil"/>
            </w:tcBorders>
            <w:shd w:val="clear" w:color="auto" w:fill="auto"/>
            <w:vAlign w:val="center"/>
          </w:tcPr>
          <w:p w14:paraId="544C094D">
            <w:pPr>
              <w:adjustRightInd w:val="0"/>
              <w:snapToGrid w:val="0"/>
              <w:jc w:val="center"/>
              <w:rPr>
                <w:sz w:val="18"/>
                <w:szCs w:val="18"/>
              </w:rPr>
            </w:pPr>
            <w:r>
              <w:rPr>
                <w:sz w:val="18"/>
                <w:szCs w:val="18"/>
              </w:rPr>
              <w:t>符合</w:t>
            </w:r>
            <w:bookmarkStart w:id="18" w:name="_Hlk178339330"/>
            <w:r>
              <w:rPr>
                <w:sz w:val="18"/>
                <w:szCs w:val="18"/>
              </w:rPr>
              <w:t>GB/T 709—2019</w:t>
            </w:r>
            <w:bookmarkEnd w:id="18"/>
            <w:bookmarkStart w:id="19" w:name="_Hlk178339299"/>
            <w:r>
              <w:rPr>
                <w:sz w:val="18"/>
                <w:szCs w:val="18"/>
              </w:rPr>
              <w:t>表3、表4中普通精度（PT.A）的规定</w:t>
            </w:r>
            <w:bookmarkEnd w:id="19"/>
          </w:p>
        </w:tc>
      </w:tr>
      <w:tr w14:paraId="12C49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28" w:type="pct"/>
            <w:vMerge w:val="continue"/>
            <w:tcBorders>
              <w:tl2br w:val="nil"/>
              <w:tr2bl w:val="nil"/>
            </w:tcBorders>
            <w:shd w:val="clear" w:color="auto" w:fill="auto"/>
            <w:vAlign w:val="center"/>
          </w:tcPr>
          <w:p w14:paraId="1EE07965">
            <w:pPr>
              <w:adjustRightInd w:val="0"/>
              <w:snapToGrid w:val="0"/>
              <w:jc w:val="center"/>
              <w:rPr>
                <w:sz w:val="18"/>
                <w:szCs w:val="18"/>
              </w:rPr>
            </w:pPr>
          </w:p>
        </w:tc>
        <w:tc>
          <w:tcPr>
            <w:tcW w:w="913" w:type="pct"/>
            <w:tcBorders>
              <w:tl2br w:val="nil"/>
              <w:tr2bl w:val="nil"/>
            </w:tcBorders>
            <w:shd w:val="clear" w:color="auto" w:fill="auto"/>
            <w:vAlign w:val="center"/>
          </w:tcPr>
          <w:p w14:paraId="249DE120">
            <w:pPr>
              <w:adjustRightInd w:val="0"/>
              <w:snapToGrid w:val="0"/>
              <w:jc w:val="center"/>
              <w:rPr>
                <w:sz w:val="18"/>
                <w:szCs w:val="18"/>
              </w:rPr>
            </w:pPr>
            <w:r>
              <w:rPr>
                <w:sz w:val="18"/>
                <w:szCs w:val="18"/>
              </w:rPr>
              <w:t>不平度</w:t>
            </w:r>
          </w:p>
        </w:tc>
        <w:tc>
          <w:tcPr>
            <w:tcW w:w="2369" w:type="pct"/>
            <w:gridSpan w:val="2"/>
            <w:tcBorders>
              <w:tl2br w:val="nil"/>
              <w:tr2bl w:val="nil"/>
            </w:tcBorders>
            <w:shd w:val="clear" w:color="auto" w:fill="auto"/>
            <w:vAlign w:val="center"/>
          </w:tcPr>
          <w:p w14:paraId="57D23C66">
            <w:pPr>
              <w:adjustRightInd w:val="0"/>
              <w:snapToGrid w:val="0"/>
              <w:jc w:val="center"/>
              <w:rPr>
                <w:sz w:val="18"/>
                <w:szCs w:val="18"/>
              </w:rPr>
            </w:pPr>
            <w:r>
              <w:rPr>
                <w:sz w:val="18"/>
                <w:szCs w:val="18"/>
              </w:rPr>
              <w:t>符合GB/T 709—2019中7.1.2</w:t>
            </w:r>
            <w:r>
              <w:rPr>
                <w:rFonts w:hint="eastAsia"/>
                <w:sz w:val="18"/>
                <w:szCs w:val="18"/>
              </w:rPr>
              <w:t>表1</w:t>
            </w:r>
            <w:r>
              <w:rPr>
                <w:sz w:val="18"/>
                <w:szCs w:val="18"/>
              </w:rPr>
              <w:t>1，较高不平度精度（PF.B）的规定</w:t>
            </w:r>
          </w:p>
        </w:tc>
        <w:tc>
          <w:tcPr>
            <w:tcW w:w="1190" w:type="pct"/>
            <w:tcBorders>
              <w:tl2br w:val="nil"/>
              <w:tr2bl w:val="nil"/>
            </w:tcBorders>
            <w:shd w:val="clear" w:color="auto" w:fill="auto"/>
            <w:vAlign w:val="center"/>
          </w:tcPr>
          <w:p w14:paraId="3764029A">
            <w:pPr>
              <w:adjustRightInd w:val="0"/>
              <w:snapToGrid w:val="0"/>
              <w:jc w:val="center"/>
              <w:rPr>
                <w:sz w:val="18"/>
                <w:szCs w:val="18"/>
              </w:rPr>
            </w:pPr>
            <w:r>
              <w:rPr>
                <w:sz w:val="18"/>
                <w:szCs w:val="18"/>
              </w:rPr>
              <w:t>符合</w:t>
            </w:r>
            <w:bookmarkStart w:id="20" w:name="_Hlk178340232"/>
            <w:r>
              <w:rPr>
                <w:sz w:val="18"/>
                <w:szCs w:val="18"/>
              </w:rPr>
              <w:t>GB/T 709—2019中7.1.2</w:t>
            </w:r>
            <w:r>
              <w:rPr>
                <w:rFonts w:hint="eastAsia"/>
                <w:sz w:val="18"/>
                <w:szCs w:val="18"/>
              </w:rPr>
              <w:t>表1</w:t>
            </w:r>
            <w:r>
              <w:rPr>
                <w:sz w:val="18"/>
                <w:szCs w:val="18"/>
              </w:rPr>
              <w:t>1，普通不平度精度（PF.A）的规定</w:t>
            </w:r>
            <w:bookmarkEnd w:id="20"/>
          </w:p>
        </w:tc>
      </w:tr>
      <w:tr w14:paraId="78761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28" w:type="pct"/>
            <w:vMerge w:val="restart"/>
            <w:tcBorders>
              <w:tl2br w:val="nil"/>
              <w:tr2bl w:val="nil"/>
            </w:tcBorders>
            <w:shd w:val="clear" w:color="auto" w:fill="auto"/>
            <w:vAlign w:val="center"/>
          </w:tcPr>
          <w:p w14:paraId="1ADBF8EC">
            <w:pPr>
              <w:widowControl/>
              <w:jc w:val="center"/>
              <w:textAlignment w:val="center"/>
              <w:rPr>
                <w:sz w:val="18"/>
                <w:szCs w:val="18"/>
              </w:rPr>
            </w:pPr>
            <w:r>
              <w:rPr>
                <w:kern w:val="0"/>
                <w:sz w:val="18"/>
                <w:szCs w:val="18"/>
                <w:lang w:bidi="ar"/>
              </w:rPr>
              <w:t>化学成分（质量分数）</w:t>
            </w:r>
          </w:p>
        </w:tc>
        <w:tc>
          <w:tcPr>
            <w:tcW w:w="913" w:type="pct"/>
            <w:tcBorders>
              <w:tl2br w:val="nil"/>
              <w:tr2bl w:val="nil"/>
            </w:tcBorders>
            <w:shd w:val="clear" w:color="auto" w:fill="auto"/>
            <w:vAlign w:val="center"/>
          </w:tcPr>
          <w:p w14:paraId="03E93368">
            <w:pPr>
              <w:widowControl/>
              <w:jc w:val="center"/>
              <w:textAlignment w:val="center"/>
              <w:rPr>
                <w:sz w:val="18"/>
                <w:szCs w:val="18"/>
              </w:rPr>
            </w:pPr>
            <w:r>
              <w:rPr>
                <w:kern w:val="0"/>
                <w:sz w:val="18"/>
                <w:szCs w:val="18"/>
                <w:lang w:bidi="ar"/>
              </w:rPr>
              <w:t>C含量控制波动</w:t>
            </w:r>
          </w:p>
        </w:tc>
        <w:tc>
          <w:tcPr>
            <w:tcW w:w="1140" w:type="pct"/>
            <w:tcBorders>
              <w:tl2br w:val="nil"/>
              <w:tr2bl w:val="nil"/>
            </w:tcBorders>
            <w:shd w:val="clear" w:color="auto" w:fill="auto"/>
            <w:vAlign w:val="center"/>
          </w:tcPr>
          <w:p w14:paraId="2465BCB4">
            <w:pPr>
              <w:widowControl/>
              <w:jc w:val="center"/>
              <w:textAlignment w:val="center"/>
              <w:rPr>
                <w:sz w:val="18"/>
                <w:szCs w:val="18"/>
              </w:rPr>
            </w:pPr>
            <w:r>
              <w:rPr>
                <w:kern w:val="0"/>
                <w:sz w:val="18"/>
                <w:szCs w:val="18"/>
                <w:lang w:bidi="ar"/>
              </w:rPr>
              <w:t>≤0.03%</w:t>
            </w:r>
          </w:p>
        </w:tc>
        <w:tc>
          <w:tcPr>
            <w:tcW w:w="1229" w:type="pct"/>
            <w:tcBorders>
              <w:tl2br w:val="nil"/>
              <w:tr2bl w:val="nil"/>
            </w:tcBorders>
            <w:shd w:val="clear" w:color="auto" w:fill="auto"/>
            <w:vAlign w:val="center"/>
          </w:tcPr>
          <w:p w14:paraId="6E050766">
            <w:pPr>
              <w:widowControl/>
              <w:jc w:val="center"/>
              <w:textAlignment w:val="center"/>
              <w:rPr>
                <w:sz w:val="18"/>
                <w:szCs w:val="18"/>
              </w:rPr>
            </w:pPr>
            <w:r>
              <w:rPr>
                <w:kern w:val="0"/>
                <w:sz w:val="18"/>
                <w:szCs w:val="18"/>
                <w:lang w:bidi="ar"/>
              </w:rPr>
              <w:t>≤0.04%</w:t>
            </w:r>
          </w:p>
        </w:tc>
        <w:tc>
          <w:tcPr>
            <w:tcW w:w="1190" w:type="pct"/>
            <w:tcBorders>
              <w:tl2br w:val="nil"/>
              <w:tr2bl w:val="nil"/>
            </w:tcBorders>
            <w:shd w:val="clear" w:color="auto" w:fill="auto"/>
            <w:vAlign w:val="center"/>
          </w:tcPr>
          <w:p w14:paraId="51F9D53B">
            <w:pPr>
              <w:widowControl/>
              <w:jc w:val="center"/>
              <w:textAlignment w:val="center"/>
              <w:rPr>
                <w:sz w:val="18"/>
                <w:szCs w:val="18"/>
              </w:rPr>
            </w:pPr>
            <w:r>
              <w:rPr>
                <w:kern w:val="0"/>
                <w:sz w:val="18"/>
                <w:szCs w:val="18"/>
                <w:lang w:bidi="ar"/>
              </w:rPr>
              <w:t>符合GB/T 6653规定</w:t>
            </w:r>
          </w:p>
        </w:tc>
      </w:tr>
      <w:tr w14:paraId="3BFC6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28" w:type="pct"/>
            <w:vMerge w:val="continue"/>
            <w:tcBorders>
              <w:tl2br w:val="nil"/>
              <w:tr2bl w:val="nil"/>
            </w:tcBorders>
            <w:shd w:val="clear" w:color="auto" w:fill="auto"/>
            <w:vAlign w:val="center"/>
          </w:tcPr>
          <w:p w14:paraId="65824F45">
            <w:pPr>
              <w:adjustRightInd w:val="0"/>
              <w:snapToGrid w:val="0"/>
              <w:jc w:val="center"/>
              <w:rPr>
                <w:sz w:val="18"/>
                <w:szCs w:val="18"/>
              </w:rPr>
            </w:pPr>
          </w:p>
        </w:tc>
        <w:tc>
          <w:tcPr>
            <w:tcW w:w="913" w:type="pct"/>
            <w:tcBorders>
              <w:tl2br w:val="nil"/>
              <w:tr2bl w:val="nil"/>
            </w:tcBorders>
            <w:shd w:val="clear" w:color="auto" w:fill="auto"/>
            <w:vAlign w:val="center"/>
          </w:tcPr>
          <w:p w14:paraId="532803AD">
            <w:pPr>
              <w:widowControl/>
              <w:jc w:val="center"/>
              <w:textAlignment w:val="center"/>
              <w:rPr>
                <w:sz w:val="18"/>
                <w:szCs w:val="18"/>
              </w:rPr>
            </w:pPr>
            <w:r>
              <w:rPr>
                <w:kern w:val="0"/>
                <w:sz w:val="18"/>
                <w:szCs w:val="18"/>
                <w:lang w:bidi="ar"/>
              </w:rPr>
              <w:t>Si含量控制波动</w:t>
            </w:r>
          </w:p>
        </w:tc>
        <w:tc>
          <w:tcPr>
            <w:tcW w:w="1140" w:type="pct"/>
            <w:tcBorders>
              <w:tl2br w:val="nil"/>
              <w:tr2bl w:val="nil"/>
            </w:tcBorders>
            <w:shd w:val="clear" w:color="auto" w:fill="auto"/>
            <w:vAlign w:val="center"/>
          </w:tcPr>
          <w:p w14:paraId="4121D61F">
            <w:pPr>
              <w:widowControl/>
              <w:jc w:val="center"/>
              <w:textAlignment w:val="center"/>
              <w:rPr>
                <w:b/>
                <w:bCs/>
                <w:sz w:val="18"/>
                <w:szCs w:val="18"/>
              </w:rPr>
            </w:pPr>
            <w:r>
              <w:rPr>
                <w:kern w:val="0"/>
                <w:sz w:val="18"/>
                <w:szCs w:val="18"/>
                <w:lang w:bidi="ar"/>
              </w:rPr>
              <w:t>有需求时：≤0.08%</w:t>
            </w:r>
          </w:p>
        </w:tc>
        <w:tc>
          <w:tcPr>
            <w:tcW w:w="1229" w:type="pct"/>
            <w:tcBorders>
              <w:tl2br w:val="nil"/>
              <w:tr2bl w:val="nil"/>
            </w:tcBorders>
            <w:shd w:val="clear" w:color="auto" w:fill="auto"/>
            <w:vAlign w:val="center"/>
          </w:tcPr>
          <w:p w14:paraId="4A2027AC">
            <w:pPr>
              <w:widowControl/>
              <w:jc w:val="center"/>
              <w:textAlignment w:val="center"/>
              <w:rPr>
                <w:sz w:val="18"/>
                <w:szCs w:val="18"/>
              </w:rPr>
            </w:pPr>
            <w:r>
              <w:rPr>
                <w:kern w:val="0"/>
                <w:sz w:val="18"/>
                <w:szCs w:val="18"/>
                <w:lang w:bidi="ar"/>
              </w:rPr>
              <w:t>≤0.1%</w:t>
            </w:r>
          </w:p>
        </w:tc>
        <w:tc>
          <w:tcPr>
            <w:tcW w:w="1190" w:type="pct"/>
            <w:tcBorders>
              <w:tl2br w:val="nil"/>
              <w:tr2bl w:val="nil"/>
            </w:tcBorders>
            <w:shd w:val="clear" w:color="auto" w:fill="auto"/>
            <w:vAlign w:val="center"/>
          </w:tcPr>
          <w:p w14:paraId="4E9EC51B">
            <w:pPr>
              <w:widowControl/>
              <w:jc w:val="center"/>
              <w:textAlignment w:val="center"/>
              <w:rPr>
                <w:sz w:val="18"/>
                <w:szCs w:val="18"/>
              </w:rPr>
            </w:pPr>
            <w:r>
              <w:rPr>
                <w:kern w:val="0"/>
                <w:sz w:val="18"/>
                <w:szCs w:val="18"/>
                <w:lang w:bidi="ar"/>
              </w:rPr>
              <w:t>符合GB/T 6653规定</w:t>
            </w:r>
          </w:p>
        </w:tc>
      </w:tr>
      <w:tr w14:paraId="6C206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28" w:type="pct"/>
            <w:vMerge w:val="continue"/>
            <w:tcBorders>
              <w:tl2br w:val="nil"/>
              <w:tr2bl w:val="nil"/>
            </w:tcBorders>
            <w:shd w:val="clear" w:color="auto" w:fill="auto"/>
            <w:vAlign w:val="center"/>
          </w:tcPr>
          <w:p w14:paraId="5DB7231E">
            <w:pPr>
              <w:adjustRightInd w:val="0"/>
              <w:snapToGrid w:val="0"/>
              <w:jc w:val="center"/>
              <w:rPr>
                <w:sz w:val="18"/>
                <w:szCs w:val="18"/>
              </w:rPr>
            </w:pPr>
          </w:p>
        </w:tc>
        <w:tc>
          <w:tcPr>
            <w:tcW w:w="913" w:type="pct"/>
            <w:tcBorders>
              <w:tl2br w:val="nil"/>
              <w:tr2bl w:val="nil"/>
            </w:tcBorders>
            <w:shd w:val="clear" w:color="auto" w:fill="auto"/>
            <w:vAlign w:val="center"/>
          </w:tcPr>
          <w:p w14:paraId="55CB0B64">
            <w:pPr>
              <w:widowControl/>
              <w:jc w:val="center"/>
              <w:textAlignment w:val="center"/>
              <w:rPr>
                <w:sz w:val="18"/>
                <w:szCs w:val="18"/>
              </w:rPr>
            </w:pPr>
            <w:r>
              <w:rPr>
                <w:kern w:val="0"/>
                <w:sz w:val="18"/>
                <w:szCs w:val="18"/>
                <w:lang w:bidi="ar"/>
              </w:rPr>
              <w:t>Mn含量控制波动</w:t>
            </w:r>
          </w:p>
        </w:tc>
        <w:tc>
          <w:tcPr>
            <w:tcW w:w="1140" w:type="pct"/>
            <w:tcBorders>
              <w:tl2br w:val="nil"/>
              <w:tr2bl w:val="nil"/>
            </w:tcBorders>
            <w:shd w:val="clear" w:color="auto" w:fill="auto"/>
            <w:vAlign w:val="center"/>
          </w:tcPr>
          <w:p w14:paraId="6980DED5">
            <w:pPr>
              <w:widowControl/>
              <w:jc w:val="center"/>
              <w:textAlignment w:val="center"/>
              <w:rPr>
                <w:sz w:val="18"/>
                <w:szCs w:val="18"/>
              </w:rPr>
            </w:pPr>
            <w:r>
              <w:rPr>
                <w:kern w:val="0"/>
                <w:sz w:val="18"/>
                <w:szCs w:val="18"/>
                <w:lang w:bidi="ar"/>
              </w:rPr>
              <w:t>≤0.1%</w:t>
            </w:r>
          </w:p>
        </w:tc>
        <w:tc>
          <w:tcPr>
            <w:tcW w:w="1229" w:type="pct"/>
            <w:tcBorders>
              <w:tl2br w:val="nil"/>
              <w:tr2bl w:val="nil"/>
            </w:tcBorders>
            <w:shd w:val="clear" w:color="auto" w:fill="auto"/>
            <w:vAlign w:val="center"/>
          </w:tcPr>
          <w:p w14:paraId="0FF1739D">
            <w:pPr>
              <w:widowControl/>
              <w:jc w:val="center"/>
              <w:textAlignment w:val="center"/>
              <w:rPr>
                <w:sz w:val="18"/>
                <w:szCs w:val="18"/>
              </w:rPr>
            </w:pPr>
            <w:r>
              <w:rPr>
                <w:kern w:val="0"/>
                <w:sz w:val="18"/>
                <w:szCs w:val="18"/>
                <w:lang w:bidi="ar"/>
              </w:rPr>
              <w:t>≤0.2%</w:t>
            </w:r>
          </w:p>
        </w:tc>
        <w:tc>
          <w:tcPr>
            <w:tcW w:w="1190" w:type="pct"/>
            <w:tcBorders>
              <w:tl2br w:val="nil"/>
              <w:tr2bl w:val="nil"/>
            </w:tcBorders>
            <w:shd w:val="clear" w:color="auto" w:fill="auto"/>
            <w:vAlign w:val="center"/>
          </w:tcPr>
          <w:p w14:paraId="3CED0688">
            <w:pPr>
              <w:widowControl/>
              <w:jc w:val="center"/>
              <w:textAlignment w:val="center"/>
              <w:rPr>
                <w:sz w:val="18"/>
                <w:szCs w:val="18"/>
              </w:rPr>
            </w:pPr>
            <w:r>
              <w:rPr>
                <w:kern w:val="0"/>
                <w:sz w:val="18"/>
                <w:szCs w:val="18"/>
                <w:lang w:bidi="ar"/>
              </w:rPr>
              <w:t>符合GB/T 6653规定</w:t>
            </w:r>
          </w:p>
        </w:tc>
      </w:tr>
      <w:tr w14:paraId="3AFFC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28" w:type="pct"/>
            <w:vMerge w:val="continue"/>
            <w:tcBorders>
              <w:tl2br w:val="nil"/>
              <w:tr2bl w:val="nil"/>
            </w:tcBorders>
            <w:shd w:val="clear" w:color="auto" w:fill="auto"/>
            <w:vAlign w:val="center"/>
          </w:tcPr>
          <w:p w14:paraId="32332A68">
            <w:pPr>
              <w:adjustRightInd w:val="0"/>
              <w:snapToGrid w:val="0"/>
              <w:jc w:val="center"/>
              <w:rPr>
                <w:sz w:val="18"/>
                <w:szCs w:val="18"/>
              </w:rPr>
            </w:pPr>
          </w:p>
        </w:tc>
        <w:tc>
          <w:tcPr>
            <w:tcW w:w="913" w:type="pct"/>
            <w:tcBorders>
              <w:tl2br w:val="nil"/>
              <w:tr2bl w:val="nil"/>
            </w:tcBorders>
            <w:shd w:val="clear" w:color="auto" w:fill="auto"/>
            <w:vAlign w:val="center"/>
          </w:tcPr>
          <w:p w14:paraId="6FEE98BE">
            <w:pPr>
              <w:widowControl/>
              <w:jc w:val="center"/>
              <w:textAlignment w:val="center"/>
              <w:rPr>
                <w:sz w:val="18"/>
                <w:szCs w:val="18"/>
              </w:rPr>
            </w:pPr>
            <w:r>
              <w:rPr>
                <w:kern w:val="0"/>
                <w:sz w:val="18"/>
                <w:szCs w:val="18"/>
                <w:lang w:bidi="ar"/>
              </w:rPr>
              <w:t>P含量</w:t>
            </w:r>
          </w:p>
        </w:tc>
        <w:tc>
          <w:tcPr>
            <w:tcW w:w="1140" w:type="pct"/>
            <w:tcBorders>
              <w:tl2br w:val="nil"/>
              <w:tr2bl w:val="nil"/>
            </w:tcBorders>
            <w:shd w:val="clear" w:color="auto" w:fill="auto"/>
            <w:vAlign w:val="center"/>
          </w:tcPr>
          <w:p w14:paraId="2F669D5F">
            <w:pPr>
              <w:widowControl/>
              <w:jc w:val="center"/>
              <w:textAlignment w:val="center"/>
              <w:rPr>
                <w:sz w:val="18"/>
                <w:szCs w:val="18"/>
              </w:rPr>
            </w:pPr>
            <w:r>
              <w:rPr>
                <w:kern w:val="0"/>
                <w:sz w:val="18"/>
                <w:szCs w:val="18"/>
                <w:lang w:bidi="ar"/>
              </w:rPr>
              <w:t>≤0.012%</w:t>
            </w:r>
          </w:p>
        </w:tc>
        <w:tc>
          <w:tcPr>
            <w:tcW w:w="1229" w:type="pct"/>
            <w:tcBorders>
              <w:tl2br w:val="nil"/>
              <w:tr2bl w:val="nil"/>
            </w:tcBorders>
            <w:shd w:val="clear" w:color="auto" w:fill="auto"/>
            <w:vAlign w:val="center"/>
          </w:tcPr>
          <w:p w14:paraId="0EB0122B">
            <w:pPr>
              <w:widowControl/>
              <w:jc w:val="center"/>
              <w:textAlignment w:val="center"/>
              <w:rPr>
                <w:sz w:val="18"/>
                <w:szCs w:val="18"/>
              </w:rPr>
            </w:pPr>
            <w:r>
              <w:rPr>
                <w:kern w:val="0"/>
                <w:sz w:val="18"/>
                <w:szCs w:val="18"/>
                <w:lang w:bidi="ar"/>
              </w:rPr>
              <w:t>≤0.015%</w:t>
            </w:r>
          </w:p>
        </w:tc>
        <w:tc>
          <w:tcPr>
            <w:tcW w:w="1190" w:type="pct"/>
            <w:tcBorders>
              <w:tl2br w:val="nil"/>
              <w:tr2bl w:val="nil"/>
            </w:tcBorders>
            <w:shd w:val="clear" w:color="auto" w:fill="auto"/>
            <w:vAlign w:val="center"/>
          </w:tcPr>
          <w:p w14:paraId="13B5A822">
            <w:pPr>
              <w:widowControl/>
              <w:jc w:val="center"/>
              <w:textAlignment w:val="center"/>
              <w:rPr>
                <w:sz w:val="18"/>
                <w:szCs w:val="18"/>
              </w:rPr>
            </w:pPr>
            <w:r>
              <w:rPr>
                <w:kern w:val="0"/>
                <w:sz w:val="18"/>
                <w:szCs w:val="18"/>
                <w:lang w:bidi="ar"/>
              </w:rPr>
              <w:t>符合GB/T 6653规定</w:t>
            </w:r>
          </w:p>
        </w:tc>
      </w:tr>
      <w:tr w14:paraId="7E65D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28" w:type="pct"/>
            <w:vMerge w:val="continue"/>
            <w:tcBorders>
              <w:tl2br w:val="nil"/>
              <w:tr2bl w:val="nil"/>
            </w:tcBorders>
            <w:shd w:val="clear" w:color="auto" w:fill="auto"/>
            <w:vAlign w:val="center"/>
          </w:tcPr>
          <w:p w14:paraId="02D304AD">
            <w:pPr>
              <w:adjustRightInd w:val="0"/>
              <w:snapToGrid w:val="0"/>
              <w:jc w:val="center"/>
              <w:rPr>
                <w:sz w:val="18"/>
                <w:szCs w:val="18"/>
              </w:rPr>
            </w:pPr>
          </w:p>
        </w:tc>
        <w:tc>
          <w:tcPr>
            <w:tcW w:w="913" w:type="pct"/>
            <w:tcBorders>
              <w:tl2br w:val="nil"/>
              <w:tr2bl w:val="nil"/>
            </w:tcBorders>
            <w:shd w:val="clear" w:color="auto" w:fill="auto"/>
            <w:vAlign w:val="center"/>
          </w:tcPr>
          <w:p w14:paraId="74670C3A">
            <w:pPr>
              <w:widowControl/>
              <w:jc w:val="center"/>
              <w:textAlignment w:val="center"/>
              <w:rPr>
                <w:sz w:val="18"/>
                <w:szCs w:val="18"/>
              </w:rPr>
            </w:pPr>
            <w:r>
              <w:rPr>
                <w:kern w:val="0"/>
                <w:sz w:val="18"/>
                <w:szCs w:val="18"/>
                <w:lang w:bidi="ar"/>
              </w:rPr>
              <w:t>S含量</w:t>
            </w:r>
          </w:p>
        </w:tc>
        <w:tc>
          <w:tcPr>
            <w:tcW w:w="1140" w:type="pct"/>
            <w:tcBorders>
              <w:tl2br w:val="nil"/>
              <w:tr2bl w:val="nil"/>
            </w:tcBorders>
            <w:shd w:val="clear" w:color="auto" w:fill="auto"/>
            <w:vAlign w:val="center"/>
          </w:tcPr>
          <w:p w14:paraId="304D13CC">
            <w:pPr>
              <w:widowControl/>
              <w:textAlignment w:val="center"/>
              <w:rPr>
                <w:sz w:val="18"/>
                <w:szCs w:val="18"/>
              </w:rPr>
            </w:pPr>
            <w:r>
              <w:rPr>
                <w:kern w:val="0"/>
                <w:sz w:val="18"/>
                <w:szCs w:val="18"/>
                <w:lang w:bidi="ar"/>
              </w:rPr>
              <w:t>有需求时：≤0.002%</w:t>
            </w:r>
          </w:p>
        </w:tc>
        <w:tc>
          <w:tcPr>
            <w:tcW w:w="1229" w:type="pct"/>
            <w:tcBorders>
              <w:tl2br w:val="nil"/>
              <w:tr2bl w:val="nil"/>
            </w:tcBorders>
            <w:shd w:val="clear" w:color="auto" w:fill="auto"/>
            <w:vAlign w:val="center"/>
          </w:tcPr>
          <w:p w14:paraId="17FD33EE">
            <w:pPr>
              <w:widowControl/>
              <w:jc w:val="center"/>
              <w:textAlignment w:val="center"/>
              <w:rPr>
                <w:sz w:val="18"/>
                <w:szCs w:val="18"/>
              </w:rPr>
            </w:pPr>
            <w:r>
              <w:rPr>
                <w:kern w:val="0"/>
                <w:sz w:val="18"/>
                <w:szCs w:val="18"/>
                <w:lang w:bidi="ar"/>
              </w:rPr>
              <w:t>≤0.005%</w:t>
            </w:r>
          </w:p>
        </w:tc>
        <w:tc>
          <w:tcPr>
            <w:tcW w:w="1190" w:type="pct"/>
            <w:tcBorders>
              <w:tl2br w:val="nil"/>
              <w:tr2bl w:val="nil"/>
            </w:tcBorders>
            <w:shd w:val="clear" w:color="auto" w:fill="auto"/>
            <w:vAlign w:val="center"/>
          </w:tcPr>
          <w:p w14:paraId="67BDFB7D">
            <w:pPr>
              <w:widowControl/>
              <w:jc w:val="center"/>
              <w:textAlignment w:val="center"/>
              <w:rPr>
                <w:sz w:val="18"/>
                <w:szCs w:val="18"/>
              </w:rPr>
            </w:pPr>
            <w:r>
              <w:rPr>
                <w:kern w:val="0"/>
                <w:sz w:val="18"/>
                <w:szCs w:val="18"/>
                <w:lang w:bidi="ar"/>
              </w:rPr>
              <w:t>符合GB/T 6653规定</w:t>
            </w:r>
          </w:p>
        </w:tc>
      </w:tr>
      <w:tr w14:paraId="2CDA0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28" w:type="pct"/>
            <w:vMerge w:val="continue"/>
            <w:tcBorders>
              <w:tl2br w:val="nil"/>
              <w:tr2bl w:val="nil"/>
            </w:tcBorders>
            <w:shd w:val="clear" w:color="auto" w:fill="auto"/>
            <w:vAlign w:val="center"/>
          </w:tcPr>
          <w:p w14:paraId="23CCFE67">
            <w:pPr>
              <w:adjustRightInd w:val="0"/>
              <w:snapToGrid w:val="0"/>
              <w:jc w:val="center"/>
              <w:rPr>
                <w:sz w:val="18"/>
                <w:szCs w:val="18"/>
              </w:rPr>
            </w:pPr>
          </w:p>
        </w:tc>
        <w:tc>
          <w:tcPr>
            <w:tcW w:w="913" w:type="pct"/>
            <w:tcBorders>
              <w:tl2br w:val="nil"/>
              <w:tr2bl w:val="nil"/>
            </w:tcBorders>
            <w:shd w:val="clear" w:color="auto" w:fill="auto"/>
            <w:vAlign w:val="center"/>
          </w:tcPr>
          <w:p w14:paraId="0A488179">
            <w:pPr>
              <w:widowControl/>
              <w:jc w:val="center"/>
              <w:textAlignment w:val="center"/>
              <w:rPr>
                <w:sz w:val="18"/>
                <w:szCs w:val="18"/>
              </w:rPr>
            </w:pPr>
            <w:r>
              <w:rPr>
                <w:kern w:val="0"/>
                <w:sz w:val="18"/>
                <w:szCs w:val="18"/>
                <w:lang w:bidi="ar"/>
              </w:rPr>
              <w:t>Nb含量控制波动</w:t>
            </w:r>
            <w:r>
              <w:rPr>
                <w:kern w:val="0"/>
                <w:sz w:val="18"/>
                <w:szCs w:val="18"/>
                <w:vertAlign w:val="superscript"/>
                <w:lang w:bidi="ar"/>
              </w:rPr>
              <w:t>a</w:t>
            </w:r>
          </w:p>
        </w:tc>
        <w:tc>
          <w:tcPr>
            <w:tcW w:w="1140" w:type="pct"/>
            <w:tcBorders>
              <w:tl2br w:val="nil"/>
              <w:tr2bl w:val="nil"/>
            </w:tcBorders>
            <w:shd w:val="clear" w:color="auto" w:fill="auto"/>
            <w:vAlign w:val="center"/>
          </w:tcPr>
          <w:p w14:paraId="1A9BC072">
            <w:pPr>
              <w:widowControl/>
              <w:jc w:val="center"/>
              <w:textAlignment w:val="center"/>
              <w:rPr>
                <w:sz w:val="18"/>
                <w:szCs w:val="18"/>
              </w:rPr>
            </w:pPr>
            <w:r>
              <w:rPr>
                <w:kern w:val="0"/>
                <w:sz w:val="18"/>
                <w:szCs w:val="18"/>
                <w:lang w:bidi="ar"/>
              </w:rPr>
              <w:t>≤0.015%</w:t>
            </w:r>
          </w:p>
        </w:tc>
        <w:tc>
          <w:tcPr>
            <w:tcW w:w="1229" w:type="pct"/>
            <w:tcBorders>
              <w:tl2br w:val="nil"/>
              <w:tr2bl w:val="nil"/>
            </w:tcBorders>
            <w:shd w:val="clear" w:color="auto" w:fill="auto"/>
            <w:vAlign w:val="center"/>
          </w:tcPr>
          <w:p w14:paraId="6432A5CF">
            <w:pPr>
              <w:widowControl/>
              <w:jc w:val="center"/>
              <w:textAlignment w:val="center"/>
              <w:rPr>
                <w:sz w:val="18"/>
                <w:szCs w:val="18"/>
              </w:rPr>
            </w:pPr>
            <w:r>
              <w:rPr>
                <w:kern w:val="0"/>
                <w:sz w:val="18"/>
                <w:szCs w:val="18"/>
                <w:lang w:bidi="ar"/>
              </w:rPr>
              <w:t>≤0.02%</w:t>
            </w:r>
          </w:p>
        </w:tc>
        <w:tc>
          <w:tcPr>
            <w:tcW w:w="1190" w:type="pct"/>
            <w:tcBorders>
              <w:tl2br w:val="nil"/>
              <w:tr2bl w:val="nil"/>
            </w:tcBorders>
            <w:shd w:val="clear" w:color="auto" w:fill="auto"/>
            <w:vAlign w:val="center"/>
          </w:tcPr>
          <w:p w14:paraId="060FF296">
            <w:pPr>
              <w:widowControl/>
              <w:jc w:val="center"/>
              <w:textAlignment w:val="center"/>
              <w:rPr>
                <w:sz w:val="18"/>
                <w:szCs w:val="18"/>
              </w:rPr>
            </w:pPr>
            <w:r>
              <w:rPr>
                <w:kern w:val="0"/>
                <w:sz w:val="18"/>
                <w:szCs w:val="18"/>
                <w:lang w:bidi="ar"/>
              </w:rPr>
              <w:t>符合GB/T 6653规定</w:t>
            </w:r>
          </w:p>
        </w:tc>
      </w:tr>
      <w:tr w14:paraId="04A9B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28" w:type="pct"/>
            <w:vMerge w:val="continue"/>
            <w:tcBorders>
              <w:tl2br w:val="nil"/>
              <w:tr2bl w:val="nil"/>
            </w:tcBorders>
            <w:shd w:val="clear" w:color="auto" w:fill="auto"/>
            <w:vAlign w:val="center"/>
          </w:tcPr>
          <w:p w14:paraId="4318F652">
            <w:pPr>
              <w:adjustRightInd w:val="0"/>
              <w:snapToGrid w:val="0"/>
              <w:jc w:val="center"/>
              <w:rPr>
                <w:sz w:val="18"/>
                <w:szCs w:val="18"/>
              </w:rPr>
            </w:pPr>
          </w:p>
        </w:tc>
        <w:tc>
          <w:tcPr>
            <w:tcW w:w="913" w:type="pct"/>
            <w:tcBorders>
              <w:tl2br w:val="nil"/>
              <w:tr2bl w:val="nil"/>
            </w:tcBorders>
            <w:shd w:val="clear" w:color="auto" w:fill="auto"/>
            <w:vAlign w:val="center"/>
          </w:tcPr>
          <w:p w14:paraId="2FAE8946">
            <w:pPr>
              <w:widowControl/>
              <w:jc w:val="center"/>
              <w:textAlignment w:val="center"/>
              <w:rPr>
                <w:sz w:val="18"/>
                <w:szCs w:val="18"/>
              </w:rPr>
            </w:pPr>
            <w:r>
              <w:rPr>
                <w:kern w:val="0"/>
                <w:sz w:val="18"/>
                <w:szCs w:val="18"/>
                <w:lang w:bidi="ar"/>
              </w:rPr>
              <w:t>V含量控制波动</w:t>
            </w:r>
            <w:r>
              <w:rPr>
                <w:kern w:val="0"/>
                <w:sz w:val="18"/>
                <w:szCs w:val="18"/>
                <w:vertAlign w:val="superscript"/>
                <w:lang w:bidi="ar"/>
              </w:rPr>
              <w:t>a</w:t>
            </w:r>
          </w:p>
        </w:tc>
        <w:tc>
          <w:tcPr>
            <w:tcW w:w="1140" w:type="pct"/>
            <w:tcBorders>
              <w:tl2br w:val="nil"/>
              <w:tr2bl w:val="nil"/>
            </w:tcBorders>
            <w:shd w:val="clear" w:color="auto" w:fill="auto"/>
            <w:vAlign w:val="center"/>
          </w:tcPr>
          <w:p w14:paraId="55D501F8">
            <w:pPr>
              <w:widowControl/>
              <w:jc w:val="center"/>
              <w:textAlignment w:val="center"/>
              <w:rPr>
                <w:sz w:val="18"/>
                <w:szCs w:val="18"/>
              </w:rPr>
            </w:pPr>
            <w:r>
              <w:rPr>
                <w:kern w:val="0"/>
                <w:sz w:val="18"/>
                <w:szCs w:val="18"/>
                <w:lang w:bidi="ar"/>
              </w:rPr>
              <w:t>≤0.02%</w:t>
            </w:r>
          </w:p>
        </w:tc>
        <w:tc>
          <w:tcPr>
            <w:tcW w:w="1229" w:type="pct"/>
            <w:tcBorders>
              <w:tl2br w:val="nil"/>
              <w:tr2bl w:val="nil"/>
            </w:tcBorders>
            <w:shd w:val="clear" w:color="auto" w:fill="auto"/>
            <w:vAlign w:val="center"/>
          </w:tcPr>
          <w:p w14:paraId="67B96221">
            <w:pPr>
              <w:widowControl/>
              <w:jc w:val="center"/>
              <w:textAlignment w:val="center"/>
              <w:rPr>
                <w:sz w:val="18"/>
                <w:szCs w:val="18"/>
              </w:rPr>
            </w:pPr>
            <w:r>
              <w:rPr>
                <w:kern w:val="0"/>
                <w:sz w:val="18"/>
                <w:szCs w:val="18"/>
                <w:lang w:bidi="ar"/>
              </w:rPr>
              <w:t>≤0.03%</w:t>
            </w:r>
          </w:p>
        </w:tc>
        <w:tc>
          <w:tcPr>
            <w:tcW w:w="1190" w:type="pct"/>
            <w:tcBorders>
              <w:tl2br w:val="nil"/>
              <w:tr2bl w:val="nil"/>
            </w:tcBorders>
            <w:shd w:val="clear" w:color="auto" w:fill="auto"/>
            <w:vAlign w:val="center"/>
          </w:tcPr>
          <w:p w14:paraId="4DF6806D">
            <w:pPr>
              <w:widowControl/>
              <w:jc w:val="center"/>
              <w:textAlignment w:val="center"/>
              <w:rPr>
                <w:sz w:val="18"/>
                <w:szCs w:val="18"/>
              </w:rPr>
            </w:pPr>
            <w:r>
              <w:rPr>
                <w:kern w:val="0"/>
                <w:sz w:val="18"/>
                <w:szCs w:val="18"/>
                <w:lang w:bidi="ar"/>
              </w:rPr>
              <w:t>符合GB/T 6653规定</w:t>
            </w:r>
          </w:p>
        </w:tc>
      </w:tr>
      <w:tr w14:paraId="409C0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28" w:type="pct"/>
            <w:vMerge w:val="continue"/>
            <w:tcBorders>
              <w:tl2br w:val="nil"/>
              <w:tr2bl w:val="nil"/>
            </w:tcBorders>
            <w:shd w:val="clear" w:color="auto" w:fill="auto"/>
            <w:vAlign w:val="center"/>
          </w:tcPr>
          <w:p w14:paraId="7E48DB82">
            <w:pPr>
              <w:adjustRightInd w:val="0"/>
              <w:snapToGrid w:val="0"/>
              <w:jc w:val="center"/>
              <w:rPr>
                <w:sz w:val="18"/>
                <w:szCs w:val="18"/>
              </w:rPr>
            </w:pPr>
          </w:p>
        </w:tc>
        <w:tc>
          <w:tcPr>
            <w:tcW w:w="913" w:type="pct"/>
            <w:tcBorders>
              <w:tl2br w:val="nil"/>
              <w:tr2bl w:val="nil"/>
            </w:tcBorders>
            <w:shd w:val="clear" w:color="auto" w:fill="auto"/>
            <w:vAlign w:val="center"/>
          </w:tcPr>
          <w:p w14:paraId="4C1A10B9">
            <w:pPr>
              <w:widowControl/>
              <w:jc w:val="center"/>
              <w:textAlignment w:val="center"/>
              <w:rPr>
                <w:sz w:val="18"/>
                <w:szCs w:val="18"/>
              </w:rPr>
            </w:pPr>
            <w:r>
              <w:rPr>
                <w:kern w:val="0"/>
                <w:sz w:val="18"/>
                <w:szCs w:val="18"/>
                <w:lang w:bidi="ar"/>
              </w:rPr>
              <w:t>Ti含量控制波动</w:t>
            </w:r>
            <w:r>
              <w:rPr>
                <w:kern w:val="0"/>
                <w:sz w:val="18"/>
                <w:szCs w:val="18"/>
                <w:vertAlign w:val="superscript"/>
                <w:lang w:bidi="ar"/>
              </w:rPr>
              <w:t>a</w:t>
            </w:r>
          </w:p>
        </w:tc>
        <w:tc>
          <w:tcPr>
            <w:tcW w:w="1140" w:type="pct"/>
            <w:tcBorders>
              <w:tl2br w:val="nil"/>
              <w:tr2bl w:val="nil"/>
            </w:tcBorders>
            <w:shd w:val="clear" w:color="auto" w:fill="auto"/>
            <w:vAlign w:val="center"/>
          </w:tcPr>
          <w:p w14:paraId="1F0064D9">
            <w:pPr>
              <w:widowControl/>
              <w:jc w:val="center"/>
              <w:textAlignment w:val="center"/>
              <w:rPr>
                <w:sz w:val="18"/>
                <w:szCs w:val="18"/>
              </w:rPr>
            </w:pPr>
            <w:r>
              <w:rPr>
                <w:kern w:val="0"/>
                <w:sz w:val="18"/>
                <w:szCs w:val="18"/>
                <w:lang w:bidi="ar"/>
              </w:rPr>
              <w:t>≤0.02%</w:t>
            </w:r>
          </w:p>
        </w:tc>
        <w:tc>
          <w:tcPr>
            <w:tcW w:w="1229" w:type="pct"/>
            <w:tcBorders>
              <w:tl2br w:val="nil"/>
              <w:tr2bl w:val="nil"/>
            </w:tcBorders>
            <w:shd w:val="clear" w:color="auto" w:fill="auto"/>
            <w:vAlign w:val="center"/>
          </w:tcPr>
          <w:p w14:paraId="6D2991ED">
            <w:pPr>
              <w:widowControl/>
              <w:jc w:val="center"/>
              <w:textAlignment w:val="center"/>
              <w:rPr>
                <w:sz w:val="18"/>
                <w:szCs w:val="18"/>
              </w:rPr>
            </w:pPr>
            <w:r>
              <w:rPr>
                <w:kern w:val="0"/>
                <w:sz w:val="18"/>
                <w:szCs w:val="18"/>
                <w:lang w:bidi="ar"/>
              </w:rPr>
              <w:t>≤0.03%</w:t>
            </w:r>
          </w:p>
        </w:tc>
        <w:tc>
          <w:tcPr>
            <w:tcW w:w="1190" w:type="pct"/>
            <w:tcBorders>
              <w:tl2br w:val="nil"/>
              <w:tr2bl w:val="nil"/>
            </w:tcBorders>
            <w:shd w:val="clear" w:color="auto" w:fill="auto"/>
            <w:vAlign w:val="center"/>
          </w:tcPr>
          <w:p w14:paraId="6ED01AAB">
            <w:pPr>
              <w:widowControl/>
              <w:jc w:val="center"/>
              <w:textAlignment w:val="center"/>
              <w:rPr>
                <w:sz w:val="18"/>
                <w:szCs w:val="18"/>
              </w:rPr>
            </w:pPr>
            <w:r>
              <w:rPr>
                <w:kern w:val="0"/>
                <w:sz w:val="18"/>
                <w:szCs w:val="18"/>
                <w:lang w:bidi="ar"/>
              </w:rPr>
              <w:t>符合GB/T 6653规定</w:t>
            </w:r>
          </w:p>
        </w:tc>
      </w:tr>
      <w:tr w14:paraId="4B316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28" w:type="pct"/>
            <w:vMerge w:val="restart"/>
            <w:tcBorders>
              <w:tl2br w:val="nil"/>
              <w:tr2bl w:val="nil"/>
            </w:tcBorders>
            <w:shd w:val="clear" w:color="auto" w:fill="auto"/>
            <w:vAlign w:val="center"/>
          </w:tcPr>
          <w:p w14:paraId="3E16104C">
            <w:pPr>
              <w:widowControl/>
              <w:jc w:val="center"/>
              <w:textAlignment w:val="center"/>
              <w:rPr>
                <w:sz w:val="18"/>
                <w:szCs w:val="18"/>
              </w:rPr>
            </w:pPr>
            <w:r>
              <w:rPr>
                <w:kern w:val="0"/>
                <w:sz w:val="18"/>
                <w:szCs w:val="18"/>
                <w:lang w:bidi="ar"/>
              </w:rPr>
              <w:t>力学性能</w:t>
            </w:r>
          </w:p>
        </w:tc>
        <w:tc>
          <w:tcPr>
            <w:tcW w:w="913" w:type="pct"/>
            <w:vMerge w:val="restart"/>
            <w:tcBorders>
              <w:tl2br w:val="nil"/>
              <w:tr2bl w:val="nil"/>
            </w:tcBorders>
            <w:shd w:val="clear" w:color="auto" w:fill="auto"/>
            <w:vAlign w:val="center"/>
          </w:tcPr>
          <w:p w14:paraId="6F7C06A1">
            <w:pPr>
              <w:widowControl/>
              <w:jc w:val="center"/>
              <w:textAlignment w:val="center"/>
              <w:rPr>
                <w:sz w:val="18"/>
                <w:szCs w:val="18"/>
              </w:rPr>
            </w:pPr>
            <w:r>
              <w:rPr>
                <w:kern w:val="0"/>
                <w:sz w:val="18"/>
                <w:szCs w:val="18"/>
                <w:lang w:bidi="ar"/>
              </w:rPr>
              <w:t>下屈服强度</w:t>
            </w:r>
            <w:r>
              <w:rPr>
                <w:i/>
                <w:iCs/>
                <w:kern w:val="0"/>
                <w:sz w:val="18"/>
                <w:szCs w:val="18"/>
                <w:lang w:bidi="ar"/>
              </w:rPr>
              <w:t>R</w:t>
            </w:r>
            <w:r>
              <w:rPr>
                <w:i/>
                <w:iCs/>
                <w:kern w:val="0"/>
                <w:sz w:val="18"/>
                <w:szCs w:val="18"/>
                <w:vertAlign w:val="subscript"/>
                <w:lang w:bidi="ar"/>
              </w:rPr>
              <w:t>el</w:t>
            </w:r>
            <w:r>
              <w:rPr>
                <w:kern w:val="0"/>
                <w:sz w:val="18"/>
                <w:szCs w:val="18"/>
                <w:lang w:bidi="ar"/>
              </w:rPr>
              <w:t>控制波动</w:t>
            </w:r>
          </w:p>
        </w:tc>
        <w:tc>
          <w:tcPr>
            <w:tcW w:w="1140" w:type="pct"/>
            <w:tcBorders>
              <w:tl2br w:val="nil"/>
              <w:tr2bl w:val="nil"/>
            </w:tcBorders>
            <w:shd w:val="clear" w:color="auto" w:fill="auto"/>
            <w:vAlign w:val="center"/>
          </w:tcPr>
          <w:p w14:paraId="04173239">
            <w:pPr>
              <w:widowControl/>
              <w:jc w:val="center"/>
              <w:textAlignment w:val="center"/>
              <w:rPr>
                <w:sz w:val="18"/>
                <w:szCs w:val="18"/>
              </w:rPr>
            </w:pPr>
            <w:r>
              <w:rPr>
                <w:kern w:val="0"/>
                <w:sz w:val="18"/>
                <w:szCs w:val="18"/>
                <w:lang w:bidi="ar"/>
              </w:rPr>
              <w:t>批次间波动：</w:t>
            </w:r>
          </w:p>
        </w:tc>
        <w:tc>
          <w:tcPr>
            <w:tcW w:w="1229" w:type="pct"/>
            <w:tcBorders>
              <w:tl2br w:val="nil"/>
              <w:tr2bl w:val="nil"/>
            </w:tcBorders>
            <w:shd w:val="clear" w:color="auto" w:fill="auto"/>
            <w:vAlign w:val="center"/>
          </w:tcPr>
          <w:p w14:paraId="08EE5F32">
            <w:pPr>
              <w:widowControl/>
              <w:jc w:val="center"/>
              <w:textAlignment w:val="center"/>
              <w:rPr>
                <w:sz w:val="18"/>
                <w:szCs w:val="18"/>
              </w:rPr>
            </w:pPr>
            <w:r>
              <w:rPr>
                <w:kern w:val="0"/>
                <w:sz w:val="18"/>
                <w:szCs w:val="18"/>
                <w:lang w:bidi="ar"/>
              </w:rPr>
              <w:t>批次间波动：</w:t>
            </w:r>
          </w:p>
        </w:tc>
        <w:tc>
          <w:tcPr>
            <w:tcW w:w="1190" w:type="pct"/>
            <w:vMerge w:val="restart"/>
            <w:tcBorders>
              <w:tl2br w:val="nil"/>
              <w:tr2bl w:val="nil"/>
            </w:tcBorders>
            <w:shd w:val="clear" w:color="auto" w:fill="auto"/>
            <w:vAlign w:val="center"/>
          </w:tcPr>
          <w:p w14:paraId="50FE69E5">
            <w:pPr>
              <w:widowControl/>
              <w:jc w:val="center"/>
              <w:textAlignment w:val="center"/>
              <w:rPr>
                <w:kern w:val="0"/>
                <w:sz w:val="18"/>
                <w:szCs w:val="18"/>
                <w:lang w:bidi="ar"/>
              </w:rPr>
            </w:pPr>
            <w:bookmarkStart w:id="21" w:name="_Hlk178340284"/>
            <w:r>
              <w:rPr>
                <w:kern w:val="0"/>
                <w:sz w:val="18"/>
                <w:szCs w:val="18"/>
                <w:lang w:bidi="ar"/>
              </w:rPr>
              <w:t>符合GB/T 6653规定</w:t>
            </w:r>
            <w:bookmarkEnd w:id="21"/>
          </w:p>
        </w:tc>
      </w:tr>
      <w:tr w14:paraId="5DA04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28" w:type="pct"/>
            <w:vMerge w:val="continue"/>
            <w:tcBorders>
              <w:tl2br w:val="nil"/>
              <w:tr2bl w:val="nil"/>
            </w:tcBorders>
            <w:shd w:val="clear" w:color="auto" w:fill="auto"/>
            <w:vAlign w:val="center"/>
          </w:tcPr>
          <w:p w14:paraId="40DD51CA">
            <w:pPr>
              <w:adjustRightInd w:val="0"/>
              <w:snapToGrid w:val="0"/>
              <w:jc w:val="center"/>
              <w:rPr>
                <w:sz w:val="18"/>
                <w:szCs w:val="18"/>
              </w:rPr>
            </w:pPr>
          </w:p>
        </w:tc>
        <w:tc>
          <w:tcPr>
            <w:tcW w:w="913" w:type="pct"/>
            <w:vMerge w:val="continue"/>
            <w:tcBorders>
              <w:tl2br w:val="nil"/>
              <w:tr2bl w:val="nil"/>
            </w:tcBorders>
            <w:shd w:val="clear" w:color="auto" w:fill="auto"/>
            <w:vAlign w:val="center"/>
          </w:tcPr>
          <w:p w14:paraId="05978FBF">
            <w:pPr>
              <w:adjustRightInd w:val="0"/>
              <w:snapToGrid w:val="0"/>
              <w:jc w:val="center"/>
              <w:rPr>
                <w:sz w:val="18"/>
                <w:szCs w:val="18"/>
              </w:rPr>
            </w:pPr>
          </w:p>
        </w:tc>
        <w:tc>
          <w:tcPr>
            <w:tcW w:w="1140" w:type="pct"/>
            <w:tcBorders>
              <w:tl2br w:val="nil"/>
              <w:tr2bl w:val="nil"/>
            </w:tcBorders>
            <w:shd w:val="clear" w:color="auto" w:fill="auto"/>
            <w:vAlign w:val="center"/>
          </w:tcPr>
          <w:p w14:paraId="2272524D">
            <w:pPr>
              <w:widowControl/>
              <w:jc w:val="center"/>
              <w:textAlignment w:val="center"/>
              <w:rPr>
                <w:sz w:val="18"/>
                <w:szCs w:val="18"/>
              </w:rPr>
            </w:pPr>
            <w:r>
              <w:rPr>
                <w:kern w:val="0"/>
                <w:sz w:val="18"/>
                <w:szCs w:val="18"/>
                <w:lang w:bidi="ar"/>
              </w:rPr>
              <w:t>≤80MPa</w:t>
            </w:r>
          </w:p>
        </w:tc>
        <w:tc>
          <w:tcPr>
            <w:tcW w:w="1229" w:type="pct"/>
            <w:tcBorders>
              <w:tl2br w:val="nil"/>
              <w:tr2bl w:val="nil"/>
            </w:tcBorders>
            <w:shd w:val="clear" w:color="auto" w:fill="auto"/>
            <w:vAlign w:val="center"/>
          </w:tcPr>
          <w:p w14:paraId="16CC2B7E">
            <w:pPr>
              <w:widowControl/>
              <w:jc w:val="center"/>
              <w:textAlignment w:val="center"/>
              <w:rPr>
                <w:sz w:val="18"/>
                <w:szCs w:val="18"/>
              </w:rPr>
            </w:pPr>
            <w:r>
              <w:rPr>
                <w:kern w:val="0"/>
                <w:sz w:val="18"/>
                <w:szCs w:val="18"/>
                <w:lang w:bidi="ar"/>
              </w:rPr>
              <w:t>≤100MPa</w:t>
            </w:r>
          </w:p>
        </w:tc>
        <w:tc>
          <w:tcPr>
            <w:tcW w:w="1190" w:type="pct"/>
            <w:vMerge w:val="continue"/>
            <w:tcBorders>
              <w:tl2br w:val="nil"/>
              <w:tr2bl w:val="nil"/>
            </w:tcBorders>
            <w:shd w:val="clear" w:color="auto" w:fill="auto"/>
            <w:vAlign w:val="center"/>
          </w:tcPr>
          <w:p w14:paraId="31AD3A3F">
            <w:pPr>
              <w:adjustRightInd w:val="0"/>
              <w:snapToGrid w:val="0"/>
              <w:jc w:val="center"/>
              <w:rPr>
                <w:sz w:val="18"/>
                <w:szCs w:val="18"/>
              </w:rPr>
            </w:pPr>
          </w:p>
        </w:tc>
      </w:tr>
      <w:tr w14:paraId="2A562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28" w:type="pct"/>
            <w:vMerge w:val="continue"/>
            <w:tcBorders>
              <w:tl2br w:val="nil"/>
              <w:tr2bl w:val="nil"/>
            </w:tcBorders>
            <w:shd w:val="clear" w:color="auto" w:fill="auto"/>
            <w:vAlign w:val="center"/>
          </w:tcPr>
          <w:p w14:paraId="35BBC874">
            <w:pPr>
              <w:adjustRightInd w:val="0"/>
              <w:snapToGrid w:val="0"/>
              <w:jc w:val="center"/>
              <w:rPr>
                <w:sz w:val="18"/>
                <w:szCs w:val="18"/>
              </w:rPr>
            </w:pPr>
          </w:p>
        </w:tc>
        <w:tc>
          <w:tcPr>
            <w:tcW w:w="913" w:type="pct"/>
            <w:vMerge w:val="restart"/>
            <w:tcBorders>
              <w:tl2br w:val="nil"/>
              <w:tr2bl w:val="nil"/>
            </w:tcBorders>
            <w:shd w:val="clear" w:color="auto" w:fill="auto"/>
            <w:vAlign w:val="center"/>
          </w:tcPr>
          <w:p w14:paraId="0005EA21">
            <w:pPr>
              <w:widowControl/>
              <w:jc w:val="center"/>
              <w:textAlignment w:val="center"/>
              <w:rPr>
                <w:sz w:val="18"/>
                <w:szCs w:val="18"/>
              </w:rPr>
            </w:pPr>
            <w:r>
              <w:rPr>
                <w:kern w:val="0"/>
                <w:sz w:val="18"/>
                <w:szCs w:val="18"/>
                <w:lang w:bidi="ar"/>
              </w:rPr>
              <w:t>抗拉强度</w:t>
            </w:r>
            <w:r>
              <w:rPr>
                <w:i/>
                <w:iCs/>
                <w:kern w:val="0"/>
                <w:sz w:val="18"/>
                <w:szCs w:val="18"/>
                <w:lang w:bidi="ar"/>
              </w:rPr>
              <w:t>R</w:t>
            </w:r>
            <w:r>
              <w:rPr>
                <w:rStyle w:val="150"/>
                <w:i/>
                <w:iCs/>
                <w:color w:val="auto"/>
                <w:lang w:bidi="ar"/>
              </w:rPr>
              <w:t>m</w:t>
            </w:r>
            <w:r>
              <w:rPr>
                <w:kern w:val="0"/>
                <w:sz w:val="18"/>
                <w:szCs w:val="18"/>
                <w:lang w:bidi="ar"/>
              </w:rPr>
              <w:t>控制波动</w:t>
            </w:r>
          </w:p>
        </w:tc>
        <w:tc>
          <w:tcPr>
            <w:tcW w:w="1140" w:type="pct"/>
            <w:tcBorders>
              <w:tl2br w:val="nil"/>
              <w:tr2bl w:val="nil"/>
            </w:tcBorders>
            <w:shd w:val="clear" w:color="auto" w:fill="auto"/>
            <w:vAlign w:val="center"/>
          </w:tcPr>
          <w:p w14:paraId="7DF39B3F">
            <w:pPr>
              <w:widowControl/>
              <w:jc w:val="center"/>
              <w:textAlignment w:val="center"/>
              <w:rPr>
                <w:sz w:val="18"/>
                <w:szCs w:val="18"/>
              </w:rPr>
            </w:pPr>
            <w:r>
              <w:rPr>
                <w:kern w:val="0"/>
                <w:sz w:val="18"/>
                <w:szCs w:val="18"/>
                <w:lang w:bidi="ar"/>
              </w:rPr>
              <w:t>批次间波动：</w:t>
            </w:r>
          </w:p>
        </w:tc>
        <w:tc>
          <w:tcPr>
            <w:tcW w:w="1229" w:type="pct"/>
            <w:tcBorders>
              <w:tl2br w:val="nil"/>
              <w:tr2bl w:val="nil"/>
            </w:tcBorders>
            <w:shd w:val="clear" w:color="auto" w:fill="auto"/>
            <w:vAlign w:val="center"/>
          </w:tcPr>
          <w:p w14:paraId="0597C6FD">
            <w:pPr>
              <w:widowControl/>
              <w:jc w:val="center"/>
              <w:textAlignment w:val="center"/>
              <w:rPr>
                <w:sz w:val="18"/>
                <w:szCs w:val="18"/>
              </w:rPr>
            </w:pPr>
            <w:r>
              <w:rPr>
                <w:kern w:val="0"/>
                <w:sz w:val="18"/>
                <w:szCs w:val="18"/>
                <w:lang w:bidi="ar"/>
              </w:rPr>
              <w:t>批次间波动：</w:t>
            </w:r>
          </w:p>
        </w:tc>
        <w:tc>
          <w:tcPr>
            <w:tcW w:w="1190" w:type="pct"/>
            <w:vMerge w:val="continue"/>
            <w:tcBorders>
              <w:tl2br w:val="nil"/>
              <w:tr2bl w:val="nil"/>
            </w:tcBorders>
            <w:shd w:val="clear" w:color="auto" w:fill="auto"/>
            <w:vAlign w:val="center"/>
          </w:tcPr>
          <w:p w14:paraId="2AB985FE">
            <w:pPr>
              <w:widowControl/>
              <w:jc w:val="center"/>
              <w:textAlignment w:val="center"/>
              <w:rPr>
                <w:sz w:val="18"/>
                <w:szCs w:val="18"/>
              </w:rPr>
            </w:pPr>
          </w:p>
        </w:tc>
      </w:tr>
      <w:tr w14:paraId="0D438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28" w:type="pct"/>
            <w:vMerge w:val="continue"/>
            <w:tcBorders>
              <w:tl2br w:val="nil"/>
              <w:tr2bl w:val="nil"/>
            </w:tcBorders>
            <w:shd w:val="clear" w:color="auto" w:fill="auto"/>
            <w:vAlign w:val="center"/>
          </w:tcPr>
          <w:p w14:paraId="477A4C7A">
            <w:pPr>
              <w:adjustRightInd w:val="0"/>
              <w:snapToGrid w:val="0"/>
              <w:jc w:val="center"/>
              <w:rPr>
                <w:sz w:val="18"/>
                <w:szCs w:val="18"/>
              </w:rPr>
            </w:pPr>
          </w:p>
        </w:tc>
        <w:tc>
          <w:tcPr>
            <w:tcW w:w="913" w:type="pct"/>
            <w:vMerge w:val="continue"/>
            <w:tcBorders>
              <w:tl2br w:val="nil"/>
              <w:tr2bl w:val="nil"/>
            </w:tcBorders>
            <w:shd w:val="clear" w:color="auto" w:fill="auto"/>
            <w:vAlign w:val="center"/>
          </w:tcPr>
          <w:p w14:paraId="39D4BDEF">
            <w:pPr>
              <w:adjustRightInd w:val="0"/>
              <w:snapToGrid w:val="0"/>
              <w:jc w:val="center"/>
              <w:rPr>
                <w:sz w:val="18"/>
                <w:szCs w:val="18"/>
              </w:rPr>
            </w:pPr>
          </w:p>
        </w:tc>
        <w:tc>
          <w:tcPr>
            <w:tcW w:w="1140" w:type="pct"/>
            <w:tcBorders>
              <w:tl2br w:val="nil"/>
              <w:tr2bl w:val="nil"/>
            </w:tcBorders>
            <w:shd w:val="clear" w:color="auto" w:fill="auto"/>
            <w:vAlign w:val="center"/>
          </w:tcPr>
          <w:p w14:paraId="31875CF5">
            <w:pPr>
              <w:widowControl/>
              <w:jc w:val="center"/>
              <w:textAlignment w:val="center"/>
              <w:rPr>
                <w:sz w:val="18"/>
                <w:szCs w:val="18"/>
              </w:rPr>
            </w:pPr>
            <w:r>
              <w:rPr>
                <w:kern w:val="0"/>
                <w:sz w:val="18"/>
                <w:szCs w:val="18"/>
                <w:lang w:bidi="ar"/>
              </w:rPr>
              <w:t>≤80MPa</w:t>
            </w:r>
          </w:p>
        </w:tc>
        <w:tc>
          <w:tcPr>
            <w:tcW w:w="1229" w:type="pct"/>
            <w:tcBorders>
              <w:tl2br w:val="nil"/>
              <w:tr2bl w:val="nil"/>
            </w:tcBorders>
            <w:shd w:val="clear" w:color="auto" w:fill="auto"/>
            <w:vAlign w:val="center"/>
          </w:tcPr>
          <w:p w14:paraId="3105E265">
            <w:pPr>
              <w:widowControl/>
              <w:jc w:val="center"/>
              <w:textAlignment w:val="center"/>
              <w:rPr>
                <w:sz w:val="18"/>
                <w:szCs w:val="18"/>
              </w:rPr>
            </w:pPr>
            <w:r>
              <w:rPr>
                <w:kern w:val="0"/>
                <w:sz w:val="18"/>
                <w:szCs w:val="18"/>
                <w:lang w:bidi="ar"/>
              </w:rPr>
              <w:t>≤100MPa</w:t>
            </w:r>
          </w:p>
        </w:tc>
        <w:tc>
          <w:tcPr>
            <w:tcW w:w="1190" w:type="pct"/>
            <w:vMerge w:val="continue"/>
            <w:tcBorders>
              <w:tl2br w:val="nil"/>
              <w:tr2bl w:val="nil"/>
            </w:tcBorders>
            <w:shd w:val="clear" w:color="auto" w:fill="auto"/>
            <w:vAlign w:val="center"/>
          </w:tcPr>
          <w:p w14:paraId="49CB09CB">
            <w:pPr>
              <w:adjustRightInd w:val="0"/>
              <w:snapToGrid w:val="0"/>
              <w:jc w:val="center"/>
              <w:rPr>
                <w:sz w:val="18"/>
                <w:szCs w:val="18"/>
              </w:rPr>
            </w:pPr>
          </w:p>
        </w:tc>
      </w:tr>
      <w:tr w14:paraId="1B7A8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28" w:type="pct"/>
            <w:vMerge w:val="continue"/>
            <w:tcBorders>
              <w:tl2br w:val="nil"/>
              <w:tr2bl w:val="nil"/>
            </w:tcBorders>
            <w:shd w:val="clear" w:color="auto" w:fill="auto"/>
            <w:vAlign w:val="center"/>
          </w:tcPr>
          <w:p w14:paraId="0DFBBAFC">
            <w:pPr>
              <w:adjustRightInd w:val="0"/>
              <w:snapToGrid w:val="0"/>
              <w:jc w:val="center"/>
              <w:rPr>
                <w:sz w:val="18"/>
                <w:szCs w:val="18"/>
              </w:rPr>
            </w:pPr>
          </w:p>
        </w:tc>
        <w:tc>
          <w:tcPr>
            <w:tcW w:w="913" w:type="pct"/>
            <w:tcBorders>
              <w:tl2br w:val="nil"/>
              <w:tr2bl w:val="nil"/>
            </w:tcBorders>
            <w:shd w:val="clear" w:color="auto" w:fill="auto"/>
            <w:vAlign w:val="center"/>
          </w:tcPr>
          <w:p w14:paraId="0D411B3C">
            <w:pPr>
              <w:widowControl/>
              <w:jc w:val="center"/>
              <w:textAlignment w:val="center"/>
              <w:rPr>
                <w:sz w:val="18"/>
                <w:szCs w:val="18"/>
              </w:rPr>
            </w:pPr>
            <w:bookmarkStart w:id="22" w:name="_Hlk178340270"/>
            <w:r>
              <w:rPr>
                <w:kern w:val="0"/>
                <w:sz w:val="18"/>
                <w:szCs w:val="18"/>
                <w:lang w:bidi="ar"/>
              </w:rPr>
              <w:t>冲击</w:t>
            </w:r>
            <w:bookmarkEnd w:id="22"/>
            <w:r>
              <w:rPr>
                <w:kern w:val="0"/>
                <w:sz w:val="18"/>
                <w:szCs w:val="18"/>
                <w:lang w:bidi="ar"/>
              </w:rPr>
              <w:t>吸收能量(KV</w:t>
            </w:r>
            <w:r>
              <w:rPr>
                <w:kern w:val="0"/>
                <w:sz w:val="18"/>
                <w:szCs w:val="18"/>
                <w:vertAlign w:val="subscript"/>
                <w:lang w:bidi="ar"/>
              </w:rPr>
              <w:t>2</w:t>
            </w:r>
            <w:r>
              <w:rPr>
                <w:kern w:val="0"/>
                <w:sz w:val="18"/>
                <w:szCs w:val="18"/>
                <w:lang w:bidi="ar"/>
              </w:rPr>
              <w:t>/J)</w:t>
            </w:r>
          </w:p>
        </w:tc>
        <w:tc>
          <w:tcPr>
            <w:tcW w:w="1140" w:type="pct"/>
            <w:tcBorders>
              <w:tl2br w:val="nil"/>
              <w:tr2bl w:val="nil"/>
            </w:tcBorders>
            <w:shd w:val="clear" w:color="auto" w:fill="auto"/>
            <w:vAlign w:val="center"/>
          </w:tcPr>
          <w:p w14:paraId="15BE7D6E">
            <w:pPr>
              <w:widowControl/>
              <w:textAlignment w:val="center"/>
              <w:rPr>
                <w:sz w:val="18"/>
                <w:szCs w:val="18"/>
              </w:rPr>
            </w:pPr>
            <w:r>
              <w:rPr>
                <w:kern w:val="0"/>
                <w:sz w:val="18"/>
                <w:szCs w:val="18"/>
                <w:lang w:bidi="ar"/>
              </w:rPr>
              <w:t>项目有要求时：全尺寸冲击功：单值≥“项目要求下限+20J”的比例不低于90%</w:t>
            </w:r>
          </w:p>
        </w:tc>
        <w:tc>
          <w:tcPr>
            <w:tcW w:w="1229" w:type="pct"/>
            <w:tcBorders>
              <w:tl2br w:val="nil"/>
              <w:tr2bl w:val="nil"/>
            </w:tcBorders>
            <w:shd w:val="clear" w:color="auto" w:fill="auto"/>
            <w:vAlign w:val="center"/>
          </w:tcPr>
          <w:p w14:paraId="47DE9404">
            <w:pPr>
              <w:widowControl/>
              <w:textAlignment w:val="center"/>
              <w:rPr>
                <w:sz w:val="18"/>
                <w:szCs w:val="18"/>
              </w:rPr>
            </w:pPr>
            <w:r>
              <w:rPr>
                <w:kern w:val="0"/>
                <w:sz w:val="18"/>
                <w:szCs w:val="18"/>
                <w:lang w:bidi="ar"/>
              </w:rPr>
              <w:t>项目有要求时：全尺寸冲击功：单值≥“项目要求下限+20J”的比例不低于70%</w:t>
            </w:r>
          </w:p>
        </w:tc>
        <w:tc>
          <w:tcPr>
            <w:tcW w:w="1190" w:type="pct"/>
            <w:tcBorders>
              <w:tl2br w:val="nil"/>
              <w:tr2bl w:val="nil"/>
            </w:tcBorders>
            <w:shd w:val="clear" w:color="auto" w:fill="auto"/>
            <w:vAlign w:val="center"/>
          </w:tcPr>
          <w:p w14:paraId="40E139FD">
            <w:pPr>
              <w:widowControl/>
              <w:jc w:val="left"/>
              <w:textAlignment w:val="center"/>
              <w:rPr>
                <w:sz w:val="18"/>
                <w:szCs w:val="18"/>
              </w:rPr>
            </w:pPr>
            <w:r>
              <w:rPr>
                <w:kern w:val="0"/>
                <w:sz w:val="18"/>
                <w:szCs w:val="18"/>
                <w:lang w:bidi="ar"/>
              </w:rPr>
              <w:t>符合GB/T 6653规定</w:t>
            </w:r>
          </w:p>
        </w:tc>
      </w:tr>
      <w:tr w14:paraId="78CE3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00" w:type="pct"/>
            <w:gridSpan w:val="5"/>
            <w:tcBorders>
              <w:tl2br w:val="nil"/>
              <w:tr2bl w:val="nil"/>
            </w:tcBorders>
            <w:shd w:val="clear" w:color="auto" w:fill="auto"/>
            <w:vAlign w:val="center"/>
          </w:tcPr>
          <w:p w14:paraId="373EA1B4">
            <w:pPr>
              <w:widowControl/>
              <w:jc w:val="left"/>
              <w:textAlignment w:val="center"/>
              <w:rPr>
                <w:kern w:val="0"/>
                <w:sz w:val="18"/>
                <w:szCs w:val="18"/>
                <w:vertAlign w:val="superscript"/>
                <w:lang w:bidi="ar"/>
              </w:rPr>
            </w:pPr>
            <w:r>
              <w:rPr>
                <w:kern w:val="0"/>
                <w:sz w:val="18"/>
                <w:szCs w:val="18"/>
                <w:vertAlign w:val="superscript"/>
                <w:lang w:bidi="ar"/>
              </w:rPr>
              <w:t xml:space="preserve">a </w:t>
            </w:r>
            <w:r>
              <w:rPr>
                <w:kern w:val="0"/>
                <w:sz w:val="18"/>
                <w:szCs w:val="18"/>
                <w:lang w:bidi="ar"/>
              </w:rPr>
              <w:t>作为微量元素添加时。</w:t>
            </w:r>
          </w:p>
        </w:tc>
      </w:tr>
    </w:tbl>
    <w:p w14:paraId="24DAFE32">
      <w:pPr>
        <w:pStyle w:val="45"/>
        <w:numPr>
          <w:ilvl w:val="0"/>
          <w:numId w:val="2"/>
        </w:numPr>
        <w:spacing w:before="312" w:after="312"/>
        <w:rPr>
          <w:rFonts w:ascii="Times New Roman"/>
          <w:szCs w:val="22"/>
        </w:rPr>
      </w:pPr>
      <w:bookmarkStart w:id="23" w:name="_Toc63427526"/>
      <w:r>
        <w:rPr>
          <w:rFonts w:ascii="Times New Roman"/>
        </w:rPr>
        <w:t>评价方法</w:t>
      </w:r>
    </w:p>
    <w:bookmarkEnd w:id="23"/>
    <w:p w14:paraId="00569D1C">
      <w:pPr>
        <w:pStyle w:val="47"/>
        <w:spacing w:before="156" w:after="156"/>
        <w:ind w:left="0"/>
        <w:jc w:val="both"/>
        <w:rPr>
          <w:rFonts w:ascii="Times New Roman"/>
        </w:rPr>
      </w:pPr>
      <w:r>
        <w:rPr>
          <w:rFonts w:ascii="Times New Roman"/>
        </w:rPr>
        <w:t>试验方法</w:t>
      </w:r>
    </w:p>
    <w:p w14:paraId="15D5DF97">
      <w:pPr>
        <w:pStyle w:val="22"/>
        <w:rPr>
          <w:rFonts w:ascii="Times New Roman"/>
        </w:rPr>
      </w:pPr>
      <w:r>
        <w:rPr>
          <w:rFonts w:ascii="Times New Roman"/>
        </w:rPr>
        <w:t>钢板</w:t>
      </w:r>
      <w:r>
        <w:rPr>
          <w:rFonts w:hint="eastAsia" w:ascii="Times New Roman"/>
        </w:rPr>
        <w:t>及</w:t>
      </w:r>
      <w:r>
        <w:rPr>
          <w:rFonts w:ascii="Times New Roman"/>
        </w:rPr>
        <w:t>钢带质量分级的检验项目、取样数量、取样方法及试验方法应符合GB/T 6653的规定。</w:t>
      </w:r>
    </w:p>
    <w:p w14:paraId="48EF61F9">
      <w:pPr>
        <w:pStyle w:val="47"/>
        <w:spacing w:before="156" w:after="156"/>
        <w:ind w:left="0"/>
        <w:jc w:val="both"/>
        <w:rPr>
          <w:rFonts w:ascii="Times New Roman"/>
        </w:rPr>
      </w:pPr>
      <w:r>
        <w:rPr>
          <w:rFonts w:ascii="Times New Roman"/>
        </w:rPr>
        <w:t>评价要求</w:t>
      </w:r>
    </w:p>
    <w:p w14:paraId="228E658E">
      <w:pPr>
        <w:pStyle w:val="50"/>
        <w:spacing w:before="156" w:after="156"/>
        <w:jc w:val="both"/>
        <w:rPr>
          <w:rFonts w:ascii="Times New Roman" w:eastAsia="宋体"/>
        </w:rPr>
      </w:pPr>
      <w:r>
        <w:rPr>
          <w:rFonts w:ascii="Times New Roman" w:eastAsia="宋体"/>
        </w:rPr>
        <w:t>钢板</w:t>
      </w:r>
      <w:r>
        <w:rPr>
          <w:rFonts w:hint="eastAsia" w:ascii="Times New Roman" w:eastAsia="宋体"/>
        </w:rPr>
        <w:t>及</w:t>
      </w:r>
      <w:r>
        <w:rPr>
          <w:rFonts w:ascii="Times New Roman" w:eastAsia="宋体"/>
        </w:rPr>
        <w:t>钢带产品分级评价应建立规范的评价工作流程，包括评价准备、组建评价工作组、制定评价方案、现场评价、编制评价报告、技术评审等。</w:t>
      </w:r>
    </w:p>
    <w:p w14:paraId="4BDACB4E">
      <w:pPr>
        <w:pStyle w:val="50"/>
        <w:spacing w:before="156" w:after="156"/>
        <w:jc w:val="both"/>
        <w:rPr>
          <w:rFonts w:ascii="Times New Roman" w:eastAsia="宋体"/>
        </w:rPr>
      </w:pPr>
      <w:bookmarkStart w:id="24" w:name="5.3.2__方矩管按批进行质量分级和评价，组批规则应符合GB/T_6725的规"/>
      <w:bookmarkEnd w:id="24"/>
      <w:r>
        <w:rPr>
          <w:rFonts w:ascii="Times New Roman" w:eastAsia="宋体"/>
        </w:rPr>
        <w:t>钢板</w:t>
      </w:r>
      <w:r>
        <w:rPr>
          <w:rFonts w:hint="eastAsia" w:ascii="Times New Roman" w:eastAsia="宋体"/>
        </w:rPr>
        <w:t>及</w:t>
      </w:r>
      <w:r>
        <w:rPr>
          <w:rFonts w:ascii="Times New Roman" w:eastAsia="宋体"/>
        </w:rPr>
        <w:t>钢带按批进行质量分级和评价，组批规则应符合GB/T 6653的规定。</w:t>
      </w:r>
    </w:p>
    <w:p w14:paraId="23B65D8F">
      <w:pPr>
        <w:pStyle w:val="50"/>
        <w:spacing w:before="156" w:after="156"/>
        <w:jc w:val="both"/>
        <w:rPr>
          <w:rFonts w:ascii="Times New Roman" w:eastAsia="宋体"/>
        </w:rPr>
      </w:pPr>
      <w:bookmarkStart w:id="25" w:name="5.3.3__方矩管按5.2进行检验，检验项目全部达到表1某一等级要求时，该批产"/>
      <w:bookmarkEnd w:id="25"/>
      <w:r>
        <w:rPr>
          <w:rFonts w:ascii="Times New Roman" w:eastAsia="宋体"/>
        </w:rPr>
        <w:t>钢板</w:t>
      </w:r>
      <w:r>
        <w:rPr>
          <w:rFonts w:hint="eastAsia" w:ascii="Times New Roman" w:eastAsia="宋体"/>
        </w:rPr>
        <w:t>及</w:t>
      </w:r>
      <w:r>
        <w:rPr>
          <w:rFonts w:ascii="Times New Roman" w:eastAsia="宋体"/>
        </w:rPr>
        <w:t>钢带按5.1进行检验，检验项目全部达到表1、表2某一等级要求时，该批产品可评价为该等级。</w:t>
      </w:r>
    </w:p>
    <w:bookmarkEnd w:id="14"/>
    <w:bookmarkEnd w:id="15"/>
    <w:bookmarkEnd w:id="16"/>
    <w:bookmarkEnd w:id="17"/>
    <w:p w14:paraId="262FF1D8">
      <w:pPr>
        <w:pStyle w:val="45"/>
        <w:numPr>
          <w:ilvl w:val="0"/>
          <w:numId w:val="2"/>
        </w:numPr>
        <w:spacing w:before="312" w:after="312"/>
        <w:rPr>
          <w:rFonts w:ascii="Times New Roman"/>
        </w:rPr>
      </w:pPr>
      <w:bookmarkStart w:id="26" w:name="_Toc63427527"/>
      <w:r>
        <w:rPr>
          <w:rFonts w:ascii="Times New Roman"/>
        </w:rPr>
        <w:t>等级标识</w:t>
      </w:r>
      <w:bookmarkEnd w:id="26"/>
    </w:p>
    <w:p w14:paraId="185DBC78">
      <w:pPr>
        <w:pStyle w:val="47"/>
        <w:spacing w:before="156" w:after="156"/>
        <w:ind w:left="0"/>
        <w:rPr>
          <w:rFonts w:ascii="Times New Roman" w:eastAsia="宋体"/>
        </w:rPr>
      </w:pPr>
      <w:r>
        <w:rPr>
          <w:rFonts w:ascii="Times New Roman" w:eastAsia="宋体"/>
        </w:rPr>
        <w:t>钢板</w:t>
      </w:r>
      <w:r>
        <w:rPr>
          <w:rFonts w:hint="eastAsia" w:ascii="Times New Roman" w:eastAsia="宋体"/>
        </w:rPr>
        <w:t>及</w:t>
      </w:r>
      <w:r>
        <w:rPr>
          <w:rFonts w:ascii="Times New Roman" w:eastAsia="宋体"/>
        </w:rPr>
        <w:t>钢带的质量等级标识由供方标注于外包装及质量证明书上。</w:t>
      </w:r>
    </w:p>
    <w:p w14:paraId="5F1408A1">
      <w:pPr>
        <w:pStyle w:val="47"/>
        <w:spacing w:before="156" w:after="156"/>
        <w:ind w:left="0"/>
        <w:rPr>
          <w:rFonts w:ascii="Times New Roman" w:eastAsia="宋体"/>
        </w:rPr>
      </w:pPr>
      <w:r>
        <w:rPr>
          <w:rFonts w:ascii="Times New Roman" w:eastAsia="宋体"/>
        </w:rPr>
        <w:t>一般级可标注“AAA级”，优质级可标注“AAAA级”，特优级可标注“AAAAA级”。</w:t>
      </w:r>
      <w:r>
        <w:rPr>
          <w:rFonts w:ascii="Times New Roman" w:eastAsia="宋体"/>
        </w:rPr>
        <mc:AlternateContent>
          <mc:Choice Requires="wps">
            <w:drawing>
              <wp:anchor distT="0" distB="0" distL="114300" distR="114300" simplePos="0" relativeHeight="251660288" behindDoc="0" locked="0" layoutInCell="1" allowOverlap="1">
                <wp:simplePos x="0" y="0"/>
                <wp:positionH relativeFrom="column">
                  <wp:posOffset>2124710</wp:posOffset>
                </wp:positionH>
                <wp:positionV relativeFrom="paragraph">
                  <wp:posOffset>465455</wp:posOffset>
                </wp:positionV>
                <wp:extent cx="1624330" cy="0"/>
                <wp:effectExtent l="0" t="0" r="33020" b="19050"/>
                <wp:wrapNone/>
                <wp:docPr id="6" name="直接箭头连接符 6"/>
                <wp:cNvGraphicFramePr/>
                <a:graphic xmlns:a="http://schemas.openxmlformats.org/drawingml/2006/main">
                  <a:graphicData uri="http://schemas.microsoft.com/office/word/2010/wordprocessingShape">
                    <wps:wsp>
                      <wps:cNvCnPr>
                        <a:cxnSpLocks noChangeShapeType="1"/>
                      </wps:cNvCnPr>
                      <wps:spPr bwMode="auto">
                        <a:xfrm>
                          <a:off x="0" y="0"/>
                          <a:ext cx="162433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167.3pt;margin-top:36.65pt;height:0pt;width:127.9pt;z-index:251660288;mso-width-relative:page;mso-height-relative:page;" filled="f" stroked="t" coordsize="21600,21600" o:gfxdata="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A46cKdgAAAAJAQAADwAAAAAAAAABACAAAAAiAAAAZHJzL2Rvd25yZXYueG1sUEsB&#10;AhQAFAAAAAgAh07iQOEwMp71AQAAvgMAAA4AAAAAAAAAAQAgAAAAJwEAAGRycy9lMm9Eb2MueG1s&#10;UEsFBgAAAAAGAAYAWQEAAI4FAAAAAA==&#10;">
                <v:fill on="f" focussize="0,0"/>
                <v:stroke color="#000000" joinstyle="round"/>
                <v:imagedata o:title=""/>
                <o:lock v:ext="edit" aspectratio="f"/>
              </v:shape>
            </w:pict>
          </mc:Fallback>
        </mc:AlternateContent>
      </w:r>
    </w:p>
    <w:sectPr>
      <w:headerReference r:id="rId12" w:type="default"/>
      <w:footerReference r:id="rId13" w:type="default"/>
      <w:pgSz w:w="11906" w:h="16838"/>
      <w:pgMar w:top="567" w:right="1134" w:bottom="1134" w:left="1418" w:header="1418" w:footer="1134" w:gutter="0"/>
      <w:pgNumType w:start="1"/>
      <w:cols w:space="720"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4A7215">
    <w:pPr>
      <w:pStyle w:val="1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1A4D65">
    <w:pPr>
      <w:pStyle w:val="92"/>
    </w:pPr>
    <w:r>
      <w:fldChar w:fldCharType="begin"/>
    </w:r>
    <w:r>
      <w:instrText xml:space="preserve"> PAGE  \* MERGEFORMAT </w:instrText>
    </w:r>
    <w:r>
      <w:fldChar w:fldCharType="separate"/>
    </w:r>
    <w:r>
      <w:t>I</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61861434"/>
    </w:sdtPr>
    <w:sdtContent>
      <w:p w14:paraId="57D8D368">
        <w:pPr>
          <w:pStyle w:val="16"/>
          <w:jc w:val="left"/>
        </w:pPr>
        <w:r>
          <w:fldChar w:fldCharType="begin"/>
        </w:r>
        <w:r>
          <w:instrText xml:space="preserve">PAGE   \* MERGEFORMAT</w:instrText>
        </w:r>
        <w:r>
          <w:fldChar w:fldCharType="separate"/>
        </w:r>
        <w:r>
          <w:rPr>
            <w:lang w:val="zh-CN"/>
          </w:rPr>
          <w:t>2</w:t>
        </w:r>
        <w: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948A69">
    <w:pPr>
      <w:pStyle w:val="1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06B995">
    <w:pPr>
      <w:pStyle w:val="92"/>
    </w:pPr>
    <w:r>
      <w:fldChar w:fldCharType="begin"/>
    </w:r>
    <w:r>
      <w:instrText xml:space="preserve"> PAGE  \* MERGEFORMAT </w:instrText>
    </w:r>
    <w:r>
      <w:fldChar w:fldCharType="separate"/>
    </w:r>
    <w:r>
      <w:t>3</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0D7568">
    <w:pPr>
      <w:pStyle w:val="17"/>
      <w:wordWrap w:val="0"/>
      <w:jc w:val="right"/>
      <w:rPr>
        <w:rFonts w:ascii="黑体" w:eastAsia="黑体"/>
        <w:b/>
        <w:sz w:val="21"/>
        <w:szCs w:val="21"/>
      </w:rPr>
    </w:pPr>
    <w:r>
      <w:rPr>
        <w:rFonts w:ascii="黑体" w:eastAsia="黑体"/>
        <w:i/>
        <w:sz w:val="21"/>
        <w:szCs w:val="21"/>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68E3FA">
    <w:pPr>
      <w:pStyle w:val="1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696F34">
    <w:pPr>
      <w:pStyle w:val="17"/>
      <w:rPr>
        <w:rFonts w:ascii="黑体" w:eastAsia="黑体" w:cs="黑体"/>
        <w:b/>
        <w:bCs/>
        <w:sz w:val="21"/>
        <w:szCs w:val="21"/>
      </w:rPr>
    </w:pPr>
    <w:r>
      <w:rPr>
        <w:rFonts w:hint="eastAsia" w:ascii="黑体" w:eastAsia="黑体" w:cs="黑体"/>
        <w:b/>
        <w:bCs/>
        <w:sz w:val="21"/>
        <w:szCs w:val="21"/>
      </w:rPr>
      <w:t>T/SSEA</w:t>
    </w:r>
    <w:r>
      <w:rPr>
        <w:rFonts w:hint="eastAsia" w:ascii="黑体" w:cs="黑体"/>
        <w:b/>
        <w:bCs/>
        <w:sz w:val="21"/>
        <w:szCs w:val="21"/>
      </w:rPr>
      <w:t xml:space="preserve"> XXXX</w:t>
    </w:r>
    <w:r>
      <w:rPr>
        <w:rFonts w:hint="eastAsia" w:ascii="黑体" w:eastAsia="黑体" w:cs="黑体"/>
        <w:b/>
        <w:bCs/>
        <w:sz w:val="21"/>
        <w:szCs w:val="21"/>
      </w:rPr>
      <w:t>-XXXX</w:t>
    </w:r>
  </w:p>
  <w:p w14:paraId="6EDBEE70">
    <w:pPr>
      <w:pStyle w:val="1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07C493">
    <w:pPr>
      <w:pStyle w:val="17"/>
      <w:rPr>
        <w:rFonts w:ascii="黑体" w:eastAsia="黑体" w:cs="黑体"/>
        <w:b/>
        <w:bCs/>
        <w:sz w:val="21"/>
        <w:szCs w:val="21"/>
      </w:rPr>
    </w:pPr>
    <w:r>
      <w:rPr>
        <w:rFonts w:hint="eastAsia" w:ascii="黑体" w:eastAsia="黑体" w:cs="黑体"/>
        <w:b/>
        <w:bCs/>
        <w:sz w:val="21"/>
        <w:szCs w:val="21"/>
      </w:rPr>
      <w:t>T/SSEA</w:t>
    </w:r>
    <w:r>
      <w:rPr>
        <w:rFonts w:hint="eastAsia" w:ascii="黑体" w:cs="黑体"/>
        <w:b/>
        <w:bCs/>
        <w:sz w:val="21"/>
        <w:szCs w:val="21"/>
      </w:rPr>
      <w:t xml:space="preserve"> XXXX</w:t>
    </w:r>
    <w:r>
      <w:rPr>
        <w:rFonts w:hint="eastAsia" w:ascii="黑体" w:eastAsia="黑体" w:cs="黑体"/>
        <w:b/>
        <w:bCs/>
        <w:sz w:val="21"/>
        <w:szCs w:val="21"/>
      </w:rPr>
      <w:t>-</w:t>
    </w:r>
    <w:r>
      <w:rPr>
        <w:rFonts w:ascii="黑体" w:eastAsia="黑体" w:cs="黑体"/>
        <w:b/>
        <w:bCs/>
        <w:sz w:val="21"/>
        <w:szCs w:val="21"/>
      </w:rPr>
      <w:t>XXXX</w:t>
    </w:r>
  </w:p>
  <w:p w14:paraId="7D0D0C9F">
    <w:pPr>
      <w:pStyle w:val="17"/>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F1C517">
    <w:pPr>
      <w:pStyle w:val="17"/>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E5165F">
    <w:pPr>
      <w:pStyle w:val="17"/>
      <w:jc w:val="right"/>
      <w:rPr>
        <w:rFonts w:ascii="黑体" w:eastAsia="黑体" w:cs="黑体"/>
        <w:b/>
        <w:bCs/>
        <w:sz w:val="21"/>
        <w:szCs w:val="21"/>
      </w:rPr>
    </w:pPr>
    <w:r>
      <w:rPr>
        <w:rFonts w:hint="eastAsia" w:ascii="黑体" w:eastAsia="黑体" w:cs="黑体"/>
        <w:b/>
        <w:bCs/>
        <w:sz w:val="21"/>
        <w:szCs w:val="21"/>
      </w:rPr>
      <w:t>T/SSEA</w:t>
    </w:r>
    <w:r>
      <w:rPr>
        <w:rFonts w:hint="eastAsia" w:ascii="黑体" w:cs="黑体"/>
        <w:b/>
        <w:bCs/>
        <w:sz w:val="21"/>
        <w:szCs w:val="21"/>
      </w:rPr>
      <w:t xml:space="preserve"> XXXX</w:t>
    </w:r>
    <w:r>
      <w:rPr>
        <w:rFonts w:hint="eastAsia" w:ascii="黑体" w:eastAsia="黑体" w:cs="黑体"/>
        <w:b/>
        <w:bCs/>
        <w:sz w:val="21"/>
        <w:szCs w:val="21"/>
      </w:rPr>
      <w:t>-</w:t>
    </w:r>
    <w:r>
      <w:rPr>
        <w:rFonts w:ascii="黑体" w:eastAsia="黑体" w:cs="黑体"/>
        <w:b/>
        <w:bCs/>
        <w:sz w:val="21"/>
        <w:szCs w:val="21"/>
      </w:rPr>
      <w:t>XXXX</w:t>
    </w:r>
  </w:p>
  <w:p w14:paraId="279807FD">
    <w:pPr>
      <w:pStyle w:val="1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47"/>
      <w:suff w:val="nothing"/>
      <w:lvlText w:val="%1.%2　"/>
      <w:lvlJc w:val="left"/>
      <w:pPr>
        <w:ind w:left="567"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pStyle w:val="50"/>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646260FA"/>
    <w:multiLevelType w:val="multilevel"/>
    <w:tmpl w:val="646260FA"/>
    <w:lvl w:ilvl="0" w:tentative="0">
      <w:start w:val="1"/>
      <w:numFmt w:val="decimal"/>
      <w:pStyle w:val="77"/>
      <w:suff w:val="nothing"/>
      <w:lvlText w:val="表%1　"/>
      <w:lvlJc w:val="left"/>
      <w:pPr>
        <w:ind w:left="4111" w:firstLine="0"/>
      </w:pPr>
      <w:rPr>
        <w:rFonts w:hint="eastAsia" w:ascii="黑体" w:hAnsi="Times New Roman" w:eastAsia="黑体"/>
        <w:b w:val="0"/>
        <w:i w:val="0"/>
        <w:sz w:val="21"/>
        <w:lang w:val="en-US"/>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
    <w:nsid w:val="66F21F56"/>
    <w:multiLevelType w:val="multilevel"/>
    <w:tmpl w:val="66F21F56"/>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925"/>
    <w:rsid w:val="00000097"/>
    <w:rsid w:val="00000244"/>
    <w:rsid w:val="00000CD3"/>
    <w:rsid w:val="0000185F"/>
    <w:rsid w:val="0000586F"/>
    <w:rsid w:val="00005D79"/>
    <w:rsid w:val="000069FA"/>
    <w:rsid w:val="00007340"/>
    <w:rsid w:val="00013D86"/>
    <w:rsid w:val="00013E02"/>
    <w:rsid w:val="00017E7B"/>
    <w:rsid w:val="00020414"/>
    <w:rsid w:val="0002143C"/>
    <w:rsid w:val="00022016"/>
    <w:rsid w:val="000238EC"/>
    <w:rsid w:val="00025A65"/>
    <w:rsid w:val="000267B2"/>
    <w:rsid w:val="00026C31"/>
    <w:rsid w:val="00027280"/>
    <w:rsid w:val="000306E3"/>
    <w:rsid w:val="000320A7"/>
    <w:rsid w:val="00033C7F"/>
    <w:rsid w:val="00035925"/>
    <w:rsid w:val="000366F4"/>
    <w:rsid w:val="00037DAC"/>
    <w:rsid w:val="00041127"/>
    <w:rsid w:val="00045C9B"/>
    <w:rsid w:val="000466F7"/>
    <w:rsid w:val="00054B4A"/>
    <w:rsid w:val="000639E9"/>
    <w:rsid w:val="00063E76"/>
    <w:rsid w:val="00067CDF"/>
    <w:rsid w:val="00070931"/>
    <w:rsid w:val="00074FBE"/>
    <w:rsid w:val="000772BB"/>
    <w:rsid w:val="00077E45"/>
    <w:rsid w:val="000818DD"/>
    <w:rsid w:val="000834E4"/>
    <w:rsid w:val="00083A09"/>
    <w:rsid w:val="0009005E"/>
    <w:rsid w:val="00090E08"/>
    <w:rsid w:val="00092857"/>
    <w:rsid w:val="00094BD2"/>
    <w:rsid w:val="000A20A9"/>
    <w:rsid w:val="000A48B1"/>
    <w:rsid w:val="000A4DFA"/>
    <w:rsid w:val="000A5495"/>
    <w:rsid w:val="000B06B6"/>
    <w:rsid w:val="000B3143"/>
    <w:rsid w:val="000B4D28"/>
    <w:rsid w:val="000C05ED"/>
    <w:rsid w:val="000C30C7"/>
    <w:rsid w:val="000C6B05"/>
    <w:rsid w:val="000C6DD6"/>
    <w:rsid w:val="000C73D4"/>
    <w:rsid w:val="000D03F1"/>
    <w:rsid w:val="000D114F"/>
    <w:rsid w:val="000D3D4C"/>
    <w:rsid w:val="000D4406"/>
    <w:rsid w:val="000D4505"/>
    <w:rsid w:val="000D4F51"/>
    <w:rsid w:val="000D718B"/>
    <w:rsid w:val="000E014B"/>
    <w:rsid w:val="000E0C46"/>
    <w:rsid w:val="000E2645"/>
    <w:rsid w:val="000E2744"/>
    <w:rsid w:val="000E3EC7"/>
    <w:rsid w:val="000F030C"/>
    <w:rsid w:val="000F04B4"/>
    <w:rsid w:val="000F129C"/>
    <w:rsid w:val="000F31BB"/>
    <w:rsid w:val="00102366"/>
    <w:rsid w:val="001056DE"/>
    <w:rsid w:val="00111863"/>
    <w:rsid w:val="001124C0"/>
    <w:rsid w:val="00120F44"/>
    <w:rsid w:val="00121FE9"/>
    <w:rsid w:val="001241EE"/>
    <w:rsid w:val="00125108"/>
    <w:rsid w:val="001278EF"/>
    <w:rsid w:val="0013175F"/>
    <w:rsid w:val="00132E58"/>
    <w:rsid w:val="00134999"/>
    <w:rsid w:val="00141BF1"/>
    <w:rsid w:val="00143F81"/>
    <w:rsid w:val="00145949"/>
    <w:rsid w:val="00146E19"/>
    <w:rsid w:val="001512B4"/>
    <w:rsid w:val="0015203D"/>
    <w:rsid w:val="00152179"/>
    <w:rsid w:val="00154746"/>
    <w:rsid w:val="00154A8E"/>
    <w:rsid w:val="00156D41"/>
    <w:rsid w:val="00160652"/>
    <w:rsid w:val="001620A5"/>
    <w:rsid w:val="00164E53"/>
    <w:rsid w:val="0016699D"/>
    <w:rsid w:val="001701E9"/>
    <w:rsid w:val="0017259F"/>
    <w:rsid w:val="00172C54"/>
    <w:rsid w:val="001730C9"/>
    <w:rsid w:val="00173E6C"/>
    <w:rsid w:val="00175159"/>
    <w:rsid w:val="0017527F"/>
    <w:rsid w:val="00176208"/>
    <w:rsid w:val="00176D4A"/>
    <w:rsid w:val="0017711B"/>
    <w:rsid w:val="0018211B"/>
    <w:rsid w:val="001840D3"/>
    <w:rsid w:val="001851E0"/>
    <w:rsid w:val="00186A56"/>
    <w:rsid w:val="00187A9A"/>
    <w:rsid w:val="001900F8"/>
    <w:rsid w:val="0019112B"/>
    <w:rsid w:val="00191258"/>
    <w:rsid w:val="00192680"/>
    <w:rsid w:val="00193037"/>
    <w:rsid w:val="00193A2C"/>
    <w:rsid w:val="00197D88"/>
    <w:rsid w:val="001A01D4"/>
    <w:rsid w:val="001A22BF"/>
    <w:rsid w:val="001A288E"/>
    <w:rsid w:val="001A32EE"/>
    <w:rsid w:val="001B0469"/>
    <w:rsid w:val="001B2C9E"/>
    <w:rsid w:val="001B5E5F"/>
    <w:rsid w:val="001B617C"/>
    <w:rsid w:val="001B6DC2"/>
    <w:rsid w:val="001C149C"/>
    <w:rsid w:val="001C21AC"/>
    <w:rsid w:val="001C47BA"/>
    <w:rsid w:val="001C59EA"/>
    <w:rsid w:val="001D1F2B"/>
    <w:rsid w:val="001D406C"/>
    <w:rsid w:val="001D41EE"/>
    <w:rsid w:val="001D4EC2"/>
    <w:rsid w:val="001D7CB7"/>
    <w:rsid w:val="001E0380"/>
    <w:rsid w:val="001E13B1"/>
    <w:rsid w:val="001E1C40"/>
    <w:rsid w:val="001E24EA"/>
    <w:rsid w:val="001E55B7"/>
    <w:rsid w:val="001E69DB"/>
    <w:rsid w:val="001F3A19"/>
    <w:rsid w:val="001F3FBF"/>
    <w:rsid w:val="001F7242"/>
    <w:rsid w:val="002002E4"/>
    <w:rsid w:val="00200FD4"/>
    <w:rsid w:val="002040EA"/>
    <w:rsid w:val="002046F0"/>
    <w:rsid w:val="00207392"/>
    <w:rsid w:val="0022046A"/>
    <w:rsid w:val="002242CD"/>
    <w:rsid w:val="00231142"/>
    <w:rsid w:val="00231970"/>
    <w:rsid w:val="00234467"/>
    <w:rsid w:val="00237D8D"/>
    <w:rsid w:val="00240622"/>
    <w:rsid w:val="00240FE6"/>
    <w:rsid w:val="00241DA2"/>
    <w:rsid w:val="00245B95"/>
    <w:rsid w:val="00247FEE"/>
    <w:rsid w:val="00250E7D"/>
    <w:rsid w:val="002543BB"/>
    <w:rsid w:val="002549B0"/>
    <w:rsid w:val="0025519D"/>
    <w:rsid w:val="00255829"/>
    <w:rsid w:val="002565D5"/>
    <w:rsid w:val="00257415"/>
    <w:rsid w:val="00257C39"/>
    <w:rsid w:val="002622C0"/>
    <w:rsid w:val="00262D2E"/>
    <w:rsid w:val="002641EE"/>
    <w:rsid w:val="00264F9B"/>
    <w:rsid w:val="0027416B"/>
    <w:rsid w:val="002759BB"/>
    <w:rsid w:val="00276B08"/>
    <w:rsid w:val="002778AE"/>
    <w:rsid w:val="0028022A"/>
    <w:rsid w:val="00281919"/>
    <w:rsid w:val="002824CB"/>
    <w:rsid w:val="0028269A"/>
    <w:rsid w:val="00283590"/>
    <w:rsid w:val="00286973"/>
    <w:rsid w:val="00287EDD"/>
    <w:rsid w:val="002904AF"/>
    <w:rsid w:val="00290CB7"/>
    <w:rsid w:val="0029310B"/>
    <w:rsid w:val="00294E70"/>
    <w:rsid w:val="002952CE"/>
    <w:rsid w:val="00296FB8"/>
    <w:rsid w:val="002A06B3"/>
    <w:rsid w:val="002A0C9E"/>
    <w:rsid w:val="002A1924"/>
    <w:rsid w:val="002A390B"/>
    <w:rsid w:val="002A7420"/>
    <w:rsid w:val="002A77C5"/>
    <w:rsid w:val="002B0F12"/>
    <w:rsid w:val="002B1308"/>
    <w:rsid w:val="002B4449"/>
    <w:rsid w:val="002B4554"/>
    <w:rsid w:val="002B4FE3"/>
    <w:rsid w:val="002C2696"/>
    <w:rsid w:val="002C72D8"/>
    <w:rsid w:val="002D11FA"/>
    <w:rsid w:val="002D545A"/>
    <w:rsid w:val="002E0DDF"/>
    <w:rsid w:val="002E2906"/>
    <w:rsid w:val="002E5635"/>
    <w:rsid w:val="002E59CE"/>
    <w:rsid w:val="002E64C3"/>
    <w:rsid w:val="002E6A2C"/>
    <w:rsid w:val="002F1D8C"/>
    <w:rsid w:val="002F21DA"/>
    <w:rsid w:val="002F31F1"/>
    <w:rsid w:val="002F3F0D"/>
    <w:rsid w:val="002F42E2"/>
    <w:rsid w:val="002F4512"/>
    <w:rsid w:val="002F57F3"/>
    <w:rsid w:val="00301F39"/>
    <w:rsid w:val="00305812"/>
    <w:rsid w:val="003073E0"/>
    <w:rsid w:val="00307FBB"/>
    <w:rsid w:val="00310478"/>
    <w:rsid w:val="00311E90"/>
    <w:rsid w:val="00317A37"/>
    <w:rsid w:val="0032071A"/>
    <w:rsid w:val="00325234"/>
    <w:rsid w:val="00325926"/>
    <w:rsid w:val="00326BCE"/>
    <w:rsid w:val="00327A8A"/>
    <w:rsid w:val="00336610"/>
    <w:rsid w:val="00343F73"/>
    <w:rsid w:val="00345060"/>
    <w:rsid w:val="00345F7E"/>
    <w:rsid w:val="00350BC9"/>
    <w:rsid w:val="0035323B"/>
    <w:rsid w:val="00356876"/>
    <w:rsid w:val="00356951"/>
    <w:rsid w:val="003609D2"/>
    <w:rsid w:val="00363F22"/>
    <w:rsid w:val="003650D5"/>
    <w:rsid w:val="003659A4"/>
    <w:rsid w:val="00370E69"/>
    <w:rsid w:val="003732A9"/>
    <w:rsid w:val="0037473D"/>
    <w:rsid w:val="00375564"/>
    <w:rsid w:val="00375E85"/>
    <w:rsid w:val="0037662F"/>
    <w:rsid w:val="003768C0"/>
    <w:rsid w:val="00383191"/>
    <w:rsid w:val="00383618"/>
    <w:rsid w:val="003839CA"/>
    <w:rsid w:val="003852DB"/>
    <w:rsid w:val="00385B77"/>
    <w:rsid w:val="00386DED"/>
    <w:rsid w:val="003912E7"/>
    <w:rsid w:val="0039140F"/>
    <w:rsid w:val="00393947"/>
    <w:rsid w:val="0039728F"/>
    <w:rsid w:val="003A1F65"/>
    <w:rsid w:val="003A2275"/>
    <w:rsid w:val="003A3F2D"/>
    <w:rsid w:val="003A48CA"/>
    <w:rsid w:val="003A5141"/>
    <w:rsid w:val="003A6A4F"/>
    <w:rsid w:val="003A6FC7"/>
    <w:rsid w:val="003A7088"/>
    <w:rsid w:val="003A74FC"/>
    <w:rsid w:val="003B00DF"/>
    <w:rsid w:val="003B1275"/>
    <w:rsid w:val="003B1778"/>
    <w:rsid w:val="003B217D"/>
    <w:rsid w:val="003B4EF9"/>
    <w:rsid w:val="003B70DD"/>
    <w:rsid w:val="003B7AC1"/>
    <w:rsid w:val="003C11CB"/>
    <w:rsid w:val="003C5654"/>
    <w:rsid w:val="003C75F3"/>
    <w:rsid w:val="003C78A3"/>
    <w:rsid w:val="003D0240"/>
    <w:rsid w:val="003D721E"/>
    <w:rsid w:val="003E0318"/>
    <w:rsid w:val="003E0D6C"/>
    <w:rsid w:val="003E1867"/>
    <w:rsid w:val="003E5000"/>
    <w:rsid w:val="003E5729"/>
    <w:rsid w:val="003E5A57"/>
    <w:rsid w:val="003E65C7"/>
    <w:rsid w:val="003F193D"/>
    <w:rsid w:val="003F4EE0"/>
    <w:rsid w:val="003F749C"/>
    <w:rsid w:val="00400C28"/>
    <w:rsid w:val="00402153"/>
    <w:rsid w:val="00402FC1"/>
    <w:rsid w:val="004134DD"/>
    <w:rsid w:val="004145B9"/>
    <w:rsid w:val="004166CD"/>
    <w:rsid w:val="0041793A"/>
    <w:rsid w:val="00423779"/>
    <w:rsid w:val="00423DBC"/>
    <w:rsid w:val="00425082"/>
    <w:rsid w:val="00431DEB"/>
    <w:rsid w:val="00433284"/>
    <w:rsid w:val="00437BF3"/>
    <w:rsid w:val="00446B29"/>
    <w:rsid w:val="004509E6"/>
    <w:rsid w:val="00453F9A"/>
    <w:rsid w:val="004552EA"/>
    <w:rsid w:val="0045659F"/>
    <w:rsid w:val="00462705"/>
    <w:rsid w:val="00463F41"/>
    <w:rsid w:val="004643CB"/>
    <w:rsid w:val="00465F5D"/>
    <w:rsid w:val="00471E91"/>
    <w:rsid w:val="00472AF6"/>
    <w:rsid w:val="00472C6E"/>
    <w:rsid w:val="00474675"/>
    <w:rsid w:val="0047470C"/>
    <w:rsid w:val="0047745F"/>
    <w:rsid w:val="0048526D"/>
    <w:rsid w:val="00485828"/>
    <w:rsid w:val="00490762"/>
    <w:rsid w:val="0049326C"/>
    <w:rsid w:val="004A029F"/>
    <w:rsid w:val="004A0900"/>
    <w:rsid w:val="004A24EB"/>
    <w:rsid w:val="004A2EB0"/>
    <w:rsid w:val="004A35F9"/>
    <w:rsid w:val="004B0452"/>
    <w:rsid w:val="004B1107"/>
    <w:rsid w:val="004B1EA1"/>
    <w:rsid w:val="004B24C1"/>
    <w:rsid w:val="004B3527"/>
    <w:rsid w:val="004B4141"/>
    <w:rsid w:val="004B421B"/>
    <w:rsid w:val="004B6567"/>
    <w:rsid w:val="004B7A61"/>
    <w:rsid w:val="004C0DE4"/>
    <w:rsid w:val="004C15CE"/>
    <w:rsid w:val="004C226F"/>
    <w:rsid w:val="004C292F"/>
    <w:rsid w:val="004C52B4"/>
    <w:rsid w:val="004C6D21"/>
    <w:rsid w:val="004D197C"/>
    <w:rsid w:val="004D7CCE"/>
    <w:rsid w:val="004E4034"/>
    <w:rsid w:val="004E504F"/>
    <w:rsid w:val="004E7695"/>
    <w:rsid w:val="004F10FB"/>
    <w:rsid w:val="004F11BC"/>
    <w:rsid w:val="004F11CA"/>
    <w:rsid w:val="004F2CE8"/>
    <w:rsid w:val="004F63FD"/>
    <w:rsid w:val="00500A34"/>
    <w:rsid w:val="00502313"/>
    <w:rsid w:val="00506BC0"/>
    <w:rsid w:val="00510280"/>
    <w:rsid w:val="005107C9"/>
    <w:rsid w:val="00512199"/>
    <w:rsid w:val="00513480"/>
    <w:rsid w:val="00513D73"/>
    <w:rsid w:val="00514A43"/>
    <w:rsid w:val="00515F64"/>
    <w:rsid w:val="005174E5"/>
    <w:rsid w:val="00522393"/>
    <w:rsid w:val="00522620"/>
    <w:rsid w:val="00522F9A"/>
    <w:rsid w:val="00525656"/>
    <w:rsid w:val="00526AEC"/>
    <w:rsid w:val="00534C02"/>
    <w:rsid w:val="00534D29"/>
    <w:rsid w:val="00534EC9"/>
    <w:rsid w:val="005351AA"/>
    <w:rsid w:val="0054264B"/>
    <w:rsid w:val="00543786"/>
    <w:rsid w:val="00550AC2"/>
    <w:rsid w:val="005533D7"/>
    <w:rsid w:val="00560E0C"/>
    <w:rsid w:val="00561401"/>
    <w:rsid w:val="00562369"/>
    <w:rsid w:val="005703DE"/>
    <w:rsid w:val="00571C63"/>
    <w:rsid w:val="00575169"/>
    <w:rsid w:val="00575645"/>
    <w:rsid w:val="00580B6B"/>
    <w:rsid w:val="00580FDD"/>
    <w:rsid w:val="005828EB"/>
    <w:rsid w:val="00582AD4"/>
    <w:rsid w:val="0058464E"/>
    <w:rsid w:val="00587FD0"/>
    <w:rsid w:val="00592092"/>
    <w:rsid w:val="00592C13"/>
    <w:rsid w:val="005954F6"/>
    <w:rsid w:val="005A01CB"/>
    <w:rsid w:val="005A12FC"/>
    <w:rsid w:val="005A1EDD"/>
    <w:rsid w:val="005A58FF"/>
    <w:rsid w:val="005A5BD3"/>
    <w:rsid w:val="005A5EAF"/>
    <w:rsid w:val="005A64C0"/>
    <w:rsid w:val="005B1AD6"/>
    <w:rsid w:val="005B3747"/>
    <w:rsid w:val="005B3C11"/>
    <w:rsid w:val="005B3CB5"/>
    <w:rsid w:val="005B3ECB"/>
    <w:rsid w:val="005B6FEA"/>
    <w:rsid w:val="005B73B1"/>
    <w:rsid w:val="005C1190"/>
    <w:rsid w:val="005C1C28"/>
    <w:rsid w:val="005C3767"/>
    <w:rsid w:val="005C3E0C"/>
    <w:rsid w:val="005C40BF"/>
    <w:rsid w:val="005C5BB4"/>
    <w:rsid w:val="005C6DB5"/>
    <w:rsid w:val="005C7E1D"/>
    <w:rsid w:val="005D347A"/>
    <w:rsid w:val="005D4E43"/>
    <w:rsid w:val="005E0135"/>
    <w:rsid w:val="005E015A"/>
    <w:rsid w:val="005E19E7"/>
    <w:rsid w:val="005E6290"/>
    <w:rsid w:val="005E6661"/>
    <w:rsid w:val="005E71F4"/>
    <w:rsid w:val="005E7A66"/>
    <w:rsid w:val="005F1878"/>
    <w:rsid w:val="005F1913"/>
    <w:rsid w:val="005F2504"/>
    <w:rsid w:val="005F413E"/>
    <w:rsid w:val="005F7EFC"/>
    <w:rsid w:val="00602123"/>
    <w:rsid w:val="00603CAD"/>
    <w:rsid w:val="006123BE"/>
    <w:rsid w:val="00614E8C"/>
    <w:rsid w:val="0061716C"/>
    <w:rsid w:val="0062170B"/>
    <w:rsid w:val="00622A6C"/>
    <w:rsid w:val="00623A91"/>
    <w:rsid w:val="006243A1"/>
    <w:rsid w:val="0062654B"/>
    <w:rsid w:val="006268F1"/>
    <w:rsid w:val="006274A6"/>
    <w:rsid w:val="00627580"/>
    <w:rsid w:val="0063111E"/>
    <w:rsid w:val="00632E56"/>
    <w:rsid w:val="00635CBA"/>
    <w:rsid w:val="00635CD4"/>
    <w:rsid w:val="00640D79"/>
    <w:rsid w:val="00641C62"/>
    <w:rsid w:val="006423A6"/>
    <w:rsid w:val="0064338B"/>
    <w:rsid w:val="00646542"/>
    <w:rsid w:val="00646A44"/>
    <w:rsid w:val="00646A5E"/>
    <w:rsid w:val="006504F4"/>
    <w:rsid w:val="00651D37"/>
    <w:rsid w:val="00652A29"/>
    <w:rsid w:val="00652A8E"/>
    <w:rsid w:val="00653CBB"/>
    <w:rsid w:val="00654BC9"/>
    <w:rsid w:val="006552FD"/>
    <w:rsid w:val="006554A5"/>
    <w:rsid w:val="00662954"/>
    <w:rsid w:val="00662AFC"/>
    <w:rsid w:val="00663AF3"/>
    <w:rsid w:val="00666B6C"/>
    <w:rsid w:val="00676D9C"/>
    <w:rsid w:val="006802C6"/>
    <w:rsid w:val="00682682"/>
    <w:rsid w:val="00682702"/>
    <w:rsid w:val="006833B0"/>
    <w:rsid w:val="00684205"/>
    <w:rsid w:val="006862EB"/>
    <w:rsid w:val="00686BDE"/>
    <w:rsid w:val="006915B7"/>
    <w:rsid w:val="006916B9"/>
    <w:rsid w:val="00692368"/>
    <w:rsid w:val="00692DB1"/>
    <w:rsid w:val="00692EAF"/>
    <w:rsid w:val="00693012"/>
    <w:rsid w:val="006A2EBC"/>
    <w:rsid w:val="006A5EA0"/>
    <w:rsid w:val="006A61D0"/>
    <w:rsid w:val="006A713A"/>
    <w:rsid w:val="006A783B"/>
    <w:rsid w:val="006A7AEB"/>
    <w:rsid w:val="006A7B33"/>
    <w:rsid w:val="006B0009"/>
    <w:rsid w:val="006B3B7D"/>
    <w:rsid w:val="006B47BB"/>
    <w:rsid w:val="006B4972"/>
    <w:rsid w:val="006B4E13"/>
    <w:rsid w:val="006B75DD"/>
    <w:rsid w:val="006C3EC4"/>
    <w:rsid w:val="006C495C"/>
    <w:rsid w:val="006C5EC8"/>
    <w:rsid w:val="006C67E0"/>
    <w:rsid w:val="006C7ABA"/>
    <w:rsid w:val="006D0D60"/>
    <w:rsid w:val="006D1122"/>
    <w:rsid w:val="006D3A7D"/>
    <w:rsid w:val="006D3C00"/>
    <w:rsid w:val="006D6CD8"/>
    <w:rsid w:val="006E3675"/>
    <w:rsid w:val="006E4A7F"/>
    <w:rsid w:val="006E5E69"/>
    <w:rsid w:val="006E5F94"/>
    <w:rsid w:val="006E78D3"/>
    <w:rsid w:val="006F2AB3"/>
    <w:rsid w:val="006F2B62"/>
    <w:rsid w:val="00702335"/>
    <w:rsid w:val="00704DF6"/>
    <w:rsid w:val="0070651C"/>
    <w:rsid w:val="00707D93"/>
    <w:rsid w:val="00710179"/>
    <w:rsid w:val="0071145F"/>
    <w:rsid w:val="00711B5A"/>
    <w:rsid w:val="007132A3"/>
    <w:rsid w:val="00716421"/>
    <w:rsid w:val="00717250"/>
    <w:rsid w:val="00717651"/>
    <w:rsid w:val="00721D6F"/>
    <w:rsid w:val="00722D17"/>
    <w:rsid w:val="00724EFB"/>
    <w:rsid w:val="00727559"/>
    <w:rsid w:val="00727B0D"/>
    <w:rsid w:val="0073132D"/>
    <w:rsid w:val="00732949"/>
    <w:rsid w:val="00733E7A"/>
    <w:rsid w:val="007362B7"/>
    <w:rsid w:val="007419C3"/>
    <w:rsid w:val="00743192"/>
    <w:rsid w:val="00743B4A"/>
    <w:rsid w:val="00744823"/>
    <w:rsid w:val="007467A7"/>
    <w:rsid w:val="007469DD"/>
    <w:rsid w:val="00747275"/>
    <w:rsid w:val="0074741B"/>
    <w:rsid w:val="0074759E"/>
    <w:rsid w:val="007478EA"/>
    <w:rsid w:val="007501D9"/>
    <w:rsid w:val="00753E0E"/>
    <w:rsid w:val="0075415C"/>
    <w:rsid w:val="00756956"/>
    <w:rsid w:val="00761356"/>
    <w:rsid w:val="00763424"/>
    <w:rsid w:val="00763502"/>
    <w:rsid w:val="00765463"/>
    <w:rsid w:val="00765465"/>
    <w:rsid w:val="00767D83"/>
    <w:rsid w:val="00771B48"/>
    <w:rsid w:val="00772758"/>
    <w:rsid w:val="00772FB2"/>
    <w:rsid w:val="00774E9B"/>
    <w:rsid w:val="007760D4"/>
    <w:rsid w:val="007762FF"/>
    <w:rsid w:val="0077643B"/>
    <w:rsid w:val="00782C2D"/>
    <w:rsid w:val="007848C5"/>
    <w:rsid w:val="00784DB9"/>
    <w:rsid w:val="007913AB"/>
    <w:rsid w:val="007914F7"/>
    <w:rsid w:val="00797015"/>
    <w:rsid w:val="007A54A5"/>
    <w:rsid w:val="007B0C68"/>
    <w:rsid w:val="007B1625"/>
    <w:rsid w:val="007B1FC9"/>
    <w:rsid w:val="007B2AA6"/>
    <w:rsid w:val="007B706E"/>
    <w:rsid w:val="007B71EB"/>
    <w:rsid w:val="007B7F4D"/>
    <w:rsid w:val="007C0A15"/>
    <w:rsid w:val="007C0B4B"/>
    <w:rsid w:val="007C27AD"/>
    <w:rsid w:val="007C2D77"/>
    <w:rsid w:val="007C31CC"/>
    <w:rsid w:val="007C3B82"/>
    <w:rsid w:val="007C44C3"/>
    <w:rsid w:val="007C487E"/>
    <w:rsid w:val="007C6205"/>
    <w:rsid w:val="007C686A"/>
    <w:rsid w:val="007C728E"/>
    <w:rsid w:val="007C7D7C"/>
    <w:rsid w:val="007D12D6"/>
    <w:rsid w:val="007D2C53"/>
    <w:rsid w:val="007D3D60"/>
    <w:rsid w:val="007D58A1"/>
    <w:rsid w:val="007E1980"/>
    <w:rsid w:val="007E4B76"/>
    <w:rsid w:val="007E4C8A"/>
    <w:rsid w:val="007E5982"/>
    <w:rsid w:val="007E5EA8"/>
    <w:rsid w:val="007F0949"/>
    <w:rsid w:val="007F0CF1"/>
    <w:rsid w:val="007F12A5"/>
    <w:rsid w:val="007F2D6D"/>
    <w:rsid w:val="007F3B0B"/>
    <w:rsid w:val="007F4CF1"/>
    <w:rsid w:val="007F758D"/>
    <w:rsid w:val="007F75CB"/>
    <w:rsid w:val="007F7D52"/>
    <w:rsid w:val="00802398"/>
    <w:rsid w:val="0080654C"/>
    <w:rsid w:val="008071C6"/>
    <w:rsid w:val="008109D6"/>
    <w:rsid w:val="00811750"/>
    <w:rsid w:val="00815004"/>
    <w:rsid w:val="00815237"/>
    <w:rsid w:val="00817A00"/>
    <w:rsid w:val="00821C5F"/>
    <w:rsid w:val="008278AA"/>
    <w:rsid w:val="0083084A"/>
    <w:rsid w:val="00832776"/>
    <w:rsid w:val="00834B6C"/>
    <w:rsid w:val="00835DB3"/>
    <w:rsid w:val="0083617B"/>
    <w:rsid w:val="008371BD"/>
    <w:rsid w:val="00845157"/>
    <w:rsid w:val="008504A8"/>
    <w:rsid w:val="008513D6"/>
    <w:rsid w:val="0085282E"/>
    <w:rsid w:val="008533B6"/>
    <w:rsid w:val="00857A3C"/>
    <w:rsid w:val="00862151"/>
    <w:rsid w:val="00864FB4"/>
    <w:rsid w:val="0087198C"/>
    <w:rsid w:val="00872896"/>
    <w:rsid w:val="00872C1F"/>
    <w:rsid w:val="00873B42"/>
    <w:rsid w:val="008743BC"/>
    <w:rsid w:val="00874A40"/>
    <w:rsid w:val="0087620B"/>
    <w:rsid w:val="008770F5"/>
    <w:rsid w:val="00877177"/>
    <w:rsid w:val="0087773E"/>
    <w:rsid w:val="00880B73"/>
    <w:rsid w:val="0088194D"/>
    <w:rsid w:val="00882D2B"/>
    <w:rsid w:val="00885289"/>
    <w:rsid w:val="008856D8"/>
    <w:rsid w:val="00892E82"/>
    <w:rsid w:val="00893E37"/>
    <w:rsid w:val="00894FC6"/>
    <w:rsid w:val="008B0978"/>
    <w:rsid w:val="008B0A77"/>
    <w:rsid w:val="008B662B"/>
    <w:rsid w:val="008B6B06"/>
    <w:rsid w:val="008C0D91"/>
    <w:rsid w:val="008C1B46"/>
    <w:rsid w:val="008C1B58"/>
    <w:rsid w:val="008C38FE"/>
    <w:rsid w:val="008C39AE"/>
    <w:rsid w:val="008C3DCD"/>
    <w:rsid w:val="008C590D"/>
    <w:rsid w:val="008C786F"/>
    <w:rsid w:val="008D009D"/>
    <w:rsid w:val="008D250B"/>
    <w:rsid w:val="008D2601"/>
    <w:rsid w:val="008D26B5"/>
    <w:rsid w:val="008D4EA9"/>
    <w:rsid w:val="008E031B"/>
    <w:rsid w:val="008E0EEA"/>
    <w:rsid w:val="008E1EE1"/>
    <w:rsid w:val="008E2388"/>
    <w:rsid w:val="008E2D5F"/>
    <w:rsid w:val="008E4014"/>
    <w:rsid w:val="008E60E2"/>
    <w:rsid w:val="008E620C"/>
    <w:rsid w:val="008E7029"/>
    <w:rsid w:val="008E7EF6"/>
    <w:rsid w:val="008F04D6"/>
    <w:rsid w:val="008F1F98"/>
    <w:rsid w:val="008F5765"/>
    <w:rsid w:val="008F6758"/>
    <w:rsid w:val="008F7FC9"/>
    <w:rsid w:val="00900900"/>
    <w:rsid w:val="00902A08"/>
    <w:rsid w:val="0090326F"/>
    <w:rsid w:val="009040DD"/>
    <w:rsid w:val="00905B47"/>
    <w:rsid w:val="00906F0A"/>
    <w:rsid w:val="0090711E"/>
    <w:rsid w:val="0091331C"/>
    <w:rsid w:val="0091457E"/>
    <w:rsid w:val="00916945"/>
    <w:rsid w:val="00920F5A"/>
    <w:rsid w:val="009236CF"/>
    <w:rsid w:val="00923734"/>
    <w:rsid w:val="009240E8"/>
    <w:rsid w:val="00924BA0"/>
    <w:rsid w:val="009279DE"/>
    <w:rsid w:val="00930116"/>
    <w:rsid w:val="00933DC7"/>
    <w:rsid w:val="00935676"/>
    <w:rsid w:val="009363F2"/>
    <w:rsid w:val="0093742D"/>
    <w:rsid w:val="009375C7"/>
    <w:rsid w:val="00937B2F"/>
    <w:rsid w:val="00940FAC"/>
    <w:rsid w:val="00941421"/>
    <w:rsid w:val="0094212C"/>
    <w:rsid w:val="009421BE"/>
    <w:rsid w:val="00944733"/>
    <w:rsid w:val="00946042"/>
    <w:rsid w:val="00946371"/>
    <w:rsid w:val="009475C8"/>
    <w:rsid w:val="009504BC"/>
    <w:rsid w:val="009507F6"/>
    <w:rsid w:val="00951D89"/>
    <w:rsid w:val="009520CA"/>
    <w:rsid w:val="00952102"/>
    <w:rsid w:val="00953278"/>
    <w:rsid w:val="00954689"/>
    <w:rsid w:val="009562D4"/>
    <w:rsid w:val="009602EB"/>
    <w:rsid w:val="009617C9"/>
    <w:rsid w:val="00961C93"/>
    <w:rsid w:val="009623B0"/>
    <w:rsid w:val="00963087"/>
    <w:rsid w:val="00965324"/>
    <w:rsid w:val="0097091E"/>
    <w:rsid w:val="0097312C"/>
    <w:rsid w:val="009760D3"/>
    <w:rsid w:val="00977132"/>
    <w:rsid w:val="00980089"/>
    <w:rsid w:val="00981A4B"/>
    <w:rsid w:val="0098238C"/>
    <w:rsid w:val="00982501"/>
    <w:rsid w:val="0098485C"/>
    <w:rsid w:val="00985D50"/>
    <w:rsid w:val="00987386"/>
    <w:rsid w:val="009877D3"/>
    <w:rsid w:val="00994AD9"/>
    <w:rsid w:val="00994E8F"/>
    <w:rsid w:val="009951DC"/>
    <w:rsid w:val="009959BB"/>
    <w:rsid w:val="00996669"/>
    <w:rsid w:val="00997158"/>
    <w:rsid w:val="009A01D6"/>
    <w:rsid w:val="009A3753"/>
    <w:rsid w:val="009A3A7C"/>
    <w:rsid w:val="009B2ADB"/>
    <w:rsid w:val="009B603A"/>
    <w:rsid w:val="009B6E06"/>
    <w:rsid w:val="009C0F68"/>
    <w:rsid w:val="009C2D0E"/>
    <w:rsid w:val="009C3DAC"/>
    <w:rsid w:val="009C42E0"/>
    <w:rsid w:val="009C4EEC"/>
    <w:rsid w:val="009C5BD2"/>
    <w:rsid w:val="009C7DCB"/>
    <w:rsid w:val="009D28B6"/>
    <w:rsid w:val="009D2B49"/>
    <w:rsid w:val="009D5362"/>
    <w:rsid w:val="009D5F65"/>
    <w:rsid w:val="009E09B4"/>
    <w:rsid w:val="009E1415"/>
    <w:rsid w:val="009E4174"/>
    <w:rsid w:val="009E4E89"/>
    <w:rsid w:val="009E5238"/>
    <w:rsid w:val="009E5754"/>
    <w:rsid w:val="009E6116"/>
    <w:rsid w:val="009E6A1B"/>
    <w:rsid w:val="009F11B8"/>
    <w:rsid w:val="009F1B15"/>
    <w:rsid w:val="009F2170"/>
    <w:rsid w:val="009F4C79"/>
    <w:rsid w:val="009F51BD"/>
    <w:rsid w:val="009F73D8"/>
    <w:rsid w:val="00A00B9D"/>
    <w:rsid w:val="00A0112A"/>
    <w:rsid w:val="00A02E43"/>
    <w:rsid w:val="00A065F9"/>
    <w:rsid w:val="00A07F34"/>
    <w:rsid w:val="00A1223A"/>
    <w:rsid w:val="00A132FB"/>
    <w:rsid w:val="00A15157"/>
    <w:rsid w:val="00A22154"/>
    <w:rsid w:val="00A24393"/>
    <w:rsid w:val="00A25840"/>
    <w:rsid w:val="00A258C0"/>
    <w:rsid w:val="00A25C38"/>
    <w:rsid w:val="00A26308"/>
    <w:rsid w:val="00A26A96"/>
    <w:rsid w:val="00A27B20"/>
    <w:rsid w:val="00A31B85"/>
    <w:rsid w:val="00A34775"/>
    <w:rsid w:val="00A34D69"/>
    <w:rsid w:val="00A368A7"/>
    <w:rsid w:val="00A36BBE"/>
    <w:rsid w:val="00A41191"/>
    <w:rsid w:val="00A4307A"/>
    <w:rsid w:val="00A43097"/>
    <w:rsid w:val="00A47EBB"/>
    <w:rsid w:val="00A50675"/>
    <w:rsid w:val="00A51CDD"/>
    <w:rsid w:val="00A577E8"/>
    <w:rsid w:val="00A57CC7"/>
    <w:rsid w:val="00A6107E"/>
    <w:rsid w:val="00A6394B"/>
    <w:rsid w:val="00A65D87"/>
    <w:rsid w:val="00A665B1"/>
    <w:rsid w:val="00A6730D"/>
    <w:rsid w:val="00A6746D"/>
    <w:rsid w:val="00A711A2"/>
    <w:rsid w:val="00A71625"/>
    <w:rsid w:val="00A71B9B"/>
    <w:rsid w:val="00A74F83"/>
    <w:rsid w:val="00A751C7"/>
    <w:rsid w:val="00A828DE"/>
    <w:rsid w:val="00A828EA"/>
    <w:rsid w:val="00A87844"/>
    <w:rsid w:val="00A924A5"/>
    <w:rsid w:val="00A92ADF"/>
    <w:rsid w:val="00A94C41"/>
    <w:rsid w:val="00A95C8E"/>
    <w:rsid w:val="00A97D1F"/>
    <w:rsid w:val="00AA038C"/>
    <w:rsid w:val="00AA1737"/>
    <w:rsid w:val="00AA7A09"/>
    <w:rsid w:val="00AA7AD2"/>
    <w:rsid w:val="00AB2D90"/>
    <w:rsid w:val="00AB38D0"/>
    <w:rsid w:val="00AB3B50"/>
    <w:rsid w:val="00AB3C6A"/>
    <w:rsid w:val="00AC05AC"/>
    <w:rsid w:val="00AC05B1"/>
    <w:rsid w:val="00AC52B0"/>
    <w:rsid w:val="00AC6F5A"/>
    <w:rsid w:val="00AD28AD"/>
    <w:rsid w:val="00AD2DFC"/>
    <w:rsid w:val="00AD356C"/>
    <w:rsid w:val="00AE0804"/>
    <w:rsid w:val="00AE2914"/>
    <w:rsid w:val="00AE35E5"/>
    <w:rsid w:val="00AE42A9"/>
    <w:rsid w:val="00AE6D15"/>
    <w:rsid w:val="00AE7BBA"/>
    <w:rsid w:val="00AF40A2"/>
    <w:rsid w:val="00AF4D12"/>
    <w:rsid w:val="00AF5E42"/>
    <w:rsid w:val="00B01D5B"/>
    <w:rsid w:val="00B01FF6"/>
    <w:rsid w:val="00B04182"/>
    <w:rsid w:val="00B07AE3"/>
    <w:rsid w:val="00B10F4F"/>
    <w:rsid w:val="00B11430"/>
    <w:rsid w:val="00B1209E"/>
    <w:rsid w:val="00B12D55"/>
    <w:rsid w:val="00B15BE5"/>
    <w:rsid w:val="00B174A5"/>
    <w:rsid w:val="00B243D1"/>
    <w:rsid w:val="00B2575F"/>
    <w:rsid w:val="00B25987"/>
    <w:rsid w:val="00B3352A"/>
    <w:rsid w:val="00B34078"/>
    <w:rsid w:val="00B34238"/>
    <w:rsid w:val="00B34A96"/>
    <w:rsid w:val="00B353EB"/>
    <w:rsid w:val="00B404D7"/>
    <w:rsid w:val="00B42210"/>
    <w:rsid w:val="00B439C4"/>
    <w:rsid w:val="00B4535E"/>
    <w:rsid w:val="00B462D4"/>
    <w:rsid w:val="00B50D6E"/>
    <w:rsid w:val="00B52A8C"/>
    <w:rsid w:val="00B53C7E"/>
    <w:rsid w:val="00B54165"/>
    <w:rsid w:val="00B60A4D"/>
    <w:rsid w:val="00B61939"/>
    <w:rsid w:val="00B6239F"/>
    <w:rsid w:val="00B62F17"/>
    <w:rsid w:val="00B636A8"/>
    <w:rsid w:val="00B65085"/>
    <w:rsid w:val="00B651BB"/>
    <w:rsid w:val="00B665C6"/>
    <w:rsid w:val="00B66FA5"/>
    <w:rsid w:val="00B679EE"/>
    <w:rsid w:val="00B74AFC"/>
    <w:rsid w:val="00B74EB5"/>
    <w:rsid w:val="00B805AF"/>
    <w:rsid w:val="00B820F0"/>
    <w:rsid w:val="00B869EC"/>
    <w:rsid w:val="00B86D7D"/>
    <w:rsid w:val="00B9076F"/>
    <w:rsid w:val="00B9397A"/>
    <w:rsid w:val="00B9558E"/>
    <w:rsid w:val="00B95E90"/>
    <w:rsid w:val="00B9633D"/>
    <w:rsid w:val="00BA2EBE"/>
    <w:rsid w:val="00BA478C"/>
    <w:rsid w:val="00BA5F3B"/>
    <w:rsid w:val="00BA6E1A"/>
    <w:rsid w:val="00BA78BF"/>
    <w:rsid w:val="00BB0F28"/>
    <w:rsid w:val="00BB0F47"/>
    <w:rsid w:val="00BB41EA"/>
    <w:rsid w:val="00BB458A"/>
    <w:rsid w:val="00BC18E2"/>
    <w:rsid w:val="00BD00D3"/>
    <w:rsid w:val="00BD1659"/>
    <w:rsid w:val="00BD3AA9"/>
    <w:rsid w:val="00BD4A18"/>
    <w:rsid w:val="00BD6DB2"/>
    <w:rsid w:val="00BD7601"/>
    <w:rsid w:val="00BE042B"/>
    <w:rsid w:val="00BE11CF"/>
    <w:rsid w:val="00BE21AB"/>
    <w:rsid w:val="00BE2E40"/>
    <w:rsid w:val="00BE4E0E"/>
    <w:rsid w:val="00BE55CB"/>
    <w:rsid w:val="00BF356A"/>
    <w:rsid w:val="00BF617A"/>
    <w:rsid w:val="00C0216D"/>
    <w:rsid w:val="00C0379D"/>
    <w:rsid w:val="00C03931"/>
    <w:rsid w:val="00C05FE3"/>
    <w:rsid w:val="00C130E8"/>
    <w:rsid w:val="00C13D45"/>
    <w:rsid w:val="00C14A56"/>
    <w:rsid w:val="00C174F4"/>
    <w:rsid w:val="00C2136D"/>
    <w:rsid w:val="00C214EE"/>
    <w:rsid w:val="00C22A06"/>
    <w:rsid w:val="00C2314B"/>
    <w:rsid w:val="00C233BE"/>
    <w:rsid w:val="00C23EAB"/>
    <w:rsid w:val="00C24971"/>
    <w:rsid w:val="00C26BE5"/>
    <w:rsid w:val="00C26E4D"/>
    <w:rsid w:val="00C27909"/>
    <w:rsid w:val="00C27B03"/>
    <w:rsid w:val="00C3025F"/>
    <w:rsid w:val="00C314E1"/>
    <w:rsid w:val="00C31A79"/>
    <w:rsid w:val="00C32DD9"/>
    <w:rsid w:val="00C33EB7"/>
    <w:rsid w:val="00C3431D"/>
    <w:rsid w:val="00C34397"/>
    <w:rsid w:val="00C4095D"/>
    <w:rsid w:val="00C44DCD"/>
    <w:rsid w:val="00C458E9"/>
    <w:rsid w:val="00C47961"/>
    <w:rsid w:val="00C47EA0"/>
    <w:rsid w:val="00C543C0"/>
    <w:rsid w:val="00C54EA9"/>
    <w:rsid w:val="00C55E46"/>
    <w:rsid w:val="00C55F2B"/>
    <w:rsid w:val="00C5655B"/>
    <w:rsid w:val="00C56DF0"/>
    <w:rsid w:val="00C601D2"/>
    <w:rsid w:val="00C613DE"/>
    <w:rsid w:val="00C61CA0"/>
    <w:rsid w:val="00C61E58"/>
    <w:rsid w:val="00C636F9"/>
    <w:rsid w:val="00C64E94"/>
    <w:rsid w:val="00C657AB"/>
    <w:rsid w:val="00C65BCC"/>
    <w:rsid w:val="00C66970"/>
    <w:rsid w:val="00C67E04"/>
    <w:rsid w:val="00C70231"/>
    <w:rsid w:val="00C73757"/>
    <w:rsid w:val="00C73BC7"/>
    <w:rsid w:val="00C74BF3"/>
    <w:rsid w:val="00C778A9"/>
    <w:rsid w:val="00C77B57"/>
    <w:rsid w:val="00C80C16"/>
    <w:rsid w:val="00C8585D"/>
    <w:rsid w:val="00C8691C"/>
    <w:rsid w:val="00C86A9E"/>
    <w:rsid w:val="00C90606"/>
    <w:rsid w:val="00C95B40"/>
    <w:rsid w:val="00C966B8"/>
    <w:rsid w:val="00CA0E56"/>
    <w:rsid w:val="00CA168A"/>
    <w:rsid w:val="00CA357E"/>
    <w:rsid w:val="00CA3C12"/>
    <w:rsid w:val="00CA44F9"/>
    <w:rsid w:val="00CA4A69"/>
    <w:rsid w:val="00CA6444"/>
    <w:rsid w:val="00CB0DAA"/>
    <w:rsid w:val="00CB1F8D"/>
    <w:rsid w:val="00CB2D67"/>
    <w:rsid w:val="00CB40FD"/>
    <w:rsid w:val="00CC3E0C"/>
    <w:rsid w:val="00CC58D3"/>
    <w:rsid w:val="00CC784D"/>
    <w:rsid w:val="00CD2F47"/>
    <w:rsid w:val="00CD3B5B"/>
    <w:rsid w:val="00CE2006"/>
    <w:rsid w:val="00CE4C0A"/>
    <w:rsid w:val="00CE51F7"/>
    <w:rsid w:val="00CF15CF"/>
    <w:rsid w:val="00D0337B"/>
    <w:rsid w:val="00D04F64"/>
    <w:rsid w:val="00D05B87"/>
    <w:rsid w:val="00D079B2"/>
    <w:rsid w:val="00D114E9"/>
    <w:rsid w:val="00D11A67"/>
    <w:rsid w:val="00D11FDA"/>
    <w:rsid w:val="00D12894"/>
    <w:rsid w:val="00D14FD1"/>
    <w:rsid w:val="00D221F1"/>
    <w:rsid w:val="00D2393C"/>
    <w:rsid w:val="00D242F8"/>
    <w:rsid w:val="00D32C52"/>
    <w:rsid w:val="00D34245"/>
    <w:rsid w:val="00D34E6B"/>
    <w:rsid w:val="00D37A4C"/>
    <w:rsid w:val="00D414A3"/>
    <w:rsid w:val="00D41BB5"/>
    <w:rsid w:val="00D421DF"/>
    <w:rsid w:val="00D429C6"/>
    <w:rsid w:val="00D47748"/>
    <w:rsid w:val="00D51EBB"/>
    <w:rsid w:val="00D5357D"/>
    <w:rsid w:val="00D54BC6"/>
    <w:rsid w:val="00D54CC3"/>
    <w:rsid w:val="00D567B0"/>
    <w:rsid w:val="00D6041A"/>
    <w:rsid w:val="00D633EB"/>
    <w:rsid w:val="00D71C2B"/>
    <w:rsid w:val="00D72991"/>
    <w:rsid w:val="00D72B18"/>
    <w:rsid w:val="00D76DDA"/>
    <w:rsid w:val="00D77237"/>
    <w:rsid w:val="00D82FF7"/>
    <w:rsid w:val="00D83842"/>
    <w:rsid w:val="00D842DC"/>
    <w:rsid w:val="00D847FE"/>
    <w:rsid w:val="00D85F8E"/>
    <w:rsid w:val="00D86EC2"/>
    <w:rsid w:val="00D9561C"/>
    <w:rsid w:val="00D964EA"/>
    <w:rsid w:val="00D966D0"/>
    <w:rsid w:val="00D97DB6"/>
    <w:rsid w:val="00DA0C59"/>
    <w:rsid w:val="00DA3991"/>
    <w:rsid w:val="00DA43C3"/>
    <w:rsid w:val="00DA6B80"/>
    <w:rsid w:val="00DB12DE"/>
    <w:rsid w:val="00DB5F1D"/>
    <w:rsid w:val="00DB72FF"/>
    <w:rsid w:val="00DB7566"/>
    <w:rsid w:val="00DB7E6C"/>
    <w:rsid w:val="00DC1267"/>
    <w:rsid w:val="00DC3B61"/>
    <w:rsid w:val="00DC6D7E"/>
    <w:rsid w:val="00DD09D2"/>
    <w:rsid w:val="00DD5A29"/>
    <w:rsid w:val="00DD5D9D"/>
    <w:rsid w:val="00DD65A5"/>
    <w:rsid w:val="00DE0570"/>
    <w:rsid w:val="00DE1E8C"/>
    <w:rsid w:val="00DE35CB"/>
    <w:rsid w:val="00DE3879"/>
    <w:rsid w:val="00DE54C0"/>
    <w:rsid w:val="00DE5E0F"/>
    <w:rsid w:val="00DE611F"/>
    <w:rsid w:val="00DE6E45"/>
    <w:rsid w:val="00DF21E9"/>
    <w:rsid w:val="00DF3746"/>
    <w:rsid w:val="00DF3835"/>
    <w:rsid w:val="00DF45C6"/>
    <w:rsid w:val="00DF4689"/>
    <w:rsid w:val="00DF5024"/>
    <w:rsid w:val="00DF5466"/>
    <w:rsid w:val="00E00F14"/>
    <w:rsid w:val="00E014DB"/>
    <w:rsid w:val="00E01E2C"/>
    <w:rsid w:val="00E06386"/>
    <w:rsid w:val="00E06724"/>
    <w:rsid w:val="00E06A22"/>
    <w:rsid w:val="00E07E01"/>
    <w:rsid w:val="00E1006D"/>
    <w:rsid w:val="00E14DD6"/>
    <w:rsid w:val="00E24EB4"/>
    <w:rsid w:val="00E320ED"/>
    <w:rsid w:val="00E32DF6"/>
    <w:rsid w:val="00E33AFB"/>
    <w:rsid w:val="00E34218"/>
    <w:rsid w:val="00E36B6A"/>
    <w:rsid w:val="00E427A5"/>
    <w:rsid w:val="00E42989"/>
    <w:rsid w:val="00E46282"/>
    <w:rsid w:val="00E47E10"/>
    <w:rsid w:val="00E51468"/>
    <w:rsid w:val="00E5216E"/>
    <w:rsid w:val="00E55461"/>
    <w:rsid w:val="00E57BBB"/>
    <w:rsid w:val="00E57DCD"/>
    <w:rsid w:val="00E608D9"/>
    <w:rsid w:val="00E60B84"/>
    <w:rsid w:val="00E610C3"/>
    <w:rsid w:val="00E655A7"/>
    <w:rsid w:val="00E664FF"/>
    <w:rsid w:val="00E67760"/>
    <w:rsid w:val="00E70631"/>
    <w:rsid w:val="00E72A9E"/>
    <w:rsid w:val="00E74BE1"/>
    <w:rsid w:val="00E766A1"/>
    <w:rsid w:val="00E76C52"/>
    <w:rsid w:val="00E82344"/>
    <w:rsid w:val="00E84C82"/>
    <w:rsid w:val="00E84D64"/>
    <w:rsid w:val="00E86AF7"/>
    <w:rsid w:val="00E87408"/>
    <w:rsid w:val="00E914C4"/>
    <w:rsid w:val="00E934F5"/>
    <w:rsid w:val="00E96961"/>
    <w:rsid w:val="00EA72EC"/>
    <w:rsid w:val="00EB04E1"/>
    <w:rsid w:val="00EB11CB"/>
    <w:rsid w:val="00EB275A"/>
    <w:rsid w:val="00EB3E99"/>
    <w:rsid w:val="00EB6E31"/>
    <w:rsid w:val="00EB786A"/>
    <w:rsid w:val="00EC1578"/>
    <w:rsid w:val="00EC1C72"/>
    <w:rsid w:val="00EC2945"/>
    <w:rsid w:val="00EC3CC9"/>
    <w:rsid w:val="00EC55A5"/>
    <w:rsid w:val="00EC680A"/>
    <w:rsid w:val="00ED0130"/>
    <w:rsid w:val="00ED1196"/>
    <w:rsid w:val="00ED3BD7"/>
    <w:rsid w:val="00ED7AEE"/>
    <w:rsid w:val="00EE1BF1"/>
    <w:rsid w:val="00EE205B"/>
    <w:rsid w:val="00EE2BED"/>
    <w:rsid w:val="00EE3414"/>
    <w:rsid w:val="00EE374B"/>
    <w:rsid w:val="00EE4805"/>
    <w:rsid w:val="00EE59FB"/>
    <w:rsid w:val="00EF10F8"/>
    <w:rsid w:val="00EF58BA"/>
    <w:rsid w:val="00EF7629"/>
    <w:rsid w:val="00F01332"/>
    <w:rsid w:val="00F0790C"/>
    <w:rsid w:val="00F11BB5"/>
    <w:rsid w:val="00F1417B"/>
    <w:rsid w:val="00F1787C"/>
    <w:rsid w:val="00F20AA8"/>
    <w:rsid w:val="00F20F5F"/>
    <w:rsid w:val="00F229F2"/>
    <w:rsid w:val="00F3390A"/>
    <w:rsid w:val="00F34B99"/>
    <w:rsid w:val="00F363FC"/>
    <w:rsid w:val="00F37A7F"/>
    <w:rsid w:val="00F37F10"/>
    <w:rsid w:val="00F420F2"/>
    <w:rsid w:val="00F44F85"/>
    <w:rsid w:val="00F510E6"/>
    <w:rsid w:val="00F52DAB"/>
    <w:rsid w:val="00F53443"/>
    <w:rsid w:val="00F54196"/>
    <w:rsid w:val="00F543F0"/>
    <w:rsid w:val="00F55827"/>
    <w:rsid w:val="00F575F3"/>
    <w:rsid w:val="00F601DB"/>
    <w:rsid w:val="00F612F2"/>
    <w:rsid w:val="00F6373D"/>
    <w:rsid w:val="00F64C3D"/>
    <w:rsid w:val="00F7074B"/>
    <w:rsid w:val="00F72314"/>
    <w:rsid w:val="00F737AD"/>
    <w:rsid w:val="00F75807"/>
    <w:rsid w:val="00F81158"/>
    <w:rsid w:val="00F81D29"/>
    <w:rsid w:val="00F81D61"/>
    <w:rsid w:val="00F81DC8"/>
    <w:rsid w:val="00F90061"/>
    <w:rsid w:val="00F91C4D"/>
    <w:rsid w:val="00F91E00"/>
    <w:rsid w:val="00F92FD9"/>
    <w:rsid w:val="00F96BC5"/>
    <w:rsid w:val="00F976AD"/>
    <w:rsid w:val="00FA1947"/>
    <w:rsid w:val="00FA2541"/>
    <w:rsid w:val="00FA2910"/>
    <w:rsid w:val="00FA42EF"/>
    <w:rsid w:val="00FA4EF5"/>
    <w:rsid w:val="00FA6470"/>
    <w:rsid w:val="00FA6684"/>
    <w:rsid w:val="00FA674C"/>
    <w:rsid w:val="00FA6963"/>
    <w:rsid w:val="00FA705E"/>
    <w:rsid w:val="00FA731E"/>
    <w:rsid w:val="00FB0B66"/>
    <w:rsid w:val="00FB1366"/>
    <w:rsid w:val="00FB2B38"/>
    <w:rsid w:val="00FB3791"/>
    <w:rsid w:val="00FB653E"/>
    <w:rsid w:val="00FC6358"/>
    <w:rsid w:val="00FC6C90"/>
    <w:rsid w:val="00FD04BB"/>
    <w:rsid w:val="00FD066A"/>
    <w:rsid w:val="00FD1AD2"/>
    <w:rsid w:val="00FD320D"/>
    <w:rsid w:val="00FD570D"/>
    <w:rsid w:val="00FE05C6"/>
    <w:rsid w:val="00FE1498"/>
    <w:rsid w:val="00FE23DE"/>
    <w:rsid w:val="0A842761"/>
    <w:rsid w:val="0C68411F"/>
    <w:rsid w:val="0DD7773F"/>
    <w:rsid w:val="0E8D76BF"/>
    <w:rsid w:val="128A1009"/>
    <w:rsid w:val="16F579FA"/>
    <w:rsid w:val="1F3E57F5"/>
    <w:rsid w:val="215C14F1"/>
    <w:rsid w:val="24642242"/>
    <w:rsid w:val="2E1C1A4E"/>
    <w:rsid w:val="338430E8"/>
    <w:rsid w:val="4DC024C2"/>
    <w:rsid w:val="51C508AC"/>
    <w:rsid w:val="5AE12A2F"/>
    <w:rsid w:val="5F7B5377"/>
    <w:rsid w:val="6568477B"/>
    <w:rsid w:val="674B0307"/>
    <w:rsid w:val="68D52A0C"/>
    <w:rsid w:val="6BA27A51"/>
    <w:rsid w:val="6E906FA7"/>
    <w:rsid w:val="799C7E72"/>
    <w:rsid w:val="7DD72163"/>
    <w:rsid w:val="7F122F5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semiHidden="0" w:name="footnote text"/>
    <w:lsdException w:qFormat="1"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iPriority="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3">
    <w:name w:val="Default Paragraph Font"/>
    <w:semiHidden/>
    <w:unhideWhenUsed/>
    <w:qFormat/>
    <w:uiPriority w:val="1"/>
  </w:style>
  <w:style w:type="table" w:default="1" w:styleId="31">
    <w:name w:val="Normal Table"/>
    <w:semiHidden/>
    <w:unhideWhenUsed/>
    <w:uiPriority w:val="99"/>
    <w:tblPr>
      <w:tblCellMar>
        <w:top w:w="0" w:type="dxa"/>
        <w:left w:w="108" w:type="dxa"/>
        <w:bottom w:w="0" w:type="dxa"/>
        <w:right w:w="108" w:type="dxa"/>
      </w:tblCellMar>
    </w:tblPr>
  </w:style>
  <w:style w:type="paragraph" w:styleId="2">
    <w:name w:val="toc 7"/>
    <w:basedOn w:val="1"/>
    <w:next w:val="1"/>
    <w:semiHidden/>
    <w:qFormat/>
    <w:uiPriority w:val="0"/>
    <w:pPr>
      <w:tabs>
        <w:tab w:val="right" w:leader="dot" w:pos="9241"/>
      </w:tabs>
      <w:ind w:firstLine="500" w:firstLineChars="500"/>
      <w:jc w:val="left"/>
    </w:pPr>
    <w:rPr>
      <w:rFonts w:ascii="宋体"/>
      <w:szCs w:val="21"/>
    </w:rPr>
  </w:style>
  <w:style w:type="paragraph" w:styleId="3">
    <w:name w:val="index 8"/>
    <w:basedOn w:val="1"/>
    <w:next w:val="1"/>
    <w:qFormat/>
    <w:uiPriority w:val="0"/>
    <w:pPr>
      <w:ind w:left="1680" w:hanging="210"/>
      <w:jc w:val="left"/>
    </w:pPr>
    <w:rPr>
      <w:rFonts w:ascii="Calibri" w:hAnsi="Calibri"/>
      <w:sz w:val="20"/>
      <w:szCs w:val="20"/>
    </w:rPr>
  </w:style>
  <w:style w:type="paragraph" w:styleId="4">
    <w:name w:val="caption"/>
    <w:basedOn w:val="1"/>
    <w:next w:val="1"/>
    <w:qFormat/>
    <w:uiPriority w:val="0"/>
    <w:pPr>
      <w:spacing w:before="152" w:after="160"/>
    </w:pPr>
    <w:rPr>
      <w:rFonts w:ascii="Arial" w:hAnsi="Arial" w:eastAsia="黑体" w:cs="Arial"/>
      <w:sz w:val="20"/>
      <w:szCs w:val="20"/>
    </w:rPr>
  </w:style>
  <w:style w:type="paragraph" w:styleId="5">
    <w:name w:val="index 5"/>
    <w:basedOn w:val="1"/>
    <w:next w:val="1"/>
    <w:qFormat/>
    <w:uiPriority w:val="0"/>
    <w:pPr>
      <w:ind w:left="1050" w:hanging="210"/>
      <w:jc w:val="left"/>
    </w:pPr>
    <w:rPr>
      <w:rFonts w:ascii="Calibri" w:hAnsi="Calibri"/>
      <w:sz w:val="20"/>
      <w:szCs w:val="20"/>
    </w:rPr>
  </w:style>
  <w:style w:type="paragraph" w:styleId="6">
    <w:name w:val="Document Map"/>
    <w:basedOn w:val="1"/>
    <w:semiHidden/>
    <w:qFormat/>
    <w:uiPriority w:val="0"/>
    <w:pPr>
      <w:shd w:val="clear" w:color="auto" w:fill="000080"/>
    </w:pPr>
  </w:style>
  <w:style w:type="paragraph" w:styleId="7">
    <w:name w:val="annotation text"/>
    <w:basedOn w:val="1"/>
    <w:link w:val="146"/>
    <w:unhideWhenUsed/>
    <w:qFormat/>
    <w:uiPriority w:val="0"/>
    <w:pPr>
      <w:jc w:val="left"/>
    </w:pPr>
  </w:style>
  <w:style w:type="paragraph" w:styleId="8">
    <w:name w:val="index 6"/>
    <w:basedOn w:val="1"/>
    <w:next w:val="1"/>
    <w:qFormat/>
    <w:uiPriority w:val="0"/>
    <w:pPr>
      <w:ind w:left="1260" w:hanging="210"/>
      <w:jc w:val="left"/>
    </w:pPr>
    <w:rPr>
      <w:rFonts w:ascii="Calibri" w:hAnsi="Calibri"/>
      <w:sz w:val="20"/>
      <w:szCs w:val="20"/>
    </w:rPr>
  </w:style>
  <w:style w:type="paragraph" w:styleId="9">
    <w:name w:val="index 4"/>
    <w:basedOn w:val="1"/>
    <w:next w:val="1"/>
    <w:qFormat/>
    <w:uiPriority w:val="0"/>
    <w:pPr>
      <w:ind w:left="840" w:hanging="210"/>
      <w:jc w:val="left"/>
    </w:pPr>
    <w:rPr>
      <w:rFonts w:ascii="Calibri" w:hAnsi="Calibri"/>
      <w:sz w:val="20"/>
      <w:szCs w:val="20"/>
    </w:rPr>
  </w:style>
  <w:style w:type="paragraph" w:styleId="10">
    <w:name w:val="toc 5"/>
    <w:basedOn w:val="1"/>
    <w:next w:val="1"/>
    <w:semiHidden/>
    <w:qFormat/>
    <w:uiPriority w:val="0"/>
    <w:pPr>
      <w:tabs>
        <w:tab w:val="right" w:leader="dot" w:pos="9241"/>
      </w:tabs>
      <w:ind w:firstLine="300" w:firstLineChars="300"/>
      <w:jc w:val="left"/>
    </w:pPr>
    <w:rPr>
      <w:rFonts w:ascii="宋体"/>
      <w:szCs w:val="21"/>
    </w:rPr>
  </w:style>
  <w:style w:type="paragraph" w:styleId="11">
    <w:name w:val="toc 3"/>
    <w:basedOn w:val="1"/>
    <w:next w:val="1"/>
    <w:semiHidden/>
    <w:qFormat/>
    <w:uiPriority w:val="0"/>
    <w:pPr>
      <w:tabs>
        <w:tab w:val="right" w:leader="dot" w:pos="9241"/>
      </w:tabs>
      <w:ind w:firstLine="100" w:firstLineChars="100"/>
      <w:jc w:val="left"/>
    </w:pPr>
    <w:rPr>
      <w:rFonts w:ascii="宋体"/>
      <w:szCs w:val="21"/>
    </w:rPr>
  </w:style>
  <w:style w:type="paragraph" w:styleId="12">
    <w:name w:val="toc 8"/>
    <w:basedOn w:val="1"/>
    <w:next w:val="1"/>
    <w:semiHidden/>
    <w:qFormat/>
    <w:uiPriority w:val="0"/>
    <w:pPr>
      <w:tabs>
        <w:tab w:val="right" w:leader="dot" w:pos="9241"/>
      </w:tabs>
      <w:ind w:firstLine="607" w:firstLineChars="600"/>
      <w:jc w:val="left"/>
    </w:pPr>
    <w:rPr>
      <w:rFonts w:ascii="宋体"/>
      <w:szCs w:val="21"/>
    </w:rPr>
  </w:style>
  <w:style w:type="paragraph" w:styleId="13">
    <w:name w:val="index 3"/>
    <w:basedOn w:val="1"/>
    <w:next w:val="1"/>
    <w:qFormat/>
    <w:uiPriority w:val="0"/>
    <w:pPr>
      <w:ind w:left="630" w:hanging="210"/>
      <w:jc w:val="left"/>
    </w:pPr>
    <w:rPr>
      <w:rFonts w:ascii="Calibri" w:hAnsi="Calibri"/>
      <w:sz w:val="20"/>
      <w:szCs w:val="20"/>
    </w:rPr>
  </w:style>
  <w:style w:type="paragraph" w:styleId="14">
    <w:name w:val="endnote text"/>
    <w:basedOn w:val="1"/>
    <w:semiHidden/>
    <w:qFormat/>
    <w:uiPriority w:val="0"/>
    <w:pPr>
      <w:snapToGrid w:val="0"/>
      <w:jc w:val="left"/>
    </w:pPr>
  </w:style>
  <w:style w:type="paragraph" w:styleId="15">
    <w:name w:val="Balloon Text"/>
    <w:basedOn w:val="1"/>
    <w:link w:val="42"/>
    <w:qFormat/>
    <w:uiPriority w:val="0"/>
    <w:rPr>
      <w:sz w:val="18"/>
      <w:szCs w:val="18"/>
    </w:rPr>
  </w:style>
  <w:style w:type="paragraph" w:styleId="16">
    <w:name w:val="footer"/>
    <w:basedOn w:val="1"/>
    <w:link w:val="53"/>
    <w:qFormat/>
    <w:uiPriority w:val="99"/>
    <w:pPr>
      <w:snapToGrid w:val="0"/>
      <w:ind w:right="210" w:rightChars="100"/>
      <w:jc w:val="right"/>
    </w:pPr>
    <w:rPr>
      <w:sz w:val="18"/>
      <w:szCs w:val="18"/>
    </w:rPr>
  </w:style>
  <w:style w:type="paragraph" w:styleId="17">
    <w:name w:val="header"/>
    <w:basedOn w:val="1"/>
    <w:link w:val="41"/>
    <w:qFormat/>
    <w:uiPriority w:val="99"/>
    <w:pPr>
      <w:snapToGrid w:val="0"/>
      <w:jc w:val="left"/>
    </w:pPr>
    <w:rPr>
      <w:sz w:val="18"/>
      <w:szCs w:val="18"/>
    </w:rPr>
  </w:style>
  <w:style w:type="paragraph" w:styleId="18">
    <w:name w:val="toc 1"/>
    <w:basedOn w:val="1"/>
    <w:next w:val="1"/>
    <w:semiHidden/>
    <w:qFormat/>
    <w:uiPriority w:val="0"/>
    <w:pPr>
      <w:tabs>
        <w:tab w:val="right" w:leader="dot" w:pos="9242"/>
      </w:tabs>
      <w:spacing w:beforeLines="25" w:afterLines="25"/>
      <w:jc w:val="left"/>
    </w:pPr>
    <w:rPr>
      <w:rFonts w:ascii="宋体"/>
      <w:szCs w:val="21"/>
    </w:rPr>
  </w:style>
  <w:style w:type="paragraph" w:styleId="19">
    <w:name w:val="toc 4"/>
    <w:basedOn w:val="1"/>
    <w:next w:val="1"/>
    <w:semiHidden/>
    <w:qFormat/>
    <w:uiPriority w:val="0"/>
    <w:pPr>
      <w:tabs>
        <w:tab w:val="right" w:leader="dot" w:pos="9241"/>
      </w:tabs>
      <w:ind w:firstLine="200" w:firstLineChars="200"/>
      <w:jc w:val="left"/>
    </w:pPr>
    <w:rPr>
      <w:rFonts w:ascii="宋体"/>
      <w:szCs w:val="21"/>
    </w:rPr>
  </w:style>
  <w:style w:type="paragraph" w:styleId="20">
    <w:name w:val="index heading"/>
    <w:basedOn w:val="1"/>
    <w:next w:val="21"/>
    <w:qFormat/>
    <w:uiPriority w:val="0"/>
    <w:pPr>
      <w:spacing w:before="120" w:after="120"/>
      <w:jc w:val="center"/>
    </w:pPr>
    <w:rPr>
      <w:rFonts w:ascii="Calibri" w:hAnsi="Calibri"/>
      <w:b/>
      <w:bCs/>
      <w:iCs/>
      <w:szCs w:val="20"/>
    </w:rPr>
  </w:style>
  <w:style w:type="paragraph" w:styleId="21">
    <w:name w:val="index 1"/>
    <w:basedOn w:val="1"/>
    <w:next w:val="22"/>
    <w:qFormat/>
    <w:uiPriority w:val="0"/>
    <w:pPr>
      <w:tabs>
        <w:tab w:val="right" w:leader="dot" w:pos="9299"/>
      </w:tabs>
      <w:jc w:val="left"/>
    </w:pPr>
    <w:rPr>
      <w:rFonts w:ascii="宋体"/>
      <w:szCs w:val="21"/>
    </w:rPr>
  </w:style>
  <w:style w:type="paragraph" w:customStyle="1" w:styleId="22">
    <w:name w:val="段"/>
    <w:link w:val="39"/>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3">
    <w:name w:val="footnote text"/>
    <w:basedOn w:val="1"/>
    <w:qFormat/>
    <w:uiPriority w:val="0"/>
    <w:pPr>
      <w:tabs>
        <w:tab w:val="left" w:pos="0"/>
      </w:tabs>
      <w:snapToGrid w:val="0"/>
      <w:ind w:left="720" w:hanging="357"/>
      <w:jc w:val="left"/>
    </w:pPr>
    <w:rPr>
      <w:rFonts w:ascii="宋体"/>
      <w:sz w:val="18"/>
      <w:szCs w:val="18"/>
    </w:rPr>
  </w:style>
  <w:style w:type="paragraph" w:styleId="24">
    <w:name w:val="toc 6"/>
    <w:basedOn w:val="1"/>
    <w:next w:val="1"/>
    <w:semiHidden/>
    <w:qFormat/>
    <w:uiPriority w:val="0"/>
    <w:pPr>
      <w:tabs>
        <w:tab w:val="right" w:leader="dot" w:pos="9241"/>
      </w:tabs>
      <w:ind w:firstLine="400" w:firstLineChars="400"/>
      <w:jc w:val="left"/>
    </w:pPr>
    <w:rPr>
      <w:rFonts w:ascii="宋体"/>
      <w:szCs w:val="21"/>
    </w:rPr>
  </w:style>
  <w:style w:type="paragraph" w:styleId="25">
    <w:name w:val="index 7"/>
    <w:basedOn w:val="1"/>
    <w:next w:val="1"/>
    <w:qFormat/>
    <w:uiPriority w:val="0"/>
    <w:pPr>
      <w:ind w:left="1470" w:hanging="210"/>
      <w:jc w:val="left"/>
    </w:pPr>
    <w:rPr>
      <w:rFonts w:ascii="Calibri" w:hAnsi="Calibri"/>
      <w:sz w:val="20"/>
      <w:szCs w:val="20"/>
    </w:rPr>
  </w:style>
  <w:style w:type="paragraph" w:styleId="26">
    <w:name w:val="index 9"/>
    <w:basedOn w:val="1"/>
    <w:next w:val="1"/>
    <w:qFormat/>
    <w:uiPriority w:val="0"/>
    <w:pPr>
      <w:ind w:left="1890" w:hanging="210"/>
      <w:jc w:val="left"/>
    </w:pPr>
    <w:rPr>
      <w:rFonts w:ascii="Calibri" w:hAnsi="Calibri"/>
      <w:sz w:val="20"/>
      <w:szCs w:val="20"/>
    </w:rPr>
  </w:style>
  <w:style w:type="paragraph" w:styleId="27">
    <w:name w:val="toc 2"/>
    <w:basedOn w:val="1"/>
    <w:next w:val="1"/>
    <w:semiHidden/>
    <w:qFormat/>
    <w:uiPriority w:val="0"/>
    <w:pPr>
      <w:tabs>
        <w:tab w:val="right" w:leader="dot" w:pos="9242"/>
      </w:tabs>
    </w:pPr>
    <w:rPr>
      <w:rFonts w:ascii="宋体"/>
      <w:szCs w:val="21"/>
    </w:rPr>
  </w:style>
  <w:style w:type="paragraph" w:styleId="28">
    <w:name w:val="toc 9"/>
    <w:basedOn w:val="1"/>
    <w:next w:val="1"/>
    <w:semiHidden/>
    <w:qFormat/>
    <w:uiPriority w:val="0"/>
    <w:pPr>
      <w:ind w:left="1470"/>
      <w:jc w:val="left"/>
    </w:pPr>
    <w:rPr>
      <w:sz w:val="20"/>
      <w:szCs w:val="20"/>
    </w:rPr>
  </w:style>
  <w:style w:type="paragraph" w:styleId="29">
    <w:name w:val="index 2"/>
    <w:basedOn w:val="1"/>
    <w:next w:val="1"/>
    <w:qFormat/>
    <w:uiPriority w:val="0"/>
    <w:pPr>
      <w:ind w:left="420" w:hanging="210"/>
      <w:jc w:val="left"/>
    </w:pPr>
    <w:rPr>
      <w:rFonts w:ascii="Calibri" w:hAnsi="Calibri"/>
      <w:sz w:val="20"/>
      <w:szCs w:val="20"/>
    </w:rPr>
  </w:style>
  <w:style w:type="paragraph" w:styleId="30">
    <w:name w:val="annotation subject"/>
    <w:basedOn w:val="7"/>
    <w:next w:val="7"/>
    <w:link w:val="147"/>
    <w:semiHidden/>
    <w:unhideWhenUsed/>
    <w:qFormat/>
    <w:uiPriority w:val="0"/>
    <w:rPr>
      <w:b/>
      <w:bCs/>
    </w:rPr>
  </w:style>
  <w:style w:type="table" w:styleId="32">
    <w:name w:val="Table Grid"/>
    <w:basedOn w:val="31"/>
    <w:qFormat/>
    <w:uiPriority w:val="59"/>
    <w:pPr>
      <w:numPr>
        <w:numId w:val="1"/>
      </w:numPr>
      <w:ind w:left="544" w:hanging="181"/>
    </w:pPr>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4">
    <w:name w:val="endnote reference"/>
    <w:semiHidden/>
    <w:qFormat/>
    <w:uiPriority w:val="0"/>
    <w:rPr>
      <w:vertAlign w:val="superscript"/>
    </w:rPr>
  </w:style>
  <w:style w:type="character" w:styleId="35">
    <w:name w:val="page number"/>
    <w:qFormat/>
    <w:uiPriority w:val="0"/>
    <w:rPr>
      <w:rFonts w:ascii="Times New Roman" w:hAnsi="Times New Roman" w:eastAsia="宋体"/>
      <w:sz w:val="18"/>
    </w:rPr>
  </w:style>
  <w:style w:type="character" w:styleId="36">
    <w:name w:val="Hyperlink"/>
    <w:qFormat/>
    <w:uiPriority w:val="0"/>
    <w:rPr>
      <w:color w:val="0000FF"/>
      <w:spacing w:val="0"/>
      <w:w w:val="100"/>
      <w:szCs w:val="21"/>
      <w:u w:val="single"/>
      <w:lang w:val="en-US" w:eastAsia="zh-CN"/>
    </w:rPr>
  </w:style>
  <w:style w:type="character" w:styleId="37">
    <w:name w:val="annotation reference"/>
    <w:basedOn w:val="33"/>
    <w:semiHidden/>
    <w:unhideWhenUsed/>
    <w:qFormat/>
    <w:uiPriority w:val="0"/>
    <w:rPr>
      <w:sz w:val="21"/>
      <w:szCs w:val="21"/>
    </w:rPr>
  </w:style>
  <w:style w:type="character" w:styleId="38">
    <w:name w:val="footnote reference"/>
    <w:semiHidden/>
    <w:qFormat/>
    <w:uiPriority w:val="0"/>
    <w:rPr>
      <w:vertAlign w:val="superscript"/>
    </w:rPr>
  </w:style>
  <w:style w:type="character" w:customStyle="1" w:styleId="39">
    <w:name w:val="段 Char"/>
    <w:link w:val="22"/>
    <w:qFormat/>
    <w:uiPriority w:val="0"/>
    <w:rPr>
      <w:rFonts w:ascii="宋体"/>
      <w:sz w:val="21"/>
      <w:lang w:val="en-US" w:eastAsia="zh-CN" w:bidi="ar-SA"/>
    </w:rPr>
  </w:style>
  <w:style w:type="character" w:customStyle="1" w:styleId="40">
    <w:name w:val="访问过的超链接1"/>
    <w:qFormat/>
    <w:uiPriority w:val="0"/>
    <w:rPr>
      <w:color w:val="800080"/>
      <w:u w:val="single"/>
    </w:rPr>
  </w:style>
  <w:style w:type="character" w:customStyle="1" w:styleId="41">
    <w:name w:val="页眉 字符"/>
    <w:link w:val="17"/>
    <w:qFormat/>
    <w:locked/>
    <w:uiPriority w:val="99"/>
    <w:rPr>
      <w:kern w:val="2"/>
      <w:sz w:val="18"/>
      <w:szCs w:val="18"/>
    </w:rPr>
  </w:style>
  <w:style w:type="character" w:customStyle="1" w:styleId="42">
    <w:name w:val="批注框文本 字符"/>
    <w:link w:val="15"/>
    <w:qFormat/>
    <w:uiPriority w:val="0"/>
    <w:rPr>
      <w:kern w:val="2"/>
      <w:sz w:val="18"/>
      <w:szCs w:val="18"/>
    </w:rPr>
  </w:style>
  <w:style w:type="character" w:customStyle="1" w:styleId="43">
    <w:name w:val="发布"/>
    <w:qFormat/>
    <w:uiPriority w:val="0"/>
    <w:rPr>
      <w:rFonts w:ascii="黑体" w:eastAsia="黑体"/>
      <w:spacing w:val="85"/>
      <w:w w:val="100"/>
      <w:position w:val="3"/>
      <w:sz w:val="28"/>
      <w:szCs w:val="28"/>
    </w:rPr>
  </w:style>
  <w:style w:type="character" w:customStyle="1" w:styleId="44">
    <w:name w:val="章标题 Char"/>
    <w:link w:val="45"/>
    <w:qFormat/>
    <w:locked/>
    <w:uiPriority w:val="0"/>
    <w:rPr>
      <w:rFonts w:ascii="黑体" w:eastAsia="黑体"/>
      <w:sz w:val="21"/>
    </w:rPr>
  </w:style>
  <w:style w:type="paragraph" w:customStyle="1" w:styleId="45">
    <w:name w:val="章标题"/>
    <w:next w:val="22"/>
    <w:link w:val="44"/>
    <w:qFormat/>
    <w:uiPriority w:val="0"/>
    <w:pPr>
      <w:spacing w:beforeLines="100" w:afterLines="100"/>
      <w:jc w:val="both"/>
      <w:outlineLvl w:val="1"/>
    </w:pPr>
    <w:rPr>
      <w:rFonts w:ascii="黑体" w:hAnsi="Times New Roman" w:eastAsia="黑体" w:cs="Times New Roman"/>
      <w:sz w:val="21"/>
      <w:lang w:val="en-US" w:eastAsia="zh-CN" w:bidi="ar-SA"/>
    </w:rPr>
  </w:style>
  <w:style w:type="character" w:customStyle="1" w:styleId="46">
    <w:name w:val="一级条标题 Char"/>
    <w:link w:val="47"/>
    <w:qFormat/>
    <w:locked/>
    <w:uiPriority w:val="0"/>
    <w:rPr>
      <w:rFonts w:ascii="黑体" w:eastAsia="黑体"/>
      <w:sz w:val="21"/>
      <w:szCs w:val="21"/>
    </w:rPr>
  </w:style>
  <w:style w:type="paragraph" w:customStyle="1" w:styleId="47">
    <w:name w:val="一级条标题"/>
    <w:next w:val="22"/>
    <w:link w:val="46"/>
    <w:qFormat/>
    <w:uiPriority w:val="0"/>
    <w:pPr>
      <w:numPr>
        <w:ilvl w:val="1"/>
        <w:numId w:val="2"/>
      </w:numPr>
      <w:spacing w:beforeLines="50" w:afterLines="50"/>
      <w:outlineLvl w:val="2"/>
    </w:pPr>
    <w:rPr>
      <w:rFonts w:ascii="黑体" w:hAnsi="Times New Roman" w:eastAsia="黑体" w:cs="Times New Roman"/>
      <w:sz w:val="21"/>
      <w:szCs w:val="21"/>
      <w:lang w:val="en-US" w:eastAsia="zh-CN" w:bidi="ar-SA"/>
    </w:rPr>
  </w:style>
  <w:style w:type="character" w:customStyle="1" w:styleId="48">
    <w:name w:val="二级无 Char"/>
    <w:link w:val="49"/>
    <w:qFormat/>
    <w:locked/>
    <w:uiPriority w:val="0"/>
    <w:rPr>
      <w:rFonts w:ascii="宋体"/>
      <w:sz w:val="21"/>
      <w:szCs w:val="21"/>
    </w:rPr>
  </w:style>
  <w:style w:type="paragraph" w:customStyle="1" w:styleId="49">
    <w:name w:val="二级无"/>
    <w:basedOn w:val="50"/>
    <w:link w:val="48"/>
    <w:qFormat/>
    <w:uiPriority w:val="0"/>
    <w:pPr>
      <w:spacing w:beforeLines="0" w:afterLines="0"/>
    </w:pPr>
    <w:rPr>
      <w:rFonts w:ascii="宋体" w:eastAsia="宋体"/>
    </w:rPr>
  </w:style>
  <w:style w:type="paragraph" w:customStyle="1" w:styleId="50">
    <w:name w:val="二级条标题"/>
    <w:basedOn w:val="47"/>
    <w:next w:val="22"/>
    <w:link w:val="145"/>
    <w:qFormat/>
    <w:uiPriority w:val="0"/>
    <w:pPr>
      <w:numPr>
        <w:ilvl w:val="2"/>
      </w:numPr>
      <w:spacing w:before="50" w:after="50"/>
      <w:outlineLvl w:val="3"/>
    </w:pPr>
  </w:style>
  <w:style w:type="character" w:customStyle="1" w:styleId="51">
    <w:name w:val="附录公式 Char"/>
    <w:basedOn w:val="39"/>
    <w:link w:val="52"/>
    <w:qFormat/>
    <w:uiPriority w:val="0"/>
    <w:rPr>
      <w:rFonts w:ascii="宋体"/>
      <w:sz w:val="21"/>
      <w:lang w:val="en-US" w:eastAsia="zh-CN" w:bidi="ar-SA"/>
    </w:rPr>
  </w:style>
  <w:style w:type="paragraph" w:customStyle="1" w:styleId="52">
    <w:name w:val="附录公式"/>
    <w:basedOn w:val="22"/>
    <w:next w:val="22"/>
    <w:link w:val="51"/>
    <w:qFormat/>
    <w:uiPriority w:val="0"/>
  </w:style>
  <w:style w:type="character" w:customStyle="1" w:styleId="53">
    <w:name w:val="页脚 字符"/>
    <w:link w:val="16"/>
    <w:qFormat/>
    <w:locked/>
    <w:uiPriority w:val="99"/>
    <w:rPr>
      <w:kern w:val="2"/>
      <w:sz w:val="18"/>
      <w:szCs w:val="18"/>
    </w:rPr>
  </w:style>
  <w:style w:type="character" w:customStyle="1" w:styleId="54">
    <w:name w:val="首示例 Char"/>
    <w:link w:val="55"/>
    <w:qFormat/>
    <w:uiPriority w:val="0"/>
    <w:rPr>
      <w:rFonts w:ascii="宋体" w:hAnsi="宋体"/>
      <w:kern w:val="2"/>
      <w:sz w:val="18"/>
      <w:szCs w:val="18"/>
    </w:rPr>
  </w:style>
  <w:style w:type="paragraph" w:customStyle="1" w:styleId="55">
    <w:name w:val="首示例"/>
    <w:next w:val="22"/>
    <w:link w:val="54"/>
    <w:qFormat/>
    <w:uiPriority w:val="0"/>
    <w:pPr>
      <w:tabs>
        <w:tab w:val="left" w:pos="360"/>
      </w:tabs>
    </w:pPr>
    <w:rPr>
      <w:rFonts w:ascii="宋体" w:hAnsi="宋体" w:eastAsia="宋体" w:cs="Times New Roman"/>
      <w:kern w:val="2"/>
      <w:sz w:val="18"/>
      <w:szCs w:val="18"/>
      <w:lang w:val="en-US" w:eastAsia="zh-CN" w:bidi="ar-SA"/>
    </w:rPr>
  </w:style>
  <w:style w:type="paragraph" w:customStyle="1" w:styleId="56">
    <w:name w:val="标准文件_附录一级条标题"/>
    <w:basedOn w:val="1"/>
    <w:next w:val="1"/>
    <w:qFormat/>
    <w:uiPriority w:val="0"/>
    <w:pPr>
      <w:widowControl/>
      <w:wordWrap w:val="0"/>
      <w:overflowPunct w:val="0"/>
      <w:autoSpaceDE w:val="0"/>
      <w:autoSpaceDN w:val="0"/>
      <w:ind w:left="-50" w:leftChars="-50" w:right="-50" w:rightChars="-50"/>
      <w:textAlignment w:val="baseline"/>
      <w:outlineLvl w:val="2"/>
    </w:pPr>
    <w:rPr>
      <w:rFonts w:ascii="黑体" w:eastAsia="黑体"/>
      <w:spacing w:val="2"/>
      <w:kern w:val="21"/>
      <w:szCs w:val="20"/>
    </w:rPr>
  </w:style>
  <w:style w:type="paragraph" w:customStyle="1" w:styleId="57">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58">
    <w:name w:val="目次、标准名称标题"/>
    <w:basedOn w:val="1"/>
    <w:next w:val="22"/>
    <w:qFormat/>
    <w:uiPriority w:val="99"/>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59">
    <w:name w:val="正文图标题"/>
    <w:next w:val="22"/>
    <w:qFormat/>
    <w:uiPriority w:val="99"/>
    <w:p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60">
    <w:name w:val="参考文献"/>
    <w:basedOn w:val="1"/>
    <w:next w:val="22"/>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61">
    <w:name w:val="示例后文字"/>
    <w:basedOn w:val="22"/>
    <w:next w:val="22"/>
    <w:qFormat/>
    <w:uiPriority w:val="0"/>
    <w:pPr>
      <w:ind w:firstLine="360"/>
    </w:pPr>
    <w:rPr>
      <w:sz w:val="18"/>
    </w:rPr>
  </w:style>
  <w:style w:type="paragraph" w:customStyle="1" w:styleId="62">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63">
    <w:name w:val="标准书眉一"/>
    <w:qFormat/>
    <w:uiPriority w:val="0"/>
    <w:pPr>
      <w:jc w:val="both"/>
    </w:pPr>
    <w:rPr>
      <w:rFonts w:ascii="Times New Roman" w:hAnsi="Times New Roman" w:eastAsia="宋体" w:cs="Times New Roman"/>
      <w:lang w:val="en-US" w:eastAsia="zh-CN" w:bidi="ar-SA"/>
    </w:rPr>
  </w:style>
  <w:style w:type="paragraph" w:customStyle="1" w:styleId="64">
    <w:name w:val="附录表标号"/>
    <w:basedOn w:val="1"/>
    <w:next w:val="22"/>
    <w:qFormat/>
    <w:uiPriority w:val="0"/>
    <w:pPr>
      <w:spacing w:line="14" w:lineRule="exact"/>
      <w:ind w:left="811" w:hanging="448"/>
      <w:jc w:val="center"/>
      <w:outlineLvl w:val="0"/>
    </w:pPr>
    <w:rPr>
      <w:color w:val="FFFFFF"/>
    </w:rPr>
  </w:style>
  <w:style w:type="paragraph" w:customStyle="1" w:styleId="65">
    <w:name w:val="附录二级条标题"/>
    <w:basedOn w:val="1"/>
    <w:next w:val="22"/>
    <w:qFormat/>
    <w:uiPriority w:val="0"/>
    <w:pPr>
      <w:widowControl/>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66">
    <w:name w:val="封面一致性程度标识"/>
    <w:basedOn w:val="67"/>
    <w:qFormat/>
    <w:uiPriority w:val="99"/>
    <w:pPr>
      <w:framePr w:wrap="around"/>
      <w:spacing w:before="440"/>
    </w:pPr>
    <w:rPr>
      <w:rFonts w:ascii="宋体" w:eastAsia="宋体"/>
    </w:rPr>
  </w:style>
  <w:style w:type="paragraph" w:customStyle="1" w:styleId="67">
    <w:name w:val="封面标准英文名称"/>
    <w:basedOn w:val="68"/>
    <w:qFormat/>
    <w:uiPriority w:val="0"/>
    <w:pPr>
      <w:framePr w:wrap="around"/>
      <w:spacing w:before="370" w:line="400" w:lineRule="exact"/>
    </w:pPr>
    <w:rPr>
      <w:rFonts w:ascii="Times New Roman"/>
      <w:sz w:val="28"/>
      <w:szCs w:val="28"/>
    </w:rPr>
  </w:style>
  <w:style w:type="paragraph" w:customStyle="1" w:styleId="68">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69">
    <w:name w:val="附录二级无"/>
    <w:basedOn w:val="65"/>
    <w:qFormat/>
    <w:uiPriority w:val="0"/>
    <w:pPr>
      <w:tabs>
        <w:tab w:val="clear" w:pos="360"/>
      </w:tabs>
      <w:spacing w:beforeLines="0" w:afterLines="0"/>
    </w:pPr>
    <w:rPr>
      <w:rFonts w:ascii="宋体" w:eastAsia="宋体"/>
      <w:szCs w:val="21"/>
    </w:rPr>
  </w:style>
  <w:style w:type="paragraph" w:customStyle="1" w:styleId="70">
    <w:name w:val="一级无"/>
    <w:basedOn w:val="47"/>
    <w:qFormat/>
    <w:uiPriority w:val="0"/>
    <w:pPr>
      <w:spacing w:beforeLines="0" w:afterLines="0"/>
    </w:pPr>
    <w:rPr>
      <w:rFonts w:ascii="宋体" w:eastAsia="宋体"/>
    </w:rPr>
  </w:style>
  <w:style w:type="paragraph" w:customStyle="1" w:styleId="71">
    <w:name w:val="实施日期"/>
    <w:basedOn w:val="57"/>
    <w:qFormat/>
    <w:uiPriority w:val="0"/>
    <w:pPr>
      <w:framePr w:wrap="around" w:vAnchor="page" w:hAnchor="text"/>
      <w:jc w:val="right"/>
    </w:pPr>
  </w:style>
  <w:style w:type="paragraph" w:customStyle="1" w:styleId="72">
    <w:name w:val="四级无"/>
    <w:basedOn w:val="73"/>
    <w:qFormat/>
    <w:uiPriority w:val="0"/>
    <w:pPr>
      <w:spacing w:beforeLines="0" w:afterLines="0"/>
    </w:pPr>
    <w:rPr>
      <w:rFonts w:ascii="宋体" w:eastAsia="宋体"/>
    </w:rPr>
  </w:style>
  <w:style w:type="paragraph" w:customStyle="1" w:styleId="73">
    <w:name w:val="四级条标题"/>
    <w:basedOn w:val="74"/>
    <w:next w:val="22"/>
    <w:qFormat/>
    <w:uiPriority w:val="0"/>
    <w:pPr>
      <w:outlineLvl w:val="5"/>
    </w:pPr>
  </w:style>
  <w:style w:type="paragraph" w:customStyle="1" w:styleId="74">
    <w:name w:val="三级条标题"/>
    <w:basedOn w:val="50"/>
    <w:next w:val="22"/>
    <w:qFormat/>
    <w:uiPriority w:val="0"/>
    <w:pPr>
      <w:numPr>
        <w:ilvl w:val="0"/>
        <w:numId w:val="0"/>
      </w:numPr>
      <w:outlineLvl w:val="4"/>
    </w:pPr>
  </w:style>
  <w:style w:type="paragraph" w:customStyle="1" w:styleId="75">
    <w:name w:val="注×：（正文）"/>
    <w:qFormat/>
    <w:uiPriority w:val="0"/>
    <w:pPr>
      <w:ind w:left="811" w:hanging="448"/>
      <w:jc w:val="both"/>
    </w:pPr>
    <w:rPr>
      <w:rFonts w:ascii="宋体" w:hAnsi="Times New Roman" w:eastAsia="宋体" w:cs="Times New Roman"/>
      <w:sz w:val="18"/>
      <w:szCs w:val="18"/>
      <w:lang w:val="en-US" w:eastAsia="zh-CN" w:bidi="ar-SA"/>
    </w:rPr>
  </w:style>
  <w:style w:type="paragraph" w:customStyle="1" w:styleId="76">
    <w:name w:val="列项——（一级）"/>
    <w:qFormat/>
    <w:uiPriority w:val="0"/>
    <w:pPr>
      <w:widowControl w:val="0"/>
      <w:ind w:left="833" w:hanging="408"/>
      <w:jc w:val="both"/>
    </w:pPr>
    <w:rPr>
      <w:rFonts w:ascii="宋体" w:hAnsi="Times New Roman" w:eastAsia="宋体" w:cs="Times New Roman"/>
      <w:sz w:val="21"/>
      <w:lang w:val="en-US" w:eastAsia="zh-CN" w:bidi="ar-SA"/>
    </w:rPr>
  </w:style>
  <w:style w:type="paragraph" w:customStyle="1" w:styleId="77">
    <w:name w:val="正文表标题"/>
    <w:next w:val="22"/>
    <w:qFormat/>
    <w:uiPriority w:val="0"/>
    <w:pPr>
      <w:numPr>
        <w:ilvl w:val="0"/>
        <w:numId w:val="3"/>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78">
    <w:name w:val="封面标准号2"/>
    <w:qFormat/>
    <w:uiPriority w:val="99"/>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79">
    <w:name w:val="图标脚注说明"/>
    <w:basedOn w:val="22"/>
    <w:qFormat/>
    <w:uiPriority w:val="0"/>
    <w:pPr>
      <w:ind w:left="840" w:hanging="420" w:firstLineChars="0"/>
    </w:pPr>
    <w:rPr>
      <w:sz w:val="18"/>
      <w:szCs w:val="18"/>
    </w:rPr>
  </w:style>
  <w:style w:type="paragraph" w:customStyle="1" w:styleId="80">
    <w:name w:val="列项◆（三级）"/>
    <w:basedOn w:val="1"/>
    <w:qFormat/>
    <w:uiPriority w:val="0"/>
    <w:pPr>
      <w:tabs>
        <w:tab w:val="left" w:pos="1678"/>
      </w:tabs>
      <w:ind w:left="1678" w:hanging="414"/>
    </w:pPr>
    <w:rPr>
      <w:rFonts w:ascii="宋体"/>
      <w:szCs w:val="21"/>
    </w:rPr>
  </w:style>
  <w:style w:type="paragraph" w:customStyle="1" w:styleId="81">
    <w:name w:val="前言、引言标题"/>
    <w:next w:val="22"/>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82">
    <w:name w:val="附录三级条标题"/>
    <w:basedOn w:val="65"/>
    <w:next w:val="22"/>
    <w:qFormat/>
    <w:uiPriority w:val="0"/>
    <w:pPr>
      <w:outlineLvl w:val="4"/>
    </w:pPr>
  </w:style>
  <w:style w:type="paragraph" w:customStyle="1" w:styleId="83">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84">
    <w:name w:val="附录五级无"/>
    <w:basedOn w:val="85"/>
    <w:qFormat/>
    <w:uiPriority w:val="0"/>
    <w:pPr>
      <w:tabs>
        <w:tab w:val="left" w:pos="360"/>
      </w:tabs>
      <w:spacing w:beforeLines="0" w:afterLines="0"/>
    </w:pPr>
    <w:rPr>
      <w:rFonts w:ascii="宋体" w:eastAsia="宋体"/>
      <w:szCs w:val="21"/>
    </w:rPr>
  </w:style>
  <w:style w:type="paragraph" w:customStyle="1" w:styleId="85">
    <w:name w:val="附录五级条标题"/>
    <w:basedOn w:val="86"/>
    <w:next w:val="22"/>
    <w:qFormat/>
    <w:uiPriority w:val="0"/>
    <w:pPr>
      <w:tabs>
        <w:tab w:val="left" w:pos="360"/>
      </w:tabs>
      <w:outlineLvl w:val="6"/>
    </w:pPr>
  </w:style>
  <w:style w:type="paragraph" w:customStyle="1" w:styleId="86">
    <w:name w:val="附录四级条标题"/>
    <w:basedOn w:val="82"/>
    <w:next w:val="22"/>
    <w:qFormat/>
    <w:uiPriority w:val="0"/>
    <w:pPr>
      <w:outlineLvl w:val="5"/>
    </w:pPr>
  </w:style>
  <w:style w:type="paragraph" w:customStyle="1" w:styleId="87">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88">
    <w:name w:val="附录一级无"/>
    <w:basedOn w:val="89"/>
    <w:qFormat/>
    <w:uiPriority w:val="0"/>
    <w:pPr>
      <w:tabs>
        <w:tab w:val="left" w:pos="360"/>
      </w:tabs>
      <w:spacing w:beforeLines="0" w:afterLines="0"/>
    </w:pPr>
    <w:rPr>
      <w:rFonts w:ascii="宋体" w:eastAsia="宋体"/>
      <w:szCs w:val="21"/>
    </w:rPr>
  </w:style>
  <w:style w:type="paragraph" w:customStyle="1" w:styleId="89">
    <w:name w:val="附录一级条标题"/>
    <w:basedOn w:val="90"/>
    <w:next w:val="22"/>
    <w:qFormat/>
    <w:uiPriority w:val="0"/>
    <w:pPr>
      <w:tabs>
        <w:tab w:val="left" w:pos="360"/>
      </w:tabs>
      <w:autoSpaceDN w:val="0"/>
      <w:spacing w:beforeLines="50" w:afterLines="50"/>
      <w:outlineLvl w:val="2"/>
    </w:pPr>
  </w:style>
  <w:style w:type="paragraph" w:customStyle="1" w:styleId="90">
    <w:name w:val="附录章标题"/>
    <w:next w:val="22"/>
    <w:qFormat/>
    <w:uiPriority w:val="0"/>
    <w:p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9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92">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93">
    <w:name w:val="附录公式编号制表符"/>
    <w:basedOn w:val="1"/>
    <w:next w:val="22"/>
    <w:qFormat/>
    <w:uiPriority w:val="0"/>
    <w:pPr>
      <w:widowControl/>
      <w:tabs>
        <w:tab w:val="center" w:pos="4201"/>
        <w:tab w:val="right" w:leader="dot" w:pos="9298"/>
      </w:tabs>
      <w:autoSpaceDE w:val="0"/>
      <w:autoSpaceDN w:val="0"/>
    </w:pPr>
    <w:rPr>
      <w:rFonts w:ascii="宋体"/>
      <w:kern w:val="0"/>
      <w:szCs w:val="20"/>
    </w:rPr>
  </w:style>
  <w:style w:type="paragraph" w:customStyle="1" w:styleId="94">
    <w:name w:val="附录图标题"/>
    <w:basedOn w:val="1"/>
    <w:next w:val="22"/>
    <w:qFormat/>
    <w:uiPriority w:val="0"/>
    <w:pPr>
      <w:tabs>
        <w:tab w:val="left" w:pos="363"/>
      </w:tabs>
      <w:spacing w:beforeLines="50" w:afterLines="50"/>
      <w:jc w:val="center"/>
    </w:pPr>
    <w:rPr>
      <w:rFonts w:ascii="黑体" w:eastAsia="黑体"/>
      <w:szCs w:val="21"/>
    </w:rPr>
  </w:style>
  <w:style w:type="paragraph" w:customStyle="1" w:styleId="95">
    <w:name w:val="注×："/>
    <w:qFormat/>
    <w:uiPriority w:val="99"/>
    <w:pPr>
      <w:widowControl w:val="0"/>
      <w:autoSpaceDE w:val="0"/>
      <w:autoSpaceDN w:val="0"/>
      <w:ind w:left="811" w:hanging="448"/>
      <w:jc w:val="both"/>
    </w:pPr>
    <w:rPr>
      <w:rFonts w:ascii="宋体" w:hAnsi="Times New Roman" w:eastAsia="宋体" w:cs="Times New Roman"/>
      <w:sz w:val="18"/>
      <w:szCs w:val="18"/>
      <w:lang w:val="en-US" w:eastAsia="zh-CN" w:bidi="ar-SA"/>
    </w:rPr>
  </w:style>
  <w:style w:type="paragraph" w:customStyle="1" w:styleId="96">
    <w:name w:val="参考文献、索引标题"/>
    <w:basedOn w:val="1"/>
    <w:next w:val="22"/>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97">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98">
    <w:name w:val="图的脚注"/>
    <w:next w:val="22"/>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99">
    <w:name w:val="数字编号列项（二级）"/>
    <w:qFormat/>
    <w:uiPriority w:val="0"/>
    <w:pPr>
      <w:tabs>
        <w:tab w:val="left" w:pos="1260"/>
      </w:tabs>
      <w:ind w:left="1259" w:hanging="419"/>
      <w:jc w:val="both"/>
    </w:pPr>
    <w:rPr>
      <w:rFonts w:ascii="宋体" w:hAnsi="Times New Roman" w:eastAsia="宋体" w:cs="Times New Roman"/>
      <w:sz w:val="21"/>
      <w:lang w:val="en-US" w:eastAsia="zh-CN" w:bidi="ar-SA"/>
    </w:rPr>
  </w:style>
  <w:style w:type="paragraph" w:customStyle="1" w:styleId="100">
    <w:name w:val="条文脚注"/>
    <w:basedOn w:val="23"/>
    <w:qFormat/>
    <w:uiPriority w:val="0"/>
    <w:pPr>
      <w:ind w:left="0" w:firstLine="0"/>
      <w:jc w:val="both"/>
    </w:pPr>
  </w:style>
  <w:style w:type="paragraph" w:customStyle="1" w:styleId="101">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102">
    <w:name w:val="字母编号列项（一级）"/>
    <w:qFormat/>
    <w:uiPriority w:val="0"/>
    <w:pPr>
      <w:tabs>
        <w:tab w:val="left" w:pos="840"/>
      </w:tabs>
      <w:ind w:left="839" w:hanging="419"/>
      <w:jc w:val="both"/>
    </w:pPr>
    <w:rPr>
      <w:rFonts w:ascii="宋体" w:hAnsi="Times New Roman" w:eastAsia="宋体" w:cs="Times New Roman"/>
      <w:sz w:val="21"/>
      <w:lang w:val="en-US" w:eastAsia="zh-CN" w:bidi="ar-SA"/>
    </w:rPr>
  </w:style>
  <w:style w:type="paragraph" w:customStyle="1" w:styleId="103">
    <w:name w:val="示例"/>
    <w:next w:val="104"/>
    <w:qFormat/>
    <w:uiPriority w:val="0"/>
    <w:pPr>
      <w:widowControl w:val="0"/>
      <w:ind w:firstLine="363"/>
      <w:jc w:val="both"/>
    </w:pPr>
    <w:rPr>
      <w:rFonts w:ascii="宋体" w:hAnsi="Times New Roman" w:eastAsia="宋体" w:cs="Times New Roman"/>
      <w:sz w:val="18"/>
      <w:szCs w:val="18"/>
      <w:lang w:val="en-US" w:eastAsia="zh-CN" w:bidi="ar-SA"/>
    </w:rPr>
  </w:style>
  <w:style w:type="paragraph" w:customStyle="1" w:styleId="104">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105">
    <w:name w:val="附录图标号"/>
    <w:basedOn w:val="1"/>
    <w:qFormat/>
    <w:uiPriority w:val="0"/>
    <w:pPr>
      <w:keepNext/>
      <w:pageBreakBefore/>
      <w:widowControl/>
      <w:spacing w:line="14" w:lineRule="exact"/>
      <w:ind w:firstLine="363"/>
      <w:jc w:val="center"/>
      <w:outlineLvl w:val="0"/>
    </w:pPr>
    <w:rPr>
      <w:color w:val="FFFFFF"/>
    </w:rPr>
  </w:style>
  <w:style w:type="paragraph" w:customStyle="1" w:styleId="106">
    <w:name w:val="封面一致性程度标识2"/>
    <w:basedOn w:val="66"/>
    <w:qFormat/>
    <w:uiPriority w:val="0"/>
    <w:pPr>
      <w:framePr w:wrap="around" w:y="4469"/>
    </w:pPr>
  </w:style>
  <w:style w:type="paragraph" w:customStyle="1" w:styleId="107">
    <w:name w:val="附录字母编号列项（一级）"/>
    <w:qFormat/>
    <w:uiPriority w:val="0"/>
    <w:pPr>
      <w:tabs>
        <w:tab w:val="left" w:pos="839"/>
      </w:tabs>
      <w:ind w:left="839" w:hanging="419"/>
    </w:pPr>
    <w:rPr>
      <w:rFonts w:ascii="宋体" w:hAnsi="Times New Roman" w:eastAsia="宋体" w:cs="Times New Roman"/>
      <w:sz w:val="21"/>
      <w:lang w:val="en-US" w:eastAsia="zh-CN" w:bidi="ar-SA"/>
    </w:rPr>
  </w:style>
  <w:style w:type="paragraph" w:customStyle="1" w:styleId="108">
    <w:name w:val="附录三级无"/>
    <w:basedOn w:val="82"/>
    <w:qFormat/>
    <w:uiPriority w:val="0"/>
    <w:pPr>
      <w:tabs>
        <w:tab w:val="clear" w:pos="360"/>
      </w:tabs>
      <w:spacing w:beforeLines="0" w:afterLines="0"/>
    </w:pPr>
    <w:rPr>
      <w:rFonts w:ascii="宋体" w:eastAsia="宋体"/>
      <w:szCs w:val="21"/>
    </w:rPr>
  </w:style>
  <w:style w:type="paragraph" w:customStyle="1" w:styleId="109">
    <w:name w:val="其他发布日期"/>
    <w:basedOn w:val="57"/>
    <w:qFormat/>
    <w:uiPriority w:val="99"/>
    <w:pPr>
      <w:framePr w:wrap="around" w:vAnchor="page" w:hAnchor="text" w:x="1419"/>
    </w:pPr>
  </w:style>
  <w:style w:type="paragraph" w:customStyle="1" w:styleId="110">
    <w:name w:val="附录数字编号列项（二级）"/>
    <w:qFormat/>
    <w:uiPriority w:val="0"/>
    <w:pPr>
      <w:tabs>
        <w:tab w:val="left" w:pos="840"/>
      </w:tabs>
      <w:ind w:left="839" w:hanging="419"/>
    </w:pPr>
    <w:rPr>
      <w:rFonts w:ascii="宋体" w:hAnsi="Times New Roman" w:eastAsia="宋体" w:cs="Times New Roman"/>
      <w:sz w:val="21"/>
      <w:lang w:val="en-US" w:eastAsia="zh-CN" w:bidi="ar-SA"/>
    </w:rPr>
  </w:style>
  <w:style w:type="paragraph" w:customStyle="1" w:styleId="111">
    <w:name w:val="其他标准标志"/>
    <w:basedOn w:val="101"/>
    <w:qFormat/>
    <w:uiPriority w:val="0"/>
    <w:pPr>
      <w:framePr w:w="6101" w:wrap="around" w:vAnchor="page" w:hAnchor="page" w:x="4673" w:y="942"/>
    </w:pPr>
    <w:rPr>
      <w:w w:val="130"/>
    </w:rPr>
  </w:style>
  <w:style w:type="paragraph" w:customStyle="1" w:styleId="112">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13">
    <w:name w:val="图表脚注说明"/>
    <w:basedOn w:val="1"/>
    <w:qFormat/>
    <w:uiPriority w:val="0"/>
    <w:pPr>
      <w:ind w:left="544" w:hanging="181"/>
    </w:pPr>
    <w:rPr>
      <w:rFonts w:ascii="宋体"/>
      <w:sz w:val="18"/>
      <w:szCs w:val="18"/>
    </w:rPr>
  </w:style>
  <w:style w:type="paragraph" w:customStyle="1" w:styleId="114">
    <w:name w:val="五级条标题"/>
    <w:basedOn w:val="73"/>
    <w:next w:val="22"/>
    <w:qFormat/>
    <w:uiPriority w:val="0"/>
    <w:pPr>
      <w:numPr>
        <w:ilvl w:val="5"/>
      </w:numPr>
      <w:outlineLvl w:val="6"/>
    </w:pPr>
  </w:style>
  <w:style w:type="paragraph" w:customStyle="1" w:styleId="115">
    <w:name w:val="封面标准文稿类别"/>
    <w:basedOn w:val="66"/>
    <w:qFormat/>
    <w:uiPriority w:val="0"/>
    <w:pPr>
      <w:framePr w:wrap="around"/>
      <w:spacing w:after="160" w:line="240" w:lineRule="auto"/>
    </w:pPr>
    <w:rPr>
      <w:sz w:val="24"/>
    </w:rPr>
  </w:style>
  <w:style w:type="paragraph" w:customStyle="1" w:styleId="116">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117">
    <w:name w:val="示例×："/>
    <w:basedOn w:val="45"/>
    <w:qFormat/>
    <w:uiPriority w:val="0"/>
    <w:pPr>
      <w:spacing w:beforeLines="0" w:afterLines="0"/>
      <w:ind w:firstLine="363"/>
      <w:outlineLvl w:val="9"/>
    </w:pPr>
    <w:rPr>
      <w:rFonts w:ascii="宋体" w:eastAsia="宋体"/>
      <w:sz w:val="18"/>
      <w:szCs w:val="18"/>
    </w:rPr>
  </w:style>
  <w:style w:type="paragraph" w:customStyle="1" w:styleId="118">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119">
    <w:name w:val="列项●（二级）"/>
    <w:qFormat/>
    <w:uiPriority w:val="0"/>
    <w:pPr>
      <w:tabs>
        <w:tab w:val="left" w:pos="760"/>
        <w:tab w:val="left" w:pos="840"/>
      </w:tabs>
      <w:ind w:left="1264" w:hanging="413"/>
      <w:jc w:val="both"/>
    </w:pPr>
    <w:rPr>
      <w:rFonts w:ascii="宋体" w:hAnsi="Times New Roman" w:eastAsia="宋体" w:cs="Times New Roman"/>
      <w:sz w:val="21"/>
      <w:lang w:val="en-US" w:eastAsia="zh-CN" w:bidi="ar-SA"/>
    </w:rPr>
  </w:style>
  <w:style w:type="paragraph" w:customStyle="1" w:styleId="120">
    <w:name w:val="附录标识"/>
    <w:basedOn w:val="1"/>
    <w:next w:val="22"/>
    <w:qFormat/>
    <w:uiPriority w:val="0"/>
    <w:pPr>
      <w:keepNext/>
      <w:widowControl/>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121">
    <w:name w:val="标准书眉_偶数页"/>
    <w:basedOn w:val="83"/>
    <w:next w:val="1"/>
    <w:qFormat/>
    <w:uiPriority w:val="0"/>
    <w:pPr>
      <w:jc w:val="left"/>
    </w:pPr>
  </w:style>
  <w:style w:type="paragraph" w:customStyle="1" w:styleId="122">
    <w:name w:val="封面标准文稿编辑信息"/>
    <w:basedOn w:val="115"/>
    <w:qFormat/>
    <w:uiPriority w:val="0"/>
    <w:pPr>
      <w:framePr w:wrap="around"/>
      <w:spacing w:before="180" w:line="180" w:lineRule="exact"/>
    </w:pPr>
    <w:rPr>
      <w:sz w:val="21"/>
    </w:rPr>
  </w:style>
  <w:style w:type="paragraph" w:customStyle="1" w:styleId="123">
    <w:name w:val="附录表标题"/>
    <w:basedOn w:val="1"/>
    <w:next w:val="22"/>
    <w:qFormat/>
    <w:uiPriority w:val="0"/>
    <w:pPr>
      <w:tabs>
        <w:tab w:val="left" w:pos="180"/>
      </w:tabs>
      <w:spacing w:beforeLines="50" w:afterLines="50"/>
      <w:jc w:val="center"/>
    </w:pPr>
    <w:rPr>
      <w:rFonts w:ascii="黑体" w:eastAsia="黑体"/>
      <w:szCs w:val="21"/>
    </w:rPr>
  </w:style>
  <w:style w:type="paragraph" w:customStyle="1" w:styleId="124">
    <w:name w:val="注："/>
    <w:next w:val="22"/>
    <w:qFormat/>
    <w:uiPriority w:val="0"/>
    <w:pPr>
      <w:widowControl w:val="0"/>
      <w:autoSpaceDE w:val="0"/>
      <w:autoSpaceDN w:val="0"/>
      <w:ind w:left="726" w:hanging="363"/>
      <w:jc w:val="both"/>
    </w:pPr>
    <w:rPr>
      <w:rFonts w:ascii="宋体" w:hAnsi="Times New Roman" w:eastAsia="宋体" w:cs="Times New Roman"/>
      <w:sz w:val="18"/>
      <w:szCs w:val="18"/>
      <w:lang w:val="en-US" w:eastAsia="zh-CN" w:bidi="ar-SA"/>
    </w:rPr>
  </w:style>
  <w:style w:type="paragraph" w:customStyle="1" w:styleId="125">
    <w:name w:val="注：（正文）"/>
    <w:basedOn w:val="124"/>
    <w:next w:val="22"/>
    <w:qFormat/>
    <w:uiPriority w:val="0"/>
  </w:style>
  <w:style w:type="paragraph" w:customStyle="1" w:styleId="126">
    <w:name w:val="封面正文"/>
    <w:qFormat/>
    <w:uiPriority w:val="0"/>
    <w:pPr>
      <w:jc w:val="both"/>
    </w:pPr>
    <w:rPr>
      <w:rFonts w:ascii="Times New Roman" w:hAnsi="Times New Roman" w:eastAsia="宋体" w:cs="Times New Roman"/>
      <w:lang w:val="en-US" w:eastAsia="zh-CN" w:bidi="ar-SA"/>
    </w:rPr>
  </w:style>
  <w:style w:type="paragraph" w:customStyle="1" w:styleId="127">
    <w:name w:val="编号列项（三级）"/>
    <w:qFormat/>
    <w:uiPriority w:val="0"/>
    <w:pPr>
      <w:tabs>
        <w:tab w:val="left" w:pos="0"/>
      </w:tabs>
      <w:ind w:left="1679" w:hanging="420"/>
    </w:pPr>
    <w:rPr>
      <w:rFonts w:ascii="宋体" w:hAnsi="Times New Roman" w:eastAsia="宋体" w:cs="Times New Roman"/>
      <w:sz w:val="21"/>
      <w:lang w:val="en-US" w:eastAsia="zh-CN" w:bidi="ar-SA"/>
    </w:rPr>
  </w:style>
  <w:style w:type="paragraph" w:customStyle="1" w:styleId="128">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29">
    <w:name w:val="附录标题"/>
    <w:basedOn w:val="22"/>
    <w:next w:val="22"/>
    <w:qFormat/>
    <w:uiPriority w:val="0"/>
    <w:pPr>
      <w:ind w:firstLine="0" w:firstLineChars="0"/>
      <w:jc w:val="center"/>
    </w:pPr>
    <w:rPr>
      <w:rFonts w:ascii="黑体" w:eastAsia="黑体"/>
    </w:rPr>
  </w:style>
  <w:style w:type="paragraph" w:customStyle="1" w:styleId="130">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31">
    <w:name w:val="封面标准名称2"/>
    <w:basedOn w:val="68"/>
    <w:qFormat/>
    <w:uiPriority w:val="0"/>
    <w:pPr>
      <w:framePr w:wrap="around" w:y="4469"/>
      <w:spacing w:beforeLines="630"/>
    </w:pPr>
  </w:style>
  <w:style w:type="paragraph" w:customStyle="1" w:styleId="132">
    <w:name w:val="发布部门"/>
    <w:next w:val="22"/>
    <w:qFormat/>
    <w:uiPriority w:val="99"/>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133">
    <w:name w:val="封面标准文稿编辑信息2"/>
    <w:basedOn w:val="122"/>
    <w:qFormat/>
    <w:uiPriority w:val="0"/>
    <w:pPr>
      <w:framePr w:wrap="around" w:y="4469"/>
    </w:pPr>
  </w:style>
  <w:style w:type="paragraph" w:customStyle="1" w:styleId="134">
    <w:name w:val="其他发布部门"/>
    <w:basedOn w:val="132"/>
    <w:qFormat/>
    <w:uiPriority w:val="0"/>
    <w:pPr>
      <w:framePr w:wrap="around" w:y="15310"/>
      <w:spacing w:line="0" w:lineRule="atLeast"/>
    </w:pPr>
    <w:rPr>
      <w:rFonts w:ascii="黑体" w:eastAsia="黑体"/>
      <w:b w:val="0"/>
    </w:rPr>
  </w:style>
  <w:style w:type="paragraph" w:customStyle="1" w:styleId="135">
    <w:name w:val="附录四级无"/>
    <w:basedOn w:val="86"/>
    <w:qFormat/>
    <w:uiPriority w:val="0"/>
    <w:pPr>
      <w:tabs>
        <w:tab w:val="clear" w:pos="360"/>
      </w:tabs>
      <w:spacing w:beforeLines="0" w:afterLines="0"/>
    </w:pPr>
    <w:rPr>
      <w:rFonts w:ascii="宋体" w:eastAsia="宋体"/>
      <w:szCs w:val="21"/>
    </w:rPr>
  </w:style>
  <w:style w:type="paragraph" w:customStyle="1" w:styleId="136">
    <w:name w:val="三级无"/>
    <w:basedOn w:val="74"/>
    <w:qFormat/>
    <w:uiPriority w:val="0"/>
    <w:pPr>
      <w:spacing w:beforeLines="0" w:afterLines="0"/>
    </w:pPr>
    <w:rPr>
      <w:rFonts w:ascii="宋体" w:eastAsia="宋体"/>
    </w:rPr>
  </w:style>
  <w:style w:type="paragraph" w:customStyle="1" w:styleId="137">
    <w:name w:val="五级无"/>
    <w:basedOn w:val="114"/>
    <w:qFormat/>
    <w:uiPriority w:val="0"/>
    <w:pPr>
      <w:spacing w:beforeLines="0" w:afterLines="0"/>
    </w:pPr>
    <w:rPr>
      <w:rFonts w:ascii="宋体" w:eastAsia="宋体"/>
    </w:rPr>
  </w:style>
  <w:style w:type="paragraph" w:customStyle="1" w:styleId="138">
    <w:name w:val="正文公式编号制表符"/>
    <w:basedOn w:val="22"/>
    <w:next w:val="22"/>
    <w:qFormat/>
    <w:uiPriority w:val="0"/>
    <w:pPr>
      <w:ind w:firstLine="0" w:firstLineChars="0"/>
    </w:pPr>
  </w:style>
  <w:style w:type="paragraph" w:customStyle="1" w:styleId="139">
    <w:name w:val="终结线"/>
    <w:basedOn w:val="1"/>
    <w:qFormat/>
    <w:uiPriority w:val="0"/>
    <w:pPr>
      <w:framePr w:hSpace="181" w:vSpace="181" w:wrap="around" w:vAnchor="text" w:hAnchor="margin" w:xAlign="center" w:y="285"/>
    </w:pPr>
  </w:style>
  <w:style w:type="paragraph" w:customStyle="1" w:styleId="140">
    <w:name w:val="其他实施日期"/>
    <w:basedOn w:val="71"/>
    <w:qFormat/>
    <w:uiPriority w:val="99"/>
    <w:pPr>
      <w:framePr w:wrap="around"/>
    </w:pPr>
  </w:style>
  <w:style w:type="paragraph" w:customStyle="1" w:styleId="141">
    <w:name w:val="封面标准英文名称2"/>
    <w:basedOn w:val="67"/>
    <w:qFormat/>
    <w:uiPriority w:val="0"/>
    <w:pPr>
      <w:framePr w:wrap="around" w:y="4469"/>
    </w:pPr>
  </w:style>
  <w:style w:type="paragraph" w:customStyle="1" w:styleId="142">
    <w:name w:val="封面标准文稿类别2"/>
    <w:basedOn w:val="115"/>
    <w:qFormat/>
    <w:uiPriority w:val="0"/>
    <w:pPr>
      <w:framePr w:wrap="around" w:y="4469"/>
    </w:pPr>
  </w:style>
  <w:style w:type="paragraph" w:styleId="143">
    <w:name w:val="List Paragraph"/>
    <w:basedOn w:val="1"/>
    <w:qFormat/>
    <w:uiPriority w:val="34"/>
    <w:pPr>
      <w:ind w:firstLine="420" w:firstLineChars="200"/>
    </w:pPr>
    <w:rPr>
      <w:rFonts w:ascii="Calibri" w:hAnsi="Calibri"/>
      <w:szCs w:val="22"/>
    </w:rPr>
  </w:style>
  <w:style w:type="paragraph" w:customStyle="1" w:styleId="144">
    <w:name w:val="Char Char Char Char"/>
    <w:basedOn w:val="1"/>
    <w:qFormat/>
    <w:uiPriority w:val="0"/>
    <w:pPr>
      <w:adjustRightInd w:val="0"/>
      <w:spacing w:line="360" w:lineRule="auto"/>
    </w:pPr>
    <w:rPr>
      <w:kern w:val="0"/>
      <w:sz w:val="24"/>
      <w:szCs w:val="20"/>
    </w:rPr>
  </w:style>
  <w:style w:type="character" w:customStyle="1" w:styleId="145">
    <w:name w:val="二级条标题 Char"/>
    <w:link w:val="50"/>
    <w:qFormat/>
    <w:locked/>
    <w:uiPriority w:val="0"/>
    <w:rPr>
      <w:rFonts w:ascii="黑体" w:eastAsia="黑体"/>
      <w:sz w:val="21"/>
      <w:szCs w:val="21"/>
    </w:rPr>
  </w:style>
  <w:style w:type="character" w:customStyle="1" w:styleId="146">
    <w:name w:val="批注文字 字符"/>
    <w:basedOn w:val="33"/>
    <w:link w:val="7"/>
    <w:qFormat/>
    <w:uiPriority w:val="0"/>
    <w:rPr>
      <w:kern w:val="2"/>
      <w:sz w:val="21"/>
      <w:szCs w:val="24"/>
    </w:rPr>
  </w:style>
  <w:style w:type="character" w:customStyle="1" w:styleId="147">
    <w:name w:val="批注主题 字符"/>
    <w:basedOn w:val="146"/>
    <w:link w:val="30"/>
    <w:semiHidden/>
    <w:qFormat/>
    <w:uiPriority w:val="0"/>
    <w:rPr>
      <w:b/>
      <w:bCs/>
      <w:kern w:val="2"/>
      <w:sz w:val="21"/>
      <w:szCs w:val="24"/>
    </w:rPr>
  </w:style>
  <w:style w:type="paragraph" w:customStyle="1" w:styleId="148">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149">
    <w:name w:val="font112"/>
    <w:basedOn w:val="33"/>
    <w:qFormat/>
    <w:uiPriority w:val="0"/>
    <w:rPr>
      <w:rFonts w:hint="default" w:ascii="Times New Roman" w:hAnsi="Times New Roman" w:cs="Times New Roman"/>
      <w:b/>
      <w:bCs/>
      <w:color w:val="000000"/>
      <w:sz w:val="18"/>
      <w:szCs w:val="18"/>
      <w:u w:val="none"/>
    </w:rPr>
  </w:style>
  <w:style w:type="character" w:customStyle="1" w:styleId="150">
    <w:name w:val="font121"/>
    <w:basedOn w:val="33"/>
    <w:qFormat/>
    <w:uiPriority w:val="0"/>
    <w:rPr>
      <w:rFonts w:hint="default" w:ascii="Times New Roman" w:hAnsi="Times New Roman" w:cs="Times New Roman"/>
      <w:color w:val="000000"/>
      <w:sz w:val="18"/>
      <w:szCs w:val="18"/>
      <w:u w:val="none"/>
      <w:vertAlign w:val="subscript"/>
    </w:rPr>
  </w:style>
  <w:style w:type="paragraph" w:customStyle="1" w:styleId="151">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microsoft.com/office/2006/relationships/keyMapCustomizations" Target="customizations.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3466DA1-9F14-4875-992D-55DFBC9447F0}">
  <ds:schemaRefs/>
</ds:datastoreItem>
</file>

<file path=docProps/app.xml><?xml version="1.0" encoding="utf-8"?>
<Properties xmlns="http://schemas.openxmlformats.org/officeDocument/2006/extended-properties" xmlns:vt="http://schemas.openxmlformats.org/officeDocument/2006/docPropsVTypes">
  <Template>Normal.dotm</Template>
  <Pages>7</Pages>
  <Words>1502</Words>
  <Characters>1952</Characters>
  <Lines>5</Lines>
  <Paragraphs>4</Paragraphs>
  <TotalTime>0</TotalTime>
  <ScaleCrop>false</ScaleCrop>
  <LinksUpToDate>false</LinksUpToDate>
  <CharactersWithSpaces>2023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2024-04-26T01:12:00Z</dcterms:created>
  <dc:creator>万户网络</dc:creator>
  <cp:lastModifiedBy>张世恩-13241711369</cp:lastModifiedBy>
  <dcterms:modified xsi:type="dcterms:W3CDTF">2024-12-02T02:11:14Z</dcterms:modified>
  <dc:title>标准名称</dc:title>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34C9B64D99CB496CA7419BE11AADC883</vt:lpwstr>
  </property>
</Properties>
</file>